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211EE3C" w14:textId="1CB65B55" w:rsidR="001D3A20" w:rsidRPr="00AE141E" w:rsidRDefault="001D3A20" w:rsidP="00AE141E">
      <w:pPr>
        <w:spacing w:after="362" w:line="360" w:lineRule="auto"/>
        <w:jc w:val="center"/>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iCs/>
          <w:noProof/>
          <w:color w:val="000000"/>
          <w:kern w:val="2"/>
          <w:sz w:val="24"/>
          <w:szCs w:val="24"/>
          <w:lang w:eastAsia="en-GB"/>
          <w14:ligatures w14:val="standardContextual"/>
        </w:rPr>
        <w:drawing>
          <wp:inline distT="0" distB="0" distL="0" distR="0" wp14:anchorId="309DF840" wp14:editId="374983FF">
            <wp:extent cx="2122170" cy="2026920"/>
            <wp:effectExtent l="0" t="0" r="0" b="0"/>
            <wp:docPr id="7" name="Picture 40" descr="A purple shield with white arrows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0" descr="A purple shield with white arrows and a book&#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70" cy="2026920"/>
                    </a:xfrm>
                    <a:prstGeom prst="rect">
                      <a:avLst/>
                    </a:prstGeom>
                    <a:noFill/>
                    <a:ln>
                      <a:noFill/>
                    </a:ln>
                  </pic:spPr>
                </pic:pic>
              </a:graphicData>
            </a:graphic>
          </wp:inline>
        </w:drawing>
      </w:r>
    </w:p>
    <w:p w14:paraId="24ED3343" w14:textId="77777777" w:rsidR="001D3A20" w:rsidRPr="00AE141E" w:rsidRDefault="001D3A20" w:rsidP="00AE141E">
      <w:pPr>
        <w:spacing w:after="327" w:line="360" w:lineRule="auto"/>
        <w:ind w:left="90"/>
        <w:jc w:val="center"/>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color w:val="000000"/>
          <w:kern w:val="2"/>
          <w:sz w:val="24"/>
          <w:szCs w:val="24"/>
          <w:lang w:eastAsia="en-GB"/>
          <w14:ligatures w14:val="standardContextual"/>
        </w:rPr>
        <w:t xml:space="preserve"> </w:t>
      </w:r>
    </w:p>
    <w:p w14:paraId="3AD46569" w14:textId="5ECCCC99" w:rsidR="001D3A20" w:rsidRPr="002062EF" w:rsidRDefault="001D3A20" w:rsidP="00AE141E">
      <w:pPr>
        <w:spacing w:after="332" w:line="360" w:lineRule="auto"/>
        <w:ind w:left="90"/>
        <w:jc w:val="center"/>
        <w:rPr>
          <w:rFonts w:ascii="Times New Roman" w:eastAsia="Times New Roman" w:hAnsi="Times New Roman" w:cs="Times New Roman"/>
          <w:b/>
          <w:bCs/>
          <w:color w:val="000000"/>
          <w:kern w:val="2"/>
          <w:sz w:val="36"/>
          <w:szCs w:val="36"/>
          <w:lang w:eastAsia="en-GB"/>
          <w14:ligatures w14:val="standardContextual"/>
        </w:rPr>
      </w:pPr>
      <w:r w:rsidRPr="002062EF">
        <w:rPr>
          <w:rFonts w:ascii="Times New Roman" w:eastAsia="Times New Roman" w:hAnsi="Times New Roman" w:cs="Times New Roman"/>
          <w:b/>
          <w:bCs/>
          <w:color w:val="000000"/>
          <w:kern w:val="2"/>
          <w:sz w:val="36"/>
          <w:szCs w:val="36"/>
          <w:lang w:eastAsia="en-GB"/>
          <w14:ligatures w14:val="standardContextual"/>
        </w:rPr>
        <w:t>Teaching British Imperial History to Children in English Secondary Schools, c.196</w:t>
      </w:r>
      <w:r w:rsidR="00F0001F">
        <w:rPr>
          <w:rFonts w:ascii="Times New Roman" w:eastAsia="Times New Roman" w:hAnsi="Times New Roman" w:cs="Times New Roman"/>
          <w:b/>
          <w:bCs/>
          <w:color w:val="000000"/>
          <w:kern w:val="2"/>
          <w:sz w:val="36"/>
          <w:szCs w:val="36"/>
          <w:lang w:eastAsia="en-GB"/>
          <w14:ligatures w14:val="standardContextual"/>
        </w:rPr>
        <w:t>5</w:t>
      </w:r>
      <w:r w:rsidRPr="002062EF">
        <w:rPr>
          <w:rFonts w:ascii="Times New Roman" w:eastAsia="Times New Roman" w:hAnsi="Times New Roman" w:cs="Times New Roman"/>
          <w:b/>
          <w:bCs/>
          <w:color w:val="000000"/>
          <w:kern w:val="2"/>
          <w:sz w:val="36"/>
          <w:szCs w:val="36"/>
          <w:lang w:eastAsia="en-GB"/>
          <w14:ligatures w14:val="standardContextual"/>
        </w:rPr>
        <w:t>-1995</w:t>
      </w:r>
    </w:p>
    <w:p w14:paraId="01433F58" w14:textId="77777777" w:rsidR="001D3A20" w:rsidRPr="00AE141E" w:rsidRDefault="001D3A20" w:rsidP="00AE141E">
      <w:pPr>
        <w:spacing w:after="332" w:line="360" w:lineRule="auto"/>
        <w:ind w:left="90"/>
        <w:jc w:val="center"/>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color w:val="000000"/>
          <w:kern w:val="2"/>
          <w:sz w:val="24"/>
          <w:szCs w:val="24"/>
          <w:lang w:eastAsia="en-GB"/>
          <w14:ligatures w14:val="standardContextual"/>
        </w:rPr>
        <w:t xml:space="preserve">  </w:t>
      </w:r>
    </w:p>
    <w:p w14:paraId="0BE1D06A" w14:textId="77777777" w:rsidR="001D3A20" w:rsidRPr="002062EF" w:rsidRDefault="001D3A20" w:rsidP="00AE141E">
      <w:pPr>
        <w:spacing w:after="327" w:line="360" w:lineRule="auto"/>
        <w:ind w:left="10" w:hanging="10"/>
        <w:jc w:val="center"/>
        <w:rPr>
          <w:rFonts w:ascii="Times New Roman" w:eastAsia="Times New Roman" w:hAnsi="Times New Roman" w:cs="Times New Roman"/>
          <w:iCs/>
          <w:color w:val="000000"/>
          <w:kern w:val="2"/>
          <w:sz w:val="36"/>
          <w:szCs w:val="36"/>
          <w:lang w:eastAsia="en-GB"/>
          <w14:ligatures w14:val="standardContextual"/>
        </w:rPr>
      </w:pPr>
      <w:r w:rsidRPr="002062EF">
        <w:rPr>
          <w:rFonts w:ascii="Times New Roman" w:eastAsia="Times New Roman" w:hAnsi="Times New Roman" w:cs="Times New Roman"/>
          <w:color w:val="000000"/>
          <w:kern w:val="2"/>
          <w:sz w:val="36"/>
          <w:szCs w:val="36"/>
          <w:lang w:eastAsia="en-GB"/>
          <w14:ligatures w14:val="standardContextual"/>
        </w:rPr>
        <w:t>Beth Bhargava</w:t>
      </w:r>
    </w:p>
    <w:p w14:paraId="710523E2" w14:textId="77777777" w:rsidR="001D3A20" w:rsidRPr="00AE141E" w:rsidRDefault="001D3A20" w:rsidP="00AE141E">
      <w:pPr>
        <w:spacing w:after="217" w:line="360" w:lineRule="auto"/>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color w:val="000000"/>
          <w:kern w:val="2"/>
          <w:sz w:val="24"/>
          <w:szCs w:val="24"/>
          <w:lang w:eastAsia="en-GB"/>
          <w14:ligatures w14:val="standardContextual"/>
        </w:rPr>
        <w:t xml:space="preserve"> </w:t>
      </w:r>
    </w:p>
    <w:p w14:paraId="6D3E9557" w14:textId="77777777" w:rsidR="001D3A20" w:rsidRPr="00AE141E" w:rsidRDefault="001D3A20" w:rsidP="00AE141E">
      <w:pPr>
        <w:spacing w:after="163" w:line="360" w:lineRule="auto"/>
        <w:ind w:left="10" w:hanging="10"/>
        <w:jc w:val="center"/>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color w:val="000000"/>
          <w:kern w:val="2"/>
          <w:sz w:val="24"/>
          <w:szCs w:val="24"/>
          <w:lang w:eastAsia="en-GB"/>
          <w14:ligatures w14:val="standardContextual"/>
        </w:rPr>
        <w:t xml:space="preserve">A thesis submitted in partial fulfilment of the requirements for the degree of Doctor of Philosophy. </w:t>
      </w:r>
    </w:p>
    <w:p w14:paraId="14F412FC" w14:textId="77777777" w:rsidR="001D3A20" w:rsidRPr="00AE141E" w:rsidRDefault="001D3A20" w:rsidP="00AE141E">
      <w:pPr>
        <w:spacing w:after="273" w:line="360" w:lineRule="auto"/>
        <w:ind w:left="10" w:hanging="10"/>
        <w:jc w:val="center"/>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color w:val="000000"/>
          <w:kern w:val="2"/>
          <w:sz w:val="24"/>
          <w:szCs w:val="24"/>
          <w:lang w:eastAsia="en-GB"/>
          <w14:ligatures w14:val="standardContextual"/>
        </w:rPr>
        <w:t xml:space="preserve">The University of Sheffield </w:t>
      </w:r>
    </w:p>
    <w:p w14:paraId="72890212" w14:textId="77777777" w:rsidR="001D3A20" w:rsidRPr="00AE141E" w:rsidRDefault="001D3A20" w:rsidP="00AE141E">
      <w:pPr>
        <w:spacing w:after="273" w:line="360" w:lineRule="auto"/>
        <w:ind w:left="10" w:hanging="10"/>
        <w:jc w:val="center"/>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color w:val="000000"/>
          <w:kern w:val="2"/>
          <w:sz w:val="24"/>
          <w:szCs w:val="24"/>
          <w:lang w:eastAsia="en-GB"/>
          <w14:ligatures w14:val="standardContextual"/>
        </w:rPr>
        <w:t xml:space="preserve">Faculty of Arts and Humanities </w:t>
      </w:r>
    </w:p>
    <w:p w14:paraId="0D21530B" w14:textId="77777777" w:rsidR="001D3A20" w:rsidRPr="00AE141E" w:rsidRDefault="001D3A20" w:rsidP="00AE141E">
      <w:pPr>
        <w:spacing w:after="273" w:line="360" w:lineRule="auto"/>
        <w:ind w:left="10" w:hanging="10"/>
        <w:jc w:val="center"/>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color w:val="000000"/>
          <w:kern w:val="2"/>
          <w:sz w:val="24"/>
          <w:szCs w:val="24"/>
          <w:lang w:eastAsia="en-GB"/>
          <w14:ligatures w14:val="standardContextual"/>
        </w:rPr>
        <w:t>School of History, Philosophy and Digital Humanities</w:t>
      </w:r>
    </w:p>
    <w:p w14:paraId="527B930E" w14:textId="77777777" w:rsidR="001D3A20" w:rsidRPr="00AE141E" w:rsidRDefault="001D3A20" w:rsidP="00AE141E">
      <w:pPr>
        <w:spacing w:after="271" w:line="360" w:lineRule="auto"/>
        <w:ind w:left="60"/>
        <w:jc w:val="center"/>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color w:val="000000"/>
          <w:kern w:val="2"/>
          <w:sz w:val="24"/>
          <w:szCs w:val="24"/>
          <w:lang w:eastAsia="en-GB"/>
          <w14:ligatures w14:val="standardContextual"/>
        </w:rPr>
        <w:t xml:space="preserve"> </w:t>
      </w:r>
    </w:p>
    <w:p w14:paraId="69C5538E" w14:textId="77777777" w:rsidR="001D3A20" w:rsidRPr="00AE141E" w:rsidRDefault="001D3A20" w:rsidP="00AE141E">
      <w:pPr>
        <w:spacing w:after="391" w:line="360" w:lineRule="auto"/>
        <w:ind w:left="10" w:hanging="10"/>
        <w:jc w:val="center"/>
        <w:rPr>
          <w:rFonts w:ascii="Times New Roman" w:eastAsia="Times New Roman" w:hAnsi="Times New Roman" w:cs="Times New Roman"/>
          <w:iCs/>
          <w:color w:val="000000"/>
          <w:kern w:val="2"/>
          <w:sz w:val="24"/>
          <w:szCs w:val="24"/>
          <w:lang w:eastAsia="en-GB"/>
          <w14:ligatures w14:val="standardContextual"/>
        </w:rPr>
      </w:pPr>
      <w:r w:rsidRPr="00AE141E">
        <w:rPr>
          <w:rFonts w:ascii="Times New Roman" w:eastAsia="Times New Roman" w:hAnsi="Times New Roman" w:cs="Times New Roman"/>
          <w:color w:val="000000"/>
          <w:kern w:val="2"/>
          <w:sz w:val="24"/>
          <w:szCs w:val="24"/>
          <w:lang w:eastAsia="en-GB"/>
          <w14:ligatures w14:val="standardContextual"/>
        </w:rPr>
        <w:t xml:space="preserve">March 2025. </w:t>
      </w:r>
    </w:p>
    <w:p w14:paraId="5A40BCDE" w14:textId="77777777" w:rsidR="001D3A20" w:rsidRPr="00AE141E" w:rsidRDefault="001D3A20" w:rsidP="00AE141E">
      <w:pPr>
        <w:spacing w:line="360" w:lineRule="auto"/>
        <w:rPr>
          <w:rFonts w:ascii="Times New Roman" w:hAnsi="Times New Roman" w:cs="Times New Roman"/>
          <w:b/>
          <w:bCs/>
          <w:sz w:val="24"/>
          <w:szCs w:val="24"/>
        </w:rPr>
      </w:pPr>
    </w:p>
    <w:p w14:paraId="34161539" w14:textId="77777777" w:rsidR="001D3A20" w:rsidRPr="00AE141E" w:rsidRDefault="001D3A20"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br w:type="page"/>
      </w:r>
    </w:p>
    <w:p w14:paraId="04EC25F8" w14:textId="68377F28" w:rsidR="003C3D5E" w:rsidRDefault="003C3D5E" w:rsidP="00CA2101">
      <w:pPr>
        <w:pStyle w:val="Heading1"/>
      </w:pPr>
      <w:bookmarkStart w:id="0" w:name="_Toc193726222"/>
      <w:r w:rsidRPr="00CA2101">
        <w:lastRenderedPageBreak/>
        <w:t>Abstract</w:t>
      </w:r>
      <w:bookmarkEnd w:id="0"/>
    </w:p>
    <w:p w14:paraId="642CCDEE" w14:textId="77777777" w:rsidR="00CA2101" w:rsidRPr="00CA2101" w:rsidRDefault="00CA2101" w:rsidP="00CA2101"/>
    <w:p w14:paraId="7601FB21" w14:textId="5AB18A53" w:rsidR="00601DCD" w:rsidRDefault="002F006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The following thesis</w:t>
      </w:r>
      <w:r w:rsidRPr="00AE141E">
        <w:rPr>
          <w:rFonts w:ascii="Times New Roman" w:hAnsi="Times New Roman" w:cs="Times New Roman"/>
          <w:sz w:val="24"/>
          <w:szCs w:val="24"/>
        </w:rPr>
        <w:t xml:space="preserve"> examines the ways in which the history of empire </w:t>
      </w:r>
      <w:r w:rsidR="00D67CD9">
        <w:rPr>
          <w:rFonts w:ascii="Times New Roman" w:hAnsi="Times New Roman" w:cs="Times New Roman"/>
          <w:sz w:val="24"/>
          <w:szCs w:val="24"/>
        </w:rPr>
        <w:t>was</w:t>
      </w:r>
      <w:r w:rsidRPr="00AE141E">
        <w:rPr>
          <w:rFonts w:ascii="Times New Roman" w:hAnsi="Times New Roman" w:cs="Times New Roman"/>
          <w:sz w:val="24"/>
          <w:szCs w:val="24"/>
        </w:rPr>
        <w:t xml:space="preserve"> taught </w:t>
      </w:r>
      <w:r w:rsidR="00D67CD9">
        <w:rPr>
          <w:rFonts w:ascii="Times New Roman" w:hAnsi="Times New Roman" w:cs="Times New Roman"/>
          <w:sz w:val="24"/>
          <w:szCs w:val="24"/>
        </w:rPr>
        <w:t xml:space="preserve">in late twentieth century English secondary </w:t>
      </w:r>
      <w:r w:rsidR="003839FA">
        <w:rPr>
          <w:rFonts w:ascii="Times New Roman" w:hAnsi="Times New Roman" w:cs="Times New Roman"/>
          <w:sz w:val="24"/>
          <w:szCs w:val="24"/>
        </w:rPr>
        <w:t>schools</w:t>
      </w:r>
      <w:r w:rsidRPr="00AE141E">
        <w:rPr>
          <w:rFonts w:ascii="Times New Roman" w:hAnsi="Times New Roman" w:cs="Times New Roman"/>
          <w:sz w:val="24"/>
          <w:szCs w:val="24"/>
        </w:rPr>
        <w:t>.</w:t>
      </w:r>
      <w:r w:rsidR="00BB6064">
        <w:rPr>
          <w:rFonts w:ascii="Times New Roman" w:hAnsi="Times New Roman" w:cs="Times New Roman"/>
          <w:sz w:val="24"/>
          <w:szCs w:val="24"/>
        </w:rPr>
        <w:t xml:space="preserve"> In the immediate post-war years, </w:t>
      </w:r>
      <w:r w:rsidR="00900679">
        <w:rPr>
          <w:rFonts w:ascii="Times New Roman" w:hAnsi="Times New Roman" w:cs="Times New Roman"/>
          <w:sz w:val="24"/>
          <w:szCs w:val="24"/>
        </w:rPr>
        <w:t xml:space="preserve">imperial history </w:t>
      </w:r>
      <w:r w:rsidR="002678E5">
        <w:rPr>
          <w:rFonts w:ascii="Times New Roman" w:hAnsi="Times New Roman" w:cs="Times New Roman"/>
          <w:sz w:val="24"/>
          <w:szCs w:val="24"/>
        </w:rPr>
        <w:t>occupied</w:t>
      </w:r>
      <w:r w:rsidR="00900679">
        <w:rPr>
          <w:rFonts w:ascii="Times New Roman" w:hAnsi="Times New Roman" w:cs="Times New Roman"/>
          <w:sz w:val="24"/>
          <w:szCs w:val="24"/>
        </w:rPr>
        <w:t xml:space="preserve"> a stable</w:t>
      </w:r>
      <w:r w:rsidR="002678E5">
        <w:rPr>
          <w:rFonts w:ascii="Times New Roman" w:hAnsi="Times New Roman" w:cs="Times New Roman"/>
          <w:sz w:val="24"/>
          <w:szCs w:val="24"/>
        </w:rPr>
        <w:t xml:space="preserve"> but supporting role in the </w:t>
      </w:r>
      <w:r w:rsidR="00CE4988">
        <w:rPr>
          <w:rFonts w:ascii="Times New Roman" w:hAnsi="Times New Roman" w:cs="Times New Roman"/>
          <w:sz w:val="24"/>
          <w:szCs w:val="24"/>
        </w:rPr>
        <w:t>national narrative</w:t>
      </w:r>
      <w:r w:rsidR="002678E5">
        <w:rPr>
          <w:rFonts w:ascii="Times New Roman" w:hAnsi="Times New Roman" w:cs="Times New Roman"/>
          <w:sz w:val="24"/>
          <w:szCs w:val="24"/>
        </w:rPr>
        <w:t>.</w:t>
      </w:r>
      <w:r w:rsidRPr="00AE141E">
        <w:rPr>
          <w:rFonts w:ascii="Times New Roman" w:hAnsi="Times New Roman" w:cs="Times New Roman"/>
          <w:sz w:val="24"/>
          <w:szCs w:val="24"/>
        </w:rPr>
        <w:t xml:space="preserve"> </w:t>
      </w:r>
      <w:r w:rsidR="00BB6064">
        <w:rPr>
          <w:rFonts w:ascii="Times New Roman" w:hAnsi="Times New Roman" w:cs="Times New Roman"/>
          <w:sz w:val="24"/>
          <w:szCs w:val="24"/>
        </w:rPr>
        <w:t>From the 1960s onwards,</w:t>
      </w:r>
      <w:r w:rsidR="00C716D2">
        <w:rPr>
          <w:rFonts w:ascii="Times New Roman" w:hAnsi="Times New Roman" w:cs="Times New Roman"/>
          <w:sz w:val="24"/>
          <w:szCs w:val="24"/>
        </w:rPr>
        <w:t xml:space="preserve"> developments in and beyond the classroom pushed imperial history further towards the margins of </w:t>
      </w:r>
      <w:r w:rsidR="00076BA1">
        <w:rPr>
          <w:rFonts w:ascii="Times New Roman" w:hAnsi="Times New Roman" w:cs="Times New Roman"/>
          <w:sz w:val="24"/>
          <w:szCs w:val="24"/>
        </w:rPr>
        <w:t xml:space="preserve">school </w:t>
      </w:r>
      <w:r w:rsidR="00C716D2">
        <w:rPr>
          <w:rFonts w:ascii="Times New Roman" w:hAnsi="Times New Roman" w:cs="Times New Roman"/>
          <w:sz w:val="24"/>
          <w:szCs w:val="24"/>
        </w:rPr>
        <w:t>curricula</w:t>
      </w:r>
      <w:r w:rsidR="00B26BAC">
        <w:rPr>
          <w:rFonts w:ascii="Times New Roman" w:eastAsia="Times New Roman" w:hAnsi="Times New Roman" w:cs="Times New Roman"/>
          <w:color w:val="000000"/>
          <w:sz w:val="24"/>
          <w:szCs w:val="24"/>
          <w:lang w:eastAsia="en-GB"/>
        </w:rPr>
        <w:t>. However,</w:t>
      </w:r>
      <w:r w:rsidR="005412AB">
        <w:rPr>
          <w:rFonts w:ascii="Times New Roman" w:eastAsia="Times New Roman" w:hAnsi="Times New Roman" w:cs="Times New Roman"/>
          <w:color w:val="000000"/>
          <w:sz w:val="24"/>
          <w:szCs w:val="24"/>
          <w:lang w:eastAsia="en-GB"/>
        </w:rPr>
        <w:t xml:space="preserve"> the influence of</w:t>
      </w:r>
      <w:r w:rsidR="00B26BAC">
        <w:rPr>
          <w:rFonts w:ascii="Times New Roman" w:eastAsia="Times New Roman" w:hAnsi="Times New Roman" w:cs="Times New Roman"/>
          <w:color w:val="000000"/>
          <w:sz w:val="24"/>
          <w:szCs w:val="24"/>
          <w:lang w:eastAsia="en-GB"/>
        </w:rPr>
        <w:t xml:space="preserve"> </w:t>
      </w:r>
      <w:r w:rsidR="007D6A9C" w:rsidRPr="007D6A9C">
        <w:rPr>
          <w:rFonts w:ascii="Times New Roman" w:eastAsia="Times New Roman" w:hAnsi="Times New Roman" w:cs="Times New Roman"/>
          <w:color w:val="000000"/>
          <w:sz w:val="24"/>
          <w:szCs w:val="24"/>
          <w:lang w:eastAsia="en-GB"/>
        </w:rPr>
        <w:t xml:space="preserve">imperial(ist) </w:t>
      </w:r>
      <w:r w:rsidR="00B26BAC">
        <w:rPr>
          <w:rFonts w:ascii="Times New Roman" w:eastAsia="Times New Roman" w:hAnsi="Times New Roman" w:cs="Times New Roman"/>
          <w:color w:val="000000"/>
          <w:sz w:val="24"/>
          <w:szCs w:val="24"/>
          <w:lang w:eastAsia="en-GB"/>
        </w:rPr>
        <w:t>ideological</w:t>
      </w:r>
      <w:r w:rsidR="007D6A9C" w:rsidRPr="007D6A9C">
        <w:rPr>
          <w:rFonts w:ascii="Times New Roman" w:eastAsia="Times New Roman" w:hAnsi="Times New Roman" w:cs="Times New Roman"/>
          <w:color w:val="000000"/>
          <w:sz w:val="24"/>
          <w:szCs w:val="24"/>
          <w:lang w:eastAsia="en-GB"/>
        </w:rPr>
        <w:t xml:space="preserve"> frameworks </w:t>
      </w:r>
      <w:r w:rsidR="000A45B7">
        <w:rPr>
          <w:rFonts w:ascii="Times New Roman" w:eastAsia="Times New Roman" w:hAnsi="Times New Roman" w:cs="Times New Roman"/>
          <w:color w:val="000000"/>
          <w:sz w:val="24"/>
          <w:szCs w:val="24"/>
          <w:lang w:eastAsia="en-GB"/>
        </w:rPr>
        <w:t>persisted</w:t>
      </w:r>
      <w:r w:rsidR="008A7F2F">
        <w:rPr>
          <w:rFonts w:ascii="Times New Roman" w:eastAsia="Times New Roman" w:hAnsi="Times New Roman" w:cs="Times New Roman"/>
          <w:color w:val="000000"/>
          <w:sz w:val="24"/>
          <w:szCs w:val="24"/>
          <w:lang w:eastAsia="en-GB"/>
        </w:rPr>
        <w:t>.</w:t>
      </w:r>
      <w:r w:rsidR="00005FDD">
        <w:rPr>
          <w:rFonts w:ascii="Times New Roman" w:eastAsia="Times New Roman" w:hAnsi="Times New Roman" w:cs="Times New Roman"/>
          <w:color w:val="000000"/>
          <w:sz w:val="24"/>
          <w:szCs w:val="24"/>
          <w:lang w:eastAsia="en-GB"/>
        </w:rPr>
        <w:t xml:space="preserve"> I argue that </w:t>
      </w:r>
      <w:r w:rsidR="00783A51">
        <w:rPr>
          <w:rFonts w:ascii="Times New Roman" w:eastAsia="Times New Roman" w:hAnsi="Times New Roman" w:cs="Times New Roman"/>
          <w:color w:val="000000"/>
          <w:sz w:val="24"/>
          <w:szCs w:val="24"/>
          <w:lang w:eastAsia="en-GB"/>
        </w:rPr>
        <w:t xml:space="preserve">resistance and contestation </w:t>
      </w:r>
      <w:r w:rsidR="00D37A3B">
        <w:rPr>
          <w:rFonts w:ascii="Times New Roman" w:eastAsia="Times New Roman" w:hAnsi="Times New Roman" w:cs="Times New Roman"/>
          <w:color w:val="000000"/>
          <w:sz w:val="24"/>
          <w:szCs w:val="24"/>
          <w:lang w:eastAsia="en-GB"/>
        </w:rPr>
        <w:t>created</w:t>
      </w:r>
      <w:r w:rsidR="00783A51">
        <w:rPr>
          <w:rFonts w:ascii="Times New Roman" w:eastAsia="Times New Roman" w:hAnsi="Times New Roman" w:cs="Times New Roman"/>
          <w:color w:val="000000"/>
          <w:sz w:val="24"/>
          <w:szCs w:val="24"/>
          <w:lang w:eastAsia="en-GB"/>
        </w:rPr>
        <w:t xml:space="preserve"> </w:t>
      </w:r>
      <w:r w:rsidR="00607356" w:rsidRPr="00AE141E">
        <w:rPr>
          <w:rFonts w:ascii="Times New Roman" w:eastAsia="Times New Roman" w:hAnsi="Times New Roman" w:cs="Times New Roman"/>
          <w:color w:val="000000"/>
          <w:sz w:val="24"/>
          <w:szCs w:val="24"/>
          <w:lang w:eastAsia="en-GB"/>
        </w:rPr>
        <w:t xml:space="preserve">moments of slippage where more radical histories of British imperialism </w:t>
      </w:r>
      <w:r w:rsidR="001769E4">
        <w:rPr>
          <w:rFonts w:ascii="Times New Roman" w:eastAsia="Times New Roman" w:hAnsi="Times New Roman" w:cs="Times New Roman"/>
          <w:color w:val="000000"/>
          <w:sz w:val="24"/>
          <w:szCs w:val="24"/>
          <w:lang w:eastAsia="en-GB"/>
        </w:rPr>
        <w:t>can</w:t>
      </w:r>
      <w:r w:rsidR="00607356" w:rsidRPr="00AE141E">
        <w:rPr>
          <w:rFonts w:ascii="Times New Roman" w:eastAsia="Times New Roman" w:hAnsi="Times New Roman" w:cs="Times New Roman"/>
          <w:color w:val="000000"/>
          <w:sz w:val="24"/>
          <w:szCs w:val="24"/>
          <w:lang w:eastAsia="en-GB"/>
        </w:rPr>
        <w:t xml:space="preserve"> be glimpsed</w:t>
      </w:r>
      <w:r w:rsidR="00B6556E" w:rsidRPr="00AE141E">
        <w:rPr>
          <w:rFonts w:ascii="Times New Roman" w:eastAsia="Times New Roman" w:hAnsi="Times New Roman" w:cs="Times New Roman"/>
          <w:color w:val="000000"/>
          <w:sz w:val="24"/>
          <w:szCs w:val="24"/>
          <w:lang w:eastAsia="en-GB"/>
        </w:rPr>
        <w:t xml:space="preserve">. Even in the absence of conscious rebellion, the individual subjectivity of schoolchildren meant that the education given was rarely the education received. As such, this thesis views education as </w:t>
      </w:r>
      <w:r w:rsidR="00F77621">
        <w:rPr>
          <w:rFonts w:ascii="Times New Roman" w:eastAsia="Times New Roman" w:hAnsi="Times New Roman" w:cs="Times New Roman"/>
          <w:color w:val="000000"/>
          <w:sz w:val="24"/>
          <w:szCs w:val="24"/>
          <w:lang w:eastAsia="en-GB"/>
        </w:rPr>
        <w:t xml:space="preserve">a </w:t>
      </w:r>
      <w:r w:rsidR="00B6556E" w:rsidRPr="003839FA">
        <w:rPr>
          <w:rFonts w:ascii="Times New Roman" w:eastAsia="Times New Roman" w:hAnsi="Times New Roman" w:cs="Times New Roman"/>
          <w:iCs/>
          <w:color w:val="000000"/>
          <w:sz w:val="24"/>
          <w:szCs w:val="24"/>
          <w:lang w:eastAsia="en-GB"/>
        </w:rPr>
        <w:t>process</w:t>
      </w:r>
      <w:r w:rsidR="00B6556E" w:rsidRPr="00AE141E">
        <w:rPr>
          <w:rFonts w:ascii="Times New Roman" w:eastAsia="Times New Roman" w:hAnsi="Times New Roman" w:cs="Times New Roman"/>
          <w:color w:val="000000"/>
          <w:sz w:val="24"/>
          <w:szCs w:val="24"/>
          <w:lang w:eastAsia="en-GB"/>
        </w:rPr>
        <w:t>, rather than</w:t>
      </w:r>
      <w:r w:rsidR="00F77621">
        <w:rPr>
          <w:rFonts w:ascii="Times New Roman" w:eastAsia="Times New Roman" w:hAnsi="Times New Roman" w:cs="Times New Roman"/>
          <w:color w:val="000000"/>
          <w:sz w:val="24"/>
          <w:szCs w:val="24"/>
          <w:lang w:eastAsia="en-GB"/>
        </w:rPr>
        <w:t xml:space="preserve"> a</w:t>
      </w:r>
      <w:r w:rsidR="00B6556E" w:rsidRPr="00AE141E">
        <w:rPr>
          <w:rFonts w:ascii="Times New Roman" w:eastAsia="Times New Roman" w:hAnsi="Times New Roman" w:cs="Times New Roman"/>
          <w:color w:val="000000"/>
          <w:sz w:val="24"/>
          <w:szCs w:val="24"/>
          <w:lang w:eastAsia="en-GB"/>
        </w:rPr>
        <w:t xml:space="preserve"> product. </w:t>
      </w:r>
      <w:r w:rsidR="00D37A3B" w:rsidRPr="00D37A3B">
        <w:rPr>
          <w:rFonts w:ascii="Times New Roman" w:eastAsia="Times New Roman" w:hAnsi="Times New Roman" w:cs="Times New Roman"/>
          <w:color w:val="000000"/>
          <w:sz w:val="24"/>
          <w:szCs w:val="24"/>
          <w:lang w:eastAsia="en-GB"/>
        </w:rPr>
        <w:t xml:space="preserve">While I draw upon teaching materials destined for use in twentieth century classrooms, I also tackle the harder-to-access areas of teaching practice and its reception. </w:t>
      </w:r>
    </w:p>
    <w:p w14:paraId="3F12B291" w14:textId="1AA913B5" w:rsidR="00AE141E" w:rsidRPr="003B36EA" w:rsidRDefault="003B36E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Overall, my work makes </w:t>
      </w:r>
      <w:r w:rsidR="00013013">
        <w:rPr>
          <w:rFonts w:ascii="Times New Roman" w:hAnsi="Times New Roman" w:cs="Times New Roman"/>
          <w:sz w:val="24"/>
          <w:szCs w:val="24"/>
        </w:rPr>
        <w:t>three</w:t>
      </w:r>
      <w:r w:rsidRPr="00AE141E">
        <w:rPr>
          <w:rFonts w:ascii="Times New Roman" w:hAnsi="Times New Roman" w:cs="Times New Roman"/>
          <w:sz w:val="24"/>
          <w:szCs w:val="24"/>
        </w:rPr>
        <w:t xml:space="preserve"> key interventions. It demonstrates the impact of a national culture of ‘postcolonial melancholia’ on teaching and learning in mid-to late-twentieth century Britain. </w:t>
      </w:r>
      <w:r w:rsidR="005D5639" w:rsidRPr="00AE141E">
        <w:rPr>
          <w:rFonts w:ascii="Times New Roman" w:hAnsi="Times New Roman" w:cs="Times New Roman"/>
          <w:sz w:val="24"/>
          <w:szCs w:val="24"/>
        </w:rPr>
        <w:t>Secondly, it helps to reconceptualise education as a multidirectional process: not only the teacher, but also students, their families, and their communities are demonstrated to be significant actors.</w:t>
      </w:r>
      <w:r w:rsidR="005D5639">
        <w:rPr>
          <w:rFonts w:ascii="Times New Roman" w:hAnsi="Times New Roman" w:cs="Times New Roman"/>
          <w:sz w:val="24"/>
          <w:szCs w:val="24"/>
        </w:rPr>
        <w:t xml:space="preserve"> This is emphasis is most prominent in my third Chapter.</w:t>
      </w:r>
      <w:r w:rsidR="005D5639" w:rsidRPr="00AE141E">
        <w:rPr>
          <w:rFonts w:ascii="Times New Roman" w:hAnsi="Times New Roman" w:cs="Times New Roman"/>
          <w:sz w:val="24"/>
          <w:szCs w:val="24"/>
        </w:rPr>
        <w:t xml:space="preserve"> Third, it serves as a powerful reminder that what history we choose to teach matters to students, especially those who are downwardly racialised.</w:t>
      </w:r>
      <w:r w:rsidR="00AE141E" w:rsidRPr="00AE141E">
        <w:rPr>
          <w:rFonts w:ascii="Times New Roman" w:eastAsia="Times New Roman" w:hAnsi="Times New Roman" w:cs="Times New Roman"/>
          <w:color w:val="000000"/>
          <w:sz w:val="24"/>
          <w:szCs w:val="24"/>
          <w:lang w:eastAsia="en-GB"/>
        </w:rPr>
        <w:br w:type="page"/>
      </w:r>
    </w:p>
    <w:p w14:paraId="39DB61CD" w14:textId="613EBE2D" w:rsidR="003A258A" w:rsidRDefault="003A258A" w:rsidP="00CA2101">
      <w:pPr>
        <w:pStyle w:val="Heading1"/>
        <w:jc w:val="center"/>
        <w:rPr>
          <w:rFonts w:eastAsia="Times New Roman"/>
          <w:lang w:eastAsia="en-GB"/>
        </w:rPr>
      </w:pPr>
      <w:bookmarkStart w:id="1" w:name="_Toc193726223"/>
      <w:r w:rsidRPr="00DF0C4F">
        <w:rPr>
          <w:rFonts w:eastAsia="Times New Roman"/>
          <w:lang w:eastAsia="en-GB"/>
        </w:rPr>
        <w:lastRenderedPageBreak/>
        <w:t>Declaration</w:t>
      </w:r>
      <w:bookmarkEnd w:id="1"/>
    </w:p>
    <w:p w14:paraId="2591F060" w14:textId="77777777" w:rsidR="00CA2101" w:rsidRPr="00CA2101" w:rsidRDefault="00CA2101" w:rsidP="00CA2101">
      <w:pPr>
        <w:rPr>
          <w:lang w:eastAsia="en-GB"/>
        </w:rPr>
      </w:pPr>
    </w:p>
    <w:p w14:paraId="65FA7BD3" w14:textId="77777777" w:rsidR="00FB1076" w:rsidRPr="00AE141E" w:rsidRDefault="003A258A"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I, the author, confirm that the Thesis is my own work. I am aware of the University’s Guidance on the Use of Unfair Means (</w:t>
      </w:r>
      <w:hyperlink r:id="rId9" w:history="1">
        <w:r w:rsidR="00E0253D" w:rsidRPr="00AE141E">
          <w:rPr>
            <w:rStyle w:val="Hyperlink"/>
            <w:rFonts w:ascii="Times New Roman" w:eastAsia="Times New Roman" w:hAnsi="Times New Roman" w:cs="Times New Roman"/>
            <w:sz w:val="24"/>
            <w:szCs w:val="24"/>
            <w:lang w:eastAsia="en-GB"/>
          </w:rPr>
          <w:t>www.sheffield.ac.uk/ssid/unfair-means</w:t>
        </w:r>
      </w:hyperlink>
      <w:r w:rsidR="00EC619D" w:rsidRPr="00AE141E">
        <w:rPr>
          <w:rFonts w:ascii="Times New Roman" w:eastAsia="Times New Roman" w:hAnsi="Times New Roman" w:cs="Times New Roman"/>
          <w:color w:val="000000"/>
          <w:sz w:val="24"/>
          <w:szCs w:val="24"/>
          <w:lang w:eastAsia="en-GB"/>
        </w:rPr>
        <w:t>)</w:t>
      </w:r>
      <w:r w:rsidRPr="00AE141E">
        <w:rPr>
          <w:rFonts w:ascii="Times New Roman" w:eastAsia="Times New Roman" w:hAnsi="Times New Roman" w:cs="Times New Roman"/>
          <w:color w:val="000000"/>
          <w:sz w:val="24"/>
          <w:szCs w:val="24"/>
          <w:lang w:eastAsia="en-GB"/>
        </w:rPr>
        <w:t xml:space="preserve">. This work has not previously been presented for an award at this, or any other, university. </w:t>
      </w:r>
    </w:p>
    <w:p w14:paraId="5B1D3594"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4F367122"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5048A316"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1F738030"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5CB073D5"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7B9FE8A1"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2F05B966"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49119135"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0B7E7A94"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10F7BE28"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31E5E3B8"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3C421EC1"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2F2CDB7F"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3937507E"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1B0E18B0"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5519F9F6"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22C41C36"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049C14E6"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3F304B1B"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2CC73803"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698978BD" w14:textId="77777777" w:rsidR="00FB1076" w:rsidRPr="00AE141E" w:rsidRDefault="00FB1076" w:rsidP="00AE141E">
      <w:pPr>
        <w:spacing w:line="360" w:lineRule="auto"/>
        <w:rPr>
          <w:rFonts w:ascii="Times New Roman" w:eastAsia="Times New Roman" w:hAnsi="Times New Roman" w:cs="Times New Roman"/>
          <w:color w:val="000000"/>
          <w:sz w:val="24"/>
          <w:szCs w:val="24"/>
          <w:lang w:eastAsia="en-GB"/>
        </w:rPr>
      </w:pPr>
    </w:p>
    <w:p w14:paraId="2024F3F8" w14:textId="3F2FB00F" w:rsidR="00FB1076" w:rsidRDefault="00FB1076" w:rsidP="00CA2101">
      <w:pPr>
        <w:pStyle w:val="Heading1"/>
      </w:pPr>
      <w:bookmarkStart w:id="2" w:name="_Toc193726224"/>
      <w:r w:rsidRPr="00DF0C4F">
        <w:lastRenderedPageBreak/>
        <w:t>Acknowledgements</w:t>
      </w:r>
      <w:bookmarkEnd w:id="2"/>
    </w:p>
    <w:p w14:paraId="1D255C1D" w14:textId="77777777" w:rsidR="00CA2101" w:rsidRPr="00CA2101" w:rsidRDefault="00CA2101" w:rsidP="00CA2101"/>
    <w:p w14:paraId="6D75B2DB" w14:textId="1667EBF3" w:rsidR="00FB1076" w:rsidRPr="00AE141E" w:rsidRDefault="00FB107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start and end of this thesis owes much to the kindness and support of those around me. My thanks are due first to my supervisors, Professor Adrian Bingham and Professor Caoimhe Nic Dháibhéid. I am grateful for your generosity in </w:t>
      </w:r>
      <w:r w:rsidR="008801E2">
        <w:rPr>
          <w:rFonts w:ascii="Times New Roman" w:hAnsi="Times New Roman" w:cs="Times New Roman"/>
          <w:sz w:val="24"/>
          <w:szCs w:val="24"/>
        </w:rPr>
        <w:t>offering</w:t>
      </w:r>
      <w:r w:rsidRPr="00AE141E">
        <w:rPr>
          <w:rFonts w:ascii="Times New Roman" w:hAnsi="Times New Roman" w:cs="Times New Roman"/>
          <w:sz w:val="24"/>
          <w:szCs w:val="24"/>
        </w:rPr>
        <w:t xml:space="preserve"> guidance not just on the core work of my PhD, but on the projects, articles, and applications I have tried to complete alongside it. Your willingness to provide feedback and structure while allowing me to take the degree at my own pace has made it a better experience than I could ever have hoped.</w:t>
      </w:r>
      <w:r w:rsidR="006A7F50">
        <w:rPr>
          <w:rFonts w:ascii="Times New Roman" w:hAnsi="Times New Roman" w:cs="Times New Roman"/>
          <w:sz w:val="24"/>
          <w:szCs w:val="24"/>
        </w:rPr>
        <w:t xml:space="preserve"> Likewise, I am </w:t>
      </w:r>
      <w:r w:rsidR="00DE6BFB">
        <w:rPr>
          <w:rFonts w:ascii="Times New Roman" w:hAnsi="Times New Roman" w:cs="Times New Roman"/>
          <w:sz w:val="24"/>
          <w:szCs w:val="24"/>
        </w:rPr>
        <w:t xml:space="preserve">grateful to </w:t>
      </w:r>
      <w:r w:rsidR="00467417">
        <w:rPr>
          <w:rFonts w:ascii="Times New Roman" w:hAnsi="Times New Roman" w:cs="Times New Roman"/>
          <w:sz w:val="24"/>
          <w:szCs w:val="24"/>
        </w:rPr>
        <w:t>Professor Julia Moses and Professor Peter Mandler for agreeing to exami</w:t>
      </w:r>
      <w:r w:rsidR="00354C0C">
        <w:rPr>
          <w:rFonts w:ascii="Times New Roman" w:hAnsi="Times New Roman" w:cs="Times New Roman"/>
          <w:sz w:val="24"/>
          <w:szCs w:val="24"/>
        </w:rPr>
        <w:t>ne</w:t>
      </w:r>
      <w:r w:rsidR="00F53641">
        <w:rPr>
          <w:rFonts w:ascii="Times New Roman" w:hAnsi="Times New Roman" w:cs="Times New Roman"/>
          <w:sz w:val="24"/>
          <w:szCs w:val="24"/>
        </w:rPr>
        <w:t>, and for your insightful comments</w:t>
      </w:r>
      <w:r w:rsidR="003F3991">
        <w:rPr>
          <w:rFonts w:ascii="Times New Roman" w:hAnsi="Times New Roman" w:cs="Times New Roman"/>
          <w:sz w:val="24"/>
          <w:szCs w:val="24"/>
        </w:rPr>
        <w:t>.</w:t>
      </w:r>
    </w:p>
    <w:p w14:paraId="575B76F7" w14:textId="345BD5E6" w:rsidR="00FB1076" w:rsidRPr="00AE141E" w:rsidRDefault="00FB107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 also wish to thank Professor Sarah Stockwell and the late Professor Arthur Burns for their invaluable support and encouragement in conceptualising this thesis. I feel lucky to have learnt from you in both your professional and personal capacities. </w:t>
      </w:r>
    </w:p>
    <w:p w14:paraId="6AEFC1DC" w14:textId="0D60B4A7" w:rsidR="00FB1076" w:rsidRPr="00AE141E" w:rsidRDefault="00FB107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My gratitude is due to the staff of the Ahmed Iqbal Ullah RACE Centre and Education Trust, who welcomed me as part of their team for three months </w:t>
      </w:r>
      <w:r w:rsidR="00EF1DB4" w:rsidRPr="00AE141E">
        <w:rPr>
          <w:rFonts w:ascii="Times New Roman" w:hAnsi="Times New Roman" w:cs="Times New Roman"/>
          <w:sz w:val="24"/>
          <w:szCs w:val="24"/>
        </w:rPr>
        <w:t>during my</w:t>
      </w:r>
      <w:r w:rsidRPr="00AE141E">
        <w:rPr>
          <w:rFonts w:ascii="Times New Roman" w:hAnsi="Times New Roman" w:cs="Times New Roman"/>
          <w:sz w:val="24"/>
          <w:szCs w:val="24"/>
        </w:rPr>
        <w:t xml:space="preserve"> PhD. I </w:t>
      </w:r>
      <w:r w:rsidR="008801E2">
        <w:rPr>
          <w:rFonts w:ascii="Times New Roman" w:hAnsi="Times New Roman" w:cs="Times New Roman"/>
          <w:sz w:val="24"/>
          <w:szCs w:val="24"/>
        </w:rPr>
        <w:t>was</w:t>
      </w:r>
      <w:r w:rsidRPr="00AE141E">
        <w:rPr>
          <w:rFonts w:ascii="Times New Roman" w:hAnsi="Times New Roman" w:cs="Times New Roman"/>
          <w:sz w:val="24"/>
          <w:szCs w:val="24"/>
        </w:rPr>
        <w:t xml:space="preserve"> privileged to </w:t>
      </w:r>
      <w:r w:rsidR="00566506" w:rsidRPr="00AE141E">
        <w:rPr>
          <w:rFonts w:ascii="Times New Roman" w:hAnsi="Times New Roman" w:cs="Times New Roman"/>
          <w:sz w:val="24"/>
          <w:szCs w:val="24"/>
        </w:rPr>
        <w:t>be</w:t>
      </w:r>
      <w:r w:rsidRPr="00AE141E">
        <w:rPr>
          <w:rFonts w:ascii="Times New Roman" w:hAnsi="Times New Roman" w:cs="Times New Roman"/>
          <w:sz w:val="24"/>
          <w:szCs w:val="24"/>
        </w:rPr>
        <w:t xml:space="preserve"> part of your important work of documenting and preserving Greater Manchester’s rich anti-racist </w:t>
      </w:r>
      <w:r w:rsidR="00566506" w:rsidRPr="00AE141E">
        <w:rPr>
          <w:rFonts w:ascii="Times New Roman" w:hAnsi="Times New Roman" w:cs="Times New Roman"/>
          <w:sz w:val="24"/>
          <w:szCs w:val="24"/>
        </w:rPr>
        <w:t>history, however briefly</w:t>
      </w:r>
      <w:r w:rsidRPr="00AE141E">
        <w:rPr>
          <w:rFonts w:ascii="Times New Roman" w:hAnsi="Times New Roman" w:cs="Times New Roman"/>
          <w:sz w:val="24"/>
          <w:szCs w:val="24"/>
        </w:rPr>
        <w:t>. The Centre’s collections exerted a formative influence on the third chapter of this thesis. More importantly, its work confirms the arguments made by many of the anti-racist and anti-imperial organisers I quote therein: understanding our own histor</w:t>
      </w:r>
      <w:r w:rsidR="00BC0F65" w:rsidRPr="00AE141E">
        <w:rPr>
          <w:rFonts w:ascii="Times New Roman" w:hAnsi="Times New Roman" w:cs="Times New Roman"/>
          <w:sz w:val="24"/>
          <w:szCs w:val="24"/>
        </w:rPr>
        <w:t>y</w:t>
      </w:r>
      <w:r w:rsidRPr="00AE141E">
        <w:rPr>
          <w:rFonts w:ascii="Times New Roman" w:hAnsi="Times New Roman" w:cs="Times New Roman"/>
          <w:sz w:val="24"/>
          <w:szCs w:val="24"/>
        </w:rPr>
        <w:t xml:space="preserve"> provides a vital foundation for present and future resistance.</w:t>
      </w:r>
    </w:p>
    <w:p w14:paraId="0AED16DA" w14:textId="26C84AA2" w:rsidR="00FB1076" w:rsidRPr="00AE141E" w:rsidRDefault="00FB107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 </w:t>
      </w:r>
      <w:r w:rsidR="00167904" w:rsidRPr="00AE141E">
        <w:rPr>
          <w:rFonts w:ascii="Times New Roman" w:hAnsi="Times New Roman" w:cs="Times New Roman"/>
          <w:sz w:val="24"/>
          <w:szCs w:val="24"/>
        </w:rPr>
        <w:t>feel fortunate to have enjoyed</w:t>
      </w:r>
      <w:r w:rsidRPr="00AE141E">
        <w:rPr>
          <w:rFonts w:ascii="Times New Roman" w:hAnsi="Times New Roman" w:cs="Times New Roman"/>
          <w:sz w:val="24"/>
          <w:szCs w:val="24"/>
        </w:rPr>
        <w:t xml:space="preserve"> many chance or casual conversations which have influenced the writing of this thesis. In particular, I wish to thank Julie Pearn, who discussed her own experiences and kindly sent me a copy of her work (co-authored with Maushumi Roy) on </w:t>
      </w:r>
      <w:r w:rsidRPr="00AE141E">
        <w:rPr>
          <w:rFonts w:ascii="Times New Roman" w:hAnsi="Times New Roman" w:cs="Times New Roman"/>
          <w:i/>
          <w:iCs/>
          <w:sz w:val="24"/>
          <w:szCs w:val="24"/>
        </w:rPr>
        <w:t>E.R.A. and the Black Child in Secondary School</w:t>
      </w:r>
      <w:r w:rsidRPr="00AE141E">
        <w:rPr>
          <w:rFonts w:ascii="Times New Roman" w:hAnsi="Times New Roman" w:cs="Times New Roman"/>
          <w:sz w:val="24"/>
          <w:szCs w:val="24"/>
        </w:rPr>
        <w:t xml:space="preserve">. Sheffield is a city in which traditions of resistance are alive and well, and I </w:t>
      </w:r>
      <w:r w:rsidR="005D4D14" w:rsidRPr="00AE141E">
        <w:rPr>
          <w:rFonts w:ascii="Times New Roman" w:hAnsi="Times New Roman" w:cs="Times New Roman"/>
          <w:sz w:val="24"/>
          <w:szCs w:val="24"/>
        </w:rPr>
        <w:t>am grateful</w:t>
      </w:r>
      <w:r w:rsidRPr="00AE141E">
        <w:rPr>
          <w:rFonts w:ascii="Times New Roman" w:hAnsi="Times New Roman" w:cs="Times New Roman"/>
          <w:sz w:val="24"/>
          <w:szCs w:val="24"/>
        </w:rPr>
        <w:t xml:space="preserve"> for the knowledge and memories which neighbours, fellow-campaigners, and virtual strangers have shared with me over the half decade I have lived here.</w:t>
      </w:r>
    </w:p>
    <w:p w14:paraId="0DFA9B91" w14:textId="77777777" w:rsidR="00AE141E" w:rsidRDefault="00FB107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Last, but certainly not least, I wish to thank the family, friends, and teachers who have so fundamentally shaped my own development as a student and as a historian. This thesis demonstrates the massive impact that committed teachers can have on </w:t>
      </w:r>
      <w:r w:rsidR="00426B65" w:rsidRPr="00AE141E">
        <w:rPr>
          <w:rFonts w:ascii="Times New Roman" w:hAnsi="Times New Roman" w:cs="Times New Roman"/>
          <w:sz w:val="24"/>
          <w:szCs w:val="24"/>
        </w:rPr>
        <w:t>the lives of their students</w:t>
      </w:r>
      <w:r w:rsidRPr="00AE141E">
        <w:rPr>
          <w:rFonts w:ascii="Times New Roman" w:hAnsi="Times New Roman" w:cs="Times New Roman"/>
          <w:sz w:val="24"/>
          <w:szCs w:val="24"/>
        </w:rPr>
        <w:t xml:space="preserve">. I was extraordinarily lucky to be taught for two years by Gillian Wayne (Mrs Wayne). Her kindness and support fostered my love of history and certainly influenced my </w:t>
      </w:r>
      <w:r w:rsidRPr="00AE141E">
        <w:rPr>
          <w:rFonts w:ascii="Times New Roman" w:hAnsi="Times New Roman" w:cs="Times New Roman"/>
          <w:sz w:val="24"/>
          <w:szCs w:val="24"/>
        </w:rPr>
        <w:lastRenderedPageBreak/>
        <w:t xml:space="preserve">decision to continue my studies beyond school. Likewise, I feel deeply fortunate that my parents and grandparents modelled the type of ‘kitchen table’ history that I describe in Chapter 3. Much of my historical education has taken place at home, and I hope that this work accurately reflects some of what I have learned through the generosity of my family. My thanks are due also to the Rachel and Cai, whose support has been unwavering and for whose friendship I am immensely grateful. Finally, my thanks to Rufus, who has been by my side the last three years (and beyond) and whose love and kindness mean so </w:t>
      </w:r>
      <w:r w:rsidR="00AE141E" w:rsidRPr="00AE141E">
        <w:rPr>
          <w:rFonts w:ascii="Times New Roman" w:hAnsi="Times New Roman" w:cs="Times New Roman"/>
          <w:sz w:val="24"/>
          <w:szCs w:val="24"/>
        </w:rPr>
        <w:t xml:space="preserve">much. </w:t>
      </w:r>
    </w:p>
    <w:p w14:paraId="7175FF22" w14:textId="6F2EBB32" w:rsidR="0046442B" w:rsidRPr="0046442B" w:rsidRDefault="0046442B" w:rsidP="0046442B">
      <w:pPr>
        <w:spacing w:line="360" w:lineRule="auto"/>
        <w:rPr>
          <w:rFonts w:ascii="Times New Roman" w:hAnsi="Times New Roman" w:cs="Times New Roman"/>
          <w:i/>
          <w:iCs/>
          <w:sz w:val="24"/>
          <w:szCs w:val="24"/>
        </w:rPr>
      </w:pPr>
      <w:r w:rsidRPr="0046442B">
        <w:rPr>
          <w:rFonts w:ascii="Times New Roman" w:hAnsi="Times New Roman" w:cs="Times New Roman"/>
          <w:i/>
          <w:iCs/>
          <w:sz w:val="24"/>
          <w:szCs w:val="24"/>
          <w:lang w:val="en-US"/>
        </w:rPr>
        <w:t>This work was supported by the Arts &amp; Humanities Research Council (grant number AH/R012733/1) through the White Rose College of the Arts &amp; Humanities.</w:t>
      </w:r>
    </w:p>
    <w:p w14:paraId="413E3343" w14:textId="77777777" w:rsidR="0046442B" w:rsidRPr="00AE141E" w:rsidRDefault="0046442B" w:rsidP="00AE141E">
      <w:pPr>
        <w:spacing w:line="360" w:lineRule="auto"/>
        <w:rPr>
          <w:rFonts w:ascii="Times New Roman" w:hAnsi="Times New Roman" w:cs="Times New Roman"/>
          <w:sz w:val="24"/>
          <w:szCs w:val="24"/>
        </w:rPr>
      </w:pPr>
    </w:p>
    <w:p w14:paraId="36B982BB"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br w:type="page"/>
      </w:r>
    </w:p>
    <w:p w14:paraId="17A0238A" w14:textId="622EC146" w:rsidR="00AE141E" w:rsidRDefault="00AE141E" w:rsidP="00CA2101">
      <w:pPr>
        <w:pStyle w:val="Heading1"/>
      </w:pPr>
      <w:bookmarkStart w:id="3" w:name="_Toc193726225"/>
      <w:r w:rsidRPr="00DF0C4F">
        <w:lastRenderedPageBreak/>
        <w:t>Abbreviations</w:t>
      </w:r>
      <w:bookmarkEnd w:id="3"/>
    </w:p>
    <w:p w14:paraId="38830CDB" w14:textId="77777777" w:rsidR="00CA2101" w:rsidRPr="00CA2101" w:rsidRDefault="00CA2101" w:rsidP="00CA2101"/>
    <w:p w14:paraId="75802A37"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 Level – Advanced Level</w:t>
      </w:r>
    </w:p>
    <w:p w14:paraId="50E06BF4"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ACD – Association for Curriculum Development</w:t>
      </w:r>
    </w:p>
    <w:p w14:paraId="4C9A3FBD"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ACER – Afro-Caribbean Education Resource Project</w:t>
      </w:r>
    </w:p>
    <w:p w14:paraId="548C162B"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AEB – Associated Examining Board</w:t>
      </w:r>
    </w:p>
    <w:p w14:paraId="1D3B47AA"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AFFOR – All Faiths for One Race</w:t>
      </w:r>
    </w:p>
    <w:p w14:paraId="063908A6"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ALTARF – All London Teachers Against Racism and Fascism</w:t>
      </w:r>
    </w:p>
    <w:p w14:paraId="550D6B25"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AMA – Assistant Masters Association</w:t>
      </w:r>
    </w:p>
    <w:p w14:paraId="7ED45609"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AT – Attainment Target</w:t>
      </w:r>
    </w:p>
    <w:p w14:paraId="32F5912E"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BBC – British Broadcasting Association</w:t>
      </w:r>
    </w:p>
    <w:p w14:paraId="11CF5992"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BEM – Black Education Movement</w:t>
      </w:r>
    </w:p>
    <w:p w14:paraId="5AABF0EE"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CHTTG – Cambridge History Teaching Today Group</w:t>
      </w:r>
    </w:p>
    <w:p w14:paraId="1146D1D3"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CPS - Centre for Policy Studies</w:t>
      </w:r>
    </w:p>
    <w:p w14:paraId="64EC4CB0"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CRE – Commission for Racial Equality</w:t>
      </w:r>
    </w:p>
    <w:p w14:paraId="5846EF40"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CSE – Certificate of Secondary Education</w:t>
      </w:r>
    </w:p>
    <w:p w14:paraId="345558FF"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CUP – Cambridge University Press</w:t>
      </w:r>
    </w:p>
    <w:p w14:paraId="4943F3F2"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DES – Department of Education and Science</w:t>
      </w:r>
    </w:p>
    <w:p w14:paraId="4EF2656D"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ERA – Education Reform Act, 1988</w:t>
      </w:r>
    </w:p>
    <w:p w14:paraId="4429F09F"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ESN – Educationally Sub-normal</w:t>
      </w:r>
    </w:p>
    <w:p w14:paraId="1800DE6D"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GCSE – General Certificate of Secondary Education</w:t>
      </w:r>
    </w:p>
    <w:p w14:paraId="7461CD31"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GLC – Greater London Council</w:t>
      </w:r>
    </w:p>
    <w:p w14:paraId="6709C995"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GPI – George Padmore Institute</w:t>
      </w:r>
    </w:p>
    <w:p w14:paraId="7D8751D6"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HAG – History Advisory Group</w:t>
      </w:r>
    </w:p>
    <w:p w14:paraId="4B5B707C"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HAT – Human Awareness Training</w:t>
      </w:r>
    </w:p>
    <w:p w14:paraId="0DF714B3"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HC – House of Commons</w:t>
      </w:r>
    </w:p>
    <w:p w14:paraId="5AE1CDB9"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HCA – History Curriculum Association</w:t>
      </w:r>
    </w:p>
    <w:p w14:paraId="239E22FA"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HiEP - History in Education Project</w:t>
      </w:r>
    </w:p>
    <w:p w14:paraId="04B09276"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HL – House of Lords</w:t>
      </w:r>
    </w:p>
    <w:p w14:paraId="04EF70D8" w14:textId="5E5B2B46"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HMSO – Her Majesty’s Station</w:t>
      </w:r>
      <w:r w:rsidR="00A321AF">
        <w:rPr>
          <w:rFonts w:ascii="Times New Roman" w:hAnsi="Times New Roman" w:cs="Times New Roman"/>
          <w:sz w:val="24"/>
          <w:szCs w:val="24"/>
        </w:rPr>
        <w:t>e</w:t>
      </w:r>
      <w:r w:rsidRPr="00AE141E">
        <w:rPr>
          <w:rFonts w:ascii="Times New Roman" w:hAnsi="Times New Roman" w:cs="Times New Roman"/>
          <w:sz w:val="24"/>
          <w:szCs w:val="24"/>
        </w:rPr>
        <w:t>ry Office</w:t>
      </w:r>
    </w:p>
    <w:p w14:paraId="70C8B5E1"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HSU – History Study Unit</w:t>
      </w:r>
    </w:p>
    <w:p w14:paraId="5EF66768"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HTG – History Task Group</w:t>
      </w:r>
    </w:p>
    <w:p w14:paraId="2DE9E590"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HWG – History Working Group</w:t>
      </w:r>
    </w:p>
    <w:p w14:paraId="0118848E"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IHR – Institute of Historical Research</w:t>
      </w:r>
    </w:p>
    <w:p w14:paraId="24A1FAC1"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ILO – International Labour Organisation</w:t>
      </w:r>
    </w:p>
    <w:p w14:paraId="751D764F"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IoE – Institute of Education</w:t>
      </w:r>
    </w:p>
    <w:p w14:paraId="0650A2E3"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IOLR – India Office Library and Records</w:t>
      </w:r>
    </w:p>
    <w:p w14:paraId="5E8582CE"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IQ – Intelligence Quotient</w:t>
      </w:r>
    </w:p>
    <w:p w14:paraId="42F7F659"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IRR – Institute of Race Relations</w:t>
      </w:r>
    </w:p>
    <w:p w14:paraId="3DB2822F"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KS – Key Stage</w:t>
      </w:r>
    </w:p>
    <w:p w14:paraId="0439145A"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LEA – Local Education Authority</w:t>
      </w:r>
    </w:p>
    <w:p w14:paraId="1CCE7AEB" w14:textId="4FCA33DF"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LA</w:t>
      </w:r>
      <w:r w:rsidR="0096453B">
        <w:rPr>
          <w:rFonts w:ascii="Times New Roman" w:hAnsi="Times New Roman" w:cs="Times New Roman"/>
          <w:sz w:val="24"/>
          <w:szCs w:val="24"/>
        </w:rPr>
        <w:t>E</w:t>
      </w:r>
      <w:r w:rsidRPr="00AE141E">
        <w:rPr>
          <w:rFonts w:ascii="Times New Roman" w:hAnsi="Times New Roman" w:cs="Times New Roman"/>
          <w:sz w:val="24"/>
          <w:szCs w:val="24"/>
        </w:rPr>
        <w:t>G – London Auschwitz Education Group</w:t>
      </w:r>
    </w:p>
    <w:p w14:paraId="384E4205"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LHTA – London History Teachers’ Association</w:t>
      </w:r>
    </w:p>
    <w:p w14:paraId="2D477995"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LMA – London Metropolitan Archives</w:t>
      </w:r>
    </w:p>
    <w:p w14:paraId="2A1012B6"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MoE – Ministry of Education</w:t>
      </w:r>
    </w:p>
    <w:p w14:paraId="45AA91D4"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MP – Member of Parliament</w:t>
      </w:r>
    </w:p>
    <w:p w14:paraId="3BA95752"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MUP – Manchester University Press</w:t>
      </w:r>
    </w:p>
    <w:p w14:paraId="6A87AE71"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MWS – Modern World Studies</w:t>
      </w:r>
    </w:p>
    <w:p w14:paraId="723C1417"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MWSD – Modern World Studies Diary</w:t>
      </w:r>
    </w:p>
    <w:p w14:paraId="05DBBDE8"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NAL – National Archives, London</w:t>
      </w:r>
    </w:p>
    <w:p w14:paraId="5A111105"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NAME – National Association for Multi-Racial Education</w:t>
      </w:r>
    </w:p>
    <w:p w14:paraId="5BC6DF4E"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NASUWT – National Association of Schoolmasters/Union of Women Teachers</w:t>
      </w:r>
    </w:p>
    <w:p w14:paraId="7771A227"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NCC – National Curriculum Council</w:t>
      </w:r>
    </w:p>
    <w:p w14:paraId="5D66A4CF"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NUS – National Union of Students</w:t>
      </w:r>
    </w:p>
    <w:p w14:paraId="45CD6FBE"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NUT – National Union of Teachers</w:t>
      </w:r>
    </w:p>
    <w:p w14:paraId="75449DFE" w14:textId="52A7DEBB"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NWSSEB – </w:t>
      </w:r>
      <w:r w:rsidR="003E077F" w:rsidRPr="00AE141E">
        <w:rPr>
          <w:rFonts w:ascii="Times New Roman" w:hAnsi="Times New Roman" w:cs="Times New Roman"/>
          <w:sz w:val="24"/>
          <w:szCs w:val="24"/>
        </w:rPr>
        <w:t>North West</w:t>
      </w:r>
      <w:r w:rsidR="003E077F">
        <w:rPr>
          <w:rFonts w:ascii="Times New Roman" w:hAnsi="Times New Roman" w:cs="Times New Roman"/>
          <w:sz w:val="24"/>
          <w:szCs w:val="24"/>
        </w:rPr>
        <w:t>ern</w:t>
      </w:r>
      <w:r w:rsidR="003E077F" w:rsidRPr="00AE141E">
        <w:rPr>
          <w:rFonts w:ascii="Times New Roman" w:hAnsi="Times New Roman" w:cs="Times New Roman"/>
          <w:sz w:val="24"/>
          <w:szCs w:val="24"/>
        </w:rPr>
        <w:t xml:space="preserve"> Secondary School</w:t>
      </w:r>
      <w:r w:rsidR="003E077F">
        <w:rPr>
          <w:rFonts w:ascii="Times New Roman" w:hAnsi="Times New Roman" w:cs="Times New Roman"/>
          <w:sz w:val="24"/>
          <w:szCs w:val="24"/>
        </w:rPr>
        <w:t>s</w:t>
      </w:r>
      <w:r w:rsidR="003E077F" w:rsidRPr="00AE141E">
        <w:rPr>
          <w:rFonts w:ascii="Times New Roman" w:hAnsi="Times New Roman" w:cs="Times New Roman"/>
          <w:sz w:val="24"/>
          <w:szCs w:val="24"/>
        </w:rPr>
        <w:t xml:space="preserve"> Examination Board</w:t>
      </w:r>
    </w:p>
    <w:p w14:paraId="646E0E89"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O Level – Ordinary Level</w:t>
      </w:r>
    </w:p>
    <w:p w14:paraId="6D3081F2"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OCR – Oxford, Cambridge, and Royal Society of Arts Examinations Board</w:t>
      </w:r>
    </w:p>
    <w:p w14:paraId="78F61B7E" w14:textId="61FC8AA1"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OFSTED – Office for Standards in Education, Children</w:t>
      </w:r>
      <w:r w:rsidR="004E1EA5">
        <w:rPr>
          <w:rFonts w:ascii="Times New Roman" w:hAnsi="Times New Roman" w:cs="Times New Roman"/>
          <w:sz w:val="24"/>
          <w:szCs w:val="24"/>
        </w:rPr>
        <w:t>’</w:t>
      </w:r>
      <w:r w:rsidRPr="00AE141E">
        <w:rPr>
          <w:rFonts w:ascii="Times New Roman" w:hAnsi="Times New Roman" w:cs="Times New Roman"/>
          <w:sz w:val="24"/>
          <w:szCs w:val="24"/>
        </w:rPr>
        <w:t>s Services and Skills</w:t>
      </w:r>
    </w:p>
    <w:p w14:paraId="1489B746"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OUP – Oxford University Press</w:t>
      </w:r>
    </w:p>
    <w:p w14:paraId="0248ADB5"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PACE – Parental Alliance for Choice in Education</w:t>
      </w:r>
    </w:p>
    <w:p w14:paraId="393CB1DA"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PGWG – Parliamentary Group for World Government</w:t>
      </w:r>
    </w:p>
    <w:p w14:paraId="687FBB68"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RAPU – Racism Awareness Programme Unit</w:t>
      </w:r>
    </w:p>
    <w:p w14:paraId="07457301" w14:textId="77777777" w:rsidR="00AE141E" w:rsidRPr="00AE141E" w:rsidRDefault="00AE141E" w:rsidP="00AE141E">
      <w:pPr>
        <w:spacing w:line="360" w:lineRule="auto"/>
        <w:rPr>
          <w:rFonts w:ascii="Times New Roman" w:hAnsi="Times New Roman" w:cs="Times New Roman"/>
          <w:b/>
          <w:bCs/>
          <w:sz w:val="24"/>
          <w:szCs w:val="24"/>
        </w:rPr>
      </w:pPr>
      <w:r w:rsidRPr="00AE141E">
        <w:rPr>
          <w:rFonts w:ascii="Times New Roman" w:hAnsi="Times New Roman" w:cs="Times New Roman"/>
          <w:sz w:val="24"/>
          <w:szCs w:val="24"/>
        </w:rPr>
        <w:t>RAT – Racism Awareness Training</w:t>
      </w:r>
    </w:p>
    <w:p w14:paraId="0E59A843"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SAT - Standard Assessment Tests</w:t>
      </w:r>
    </w:p>
    <w:p w14:paraId="2098BCFA"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SCAA – School Curriculum and Assessment Authority</w:t>
      </w:r>
    </w:p>
    <w:p w14:paraId="1E9683DC" w14:textId="77777777" w:rsid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SCHP – Schools Council History Project</w:t>
      </w:r>
    </w:p>
    <w:p w14:paraId="1B669975" w14:textId="3F1D0D54" w:rsidR="00191760" w:rsidRPr="00AE141E" w:rsidRDefault="00191760" w:rsidP="00AE141E">
      <w:pPr>
        <w:spacing w:line="360" w:lineRule="auto"/>
        <w:rPr>
          <w:rFonts w:ascii="Times New Roman" w:hAnsi="Times New Roman" w:cs="Times New Roman"/>
          <w:sz w:val="24"/>
          <w:szCs w:val="24"/>
        </w:rPr>
      </w:pPr>
      <w:r>
        <w:rPr>
          <w:rFonts w:ascii="Times New Roman" w:hAnsi="Times New Roman" w:cs="Times New Roman"/>
          <w:sz w:val="24"/>
          <w:szCs w:val="24"/>
        </w:rPr>
        <w:t xml:space="preserve">SDEC – </w:t>
      </w:r>
      <w:r w:rsidRPr="00AE141E">
        <w:rPr>
          <w:rFonts w:ascii="Times New Roman" w:hAnsi="Times New Roman" w:cs="Times New Roman"/>
          <w:sz w:val="24"/>
          <w:szCs w:val="24"/>
        </w:rPr>
        <w:t>Sheffield</w:t>
      </w:r>
      <w:r>
        <w:rPr>
          <w:rFonts w:ascii="Times New Roman" w:hAnsi="Times New Roman" w:cs="Times New Roman"/>
          <w:sz w:val="24"/>
          <w:szCs w:val="24"/>
        </w:rPr>
        <w:t xml:space="preserve"> </w:t>
      </w:r>
      <w:r w:rsidRPr="00AE141E">
        <w:rPr>
          <w:rFonts w:ascii="Times New Roman" w:hAnsi="Times New Roman" w:cs="Times New Roman"/>
          <w:sz w:val="24"/>
          <w:szCs w:val="24"/>
        </w:rPr>
        <w:t>Development Education Centre</w:t>
      </w:r>
    </w:p>
    <w:p w14:paraId="0F4D5BE0" w14:textId="391DE2FC" w:rsid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SDHSU – School Designed History Study Unit</w:t>
      </w:r>
      <w:r w:rsidR="00322A17">
        <w:rPr>
          <w:rFonts w:ascii="Times New Roman" w:hAnsi="Times New Roman" w:cs="Times New Roman"/>
          <w:sz w:val="24"/>
          <w:szCs w:val="24"/>
        </w:rPr>
        <w:t>s</w:t>
      </w:r>
    </w:p>
    <w:p w14:paraId="0EB404A7" w14:textId="76F8929F" w:rsidR="00322A17" w:rsidRPr="00AE141E" w:rsidRDefault="00322A17" w:rsidP="00AE141E">
      <w:pPr>
        <w:spacing w:line="360" w:lineRule="auto"/>
        <w:rPr>
          <w:rFonts w:ascii="Times New Roman" w:hAnsi="Times New Roman" w:cs="Times New Roman"/>
          <w:sz w:val="24"/>
          <w:szCs w:val="24"/>
        </w:rPr>
      </w:pPr>
      <w:r>
        <w:rPr>
          <w:rFonts w:ascii="Times New Roman" w:hAnsi="Times New Roman" w:cs="Times New Roman"/>
          <w:sz w:val="24"/>
          <w:szCs w:val="24"/>
        </w:rPr>
        <w:t>SDT – School Designed Themes</w:t>
      </w:r>
    </w:p>
    <w:p w14:paraId="25CA68C2"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SEAC – School Examinations Assessment Council</w:t>
      </w:r>
    </w:p>
    <w:p w14:paraId="61219FC9"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SESC – ‘Secondary Education and Social Change in the United Kingdom since 1945’</w:t>
      </w:r>
    </w:p>
    <w:p w14:paraId="61FBBC88"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SOAS – School of Oriental and African Studies</w:t>
      </w:r>
    </w:p>
    <w:p w14:paraId="117C976F"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TAR – Teachers Against Racism</w:t>
      </w:r>
    </w:p>
    <w:p w14:paraId="73CA319F"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TES – </w:t>
      </w:r>
      <w:r w:rsidRPr="00AE141E">
        <w:rPr>
          <w:rFonts w:ascii="Times New Roman" w:hAnsi="Times New Roman" w:cs="Times New Roman"/>
          <w:i/>
          <w:iCs/>
          <w:sz w:val="24"/>
          <w:szCs w:val="24"/>
        </w:rPr>
        <w:t>Times Educational Supplement</w:t>
      </w:r>
    </w:p>
    <w:p w14:paraId="2EDE98B9"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TV – Television</w:t>
      </w:r>
    </w:p>
    <w:p w14:paraId="2C95C3B4" w14:textId="77777777" w:rsid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UCLES – University of Cambridge Local Examinations Syndicate</w:t>
      </w:r>
    </w:p>
    <w:p w14:paraId="274659FC" w14:textId="4B08E0DB" w:rsidR="001A78F4" w:rsidRPr="00AE141E" w:rsidRDefault="001A78F4" w:rsidP="00AE141E">
      <w:pPr>
        <w:spacing w:line="360" w:lineRule="auto"/>
        <w:rPr>
          <w:rFonts w:ascii="Times New Roman" w:hAnsi="Times New Roman" w:cs="Times New Roman"/>
          <w:sz w:val="24"/>
          <w:szCs w:val="24"/>
        </w:rPr>
      </w:pPr>
      <w:r>
        <w:rPr>
          <w:rFonts w:ascii="Times New Roman" w:hAnsi="Times New Roman" w:cs="Times New Roman"/>
          <w:sz w:val="24"/>
          <w:szCs w:val="24"/>
        </w:rPr>
        <w:t>UN – United Nations</w:t>
      </w:r>
    </w:p>
    <w:p w14:paraId="0881A9B5"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UNESCO – United Nations Educational, Scientific and Cultural Organization</w:t>
      </w:r>
    </w:p>
    <w:p w14:paraId="71584C02" w14:textId="77777777" w:rsidR="00AE141E" w:rsidRPr="00AE141E" w:rsidRDefault="00AE141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WCC – World Council of Churches</w:t>
      </w:r>
    </w:p>
    <w:p w14:paraId="1B61F27B" w14:textId="50132D71" w:rsidR="0066245A" w:rsidRDefault="0066245A">
      <w:pPr>
        <w:rPr>
          <w:rFonts w:ascii="Times New Roman" w:hAnsi="Times New Roman" w:cs="Times New Roman"/>
          <w:sz w:val="24"/>
          <w:szCs w:val="24"/>
        </w:rPr>
      </w:pPr>
      <w:r>
        <w:rPr>
          <w:rFonts w:ascii="Times New Roman" w:hAnsi="Times New Roman" w:cs="Times New Roman"/>
          <w:sz w:val="24"/>
          <w:szCs w:val="24"/>
        </w:rPr>
        <w:br w:type="page"/>
      </w:r>
    </w:p>
    <w:sdt>
      <w:sdtPr>
        <w:rPr>
          <w:rFonts w:ascii="Aptos" w:eastAsiaTheme="minorHAnsi" w:hAnsi="Aptos" w:cstheme="minorBidi"/>
          <w:b w:val="0"/>
          <w:bCs w:val="0"/>
          <w:iCs w:val="0"/>
          <w:sz w:val="22"/>
          <w:szCs w:val="20"/>
          <w:lang w:val="en-GB"/>
        </w:rPr>
        <w:id w:val="677934594"/>
        <w:docPartObj>
          <w:docPartGallery w:val="Table of Contents"/>
          <w:docPartUnique/>
        </w:docPartObj>
      </w:sdtPr>
      <w:sdtEndPr>
        <w:rPr>
          <w:noProof/>
        </w:rPr>
      </w:sdtEndPr>
      <w:sdtContent>
        <w:p w14:paraId="4C553C9E" w14:textId="4F7D47B3" w:rsidR="0008588F" w:rsidRDefault="0008588F">
          <w:pPr>
            <w:pStyle w:val="TOCHeading"/>
          </w:pPr>
          <w:r w:rsidRPr="0076373E">
            <w:t>Contents</w:t>
          </w:r>
        </w:p>
        <w:p w14:paraId="6D708064" w14:textId="77777777" w:rsidR="0076373E" w:rsidRPr="00D41687" w:rsidRDefault="0076373E" w:rsidP="00D41687">
          <w:pPr>
            <w:spacing w:line="360" w:lineRule="auto"/>
            <w:rPr>
              <w:rFonts w:ascii="Times New Roman" w:hAnsi="Times New Roman" w:cs="Times New Roman"/>
              <w:sz w:val="24"/>
              <w:szCs w:val="24"/>
              <w:lang w:val="en-US"/>
            </w:rPr>
          </w:pPr>
        </w:p>
        <w:p w14:paraId="7BF4DB30" w14:textId="362915D7" w:rsidR="00D41687" w:rsidRPr="00D41687" w:rsidRDefault="0008588F"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r w:rsidRPr="00D41687">
            <w:rPr>
              <w:rFonts w:ascii="Times New Roman" w:hAnsi="Times New Roman"/>
              <w:sz w:val="24"/>
              <w:szCs w:val="24"/>
            </w:rPr>
            <w:fldChar w:fldCharType="begin"/>
          </w:r>
          <w:r w:rsidRPr="00D41687">
            <w:rPr>
              <w:rFonts w:ascii="Times New Roman" w:hAnsi="Times New Roman"/>
              <w:sz w:val="24"/>
              <w:szCs w:val="24"/>
            </w:rPr>
            <w:instrText xml:space="preserve"> TOC \o "1-3" \h \z \u </w:instrText>
          </w:r>
          <w:r w:rsidRPr="00D41687">
            <w:rPr>
              <w:rFonts w:ascii="Times New Roman" w:hAnsi="Times New Roman"/>
              <w:sz w:val="24"/>
              <w:szCs w:val="24"/>
            </w:rPr>
            <w:fldChar w:fldCharType="separate"/>
          </w:r>
          <w:hyperlink w:anchor="_Toc193726222" w:history="1">
            <w:r w:rsidR="00D41687" w:rsidRPr="00D41687">
              <w:rPr>
                <w:rStyle w:val="Hyperlink"/>
                <w:rFonts w:ascii="Times New Roman" w:hAnsi="Times New Roman"/>
                <w:noProof/>
                <w:sz w:val="24"/>
                <w:szCs w:val="24"/>
              </w:rPr>
              <w:t>Abstract</w:t>
            </w:r>
            <w:r w:rsidR="00D41687" w:rsidRPr="00D41687">
              <w:rPr>
                <w:rFonts w:ascii="Times New Roman" w:hAnsi="Times New Roman"/>
                <w:noProof/>
                <w:webHidden/>
                <w:sz w:val="24"/>
                <w:szCs w:val="24"/>
              </w:rPr>
              <w:tab/>
            </w:r>
            <w:r w:rsidR="00D41687" w:rsidRPr="00D41687">
              <w:rPr>
                <w:rFonts w:ascii="Times New Roman" w:hAnsi="Times New Roman"/>
                <w:noProof/>
                <w:webHidden/>
                <w:sz w:val="24"/>
                <w:szCs w:val="24"/>
              </w:rPr>
              <w:fldChar w:fldCharType="begin"/>
            </w:r>
            <w:r w:rsidR="00D41687" w:rsidRPr="00D41687">
              <w:rPr>
                <w:rFonts w:ascii="Times New Roman" w:hAnsi="Times New Roman"/>
                <w:noProof/>
                <w:webHidden/>
                <w:sz w:val="24"/>
                <w:szCs w:val="24"/>
              </w:rPr>
              <w:instrText xml:space="preserve"> PAGEREF _Toc193726222 \h </w:instrText>
            </w:r>
            <w:r w:rsidR="00D41687" w:rsidRPr="00D41687">
              <w:rPr>
                <w:rFonts w:ascii="Times New Roman" w:hAnsi="Times New Roman"/>
                <w:noProof/>
                <w:webHidden/>
                <w:sz w:val="24"/>
                <w:szCs w:val="24"/>
              </w:rPr>
            </w:r>
            <w:r w:rsidR="00D41687"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2</w:t>
            </w:r>
            <w:r w:rsidR="00D41687" w:rsidRPr="00D41687">
              <w:rPr>
                <w:rFonts w:ascii="Times New Roman" w:hAnsi="Times New Roman"/>
                <w:noProof/>
                <w:webHidden/>
                <w:sz w:val="24"/>
                <w:szCs w:val="24"/>
              </w:rPr>
              <w:fldChar w:fldCharType="end"/>
            </w:r>
          </w:hyperlink>
        </w:p>
        <w:p w14:paraId="7B89B94B" w14:textId="006E7AFD"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23" w:history="1">
            <w:r w:rsidRPr="00D41687">
              <w:rPr>
                <w:rStyle w:val="Hyperlink"/>
                <w:rFonts w:ascii="Times New Roman" w:eastAsia="Times New Roman" w:hAnsi="Times New Roman"/>
                <w:noProof/>
                <w:sz w:val="24"/>
                <w:szCs w:val="24"/>
                <w:lang w:eastAsia="en-GB"/>
              </w:rPr>
              <w:t>Declaration</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_Toc193726223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3</w:t>
            </w:r>
            <w:r w:rsidRPr="00D41687">
              <w:rPr>
                <w:rFonts w:ascii="Times New Roman" w:hAnsi="Times New Roman"/>
                <w:noProof/>
                <w:webHidden/>
                <w:sz w:val="24"/>
                <w:szCs w:val="24"/>
              </w:rPr>
              <w:fldChar w:fldCharType="end"/>
            </w:r>
          </w:hyperlink>
        </w:p>
        <w:p w14:paraId="6D9671FF" w14:textId="6C771C51"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24" w:history="1">
            <w:r w:rsidRPr="00D41687">
              <w:rPr>
                <w:rStyle w:val="Hyperlink"/>
                <w:rFonts w:ascii="Times New Roman" w:hAnsi="Times New Roman"/>
                <w:noProof/>
                <w:sz w:val="24"/>
                <w:szCs w:val="24"/>
              </w:rPr>
              <w:t>Acknowledgements</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_Toc193726224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4</w:t>
            </w:r>
            <w:r w:rsidRPr="00D41687">
              <w:rPr>
                <w:rFonts w:ascii="Times New Roman" w:hAnsi="Times New Roman"/>
                <w:noProof/>
                <w:webHidden/>
                <w:sz w:val="24"/>
                <w:szCs w:val="24"/>
              </w:rPr>
              <w:fldChar w:fldCharType="end"/>
            </w:r>
          </w:hyperlink>
        </w:p>
        <w:p w14:paraId="3FA0384D" w14:textId="29D96A16"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25" w:history="1">
            <w:r w:rsidRPr="00D41687">
              <w:rPr>
                <w:rStyle w:val="Hyperlink"/>
                <w:rFonts w:ascii="Times New Roman" w:hAnsi="Times New Roman"/>
                <w:noProof/>
                <w:sz w:val="24"/>
                <w:szCs w:val="24"/>
              </w:rPr>
              <w:t>Abbreviations</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_Toc193726225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6</w:t>
            </w:r>
            <w:r w:rsidRPr="00D41687">
              <w:rPr>
                <w:rFonts w:ascii="Times New Roman" w:hAnsi="Times New Roman"/>
                <w:noProof/>
                <w:webHidden/>
                <w:sz w:val="24"/>
                <w:szCs w:val="24"/>
              </w:rPr>
              <w:fldChar w:fldCharType="end"/>
            </w:r>
          </w:hyperlink>
        </w:p>
        <w:p w14:paraId="009CB4C6" w14:textId="47342DF1"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26" w:history="1">
            <w:r w:rsidRPr="00D41687">
              <w:rPr>
                <w:rStyle w:val="Hyperlink"/>
                <w:rFonts w:ascii="Times New Roman" w:hAnsi="Times New Roman"/>
                <w:noProof/>
                <w:sz w:val="24"/>
                <w:szCs w:val="24"/>
              </w:rPr>
              <w:t>A Note on Terminology</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_Toc193726226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11</w:t>
            </w:r>
            <w:r w:rsidRPr="00D41687">
              <w:rPr>
                <w:rFonts w:ascii="Times New Roman" w:hAnsi="Times New Roman"/>
                <w:noProof/>
                <w:webHidden/>
                <w:sz w:val="24"/>
                <w:szCs w:val="24"/>
              </w:rPr>
              <w:fldChar w:fldCharType="end"/>
            </w:r>
          </w:hyperlink>
        </w:p>
        <w:p w14:paraId="16CFB865" w14:textId="43691F5A"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27" w:history="1">
            <w:r w:rsidRPr="00D41687">
              <w:rPr>
                <w:rStyle w:val="Hyperlink"/>
                <w:rFonts w:ascii="Times New Roman" w:eastAsia="Times New Roman" w:hAnsi="Times New Roman"/>
                <w:noProof/>
                <w:sz w:val="24"/>
                <w:szCs w:val="24"/>
              </w:rPr>
              <w:t>Introduction</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_Toc193726227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12</w:t>
            </w:r>
            <w:r w:rsidRPr="00D41687">
              <w:rPr>
                <w:rFonts w:ascii="Times New Roman" w:hAnsi="Times New Roman"/>
                <w:noProof/>
                <w:webHidden/>
                <w:sz w:val="24"/>
                <w:szCs w:val="24"/>
              </w:rPr>
              <w:fldChar w:fldCharType="end"/>
            </w:r>
          </w:hyperlink>
        </w:p>
        <w:p w14:paraId="39E1B177" w14:textId="042E2D9D"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28" w:history="1">
            <w:r w:rsidRPr="00D41687">
              <w:rPr>
                <w:rStyle w:val="Hyperlink"/>
                <w:rFonts w:ascii="Times New Roman" w:hAnsi="Times New Roman"/>
                <w:noProof/>
                <w:sz w:val="24"/>
                <w:szCs w:val="24"/>
              </w:rPr>
              <w:t>1. A Decline, not a Fall: Empire and Commonwealth History in English Classrooms, 1945-1965</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_Toc193726228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54</w:t>
            </w:r>
            <w:r w:rsidRPr="00D41687">
              <w:rPr>
                <w:rFonts w:ascii="Times New Roman" w:hAnsi="Times New Roman"/>
                <w:noProof/>
                <w:webHidden/>
                <w:sz w:val="24"/>
                <w:szCs w:val="24"/>
              </w:rPr>
              <w:fldChar w:fldCharType="end"/>
            </w:r>
          </w:hyperlink>
        </w:p>
        <w:p w14:paraId="2261FF1B" w14:textId="49AAC269"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29" w:history="1">
            <w:r w:rsidRPr="00D41687">
              <w:rPr>
                <w:rStyle w:val="Hyperlink"/>
                <w:rFonts w:ascii="Times New Roman" w:hAnsi="Times New Roman"/>
                <w:noProof/>
                <w:sz w:val="24"/>
                <w:szCs w:val="24"/>
              </w:rPr>
              <w:t>2. The World in the Classroom, 1965-1985</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_Toc193726229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77</w:t>
            </w:r>
            <w:r w:rsidRPr="00D41687">
              <w:rPr>
                <w:rFonts w:ascii="Times New Roman" w:hAnsi="Times New Roman"/>
                <w:noProof/>
                <w:webHidden/>
                <w:sz w:val="24"/>
                <w:szCs w:val="24"/>
              </w:rPr>
              <w:fldChar w:fldCharType="end"/>
            </w:r>
          </w:hyperlink>
        </w:p>
        <w:p w14:paraId="24847AF0" w14:textId="579A9841"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30" w:history="1">
            <w:r w:rsidRPr="00D41687">
              <w:rPr>
                <w:rStyle w:val="Hyperlink"/>
                <w:rFonts w:ascii="Times New Roman" w:hAnsi="Times New Roman"/>
                <w:noProof/>
                <w:sz w:val="24"/>
                <w:szCs w:val="24"/>
              </w:rPr>
              <w:t>3. The Young Warriors:</w:t>
            </w:r>
            <w:r w:rsidRPr="00D41687">
              <w:rPr>
                <w:rStyle w:val="Hyperlink"/>
                <w:rFonts w:ascii="Times New Roman" w:hAnsi="Times New Roman"/>
                <w:i/>
                <w:noProof/>
                <w:sz w:val="24"/>
                <w:szCs w:val="24"/>
              </w:rPr>
              <w:t xml:space="preserve"> </w:t>
            </w:r>
            <w:r w:rsidRPr="00D41687">
              <w:rPr>
                <w:rStyle w:val="Hyperlink"/>
                <w:rFonts w:ascii="Times New Roman" w:hAnsi="Times New Roman"/>
                <w:noProof/>
                <w:sz w:val="24"/>
                <w:szCs w:val="24"/>
              </w:rPr>
              <w:t>Race and Resistance in Education, 1965-1985</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_Toc193726230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112</w:t>
            </w:r>
            <w:r w:rsidRPr="00D41687">
              <w:rPr>
                <w:rFonts w:ascii="Times New Roman" w:hAnsi="Times New Roman"/>
                <w:noProof/>
                <w:webHidden/>
                <w:sz w:val="24"/>
                <w:szCs w:val="24"/>
              </w:rPr>
              <w:fldChar w:fldCharType="end"/>
            </w:r>
          </w:hyperlink>
        </w:p>
        <w:p w14:paraId="096D11A6" w14:textId="211C9262"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31" w:history="1">
            <w:r w:rsidRPr="00D41687">
              <w:rPr>
                <w:rStyle w:val="Hyperlink"/>
                <w:rFonts w:ascii="Times New Roman" w:hAnsi="Times New Roman"/>
                <w:noProof/>
                <w:sz w:val="24"/>
                <w:szCs w:val="24"/>
              </w:rPr>
              <w:t>4. The Conservative Backlash and the National Curriculum, 1979-1995</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_Toc193726231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195</w:t>
            </w:r>
            <w:r w:rsidRPr="00D41687">
              <w:rPr>
                <w:rFonts w:ascii="Times New Roman" w:hAnsi="Times New Roman"/>
                <w:noProof/>
                <w:webHidden/>
                <w:sz w:val="24"/>
                <w:szCs w:val="24"/>
              </w:rPr>
              <w:fldChar w:fldCharType="end"/>
            </w:r>
          </w:hyperlink>
        </w:p>
        <w:p w14:paraId="384AB338" w14:textId="0A0468E8"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32" w:history="1">
            <w:r w:rsidRPr="00D41687">
              <w:rPr>
                <w:rStyle w:val="Hyperlink"/>
                <w:rFonts w:ascii="Times New Roman" w:eastAsia="Times New Roman" w:hAnsi="Times New Roman"/>
                <w:noProof/>
                <w:sz w:val="24"/>
                <w:szCs w:val="24"/>
                <w:lang w:eastAsia="en-GB"/>
              </w:rPr>
              <w:t>Conclusion: The Imperial History Wars</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_Toc193726232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263</w:t>
            </w:r>
            <w:r w:rsidRPr="00D41687">
              <w:rPr>
                <w:rFonts w:ascii="Times New Roman" w:hAnsi="Times New Roman"/>
                <w:noProof/>
                <w:webHidden/>
                <w:sz w:val="24"/>
                <w:szCs w:val="24"/>
              </w:rPr>
              <w:fldChar w:fldCharType="end"/>
            </w:r>
          </w:hyperlink>
        </w:p>
        <w:p w14:paraId="24CA41BD" w14:textId="3E0D7E9D"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33" w:history="1">
            <w:r w:rsidRPr="00D41687">
              <w:rPr>
                <w:rStyle w:val="Hyperlink"/>
                <w:rFonts w:ascii="Times New Roman" w:eastAsia="Times New Roman" w:hAnsi="Times New Roman"/>
                <w:noProof/>
                <w:sz w:val="24"/>
                <w:szCs w:val="24"/>
                <w:lang w:eastAsia="en-GB"/>
              </w:rPr>
              <w:t>Appendices</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_Toc193726233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273</w:t>
            </w:r>
            <w:r w:rsidRPr="00D41687">
              <w:rPr>
                <w:rFonts w:ascii="Times New Roman" w:hAnsi="Times New Roman"/>
                <w:noProof/>
                <w:webHidden/>
                <w:sz w:val="24"/>
                <w:szCs w:val="24"/>
              </w:rPr>
              <w:fldChar w:fldCharType="end"/>
            </w:r>
          </w:hyperlink>
        </w:p>
        <w:p w14:paraId="7E48B3B1" w14:textId="0DADB7C6"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34" w:history="1">
            <w:r w:rsidRPr="00D41687">
              <w:rPr>
                <w:rStyle w:val="Hyperlink"/>
                <w:rFonts w:ascii="Times New Roman" w:hAnsi="Times New Roman"/>
                <w:noProof/>
                <w:sz w:val="24"/>
                <w:szCs w:val="24"/>
              </w:rPr>
              <w:t xml:space="preserve">Appendix A: The Schools Council History Project Exam Syllabus, as laid out in </w:t>
            </w:r>
            <w:r w:rsidRPr="00D41687">
              <w:rPr>
                <w:rStyle w:val="Hyperlink"/>
                <w:rFonts w:ascii="Times New Roman" w:hAnsi="Times New Roman"/>
                <w:i/>
                <w:noProof/>
                <w:sz w:val="24"/>
                <w:szCs w:val="24"/>
              </w:rPr>
              <w:t xml:space="preserve">A New Look at History </w:t>
            </w:r>
            <w:r w:rsidRPr="00D41687">
              <w:rPr>
                <w:rStyle w:val="Hyperlink"/>
                <w:rFonts w:ascii="Times New Roman" w:hAnsi="Times New Roman"/>
                <w:noProof/>
                <w:sz w:val="24"/>
                <w:szCs w:val="24"/>
              </w:rPr>
              <w:t>(1976)</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_Toc193726234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273</w:t>
            </w:r>
            <w:r w:rsidRPr="00D41687">
              <w:rPr>
                <w:rFonts w:ascii="Times New Roman" w:hAnsi="Times New Roman"/>
                <w:noProof/>
                <w:webHidden/>
                <w:sz w:val="24"/>
                <w:szCs w:val="24"/>
              </w:rPr>
              <w:fldChar w:fldCharType="end"/>
            </w:r>
          </w:hyperlink>
        </w:p>
        <w:p w14:paraId="46228ACE" w14:textId="4D67B36E"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35" w:history="1">
            <w:r w:rsidRPr="00D41687">
              <w:rPr>
                <w:rStyle w:val="Hyperlink"/>
                <w:rFonts w:ascii="Times New Roman" w:hAnsi="Times New Roman"/>
                <w:noProof/>
                <w:sz w:val="24"/>
                <w:szCs w:val="24"/>
              </w:rPr>
              <w:t>Appendix B: Members of the National Curriculum History Working Group</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_Toc193726235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275</w:t>
            </w:r>
            <w:r w:rsidRPr="00D41687">
              <w:rPr>
                <w:rFonts w:ascii="Times New Roman" w:hAnsi="Times New Roman"/>
                <w:noProof/>
                <w:webHidden/>
                <w:sz w:val="24"/>
                <w:szCs w:val="24"/>
              </w:rPr>
              <w:fldChar w:fldCharType="end"/>
            </w:r>
          </w:hyperlink>
        </w:p>
        <w:p w14:paraId="3633E444" w14:textId="3459DB3F"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36" w:history="1">
            <w:r w:rsidRPr="00D41687">
              <w:rPr>
                <w:rStyle w:val="Hyperlink"/>
                <w:rFonts w:ascii="Times New Roman" w:hAnsi="Times New Roman"/>
                <w:noProof/>
                <w:sz w:val="24"/>
                <w:szCs w:val="24"/>
              </w:rPr>
              <w:t>Appendix C: Contents of the National Curriculum (Prospective or Confirmed), 1989-1995</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_Toc193726236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277</w:t>
            </w:r>
            <w:r w:rsidRPr="00D41687">
              <w:rPr>
                <w:rFonts w:ascii="Times New Roman" w:hAnsi="Times New Roman"/>
                <w:noProof/>
                <w:webHidden/>
                <w:sz w:val="24"/>
                <w:szCs w:val="24"/>
              </w:rPr>
              <w:fldChar w:fldCharType="end"/>
            </w:r>
          </w:hyperlink>
        </w:p>
        <w:p w14:paraId="7FC8DFF6" w14:textId="156E5DC8" w:rsidR="00D41687" w:rsidRPr="00D41687" w:rsidRDefault="00D41687" w:rsidP="00D41687">
          <w:pPr>
            <w:pStyle w:val="TOC1"/>
            <w:tabs>
              <w:tab w:val="right" w:leader="dot" w:pos="9016"/>
            </w:tabs>
            <w:spacing w:line="360" w:lineRule="auto"/>
            <w:rPr>
              <w:rFonts w:ascii="Times New Roman" w:hAnsi="Times New Roman"/>
              <w:iCs w:val="0"/>
              <w:noProof/>
              <w:kern w:val="2"/>
              <w:sz w:val="24"/>
              <w:szCs w:val="24"/>
              <w:lang w:val="en-GB" w:eastAsia="en-GB"/>
              <w14:ligatures w14:val="standardContextual"/>
            </w:rPr>
          </w:pPr>
          <w:hyperlink w:anchor="_Toc193726237" w:history="1">
            <w:r w:rsidRPr="00D41687">
              <w:rPr>
                <w:rStyle w:val="Hyperlink"/>
                <w:rFonts w:ascii="Times New Roman" w:hAnsi="Times New Roman"/>
                <w:noProof/>
                <w:sz w:val="24"/>
                <w:szCs w:val="24"/>
              </w:rPr>
              <w:t>Bibliography</w:t>
            </w:r>
            <w:r w:rsidRPr="00D41687">
              <w:rPr>
                <w:rFonts w:ascii="Times New Roman" w:hAnsi="Times New Roman"/>
                <w:noProof/>
                <w:webHidden/>
                <w:sz w:val="24"/>
                <w:szCs w:val="24"/>
              </w:rPr>
              <w:tab/>
            </w:r>
            <w:r w:rsidRPr="00D41687">
              <w:rPr>
                <w:rFonts w:ascii="Times New Roman" w:hAnsi="Times New Roman"/>
                <w:noProof/>
                <w:webHidden/>
                <w:sz w:val="24"/>
                <w:szCs w:val="24"/>
              </w:rPr>
              <w:fldChar w:fldCharType="begin"/>
            </w:r>
            <w:r w:rsidRPr="00D41687">
              <w:rPr>
                <w:rFonts w:ascii="Times New Roman" w:hAnsi="Times New Roman"/>
                <w:noProof/>
                <w:webHidden/>
                <w:sz w:val="24"/>
                <w:szCs w:val="24"/>
              </w:rPr>
              <w:instrText xml:space="preserve"> PAGEREF _Toc193726237 \h </w:instrText>
            </w:r>
            <w:r w:rsidRPr="00D41687">
              <w:rPr>
                <w:rFonts w:ascii="Times New Roman" w:hAnsi="Times New Roman"/>
                <w:noProof/>
                <w:webHidden/>
                <w:sz w:val="24"/>
                <w:szCs w:val="24"/>
              </w:rPr>
            </w:r>
            <w:r w:rsidRPr="00D41687">
              <w:rPr>
                <w:rFonts w:ascii="Times New Roman" w:hAnsi="Times New Roman"/>
                <w:noProof/>
                <w:webHidden/>
                <w:sz w:val="24"/>
                <w:szCs w:val="24"/>
              </w:rPr>
              <w:fldChar w:fldCharType="separate"/>
            </w:r>
            <w:r w:rsidR="00FE7B06">
              <w:rPr>
                <w:rFonts w:ascii="Times New Roman" w:hAnsi="Times New Roman"/>
                <w:noProof/>
                <w:webHidden/>
                <w:sz w:val="24"/>
                <w:szCs w:val="24"/>
              </w:rPr>
              <w:t>284</w:t>
            </w:r>
            <w:r w:rsidRPr="00D41687">
              <w:rPr>
                <w:rFonts w:ascii="Times New Roman" w:hAnsi="Times New Roman"/>
                <w:noProof/>
                <w:webHidden/>
                <w:sz w:val="24"/>
                <w:szCs w:val="24"/>
              </w:rPr>
              <w:fldChar w:fldCharType="end"/>
            </w:r>
          </w:hyperlink>
        </w:p>
        <w:p w14:paraId="7D035C9A" w14:textId="5844E9B6" w:rsidR="0008588F" w:rsidRDefault="0008588F" w:rsidP="00D41687">
          <w:pPr>
            <w:spacing w:line="360" w:lineRule="auto"/>
          </w:pPr>
          <w:r w:rsidRPr="00D41687">
            <w:rPr>
              <w:rFonts w:ascii="Times New Roman" w:hAnsi="Times New Roman" w:cs="Times New Roman"/>
              <w:b/>
              <w:bCs/>
              <w:noProof/>
              <w:sz w:val="24"/>
              <w:szCs w:val="24"/>
            </w:rPr>
            <w:fldChar w:fldCharType="end"/>
          </w:r>
        </w:p>
      </w:sdtContent>
    </w:sdt>
    <w:p w14:paraId="0AC32CD5" w14:textId="77777777" w:rsidR="00AE141E" w:rsidRPr="00AE141E" w:rsidRDefault="00AE141E" w:rsidP="00AE141E">
      <w:pPr>
        <w:spacing w:line="360" w:lineRule="auto"/>
        <w:rPr>
          <w:rFonts w:ascii="Times New Roman" w:hAnsi="Times New Roman" w:cs="Times New Roman"/>
          <w:sz w:val="24"/>
          <w:szCs w:val="24"/>
        </w:rPr>
      </w:pPr>
    </w:p>
    <w:p w14:paraId="01434164" w14:textId="77777777" w:rsidR="00D41687" w:rsidRDefault="00AE141E" w:rsidP="00D41687">
      <w:pPr>
        <w:pStyle w:val="Heading1"/>
      </w:pPr>
      <w:r w:rsidRPr="00AE141E">
        <w:br w:type="page"/>
      </w:r>
      <w:bookmarkStart w:id="4" w:name="_Toc193726226"/>
      <w:r w:rsidR="00D41687" w:rsidRPr="00D41687">
        <w:lastRenderedPageBreak/>
        <w:t>A Note on Terminology</w:t>
      </w:r>
      <w:bookmarkEnd w:id="4"/>
    </w:p>
    <w:p w14:paraId="75121628" w14:textId="77777777" w:rsidR="00D41687" w:rsidRPr="00D41687" w:rsidRDefault="00D41687" w:rsidP="00D41687"/>
    <w:p w14:paraId="100D846A" w14:textId="77777777" w:rsidR="00C720F2" w:rsidRDefault="00D41687" w:rsidP="00D41687">
      <w:pPr>
        <w:spacing w:line="360" w:lineRule="auto"/>
        <w:rPr>
          <w:rFonts w:ascii="Times New Roman" w:hAnsi="Times New Roman" w:cs="Times New Roman"/>
          <w:sz w:val="24"/>
          <w:szCs w:val="24"/>
        </w:rPr>
      </w:pPr>
      <w:r w:rsidRPr="00701337">
        <w:rPr>
          <w:rFonts w:ascii="Times New Roman" w:hAnsi="Times New Roman" w:cs="Times New Roman"/>
          <w:sz w:val="24"/>
          <w:szCs w:val="24"/>
        </w:rPr>
        <w:t xml:space="preserve">This thesis explores various concepts of 'b/Blackness'. For ease of understanding, I will use the term ‘Black’ (capitalised) to refer exclusively to </w:t>
      </w:r>
      <w:r w:rsidR="00D40BBC" w:rsidRPr="00701337">
        <w:rPr>
          <w:rFonts w:ascii="Times New Roman" w:hAnsi="Times New Roman" w:cs="Times New Roman"/>
          <w:sz w:val="24"/>
          <w:szCs w:val="24"/>
        </w:rPr>
        <w:t xml:space="preserve">an identity claimed by </w:t>
      </w:r>
      <w:r w:rsidRPr="00701337">
        <w:rPr>
          <w:rFonts w:ascii="Times New Roman" w:hAnsi="Times New Roman" w:cs="Times New Roman"/>
          <w:sz w:val="24"/>
          <w:szCs w:val="24"/>
        </w:rPr>
        <w:t xml:space="preserve">individuals of African, African-Caribbean, or African American heritage. The term </w:t>
      </w:r>
      <w:r w:rsidR="00D40BBC" w:rsidRPr="00701337">
        <w:rPr>
          <w:rFonts w:ascii="Times New Roman" w:hAnsi="Times New Roman" w:cs="Times New Roman"/>
          <w:sz w:val="24"/>
          <w:szCs w:val="24"/>
        </w:rPr>
        <w:t>‘</w:t>
      </w:r>
      <w:r w:rsidRPr="00701337">
        <w:rPr>
          <w:rFonts w:ascii="Times New Roman" w:hAnsi="Times New Roman" w:cs="Times New Roman"/>
          <w:sz w:val="24"/>
          <w:szCs w:val="24"/>
        </w:rPr>
        <w:t>black</w:t>
      </w:r>
      <w:r w:rsidR="00D40BBC" w:rsidRPr="00701337">
        <w:rPr>
          <w:rFonts w:ascii="Times New Roman" w:hAnsi="Times New Roman" w:cs="Times New Roman"/>
          <w:sz w:val="24"/>
          <w:szCs w:val="24"/>
        </w:rPr>
        <w:t>’</w:t>
      </w:r>
      <w:r w:rsidRPr="00701337">
        <w:rPr>
          <w:rFonts w:ascii="Times New Roman" w:hAnsi="Times New Roman" w:cs="Times New Roman"/>
          <w:sz w:val="24"/>
          <w:szCs w:val="24"/>
        </w:rPr>
        <w:t xml:space="preserve"> (uncapitalised) will be used to refer to notions of </w:t>
      </w:r>
      <w:r w:rsidR="00C720F2">
        <w:rPr>
          <w:rFonts w:ascii="Times New Roman" w:hAnsi="Times New Roman" w:cs="Times New Roman"/>
          <w:sz w:val="24"/>
          <w:szCs w:val="24"/>
        </w:rPr>
        <w:t>‘</w:t>
      </w:r>
      <w:r w:rsidRPr="00701337">
        <w:rPr>
          <w:rFonts w:ascii="Times New Roman" w:hAnsi="Times New Roman" w:cs="Times New Roman"/>
          <w:sz w:val="24"/>
          <w:szCs w:val="24"/>
        </w:rPr>
        <w:t>political blackness</w:t>
      </w:r>
      <w:r w:rsidR="00C720F2">
        <w:rPr>
          <w:rFonts w:ascii="Times New Roman" w:hAnsi="Times New Roman" w:cs="Times New Roman"/>
          <w:sz w:val="24"/>
          <w:szCs w:val="24"/>
        </w:rPr>
        <w:t>’</w:t>
      </w:r>
      <w:r w:rsidRPr="00701337">
        <w:rPr>
          <w:rFonts w:ascii="Times New Roman" w:hAnsi="Times New Roman" w:cs="Times New Roman"/>
          <w:sz w:val="24"/>
          <w:szCs w:val="24"/>
        </w:rPr>
        <w:t xml:space="preserve">. Political blackness was a popular organising tool of anti-racist resistance in late twentieth century Britain, which stressed </w:t>
      </w:r>
      <w:r w:rsidR="00D40BBC" w:rsidRPr="00701337">
        <w:rPr>
          <w:rFonts w:ascii="Times New Roman" w:hAnsi="Times New Roman" w:cs="Times New Roman"/>
          <w:sz w:val="24"/>
          <w:szCs w:val="24"/>
        </w:rPr>
        <w:t>common cause</w:t>
      </w:r>
      <w:r w:rsidRPr="00701337">
        <w:rPr>
          <w:rFonts w:ascii="Times New Roman" w:hAnsi="Times New Roman" w:cs="Times New Roman"/>
          <w:sz w:val="24"/>
          <w:szCs w:val="24"/>
        </w:rPr>
        <w:t xml:space="preserve"> between all those who were downwardly racialised. In practice, </w:t>
      </w:r>
      <w:r w:rsidR="00D40BBC" w:rsidRPr="00701337">
        <w:rPr>
          <w:rFonts w:ascii="Times New Roman" w:hAnsi="Times New Roman" w:cs="Times New Roman"/>
          <w:sz w:val="24"/>
          <w:szCs w:val="24"/>
        </w:rPr>
        <w:t>concepts</w:t>
      </w:r>
      <w:r w:rsidRPr="00701337">
        <w:rPr>
          <w:rFonts w:ascii="Times New Roman" w:hAnsi="Times New Roman" w:cs="Times New Roman"/>
          <w:sz w:val="24"/>
          <w:szCs w:val="24"/>
        </w:rPr>
        <w:t xml:space="preserve"> of political blackness tended primarily to encompass individuals of African-Caribbean, African, and South Asian heritage.</w:t>
      </w:r>
      <w:r w:rsidR="00D40BBC" w:rsidRPr="00701337">
        <w:rPr>
          <w:rFonts w:ascii="Times New Roman" w:hAnsi="Times New Roman" w:cs="Times New Roman"/>
          <w:sz w:val="24"/>
          <w:szCs w:val="24"/>
        </w:rPr>
        <w:t xml:space="preserve"> </w:t>
      </w:r>
    </w:p>
    <w:p w14:paraId="324D400A" w14:textId="0E9531E1" w:rsidR="00D41687" w:rsidRPr="00701337" w:rsidRDefault="00C720F2" w:rsidP="00D41687">
      <w:pPr>
        <w:spacing w:line="360" w:lineRule="auto"/>
        <w:rPr>
          <w:rFonts w:ascii="Times New Roman" w:hAnsi="Times New Roman" w:cs="Times New Roman"/>
          <w:sz w:val="24"/>
          <w:szCs w:val="24"/>
        </w:rPr>
      </w:pPr>
      <w:r>
        <w:rPr>
          <w:rFonts w:ascii="Times New Roman" w:hAnsi="Times New Roman" w:cs="Times New Roman"/>
          <w:sz w:val="24"/>
          <w:szCs w:val="24"/>
        </w:rPr>
        <w:t>B</w:t>
      </w:r>
      <w:r w:rsidR="00E22181" w:rsidRPr="00701337">
        <w:rPr>
          <w:rFonts w:ascii="Times New Roman" w:hAnsi="Times New Roman" w:cs="Times New Roman"/>
          <w:sz w:val="24"/>
          <w:szCs w:val="24"/>
        </w:rPr>
        <w:t>oth terms – ‘Black’ and ‘black’</w:t>
      </w:r>
      <w:r w:rsidR="00CA4F5A" w:rsidRPr="00701337">
        <w:rPr>
          <w:rFonts w:ascii="Times New Roman" w:hAnsi="Times New Roman" w:cs="Times New Roman"/>
          <w:sz w:val="24"/>
          <w:szCs w:val="24"/>
        </w:rPr>
        <w:t xml:space="preserve"> –</w:t>
      </w:r>
      <w:r>
        <w:rPr>
          <w:rFonts w:ascii="Times New Roman" w:hAnsi="Times New Roman" w:cs="Times New Roman"/>
          <w:sz w:val="24"/>
          <w:szCs w:val="24"/>
        </w:rPr>
        <w:t xml:space="preserve"> will be used</w:t>
      </w:r>
      <w:r w:rsidR="00CA4F5A" w:rsidRPr="00701337">
        <w:rPr>
          <w:rFonts w:ascii="Times New Roman" w:hAnsi="Times New Roman" w:cs="Times New Roman"/>
          <w:sz w:val="24"/>
          <w:szCs w:val="24"/>
        </w:rPr>
        <w:t xml:space="preserve"> only where these identities </w:t>
      </w:r>
      <w:r>
        <w:rPr>
          <w:rFonts w:ascii="Times New Roman" w:hAnsi="Times New Roman" w:cs="Times New Roman"/>
          <w:sz w:val="24"/>
          <w:szCs w:val="24"/>
        </w:rPr>
        <w:t>were</w:t>
      </w:r>
      <w:r w:rsidR="00CA4F5A" w:rsidRPr="00701337">
        <w:rPr>
          <w:rFonts w:ascii="Times New Roman" w:hAnsi="Times New Roman" w:cs="Times New Roman"/>
          <w:sz w:val="24"/>
          <w:szCs w:val="24"/>
        </w:rPr>
        <w:t xml:space="preserve"> claimed by </w:t>
      </w:r>
      <w:r w:rsidR="00095392" w:rsidRPr="00701337">
        <w:rPr>
          <w:rFonts w:ascii="Times New Roman" w:hAnsi="Times New Roman" w:cs="Times New Roman"/>
          <w:sz w:val="24"/>
          <w:szCs w:val="24"/>
        </w:rPr>
        <w:t xml:space="preserve">the individuals and movements under study. </w:t>
      </w:r>
      <w:r w:rsidR="00D41687" w:rsidRPr="00701337">
        <w:rPr>
          <w:rFonts w:ascii="Times New Roman" w:hAnsi="Times New Roman" w:cs="Times New Roman"/>
          <w:sz w:val="24"/>
          <w:szCs w:val="24"/>
        </w:rPr>
        <w:t xml:space="preserve">In cases where there is room for doubt, </w:t>
      </w:r>
      <w:r w:rsidR="00095392" w:rsidRPr="00701337">
        <w:rPr>
          <w:rFonts w:ascii="Times New Roman" w:hAnsi="Times New Roman" w:cs="Times New Roman"/>
          <w:sz w:val="24"/>
          <w:szCs w:val="24"/>
        </w:rPr>
        <w:t>further</w:t>
      </w:r>
      <w:r w:rsidR="00D41687" w:rsidRPr="00701337">
        <w:rPr>
          <w:rFonts w:ascii="Times New Roman" w:hAnsi="Times New Roman" w:cs="Times New Roman"/>
          <w:sz w:val="24"/>
          <w:szCs w:val="24"/>
        </w:rPr>
        <w:t xml:space="preserve"> clarification will be supplied in text.</w:t>
      </w:r>
    </w:p>
    <w:p w14:paraId="57467EE0" w14:textId="2019AEE9" w:rsidR="00AE141E" w:rsidRPr="00701337" w:rsidRDefault="005C745A" w:rsidP="00D41687">
      <w:pPr>
        <w:spacing w:line="360" w:lineRule="auto"/>
        <w:rPr>
          <w:rFonts w:ascii="Times New Roman" w:hAnsi="Times New Roman" w:cs="Times New Roman"/>
          <w:sz w:val="24"/>
          <w:szCs w:val="24"/>
        </w:rPr>
      </w:pPr>
      <w:r w:rsidRPr="00701337">
        <w:rPr>
          <w:rFonts w:ascii="Times New Roman" w:hAnsi="Times New Roman" w:cs="Times New Roman"/>
          <w:sz w:val="24"/>
          <w:szCs w:val="24"/>
        </w:rPr>
        <w:t xml:space="preserve">I always try to identify </w:t>
      </w:r>
      <w:r w:rsidR="00F5049C" w:rsidRPr="00701337">
        <w:rPr>
          <w:rFonts w:ascii="Times New Roman" w:hAnsi="Times New Roman" w:cs="Times New Roman"/>
          <w:sz w:val="24"/>
          <w:szCs w:val="24"/>
        </w:rPr>
        <w:t xml:space="preserve">individuals and movements as they identify themselves. However, </w:t>
      </w:r>
      <w:r w:rsidR="00064F4E" w:rsidRPr="00701337">
        <w:rPr>
          <w:rFonts w:ascii="Times New Roman" w:hAnsi="Times New Roman" w:cs="Times New Roman"/>
          <w:sz w:val="24"/>
          <w:szCs w:val="24"/>
        </w:rPr>
        <w:t>my sources do not always supply their own descriptors.</w:t>
      </w:r>
      <w:r w:rsidR="00A2391D" w:rsidRPr="00701337">
        <w:rPr>
          <w:rFonts w:ascii="Times New Roman" w:hAnsi="Times New Roman" w:cs="Times New Roman"/>
          <w:sz w:val="24"/>
          <w:szCs w:val="24"/>
        </w:rPr>
        <w:t xml:space="preserve"> Furthermore, I sometimes need to refer to all those who experience downward racialisation as a broad category.</w:t>
      </w:r>
      <w:r w:rsidR="0019222E" w:rsidRPr="00701337">
        <w:rPr>
          <w:rFonts w:ascii="Times New Roman" w:hAnsi="Times New Roman" w:cs="Times New Roman"/>
          <w:sz w:val="24"/>
          <w:szCs w:val="24"/>
        </w:rPr>
        <w:t xml:space="preserve"> In these cases, t</w:t>
      </w:r>
      <w:r w:rsidR="00D41687" w:rsidRPr="00701337">
        <w:rPr>
          <w:rFonts w:ascii="Times New Roman" w:hAnsi="Times New Roman" w:cs="Times New Roman"/>
          <w:sz w:val="24"/>
          <w:szCs w:val="24"/>
        </w:rPr>
        <w:t xml:space="preserve">he term </w:t>
      </w:r>
      <w:r w:rsidR="00095392" w:rsidRPr="00701337">
        <w:rPr>
          <w:rFonts w:ascii="Times New Roman" w:hAnsi="Times New Roman" w:cs="Times New Roman"/>
          <w:sz w:val="24"/>
          <w:szCs w:val="24"/>
        </w:rPr>
        <w:t>‘</w:t>
      </w:r>
      <w:r w:rsidR="00D41687" w:rsidRPr="00701337">
        <w:rPr>
          <w:rFonts w:ascii="Times New Roman" w:hAnsi="Times New Roman" w:cs="Times New Roman"/>
          <w:sz w:val="24"/>
          <w:szCs w:val="24"/>
        </w:rPr>
        <w:t>people of colour</w:t>
      </w:r>
      <w:r w:rsidR="00095392" w:rsidRPr="00701337">
        <w:rPr>
          <w:rFonts w:ascii="Times New Roman" w:hAnsi="Times New Roman" w:cs="Times New Roman"/>
          <w:sz w:val="24"/>
          <w:szCs w:val="24"/>
        </w:rPr>
        <w:t>’</w:t>
      </w:r>
      <w:r w:rsidR="00D41687" w:rsidRPr="00701337">
        <w:rPr>
          <w:rFonts w:ascii="Times New Roman" w:hAnsi="Times New Roman" w:cs="Times New Roman"/>
          <w:sz w:val="24"/>
          <w:szCs w:val="24"/>
        </w:rPr>
        <w:t xml:space="preserve"> and its variants (e.g. communities of colour; students of colour) will be used</w:t>
      </w:r>
      <w:r w:rsidR="0019222E" w:rsidRPr="00701337">
        <w:rPr>
          <w:rFonts w:ascii="Times New Roman" w:hAnsi="Times New Roman" w:cs="Times New Roman"/>
          <w:sz w:val="24"/>
          <w:szCs w:val="24"/>
        </w:rPr>
        <w:t>. I have opted for this descriptor in part because it is in common contemporary usage and hence readily understood. It is</w:t>
      </w:r>
      <w:r w:rsidR="00C720F2">
        <w:rPr>
          <w:rFonts w:ascii="Times New Roman" w:hAnsi="Times New Roman" w:cs="Times New Roman"/>
          <w:sz w:val="24"/>
          <w:szCs w:val="24"/>
        </w:rPr>
        <w:t xml:space="preserve"> </w:t>
      </w:r>
      <w:r w:rsidR="0019222E" w:rsidRPr="00701337">
        <w:rPr>
          <w:rFonts w:ascii="Times New Roman" w:hAnsi="Times New Roman" w:cs="Times New Roman"/>
          <w:sz w:val="24"/>
          <w:szCs w:val="24"/>
        </w:rPr>
        <w:t xml:space="preserve">an expansive category which </w:t>
      </w:r>
      <w:r w:rsidR="00D90904" w:rsidRPr="00701337">
        <w:rPr>
          <w:rFonts w:ascii="Times New Roman" w:hAnsi="Times New Roman" w:cs="Times New Roman"/>
          <w:sz w:val="24"/>
          <w:szCs w:val="24"/>
        </w:rPr>
        <w:t xml:space="preserve">facilitates discussion of the commonalities of experiences of racism </w:t>
      </w:r>
      <w:r w:rsidR="0047489D" w:rsidRPr="00701337">
        <w:rPr>
          <w:rFonts w:ascii="Times New Roman" w:hAnsi="Times New Roman" w:cs="Times New Roman"/>
          <w:sz w:val="24"/>
          <w:szCs w:val="24"/>
        </w:rPr>
        <w:t xml:space="preserve">without risk of confusion or elision (accusations which can justifiably be levelled at </w:t>
      </w:r>
      <w:r w:rsidR="00701337" w:rsidRPr="00701337">
        <w:rPr>
          <w:rFonts w:ascii="Times New Roman" w:hAnsi="Times New Roman" w:cs="Times New Roman"/>
          <w:sz w:val="24"/>
          <w:szCs w:val="24"/>
        </w:rPr>
        <w:t xml:space="preserve">the use of a category of political blackness in today’s world). </w:t>
      </w:r>
    </w:p>
    <w:p w14:paraId="57B90436" w14:textId="77777777" w:rsidR="00D41687" w:rsidRDefault="00D41687">
      <w:pPr>
        <w:rPr>
          <w:rFonts w:ascii="Times New Roman" w:eastAsia="Times New Roman" w:hAnsi="Times New Roman" w:cs="Times New Roman"/>
          <w:b/>
          <w:bCs/>
          <w:sz w:val="28"/>
          <w:szCs w:val="28"/>
        </w:rPr>
      </w:pPr>
      <w:r>
        <w:rPr>
          <w:rFonts w:eastAsia="Times New Roman"/>
        </w:rPr>
        <w:br w:type="page"/>
      </w:r>
    </w:p>
    <w:p w14:paraId="6E98141C" w14:textId="2DBD7187" w:rsidR="009329E1" w:rsidRDefault="009329E1" w:rsidP="00CA2101">
      <w:pPr>
        <w:pStyle w:val="Heading1"/>
        <w:rPr>
          <w:rFonts w:eastAsia="Times New Roman"/>
        </w:rPr>
      </w:pPr>
      <w:bookmarkStart w:id="5" w:name="_Toc193726227"/>
      <w:r w:rsidRPr="00DF0C4F">
        <w:rPr>
          <w:rFonts w:eastAsia="Times New Roman"/>
        </w:rPr>
        <w:lastRenderedPageBreak/>
        <w:t>Introduction</w:t>
      </w:r>
      <w:bookmarkEnd w:id="5"/>
    </w:p>
    <w:p w14:paraId="3DB4A890" w14:textId="77777777" w:rsidR="00CA2101" w:rsidRPr="00CA2101" w:rsidRDefault="00CA2101" w:rsidP="00CA2101"/>
    <w:p w14:paraId="5B4872B4" w14:textId="51B0DA97" w:rsidR="009329E1" w:rsidRPr="00F77621" w:rsidRDefault="009329E1" w:rsidP="00AE141E">
      <w:pPr>
        <w:spacing w:line="360" w:lineRule="auto"/>
        <w:ind w:left="720"/>
        <w:rPr>
          <w:rFonts w:ascii="Times New Roman" w:eastAsia="Times New Roman" w:hAnsi="Times New Roman" w:cs="Times New Roman"/>
          <w:b/>
          <w:bCs/>
          <w:color w:val="000000"/>
          <w:sz w:val="24"/>
          <w:szCs w:val="24"/>
          <w:lang w:eastAsia="en-GB"/>
        </w:rPr>
      </w:pPr>
      <w:r w:rsidRPr="00F77621">
        <w:rPr>
          <w:rFonts w:ascii="Times New Roman" w:eastAsia="Times New Roman" w:hAnsi="Times New Roman" w:cs="Times New Roman"/>
          <w:i/>
          <w:iCs/>
          <w:color w:val="000000"/>
          <w:sz w:val="24"/>
          <w:szCs w:val="24"/>
          <w:lang w:eastAsia="en-GB"/>
        </w:rPr>
        <w:t>If history is an arena for the projection of ideal selves, it can also be a means of undoing and questioning them, offering more disturbing accounts of who we are and where we come from than simple identifications would suggest</w:t>
      </w:r>
      <w:r w:rsidR="00E62B0D">
        <w:rPr>
          <w:rFonts w:ascii="Times New Roman" w:eastAsia="Times New Roman" w:hAnsi="Times New Roman" w:cs="Times New Roman"/>
          <w:color w:val="000000"/>
          <w:sz w:val="24"/>
          <w:szCs w:val="24"/>
          <w:lang w:eastAsia="en-GB"/>
        </w:rPr>
        <w:t>.</w:t>
      </w:r>
      <w:r w:rsidR="00F77621">
        <w:rPr>
          <w:rStyle w:val="FootnoteReference"/>
          <w:rFonts w:ascii="Times New Roman" w:eastAsia="Times New Roman" w:hAnsi="Times New Roman" w:cs="Times New Roman"/>
          <w:color w:val="000000"/>
          <w:sz w:val="24"/>
          <w:szCs w:val="24"/>
          <w:lang w:eastAsia="en-GB"/>
        </w:rPr>
        <w:footnoteReference w:id="2"/>
      </w:r>
      <w:r w:rsidR="00E62B0D">
        <w:rPr>
          <w:rFonts w:ascii="Times New Roman" w:eastAsia="Times New Roman" w:hAnsi="Times New Roman" w:cs="Times New Roman"/>
          <w:color w:val="000000"/>
          <w:sz w:val="24"/>
          <w:szCs w:val="24"/>
          <w:lang w:eastAsia="en-GB"/>
        </w:rPr>
        <w:t xml:space="preserve"> </w:t>
      </w:r>
      <w:r w:rsidRPr="00F77621">
        <w:rPr>
          <w:rFonts w:ascii="Times New Roman" w:eastAsia="Times New Roman" w:hAnsi="Times New Roman" w:cs="Times New Roman"/>
          <w:b/>
          <w:bCs/>
          <w:color w:val="000000"/>
          <w:sz w:val="24"/>
          <w:szCs w:val="24"/>
          <w:lang w:eastAsia="en-GB"/>
        </w:rPr>
        <w:t>Raphael Samuel,</w:t>
      </w:r>
      <w:r w:rsidR="00F77621" w:rsidRPr="00F77621">
        <w:rPr>
          <w:rFonts w:ascii="Times New Roman" w:eastAsia="Times New Roman" w:hAnsi="Times New Roman" w:cs="Times New Roman"/>
          <w:b/>
          <w:bCs/>
          <w:color w:val="000000"/>
          <w:sz w:val="24"/>
          <w:szCs w:val="24"/>
          <w:lang w:eastAsia="en-GB"/>
        </w:rPr>
        <w:t xml:space="preserve"> </w:t>
      </w:r>
      <w:r w:rsidRPr="00F77621">
        <w:rPr>
          <w:rFonts w:ascii="Times New Roman" w:eastAsia="Times New Roman" w:hAnsi="Times New Roman" w:cs="Times New Roman"/>
          <w:b/>
          <w:bCs/>
          <w:color w:val="000000"/>
          <w:sz w:val="24"/>
          <w:szCs w:val="24"/>
          <w:lang w:eastAsia="en-GB"/>
        </w:rPr>
        <w:t>1990.</w:t>
      </w:r>
    </w:p>
    <w:p w14:paraId="0565390A" w14:textId="02D5FAA2" w:rsidR="009329E1" w:rsidRPr="00AE141E" w:rsidRDefault="009329E1" w:rsidP="00AE141E">
      <w:pPr>
        <w:spacing w:line="360" w:lineRule="auto"/>
        <w:ind w:left="720"/>
        <w:rPr>
          <w:rFonts w:ascii="Times New Roman" w:hAnsi="Times New Roman" w:cs="Times New Roman"/>
          <w:sz w:val="24"/>
          <w:szCs w:val="24"/>
        </w:rPr>
      </w:pPr>
      <w:r w:rsidRPr="00E62B0D">
        <w:rPr>
          <w:rFonts w:ascii="Times New Roman" w:hAnsi="Times New Roman" w:cs="Times New Roman"/>
          <w:i/>
          <w:iCs/>
          <w:sz w:val="24"/>
          <w:szCs w:val="24"/>
        </w:rPr>
        <w:t>In England, as in other civilised countries, it has been the general feeling over the centuries that to ignore the experience of the past is not merely folly but a sort of impiety</w:t>
      </w:r>
      <w:r w:rsidR="00E62B0D">
        <w:rPr>
          <w:rFonts w:ascii="Times New Roman" w:hAnsi="Times New Roman" w:cs="Times New Roman"/>
          <w:sz w:val="24"/>
          <w:szCs w:val="24"/>
        </w:rPr>
        <w:t>.</w:t>
      </w:r>
      <w:r w:rsidR="00E62B0D">
        <w:rPr>
          <w:rStyle w:val="FootnoteReference"/>
          <w:rFonts w:ascii="Times New Roman" w:hAnsi="Times New Roman" w:cs="Times New Roman"/>
          <w:sz w:val="24"/>
          <w:szCs w:val="24"/>
        </w:rPr>
        <w:footnoteReference w:id="3"/>
      </w:r>
      <w:r w:rsidR="00E62B0D">
        <w:rPr>
          <w:rFonts w:ascii="Times New Roman" w:hAnsi="Times New Roman" w:cs="Times New Roman"/>
          <w:sz w:val="24"/>
          <w:szCs w:val="24"/>
        </w:rPr>
        <w:t xml:space="preserve"> </w:t>
      </w:r>
      <w:r w:rsidRPr="00E62B0D">
        <w:rPr>
          <w:rFonts w:ascii="Times New Roman" w:hAnsi="Times New Roman" w:cs="Times New Roman"/>
          <w:b/>
          <w:bCs/>
          <w:sz w:val="24"/>
          <w:szCs w:val="24"/>
        </w:rPr>
        <w:t>Ministry of Education, 1962.</w:t>
      </w:r>
    </w:p>
    <w:p w14:paraId="4C5FA2E2" w14:textId="42C2384A" w:rsidR="00427A9A" w:rsidRPr="00AE141E" w:rsidRDefault="00427A9A" w:rsidP="00AE141E">
      <w:pPr>
        <w:spacing w:line="360" w:lineRule="auto"/>
        <w:rPr>
          <w:rFonts w:ascii="Times New Roman" w:hAnsi="Times New Roman" w:cs="Times New Roman"/>
          <w:sz w:val="24"/>
          <w:szCs w:val="24"/>
        </w:rPr>
      </w:pPr>
      <w:r w:rsidRPr="00AE141E">
        <w:rPr>
          <w:rFonts w:ascii="Times New Roman" w:eastAsia="Times New Roman" w:hAnsi="Times New Roman" w:cs="Times New Roman"/>
          <w:color w:val="000000"/>
          <w:sz w:val="24"/>
          <w:szCs w:val="24"/>
          <w:lang w:eastAsia="en-GB"/>
        </w:rPr>
        <w:t>Recent years have been marked by fierce debate over the role that the British Empire played in structuring our present realities – and on the way this history should be represented. As important tools in the (de)construction of national</w:t>
      </w:r>
      <w:r w:rsidRPr="00AE141E">
        <w:rPr>
          <w:rFonts w:ascii="Times New Roman" w:hAnsi="Times New Roman" w:cs="Times New Roman"/>
          <w:sz w:val="24"/>
          <w:szCs w:val="24"/>
        </w:rPr>
        <w:t xml:space="preserve"> self-understanding, school and university curricula are often placed at the heart of this controversy. Catriona McDermid and Stuart Foster describe such debates as ‘impoverished’ by an emphasis on ‘what advocates insist </w:t>
      </w:r>
      <w:r w:rsidRPr="00AE141E">
        <w:rPr>
          <w:rFonts w:ascii="Times New Roman" w:hAnsi="Times New Roman" w:cs="Times New Roman"/>
          <w:i/>
          <w:sz w:val="24"/>
          <w:szCs w:val="24"/>
        </w:rPr>
        <w:t>should</w:t>
      </w:r>
      <w:r w:rsidRPr="00AE141E">
        <w:rPr>
          <w:rFonts w:ascii="Times New Roman" w:hAnsi="Times New Roman" w:cs="Times New Roman"/>
          <w:sz w:val="24"/>
          <w:szCs w:val="24"/>
        </w:rPr>
        <w:t xml:space="preserve"> be taught, or what they assume </w:t>
      </w:r>
      <w:r w:rsidRPr="00AE141E">
        <w:rPr>
          <w:rFonts w:ascii="Times New Roman" w:hAnsi="Times New Roman" w:cs="Times New Roman"/>
          <w:i/>
          <w:sz w:val="24"/>
          <w:szCs w:val="24"/>
        </w:rPr>
        <w:t>has</w:t>
      </w:r>
      <w:r w:rsidRPr="00AE141E">
        <w:rPr>
          <w:rFonts w:ascii="Times New Roman" w:hAnsi="Times New Roman" w:cs="Times New Roman"/>
          <w:sz w:val="24"/>
          <w:szCs w:val="24"/>
        </w:rPr>
        <w:t xml:space="preserve"> been taught rather than on any understanding of what </w:t>
      </w:r>
      <w:r w:rsidRPr="00AE141E">
        <w:rPr>
          <w:rFonts w:ascii="Times New Roman" w:hAnsi="Times New Roman" w:cs="Times New Roman"/>
          <w:i/>
          <w:sz w:val="24"/>
          <w:szCs w:val="24"/>
        </w:rPr>
        <w:t>is</w:t>
      </w:r>
      <w:r w:rsidRPr="00AE141E">
        <w:rPr>
          <w:rFonts w:ascii="Times New Roman" w:hAnsi="Times New Roman" w:cs="Times New Roman"/>
          <w:sz w:val="24"/>
          <w:szCs w:val="24"/>
        </w:rPr>
        <w:t xml:space="preserve"> or </w:t>
      </w:r>
      <w:r w:rsidRPr="00AE141E">
        <w:rPr>
          <w:rFonts w:ascii="Times New Roman" w:hAnsi="Times New Roman" w:cs="Times New Roman"/>
          <w:i/>
          <w:sz w:val="24"/>
          <w:szCs w:val="24"/>
        </w:rPr>
        <w:t>was</w:t>
      </w:r>
      <w:r w:rsidRPr="00AE141E">
        <w:rPr>
          <w:rFonts w:ascii="Times New Roman" w:hAnsi="Times New Roman" w:cs="Times New Roman"/>
          <w:sz w:val="24"/>
          <w:szCs w:val="24"/>
        </w:rPr>
        <w:t xml:space="preserve"> taught in history classrooms’.</w:t>
      </w:r>
      <w:r w:rsidRPr="00AE141E">
        <w:rPr>
          <w:rStyle w:val="FootnoteReference"/>
          <w:rFonts w:ascii="Times New Roman" w:hAnsi="Times New Roman" w:cs="Times New Roman"/>
          <w:sz w:val="24"/>
          <w:szCs w:val="24"/>
        </w:rPr>
        <w:footnoteReference w:id="4"/>
      </w:r>
      <w:r w:rsidRPr="00AE141E">
        <w:rPr>
          <w:rFonts w:ascii="Times New Roman" w:hAnsi="Times New Roman" w:cs="Times New Roman"/>
          <w:sz w:val="24"/>
          <w:szCs w:val="24"/>
        </w:rPr>
        <w:t xml:space="preserve"> McDermid and Foster identify their own work, on comparative portrayals of the British empire in history textbooks, as a means of bridging this gap. My thesis makes a similar contribution. It presents an evidence-based understanding of the ways in which the history of empire has been taught (or, more frequently, marginalised) and how such teaching has been contested. My research helps to illuminate how </w:t>
      </w:r>
      <w:r w:rsidR="00CC3100">
        <w:rPr>
          <w:rFonts w:ascii="Times New Roman" w:hAnsi="Times New Roman" w:cs="Times New Roman"/>
          <w:sz w:val="24"/>
          <w:szCs w:val="24"/>
        </w:rPr>
        <w:t>a</w:t>
      </w:r>
      <w:r w:rsidRPr="00AE141E">
        <w:rPr>
          <w:rFonts w:ascii="Times New Roman" w:hAnsi="Times New Roman" w:cs="Times New Roman"/>
          <w:sz w:val="24"/>
          <w:szCs w:val="24"/>
        </w:rPr>
        <w:t xml:space="preserve"> mid to late twentieth century </w:t>
      </w:r>
      <w:r w:rsidR="00CC3100">
        <w:rPr>
          <w:rFonts w:ascii="Times New Roman" w:hAnsi="Times New Roman" w:cs="Times New Roman"/>
          <w:sz w:val="24"/>
          <w:szCs w:val="24"/>
        </w:rPr>
        <w:t xml:space="preserve">culture of imperial </w:t>
      </w:r>
      <w:r w:rsidR="00013A6A">
        <w:rPr>
          <w:rFonts w:ascii="Times New Roman" w:hAnsi="Times New Roman" w:cs="Times New Roman"/>
          <w:sz w:val="24"/>
          <w:szCs w:val="24"/>
        </w:rPr>
        <w:t>forgetting</w:t>
      </w:r>
      <w:r w:rsidR="00CC3100">
        <w:rPr>
          <w:rFonts w:ascii="Times New Roman" w:hAnsi="Times New Roman" w:cs="Times New Roman"/>
          <w:sz w:val="24"/>
          <w:szCs w:val="24"/>
        </w:rPr>
        <w:t xml:space="preserve"> </w:t>
      </w:r>
      <w:r w:rsidRPr="00AE141E">
        <w:rPr>
          <w:rFonts w:ascii="Times New Roman" w:hAnsi="Times New Roman" w:cs="Times New Roman"/>
          <w:sz w:val="24"/>
          <w:szCs w:val="24"/>
        </w:rPr>
        <w:t xml:space="preserve">has paved the way for today’s imperial revival. It also contextualises present-day movements for curricular ‘decolonisation’ and resistance against the interlinked currents of imperial erasure and imperialist celebration. Demands for much-needed educational change can only be </w:t>
      </w:r>
      <w:r w:rsidRPr="00AE141E">
        <w:rPr>
          <w:rFonts w:ascii="Times New Roman" w:hAnsi="Times New Roman" w:cs="Times New Roman"/>
          <w:sz w:val="24"/>
          <w:szCs w:val="24"/>
        </w:rPr>
        <w:lastRenderedPageBreak/>
        <w:t xml:space="preserve">strengthened with reference to a historical context which has sometimes been poorly understood or misrepresented. </w:t>
      </w:r>
    </w:p>
    <w:p w14:paraId="21F574C0" w14:textId="2AD83CD5" w:rsidR="00360082" w:rsidRPr="00AE141E" w:rsidRDefault="0036008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following thesis will examine the permeation of imperial(ist) historical frameworks into school history curricula. It will argue that the logic of history as imperial justification remained a powerful force in English secondary schools throughout the twentieth century, although the formal teaching of empire was often pushed to the sidelines. </w:t>
      </w:r>
      <w:r w:rsidRPr="00AE141E">
        <w:rPr>
          <w:rFonts w:ascii="Times New Roman" w:eastAsia="Times New Roman" w:hAnsi="Times New Roman" w:cs="Times New Roman"/>
          <w:color w:val="000000"/>
          <w:sz w:val="24"/>
          <w:szCs w:val="24"/>
          <w:lang w:eastAsia="en-GB"/>
        </w:rPr>
        <w:t>My work is part of a growing movement to face up to the nature of empire as one of the driving forces of our present reality, rather than treating it as a ‘history apart’.</w:t>
      </w:r>
      <w:r w:rsidRPr="00AE141E">
        <w:rPr>
          <w:rStyle w:val="FootnoteReference"/>
          <w:rFonts w:ascii="Times New Roman" w:eastAsia="Times New Roman" w:hAnsi="Times New Roman" w:cs="Times New Roman"/>
          <w:color w:val="000000"/>
          <w:sz w:val="24"/>
          <w:szCs w:val="24"/>
          <w:lang w:eastAsia="en-GB"/>
        </w:rPr>
        <w:footnoteReference w:id="5"/>
      </w:r>
      <w:r w:rsidRPr="00AE141E">
        <w:rPr>
          <w:rFonts w:ascii="Times New Roman" w:eastAsia="Times New Roman" w:hAnsi="Times New Roman" w:cs="Times New Roman"/>
          <w:color w:val="000000"/>
          <w:sz w:val="24"/>
          <w:szCs w:val="24"/>
          <w:lang w:eastAsia="en-GB"/>
        </w:rPr>
        <w:t xml:space="preserve"> The present interest in imperial history, which has become an especially powerful cultural current since the </w:t>
      </w:r>
      <w:r w:rsidR="00D84ECA" w:rsidRPr="00AE141E">
        <w:rPr>
          <w:rFonts w:ascii="Times New Roman" w:eastAsia="Times New Roman" w:hAnsi="Times New Roman" w:cs="Times New Roman"/>
          <w:color w:val="000000"/>
          <w:sz w:val="24"/>
          <w:szCs w:val="24"/>
          <w:lang w:eastAsia="en-GB"/>
        </w:rPr>
        <w:t xml:space="preserve">Black Lives Matter (BLM) </w:t>
      </w:r>
      <w:r w:rsidRPr="00AE141E">
        <w:rPr>
          <w:rFonts w:ascii="Times New Roman" w:eastAsia="Times New Roman" w:hAnsi="Times New Roman" w:cs="Times New Roman"/>
          <w:color w:val="000000"/>
          <w:sz w:val="24"/>
          <w:szCs w:val="24"/>
          <w:lang w:eastAsia="en-GB"/>
        </w:rPr>
        <w:t>protests of 2020, is an attempt to grapple with its enduring influence on public life and national identity. Both this work, and the controversy which it inevitably attracts, are themselves evidence of what T. W. Nechtman describes as the ‘unhappy imbrication’ of nation and empire.</w:t>
      </w:r>
      <w:r w:rsidRPr="00AE141E">
        <w:rPr>
          <w:rStyle w:val="FootnoteReference"/>
          <w:rFonts w:ascii="Times New Roman" w:eastAsia="Times New Roman" w:hAnsi="Times New Roman" w:cs="Times New Roman"/>
          <w:color w:val="000000"/>
          <w:sz w:val="24"/>
          <w:szCs w:val="24"/>
          <w:lang w:eastAsia="en-GB"/>
        </w:rPr>
        <w:footnoteReference w:id="6"/>
      </w:r>
      <w:r w:rsidRPr="00AE141E">
        <w:rPr>
          <w:rFonts w:ascii="Times New Roman" w:eastAsia="Times New Roman" w:hAnsi="Times New Roman" w:cs="Times New Roman"/>
          <w:color w:val="000000"/>
          <w:sz w:val="24"/>
          <w:szCs w:val="24"/>
          <w:lang w:eastAsia="en-GB"/>
        </w:rPr>
        <w:t xml:space="preserve"> </w:t>
      </w:r>
    </w:p>
    <w:p w14:paraId="17C18773" w14:textId="77777777" w:rsidR="009329E1"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When I embarked upon this project, many of those with whom I spoke held two preconceptions about the teaching of imperial history in twentieth century English schools: </w:t>
      </w:r>
    </w:p>
    <w:p w14:paraId="7675F9CD"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1.) The assumption that imperial history occupied a significant role in English schools, where it was taught with an unquestioningly patriotic focus; students were moulded to experience pride in the maps showing that ‘the pink bits are British’.</w:t>
      </w:r>
      <w:r w:rsidRPr="00AE141E">
        <w:rPr>
          <w:rStyle w:val="FootnoteReference"/>
          <w:rFonts w:ascii="Times New Roman" w:hAnsi="Times New Roman" w:cs="Times New Roman"/>
          <w:sz w:val="24"/>
          <w:szCs w:val="24"/>
        </w:rPr>
        <w:footnoteReference w:id="7"/>
      </w:r>
    </w:p>
    <w:p w14:paraId="26FD2210" w14:textId="77777777" w:rsidR="009329E1"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hAnsi="Times New Roman" w:cs="Times New Roman"/>
          <w:sz w:val="24"/>
          <w:szCs w:val="24"/>
        </w:rPr>
        <w:t>2.) The assumption that teaching changed substantially over the course of the twentieth century, taking an increasingly critical approach to empire and imperialism. These changes can be viewed with either hostility or pride, depending on the listener. For those in the latter category, there is a tendency to apply a model of</w:t>
      </w:r>
      <w:r w:rsidRPr="00AE141E">
        <w:rPr>
          <w:rFonts w:ascii="Times New Roman" w:eastAsia="Times New Roman" w:hAnsi="Times New Roman" w:cs="Times New Roman"/>
          <w:color w:val="000000"/>
          <w:sz w:val="24"/>
          <w:szCs w:val="24"/>
          <w:lang w:eastAsia="en-GB"/>
        </w:rPr>
        <w:t xml:space="preserve"> linear, progressive improvement – a </w:t>
      </w:r>
      <w:r w:rsidRPr="00AE141E">
        <w:rPr>
          <w:rFonts w:ascii="Times New Roman" w:eastAsia="Times New Roman" w:hAnsi="Times New Roman" w:cs="Times New Roman"/>
          <w:color w:val="000000"/>
          <w:sz w:val="24"/>
          <w:szCs w:val="24"/>
          <w:lang w:eastAsia="en-GB"/>
        </w:rPr>
        <w:lastRenderedPageBreak/>
        <w:t>historical sensibility which is itself derived from imperial justification and is often assumed in commentary on race and empire.</w:t>
      </w:r>
      <w:r w:rsidRPr="00AE141E">
        <w:rPr>
          <w:rStyle w:val="FootnoteReference"/>
          <w:rFonts w:ascii="Times New Roman" w:eastAsia="Times New Roman" w:hAnsi="Times New Roman" w:cs="Times New Roman"/>
          <w:color w:val="000000"/>
          <w:sz w:val="24"/>
          <w:szCs w:val="24"/>
          <w:lang w:eastAsia="en-GB"/>
        </w:rPr>
        <w:footnoteReference w:id="8"/>
      </w:r>
    </w:p>
    <w:p w14:paraId="58108B90" w14:textId="405E65E1" w:rsidR="009329E1" w:rsidRPr="00AE141E" w:rsidRDefault="009329E1" w:rsidP="00AE141E">
      <w:pPr>
        <w:spacing w:line="360" w:lineRule="auto"/>
        <w:rPr>
          <w:rFonts w:ascii="Times New Roman" w:hAnsi="Times New Roman" w:cs="Times New Roman"/>
          <w:sz w:val="24"/>
          <w:szCs w:val="24"/>
        </w:rPr>
      </w:pPr>
      <w:r w:rsidRPr="00AE141E">
        <w:rPr>
          <w:rFonts w:ascii="Times New Roman" w:eastAsia="Times New Roman" w:hAnsi="Times New Roman" w:cs="Times New Roman"/>
          <w:color w:val="000000"/>
          <w:sz w:val="24"/>
          <w:szCs w:val="24"/>
          <w:lang w:eastAsia="en-GB"/>
        </w:rPr>
        <w:t xml:space="preserve">Neither assumption is correct. Of course, aspects of the imperial experience </w:t>
      </w:r>
      <w:r w:rsidRPr="00AE141E">
        <w:rPr>
          <w:rFonts w:ascii="Times New Roman" w:eastAsia="Times New Roman" w:hAnsi="Times New Roman" w:cs="Times New Roman"/>
          <w:i/>
          <w:color w:val="000000"/>
          <w:sz w:val="24"/>
          <w:szCs w:val="24"/>
          <w:lang w:eastAsia="en-GB"/>
        </w:rPr>
        <w:t>were</w:t>
      </w:r>
      <w:r w:rsidRPr="00AE141E">
        <w:rPr>
          <w:rFonts w:ascii="Times New Roman" w:eastAsia="Times New Roman" w:hAnsi="Times New Roman" w:cs="Times New Roman"/>
          <w:color w:val="000000"/>
          <w:sz w:val="24"/>
          <w:szCs w:val="24"/>
          <w:lang w:eastAsia="en-GB"/>
        </w:rPr>
        <w:t xml:space="preserve"> celebrated in twentieth century history classrooms. In the early post-war years, the history of empire and of Commonwealth occupied a stable – </w:t>
      </w:r>
      <w:r w:rsidR="007A2E33">
        <w:rPr>
          <w:rFonts w:ascii="Times New Roman" w:eastAsia="Times New Roman" w:hAnsi="Times New Roman" w:cs="Times New Roman"/>
          <w:color w:val="000000"/>
          <w:sz w:val="24"/>
          <w:szCs w:val="24"/>
          <w:lang w:eastAsia="en-GB"/>
        </w:rPr>
        <w:t>if relatively marginal</w:t>
      </w:r>
      <w:r w:rsidRPr="00AE141E">
        <w:rPr>
          <w:rFonts w:ascii="Times New Roman" w:eastAsia="Times New Roman" w:hAnsi="Times New Roman" w:cs="Times New Roman"/>
          <w:color w:val="000000"/>
          <w:sz w:val="24"/>
          <w:szCs w:val="24"/>
          <w:lang w:eastAsia="en-GB"/>
        </w:rPr>
        <w:t xml:space="preserve"> </w:t>
      </w:r>
      <w:r w:rsidR="007A2E33">
        <w:rPr>
          <w:rFonts w:ascii="Times New Roman" w:eastAsia="Times New Roman" w:hAnsi="Times New Roman" w:cs="Times New Roman"/>
          <w:color w:val="000000"/>
          <w:sz w:val="24"/>
          <w:szCs w:val="24"/>
          <w:lang w:eastAsia="en-GB"/>
        </w:rPr>
        <w:t>–</w:t>
      </w:r>
      <w:r w:rsidRPr="00AE141E">
        <w:rPr>
          <w:rFonts w:ascii="Times New Roman" w:eastAsia="Times New Roman" w:hAnsi="Times New Roman" w:cs="Times New Roman"/>
          <w:color w:val="000000"/>
          <w:sz w:val="24"/>
          <w:szCs w:val="24"/>
          <w:lang w:eastAsia="en-GB"/>
        </w:rPr>
        <w:t xml:space="preserve"> place</w:t>
      </w:r>
      <w:r w:rsidR="007A2E33">
        <w:rPr>
          <w:rFonts w:ascii="Times New Roman" w:eastAsia="Times New Roman" w:hAnsi="Times New Roman" w:cs="Times New Roman"/>
          <w:color w:val="000000"/>
          <w:sz w:val="24"/>
          <w:szCs w:val="24"/>
          <w:lang w:eastAsia="en-GB"/>
        </w:rPr>
        <w:t xml:space="preserve"> </w:t>
      </w:r>
      <w:r w:rsidRPr="00AE141E">
        <w:rPr>
          <w:rFonts w:ascii="Times New Roman" w:eastAsia="Times New Roman" w:hAnsi="Times New Roman" w:cs="Times New Roman"/>
          <w:color w:val="000000"/>
          <w:sz w:val="24"/>
          <w:szCs w:val="24"/>
          <w:lang w:eastAsia="en-GB"/>
        </w:rPr>
        <w:t>on school curricula. Its narration tended towards English self-congratulation</w:t>
      </w:r>
      <w:r w:rsidR="00717CA1">
        <w:rPr>
          <w:rFonts w:ascii="Times New Roman" w:eastAsia="Times New Roman" w:hAnsi="Times New Roman" w:cs="Times New Roman"/>
          <w:color w:val="000000"/>
          <w:sz w:val="24"/>
          <w:szCs w:val="24"/>
          <w:lang w:eastAsia="en-GB"/>
        </w:rPr>
        <w:t>. From the 1960s onwards,</w:t>
      </w:r>
      <w:r w:rsidR="00A06D17">
        <w:rPr>
          <w:rFonts w:ascii="Times New Roman" w:eastAsia="Times New Roman" w:hAnsi="Times New Roman" w:cs="Times New Roman"/>
          <w:color w:val="000000"/>
          <w:sz w:val="24"/>
          <w:szCs w:val="24"/>
          <w:lang w:eastAsia="en-GB"/>
        </w:rPr>
        <w:t xml:space="preserve"> however,</w:t>
      </w:r>
      <w:r w:rsidR="00717CA1">
        <w:rPr>
          <w:rFonts w:ascii="Times New Roman" w:eastAsia="Times New Roman" w:hAnsi="Times New Roman" w:cs="Times New Roman"/>
          <w:color w:val="000000"/>
          <w:sz w:val="24"/>
          <w:szCs w:val="24"/>
          <w:lang w:eastAsia="en-GB"/>
        </w:rPr>
        <w:t xml:space="preserve"> there seem</w:t>
      </w:r>
      <w:r w:rsidR="008B1909">
        <w:rPr>
          <w:rFonts w:ascii="Times New Roman" w:eastAsia="Times New Roman" w:hAnsi="Times New Roman" w:cs="Times New Roman"/>
          <w:color w:val="000000"/>
          <w:sz w:val="24"/>
          <w:szCs w:val="24"/>
          <w:lang w:eastAsia="en-GB"/>
        </w:rPr>
        <w:t>s</w:t>
      </w:r>
      <w:r w:rsidR="00717CA1">
        <w:rPr>
          <w:rFonts w:ascii="Times New Roman" w:eastAsia="Times New Roman" w:hAnsi="Times New Roman" w:cs="Times New Roman"/>
          <w:color w:val="000000"/>
          <w:sz w:val="24"/>
          <w:szCs w:val="24"/>
          <w:lang w:eastAsia="en-GB"/>
        </w:rPr>
        <w:t xml:space="preserve"> to have been a growing reluctance to </w:t>
      </w:r>
      <w:r w:rsidR="008B1909">
        <w:rPr>
          <w:rFonts w:ascii="Times New Roman" w:eastAsia="Times New Roman" w:hAnsi="Times New Roman" w:cs="Times New Roman"/>
          <w:color w:val="000000"/>
          <w:sz w:val="24"/>
          <w:szCs w:val="24"/>
          <w:lang w:eastAsia="en-GB"/>
        </w:rPr>
        <w:t xml:space="preserve">teach </w:t>
      </w:r>
      <w:r w:rsidR="00A058F0">
        <w:rPr>
          <w:rFonts w:ascii="Times New Roman" w:eastAsia="Times New Roman" w:hAnsi="Times New Roman" w:cs="Times New Roman"/>
          <w:color w:val="000000"/>
          <w:sz w:val="24"/>
          <w:szCs w:val="24"/>
          <w:lang w:eastAsia="en-GB"/>
        </w:rPr>
        <w:t xml:space="preserve">imperial and Commonwealth history, </w:t>
      </w:r>
      <w:r w:rsidR="005B1982">
        <w:rPr>
          <w:rFonts w:ascii="Times New Roman" w:eastAsia="Times New Roman" w:hAnsi="Times New Roman" w:cs="Times New Roman"/>
          <w:color w:val="000000"/>
          <w:sz w:val="24"/>
          <w:szCs w:val="24"/>
          <w:lang w:eastAsia="en-GB"/>
        </w:rPr>
        <w:t xml:space="preserve">effected by the quest for ‘relevance’ and the negative association of imperial and </w:t>
      </w:r>
      <w:r w:rsidR="005B1982" w:rsidRPr="005B1982">
        <w:rPr>
          <w:rFonts w:ascii="Times New Roman" w:eastAsia="Times New Roman" w:hAnsi="Times New Roman" w:cs="Times New Roman"/>
          <w:i/>
          <w:iCs/>
          <w:color w:val="000000"/>
          <w:sz w:val="24"/>
          <w:szCs w:val="24"/>
          <w:lang w:eastAsia="en-GB"/>
        </w:rPr>
        <w:t>imperial</w:t>
      </w:r>
      <w:r w:rsidR="005B1982">
        <w:rPr>
          <w:rFonts w:ascii="Times New Roman" w:eastAsia="Times New Roman" w:hAnsi="Times New Roman" w:cs="Times New Roman"/>
          <w:i/>
          <w:iCs/>
          <w:color w:val="000000"/>
          <w:sz w:val="24"/>
          <w:szCs w:val="24"/>
          <w:lang w:eastAsia="en-GB"/>
        </w:rPr>
        <w:t xml:space="preserve">ist </w:t>
      </w:r>
      <w:r w:rsidR="005B1982">
        <w:rPr>
          <w:rFonts w:ascii="Times New Roman" w:eastAsia="Times New Roman" w:hAnsi="Times New Roman" w:cs="Times New Roman"/>
          <w:color w:val="000000"/>
          <w:sz w:val="24"/>
          <w:szCs w:val="24"/>
          <w:lang w:eastAsia="en-GB"/>
        </w:rPr>
        <w:t xml:space="preserve">history. </w:t>
      </w:r>
      <w:r w:rsidRPr="00AE141E">
        <w:rPr>
          <w:rFonts w:ascii="Times New Roman" w:eastAsia="Times New Roman" w:hAnsi="Times New Roman" w:cs="Times New Roman"/>
          <w:color w:val="000000"/>
          <w:sz w:val="24"/>
          <w:szCs w:val="24"/>
          <w:lang w:eastAsia="en-GB"/>
        </w:rPr>
        <w:t xml:space="preserve">For much of the remainder of the twentieth century, empire was a quiet (sometimes altogether silent) presence, pushed </w:t>
      </w:r>
      <w:r w:rsidR="00F811D5">
        <w:rPr>
          <w:rFonts w:ascii="Times New Roman" w:eastAsia="Times New Roman" w:hAnsi="Times New Roman" w:cs="Times New Roman"/>
          <w:color w:val="000000"/>
          <w:sz w:val="24"/>
          <w:szCs w:val="24"/>
          <w:lang w:eastAsia="en-GB"/>
        </w:rPr>
        <w:t xml:space="preserve">further </w:t>
      </w:r>
      <w:r w:rsidRPr="00AE141E">
        <w:rPr>
          <w:rFonts w:ascii="Times New Roman" w:eastAsia="Times New Roman" w:hAnsi="Times New Roman" w:cs="Times New Roman"/>
          <w:color w:val="000000"/>
          <w:sz w:val="24"/>
          <w:szCs w:val="24"/>
          <w:lang w:eastAsia="en-GB"/>
        </w:rPr>
        <w:t>to the periphery of historical analysis. Stuart Ward has challenged the received wisdom that an absence of knowledge of empire in metropolitan Britain necessarily implied an absence of interest.</w:t>
      </w:r>
      <w:r w:rsidRPr="00AE141E">
        <w:rPr>
          <w:rStyle w:val="FootnoteReference"/>
          <w:rFonts w:ascii="Times New Roman" w:eastAsia="Times New Roman" w:hAnsi="Times New Roman" w:cs="Times New Roman"/>
          <w:color w:val="000000"/>
          <w:sz w:val="24"/>
          <w:szCs w:val="24"/>
          <w:lang w:eastAsia="en-GB"/>
        </w:rPr>
        <w:footnoteReference w:id="9"/>
      </w:r>
      <w:r w:rsidRPr="00AE141E">
        <w:rPr>
          <w:rFonts w:ascii="Times New Roman" w:hAnsi="Times New Roman" w:cs="Times New Roman"/>
          <w:sz w:val="24"/>
          <w:szCs w:val="24"/>
        </w:rPr>
        <w:t xml:space="preserve"> I take this analysis one step further. It is my contention that a popular ignorance of empire in fact </w:t>
      </w:r>
      <w:r w:rsidRPr="00AE141E">
        <w:rPr>
          <w:rFonts w:ascii="Times New Roman" w:hAnsi="Times New Roman" w:cs="Times New Roman"/>
          <w:i/>
          <w:sz w:val="24"/>
          <w:szCs w:val="24"/>
        </w:rPr>
        <w:t>feeds imperial sensibilities</w:t>
      </w:r>
      <w:r w:rsidRPr="00AE141E">
        <w:rPr>
          <w:rFonts w:ascii="Times New Roman" w:hAnsi="Times New Roman" w:cs="Times New Roman"/>
          <w:sz w:val="24"/>
          <w:szCs w:val="24"/>
        </w:rPr>
        <w:t xml:space="preserve">. The quiet, marginal presence of empire in the school curricula of the latter half of the twentieth century allowed an imperial mythos, product of an old school of imperial history, to survive unexamined and unchecked. </w:t>
      </w:r>
    </w:p>
    <w:p w14:paraId="5663AB75" w14:textId="77777777" w:rsidR="00265814" w:rsidRPr="00AE141E" w:rsidRDefault="00265814" w:rsidP="00AE141E">
      <w:pPr>
        <w:spacing w:line="360" w:lineRule="auto"/>
        <w:rPr>
          <w:rFonts w:ascii="Times New Roman" w:eastAsia="Times New Roman" w:hAnsi="Times New Roman" w:cs="Times New Roman"/>
          <w:b/>
          <w:bCs/>
          <w:color w:val="000000"/>
          <w:sz w:val="24"/>
          <w:szCs w:val="24"/>
          <w:lang w:eastAsia="en-GB"/>
        </w:rPr>
      </w:pPr>
      <w:r w:rsidRPr="00AE141E">
        <w:rPr>
          <w:rFonts w:ascii="Times New Roman" w:eastAsia="Times New Roman" w:hAnsi="Times New Roman" w:cs="Times New Roman"/>
          <w:b/>
          <w:bCs/>
          <w:color w:val="000000"/>
          <w:sz w:val="24"/>
          <w:szCs w:val="24"/>
          <w:lang w:eastAsia="en-GB"/>
        </w:rPr>
        <w:t>Empire’s Great Vanishing Act</w:t>
      </w:r>
    </w:p>
    <w:p w14:paraId="48B591AD" w14:textId="22B3A374" w:rsidR="00265814" w:rsidRPr="00AE141E" w:rsidRDefault="00265814"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Lawrence J. Butler has characterised the years 1960 to 1964 as an intense period of ‘imperial retreat’.</w:t>
      </w:r>
      <w:r w:rsidRPr="00AE141E">
        <w:rPr>
          <w:rStyle w:val="FootnoteReference"/>
          <w:rFonts w:ascii="Times New Roman" w:eastAsia="Times New Roman" w:hAnsi="Times New Roman" w:cs="Times New Roman"/>
          <w:color w:val="000000"/>
          <w:sz w:val="24"/>
          <w:szCs w:val="24"/>
          <w:lang w:eastAsia="en-GB"/>
        </w:rPr>
        <w:footnoteReference w:id="10"/>
      </w:r>
      <w:r w:rsidRPr="00AE141E">
        <w:rPr>
          <w:rFonts w:ascii="Times New Roman" w:eastAsia="Times New Roman" w:hAnsi="Times New Roman" w:cs="Times New Roman"/>
          <w:color w:val="000000"/>
          <w:sz w:val="24"/>
          <w:szCs w:val="24"/>
          <w:lang w:eastAsia="en-GB"/>
        </w:rPr>
        <w:t xml:space="preserve"> During this time, a grand total of 17 colonies became independent; indeed, the majority of colonies remaining within the British empire had won independence by 1964. Formal decolonisation did not occur without opposition and resistance from the British state. </w:t>
      </w:r>
      <w:r w:rsidRPr="00AE141E">
        <w:rPr>
          <w:rFonts w:ascii="Times New Roman" w:eastAsia="Times New Roman" w:hAnsi="Times New Roman" w:cs="Times New Roman"/>
          <w:color w:val="000000"/>
          <w:sz w:val="24"/>
          <w:szCs w:val="24"/>
          <w:lang w:eastAsia="en-GB"/>
        </w:rPr>
        <w:lastRenderedPageBreak/>
        <w:t>However, the same period witnessed a profound ‘readjustment’ to the new reality within Westminster and Whitehall.</w:t>
      </w:r>
      <w:r w:rsidR="001E0352">
        <w:rPr>
          <w:rStyle w:val="FootnoteReference"/>
          <w:rFonts w:ascii="Times New Roman" w:eastAsia="Times New Roman" w:hAnsi="Times New Roman" w:cs="Times New Roman"/>
          <w:color w:val="000000"/>
          <w:sz w:val="24"/>
          <w:szCs w:val="24"/>
          <w:lang w:eastAsia="en-GB"/>
        </w:rPr>
        <w:footnoteReference w:id="11"/>
      </w:r>
      <w:r w:rsidRPr="00AE141E">
        <w:rPr>
          <w:rFonts w:ascii="Times New Roman" w:eastAsia="Times New Roman" w:hAnsi="Times New Roman" w:cs="Times New Roman"/>
          <w:color w:val="000000"/>
          <w:sz w:val="24"/>
          <w:szCs w:val="24"/>
          <w:lang w:eastAsia="en-GB"/>
        </w:rPr>
        <w:t xml:space="preserve"> In this sense, as John MacKenzie notes, the implosion of empire from 1959 to 1964 was ‘more important in cultural terms’ than imperial losses which followed the Second World War.</w:t>
      </w:r>
      <w:r w:rsidRPr="00AE141E">
        <w:rPr>
          <w:rStyle w:val="FootnoteReference"/>
          <w:rFonts w:ascii="Times New Roman" w:eastAsia="Times New Roman" w:hAnsi="Times New Roman" w:cs="Times New Roman"/>
          <w:color w:val="000000"/>
          <w:sz w:val="24"/>
          <w:szCs w:val="24"/>
          <w:lang w:eastAsia="en-GB"/>
        </w:rPr>
        <w:footnoteReference w:id="12"/>
      </w:r>
      <w:r w:rsidRPr="00AE141E">
        <w:rPr>
          <w:rFonts w:ascii="Times New Roman" w:eastAsia="Times New Roman" w:hAnsi="Times New Roman" w:cs="Times New Roman"/>
          <w:color w:val="000000"/>
          <w:sz w:val="24"/>
          <w:szCs w:val="24"/>
          <w:lang w:eastAsia="en-GB"/>
        </w:rPr>
        <w:t xml:space="preserve"> Fierce anti-colonial struggles applied pressure to the metropole – not least in an economic sense. To impose imperial rule by force required the mobilisation of resources that Britain was increasingly unwilling – or unable – to spare. As Butler writes, the ‘cost savings inherent in decolonization’ played an important role in constructing bipartisan consensus in favour of retreat, ‘approved by the right because it implied cuts in public expenditure, and by the left because it might free money for domestic social spending’.</w:t>
      </w:r>
      <w:r w:rsidRPr="00AE141E">
        <w:rPr>
          <w:rStyle w:val="FootnoteReference"/>
          <w:rFonts w:ascii="Times New Roman" w:eastAsia="Times New Roman" w:hAnsi="Times New Roman" w:cs="Times New Roman"/>
          <w:color w:val="000000"/>
          <w:sz w:val="24"/>
          <w:szCs w:val="24"/>
          <w:lang w:eastAsia="en-GB"/>
        </w:rPr>
        <w:footnoteReference w:id="13"/>
      </w:r>
      <w:r w:rsidRPr="00AE141E">
        <w:rPr>
          <w:rFonts w:ascii="Times New Roman" w:eastAsia="Times New Roman" w:hAnsi="Times New Roman" w:cs="Times New Roman"/>
          <w:color w:val="000000"/>
          <w:sz w:val="24"/>
          <w:szCs w:val="24"/>
          <w:lang w:eastAsia="en-GB"/>
        </w:rPr>
        <w:t xml:space="preserve"> </w:t>
      </w:r>
    </w:p>
    <w:p w14:paraId="78A28272" w14:textId="36B4D958" w:rsidR="00265814" w:rsidRPr="00AE141E" w:rsidRDefault="00265814" w:rsidP="00AE141E">
      <w:pPr>
        <w:spacing w:line="360" w:lineRule="auto"/>
        <w:rPr>
          <w:rFonts w:ascii="Times New Roman" w:eastAsia="Times New Roman" w:hAnsi="Times New Roman" w:cs="Times New Roman"/>
          <w:color w:val="000000"/>
          <w:sz w:val="24"/>
          <w:szCs w:val="24"/>
          <w:lang w:eastAsia="en-GB"/>
        </w:rPr>
      </w:pPr>
      <w:r w:rsidRPr="000706FE">
        <w:rPr>
          <w:rFonts w:ascii="Times New Roman" w:eastAsia="Times New Roman" w:hAnsi="Times New Roman" w:cs="Times New Roman"/>
          <w:color w:val="000000"/>
          <w:sz w:val="24"/>
          <w:szCs w:val="24"/>
          <w:lang w:eastAsia="en-GB"/>
        </w:rPr>
        <w:t>No career was more emblematic of the shifting consensus than that of the long-term Conservative Member of Parliament (MP) Enoch Powell, who had once dreamed of becoming Viceroy of India.</w:t>
      </w:r>
      <w:r w:rsidR="00FF12E5" w:rsidRPr="000706FE">
        <w:rPr>
          <w:rFonts w:ascii="Times New Roman" w:eastAsia="Times New Roman" w:hAnsi="Times New Roman" w:cs="Times New Roman"/>
          <w:color w:val="000000"/>
          <w:sz w:val="24"/>
          <w:szCs w:val="24"/>
          <w:lang w:eastAsia="en-GB"/>
        </w:rPr>
        <w:t xml:space="preserve"> Powell recalled Indian independence as a moment of profound psychological crisis, in which old certainties were unsettled.</w:t>
      </w:r>
      <w:r w:rsidRPr="000706FE">
        <w:rPr>
          <w:rStyle w:val="FootnoteReference"/>
          <w:rFonts w:ascii="Times New Roman" w:eastAsia="Times New Roman" w:hAnsi="Times New Roman" w:cs="Times New Roman"/>
          <w:color w:val="000000"/>
          <w:sz w:val="24"/>
          <w:szCs w:val="24"/>
          <w:lang w:eastAsia="en-GB"/>
        </w:rPr>
        <w:footnoteReference w:id="14"/>
      </w:r>
      <w:r w:rsidRPr="000706FE">
        <w:rPr>
          <w:rFonts w:ascii="Times New Roman" w:eastAsia="Times New Roman" w:hAnsi="Times New Roman" w:cs="Times New Roman"/>
          <w:color w:val="000000"/>
          <w:sz w:val="24"/>
          <w:szCs w:val="24"/>
          <w:lang w:eastAsia="en-GB"/>
        </w:rPr>
        <w:t xml:space="preserve"> Nevertheless, his electoral address upon becoming an MP three years later invoked a continued belief in the centrality of empire to British national identity. Without the empire, Powell asserted, ‘Britain would be like a head without a body</w:t>
      </w:r>
      <w:r w:rsidR="00376D5A" w:rsidRPr="000706FE">
        <w:rPr>
          <w:rFonts w:ascii="Times New Roman" w:eastAsia="Times New Roman" w:hAnsi="Times New Roman" w:cs="Times New Roman"/>
          <w:color w:val="000000"/>
          <w:sz w:val="24"/>
          <w:szCs w:val="24"/>
          <w:lang w:eastAsia="en-GB"/>
        </w:rPr>
        <w:t>’</w:t>
      </w:r>
      <w:r w:rsidRPr="000706FE">
        <w:rPr>
          <w:rFonts w:ascii="Times New Roman" w:eastAsia="Times New Roman" w:hAnsi="Times New Roman" w:cs="Times New Roman"/>
          <w:color w:val="000000"/>
          <w:sz w:val="24"/>
          <w:szCs w:val="24"/>
          <w:lang w:eastAsia="en-GB"/>
        </w:rPr>
        <w:t>.</w:t>
      </w:r>
      <w:r w:rsidR="00246854" w:rsidRPr="000706FE">
        <w:rPr>
          <w:rStyle w:val="FootnoteReference"/>
          <w:rFonts w:ascii="Times New Roman" w:eastAsia="Times New Roman" w:hAnsi="Times New Roman" w:cs="Times New Roman"/>
          <w:color w:val="000000"/>
          <w:sz w:val="24"/>
          <w:szCs w:val="24"/>
          <w:lang w:eastAsia="en-GB"/>
        </w:rPr>
        <w:footnoteReference w:id="15"/>
      </w:r>
      <w:r w:rsidRPr="000706FE">
        <w:rPr>
          <w:rFonts w:ascii="Times New Roman" w:eastAsia="Times New Roman" w:hAnsi="Times New Roman" w:cs="Times New Roman"/>
          <w:color w:val="000000"/>
          <w:sz w:val="24"/>
          <w:szCs w:val="24"/>
          <w:lang w:eastAsia="en-GB"/>
        </w:rPr>
        <w:t xml:space="preserve"> Just a decade later, his position had pivoted dramatically. From the early 1960s, Powell was insistent that the British empire had never truly existed – a piece of rhetorical wizardry which relied on John Robert Seeley’s traditional </w:t>
      </w:r>
      <w:r w:rsidR="0039765F" w:rsidRPr="000706FE">
        <w:rPr>
          <w:rFonts w:ascii="Times New Roman" w:eastAsia="Times New Roman" w:hAnsi="Times New Roman" w:cs="Times New Roman"/>
          <w:color w:val="000000"/>
          <w:sz w:val="24"/>
          <w:szCs w:val="24"/>
          <w:lang w:eastAsia="en-GB"/>
        </w:rPr>
        <w:t>disavowal</w:t>
      </w:r>
      <w:r w:rsidRPr="000706FE">
        <w:rPr>
          <w:rFonts w:ascii="Times New Roman" w:eastAsia="Times New Roman" w:hAnsi="Times New Roman" w:cs="Times New Roman"/>
          <w:color w:val="000000"/>
          <w:sz w:val="24"/>
          <w:szCs w:val="24"/>
          <w:lang w:eastAsia="en-GB"/>
        </w:rPr>
        <w:t xml:space="preserve"> of British imperialism as an intentional practice, and through which the country was believed to have ‘conquered and peopled half the world in a fit of absence of mind’.</w:t>
      </w:r>
      <w:r w:rsidR="00953D8C" w:rsidRPr="000706FE">
        <w:rPr>
          <w:rStyle w:val="FootnoteReference"/>
          <w:rFonts w:ascii="Times New Roman" w:eastAsia="Times New Roman" w:hAnsi="Times New Roman" w:cs="Times New Roman"/>
          <w:color w:val="000000"/>
          <w:sz w:val="24"/>
          <w:szCs w:val="24"/>
          <w:lang w:eastAsia="en-GB"/>
        </w:rPr>
        <w:footnoteReference w:id="16"/>
      </w:r>
      <w:r w:rsidRPr="000706FE">
        <w:rPr>
          <w:rFonts w:ascii="Times New Roman" w:eastAsia="Times New Roman" w:hAnsi="Times New Roman" w:cs="Times New Roman"/>
          <w:color w:val="000000"/>
          <w:sz w:val="24"/>
          <w:szCs w:val="24"/>
          <w:lang w:eastAsia="en-GB"/>
        </w:rPr>
        <w:t xml:space="preserve"> For Powell, empire was a distraction from Britain’s true destiny as an island nation, characterised by a uniquely rich constitutional tradition, which had endured ‘unbroken’ over the course of centuries. As such, he urged his fellow politicians to jettison the dead-weight of empire and turn their attention </w:t>
      </w:r>
      <w:r w:rsidRPr="000706FE">
        <w:rPr>
          <w:rFonts w:ascii="Times New Roman" w:eastAsia="Times New Roman" w:hAnsi="Times New Roman" w:cs="Times New Roman"/>
          <w:color w:val="000000"/>
          <w:sz w:val="24"/>
          <w:szCs w:val="24"/>
          <w:lang w:eastAsia="en-GB"/>
        </w:rPr>
        <w:lastRenderedPageBreak/>
        <w:t>inwards. This implied the abandonment of empire and related systems of government and international influence – including the Commonwealth.</w:t>
      </w:r>
    </w:p>
    <w:p w14:paraId="0D733F23" w14:textId="04AFAAA5" w:rsidR="00265814" w:rsidRPr="00AE141E" w:rsidRDefault="00265814"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The ‘British Commonwealth of Nations’, or the ‘British Commonwealth’, had its origins in empire and the ideology of race. Wendy Webster notes the term was used ambiguously and inconsistently: the ‘British Commonwealth’ was occasionally treated as interchangeable with empire, but usually denoted a ‘racial community of Britons in the self-governing Dominions’ (a category which, under the Treaty of Westminster, included Canada, Australia, New Zealand, South Africa, Ireland, and Newfoundland).</w:t>
      </w:r>
      <w:r w:rsidRPr="00AE141E">
        <w:rPr>
          <w:rStyle w:val="FootnoteReference"/>
          <w:rFonts w:ascii="Times New Roman" w:eastAsia="Times New Roman" w:hAnsi="Times New Roman" w:cs="Times New Roman"/>
          <w:color w:val="000000"/>
          <w:sz w:val="24"/>
          <w:szCs w:val="24"/>
          <w:lang w:eastAsia="en-GB"/>
        </w:rPr>
        <w:footnoteReference w:id="17"/>
      </w:r>
      <w:r w:rsidRPr="00AE141E">
        <w:rPr>
          <w:rFonts w:ascii="Times New Roman" w:eastAsia="Times New Roman" w:hAnsi="Times New Roman" w:cs="Times New Roman"/>
          <w:color w:val="000000"/>
          <w:sz w:val="24"/>
          <w:szCs w:val="24"/>
          <w:lang w:eastAsia="en-GB"/>
        </w:rPr>
        <w:t xml:space="preserve">  The ‘British Commonwealth’ was dramatically reconceived in the years following the Second World War. Upon independence, India, Pakistan, and Ceylon (Sri Lanka) all became self-governing Dominions and joined the Commonwealth – undermining its traditional, racialised constitution. The London Declaration of 1949 recognised the new status quo. Commonwealth membership no longer entailed acceptance of the British monarch as head of state, in recognition of Indian republicanism.</w:t>
      </w:r>
      <w:r w:rsidRPr="00AE141E">
        <w:rPr>
          <w:rStyle w:val="FootnoteReference"/>
          <w:rFonts w:ascii="Times New Roman" w:eastAsia="Times New Roman" w:hAnsi="Times New Roman" w:cs="Times New Roman"/>
          <w:color w:val="000000"/>
          <w:sz w:val="24"/>
          <w:szCs w:val="24"/>
          <w:lang w:eastAsia="en-GB"/>
        </w:rPr>
        <w:footnoteReference w:id="18"/>
      </w:r>
      <w:r w:rsidRPr="00AE141E">
        <w:rPr>
          <w:rFonts w:ascii="Times New Roman" w:eastAsia="Times New Roman" w:hAnsi="Times New Roman" w:cs="Times New Roman"/>
          <w:color w:val="000000"/>
          <w:sz w:val="24"/>
          <w:szCs w:val="24"/>
          <w:lang w:eastAsia="en-GB"/>
        </w:rPr>
        <w:t xml:space="preserve"> The ‘Commonwealth of Nations’ (‘the Commonwealth) hereafter superseded the ‘British Commonwealth’. It was established as a ‘free and equal’ international community, enshrining principles of ‘modernity, democracy, and freedom’. </w:t>
      </w:r>
      <w:r w:rsidR="000802BA">
        <w:rPr>
          <w:rFonts w:ascii="Times New Roman" w:eastAsia="Times New Roman" w:hAnsi="Times New Roman" w:cs="Times New Roman"/>
          <w:color w:val="000000"/>
          <w:sz w:val="24"/>
          <w:szCs w:val="24"/>
          <w:lang w:eastAsia="en-GB"/>
        </w:rPr>
        <w:t>Most member</w:t>
      </w:r>
      <w:r w:rsidR="008B1F65">
        <w:rPr>
          <w:rFonts w:ascii="Times New Roman" w:eastAsia="Times New Roman" w:hAnsi="Times New Roman" w:cs="Times New Roman"/>
          <w:color w:val="000000"/>
          <w:sz w:val="24"/>
          <w:szCs w:val="24"/>
          <w:lang w:eastAsia="en-GB"/>
        </w:rPr>
        <w:t xml:space="preserve"> states</w:t>
      </w:r>
      <w:r w:rsidR="000802BA">
        <w:rPr>
          <w:rFonts w:ascii="Times New Roman" w:eastAsia="Times New Roman" w:hAnsi="Times New Roman" w:cs="Times New Roman"/>
          <w:color w:val="000000"/>
          <w:sz w:val="24"/>
          <w:szCs w:val="24"/>
          <w:lang w:eastAsia="en-GB"/>
        </w:rPr>
        <w:t xml:space="preserve"> were </w:t>
      </w:r>
      <w:r w:rsidRPr="00AE141E">
        <w:rPr>
          <w:rFonts w:ascii="Times New Roman" w:eastAsia="Times New Roman" w:hAnsi="Times New Roman" w:cs="Times New Roman"/>
          <w:color w:val="000000"/>
          <w:sz w:val="24"/>
          <w:szCs w:val="24"/>
          <w:lang w:eastAsia="en-GB"/>
        </w:rPr>
        <w:t xml:space="preserve">current </w:t>
      </w:r>
      <w:r w:rsidR="008B1F65">
        <w:rPr>
          <w:rFonts w:ascii="Times New Roman" w:eastAsia="Times New Roman" w:hAnsi="Times New Roman" w:cs="Times New Roman"/>
          <w:color w:val="000000"/>
          <w:sz w:val="24"/>
          <w:szCs w:val="24"/>
          <w:lang w:eastAsia="en-GB"/>
        </w:rPr>
        <w:t>or</w:t>
      </w:r>
      <w:r w:rsidRPr="00AE141E">
        <w:rPr>
          <w:rFonts w:ascii="Times New Roman" w:eastAsia="Times New Roman" w:hAnsi="Times New Roman" w:cs="Times New Roman"/>
          <w:color w:val="000000"/>
          <w:sz w:val="24"/>
          <w:szCs w:val="24"/>
          <w:lang w:eastAsia="en-GB"/>
        </w:rPr>
        <w:t xml:space="preserve"> former British colonies.</w:t>
      </w:r>
    </w:p>
    <w:p w14:paraId="6A13FC56" w14:textId="77777777" w:rsidR="00A77748" w:rsidRDefault="00265814"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The reconstituted Commonwealth was offered as a solution to the problem of Britain’s role in the era of colonial self-assertion and decolonisation</w:t>
      </w:r>
      <w:r w:rsidR="000935E5" w:rsidRPr="00AE141E">
        <w:rPr>
          <w:rFonts w:ascii="Times New Roman" w:eastAsia="Times New Roman" w:hAnsi="Times New Roman" w:cs="Times New Roman"/>
          <w:color w:val="000000"/>
          <w:sz w:val="24"/>
          <w:szCs w:val="24"/>
          <w:lang w:eastAsia="en-GB"/>
        </w:rPr>
        <w:t>.</w:t>
      </w:r>
      <w:r w:rsidRPr="00AE141E">
        <w:rPr>
          <w:rFonts w:ascii="Times New Roman" w:eastAsia="Times New Roman" w:hAnsi="Times New Roman" w:cs="Times New Roman"/>
          <w:color w:val="000000"/>
          <w:sz w:val="24"/>
          <w:szCs w:val="24"/>
          <w:lang w:eastAsia="en-GB"/>
        </w:rPr>
        <w:t xml:space="preserve"> </w:t>
      </w:r>
      <w:r w:rsidR="000935E5" w:rsidRPr="00AE141E">
        <w:rPr>
          <w:rFonts w:ascii="Times New Roman" w:eastAsia="Times New Roman" w:hAnsi="Times New Roman" w:cs="Times New Roman"/>
          <w:color w:val="000000"/>
          <w:sz w:val="24"/>
          <w:szCs w:val="24"/>
          <w:lang w:eastAsia="en-GB"/>
        </w:rPr>
        <w:t>A</w:t>
      </w:r>
      <w:r w:rsidRPr="00AE141E">
        <w:rPr>
          <w:rFonts w:ascii="Times New Roman" w:eastAsia="Times New Roman" w:hAnsi="Times New Roman" w:cs="Times New Roman"/>
          <w:color w:val="000000"/>
          <w:sz w:val="24"/>
          <w:szCs w:val="24"/>
          <w:lang w:eastAsia="en-GB"/>
        </w:rPr>
        <w:t>s the American Secretary of State Dean Acheson suggested, the loss of imperial power required the country to take on a new role.</w:t>
      </w:r>
      <w:r w:rsidRPr="00AE141E">
        <w:rPr>
          <w:rStyle w:val="FootnoteReference"/>
          <w:rFonts w:ascii="Times New Roman" w:eastAsia="Times New Roman" w:hAnsi="Times New Roman" w:cs="Times New Roman"/>
          <w:color w:val="000000"/>
          <w:sz w:val="24"/>
          <w:szCs w:val="24"/>
          <w:lang w:eastAsia="en-GB"/>
        </w:rPr>
        <w:footnoteReference w:id="19"/>
      </w:r>
      <w:r w:rsidRPr="00AE141E">
        <w:rPr>
          <w:rFonts w:ascii="Times New Roman" w:eastAsia="Times New Roman" w:hAnsi="Times New Roman" w:cs="Times New Roman"/>
          <w:color w:val="000000"/>
          <w:sz w:val="24"/>
          <w:szCs w:val="24"/>
          <w:lang w:eastAsia="en-GB"/>
        </w:rPr>
        <w:t xml:space="preserve"> The Commonwealth was positioned as the successor to the aims and aspirations of the British empire. Much as Indian independence had been interpreted as the culmination of the British mission, the desire of former colonies to join in free association with the metropole was treated as proof and vindication of the imperial project. As David Cannadine put it, the end</w:t>
      </w:r>
      <w:r w:rsidR="00A77748">
        <w:rPr>
          <w:rFonts w:ascii="Times New Roman" w:eastAsia="Times New Roman" w:hAnsi="Times New Roman" w:cs="Times New Roman"/>
          <w:color w:val="000000"/>
          <w:sz w:val="24"/>
          <w:szCs w:val="24"/>
          <w:lang w:eastAsia="en-GB"/>
        </w:rPr>
        <w:t>s</w:t>
      </w:r>
      <w:r w:rsidRPr="00AE141E">
        <w:rPr>
          <w:rFonts w:ascii="Times New Roman" w:eastAsia="Times New Roman" w:hAnsi="Times New Roman" w:cs="Times New Roman"/>
          <w:color w:val="000000"/>
          <w:sz w:val="24"/>
          <w:szCs w:val="24"/>
          <w:lang w:eastAsia="en-GB"/>
        </w:rPr>
        <w:t xml:space="preserve"> of the British empire </w:t>
      </w:r>
      <w:r w:rsidR="00A77748" w:rsidRPr="00AE141E">
        <w:rPr>
          <w:rFonts w:ascii="Times New Roman" w:eastAsia="Times New Roman" w:hAnsi="Times New Roman" w:cs="Times New Roman"/>
          <w:color w:val="000000"/>
          <w:sz w:val="24"/>
          <w:szCs w:val="24"/>
          <w:lang w:eastAsia="en-GB"/>
        </w:rPr>
        <w:t>were</w:t>
      </w:r>
      <w:r w:rsidRPr="00AE141E">
        <w:rPr>
          <w:rFonts w:ascii="Times New Roman" w:eastAsia="Times New Roman" w:hAnsi="Times New Roman" w:cs="Times New Roman"/>
          <w:color w:val="000000"/>
          <w:sz w:val="24"/>
          <w:szCs w:val="24"/>
          <w:lang w:eastAsia="en-GB"/>
        </w:rPr>
        <w:t xml:space="preserve"> now portrayed ‘as the whole </w:t>
      </w:r>
      <w:r w:rsidRPr="00AE141E">
        <w:rPr>
          <w:rFonts w:ascii="Times New Roman" w:eastAsia="Times New Roman" w:hAnsi="Times New Roman" w:cs="Times New Roman"/>
          <w:i/>
          <w:color w:val="000000"/>
          <w:sz w:val="24"/>
          <w:szCs w:val="24"/>
          <w:lang w:eastAsia="en-GB"/>
        </w:rPr>
        <w:t>point</w:t>
      </w:r>
      <w:r w:rsidRPr="00AE141E">
        <w:rPr>
          <w:rFonts w:ascii="Times New Roman" w:eastAsia="Times New Roman" w:hAnsi="Times New Roman" w:cs="Times New Roman"/>
          <w:color w:val="000000"/>
          <w:sz w:val="24"/>
          <w:szCs w:val="24"/>
          <w:lang w:eastAsia="en-GB"/>
        </w:rPr>
        <w:t xml:space="preserve"> of the British empire</w:t>
      </w:r>
      <w:r w:rsidR="00A77748">
        <w:rPr>
          <w:rFonts w:ascii="Times New Roman" w:eastAsia="Times New Roman" w:hAnsi="Times New Roman" w:cs="Times New Roman"/>
          <w:color w:val="000000"/>
          <w:sz w:val="24"/>
          <w:szCs w:val="24"/>
          <w:lang w:eastAsia="en-GB"/>
        </w:rPr>
        <w:t xml:space="preserve"> [emphasis in original]</w:t>
      </w:r>
      <w:r w:rsidRPr="00AE141E">
        <w:rPr>
          <w:rFonts w:ascii="Times New Roman" w:eastAsia="Times New Roman" w:hAnsi="Times New Roman" w:cs="Times New Roman"/>
          <w:color w:val="000000"/>
          <w:sz w:val="24"/>
          <w:szCs w:val="24"/>
          <w:lang w:eastAsia="en-GB"/>
        </w:rPr>
        <w:t>’.</w:t>
      </w:r>
      <w:r w:rsidRPr="00AE141E">
        <w:rPr>
          <w:rStyle w:val="FootnoteReference"/>
          <w:rFonts w:ascii="Times New Roman" w:eastAsia="Times New Roman" w:hAnsi="Times New Roman" w:cs="Times New Roman"/>
          <w:color w:val="000000"/>
          <w:sz w:val="24"/>
          <w:szCs w:val="24"/>
          <w:lang w:eastAsia="en-GB"/>
        </w:rPr>
        <w:footnoteReference w:id="20"/>
      </w:r>
      <w:r w:rsidRPr="00AE141E">
        <w:rPr>
          <w:rFonts w:ascii="Times New Roman" w:eastAsia="Times New Roman" w:hAnsi="Times New Roman" w:cs="Times New Roman"/>
          <w:color w:val="000000"/>
          <w:sz w:val="24"/>
          <w:szCs w:val="24"/>
          <w:lang w:eastAsia="en-GB"/>
        </w:rPr>
        <w:t xml:space="preserve"> </w:t>
      </w:r>
    </w:p>
    <w:p w14:paraId="1949CE99" w14:textId="6EF36A6D" w:rsidR="00265814" w:rsidRPr="00AE141E" w:rsidRDefault="00265814"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lastRenderedPageBreak/>
        <w:t xml:space="preserve">The Commonwealth served to prop up Britain’s international status (and self-perception) as a world power </w:t>
      </w:r>
      <w:r w:rsidR="00A77748">
        <w:rPr>
          <w:rFonts w:ascii="Times New Roman" w:eastAsia="Times New Roman" w:hAnsi="Times New Roman" w:cs="Times New Roman"/>
          <w:color w:val="000000"/>
          <w:sz w:val="24"/>
          <w:szCs w:val="24"/>
          <w:lang w:eastAsia="en-GB"/>
        </w:rPr>
        <w:t>when</w:t>
      </w:r>
      <w:r w:rsidRPr="00AE141E">
        <w:rPr>
          <w:rFonts w:ascii="Times New Roman" w:eastAsia="Times New Roman" w:hAnsi="Times New Roman" w:cs="Times New Roman"/>
          <w:color w:val="000000"/>
          <w:sz w:val="24"/>
          <w:szCs w:val="24"/>
          <w:lang w:eastAsia="en-GB"/>
        </w:rPr>
        <w:t xml:space="preserve"> the material support for this position was rapidly dissipating. Somewhat contradictorily, attempts were also made to distinguish it from ‘the Empires of the past’.</w:t>
      </w:r>
      <w:r w:rsidRPr="00AE141E">
        <w:rPr>
          <w:rStyle w:val="FootnoteReference"/>
          <w:rFonts w:ascii="Times New Roman" w:eastAsia="Times New Roman" w:hAnsi="Times New Roman" w:cs="Times New Roman"/>
          <w:color w:val="000000"/>
          <w:sz w:val="24"/>
          <w:szCs w:val="24"/>
          <w:lang w:eastAsia="en-GB"/>
        </w:rPr>
        <w:footnoteReference w:id="21"/>
      </w:r>
      <w:r w:rsidRPr="00AE141E">
        <w:rPr>
          <w:rFonts w:ascii="Times New Roman" w:eastAsia="Times New Roman" w:hAnsi="Times New Roman" w:cs="Times New Roman"/>
          <w:color w:val="000000"/>
          <w:sz w:val="24"/>
          <w:szCs w:val="24"/>
          <w:lang w:eastAsia="en-GB"/>
        </w:rPr>
        <w:t xml:space="preserve"> In one of the Commonwealth’s most famous formulations, Queen Elizabeth II described it as ‘an entirely new conception – built on the highest qualities of the Spirit of Man: friendship, loyalty, and the desire for freedom and peace’.</w:t>
      </w:r>
      <w:r w:rsidR="00793A39">
        <w:rPr>
          <w:rStyle w:val="FootnoteReference"/>
          <w:rFonts w:ascii="Times New Roman" w:eastAsia="Times New Roman" w:hAnsi="Times New Roman" w:cs="Times New Roman"/>
          <w:color w:val="000000"/>
          <w:sz w:val="24"/>
          <w:szCs w:val="24"/>
          <w:lang w:eastAsia="en-GB"/>
        </w:rPr>
        <w:footnoteReference w:id="22"/>
      </w:r>
      <w:r w:rsidRPr="00AE141E">
        <w:rPr>
          <w:rFonts w:ascii="Times New Roman" w:eastAsia="Times New Roman" w:hAnsi="Times New Roman" w:cs="Times New Roman"/>
          <w:color w:val="000000"/>
          <w:sz w:val="24"/>
          <w:szCs w:val="24"/>
          <w:lang w:eastAsia="en-GB"/>
        </w:rPr>
        <w:t xml:space="preserve"> Such rhetoric did little to divest the Commonwealth of its underlying association with empire. Even if the modern Commonwealth was not </w:t>
      </w:r>
      <w:r w:rsidRPr="00AE141E">
        <w:rPr>
          <w:rFonts w:ascii="Times New Roman" w:eastAsia="Times New Roman" w:hAnsi="Times New Roman" w:cs="Times New Roman"/>
          <w:i/>
          <w:color w:val="000000"/>
          <w:sz w:val="24"/>
          <w:szCs w:val="24"/>
          <w:lang w:eastAsia="en-GB"/>
        </w:rPr>
        <w:t>intended</w:t>
      </w:r>
      <w:r w:rsidRPr="00AE141E">
        <w:rPr>
          <w:rFonts w:ascii="Times New Roman" w:eastAsia="Times New Roman" w:hAnsi="Times New Roman" w:cs="Times New Roman"/>
          <w:color w:val="000000"/>
          <w:sz w:val="24"/>
          <w:szCs w:val="24"/>
          <w:lang w:eastAsia="en-GB"/>
        </w:rPr>
        <w:t xml:space="preserve"> as a neo-colonial endeavour, it must certainly be read as an outgrowth of imperial historical consciousness.</w:t>
      </w:r>
      <w:r w:rsidR="005C66FB" w:rsidRPr="00AE141E">
        <w:rPr>
          <w:rStyle w:val="FootnoteReference"/>
          <w:rFonts w:ascii="Times New Roman" w:eastAsia="Times New Roman" w:hAnsi="Times New Roman" w:cs="Times New Roman"/>
          <w:color w:val="000000"/>
          <w:sz w:val="24"/>
          <w:szCs w:val="24"/>
          <w:lang w:eastAsia="en-GB"/>
        </w:rPr>
        <w:footnoteReference w:id="23"/>
      </w:r>
    </w:p>
    <w:p w14:paraId="3F8795DB" w14:textId="6AABC434" w:rsidR="00265814" w:rsidRPr="00AE141E" w:rsidRDefault="00265814"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The Commonwealth was </w:t>
      </w:r>
      <w:r w:rsidR="005978A1" w:rsidRPr="00AE141E">
        <w:rPr>
          <w:rFonts w:ascii="Times New Roman" w:eastAsia="Times New Roman" w:hAnsi="Times New Roman" w:cs="Times New Roman"/>
          <w:color w:val="000000"/>
          <w:sz w:val="24"/>
          <w:szCs w:val="24"/>
          <w:lang w:eastAsia="en-GB"/>
        </w:rPr>
        <w:t xml:space="preserve">one of many </w:t>
      </w:r>
      <w:r w:rsidR="00DA661C" w:rsidRPr="00AE141E">
        <w:rPr>
          <w:rFonts w:ascii="Times New Roman" w:eastAsia="Times New Roman" w:hAnsi="Times New Roman" w:cs="Times New Roman"/>
          <w:color w:val="000000"/>
          <w:sz w:val="24"/>
          <w:szCs w:val="24"/>
          <w:lang w:eastAsia="en-GB"/>
        </w:rPr>
        <w:t xml:space="preserve">proposed </w:t>
      </w:r>
      <w:r w:rsidR="005978A1" w:rsidRPr="00AE141E">
        <w:rPr>
          <w:rFonts w:ascii="Times New Roman" w:eastAsia="Times New Roman" w:hAnsi="Times New Roman" w:cs="Times New Roman"/>
          <w:color w:val="000000"/>
          <w:sz w:val="24"/>
          <w:szCs w:val="24"/>
          <w:lang w:eastAsia="en-GB"/>
        </w:rPr>
        <w:t xml:space="preserve">solutions </w:t>
      </w:r>
      <w:r w:rsidRPr="00AE141E">
        <w:rPr>
          <w:rFonts w:ascii="Times New Roman" w:eastAsia="Times New Roman" w:hAnsi="Times New Roman" w:cs="Times New Roman"/>
          <w:color w:val="000000"/>
          <w:sz w:val="24"/>
          <w:szCs w:val="24"/>
          <w:lang w:eastAsia="en-GB"/>
        </w:rPr>
        <w:t>to the problem of Britain’s post-war position</w:t>
      </w:r>
      <w:r w:rsidR="005978A1" w:rsidRPr="00AE141E">
        <w:rPr>
          <w:rFonts w:ascii="Times New Roman" w:eastAsia="Times New Roman" w:hAnsi="Times New Roman" w:cs="Times New Roman"/>
          <w:color w:val="000000"/>
          <w:sz w:val="24"/>
          <w:szCs w:val="24"/>
          <w:lang w:eastAsia="en-GB"/>
        </w:rPr>
        <w:t>. P</w:t>
      </w:r>
      <w:r w:rsidRPr="00AE141E">
        <w:rPr>
          <w:rFonts w:ascii="Times New Roman" w:eastAsia="Times New Roman" w:hAnsi="Times New Roman" w:cs="Times New Roman"/>
          <w:color w:val="000000"/>
          <w:sz w:val="24"/>
          <w:szCs w:val="24"/>
          <w:lang w:eastAsia="en-GB"/>
        </w:rPr>
        <w:t>oliticians treated it in conjunction with – and occasionally as a rival to – reorientation towards Washington and Europe. A third, more isolationist position, was articulated by Powell. Unsurprisingly, his rejection of the global entanglement of empire and Commonwealth carried a racist subtext. Until 1971, citizens of Commonwealth nations held the legal status of ‘British subjects’.</w:t>
      </w:r>
      <w:r w:rsidRPr="00AE141E">
        <w:rPr>
          <w:rStyle w:val="FootnoteReference"/>
          <w:rFonts w:ascii="Times New Roman" w:eastAsia="Times New Roman" w:hAnsi="Times New Roman" w:cs="Times New Roman"/>
          <w:color w:val="000000"/>
          <w:sz w:val="24"/>
          <w:szCs w:val="24"/>
          <w:lang w:eastAsia="en-GB"/>
        </w:rPr>
        <w:footnoteReference w:id="24"/>
      </w:r>
      <w:r w:rsidRPr="00AE141E">
        <w:rPr>
          <w:rFonts w:ascii="Times New Roman" w:eastAsia="Times New Roman" w:hAnsi="Times New Roman" w:cs="Times New Roman"/>
          <w:color w:val="000000"/>
          <w:sz w:val="24"/>
          <w:szCs w:val="24"/>
          <w:lang w:eastAsia="en-GB"/>
        </w:rPr>
        <w:t xml:space="preserve"> Additionally, there existed a strong identification with a British national identity forged by colonisation – especially in the Caribbean.</w:t>
      </w:r>
      <w:r w:rsidR="00DA661C" w:rsidRPr="00AE141E">
        <w:rPr>
          <w:rFonts w:ascii="Times New Roman" w:eastAsia="Times New Roman" w:hAnsi="Times New Roman" w:cs="Times New Roman"/>
          <w:color w:val="000000"/>
          <w:sz w:val="24"/>
          <w:szCs w:val="24"/>
          <w:lang w:eastAsia="en-GB"/>
        </w:rPr>
        <w:t xml:space="preserve"> </w:t>
      </w:r>
      <w:r w:rsidRPr="00AE141E">
        <w:rPr>
          <w:rFonts w:ascii="Times New Roman" w:eastAsia="Times New Roman" w:hAnsi="Times New Roman" w:cs="Times New Roman"/>
          <w:color w:val="000000"/>
          <w:sz w:val="24"/>
          <w:szCs w:val="24"/>
          <w:lang w:eastAsia="en-GB"/>
        </w:rPr>
        <w:t xml:space="preserve">By denying the existence of empire, Powell deprived post-war immigration from Commonwealth countries of </w:t>
      </w:r>
      <w:r w:rsidR="00FD0999" w:rsidRPr="00AE141E">
        <w:rPr>
          <w:rFonts w:ascii="Times New Roman" w:eastAsia="Times New Roman" w:hAnsi="Times New Roman" w:cs="Times New Roman"/>
          <w:color w:val="000000"/>
          <w:sz w:val="24"/>
          <w:szCs w:val="24"/>
          <w:lang w:eastAsia="en-GB"/>
        </w:rPr>
        <w:t xml:space="preserve">its </w:t>
      </w:r>
      <w:r w:rsidRPr="00AE141E">
        <w:rPr>
          <w:rFonts w:ascii="Times New Roman" w:eastAsia="Times New Roman" w:hAnsi="Times New Roman" w:cs="Times New Roman"/>
          <w:color w:val="000000"/>
          <w:sz w:val="24"/>
          <w:szCs w:val="24"/>
          <w:lang w:eastAsia="en-GB"/>
        </w:rPr>
        <w:t>historical context and political rationale. He viewed the boundary of national identity as coterminous with the</w:t>
      </w:r>
      <w:r w:rsidR="000704AC" w:rsidRPr="00AE141E">
        <w:rPr>
          <w:rFonts w:ascii="Times New Roman" w:eastAsia="Times New Roman" w:hAnsi="Times New Roman" w:cs="Times New Roman"/>
          <w:color w:val="000000"/>
          <w:sz w:val="24"/>
          <w:szCs w:val="24"/>
          <w:lang w:eastAsia="en-GB"/>
        </w:rPr>
        <w:t xml:space="preserve"> physical</w:t>
      </w:r>
      <w:r w:rsidRPr="00AE141E">
        <w:rPr>
          <w:rFonts w:ascii="Times New Roman" w:eastAsia="Times New Roman" w:hAnsi="Times New Roman" w:cs="Times New Roman"/>
          <w:color w:val="000000"/>
          <w:sz w:val="24"/>
          <w:szCs w:val="24"/>
          <w:lang w:eastAsia="en-GB"/>
        </w:rPr>
        <w:t xml:space="preserve"> edges</w:t>
      </w:r>
      <w:r w:rsidR="000704AC" w:rsidRPr="00AE141E">
        <w:rPr>
          <w:rFonts w:ascii="Times New Roman" w:eastAsia="Times New Roman" w:hAnsi="Times New Roman" w:cs="Times New Roman"/>
          <w:color w:val="000000"/>
          <w:sz w:val="24"/>
          <w:szCs w:val="24"/>
          <w:lang w:eastAsia="en-GB"/>
        </w:rPr>
        <w:t xml:space="preserve"> </w:t>
      </w:r>
      <w:r w:rsidRPr="00AE141E">
        <w:rPr>
          <w:rFonts w:ascii="Times New Roman" w:eastAsia="Times New Roman" w:hAnsi="Times New Roman" w:cs="Times New Roman"/>
          <w:color w:val="000000"/>
          <w:sz w:val="24"/>
          <w:szCs w:val="24"/>
          <w:lang w:eastAsia="en-GB"/>
        </w:rPr>
        <w:t>of the British Isles. This boundary was to be enforced by a redefinition of Britain’s borders, intended to facilitate tight immigration</w:t>
      </w:r>
      <w:r w:rsidR="007B3A32" w:rsidRPr="00AE141E">
        <w:rPr>
          <w:rFonts w:ascii="Times New Roman" w:eastAsia="Times New Roman" w:hAnsi="Times New Roman" w:cs="Times New Roman"/>
          <w:color w:val="000000"/>
          <w:sz w:val="24"/>
          <w:szCs w:val="24"/>
          <w:lang w:eastAsia="en-GB"/>
        </w:rPr>
        <w:t xml:space="preserve"> </w:t>
      </w:r>
      <w:r w:rsidRPr="00AE141E">
        <w:rPr>
          <w:rFonts w:ascii="Times New Roman" w:eastAsia="Times New Roman" w:hAnsi="Times New Roman" w:cs="Times New Roman"/>
          <w:color w:val="000000"/>
          <w:sz w:val="24"/>
          <w:szCs w:val="24"/>
          <w:lang w:eastAsia="en-GB"/>
        </w:rPr>
        <w:t xml:space="preserve">control. </w:t>
      </w:r>
    </w:p>
    <w:p w14:paraId="4F8CB6F8" w14:textId="074F535C" w:rsidR="00265814" w:rsidRPr="00AE141E" w:rsidRDefault="00265814"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Powell’s views were by no means exceptional. They reflected a deeper current in post-war popular culture, described by Webster as an ‘embattled’ sense of Englishness, defined in </w:t>
      </w:r>
      <w:r w:rsidRPr="00AE141E">
        <w:rPr>
          <w:rFonts w:ascii="Times New Roman" w:eastAsia="Times New Roman" w:hAnsi="Times New Roman" w:cs="Times New Roman"/>
          <w:color w:val="000000"/>
          <w:sz w:val="24"/>
          <w:szCs w:val="24"/>
          <w:lang w:eastAsia="en-GB"/>
        </w:rPr>
        <w:lastRenderedPageBreak/>
        <w:t>opposition to empire and Commonwealth.</w:t>
      </w:r>
      <w:r w:rsidRPr="00AE141E">
        <w:rPr>
          <w:rStyle w:val="FootnoteReference"/>
          <w:rFonts w:ascii="Times New Roman" w:eastAsia="Times New Roman" w:hAnsi="Times New Roman" w:cs="Times New Roman"/>
          <w:color w:val="000000"/>
          <w:sz w:val="24"/>
          <w:szCs w:val="24"/>
          <w:lang w:eastAsia="en-GB"/>
        </w:rPr>
        <w:footnoteReference w:id="25"/>
      </w:r>
      <w:r w:rsidRPr="00AE141E">
        <w:rPr>
          <w:rFonts w:ascii="Times New Roman" w:eastAsia="Times New Roman" w:hAnsi="Times New Roman" w:cs="Times New Roman"/>
          <w:color w:val="000000"/>
          <w:sz w:val="24"/>
          <w:szCs w:val="24"/>
          <w:lang w:eastAsia="en-GB"/>
        </w:rPr>
        <w:t xml:space="preserve"> Metropolitan coverage of anti-colonial independence movements depicted them as threats to the noble but fragile ‘little England’ constructed by settlers and administrators in inhospitable foreign climes. The same language was applied to the metropole itself, where Commonwealth immigration was increasingly believed to pose a threat to the White national community. A distinction was drawn here between the ‘Old’ and ‘New’ Commonwealth – migrants from the latter category, which comprised downwardly racialised nations which had won independence since 1945, were singled out for resentment</w:t>
      </w:r>
      <w:r w:rsidR="00601DE8" w:rsidRPr="00AE141E">
        <w:rPr>
          <w:rFonts w:ascii="Times New Roman" w:hAnsi="Times New Roman" w:cs="Times New Roman"/>
          <w:color w:val="444746"/>
          <w:spacing w:val="3"/>
          <w:sz w:val="24"/>
          <w:szCs w:val="24"/>
        </w:rPr>
        <w:t xml:space="preserve">. </w:t>
      </w:r>
      <w:r w:rsidR="00F8302D" w:rsidRPr="00AE141E">
        <w:rPr>
          <w:rFonts w:ascii="Times New Roman" w:eastAsia="Times New Roman" w:hAnsi="Times New Roman" w:cs="Times New Roman"/>
          <w:color w:val="000000"/>
          <w:sz w:val="24"/>
          <w:szCs w:val="24"/>
          <w:lang w:eastAsia="en-GB"/>
        </w:rPr>
        <w:t>Those who travelled to the British Isles in the wake of the Second World War (sometimes called the ‘Windrush generation’) were frequently shocked by the hostile reception they received in a country which had called for their labour, and which they sometimes viewed as the ‘Motherland’</w:t>
      </w:r>
      <w:r w:rsidRPr="00AE141E">
        <w:rPr>
          <w:rFonts w:ascii="Times New Roman" w:eastAsia="Times New Roman" w:hAnsi="Times New Roman" w:cs="Times New Roman"/>
          <w:color w:val="000000"/>
          <w:sz w:val="24"/>
          <w:szCs w:val="24"/>
          <w:lang w:eastAsia="en-GB"/>
        </w:rPr>
        <w:t>.</w:t>
      </w:r>
      <w:r w:rsidRPr="00AE141E">
        <w:rPr>
          <w:rStyle w:val="FootnoteReference"/>
          <w:rFonts w:ascii="Times New Roman" w:eastAsia="Times New Roman" w:hAnsi="Times New Roman" w:cs="Times New Roman"/>
          <w:color w:val="000000"/>
          <w:sz w:val="24"/>
          <w:szCs w:val="24"/>
          <w:lang w:eastAsia="en-GB"/>
        </w:rPr>
        <w:footnoteReference w:id="26"/>
      </w:r>
      <w:r w:rsidRPr="00AE141E">
        <w:rPr>
          <w:rFonts w:ascii="Times New Roman" w:eastAsia="Times New Roman" w:hAnsi="Times New Roman" w:cs="Times New Roman"/>
          <w:color w:val="000000"/>
          <w:sz w:val="24"/>
          <w:szCs w:val="24"/>
          <w:lang w:eastAsia="en-GB"/>
        </w:rPr>
        <w:t xml:space="preserve"> The domestication of English identity denied the nation’s colonial past and rejected its legacies in the present.</w:t>
      </w:r>
      <w:r w:rsidRPr="00AE141E">
        <w:rPr>
          <w:rStyle w:val="FootnoteReference"/>
          <w:rFonts w:ascii="Times New Roman" w:eastAsia="Times New Roman" w:hAnsi="Times New Roman" w:cs="Times New Roman"/>
          <w:color w:val="000000"/>
          <w:sz w:val="24"/>
          <w:szCs w:val="24"/>
          <w:lang w:eastAsia="en-GB"/>
        </w:rPr>
        <w:footnoteReference w:id="27"/>
      </w:r>
      <w:r w:rsidRPr="00AE141E">
        <w:rPr>
          <w:rFonts w:ascii="Times New Roman" w:eastAsia="Times New Roman" w:hAnsi="Times New Roman" w:cs="Times New Roman"/>
          <w:color w:val="000000"/>
          <w:sz w:val="24"/>
          <w:szCs w:val="24"/>
          <w:lang w:eastAsia="en-GB"/>
        </w:rPr>
        <w:t xml:space="preserve"> Nevertheless, a tacit understanding of the imperial dimension of post-war migration was implied by the common descriptor of ‘reverse colonisation’</w:t>
      </w:r>
      <w:r w:rsidR="00056516" w:rsidRPr="00AE141E">
        <w:rPr>
          <w:rFonts w:ascii="Times New Roman" w:eastAsia="Times New Roman" w:hAnsi="Times New Roman" w:cs="Times New Roman"/>
          <w:color w:val="000000"/>
          <w:sz w:val="24"/>
          <w:szCs w:val="24"/>
          <w:lang w:eastAsia="en-GB"/>
        </w:rPr>
        <w:t xml:space="preserve"> – </w:t>
      </w:r>
      <w:r w:rsidRPr="00AE141E">
        <w:rPr>
          <w:rFonts w:ascii="Times New Roman" w:eastAsia="Times New Roman" w:hAnsi="Times New Roman" w:cs="Times New Roman"/>
          <w:color w:val="000000"/>
          <w:sz w:val="24"/>
          <w:szCs w:val="24"/>
          <w:lang w:eastAsia="en-GB"/>
        </w:rPr>
        <w:t>a</w:t>
      </w:r>
      <w:r w:rsidR="00056516" w:rsidRPr="00AE141E">
        <w:rPr>
          <w:rFonts w:ascii="Times New Roman" w:eastAsia="Times New Roman" w:hAnsi="Times New Roman" w:cs="Times New Roman"/>
          <w:color w:val="000000"/>
          <w:sz w:val="24"/>
          <w:szCs w:val="24"/>
          <w:lang w:eastAsia="en-GB"/>
        </w:rPr>
        <w:t xml:space="preserve"> </w:t>
      </w:r>
      <w:r w:rsidRPr="00AE141E">
        <w:rPr>
          <w:rFonts w:ascii="Times New Roman" w:eastAsia="Times New Roman" w:hAnsi="Times New Roman" w:cs="Times New Roman"/>
          <w:color w:val="000000"/>
          <w:sz w:val="24"/>
          <w:szCs w:val="24"/>
          <w:lang w:eastAsia="en-GB"/>
        </w:rPr>
        <w:t xml:space="preserve">phrase which betrayed anger and resentment at </w:t>
      </w:r>
      <w:r w:rsidR="00006AAB" w:rsidRPr="00AE141E">
        <w:rPr>
          <w:rFonts w:ascii="Times New Roman" w:eastAsia="Times New Roman" w:hAnsi="Times New Roman" w:cs="Times New Roman"/>
          <w:color w:val="000000"/>
          <w:sz w:val="24"/>
          <w:szCs w:val="24"/>
          <w:lang w:eastAsia="en-GB"/>
        </w:rPr>
        <w:t xml:space="preserve">perceived national decline, </w:t>
      </w:r>
      <w:r w:rsidRPr="00AE141E">
        <w:rPr>
          <w:rFonts w:ascii="Times New Roman" w:eastAsia="Times New Roman" w:hAnsi="Times New Roman" w:cs="Times New Roman"/>
          <w:color w:val="000000"/>
          <w:sz w:val="24"/>
          <w:szCs w:val="24"/>
          <w:lang w:eastAsia="en-GB"/>
        </w:rPr>
        <w:t>and at the sudden need to accommodate those condemned as inferior by the racial codes of empire.</w:t>
      </w:r>
      <w:r w:rsidR="00601FAA">
        <w:rPr>
          <w:rStyle w:val="FootnoteReference"/>
          <w:rFonts w:ascii="Times New Roman" w:eastAsia="Times New Roman" w:hAnsi="Times New Roman" w:cs="Times New Roman"/>
          <w:color w:val="000000"/>
          <w:sz w:val="24"/>
          <w:szCs w:val="24"/>
          <w:lang w:eastAsia="en-GB"/>
        </w:rPr>
        <w:footnoteReference w:id="28"/>
      </w:r>
    </w:p>
    <w:p w14:paraId="64541BB6" w14:textId="37F37D28" w:rsidR="00265814" w:rsidRPr="00AE141E" w:rsidRDefault="00265814"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The emergent narrative of ‘embattled Englishness’ was supported with reference to the Second World War. The contributions of colonial troops to Allied victory were systematically excised from popular historical consciousness in the years following the War: a process which culminated in the 1965 state funeral of Winston Churchill, wartime Prime Minister and former colonial administrator. As Webster observes, the ‘insistent identification of 1940 as Churchill’s “finest hour” celebrated the courage of a nation, personified by Churchill, that had stood alone’.</w:t>
      </w:r>
      <w:r w:rsidRPr="00AE141E">
        <w:rPr>
          <w:rStyle w:val="FootnoteReference"/>
          <w:rFonts w:ascii="Times New Roman" w:eastAsia="Times New Roman" w:hAnsi="Times New Roman" w:cs="Times New Roman"/>
          <w:color w:val="000000"/>
          <w:sz w:val="24"/>
          <w:szCs w:val="24"/>
          <w:lang w:eastAsia="en-GB"/>
        </w:rPr>
        <w:footnoteReference w:id="29"/>
      </w:r>
      <w:r w:rsidRPr="00AE141E">
        <w:rPr>
          <w:rFonts w:ascii="Times New Roman" w:eastAsia="Times New Roman" w:hAnsi="Times New Roman" w:cs="Times New Roman"/>
          <w:color w:val="000000"/>
          <w:sz w:val="24"/>
          <w:szCs w:val="24"/>
          <w:lang w:eastAsia="en-GB"/>
        </w:rPr>
        <w:t xml:space="preserve">  Ironically, the state funeral also revealed the transposition of the values and of imperial masculinity onto the War era.</w:t>
      </w:r>
      <w:r w:rsidR="00006AAB" w:rsidRPr="00AE141E">
        <w:rPr>
          <w:rFonts w:ascii="Times New Roman" w:eastAsia="Times New Roman" w:hAnsi="Times New Roman" w:cs="Times New Roman"/>
          <w:color w:val="000000"/>
          <w:sz w:val="24"/>
          <w:szCs w:val="24"/>
          <w:lang w:eastAsia="en-GB"/>
        </w:rPr>
        <w:t xml:space="preserve"> </w:t>
      </w:r>
      <w:r w:rsidRPr="00AE141E">
        <w:rPr>
          <w:rFonts w:ascii="Times New Roman" w:eastAsia="Times New Roman" w:hAnsi="Times New Roman" w:cs="Times New Roman"/>
          <w:color w:val="000000"/>
          <w:sz w:val="24"/>
          <w:szCs w:val="24"/>
          <w:lang w:eastAsia="en-GB"/>
        </w:rPr>
        <w:t xml:space="preserve">Churchill’s life was written in the mould of the public-school ‘officer hero’. The romance and adventure of empire, in decline </w:t>
      </w:r>
      <w:r w:rsidRPr="00AE141E">
        <w:rPr>
          <w:rFonts w:ascii="Times New Roman" w:eastAsia="Times New Roman" w:hAnsi="Times New Roman" w:cs="Times New Roman"/>
          <w:color w:val="000000"/>
          <w:sz w:val="24"/>
          <w:szCs w:val="24"/>
          <w:lang w:eastAsia="en-GB"/>
        </w:rPr>
        <w:lastRenderedPageBreak/>
        <w:t>since the close of the nineteenth century and ‘buried in the mud of Flanders Field’, was reborn in a new theatre.</w:t>
      </w:r>
      <w:r w:rsidRPr="00AE141E">
        <w:rPr>
          <w:rStyle w:val="FootnoteReference"/>
          <w:rFonts w:ascii="Times New Roman" w:eastAsia="Times New Roman" w:hAnsi="Times New Roman" w:cs="Times New Roman"/>
          <w:color w:val="000000"/>
          <w:sz w:val="24"/>
          <w:szCs w:val="24"/>
          <w:lang w:eastAsia="en-GB"/>
        </w:rPr>
        <w:footnoteReference w:id="30"/>
      </w:r>
      <w:r w:rsidRPr="00AE141E">
        <w:rPr>
          <w:rFonts w:ascii="Times New Roman" w:eastAsia="Times New Roman" w:hAnsi="Times New Roman" w:cs="Times New Roman"/>
          <w:color w:val="000000"/>
          <w:sz w:val="24"/>
          <w:szCs w:val="24"/>
          <w:lang w:eastAsia="en-GB"/>
        </w:rPr>
        <w:t xml:space="preserve"> </w:t>
      </w:r>
    </w:p>
    <w:p w14:paraId="09B80A3C" w14:textId="3FC3225A" w:rsidR="00265814" w:rsidRPr="00AE141E" w:rsidRDefault="00265814"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Paul Gilroy has described how a national preoccupation with the Second World War acts as an escape valve for the complex mix of emotions he describes as ‘postcolonial melancholia’.</w:t>
      </w:r>
      <w:r w:rsidRPr="00AE141E">
        <w:rPr>
          <w:rStyle w:val="FootnoteReference"/>
          <w:rFonts w:ascii="Times New Roman" w:eastAsia="Times New Roman" w:hAnsi="Times New Roman" w:cs="Times New Roman"/>
          <w:color w:val="000000"/>
          <w:sz w:val="24"/>
          <w:szCs w:val="24"/>
          <w:lang w:eastAsia="en-GB"/>
        </w:rPr>
        <w:footnoteReference w:id="31"/>
      </w:r>
      <w:r w:rsidRPr="00AE141E">
        <w:rPr>
          <w:rFonts w:ascii="Times New Roman" w:eastAsia="Times New Roman" w:hAnsi="Times New Roman" w:cs="Times New Roman"/>
          <w:color w:val="000000"/>
          <w:sz w:val="24"/>
          <w:szCs w:val="24"/>
          <w:lang w:eastAsia="en-GB"/>
        </w:rPr>
        <w:t xml:space="preserve"> The war figures as a moment of ‘uncomplicated moral architecture’ – a straightforward battle of good versus evil – in which Britain can be celebrated as a conquering power without the guilt attached to remembrance and legacy of empire. </w:t>
      </w:r>
      <w:r w:rsidR="005172EC" w:rsidRPr="00AE141E">
        <w:rPr>
          <w:rFonts w:ascii="Times New Roman" w:eastAsia="Times New Roman" w:hAnsi="Times New Roman" w:cs="Times New Roman"/>
          <w:color w:val="000000"/>
          <w:sz w:val="24"/>
          <w:szCs w:val="24"/>
          <w:lang w:eastAsia="en-GB"/>
        </w:rPr>
        <w:t>By claiming the war as the climax of the national narrative of constant, teleological progress towards self-betterment</w:t>
      </w:r>
      <w:r w:rsidRPr="00AE141E">
        <w:rPr>
          <w:rFonts w:ascii="Times New Roman" w:eastAsia="Times New Roman" w:hAnsi="Times New Roman" w:cs="Times New Roman"/>
          <w:color w:val="000000"/>
          <w:sz w:val="24"/>
          <w:szCs w:val="24"/>
          <w:lang w:eastAsia="en-GB"/>
        </w:rPr>
        <w:t>, this vision of the past rendered post-war events (loss of empire; economic decline; mass migration) unhistorical. Embrace of the war allowed British people to forget the empire without losing any of its psychological gifts.</w:t>
      </w:r>
      <w:r w:rsidR="00D5411E" w:rsidRPr="00AE141E">
        <w:rPr>
          <w:rFonts w:ascii="Times New Roman" w:eastAsia="Times New Roman" w:hAnsi="Times New Roman" w:cs="Times New Roman"/>
          <w:color w:val="000000"/>
          <w:sz w:val="24"/>
          <w:szCs w:val="24"/>
          <w:lang w:eastAsia="en-GB"/>
        </w:rPr>
        <w:t xml:space="preserve"> </w:t>
      </w:r>
      <w:r w:rsidRPr="00AE141E">
        <w:rPr>
          <w:rFonts w:ascii="Times New Roman" w:eastAsia="Times New Roman" w:hAnsi="Times New Roman" w:cs="Times New Roman"/>
          <w:color w:val="000000"/>
          <w:sz w:val="24"/>
          <w:szCs w:val="24"/>
          <w:lang w:eastAsia="en-GB"/>
        </w:rPr>
        <w:t>To use Gilroy’s conceptual framework, later refigured by the historian Peter Mitchell, Churchill’s death was not met with mourning but with melancholy.</w:t>
      </w:r>
      <w:r w:rsidRPr="00AE141E">
        <w:rPr>
          <w:rStyle w:val="FootnoteReference"/>
          <w:rFonts w:ascii="Times New Roman" w:eastAsia="Times New Roman" w:hAnsi="Times New Roman" w:cs="Times New Roman"/>
          <w:color w:val="000000"/>
          <w:sz w:val="24"/>
          <w:szCs w:val="24"/>
          <w:lang w:eastAsia="en-GB"/>
        </w:rPr>
        <w:footnoteReference w:id="32"/>
      </w:r>
      <w:r w:rsidRPr="00AE141E">
        <w:rPr>
          <w:rFonts w:ascii="Times New Roman" w:eastAsia="Times New Roman" w:hAnsi="Times New Roman" w:cs="Times New Roman"/>
          <w:color w:val="000000"/>
          <w:sz w:val="24"/>
          <w:szCs w:val="24"/>
          <w:lang w:eastAsia="en-GB"/>
        </w:rPr>
        <w:t xml:space="preserve"> As formulated by Mitchell, mourning is a process of acceptance of loss, which eventually permits grievers to move on, while melancholy makes that loss ‘the centre of its existence, to the destruction of all else’. For contemporaries, Churchill’s interment meant that no funeral needed to be held for the national spirit – and national greatness – which he was thought to embody.</w:t>
      </w:r>
    </w:p>
    <w:p w14:paraId="7FB8A6E7" w14:textId="77777777" w:rsidR="001D3A20" w:rsidRPr="00AE141E" w:rsidRDefault="00265814"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Thus, the disappearance of empire as a political entity did not entail a sudden abandonment or forgetting of the ideology and logics of imperialism. Richard Drayton has characterised this as a split between ‘primary’ and ‘secondary’ decolonisation.</w:t>
      </w:r>
      <w:r w:rsidRPr="00AE141E">
        <w:rPr>
          <w:rStyle w:val="FootnoteReference"/>
          <w:rFonts w:ascii="Times New Roman" w:eastAsia="Times New Roman" w:hAnsi="Times New Roman" w:cs="Times New Roman"/>
          <w:color w:val="000000"/>
          <w:sz w:val="24"/>
          <w:szCs w:val="24"/>
          <w:lang w:eastAsia="en-GB"/>
        </w:rPr>
        <w:footnoteReference w:id="33"/>
      </w:r>
      <w:r w:rsidRPr="00AE141E">
        <w:rPr>
          <w:rFonts w:ascii="Times New Roman" w:eastAsia="Times New Roman" w:hAnsi="Times New Roman" w:cs="Times New Roman"/>
          <w:color w:val="000000"/>
          <w:sz w:val="24"/>
          <w:szCs w:val="24"/>
          <w:lang w:eastAsia="en-GB"/>
        </w:rPr>
        <w:t xml:space="preserve"> The latter term refers to the long struggle against the legacies of colonialism, in recognition of the ‘partial and ambivalent victory’ of formal, political independence. Antoinette Burton’s notion of a ‘pathology of </w:t>
      </w:r>
      <w:r w:rsidRPr="00AE141E">
        <w:rPr>
          <w:rFonts w:ascii="Times New Roman" w:eastAsia="Times New Roman" w:hAnsi="Times New Roman" w:cs="Times New Roman"/>
          <w:color w:val="000000"/>
          <w:sz w:val="24"/>
          <w:szCs w:val="24"/>
          <w:lang w:eastAsia="en-GB"/>
        </w:rPr>
        <w:lastRenderedPageBreak/>
        <w:t>presence’ also provides a useful explanatory framework.</w:t>
      </w:r>
      <w:r w:rsidRPr="00AE141E">
        <w:rPr>
          <w:rStyle w:val="FootnoteReference"/>
          <w:rFonts w:ascii="Times New Roman" w:eastAsia="Times New Roman" w:hAnsi="Times New Roman" w:cs="Times New Roman"/>
          <w:color w:val="000000"/>
          <w:sz w:val="24"/>
          <w:szCs w:val="24"/>
          <w:lang w:eastAsia="en-GB"/>
        </w:rPr>
        <w:footnoteReference w:id="34"/>
      </w:r>
      <w:r w:rsidRPr="00AE141E">
        <w:rPr>
          <w:rFonts w:ascii="Times New Roman" w:eastAsia="Times New Roman" w:hAnsi="Times New Roman" w:cs="Times New Roman"/>
          <w:color w:val="000000"/>
          <w:sz w:val="24"/>
          <w:szCs w:val="24"/>
          <w:lang w:eastAsia="en-GB"/>
        </w:rPr>
        <w:t xml:space="preserve">  Burton observes that (primary) decolonisation engendered a cultural reincarnation and reimagining of empire; the colonial world lived on, in </w:t>
      </w:r>
      <w:r w:rsidR="00D5411E" w:rsidRPr="00AE141E">
        <w:rPr>
          <w:rFonts w:ascii="Times New Roman" w:eastAsia="Times New Roman" w:hAnsi="Times New Roman" w:cs="Times New Roman"/>
          <w:color w:val="000000"/>
          <w:sz w:val="24"/>
          <w:szCs w:val="24"/>
          <w:lang w:eastAsia="en-GB"/>
        </w:rPr>
        <w:t xml:space="preserve">an </w:t>
      </w:r>
      <w:r w:rsidRPr="00AE141E">
        <w:rPr>
          <w:rFonts w:ascii="Times New Roman" w:eastAsia="Times New Roman" w:hAnsi="Times New Roman" w:cs="Times New Roman"/>
          <w:color w:val="000000"/>
          <w:sz w:val="24"/>
          <w:szCs w:val="24"/>
          <w:lang w:eastAsia="en-GB"/>
        </w:rPr>
        <w:t>adulterated, nostalgically romanticised form. This tendency became steadily more prominent the further empire was believed to have retreated into – and become contained by – the past. However, the idea of a ‘pathology of presence’ can be usefully repurposed to describe a divergent cultural trend. As empire disappeared from public consciousness, imperial approaches lived on – even as these lost their original referent and became historically unmoored and/or transposed. Both versions of the pathology of presence featured in mid- to late- twentieth century English culture. However, it is the latter form that I propose dominated the educational arena. Henceforth, unless explicitly stated otherwise, the term ‘pathology of presence’ will be used to refer to this (re)interpretation.</w:t>
      </w:r>
    </w:p>
    <w:p w14:paraId="6AE2B969" w14:textId="332587C6" w:rsidR="001D3A20" w:rsidRPr="00AE141E" w:rsidRDefault="00EA1DF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hAnsi="Times New Roman" w:cs="Times New Roman"/>
          <w:b/>
          <w:bCs/>
          <w:sz w:val="24"/>
          <w:szCs w:val="24"/>
        </w:rPr>
        <w:t>Pathologies of Presence in the Teaching of Imperial History</w:t>
      </w:r>
    </w:p>
    <w:p w14:paraId="0DC705A8" w14:textId="1B595F4C" w:rsidR="009329E1" w:rsidRPr="00AE141E" w:rsidRDefault="009329E1" w:rsidP="00AE141E">
      <w:pPr>
        <w:spacing w:line="360" w:lineRule="auto"/>
        <w:rPr>
          <w:rFonts w:ascii="Times New Roman" w:hAnsi="Times New Roman" w:cs="Times New Roman"/>
          <w:b/>
          <w:bCs/>
          <w:sz w:val="24"/>
          <w:szCs w:val="24"/>
        </w:rPr>
      </w:pPr>
      <w:r w:rsidRPr="00AE141E">
        <w:rPr>
          <w:rFonts w:ascii="Times New Roman" w:hAnsi="Times New Roman" w:cs="Times New Roman"/>
          <w:sz w:val="24"/>
          <w:szCs w:val="24"/>
        </w:rPr>
        <w:t>In John Slater’s influential formulation, school history teaching prior to the 1970s was characterised by adherence to the ‘inherited consensus’ of the ‘great tradition’.</w:t>
      </w:r>
      <w:r w:rsidRPr="00AE141E">
        <w:rPr>
          <w:rStyle w:val="FootnoteReference"/>
          <w:rFonts w:ascii="Times New Roman" w:hAnsi="Times New Roman" w:cs="Times New Roman"/>
          <w:sz w:val="24"/>
          <w:szCs w:val="24"/>
        </w:rPr>
        <w:footnoteReference w:id="35"/>
      </w:r>
      <w:r w:rsidRPr="00AE141E">
        <w:rPr>
          <w:rFonts w:ascii="Times New Roman" w:hAnsi="Times New Roman" w:cs="Times New Roman"/>
          <w:sz w:val="24"/>
          <w:szCs w:val="24"/>
        </w:rPr>
        <w:t xml:space="preserve"> The ‘great tradition’ comprised both content and practice. History was conceived as a </w:t>
      </w:r>
      <w:r w:rsidRPr="00AE141E">
        <w:rPr>
          <w:rFonts w:ascii="Times New Roman" w:hAnsi="Times New Roman" w:cs="Times New Roman"/>
          <w:i/>
          <w:sz w:val="24"/>
          <w:szCs w:val="24"/>
        </w:rPr>
        <w:t>body</w:t>
      </w:r>
      <w:r w:rsidRPr="00AE141E">
        <w:rPr>
          <w:rFonts w:ascii="Times New Roman" w:hAnsi="Times New Roman" w:cs="Times New Roman"/>
          <w:sz w:val="24"/>
          <w:szCs w:val="24"/>
        </w:rPr>
        <w:t xml:space="preserve"> of knowledge to be imparted, rather than a </w:t>
      </w:r>
      <w:r w:rsidRPr="00AE141E">
        <w:rPr>
          <w:rFonts w:ascii="Times New Roman" w:hAnsi="Times New Roman" w:cs="Times New Roman"/>
          <w:i/>
          <w:sz w:val="24"/>
          <w:szCs w:val="24"/>
        </w:rPr>
        <w:t>form</w:t>
      </w:r>
      <w:r w:rsidRPr="00AE141E">
        <w:rPr>
          <w:rFonts w:ascii="Times New Roman" w:hAnsi="Times New Roman" w:cs="Times New Roman"/>
          <w:sz w:val="24"/>
          <w:szCs w:val="24"/>
        </w:rPr>
        <w:t xml:space="preserve"> of knowledge (a methodology or practice) with which students could engage.</w:t>
      </w:r>
      <w:r w:rsidRPr="00AE141E">
        <w:rPr>
          <w:rStyle w:val="FootnoteReference"/>
          <w:rFonts w:ascii="Times New Roman" w:hAnsi="Times New Roman" w:cs="Times New Roman"/>
          <w:sz w:val="24"/>
          <w:szCs w:val="24"/>
        </w:rPr>
        <w:footnoteReference w:id="36"/>
      </w:r>
      <w:r w:rsidRPr="00AE141E">
        <w:rPr>
          <w:rFonts w:ascii="Times New Roman" w:hAnsi="Times New Roman" w:cs="Times New Roman"/>
          <w:sz w:val="24"/>
          <w:szCs w:val="24"/>
        </w:rPr>
        <w:t xml:space="preserve"> The core of this body of knowledge comprised British history (including the history of empire) narrated </w:t>
      </w:r>
      <w:r w:rsidR="008D5571" w:rsidRPr="00AE141E">
        <w:rPr>
          <w:rFonts w:ascii="Times New Roman" w:hAnsi="Times New Roman" w:cs="Times New Roman"/>
          <w:sz w:val="24"/>
          <w:szCs w:val="24"/>
        </w:rPr>
        <w:t>as a</w:t>
      </w:r>
      <w:r w:rsidR="009F2ED9" w:rsidRPr="00AE141E">
        <w:rPr>
          <w:rFonts w:ascii="Times New Roman" w:hAnsi="Times New Roman" w:cs="Times New Roman"/>
          <w:sz w:val="24"/>
          <w:szCs w:val="24"/>
        </w:rPr>
        <w:t xml:space="preserve"> </w:t>
      </w:r>
      <w:r w:rsidRPr="00AE141E">
        <w:rPr>
          <w:rFonts w:ascii="Times New Roman" w:hAnsi="Times New Roman" w:cs="Times New Roman"/>
          <w:sz w:val="24"/>
          <w:szCs w:val="24"/>
        </w:rPr>
        <w:t>teleological chronicle. The 1970s is often presented as the turning point at which the ‘great tradition’ came under threat.</w:t>
      </w:r>
      <w:r w:rsidRPr="00AE141E">
        <w:rPr>
          <w:rStyle w:val="FootnoteReference"/>
          <w:rFonts w:ascii="Times New Roman" w:hAnsi="Times New Roman" w:cs="Times New Roman"/>
          <w:sz w:val="24"/>
          <w:szCs w:val="24"/>
        </w:rPr>
        <w:footnoteReference w:id="37"/>
      </w:r>
      <w:r w:rsidRPr="00AE141E">
        <w:rPr>
          <w:rFonts w:ascii="Times New Roman" w:hAnsi="Times New Roman" w:cs="Times New Roman"/>
          <w:sz w:val="24"/>
          <w:szCs w:val="24"/>
        </w:rPr>
        <w:t xml:space="preserve"> However, this thesis locates the challenge a decade earlier, when exogenous influences (Britain’s changing world position; the blossoming of </w:t>
      </w:r>
      <w:r w:rsidR="003D5D6D">
        <w:rPr>
          <w:rFonts w:ascii="Times New Roman" w:hAnsi="Times New Roman" w:cs="Times New Roman"/>
          <w:sz w:val="24"/>
          <w:szCs w:val="24"/>
        </w:rPr>
        <w:t>‘</w:t>
      </w:r>
      <w:r w:rsidR="003644E1">
        <w:rPr>
          <w:rFonts w:ascii="Times New Roman" w:hAnsi="Times New Roman" w:cs="Times New Roman"/>
          <w:sz w:val="24"/>
          <w:szCs w:val="24"/>
        </w:rPr>
        <w:t>I</w:t>
      </w:r>
      <w:r w:rsidRPr="00AE141E">
        <w:rPr>
          <w:rFonts w:ascii="Times New Roman" w:hAnsi="Times New Roman" w:cs="Times New Roman"/>
          <w:sz w:val="24"/>
          <w:szCs w:val="24"/>
        </w:rPr>
        <w:t xml:space="preserve">ntegrated </w:t>
      </w:r>
      <w:r w:rsidR="003644E1">
        <w:rPr>
          <w:rFonts w:ascii="Times New Roman" w:hAnsi="Times New Roman" w:cs="Times New Roman"/>
          <w:sz w:val="24"/>
          <w:szCs w:val="24"/>
        </w:rPr>
        <w:t>H</w:t>
      </w:r>
      <w:r w:rsidRPr="00AE141E">
        <w:rPr>
          <w:rFonts w:ascii="Times New Roman" w:hAnsi="Times New Roman" w:cs="Times New Roman"/>
          <w:sz w:val="24"/>
          <w:szCs w:val="24"/>
        </w:rPr>
        <w:t>umanities</w:t>
      </w:r>
      <w:r w:rsidR="003D5D6D">
        <w:rPr>
          <w:rFonts w:ascii="Times New Roman" w:hAnsi="Times New Roman" w:cs="Times New Roman"/>
          <w:sz w:val="24"/>
          <w:szCs w:val="24"/>
        </w:rPr>
        <w:t>’</w:t>
      </w:r>
      <w:r w:rsidRPr="00AE141E">
        <w:rPr>
          <w:rFonts w:ascii="Times New Roman" w:hAnsi="Times New Roman" w:cs="Times New Roman"/>
          <w:sz w:val="24"/>
          <w:szCs w:val="24"/>
        </w:rPr>
        <w:t xml:space="preserve"> and the social sciences as school disciplines; professional anxieties) forced a reappraisal of history teaching in an attempt to justify the subject’s place on school curricula. The search for a new rationale for </w:t>
      </w:r>
      <w:r w:rsidRPr="00AE141E">
        <w:rPr>
          <w:rFonts w:ascii="Times New Roman" w:hAnsi="Times New Roman" w:cs="Times New Roman"/>
          <w:sz w:val="24"/>
          <w:szCs w:val="24"/>
        </w:rPr>
        <w:lastRenderedPageBreak/>
        <w:t xml:space="preserve">history led to two convergent, interlinked trends: the rise of ‘world history’ and the development of the ‘new history’. </w:t>
      </w:r>
    </w:p>
    <w:p w14:paraId="2730B88D" w14:textId="39529F9D" w:rsidR="009329E1"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hAnsi="Times New Roman" w:cs="Times New Roman"/>
          <w:sz w:val="24"/>
          <w:szCs w:val="24"/>
        </w:rPr>
        <w:t xml:space="preserve">World history was introduced into secondary school classrooms from the 1960s onwards. It attempted to offer a historical narrative </w:t>
      </w:r>
      <w:r w:rsidRPr="00AE141E">
        <w:rPr>
          <w:rFonts w:ascii="Times New Roman" w:eastAsia="Times New Roman" w:hAnsi="Times New Roman" w:cs="Times New Roman"/>
          <w:color w:val="000000"/>
          <w:sz w:val="24"/>
          <w:szCs w:val="24"/>
          <w:lang w:eastAsia="en-GB"/>
        </w:rPr>
        <w:t>reflective of the shifting power structures of the post-war world – to use a phrase coined by David Cannadine, Jenny Keating, and Nicola Sheldon, this was ‘history for a nation “in decline”’.</w:t>
      </w:r>
      <w:r w:rsidRPr="00AE141E">
        <w:rPr>
          <w:rStyle w:val="FootnoteReference"/>
          <w:rFonts w:ascii="Times New Roman" w:eastAsia="Times New Roman" w:hAnsi="Times New Roman" w:cs="Times New Roman"/>
          <w:color w:val="000000"/>
          <w:sz w:val="24"/>
          <w:szCs w:val="24"/>
          <w:lang w:eastAsia="en-GB"/>
        </w:rPr>
        <w:footnoteReference w:id="38"/>
      </w:r>
      <w:r w:rsidRPr="00AE141E">
        <w:rPr>
          <w:rFonts w:ascii="Times New Roman" w:eastAsia="Times New Roman" w:hAnsi="Times New Roman" w:cs="Times New Roman"/>
          <w:color w:val="000000"/>
          <w:sz w:val="24"/>
          <w:szCs w:val="24"/>
          <w:lang w:eastAsia="en-GB"/>
        </w:rPr>
        <w:t xml:space="preserve"> In its rush to dethrone Britain as the centre of historical analysis, and to prove itself distinct from the old school of imperial history, world history tended to remain silent on the imperial experience. It</w:t>
      </w:r>
      <w:r w:rsidR="00C74256" w:rsidRPr="00AE141E">
        <w:rPr>
          <w:rFonts w:ascii="Times New Roman" w:eastAsia="Times New Roman" w:hAnsi="Times New Roman" w:cs="Times New Roman"/>
          <w:color w:val="000000"/>
          <w:sz w:val="24"/>
          <w:szCs w:val="24"/>
          <w:lang w:eastAsia="en-GB"/>
        </w:rPr>
        <w:t xml:space="preserve"> was </w:t>
      </w:r>
      <w:r w:rsidR="0001241B" w:rsidRPr="00AE141E">
        <w:rPr>
          <w:rFonts w:ascii="Times New Roman" w:eastAsia="Times New Roman" w:hAnsi="Times New Roman" w:cs="Times New Roman"/>
          <w:color w:val="000000"/>
          <w:sz w:val="24"/>
          <w:szCs w:val="24"/>
          <w:lang w:eastAsia="en-GB"/>
        </w:rPr>
        <w:t xml:space="preserve">not despite but </w:t>
      </w:r>
      <w:r w:rsidR="0001241B" w:rsidRPr="00AE141E">
        <w:rPr>
          <w:rFonts w:ascii="Times New Roman" w:eastAsia="Times New Roman" w:hAnsi="Times New Roman" w:cs="Times New Roman"/>
          <w:i/>
          <w:color w:val="000000"/>
          <w:sz w:val="24"/>
          <w:szCs w:val="24"/>
          <w:lang w:eastAsia="en-GB"/>
        </w:rPr>
        <w:t>because</w:t>
      </w:r>
      <w:r w:rsidR="0001241B" w:rsidRPr="00AE141E">
        <w:rPr>
          <w:rFonts w:ascii="Times New Roman" w:eastAsia="Times New Roman" w:hAnsi="Times New Roman" w:cs="Times New Roman"/>
          <w:color w:val="000000"/>
          <w:sz w:val="24"/>
          <w:szCs w:val="24"/>
          <w:lang w:eastAsia="en-GB"/>
        </w:rPr>
        <w:t xml:space="preserve"> of this absence</w:t>
      </w:r>
      <w:r w:rsidR="00C74256" w:rsidRPr="00AE141E">
        <w:rPr>
          <w:rFonts w:ascii="Times New Roman" w:eastAsia="Times New Roman" w:hAnsi="Times New Roman" w:cs="Times New Roman"/>
          <w:color w:val="000000"/>
          <w:sz w:val="24"/>
          <w:szCs w:val="24"/>
          <w:lang w:eastAsia="en-GB"/>
        </w:rPr>
        <w:t>,</w:t>
      </w:r>
      <w:r w:rsidRPr="00AE141E">
        <w:rPr>
          <w:rFonts w:ascii="Times New Roman" w:eastAsia="Times New Roman" w:hAnsi="Times New Roman" w:cs="Times New Roman"/>
          <w:color w:val="000000"/>
          <w:sz w:val="24"/>
          <w:szCs w:val="24"/>
          <w:lang w:eastAsia="en-GB"/>
        </w:rPr>
        <w:t xml:space="preserve"> which removed the possibility of critical studies of empire,</w:t>
      </w:r>
      <w:r w:rsidRPr="00AE141E">
        <w:rPr>
          <w:rFonts w:ascii="Times New Roman" w:hAnsi="Times New Roman" w:cs="Times New Roman"/>
          <w:sz w:val="24"/>
          <w:szCs w:val="24"/>
        </w:rPr>
        <w:t xml:space="preserve"> </w:t>
      </w:r>
      <w:r w:rsidRPr="00AE141E">
        <w:rPr>
          <w:rFonts w:ascii="Times New Roman" w:eastAsia="Times New Roman" w:hAnsi="Times New Roman" w:cs="Times New Roman"/>
          <w:color w:val="000000"/>
          <w:sz w:val="24"/>
          <w:szCs w:val="24"/>
          <w:lang w:eastAsia="en-GB"/>
        </w:rPr>
        <w:t>that world history reaffirmed a distinctly imperial(ist) logic. Thus, the influence of imperial histories on school curricula was frequently indirect, hidden, or inexplicit.</w:t>
      </w:r>
    </w:p>
    <w:p w14:paraId="1324CDBF" w14:textId="6CDD6949"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seeds of the </w:t>
      </w:r>
      <w:r w:rsidR="00573025" w:rsidRPr="00AE141E">
        <w:rPr>
          <w:rFonts w:ascii="Times New Roman" w:hAnsi="Times New Roman" w:cs="Times New Roman"/>
          <w:sz w:val="24"/>
          <w:szCs w:val="24"/>
        </w:rPr>
        <w:t>‘</w:t>
      </w:r>
      <w:r w:rsidRPr="00AE141E">
        <w:rPr>
          <w:rFonts w:ascii="Times New Roman" w:hAnsi="Times New Roman" w:cs="Times New Roman"/>
          <w:sz w:val="24"/>
          <w:szCs w:val="24"/>
        </w:rPr>
        <w:t>new history</w:t>
      </w:r>
      <w:r w:rsidR="00573025" w:rsidRPr="00AE141E">
        <w:rPr>
          <w:rFonts w:ascii="Times New Roman" w:hAnsi="Times New Roman" w:cs="Times New Roman"/>
          <w:sz w:val="24"/>
          <w:szCs w:val="24"/>
        </w:rPr>
        <w:t>’</w:t>
      </w:r>
      <w:r w:rsidRPr="00AE141E">
        <w:rPr>
          <w:rFonts w:ascii="Times New Roman" w:hAnsi="Times New Roman" w:cs="Times New Roman"/>
          <w:sz w:val="24"/>
          <w:szCs w:val="24"/>
        </w:rPr>
        <w:t xml:space="preserve"> were sown by the same exogenous forces which had generated world history. However, its rise </w:t>
      </w:r>
      <w:r w:rsidR="00B6124D">
        <w:rPr>
          <w:rFonts w:ascii="Times New Roman" w:hAnsi="Times New Roman" w:cs="Times New Roman"/>
          <w:sz w:val="24"/>
          <w:szCs w:val="24"/>
        </w:rPr>
        <w:t>has</w:t>
      </w:r>
      <w:r w:rsidRPr="00AE141E">
        <w:rPr>
          <w:rFonts w:ascii="Times New Roman" w:hAnsi="Times New Roman" w:cs="Times New Roman"/>
          <w:sz w:val="24"/>
          <w:szCs w:val="24"/>
        </w:rPr>
        <w:t xml:space="preserve"> often</w:t>
      </w:r>
      <w:r w:rsidR="00B6124D">
        <w:rPr>
          <w:rFonts w:ascii="Times New Roman" w:hAnsi="Times New Roman" w:cs="Times New Roman"/>
          <w:sz w:val="24"/>
          <w:szCs w:val="24"/>
        </w:rPr>
        <w:t xml:space="preserve"> been</w:t>
      </w:r>
      <w:r w:rsidRPr="00AE141E">
        <w:rPr>
          <w:rFonts w:ascii="Times New Roman" w:hAnsi="Times New Roman" w:cs="Times New Roman"/>
          <w:sz w:val="24"/>
          <w:szCs w:val="24"/>
        </w:rPr>
        <w:t xml:space="preserve"> dated to the early 1970s and the emergence of the highly influential Schools Council History Project (SCHP</w:t>
      </w:r>
      <w:r w:rsidR="00A329F5" w:rsidRPr="00AE141E">
        <w:rPr>
          <w:rFonts w:ascii="Times New Roman" w:hAnsi="Times New Roman" w:cs="Times New Roman"/>
          <w:sz w:val="24"/>
          <w:szCs w:val="24"/>
        </w:rPr>
        <w:t>).</w:t>
      </w:r>
      <w:r w:rsidR="00CE604D">
        <w:rPr>
          <w:rStyle w:val="FootnoteReference"/>
          <w:rFonts w:ascii="Times New Roman" w:hAnsi="Times New Roman" w:cs="Times New Roman"/>
          <w:sz w:val="24"/>
          <w:szCs w:val="24"/>
        </w:rPr>
        <w:footnoteReference w:id="39"/>
      </w:r>
      <w:r w:rsidR="00A329F5"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SCHP emphasised the teaching of a historical methodology. Factual knowledge was not abandoned, but content was diversified to include local and world history alongside British content. </w:t>
      </w:r>
      <w:r w:rsidR="00A329F5" w:rsidRPr="00AE141E">
        <w:rPr>
          <w:rFonts w:ascii="Times New Roman" w:hAnsi="Times New Roman" w:cs="Times New Roman"/>
          <w:sz w:val="24"/>
          <w:szCs w:val="24"/>
        </w:rPr>
        <w:t>More importantly</w:t>
      </w:r>
      <w:r w:rsidRPr="00AE141E">
        <w:rPr>
          <w:rFonts w:ascii="Times New Roman" w:hAnsi="Times New Roman" w:cs="Times New Roman"/>
          <w:sz w:val="24"/>
          <w:szCs w:val="24"/>
        </w:rPr>
        <w:t>, SCHP discarded the narrative framework which previously structured taught content; students were instead encouraged to develop critical, sometimes creative approaches to sources and interpretation. Teaching valorised the voices and contributions of students as never before, opening space for the contestation of received knowledge. Methodologically, SCHP exerted an influence which stretched far beyond its formal uptake. However, its success in changing taught content should not be exaggerated. In most schools, world history was added to – but did not supplant or contest – the British, chronological content of the ‘great tradition’.</w:t>
      </w:r>
    </w:p>
    <w:p w14:paraId="19244584" w14:textId="2DF69EC2" w:rsidR="00DF119B"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hAnsi="Times New Roman" w:cs="Times New Roman"/>
          <w:sz w:val="24"/>
          <w:szCs w:val="24"/>
        </w:rPr>
        <w:t xml:space="preserve">There are important parallels here with the contemporaneous movements for multi-cultural and anti-racist history teaching. </w:t>
      </w:r>
      <w:r w:rsidR="00332193" w:rsidRPr="00AE141E">
        <w:rPr>
          <w:rFonts w:ascii="Times New Roman" w:hAnsi="Times New Roman" w:cs="Times New Roman"/>
          <w:sz w:val="24"/>
          <w:szCs w:val="24"/>
        </w:rPr>
        <w:t xml:space="preserve">As the 1960s advanced, the children of the post-war generation of Commonwealth migrants began to enter the school system. Their presence invited teachers to question fundamental assumptions regarding the nature and purpose of </w:t>
      </w:r>
      <w:r w:rsidR="00332193" w:rsidRPr="00AE141E">
        <w:rPr>
          <w:rFonts w:ascii="Times New Roman" w:hAnsi="Times New Roman" w:cs="Times New Roman"/>
          <w:sz w:val="24"/>
          <w:szCs w:val="24"/>
        </w:rPr>
        <w:lastRenderedPageBreak/>
        <w:t>education.</w:t>
      </w:r>
      <w:r w:rsidRPr="00AE141E">
        <w:rPr>
          <w:rFonts w:ascii="Times New Roman" w:hAnsi="Times New Roman" w:cs="Times New Roman"/>
          <w:sz w:val="24"/>
          <w:szCs w:val="24"/>
        </w:rPr>
        <w:t xml:space="preserve"> Education for cultural cohesion and a unitary national identity seemed distinctly out of place in a society newly recognised as ‘multi-cultural’ and ‘multi-racial’. The discipline of history holds unique power as a mode of identity formation. Empire, whether as presence of absence, was an important component in the construction of English and British national identity. As we will see, the discipline of history also deeply </w:t>
      </w:r>
      <w:r w:rsidR="002648AF" w:rsidRPr="00AE141E">
        <w:rPr>
          <w:rFonts w:ascii="Times New Roman" w:hAnsi="Times New Roman" w:cs="Times New Roman"/>
          <w:sz w:val="24"/>
          <w:szCs w:val="24"/>
        </w:rPr>
        <w:t>implicated</w:t>
      </w:r>
      <w:r w:rsidRPr="00AE141E">
        <w:rPr>
          <w:rFonts w:ascii="Times New Roman" w:hAnsi="Times New Roman" w:cs="Times New Roman"/>
          <w:sz w:val="24"/>
          <w:szCs w:val="24"/>
        </w:rPr>
        <w:t xml:space="preserve"> in the imperial project. Thus, it is unsurprising that historical education was scrutinised and problematised by </w:t>
      </w:r>
      <w:r w:rsidR="00CF2DBC">
        <w:rPr>
          <w:rFonts w:ascii="Times New Roman" w:hAnsi="Times New Roman" w:cs="Times New Roman"/>
          <w:sz w:val="24"/>
          <w:szCs w:val="24"/>
        </w:rPr>
        <w:t xml:space="preserve">the </w:t>
      </w:r>
      <w:r w:rsidRPr="00AE141E">
        <w:rPr>
          <w:rFonts w:ascii="Times New Roman" w:hAnsi="Times New Roman" w:cs="Times New Roman"/>
          <w:sz w:val="24"/>
          <w:szCs w:val="24"/>
        </w:rPr>
        <w:t xml:space="preserve">movements for ‘multi-cultural’ and ‘anti-racist’ schools. The mainstream of history teaching again proceeded relatively unchanged. </w:t>
      </w:r>
      <w:r w:rsidRPr="00AE141E">
        <w:rPr>
          <w:rFonts w:ascii="Times New Roman" w:eastAsia="Times New Roman" w:hAnsi="Times New Roman" w:cs="Times New Roman"/>
          <w:color w:val="000000"/>
          <w:sz w:val="24"/>
          <w:szCs w:val="24"/>
          <w:lang w:eastAsia="en-GB"/>
        </w:rPr>
        <w:t xml:space="preserve">However, this was a moment of slippage where more radical histories of British imperialism may be glimpsed. </w:t>
      </w:r>
    </w:p>
    <w:p w14:paraId="40F9B633" w14:textId="501F869E" w:rsidR="009329E1"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Such histories were co-produced by teachers, students, communities, and broader cultural and political forces. </w:t>
      </w:r>
      <w:r w:rsidRPr="00AE141E">
        <w:rPr>
          <w:rFonts w:ascii="Times New Roman" w:hAnsi="Times New Roman" w:cs="Times New Roman"/>
          <w:sz w:val="24"/>
          <w:szCs w:val="24"/>
        </w:rPr>
        <w:t>A study conducted in Slough in 1964</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described how some people of colour drew upon first-hand or familiar knowledge of colonisation to interpret racialised experiences in the metropole as a legacy of empire.</w:t>
      </w:r>
      <w:r w:rsidRPr="00AE141E">
        <w:rPr>
          <w:rStyle w:val="FootnoteReference"/>
          <w:rFonts w:ascii="Times New Roman" w:hAnsi="Times New Roman" w:cs="Times New Roman"/>
          <w:sz w:val="24"/>
          <w:szCs w:val="24"/>
        </w:rPr>
        <w:footnoteReference w:id="40"/>
      </w:r>
      <w:r w:rsidRPr="00AE141E">
        <w:rPr>
          <w:rFonts w:ascii="Times New Roman" w:hAnsi="Times New Roman" w:cs="Times New Roman"/>
          <w:sz w:val="24"/>
          <w:szCs w:val="24"/>
        </w:rPr>
        <w:t xml:space="preserve"> The children of this older generation, often born and raised in England, </w:t>
      </w:r>
      <w:r w:rsidR="00C2768B">
        <w:rPr>
          <w:rFonts w:ascii="Times New Roman" w:hAnsi="Times New Roman" w:cs="Times New Roman"/>
          <w:sz w:val="24"/>
          <w:szCs w:val="24"/>
        </w:rPr>
        <w:t xml:space="preserve">could </w:t>
      </w:r>
      <w:r w:rsidRPr="00AE141E">
        <w:rPr>
          <w:rFonts w:ascii="Times New Roman" w:hAnsi="Times New Roman" w:cs="Times New Roman"/>
          <w:sz w:val="24"/>
          <w:szCs w:val="24"/>
        </w:rPr>
        <w:t>dr</w:t>
      </w:r>
      <w:r w:rsidR="00C2768B">
        <w:rPr>
          <w:rFonts w:ascii="Times New Roman" w:hAnsi="Times New Roman" w:cs="Times New Roman"/>
          <w:sz w:val="24"/>
          <w:szCs w:val="24"/>
        </w:rPr>
        <w:t>a</w:t>
      </w:r>
      <w:r w:rsidRPr="00AE141E">
        <w:rPr>
          <w:rFonts w:ascii="Times New Roman" w:hAnsi="Times New Roman" w:cs="Times New Roman"/>
          <w:sz w:val="24"/>
          <w:szCs w:val="24"/>
        </w:rPr>
        <w:t xml:space="preserve">w upon a historical sensibility derived from family and community to </w:t>
      </w:r>
      <w:r w:rsidR="00FD4F0A" w:rsidRPr="00AE141E">
        <w:rPr>
          <w:rFonts w:ascii="Times New Roman" w:hAnsi="Times New Roman" w:cs="Times New Roman"/>
          <w:sz w:val="24"/>
          <w:szCs w:val="24"/>
        </w:rPr>
        <w:t xml:space="preserve">construct radical political identities, and to </w:t>
      </w:r>
      <w:r w:rsidRPr="00AE141E">
        <w:rPr>
          <w:rFonts w:ascii="Times New Roman" w:hAnsi="Times New Roman" w:cs="Times New Roman"/>
          <w:sz w:val="24"/>
          <w:szCs w:val="24"/>
        </w:rPr>
        <w:t>challenge the narratives received in classrooms. Their</w:t>
      </w:r>
      <w:r w:rsidRPr="00AE141E">
        <w:rPr>
          <w:rFonts w:ascii="Times New Roman" w:eastAsia="Times New Roman" w:hAnsi="Times New Roman" w:cs="Times New Roman"/>
          <w:color w:val="000000"/>
          <w:sz w:val="24"/>
          <w:szCs w:val="24"/>
          <w:lang w:eastAsia="en-GB"/>
        </w:rPr>
        <w:t xml:space="preserve"> dissenting voices held an important, if informal, educative function. Even in the absence of conscious rebellion, the individual subjectivity of schoolchildren meant that the education given was rarely the education received; as any teacher will know, teaching and learning are two distinct, if interconnected, processes. </w:t>
      </w:r>
    </w:p>
    <w:p w14:paraId="38AA5864" w14:textId="2A645C2E" w:rsidR="00DF119B" w:rsidRPr="00922276" w:rsidRDefault="00C62ECB" w:rsidP="00AE141E">
      <w:pPr>
        <w:spacing w:line="360" w:lineRule="auto"/>
        <w:rPr>
          <w:rFonts w:ascii="Times New Roman" w:hAnsi="Times New Roman" w:cs="Times New Roman"/>
          <w:sz w:val="24"/>
          <w:szCs w:val="24"/>
        </w:rPr>
      </w:pPr>
      <w:r>
        <w:rPr>
          <w:rFonts w:ascii="Times New Roman" w:hAnsi="Times New Roman" w:cs="Times New Roman"/>
          <w:sz w:val="24"/>
          <w:szCs w:val="24"/>
        </w:rPr>
        <w:t xml:space="preserve">Chapter 3, which addresses these themes, </w:t>
      </w:r>
      <w:r w:rsidR="00922276">
        <w:rPr>
          <w:rFonts w:ascii="Times New Roman" w:hAnsi="Times New Roman" w:cs="Times New Roman"/>
          <w:sz w:val="24"/>
          <w:szCs w:val="24"/>
        </w:rPr>
        <w:t>focus</w:t>
      </w:r>
      <w:r>
        <w:rPr>
          <w:rFonts w:ascii="Times New Roman" w:hAnsi="Times New Roman" w:cs="Times New Roman"/>
          <w:sz w:val="24"/>
          <w:szCs w:val="24"/>
        </w:rPr>
        <w:t>es</w:t>
      </w:r>
      <w:r w:rsidR="00922276">
        <w:rPr>
          <w:rFonts w:ascii="Times New Roman" w:hAnsi="Times New Roman" w:cs="Times New Roman"/>
          <w:sz w:val="24"/>
          <w:szCs w:val="24"/>
        </w:rPr>
        <w:t xml:space="preserve"> primarily on students from African-Caribbean backgrounds, with an emphasis on experiences in London schools. </w:t>
      </w:r>
      <w:r w:rsidR="006C3656">
        <w:rPr>
          <w:rFonts w:ascii="Times New Roman" w:hAnsi="Times New Roman" w:cs="Times New Roman"/>
          <w:sz w:val="24"/>
          <w:szCs w:val="24"/>
        </w:rPr>
        <w:t xml:space="preserve">There were, inevitably, a range of </w:t>
      </w:r>
      <w:r w:rsidR="00F24713">
        <w:rPr>
          <w:rFonts w:ascii="Times New Roman" w:hAnsi="Times New Roman" w:cs="Times New Roman"/>
          <w:sz w:val="24"/>
          <w:szCs w:val="24"/>
        </w:rPr>
        <w:t xml:space="preserve">views on and experiences of education within </w:t>
      </w:r>
      <w:r w:rsidR="00EC68EF">
        <w:rPr>
          <w:rFonts w:ascii="Times New Roman" w:hAnsi="Times New Roman" w:cs="Times New Roman"/>
          <w:sz w:val="24"/>
          <w:szCs w:val="24"/>
        </w:rPr>
        <w:t>downwardly racialised communities</w:t>
      </w:r>
      <w:r w:rsidR="00C058EE">
        <w:rPr>
          <w:rFonts w:ascii="Times New Roman" w:hAnsi="Times New Roman" w:cs="Times New Roman"/>
          <w:sz w:val="24"/>
          <w:szCs w:val="24"/>
        </w:rPr>
        <w:t xml:space="preserve">. </w:t>
      </w:r>
      <w:r w:rsidR="00922276">
        <w:rPr>
          <w:rFonts w:ascii="Times New Roman" w:hAnsi="Times New Roman" w:cs="Times New Roman"/>
          <w:sz w:val="24"/>
          <w:szCs w:val="24"/>
        </w:rPr>
        <w:t xml:space="preserve">My decision to stress the history of supplementary education and radical experimentation in a relatively small, geographically contained sample of schools reflects my own understanding of education and its ability to perform anti-colonial work. I share the mode of historical understanding embraced by these movements: history as a socially engaged practice with an orientation towards justice, restitution, and resistance. I also believe that understanding the history of these schools and their philosophies may help to (re)open political possibilities in our present.  </w:t>
      </w:r>
    </w:p>
    <w:p w14:paraId="46CF9C84" w14:textId="46B4BD10" w:rsidR="009329E1"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lastRenderedPageBreak/>
        <w:t>The National Curriculum, introduced in 1988, marked a historic departure from the decentralised tradition of English schooling; t</w:t>
      </w:r>
      <w:r w:rsidRPr="00AE141E">
        <w:rPr>
          <w:rFonts w:ascii="Times New Roman" w:hAnsi="Times New Roman" w:cs="Times New Roman"/>
          <w:sz w:val="24"/>
          <w:szCs w:val="24"/>
        </w:rPr>
        <w:t>he legislation was designed to permanently alter the balance of power within state education by transferring decision-making capabilities from teachers to policy makers.</w:t>
      </w:r>
      <w:r w:rsidRPr="00AE141E">
        <w:rPr>
          <w:rStyle w:val="FootnoteReference"/>
          <w:rFonts w:ascii="Times New Roman" w:hAnsi="Times New Roman" w:cs="Times New Roman"/>
          <w:sz w:val="24"/>
          <w:szCs w:val="24"/>
        </w:rPr>
        <w:footnoteReference w:id="41"/>
      </w:r>
      <w:r w:rsidRPr="00AE141E">
        <w:rPr>
          <w:rFonts w:ascii="Times New Roman" w:hAnsi="Times New Roman" w:cs="Times New Roman"/>
          <w:sz w:val="24"/>
          <w:szCs w:val="24"/>
        </w:rPr>
        <w:t xml:space="preserve"> </w:t>
      </w:r>
      <w:r w:rsidRPr="00AE141E">
        <w:rPr>
          <w:rFonts w:ascii="Times New Roman" w:eastAsia="Times New Roman" w:hAnsi="Times New Roman" w:cs="Times New Roman"/>
          <w:color w:val="000000"/>
          <w:sz w:val="24"/>
          <w:szCs w:val="24"/>
          <w:lang w:eastAsia="en-GB"/>
        </w:rPr>
        <w:t xml:space="preserve"> Inevitably, the drafting of the National Curriculum opened debates over the meaning of nationhood in late twentieth century England. Once again, history sat at the heart of the controversy. In some respects, the resulting legislation represented a compromise between the great tradition’s chronological overview of the national past (here conceptualised as British rather than English) and the methodological emphasis of the </w:t>
      </w:r>
      <w:r w:rsidR="00573025" w:rsidRPr="00AE141E">
        <w:rPr>
          <w:rFonts w:ascii="Times New Roman" w:eastAsia="Times New Roman" w:hAnsi="Times New Roman" w:cs="Times New Roman"/>
          <w:color w:val="000000"/>
          <w:sz w:val="24"/>
          <w:szCs w:val="24"/>
          <w:lang w:eastAsia="en-GB"/>
        </w:rPr>
        <w:t>‘</w:t>
      </w:r>
      <w:r w:rsidRPr="00AE141E">
        <w:rPr>
          <w:rFonts w:ascii="Times New Roman" w:eastAsia="Times New Roman" w:hAnsi="Times New Roman" w:cs="Times New Roman"/>
          <w:color w:val="000000"/>
          <w:sz w:val="24"/>
          <w:szCs w:val="24"/>
          <w:lang w:eastAsia="en-GB"/>
        </w:rPr>
        <w:t>new history</w:t>
      </w:r>
      <w:r w:rsidR="00573025" w:rsidRPr="00AE141E">
        <w:rPr>
          <w:rFonts w:ascii="Times New Roman" w:eastAsia="Times New Roman" w:hAnsi="Times New Roman" w:cs="Times New Roman"/>
          <w:color w:val="000000"/>
          <w:sz w:val="24"/>
          <w:szCs w:val="24"/>
          <w:lang w:eastAsia="en-GB"/>
        </w:rPr>
        <w:t>’</w:t>
      </w:r>
      <w:r w:rsidRPr="00AE141E">
        <w:rPr>
          <w:rFonts w:ascii="Times New Roman" w:eastAsia="Times New Roman" w:hAnsi="Times New Roman" w:cs="Times New Roman"/>
          <w:color w:val="000000"/>
          <w:sz w:val="24"/>
          <w:szCs w:val="24"/>
          <w:lang w:eastAsia="en-GB"/>
        </w:rPr>
        <w:t xml:space="preserve">, with occasional nods to a world perspective. Yet this is too simple a reading. The National Curriculum was created in response to the radical historical experiments of the preceding two decades. Its framework technically permitted creative interpretation by teachers. However, the increased burdens placed on the teaching profession effectively removed the space to experiment and strongly disincentivised deviation from the norm. The new era of oversight applied equally to students. Disciplinary pressures disproportionately targeted students of colour. Whether intentionally or not, this militated against the type of educational and historical interventions previously made by such pupils. </w:t>
      </w:r>
    </w:p>
    <w:p w14:paraId="25B45390" w14:textId="5B2D667F" w:rsidR="009329E1"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The following thesis </w:t>
      </w:r>
      <w:r w:rsidRPr="00AE141E">
        <w:rPr>
          <w:rFonts w:ascii="Times New Roman" w:hAnsi="Times New Roman" w:cs="Times New Roman"/>
          <w:sz w:val="24"/>
          <w:szCs w:val="24"/>
        </w:rPr>
        <w:t>helps to problematise the dominant terms of existing historiographical debate on the influence of empire in the post-war period. The historiography is polarised between assertions that most Britons were either ignorant of or openly hostile to the empire (the ‘minimal impact thesis</w:t>
      </w:r>
      <w:r w:rsidR="00D42560" w:rsidRPr="00AE141E">
        <w:rPr>
          <w:rFonts w:ascii="Times New Roman" w:hAnsi="Times New Roman" w:cs="Times New Roman"/>
          <w:sz w:val="24"/>
          <w:szCs w:val="24"/>
        </w:rPr>
        <w:t>’</w:t>
      </w:r>
      <w:r w:rsidRPr="00AE141E">
        <w:rPr>
          <w:rFonts w:ascii="Times New Roman" w:hAnsi="Times New Roman" w:cs="Times New Roman"/>
          <w:sz w:val="24"/>
          <w:szCs w:val="24"/>
        </w:rPr>
        <w:t>), and claims of a conscious popular allegiance to imperial culture (hereafter termed the ‘maximal impact thesis’).</w:t>
      </w:r>
      <w:r w:rsidRPr="00AE141E">
        <w:rPr>
          <w:rStyle w:val="FootnoteReference"/>
          <w:rFonts w:ascii="Times New Roman" w:hAnsi="Times New Roman" w:cs="Times New Roman"/>
          <w:sz w:val="24"/>
          <w:szCs w:val="24"/>
        </w:rPr>
        <w:footnoteReference w:id="42"/>
      </w:r>
      <w:r w:rsidRPr="00AE141E">
        <w:rPr>
          <w:rFonts w:ascii="Times New Roman" w:hAnsi="Times New Roman" w:cs="Times New Roman"/>
          <w:sz w:val="24"/>
          <w:szCs w:val="24"/>
        </w:rPr>
        <w:t xml:space="preserve"> My research implies that popular culture – at least from the 1960s onwards – was certainly not characterised by an uncomplicated celebration of the imperial past. However, evidence of widespread ignorance of empire – whether convincing or not – cannot be equated with indifference. Nor does it serve to support the suggestion that empire exerted a minimal impact upon popular culture. Permeation is distinct from celebration. I argue that the manifestation and construction of ignorance through school curricula both reflected and produced empire’s pathology of </w:t>
      </w:r>
      <w:r w:rsidRPr="00AE141E">
        <w:rPr>
          <w:rFonts w:ascii="Times New Roman" w:hAnsi="Times New Roman" w:cs="Times New Roman"/>
          <w:sz w:val="24"/>
          <w:szCs w:val="24"/>
        </w:rPr>
        <w:lastRenderedPageBreak/>
        <w:t>presence in mid- to late- twentieth century English culture</w:t>
      </w:r>
      <w:r w:rsidRPr="00AE141E">
        <w:rPr>
          <w:rFonts w:ascii="Times New Roman" w:eastAsia="Times New Roman" w:hAnsi="Times New Roman" w:cs="Times New Roman"/>
          <w:color w:val="000000"/>
          <w:sz w:val="24"/>
          <w:szCs w:val="24"/>
          <w:lang w:eastAsia="en-GB"/>
        </w:rPr>
        <w:t>. In the absence of critical discussion, imperial ideology and assumptions thrived in the shadows.</w:t>
      </w:r>
    </w:p>
    <w:p w14:paraId="11F68C77" w14:textId="48AD0519" w:rsidR="009329E1"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When these assumptions were challenged, it was often due to the influence of students of colour (whether direct or indirect). My thesis offers a bottom-up view of education: it is a history of people, not of policy. While I draw upon teaching materials destined for use in twentieth century classrooms, I also tackle the harder-to-access areas of teaching practice and its reception. </w:t>
      </w:r>
      <w:r w:rsidR="00B22913">
        <w:rPr>
          <w:rFonts w:ascii="Times New Roman" w:eastAsia="Times New Roman" w:hAnsi="Times New Roman" w:cs="Times New Roman"/>
          <w:color w:val="000000"/>
          <w:sz w:val="24"/>
          <w:szCs w:val="24"/>
          <w:lang w:eastAsia="en-GB"/>
        </w:rPr>
        <w:t>In Chapter 3, t</w:t>
      </w:r>
      <w:r w:rsidRPr="00AE141E">
        <w:rPr>
          <w:rFonts w:ascii="Times New Roman" w:eastAsia="Times New Roman" w:hAnsi="Times New Roman" w:cs="Times New Roman"/>
          <w:color w:val="000000"/>
          <w:sz w:val="24"/>
          <w:szCs w:val="24"/>
          <w:lang w:eastAsia="en-GB"/>
        </w:rPr>
        <w:t xml:space="preserve">his entails an emphasis on the contemporary voices of school students – especially students of colour. As Laura Tisdall notes, histories of education in twentieth century Britain </w:t>
      </w:r>
      <w:r w:rsidRPr="00AE141E">
        <w:rPr>
          <w:rFonts w:ascii="Times New Roman" w:hAnsi="Times New Roman" w:cs="Times New Roman"/>
          <w:sz w:val="24"/>
          <w:szCs w:val="24"/>
        </w:rPr>
        <w:t>have ‘almost never’ engaged with such voices.</w:t>
      </w:r>
      <w:r w:rsidRPr="00AE141E">
        <w:rPr>
          <w:rStyle w:val="FootnoteReference"/>
          <w:rFonts w:ascii="Times New Roman" w:hAnsi="Times New Roman" w:cs="Times New Roman"/>
          <w:sz w:val="24"/>
          <w:szCs w:val="24"/>
        </w:rPr>
        <w:footnoteReference w:id="43"/>
      </w:r>
      <w:r w:rsidRPr="00AE141E">
        <w:rPr>
          <w:rFonts w:ascii="Times New Roman" w:hAnsi="Times New Roman" w:cs="Times New Roman"/>
          <w:sz w:val="24"/>
          <w:szCs w:val="24"/>
        </w:rPr>
        <w:t xml:space="preserve"> Indeed, it has sometimes been assumed that archival records of children of colour – doubly oppressed on the basis of age and race – simply do not exist.</w:t>
      </w:r>
      <w:r w:rsidRPr="00AE141E">
        <w:rPr>
          <w:rStyle w:val="FootnoteReference"/>
          <w:rFonts w:ascii="Times New Roman" w:hAnsi="Times New Roman" w:cs="Times New Roman"/>
          <w:sz w:val="24"/>
          <w:szCs w:val="24"/>
        </w:rPr>
        <w:footnoteReference w:id="44"/>
      </w:r>
      <w:r w:rsidRPr="00AE141E">
        <w:rPr>
          <w:rFonts w:ascii="Times New Roman" w:hAnsi="Times New Roman" w:cs="Times New Roman"/>
          <w:sz w:val="24"/>
          <w:szCs w:val="24"/>
        </w:rPr>
        <w:t xml:space="preserve"> There is an element of truth in the idea that historians of this topic may need to be more creative in their search for sources. Nevertheless, to concede to an apparent absence of evidence is to comply with the erasure of these voices from the historical record. In so doing, we make the statement that they are unimportant. In part </w:t>
      </w:r>
      <w:r w:rsidRPr="00AE141E">
        <w:rPr>
          <w:rFonts w:ascii="Times New Roman" w:hAnsi="Times New Roman" w:cs="Times New Roman"/>
          <w:i/>
          <w:sz w:val="24"/>
          <w:szCs w:val="24"/>
        </w:rPr>
        <w:t>because</w:t>
      </w:r>
      <w:r w:rsidRPr="00AE141E">
        <w:rPr>
          <w:rFonts w:ascii="Times New Roman" w:hAnsi="Times New Roman" w:cs="Times New Roman"/>
          <w:sz w:val="24"/>
          <w:szCs w:val="24"/>
        </w:rPr>
        <w:t xml:space="preserve"> of their systematic marginalisation by the education system, young people of colour held strong opinions on teaching and learning. History, as a vital means of identity formation and self-knowledge in a hostile society, was a common topic of student criticism and action. </w:t>
      </w:r>
      <w:r w:rsidR="00B22913">
        <w:rPr>
          <w:rFonts w:ascii="Times New Roman" w:hAnsi="Times New Roman" w:cs="Times New Roman"/>
          <w:sz w:val="24"/>
          <w:szCs w:val="24"/>
        </w:rPr>
        <w:t>The</w:t>
      </w:r>
      <w:r w:rsidRPr="00AE141E">
        <w:rPr>
          <w:rFonts w:ascii="Times New Roman" w:hAnsi="Times New Roman" w:cs="Times New Roman"/>
          <w:sz w:val="24"/>
          <w:szCs w:val="24"/>
        </w:rPr>
        <w:t xml:space="preserve"> </w:t>
      </w:r>
      <w:r w:rsidR="00B22913">
        <w:rPr>
          <w:rFonts w:ascii="Times New Roman" w:hAnsi="Times New Roman" w:cs="Times New Roman"/>
          <w:sz w:val="24"/>
          <w:szCs w:val="24"/>
        </w:rPr>
        <w:t>emphasis</w:t>
      </w:r>
      <w:r w:rsidRPr="00AE141E">
        <w:rPr>
          <w:rFonts w:ascii="Times New Roman" w:hAnsi="Times New Roman" w:cs="Times New Roman"/>
          <w:sz w:val="24"/>
          <w:szCs w:val="24"/>
        </w:rPr>
        <w:t xml:space="preserve"> on these voices</w:t>
      </w:r>
      <w:r w:rsidR="00B22913">
        <w:rPr>
          <w:rFonts w:ascii="Times New Roman" w:hAnsi="Times New Roman" w:cs="Times New Roman"/>
          <w:sz w:val="24"/>
          <w:szCs w:val="24"/>
        </w:rPr>
        <w:t xml:space="preserve"> in my third Chapter</w:t>
      </w:r>
      <w:r w:rsidRPr="00AE141E">
        <w:rPr>
          <w:rFonts w:ascii="Times New Roman" w:hAnsi="Times New Roman" w:cs="Times New Roman"/>
          <w:sz w:val="24"/>
          <w:szCs w:val="24"/>
        </w:rPr>
        <w:t xml:space="preserve"> serves two purposes; first, it is a useful reminder that the history we teach matters deeply to students, second, it allows us to reconceptualise the simplistic teacher/student binary, and to appreciate the educational insights provided by those who are too often silenced or maligned in classroom contexts.</w:t>
      </w:r>
    </w:p>
    <w:p w14:paraId="295406F6" w14:textId="2B47703A" w:rsidR="00571197"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My thesis joins students of colour in countering the tendency towards the historical erasure of imperialism. As Gilroy argues, ‘repressed and buried knowledge’ of the cruelty and injustice of colonisation can be denied only at ‘considerable moral and psychological cost’.</w:t>
      </w:r>
      <w:r w:rsidRPr="00AE141E">
        <w:rPr>
          <w:rStyle w:val="FootnoteReference"/>
          <w:rFonts w:ascii="Times New Roman" w:eastAsia="Times New Roman" w:hAnsi="Times New Roman" w:cs="Times New Roman"/>
          <w:color w:val="000000"/>
          <w:sz w:val="24"/>
          <w:szCs w:val="24"/>
          <w:lang w:eastAsia="en-GB"/>
        </w:rPr>
        <w:footnoteReference w:id="45"/>
      </w:r>
      <w:r w:rsidRPr="00AE141E">
        <w:rPr>
          <w:rFonts w:ascii="Times New Roman" w:eastAsia="Times New Roman" w:hAnsi="Times New Roman" w:cs="Times New Roman"/>
          <w:color w:val="000000"/>
          <w:sz w:val="24"/>
          <w:szCs w:val="24"/>
          <w:lang w:eastAsia="en-GB"/>
        </w:rPr>
        <w:t xml:space="preserve"> The cost is felt by all members of society. A refusal to confront the history of empire entails a refusal to confront its legacy; the ‘practical mechanisms of racial hierarchy and the ideology of white </w:t>
      </w:r>
      <w:r w:rsidRPr="00AE141E">
        <w:rPr>
          <w:rFonts w:ascii="Times New Roman" w:eastAsia="Times New Roman" w:hAnsi="Times New Roman" w:cs="Times New Roman"/>
          <w:color w:val="000000"/>
          <w:sz w:val="24"/>
          <w:szCs w:val="24"/>
          <w:lang w:eastAsia="en-GB"/>
        </w:rPr>
        <w:lastRenderedPageBreak/>
        <w:t xml:space="preserve">supremacy’. It allows migration to be divorced from its proper historical context – as </w:t>
      </w:r>
      <w:r w:rsidRPr="00AE141E">
        <w:rPr>
          <w:rFonts w:ascii="Times New Roman" w:hAnsi="Times New Roman" w:cs="Times New Roman"/>
          <w:sz w:val="24"/>
          <w:szCs w:val="24"/>
        </w:rPr>
        <w:t>the anti-racist campaigns of the late twentieth century expressed so powerfully, ‘we are here because you were there’.</w:t>
      </w:r>
      <w:r w:rsidRPr="00AE141E">
        <w:rPr>
          <w:rStyle w:val="FootnoteReference"/>
          <w:rFonts w:ascii="Times New Roman" w:hAnsi="Times New Roman" w:cs="Times New Roman"/>
          <w:sz w:val="24"/>
          <w:szCs w:val="24"/>
        </w:rPr>
        <w:footnoteReference w:id="46"/>
      </w:r>
      <w:r w:rsidRPr="00AE141E">
        <w:rPr>
          <w:rFonts w:ascii="Times New Roman" w:hAnsi="Times New Roman" w:cs="Times New Roman"/>
          <w:sz w:val="24"/>
          <w:szCs w:val="24"/>
        </w:rPr>
        <w:t xml:space="preserve"> As a corollary, imperial erasure operates as a distorting mirror which allows British people to view themselves as victims of invasion, war, or even a process of ‘reverse colonisation’ through migration. It is only by facing up to the imperial past that we can open the </w:t>
      </w:r>
      <w:r w:rsidRPr="00AE141E">
        <w:rPr>
          <w:rFonts w:ascii="Times New Roman" w:eastAsia="Times New Roman" w:hAnsi="Times New Roman" w:cs="Times New Roman"/>
          <w:color w:val="000000"/>
          <w:sz w:val="24"/>
          <w:szCs w:val="24"/>
          <w:lang w:eastAsia="en-GB"/>
        </w:rPr>
        <w:t>possibility of restitution, justice, and reconciliation – and hence guarantee a shared future.</w:t>
      </w:r>
      <w:r w:rsidRPr="00AE141E">
        <w:rPr>
          <w:rStyle w:val="FootnoteReference"/>
          <w:rFonts w:ascii="Times New Roman" w:eastAsia="Times New Roman" w:hAnsi="Times New Roman" w:cs="Times New Roman"/>
          <w:color w:val="000000"/>
          <w:sz w:val="24"/>
          <w:szCs w:val="24"/>
          <w:lang w:eastAsia="en-GB"/>
        </w:rPr>
        <w:footnoteReference w:id="47"/>
      </w:r>
      <w:r w:rsidRPr="00AE141E">
        <w:rPr>
          <w:rFonts w:ascii="Times New Roman" w:hAnsi="Times New Roman" w:cs="Times New Roman"/>
          <w:sz w:val="24"/>
          <w:szCs w:val="24"/>
        </w:rPr>
        <w:t xml:space="preserve"> We might then picture discussion of the imperial past as a kind of national talking therapy, which facilitates the concrete changes needed to heal. The alternative, </w:t>
      </w:r>
      <w:r w:rsidRPr="00AE141E">
        <w:rPr>
          <w:rFonts w:ascii="Times New Roman" w:eastAsia="Times New Roman" w:hAnsi="Times New Roman" w:cs="Times New Roman"/>
          <w:color w:val="000000"/>
          <w:sz w:val="24"/>
          <w:szCs w:val="24"/>
          <w:lang w:eastAsia="en-GB"/>
        </w:rPr>
        <w:t>as Peter Mitchell has identified, is the maintenance of empire as an ‘underlying neurosis’, destined to ‘erupt in ever clearer, more frightening, and more cathartic forms’.</w:t>
      </w:r>
      <w:r w:rsidRPr="00AE141E">
        <w:rPr>
          <w:rStyle w:val="FootnoteReference"/>
          <w:rFonts w:ascii="Times New Roman" w:eastAsia="Times New Roman" w:hAnsi="Times New Roman" w:cs="Times New Roman"/>
          <w:color w:val="000000"/>
          <w:sz w:val="24"/>
          <w:szCs w:val="24"/>
          <w:lang w:eastAsia="en-GB"/>
        </w:rPr>
        <w:footnoteReference w:id="48"/>
      </w:r>
    </w:p>
    <w:p w14:paraId="0FBE782E" w14:textId="77777777" w:rsidR="009329E1" w:rsidRPr="00AE141E" w:rsidRDefault="009329E1"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A Note on the Structural Distinctiveness of English Secondary Education</w:t>
      </w:r>
    </w:p>
    <w:p w14:paraId="191545D8"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origins of English mass education lie in the nineteenth century elementary school system. Elementary schools, so-called for their basic curricular offerings, opened education to poor and working-class children. Funding for these schools typically came from a combination of fees, charitable foundations, and government grants. The latter were often accompanied by rigid criteria. ‘Payment by results’, inaugurated by the Revised Code of 1862, indexed government funding to the attainment of students in the ‘three Rs’ (reading, writing, and arithmetic).</w:t>
      </w:r>
      <w:r w:rsidRPr="00AE141E">
        <w:rPr>
          <w:rStyle w:val="FootnoteReference"/>
          <w:rFonts w:ascii="Times New Roman" w:hAnsi="Times New Roman" w:cs="Times New Roman"/>
          <w:sz w:val="24"/>
          <w:szCs w:val="24"/>
        </w:rPr>
        <w:footnoteReference w:id="49"/>
      </w:r>
      <w:r w:rsidRPr="00AE141E">
        <w:rPr>
          <w:rFonts w:ascii="Times New Roman" w:hAnsi="Times New Roman" w:cs="Times New Roman"/>
          <w:sz w:val="24"/>
          <w:szCs w:val="24"/>
        </w:rPr>
        <w:t xml:space="preserve"> This model had the effect of establishing three primary curricular areas, to the exclusion of other subjects. Even amongst the ‘higher branches of elementary instruction’ not included in the Revised Code (history, geography, and grammar), the position and popularity of history seems to have been negligible. Where it existed, it seems to have tended towards rote learning, and to have taken the form of a chronological survey of the English past. </w:t>
      </w:r>
    </w:p>
    <w:p w14:paraId="60252DBC" w14:textId="11C00864"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The first decade of the twentieth century witnessed a raft of reforms which created an educational and curricular infrastructure that would endure almost until the century’s end. In 1902, the responsibility for educational administration was transferred from the old network of local ‘School Boards’ to Local Education Authorities (LEAs).</w:t>
      </w:r>
      <w:r w:rsidRPr="00AE141E">
        <w:rPr>
          <w:rStyle w:val="FootnoteReference"/>
          <w:rFonts w:ascii="Times New Roman" w:hAnsi="Times New Roman" w:cs="Times New Roman"/>
          <w:sz w:val="24"/>
          <w:szCs w:val="24"/>
        </w:rPr>
        <w:footnoteReference w:id="50"/>
      </w:r>
      <w:r w:rsidRPr="00AE141E">
        <w:rPr>
          <w:rFonts w:ascii="Times New Roman" w:hAnsi="Times New Roman" w:cs="Times New Roman"/>
          <w:sz w:val="24"/>
          <w:szCs w:val="24"/>
        </w:rPr>
        <w:t xml:space="preserve"> Unlike their predecessors, LEAs were given power over secondary</w:t>
      </w:r>
      <w:r w:rsidR="00857370" w:rsidRPr="00AE141E">
        <w:rPr>
          <w:rFonts w:ascii="Times New Roman" w:hAnsi="Times New Roman" w:cs="Times New Roman"/>
          <w:sz w:val="24"/>
          <w:szCs w:val="24"/>
        </w:rPr>
        <w:t xml:space="preserve"> </w:t>
      </w:r>
      <w:r w:rsidR="00EB4D85" w:rsidRPr="00AE141E">
        <w:rPr>
          <w:rFonts w:ascii="Times New Roman" w:hAnsi="Times New Roman" w:cs="Times New Roman"/>
          <w:sz w:val="24"/>
          <w:szCs w:val="24"/>
        </w:rPr>
        <w:t>education in addition to</w:t>
      </w:r>
      <w:r w:rsidRPr="00AE141E">
        <w:rPr>
          <w:rFonts w:ascii="Times New Roman" w:hAnsi="Times New Roman" w:cs="Times New Roman"/>
          <w:sz w:val="24"/>
          <w:szCs w:val="24"/>
        </w:rPr>
        <w:t xml:space="preserve"> elementary</w:t>
      </w:r>
      <w:r w:rsidR="00EB4D85" w:rsidRPr="00AE141E">
        <w:rPr>
          <w:rFonts w:ascii="Times New Roman" w:hAnsi="Times New Roman" w:cs="Times New Roman"/>
          <w:sz w:val="24"/>
          <w:szCs w:val="24"/>
        </w:rPr>
        <w:t xml:space="preserve"> </w:t>
      </w:r>
      <w:r w:rsidRPr="00AE141E">
        <w:rPr>
          <w:rFonts w:ascii="Times New Roman" w:hAnsi="Times New Roman" w:cs="Times New Roman"/>
          <w:sz w:val="24"/>
          <w:szCs w:val="24"/>
        </w:rPr>
        <w:t>school</w:t>
      </w:r>
      <w:r w:rsidR="00EB4D85" w:rsidRPr="00AE141E">
        <w:rPr>
          <w:rFonts w:ascii="Times New Roman" w:hAnsi="Times New Roman" w:cs="Times New Roman"/>
          <w:sz w:val="24"/>
          <w:szCs w:val="24"/>
        </w:rPr>
        <w:t>s</w:t>
      </w:r>
      <w:r w:rsidRPr="00AE141E">
        <w:rPr>
          <w:rFonts w:ascii="Times New Roman" w:hAnsi="Times New Roman" w:cs="Times New Roman"/>
          <w:sz w:val="24"/>
          <w:szCs w:val="24"/>
        </w:rPr>
        <w:t>. Two years later, the central Board of Education mandated a secondary curriculum which included history as a compulsory subject. Henceforth, history had a constant place on school curricula at the secondary level – although teachers’ confidence in its position wavered periodically (sometimes with good reason) over the course of the twentieth century. The foundation of the Historical Association (HA) in 1906 was the product of discussions between teachers and academics committed to co-ordinating, improving, and preserving the teaching of history in English schools.</w:t>
      </w:r>
      <w:r w:rsidRPr="00AE141E">
        <w:rPr>
          <w:rStyle w:val="FootnoteReference"/>
          <w:rFonts w:ascii="Times New Roman" w:hAnsi="Times New Roman" w:cs="Times New Roman"/>
          <w:sz w:val="24"/>
          <w:szCs w:val="24"/>
        </w:rPr>
        <w:footnoteReference w:id="51"/>
      </w:r>
    </w:p>
    <w:p w14:paraId="0D585CF7" w14:textId="436B494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Bernard Porter situates these reforms in the context of a broader nation-building programme; politicians recognised the potential value of history for consolidating national identity and loyalty.</w:t>
      </w:r>
      <w:r w:rsidRPr="00AE141E">
        <w:rPr>
          <w:rStyle w:val="FootnoteReference"/>
          <w:rFonts w:ascii="Times New Roman" w:hAnsi="Times New Roman" w:cs="Times New Roman"/>
          <w:sz w:val="24"/>
          <w:szCs w:val="24"/>
        </w:rPr>
        <w:footnoteReference w:id="52"/>
      </w:r>
      <w:r w:rsidRPr="00AE141E">
        <w:rPr>
          <w:rFonts w:ascii="Times New Roman" w:hAnsi="Times New Roman" w:cs="Times New Roman"/>
          <w:sz w:val="24"/>
          <w:szCs w:val="24"/>
        </w:rPr>
        <w:t xml:space="preserve"> Nevertheless, the 1902 Act set the precedent that there would be no ‘official’ history imposed from above – imperial or otherwise. The Act represented a significant shift in power within the English education system: responsibility for curricular matters was transferred from central government to over three hundred newly </w:t>
      </w:r>
      <w:r w:rsidR="00D52F42" w:rsidRPr="00AE141E">
        <w:rPr>
          <w:rFonts w:ascii="Times New Roman" w:hAnsi="Times New Roman" w:cs="Times New Roman"/>
          <w:sz w:val="24"/>
          <w:szCs w:val="24"/>
        </w:rPr>
        <w:t>established</w:t>
      </w:r>
      <w:r w:rsidRPr="00AE141E">
        <w:rPr>
          <w:rFonts w:ascii="Times New Roman" w:hAnsi="Times New Roman" w:cs="Times New Roman"/>
          <w:sz w:val="24"/>
          <w:szCs w:val="24"/>
        </w:rPr>
        <w:t xml:space="preserve"> LEAs.</w:t>
      </w:r>
      <w:r w:rsidRPr="00AE141E">
        <w:rPr>
          <w:rStyle w:val="FootnoteReference"/>
          <w:rFonts w:ascii="Times New Roman" w:hAnsi="Times New Roman" w:cs="Times New Roman"/>
          <w:sz w:val="24"/>
          <w:szCs w:val="24"/>
        </w:rPr>
        <w:footnoteReference w:id="53"/>
      </w:r>
      <w:r w:rsidRPr="00AE141E">
        <w:rPr>
          <w:rFonts w:ascii="Times New Roman" w:hAnsi="Times New Roman" w:cs="Times New Roman"/>
          <w:sz w:val="24"/>
          <w:szCs w:val="24"/>
        </w:rPr>
        <w:t xml:space="preserve"> As Richard Aldrich and Dennis Dean put it, central government would henceforward exert significant control over the </w:t>
      </w:r>
      <w:r w:rsidRPr="00AE141E">
        <w:rPr>
          <w:rFonts w:ascii="Times New Roman" w:hAnsi="Times New Roman" w:cs="Times New Roman"/>
          <w:i/>
          <w:sz w:val="24"/>
          <w:szCs w:val="24"/>
        </w:rPr>
        <w:t>quantity</w:t>
      </w:r>
      <w:r w:rsidRPr="00AE141E">
        <w:rPr>
          <w:rFonts w:ascii="Times New Roman" w:hAnsi="Times New Roman" w:cs="Times New Roman"/>
          <w:sz w:val="24"/>
          <w:szCs w:val="24"/>
        </w:rPr>
        <w:t xml:space="preserve"> of history taught in schools, but would be generally unwilling (or unable) to shape the </w:t>
      </w:r>
      <w:r w:rsidRPr="00AE141E">
        <w:rPr>
          <w:rFonts w:ascii="Times New Roman" w:hAnsi="Times New Roman" w:cs="Times New Roman"/>
          <w:i/>
          <w:sz w:val="24"/>
          <w:szCs w:val="24"/>
        </w:rPr>
        <w:t xml:space="preserve">nature </w:t>
      </w:r>
      <w:r w:rsidRPr="00AE141E">
        <w:rPr>
          <w:rFonts w:ascii="Times New Roman" w:hAnsi="Times New Roman" w:cs="Times New Roman"/>
          <w:sz w:val="24"/>
          <w:szCs w:val="24"/>
        </w:rPr>
        <w:t xml:space="preserve">or </w:t>
      </w:r>
      <w:r w:rsidRPr="00AE141E">
        <w:rPr>
          <w:rFonts w:ascii="Times New Roman" w:hAnsi="Times New Roman" w:cs="Times New Roman"/>
          <w:i/>
          <w:sz w:val="24"/>
          <w:szCs w:val="24"/>
        </w:rPr>
        <w:t>content</w:t>
      </w:r>
      <w:r w:rsidRPr="00AE141E">
        <w:rPr>
          <w:rFonts w:ascii="Times New Roman" w:hAnsi="Times New Roman" w:cs="Times New Roman"/>
          <w:sz w:val="24"/>
          <w:szCs w:val="24"/>
        </w:rPr>
        <w:t xml:space="preserve"> of history teaching.</w:t>
      </w:r>
      <w:r w:rsidRPr="00AE141E">
        <w:rPr>
          <w:rStyle w:val="FootnoteReference"/>
          <w:rFonts w:ascii="Times New Roman" w:hAnsi="Times New Roman" w:cs="Times New Roman"/>
          <w:sz w:val="24"/>
          <w:szCs w:val="24"/>
        </w:rPr>
        <w:footnoteReference w:id="54"/>
      </w:r>
      <w:r w:rsidRPr="00AE141E">
        <w:rPr>
          <w:rFonts w:ascii="Times New Roman" w:hAnsi="Times New Roman" w:cs="Times New Roman"/>
          <w:sz w:val="24"/>
          <w:szCs w:val="24"/>
        </w:rPr>
        <w:t xml:space="preserve"> The latter was determined in much more diffuse fashion. In practice, History curricula became the prerogative of teachers – acting in dialogue with pressures and influences from higher ups, professional associations, pupils, parents, and broader cultural dynamics. </w:t>
      </w:r>
    </w:p>
    <w:p w14:paraId="11F33724" w14:textId="5DC16744"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The 1944 Education Act (the ‘Butler Act’) enshrined the principles of the post-war settlement in the educational field, marking a radical new departure for teachers and students alike.</w:t>
      </w:r>
      <w:r w:rsidRPr="00AE141E">
        <w:rPr>
          <w:rStyle w:val="FootnoteReference"/>
          <w:rFonts w:ascii="Times New Roman" w:hAnsi="Times New Roman" w:cs="Times New Roman"/>
          <w:sz w:val="24"/>
          <w:szCs w:val="24"/>
        </w:rPr>
        <w:footnoteReference w:id="55"/>
      </w:r>
      <w:r w:rsidRPr="00AE141E">
        <w:rPr>
          <w:rFonts w:ascii="Times New Roman" w:hAnsi="Times New Roman" w:cs="Times New Roman"/>
          <w:sz w:val="24"/>
          <w:szCs w:val="24"/>
        </w:rPr>
        <w:t xml:space="preserve">  Nevertheless, the principle of teacher autonomy within a framework of LEA control, set by the 1902 Act, survived these changes. The Butler Act reaffirmed the government’s refusal to prescribe the content of school syllabi – even (or perhaps especially) in the politically sensitive area of history. For the next 40 years, ‘official policy’, so far as it existed, was ‘represented by pamphlets issued by the Ministry of Education’.</w:t>
      </w:r>
      <w:r w:rsidRPr="00AE141E">
        <w:rPr>
          <w:rStyle w:val="FootnoteReference"/>
          <w:rFonts w:ascii="Times New Roman" w:hAnsi="Times New Roman" w:cs="Times New Roman"/>
          <w:sz w:val="24"/>
          <w:szCs w:val="24"/>
        </w:rPr>
        <w:footnoteReference w:id="56"/>
      </w:r>
      <w:r w:rsidRPr="00AE141E">
        <w:rPr>
          <w:rFonts w:ascii="Times New Roman" w:hAnsi="Times New Roman" w:cs="Times New Roman"/>
          <w:sz w:val="24"/>
          <w:szCs w:val="24"/>
        </w:rPr>
        <w:t xml:space="preserve"> This made the substantial uniformity of history teaching all the more remarkable.</w:t>
      </w:r>
      <w:r w:rsidR="00E708C7">
        <w:rPr>
          <w:rFonts w:ascii="Times New Roman" w:hAnsi="Times New Roman" w:cs="Times New Roman"/>
          <w:sz w:val="24"/>
          <w:szCs w:val="24"/>
        </w:rPr>
        <w:t xml:space="preserve"> Though</w:t>
      </w:r>
      <w:r w:rsidR="00850EBB">
        <w:rPr>
          <w:rFonts w:ascii="Times New Roman" w:hAnsi="Times New Roman" w:cs="Times New Roman"/>
          <w:sz w:val="24"/>
          <w:szCs w:val="24"/>
        </w:rPr>
        <w:t xml:space="preserve"> teaching varied</w:t>
      </w:r>
      <w:r w:rsidR="004D001B">
        <w:rPr>
          <w:rFonts w:ascii="Times New Roman" w:hAnsi="Times New Roman" w:cs="Times New Roman"/>
          <w:sz w:val="24"/>
          <w:szCs w:val="24"/>
        </w:rPr>
        <w:t xml:space="preserve"> dramatically between grammar and secondary modern schools</w:t>
      </w:r>
      <w:r w:rsidR="00746BF6">
        <w:rPr>
          <w:rFonts w:ascii="Times New Roman" w:hAnsi="Times New Roman" w:cs="Times New Roman"/>
          <w:sz w:val="24"/>
          <w:szCs w:val="24"/>
        </w:rPr>
        <w:t>,</w:t>
      </w:r>
      <w:r w:rsidRPr="00AE141E">
        <w:rPr>
          <w:rFonts w:ascii="Times New Roman" w:hAnsi="Times New Roman" w:cs="Times New Roman"/>
          <w:sz w:val="24"/>
          <w:szCs w:val="24"/>
        </w:rPr>
        <w:t xml:space="preserve"> </w:t>
      </w:r>
      <w:r w:rsidR="00176B9E">
        <w:rPr>
          <w:rFonts w:ascii="Times New Roman" w:hAnsi="Times New Roman" w:cs="Times New Roman"/>
          <w:sz w:val="24"/>
          <w:szCs w:val="24"/>
        </w:rPr>
        <w:t xml:space="preserve">some consensus on </w:t>
      </w:r>
      <w:r w:rsidRPr="00AE141E">
        <w:rPr>
          <w:rFonts w:ascii="Times New Roman" w:hAnsi="Times New Roman" w:cs="Times New Roman"/>
          <w:sz w:val="24"/>
          <w:szCs w:val="24"/>
        </w:rPr>
        <w:t xml:space="preserve">history curricula </w:t>
      </w:r>
      <w:r w:rsidR="00176B9E">
        <w:rPr>
          <w:rFonts w:ascii="Times New Roman" w:hAnsi="Times New Roman" w:cs="Times New Roman"/>
          <w:sz w:val="24"/>
          <w:szCs w:val="24"/>
        </w:rPr>
        <w:t xml:space="preserve">prevailed across the bipartite divide: </w:t>
      </w:r>
      <w:r w:rsidR="00B85C52">
        <w:rPr>
          <w:rFonts w:ascii="Times New Roman" w:hAnsi="Times New Roman" w:cs="Times New Roman"/>
          <w:sz w:val="24"/>
          <w:szCs w:val="24"/>
        </w:rPr>
        <w:t xml:space="preserve">courses in both types of school continued to </w:t>
      </w:r>
      <w:r w:rsidRPr="00AE141E">
        <w:rPr>
          <w:rFonts w:ascii="Times New Roman" w:hAnsi="Times New Roman" w:cs="Times New Roman"/>
          <w:sz w:val="24"/>
          <w:szCs w:val="24"/>
        </w:rPr>
        <w:t>emphasise national chronology.</w:t>
      </w:r>
      <w:r w:rsidR="00B152E4">
        <w:rPr>
          <w:rFonts w:ascii="Times New Roman" w:hAnsi="Times New Roman" w:cs="Times New Roman"/>
          <w:sz w:val="24"/>
          <w:szCs w:val="24"/>
        </w:rPr>
        <w:t xml:space="preserve"> </w:t>
      </w:r>
      <w:r w:rsidRPr="00AE141E">
        <w:rPr>
          <w:rFonts w:ascii="Times New Roman" w:hAnsi="Times New Roman" w:cs="Times New Roman"/>
          <w:sz w:val="24"/>
          <w:szCs w:val="24"/>
        </w:rPr>
        <w:t>This applied equally to the teaching of British imperial history – a subject now confronted by the shifting geopolitical realities of the post-war world, including the first major wave of formal decolonisation.</w:t>
      </w:r>
    </w:p>
    <w:p w14:paraId="3A971787" w14:textId="44318230" w:rsidR="009329E1" w:rsidRPr="00AE141E" w:rsidRDefault="00052CD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t>
      </w:r>
      <w:r w:rsidR="009329E1" w:rsidRPr="00AE141E">
        <w:rPr>
          <w:rFonts w:ascii="Times New Roman" w:hAnsi="Times New Roman" w:cs="Times New Roman"/>
          <w:sz w:val="24"/>
          <w:szCs w:val="24"/>
        </w:rPr>
        <w:t>1944 Education Act created a structural framework for English education which would endure for more than four decades. Education was now conceived as a universal entitlement for British children, free at the point of delivery.</w:t>
      </w:r>
      <w:r w:rsidR="009329E1" w:rsidRPr="00AE141E">
        <w:rPr>
          <w:rStyle w:val="FootnoteReference"/>
          <w:rFonts w:ascii="Times New Roman" w:hAnsi="Times New Roman" w:cs="Times New Roman"/>
          <w:sz w:val="24"/>
          <w:szCs w:val="24"/>
        </w:rPr>
        <w:footnoteReference w:id="57"/>
      </w:r>
      <w:r w:rsidR="009329E1" w:rsidRPr="00AE141E">
        <w:rPr>
          <w:rFonts w:ascii="Times New Roman" w:hAnsi="Times New Roman" w:cs="Times New Roman"/>
          <w:sz w:val="24"/>
          <w:szCs w:val="24"/>
        </w:rPr>
        <w:t xml:space="preserve"> The Board of Education was abolished and replaced with the better funded Ministry of Education – responsible for the maintenance of the new state schools, broadly split into primary (for ages five to eleven) and secondary (for ages eleven upwards) levels. Full-time education was made compulsory up to age 15, with the option of staying on to 18 for students seeking to go on to further study. At secondary level, schools were divided into three categories: academically selective grammar schools, secondary modern schools offering a practical education, and secondary technical schools with an emphasis on science and technology. Admission was decided on the basis of an examination taken at age 11 </w:t>
      </w:r>
      <w:r w:rsidR="003A5E63" w:rsidRPr="00AE141E">
        <w:rPr>
          <w:rFonts w:ascii="Times New Roman" w:hAnsi="Times New Roman" w:cs="Times New Roman"/>
          <w:sz w:val="24"/>
          <w:szCs w:val="24"/>
        </w:rPr>
        <w:t>(</w:t>
      </w:r>
      <w:r w:rsidR="009329E1" w:rsidRPr="00AE141E">
        <w:rPr>
          <w:rFonts w:ascii="Times New Roman" w:hAnsi="Times New Roman" w:cs="Times New Roman"/>
          <w:sz w:val="24"/>
          <w:szCs w:val="24"/>
        </w:rPr>
        <w:t xml:space="preserve">the ‘eleven plus’). In practice, secondary technical schools were inconsistently implemented, and the tripartite system became essentially bipartite. More than 70 per cent of students were educated in secondary moderns, compared to 20 per cent in </w:t>
      </w:r>
      <w:r w:rsidR="009329E1" w:rsidRPr="00AE141E">
        <w:rPr>
          <w:rFonts w:ascii="Times New Roman" w:hAnsi="Times New Roman" w:cs="Times New Roman"/>
          <w:sz w:val="24"/>
          <w:szCs w:val="24"/>
        </w:rPr>
        <w:lastRenderedPageBreak/>
        <w:t>grammars.</w:t>
      </w:r>
      <w:r w:rsidR="009329E1" w:rsidRPr="00AE141E">
        <w:rPr>
          <w:rStyle w:val="FootnoteReference"/>
          <w:rFonts w:ascii="Times New Roman" w:hAnsi="Times New Roman" w:cs="Times New Roman"/>
          <w:sz w:val="24"/>
          <w:szCs w:val="24"/>
        </w:rPr>
        <w:footnoteReference w:id="58"/>
      </w:r>
      <w:r w:rsidR="009329E1" w:rsidRPr="00AE141E">
        <w:rPr>
          <w:rFonts w:ascii="Times New Roman" w:hAnsi="Times New Roman" w:cs="Times New Roman"/>
          <w:sz w:val="24"/>
          <w:szCs w:val="24"/>
        </w:rPr>
        <w:t xml:space="preserve"> Grammar schools were socially as well as academically selective, drawing their students primarily from economically privileged backgrounds. </w:t>
      </w:r>
    </w:p>
    <w:p w14:paraId="516E5967" w14:textId="1133E4D6"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bipartite system often had the effect of deciding a student’s future at age 11. For some pupils, placement in a secondary modern school amounted to the termination of opportunities to pursue an academically focused curriculum, to continue in education beyond the school leaving age (the age at which full-time education is no longer compulsory), or even to receive formal qualifications.</w:t>
      </w:r>
      <w:r w:rsidRPr="00AE141E">
        <w:rPr>
          <w:rStyle w:val="FootnoteReference"/>
          <w:rFonts w:ascii="Times New Roman" w:hAnsi="Times New Roman" w:cs="Times New Roman"/>
          <w:sz w:val="24"/>
          <w:szCs w:val="24"/>
        </w:rPr>
        <w:footnoteReference w:id="59"/>
      </w:r>
      <w:r w:rsidRPr="00AE141E">
        <w:rPr>
          <w:rFonts w:ascii="Times New Roman" w:hAnsi="Times New Roman" w:cs="Times New Roman"/>
          <w:sz w:val="24"/>
          <w:szCs w:val="24"/>
        </w:rPr>
        <w:t xml:space="preserve"> As such, the ‘eleven plus’ </w:t>
      </w:r>
      <w:r w:rsidR="007F5F79" w:rsidRPr="00AE141E">
        <w:rPr>
          <w:rFonts w:ascii="Times New Roman" w:hAnsi="Times New Roman" w:cs="Times New Roman"/>
          <w:sz w:val="24"/>
          <w:szCs w:val="24"/>
        </w:rPr>
        <w:t>came</w:t>
      </w:r>
      <w:r w:rsidRPr="00AE141E">
        <w:rPr>
          <w:rFonts w:ascii="Times New Roman" w:hAnsi="Times New Roman" w:cs="Times New Roman"/>
          <w:sz w:val="24"/>
          <w:szCs w:val="24"/>
        </w:rPr>
        <w:t xml:space="preserve"> to be viewed as a pass/fail examination. Those who ‘failed’ recorded a sense of shame or inferiority which often followed them into adulthood. The bipartite system was subject to increasing criticism both for its educational failings, and for its role in reflecting and reinforcing class distinctions. The result was a programme of ‘comprehensivisation’, </w:t>
      </w:r>
      <w:r w:rsidR="00B33C9E" w:rsidRPr="00AE141E">
        <w:rPr>
          <w:rFonts w:ascii="Times New Roman" w:hAnsi="Times New Roman" w:cs="Times New Roman"/>
          <w:sz w:val="24"/>
          <w:szCs w:val="24"/>
        </w:rPr>
        <w:t>which accelerated following formal government backing</w:t>
      </w:r>
      <w:r w:rsidRPr="00AE141E">
        <w:rPr>
          <w:rFonts w:ascii="Times New Roman" w:hAnsi="Times New Roman" w:cs="Times New Roman"/>
          <w:sz w:val="24"/>
          <w:szCs w:val="24"/>
        </w:rPr>
        <w:t xml:space="preserve"> in 1965. ‘Comprehensive’ schools were characterised by a non-selective, ‘mixed ability’ intake: the aspiration was to provide equal educational opportunities to all, irrespective of background or ability (whether real or perceived). The Department of Education and Science</w:t>
      </w:r>
      <w:r w:rsidR="00913ABA" w:rsidRPr="00AE141E">
        <w:rPr>
          <w:rFonts w:ascii="Times New Roman" w:hAnsi="Times New Roman" w:cs="Times New Roman"/>
          <w:sz w:val="24"/>
          <w:szCs w:val="24"/>
        </w:rPr>
        <w:t xml:space="preserve"> (DES)</w:t>
      </w:r>
      <w:r w:rsidRPr="00AE141E">
        <w:rPr>
          <w:rFonts w:ascii="Times New Roman" w:hAnsi="Times New Roman" w:cs="Times New Roman"/>
          <w:sz w:val="24"/>
          <w:szCs w:val="24"/>
        </w:rPr>
        <w:t xml:space="preserve"> ‘requested’ and financially incentivised comprehensivisation.</w:t>
      </w:r>
      <w:r w:rsidRPr="00AE141E">
        <w:rPr>
          <w:rStyle w:val="FootnoteReference"/>
          <w:rFonts w:ascii="Times New Roman" w:hAnsi="Times New Roman" w:cs="Times New Roman"/>
          <w:sz w:val="24"/>
          <w:szCs w:val="24"/>
        </w:rPr>
        <w:footnoteReference w:id="60"/>
      </w:r>
      <w:r w:rsidRPr="00AE141E">
        <w:rPr>
          <w:rFonts w:ascii="Times New Roman" w:hAnsi="Times New Roman" w:cs="Times New Roman"/>
          <w:sz w:val="24"/>
          <w:szCs w:val="24"/>
        </w:rPr>
        <w:t xml:space="preserve"> However, the autonomy of LEAs was maintained, and a comprehensive policy was not enforced. As a result, the switch to a comprehensive system was widespread but not universal</w:t>
      </w:r>
      <w:r w:rsidR="00F86F4C">
        <w:rPr>
          <w:rFonts w:ascii="Times New Roman" w:hAnsi="Times New Roman" w:cs="Times New Roman"/>
          <w:sz w:val="24"/>
          <w:szCs w:val="24"/>
        </w:rPr>
        <w:t>; s</w:t>
      </w:r>
      <w:r w:rsidR="00DE1BBF">
        <w:rPr>
          <w:rFonts w:ascii="Times New Roman" w:hAnsi="Times New Roman" w:cs="Times New Roman"/>
          <w:sz w:val="24"/>
          <w:szCs w:val="24"/>
        </w:rPr>
        <w:t>ome</w:t>
      </w:r>
      <w:r w:rsidRPr="00AE141E">
        <w:rPr>
          <w:rFonts w:ascii="Times New Roman" w:hAnsi="Times New Roman" w:cs="Times New Roman"/>
          <w:sz w:val="24"/>
          <w:szCs w:val="24"/>
        </w:rPr>
        <w:t xml:space="preserve"> LEAs retained grammar schools as an alternative to comprehensive education. Between 1964 and 1982, the proportion of pupils at comprehensive schools increased from 7 per cent to 90 per cent.</w:t>
      </w:r>
      <w:r w:rsidRPr="00AE141E">
        <w:rPr>
          <w:rStyle w:val="FootnoteReference"/>
          <w:rFonts w:ascii="Times New Roman" w:hAnsi="Times New Roman" w:cs="Times New Roman"/>
          <w:sz w:val="24"/>
          <w:szCs w:val="24"/>
        </w:rPr>
        <w:footnoteReference w:id="61"/>
      </w:r>
    </w:p>
    <w:p w14:paraId="1168A993" w14:textId="438CF8F4"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For most of its history, English mass education can be characterised as highly decentralised. Teachers in England enjoyed a degree of professional autonomy and creative freedom unusual within the wider European context.</w:t>
      </w:r>
      <w:r w:rsidRPr="00AE141E">
        <w:rPr>
          <w:rStyle w:val="FootnoteReference"/>
          <w:rFonts w:ascii="Times New Roman" w:hAnsi="Times New Roman" w:cs="Times New Roman"/>
          <w:sz w:val="24"/>
          <w:szCs w:val="24"/>
        </w:rPr>
        <w:footnoteReference w:id="62"/>
      </w:r>
      <w:r w:rsidRPr="00AE141E">
        <w:rPr>
          <w:rFonts w:ascii="Times New Roman" w:hAnsi="Times New Roman" w:cs="Times New Roman"/>
          <w:sz w:val="24"/>
          <w:szCs w:val="24"/>
        </w:rPr>
        <w:t xml:space="preserve"> The introduction of the National Curriculum in 1988, under Margaret Thatcher’s third government, marked a break with the fundamental assumptions of this tradition. For the first time in the twentieth century, central government broke substantively from a non-interventionist policy in matters</w:t>
      </w:r>
      <w:r w:rsidR="00FC30CD">
        <w:rPr>
          <w:rFonts w:ascii="Times New Roman" w:hAnsi="Times New Roman" w:cs="Times New Roman"/>
          <w:sz w:val="24"/>
          <w:szCs w:val="24"/>
        </w:rPr>
        <w:t xml:space="preserve"> of curricular content</w:t>
      </w:r>
      <w:r w:rsidRPr="00AE141E">
        <w:rPr>
          <w:rFonts w:ascii="Times New Roman" w:hAnsi="Times New Roman" w:cs="Times New Roman"/>
          <w:sz w:val="24"/>
          <w:szCs w:val="24"/>
        </w:rPr>
        <w:t xml:space="preserve">. Criticism of the aims, content, and quality of history teaching formed a crucial justification for increased legislative regulation. The National Curriculum prescribed History as a compulsory subject </w:t>
      </w:r>
      <w:r w:rsidR="00FB221C" w:rsidRPr="00AE141E">
        <w:rPr>
          <w:rFonts w:ascii="Times New Roman" w:hAnsi="Times New Roman" w:cs="Times New Roman"/>
          <w:sz w:val="24"/>
          <w:szCs w:val="24"/>
        </w:rPr>
        <w:t>during</w:t>
      </w:r>
      <w:r w:rsidRPr="00AE141E">
        <w:rPr>
          <w:rFonts w:ascii="Times New Roman" w:hAnsi="Times New Roman" w:cs="Times New Roman"/>
          <w:sz w:val="24"/>
          <w:szCs w:val="24"/>
        </w:rPr>
        <w:t xml:space="preserve"> the first three years of secondary education.</w:t>
      </w:r>
      <w:r w:rsidRPr="00AE141E">
        <w:rPr>
          <w:rStyle w:val="FootnoteReference"/>
          <w:rFonts w:ascii="Times New Roman" w:hAnsi="Times New Roman" w:cs="Times New Roman"/>
          <w:sz w:val="24"/>
          <w:szCs w:val="24"/>
        </w:rPr>
        <w:footnoteReference w:id="63"/>
      </w:r>
      <w:r w:rsidRPr="00AE141E">
        <w:rPr>
          <w:rFonts w:ascii="Times New Roman" w:hAnsi="Times New Roman" w:cs="Times New Roman"/>
          <w:sz w:val="24"/>
          <w:szCs w:val="24"/>
        </w:rPr>
        <w:t xml:space="preserve"> It also laid down the minimum content </w:t>
      </w:r>
      <w:r w:rsidR="00FB221C" w:rsidRPr="00AE141E">
        <w:rPr>
          <w:rFonts w:ascii="Times New Roman" w:hAnsi="Times New Roman" w:cs="Times New Roman"/>
          <w:sz w:val="24"/>
          <w:szCs w:val="24"/>
        </w:rPr>
        <w:t>which teachers were expected to cover</w:t>
      </w:r>
      <w:r w:rsidRPr="00AE141E">
        <w:rPr>
          <w:rFonts w:ascii="Times New Roman" w:hAnsi="Times New Roman" w:cs="Times New Roman"/>
          <w:sz w:val="24"/>
          <w:szCs w:val="24"/>
        </w:rPr>
        <w:t xml:space="preserve">. </w:t>
      </w:r>
      <w:r w:rsidR="00FC30CD">
        <w:rPr>
          <w:rFonts w:ascii="Times New Roman" w:hAnsi="Times New Roman" w:cs="Times New Roman"/>
          <w:sz w:val="24"/>
          <w:szCs w:val="24"/>
        </w:rPr>
        <w:t xml:space="preserve">These </w:t>
      </w:r>
      <w:r w:rsidRPr="00AE141E">
        <w:rPr>
          <w:rFonts w:ascii="Times New Roman" w:hAnsi="Times New Roman" w:cs="Times New Roman"/>
          <w:sz w:val="24"/>
          <w:szCs w:val="24"/>
        </w:rPr>
        <w:t>development</w:t>
      </w:r>
      <w:r w:rsidR="00FC30CD">
        <w:rPr>
          <w:rFonts w:ascii="Times New Roman" w:hAnsi="Times New Roman" w:cs="Times New Roman"/>
          <w:sz w:val="24"/>
          <w:szCs w:val="24"/>
        </w:rPr>
        <w:t>s</w:t>
      </w:r>
      <w:r w:rsidRPr="00AE141E">
        <w:rPr>
          <w:rFonts w:ascii="Times New Roman" w:hAnsi="Times New Roman" w:cs="Times New Roman"/>
          <w:sz w:val="24"/>
          <w:szCs w:val="24"/>
        </w:rPr>
        <w:t xml:space="preserve"> speak to distinctive contemporary concerns around national unity and identity. It is for this reason that I take the roll-out of the National Curriculum as the endpoint of my study.</w:t>
      </w:r>
    </w:p>
    <w:p w14:paraId="773E281E" w14:textId="77777777" w:rsidR="009329E1" w:rsidRPr="00AE141E" w:rsidRDefault="009329E1"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The Parameters of this Study</w:t>
      </w:r>
    </w:p>
    <w:p w14:paraId="71C2428B" w14:textId="77777777" w:rsidR="0044725B"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temporal scope of my thesis encompasses </w:t>
      </w:r>
      <w:r w:rsidR="00C228AB">
        <w:rPr>
          <w:rFonts w:ascii="Times New Roman" w:hAnsi="Times New Roman" w:cs="Times New Roman"/>
          <w:sz w:val="24"/>
          <w:szCs w:val="24"/>
        </w:rPr>
        <w:t xml:space="preserve">a period of </w:t>
      </w:r>
      <w:r w:rsidR="00C228AB" w:rsidRPr="00C228AB">
        <w:rPr>
          <w:rFonts w:ascii="Times New Roman" w:hAnsi="Times New Roman" w:cs="Times New Roman"/>
          <w:sz w:val="24"/>
          <w:szCs w:val="24"/>
        </w:rPr>
        <w:t>late twentieth century British history stretching from roughly 1965 to 1995</w:t>
      </w:r>
      <w:r w:rsidRPr="00AE141E">
        <w:rPr>
          <w:rFonts w:ascii="Times New Roman" w:hAnsi="Times New Roman" w:cs="Times New Roman"/>
          <w:sz w:val="24"/>
          <w:szCs w:val="24"/>
        </w:rPr>
        <w:t xml:space="preserve">. </w:t>
      </w:r>
      <w:r w:rsidR="0039398C">
        <w:rPr>
          <w:rFonts w:ascii="Times New Roman" w:hAnsi="Times New Roman" w:cs="Times New Roman"/>
          <w:sz w:val="24"/>
          <w:szCs w:val="24"/>
        </w:rPr>
        <w:t xml:space="preserve">I </w:t>
      </w:r>
      <w:r w:rsidR="0039398C" w:rsidRPr="00557B8D">
        <w:rPr>
          <w:rFonts w:ascii="Times New Roman" w:hAnsi="Times New Roman" w:cs="Times New Roman"/>
          <w:sz w:val="24"/>
          <w:szCs w:val="24"/>
        </w:rPr>
        <w:t xml:space="preserve">argue that the teaching of imperial history was contested and reformulated from the mid-1960s onwards; thus, I take 1965 as a symbolic starting point. </w:t>
      </w:r>
      <w:r w:rsidR="009D1BA6">
        <w:rPr>
          <w:rFonts w:ascii="Times New Roman" w:hAnsi="Times New Roman" w:cs="Times New Roman"/>
          <w:sz w:val="24"/>
          <w:szCs w:val="24"/>
        </w:rPr>
        <w:t xml:space="preserve">Nevertheless, </w:t>
      </w:r>
      <w:r w:rsidRPr="00AE141E">
        <w:rPr>
          <w:rFonts w:ascii="Times New Roman" w:hAnsi="Times New Roman" w:cs="Times New Roman"/>
          <w:sz w:val="24"/>
          <w:szCs w:val="24"/>
        </w:rPr>
        <w:t>I begin with a short, introductory chapter which introduces readers to the teaching of imperial history in English schools in the immediate post-war years</w:t>
      </w:r>
      <w:r w:rsidR="009F78E1">
        <w:rPr>
          <w:rFonts w:ascii="Times New Roman" w:hAnsi="Times New Roman" w:cs="Times New Roman"/>
          <w:sz w:val="24"/>
          <w:szCs w:val="24"/>
        </w:rPr>
        <w:t xml:space="preserve"> (1945-1965)</w:t>
      </w:r>
      <w:r w:rsidRPr="00AE141E">
        <w:rPr>
          <w:rFonts w:ascii="Times New Roman" w:hAnsi="Times New Roman" w:cs="Times New Roman"/>
          <w:sz w:val="24"/>
          <w:szCs w:val="24"/>
        </w:rPr>
        <w:t xml:space="preserve">. This is intended to provide essential context for the profound changes which took hold in the </w:t>
      </w:r>
      <w:r w:rsidR="00866E7E">
        <w:rPr>
          <w:rFonts w:ascii="Times New Roman" w:hAnsi="Times New Roman" w:cs="Times New Roman"/>
          <w:sz w:val="24"/>
          <w:szCs w:val="24"/>
        </w:rPr>
        <w:t>mid-</w:t>
      </w:r>
      <w:r w:rsidRPr="00AE141E">
        <w:rPr>
          <w:rFonts w:ascii="Times New Roman" w:hAnsi="Times New Roman" w:cs="Times New Roman"/>
          <w:sz w:val="24"/>
          <w:szCs w:val="24"/>
        </w:rPr>
        <w:t>1960s</w:t>
      </w:r>
      <w:r w:rsidR="00985934">
        <w:rPr>
          <w:rFonts w:ascii="Times New Roman" w:hAnsi="Times New Roman" w:cs="Times New Roman"/>
          <w:sz w:val="24"/>
          <w:szCs w:val="24"/>
        </w:rPr>
        <w:t xml:space="preserve">. </w:t>
      </w:r>
    </w:p>
    <w:p w14:paraId="72CB2192" w14:textId="77777777" w:rsidR="0044725B" w:rsidRDefault="00BC2EDC" w:rsidP="00AE141E">
      <w:pPr>
        <w:spacing w:line="360" w:lineRule="auto"/>
        <w:rPr>
          <w:rFonts w:ascii="Times New Roman" w:hAnsi="Times New Roman" w:cs="Times New Roman"/>
          <w:sz w:val="24"/>
          <w:szCs w:val="24"/>
        </w:rPr>
      </w:pPr>
      <w:r>
        <w:rPr>
          <w:rFonts w:ascii="Times New Roman" w:hAnsi="Times New Roman" w:cs="Times New Roman"/>
          <w:sz w:val="24"/>
          <w:szCs w:val="24"/>
        </w:rPr>
        <w:t xml:space="preserve">Chapters 2, 3, and 4 all have some degree of temporal overlap. </w:t>
      </w:r>
      <w:r w:rsidR="00EF3C5E">
        <w:rPr>
          <w:rFonts w:ascii="Times New Roman" w:hAnsi="Times New Roman" w:cs="Times New Roman"/>
          <w:sz w:val="24"/>
          <w:szCs w:val="24"/>
        </w:rPr>
        <w:t>Chapters</w:t>
      </w:r>
      <w:r w:rsidR="00183885">
        <w:rPr>
          <w:rFonts w:ascii="Times New Roman" w:hAnsi="Times New Roman" w:cs="Times New Roman"/>
          <w:sz w:val="24"/>
          <w:szCs w:val="24"/>
        </w:rPr>
        <w:t xml:space="preserve"> 2 and 3</w:t>
      </w:r>
      <w:r w:rsidR="00DF64FE">
        <w:rPr>
          <w:rFonts w:ascii="Times New Roman" w:hAnsi="Times New Roman" w:cs="Times New Roman"/>
          <w:sz w:val="24"/>
          <w:szCs w:val="24"/>
        </w:rPr>
        <w:t xml:space="preserve"> </w:t>
      </w:r>
      <w:r w:rsidR="004C108C">
        <w:rPr>
          <w:rFonts w:ascii="Times New Roman" w:hAnsi="Times New Roman" w:cs="Times New Roman"/>
          <w:sz w:val="24"/>
          <w:szCs w:val="24"/>
        </w:rPr>
        <w:t xml:space="preserve">cover </w:t>
      </w:r>
      <w:r w:rsidR="00EF3C5E">
        <w:rPr>
          <w:rFonts w:ascii="Times New Roman" w:hAnsi="Times New Roman" w:cs="Times New Roman"/>
          <w:sz w:val="24"/>
          <w:szCs w:val="24"/>
        </w:rPr>
        <w:t>an identical</w:t>
      </w:r>
      <w:r w:rsidR="004C108C">
        <w:rPr>
          <w:rFonts w:ascii="Times New Roman" w:hAnsi="Times New Roman" w:cs="Times New Roman"/>
          <w:sz w:val="24"/>
          <w:szCs w:val="24"/>
        </w:rPr>
        <w:t xml:space="preserve"> </w:t>
      </w:r>
      <w:r w:rsidR="00183885">
        <w:rPr>
          <w:rFonts w:ascii="Times New Roman" w:hAnsi="Times New Roman" w:cs="Times New Roman"/>
          <w:sz w:val="24"/>
          <w:szCs w:val="24"/>
        </w:rPr>
        <w:t>timeframe</w:t>
      </w:r>
      <w:r w:rsidR="00C94A44">
        <w:rPr>
          <w:rFonts w:ascii="Times New Roman" w:hAnsi="Times New Roman" w:cs="Times New Roman"/>
          <w:sz w:val="24"/>
          <w:szCs w:val="24"/>
        </w:rPr>
        <w:t xml:space="preserve"> (1965-1985)</w:t>
      </w:r>
      <w:r w:rsidR="00183885">
        <w:rPr>
          <w:rFonts w:ascii="Times New Roman" w:hAnsi="Times New Roman" w:cs="Times New Roman"/>
          <w:sz w:val="24"/>
          <w:szCs w:val="24"/>
        </w:rPr>
        <w:t xml:space="preserve">. </w:t>
      </w:r>
      <w:r w:rsidR="00D007C8">
        <w:rPr>
          <w:rFonts w:ascii="Times New Roman" w:hAnsi="Times New Roman" w:cs="Times New Roman"/>
          <w:sz w:val="24"/>
          <w:szCs w:val="24"/>
        </w:rPr>
        <w:t>I chose to</w:t>
      </w:r>
      <w:r w:rsidR="00DF64FE">
        <w:rPr>
          <w:rFonts w:ascii="Times New Roman" w:hAnsi="Times New Roman" w:cs="Times New Roman"/>
          <w:sz w:val="24"/>
          <w:szCs w:val="24"/>
        </w:rPr>
        <w:t xml:space="preserve"> divide</w:t>
      </w:r>
      <w:r w:rsidR="00D007C8">
        <w:rPr>
          <w:rFonts w:ascii="Times New Roman" w:hAnsi="Times New Roman" w:cs="Times New Roman"/>
          <w:sz w:val="24"/>
          <w:szCs w:val="24"/>
        </w:rPr>
        <w:t xml:space="preserve"> them</w:t>
      </w:r>
      <w:r w:rsidR="00DF64FE">
        <w:rPr>
          <w:rFonts w:ascii="Times New Roman" w:hAnsi="Times New Roman" w:cs="Times New Roman"/>
          <w:sz w:val="24"/>
          <w:szCs w:val="24"/>
        </w:rPr>
        <w:t xml:space="preserve"> thematicall</w:t>
      </w:r>
      <w:r w:rsidR="00183885">
        <w:rPr>
          <w:rFonts w:ascii="Times New Roman" w:hAnsi="Times New Roman" w:cs="Times New Roman"/>
          <w:sz w:val="24"/>
          <w:szCs w:val="24"/>
        </w:rPr>
        <w:t xml:space="preserve">y </w:t>
      </w:r>
      <w:r w:rsidR="00FB7794">
        <w:rPr>
          <w:rFonts w:ascii="Times New Roman" w:hAnsi="Times New Roman" w:cs="Times New Roman"/>
          <w:sz w:val="24"/>
          <w:szCs w:val="24"/>
        </w:rPr>
        <w:t xml:space="preserve">in order to </w:t>
      </w:r>
      <w:r w:rsidR="00D007C8">
        <w:rPr>
          <w:rFonts w:ascii="Times New Roman" w:hAnsi="Times New Roman" w:cs="Times New Roman"/>
          <w:sz w:val="24"/>
          <w:szCs w:val="24"/>
        </w:rPr>
        <w:t>examine</w:t>
      </w:r>
      <w:r w:rsidR="00FB7794">
        <w:rPr>
          <w:rFonts w:ascii="Times New Roman" w:hAnsi="Times New Roman" w:cs="Times New Roman"/>
          <w:sz w:val="24"/>
          <w:szCs w:val="24"/>
        </w:rPr>
        <w:t xml:space="preserve"> two distinct but contemporaneous </w:t>
      </w:r>
      <w:r w:rsidR="00EB7381">
        <w:rPr>
          <w:rFonts w:ascii="Times New Roman" w:hAnsi="Times New Roman" w:cs="Times New Roman"/>
          <w:sz w:val="24"/>
          <w:szCs w:val="24"/>
        </w:rPr>
        <w:t>developments</w:t>
      </w:r>
      <w:r w:rsidR="009329E1" w:rsidRPr="00AE141E">
        <w:rPr>
          <w:rFonts w:ascii="Times New Roman" w:hAnsi="Times New Roman" w:cs="Times New Roman"/>
          <w:sz w:val="24"/>
          <w:szCs w:val="24"/>
        </w:rPr>
        <w:t xml:space="preserve"> </w:t>
      </w:r>
      <w:r w:rsidR="00EB7381">
        <w:rPr>
          <w:rFonts w:ascii="Times New Roman" w:hAnsi="Times New Roman" w:cs="Times New Roman"/>
          <w:sz w:val="24"/>
          <w:szCs w:val="24"/>
        </w:rPr>
        <w:t>(world history and the rise of anti-racist resistance</w:t>
      </w:r>
      <w:r w:rsidR="00C94A44">
        <w:rPr>
          <w:rFonts w:ascii="Times New Roman" w:hAnsi="Times New Roman" w:cs="Times New Roman"/>
          <w:sz w:val="24"/>
          <w:szCs w:val="24"/>
        </w:rPr>
        <w:t xml:space="preserve"> in education)</w:t>
      </w:r>
      <w:r w:rsidR="00D007C8">
        <w:rPr>
          <w:rFonts w:ascii="Times New Roman" w:hAnsi="Times New Roman" w:cs="Times New Roman"/>
          <w:sz w:val="24"/>
          <w:szCs w:val="24"/>
        </w:rPr>
        <w:t xml:space="preserve"> in an appropriate level of individual detail</w:t>
      </w:r>
      <w:r w:rsidR="00C94A44">
        <w:rPr>
          <w:rFonts w:ascii="Times New Roman" w:hAnsi="Times New Roman" w:cs="Times New Roman"/>
          <w:sz w:val="24"/>
          <w:szCs w:val="24"/>
        </w:rPr>
        <w:t>.</w:t>
      </w:r>
      <w:r w:rsidR="009329E1" w:rsidRPr="00AE141E">
        <w:rPr>
          <w:rFonts w:ascii="Times New Roman" w:hAnsi="Times New Roman" w:cs="Times New Roman"/>
          <w:sz w:val="24"/>
          <w:szCs w:val="24"/>
        </w:rPr>
        <w:t xml:space="preserve"> </w:t>
      </w:r>
      <w:r w:rsidR="00C94A44">
        <w:rPr>
          <w:rFonts w:ascii="Times New Roman" w:hAnsi="Times New Roman" w:cs="Times New Roman"/>
          <w:sz w:val="24"/>
          <w:szCs w:val="24"/>
        </w:rPr>
        <w:t xml:space="preserve">Chapter 4 </w:t>
      </w:r>
      <w:r w:rsidR="00446757">
        <w:rPr>
          <w:rFonts w:ascii="Times New Roman" w:hAnsi="Times New Roman" w:cs="Times New Roman"/>
          <w:sz w:val="24"/>
          <w:szCs w:val="24"/>
        </w:rPr>
        <w:t>begins</w:t>
      </w:r>
      <w:r w:rsidR="00C857D9">
        <w:rPr>
          <w:rFonts w:ascii="Times New Roman" w:hAnsi="Times New Roman" w:cs="Times New Roman"/>
          <w:sz w:val="24"/>
          <w:szCs w:val="24"/>
        </w:rPr>
        <w:t xml:space="preserve"> its analysis </w:t>
      </w:r>
      <w:r w:rsidR="00446757">
        <w:rPr>
          <w:rFonts w:ascii="Times New Roman" w:hAnsi="Times New Roman" w:cs="Times New Roman"/>
          <w:sz w:val="24"/>
          <w:szCs w:val="24"/>
        </w:rPr>
        <w:t>in</w:t>
      </w:r>
      <w:r w:rsidR="00CE5993">
        <w:rPr>
          <w:rFonts w:ascii="Times New Roman" w:hAnsi="Times New Roman" w:cs="Times New Roman"/>
          <w:sz w:val="24"/>
          <w:szCs w:val="24"/>
        </w:rPr>
        <w:t xml:space="preserve"> 1979</w:t>
      </w:r>
      <w:r w:rsidR="0093137D">
        <w:rPr>
          <w:rFonts w:ascii="Times New Roman" w:hAnsi="Times New Roman" w:cs="Times New Roman"/>
          <w:sz w:val="24"/>
          <w:szCs w:val="24"/>
        </w:rPr>
        <w:t xml:space="preserve"> –</w:t>
      </w:r>
      <w:r w:rsidR="00AF2B1F">
        <w:rPr>
          <w:rFonts w:ascii="Times New Roman" w:hAnsi="Times New Roman" w:cs="Times New Roman"/>
          <w:sz w:val="24"/>
          <w:szCs w:val="24"/>
        </w:rPr>
        <w:t xml:space="preserve"> the</w:t>
      </w:r>
      <w:r w:rsidR="0093137D">
        <w:rPr>
          <w:rFonts w:ascii="Times New Roman" w:hAnsi="Times New Roman" w:cs="Times New Roman"/>
          <w:sz w:val="24"/>
          <w:szCs w:val="24"/>
        </w:rPr>
        <w:t xml:space="preserve"> </w:t>
      </w:r>
      <w:r w:rsidR="00AF2B1F">
        <w:rPr>
          <w:rFonts w:ascii="Times New Roman" w:hAnsi="Times New Roman" w:cs="Times New Roman"/>
          <w:sz w:val="24"/>
          <w:szCs w:val="24"/>
        </w:rPr>
        <w:t>first year of Margaret Thatcher’s premiership</w:t>
      </w:r>
      <w:r w:rsidR="00446757">
        <w:rPr>
          <w:rFonts w:ascii="Times New Roman" w:hAnsi="Times New Roman" w:cs="Times New Roman"/>
          <w:sz w:val="24"/>
          <w:szCs w:val="24"/>
        </w:rPr>
        <w:t xml:space="preserve">. </w:t>
      </w:r>
      <w:r w:rsidR="0093137D">
        <w:rPr>
          <w:rFonts w:ascii="Times New Roman" w:hAnsi="Times New Roman" w:cs="Times New Roman"/>
          <w:sz w:val="24"/>
          <w:szCs w:val="24"/>
        </w:rPr>
        <w:t>Conservative backlash against the radical educational experiments of the previous two decades certainly preceded Thatcher’s elect</w:t>
      </w:r>
      <w:r w:rsidR="005C6BCC">
        <w:rPr>
          <w:rFonts w:ascii="Times New Roman" w:hAnsi="Times New Roman" w:cs="Times New Roman"/>
          <w:sz w:val="24"/>
          <w:szCs w:val="24"/>
        </w:rPr>
        <w:t>oral victory</w:t>
      </w:r>
      <w:r w:rsidR="0093137D">
        <w:rPr>
          <w:rFonts w:ascii="Times New Roman" w:hAnsi="Times New Roman" w:cs="Times New Roman"/>
          <w:sz w:val="24"/>
          <w:szCs w:val="24"/>
        </w:rPr>
        <w:t xml:space="preserve">. However, it was given </w:t>
      </w:r>
      <w:r w:rsidR="005C6BCC">
        <w:rPr>
          <w:rFonts w:ascii="Times New Roman" w:hAnsi="Times New Roman" w:cs="Times New Roman"/>
          <w:sz w:val="24"/>
          <w:szCs w:val="24"/>
        </w:rPr>
        <w:t xml:space="preserve">power and encouragement </w:t>
      </w:r>
      <w:r w:rsidR="002E51D1">
        <w:rPr>
          <w:rFonts w:ascii="Times New Roman" w:hAnsi="Times New Roman" w:cs="Times New Roman"/>
          <w:sz w:val="24"/>
          <w:szCs w:val="24"/>
        </w:rPr>
        <w:t xml:space="preserve">by the new </w:t>
      </w:r>
      <w:r w:rsidR="002E51D1">
        <w:rPr>
          <w:rFonts w:ascii="Times New Roman" w:hAnsi="Times New Roman" w:cs="Times New Roman"/>
          <w:sz w:val="24"/>
          <w:szCs w:val="24"/>
        </w:rPr>
        <w:lastRenderedPageBreak/>
        <w:t xml:space="preserve">government. This backlash </w:t>
      </w:r>
      <w:r w:rsidR="009E1DD5">
        <w:rPr>
          <w:rFonts w:ascii="Times New Roman" w:hAnsi="Times New Roman" w:cs="Times New Roman"/>
          <w:sz w:val="24"/>
          <w:szCs w:val="24"/>
        </w:rPr>
        <w:t xml:space="preserve">culminated in the introduction of the </w:t>
      </w:r>
      <w:r w:rsidR="009329E1" w:rsidRPr="00AE141E">
        <w:rPr>
          <w:rFonts w:ascii="Times New Roman" w:hAnsi="Times New Roman" w:cs="Times New Roman"/>
          <w:sz w:val="24"/>
          <w:szCs w:val="24"/>
        </w:rPr>
        <w:t xml:space="preserve">National Curriculum in 1988. </w:t>
      </w:r>
    </w:p>
    <w:p w14:paraId="4788ACE3" w14:textId="447FB838" w:rsidR="005619F2"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My narrative embraces the process by which the National Curriculum was introduced into schools</w:t>
      </w:r>
      <w:r w:rsidR="009E1690">
        <w:rPr>
          <w:rFonts w:ascii="Times New Roman" w:hAnsi="Times New Roman" w:cs="Times New Roman"/>
          <w:sz w:val="24"/>
          <w:szCs w:val="24"/>
        </w:rPr>
        <w:t xml:space="preserve">. It </w:t>
      </w:r>
      <w:r w:rsidRPr="00AE141E">
        <w:rPr>
          <w:rFonts w:ascii="Times New Roman" w:hAnsi="Times New Roman" w:cs="Times New Roman"/>
          <w:sz w:val="24"/>
          <w:szCs w:val="24"/>
        </w:rPr>
        <w:t>concludes in and around 1995, when the</w:t>
      </w:r>
      <w:r w:rsidR="00B22F88">
        <w:rPr>
          <w:rFonts w:ascii="Times New Roman" w:hAnsi="Times New Roman" w:cs="Times New Roman"/>
          <w:sz w:val="24"/>
          <w:szCs w:val="24"/>
        </w:rPr>
        <w:t xml:space="preserve"> reforms instituted by the</w:t>
      </w:r>
      <w:r w:rsidRPr="00AE141E">
        <w:rPr>
          <w:rFonts w:ascii="Times New Roman" w:hAnsi="Times New Roman" w:cs="Times New Roman"/>
          <w:sz w:val="24"/>
          <w:szCs w:val="24"/>
        </w:rPr>
        <w:t xml:space="preserve"> Dearing Review </w:t>
      </w:r>
      <w:r w:rsidR="006C6370">
        <w:rPr>
          <w:rFonts w:ascii="Times New Roman" w:hAnsi="Times New Roman" w:cs="Times New Roman"/>
          <w:sz w:val="24"/>
          <w:szCs w:val="24"/>
        </w:rPr>
        <w:t xml:space="preserve">reshaped the </w:t>
      </w:r>
      <w:r w:rsidRPr="00AE141E">
        <w:rPr>
          <w:rFonts w:ascii="Times New Roman" w:hAnsi="Times New Roman" w:cs="Times New Roman"/>
          <w:sz w:val="24"/>
          <w:szCs w:val="24"/>
        </w:rPr>
        <w:t xml:space="preserve">prescribed curriculum </w:t>
      </w:r>
      <w:r w:rsidR="00287329">
        <w:rPr>
          <w:rFonts w:ascii="Times New Roman" w:hAnsi="Times New Roman" w:cs="Times New Roman"/>
          <w:sz w:val="24"/>
          <w:szCs w:val="24"/>
        </w:rPr>
        <w:t>(in order t</w:t>
      </w:r>
      <w:r w:rsidR="00CD714B">
        <w:rPr>
          <w:rFonts w:ascii="Times New Roman" w:hAnsi="Times New Roman" w:cs="Times New Roman"/>
          <w:sz w:val="24"/>
          <w:szCs w:val="24"/>
        </w:rPr>
        <w:t>o make it more ‘teachable’)</w:t>
      </w:r>
      <w:r w:rsidRPr="00AE141E">
        <w:rPr>
          <w:rFonts w:ascii="Times New Roman" w:hAnsi="Times New Roman" w:cs="Times New Roman"/>
          <w:sz w:val="24"/>
          <w:szCs w:val="24"/>
        </w:rPr>
        <w:t xml:space="preserve">. </w:t>
      </w:r>
      <w:r w:rsidR="00B903D7" w:rsidRPr="00AE141E">
        <w:rPr>
          <w:rFonts w:ascii="Times New Roman" w:hAnsi="Times New Roman" w:cs="Times New Roman"/>
          <w:sz w:val="24"/>
          <w:szCs w:val="24"/>
        </w:rPr>
        <w:t>The choice to proceed to 1995 (rather than concluding in 1988) reflects my rejection of a purely political or policy-focused research framework in favour of a broader emphasis on the experience of teaching and being taught in mid- to late- twentieth century England.</w:t>
      </w:r>
      <w:r w:rsidR="00B903D7">
        <w:rPr>
          <w:rFonts w:ascii="Times New Roman" w:hAnsi="Times New Roman" w:cs="Times New Roman"/>
          <w:sz w:val="24"/>
          <w:szCs w:val="24"/>
        </w:rPr>
        <w:t xml:space="preserve"> </w:t>
      </w:r>
      <w:r w:rsidR="00B903D7" w:rsidRPr="00AE141E">
        <w:rPr>
          <w:rFonts w:ascii="Times New Roman" w:hAnsi="Times New Roman" w:cs="Times New Roman"/>
          <w:sz w:val="24"/>
          <w:szCs w:val="24"/>
        </w:rPr>
        <w:t>My decision to conclude with the introduction of the National Curriculum is also motivated by a desire to historicise our present-day reality – in this case the standardisation of curricula and the emergence of state education as a hostile environment for dissent.</w:t>
      </w:r>
    </w:p>
    <w:p w14:paraId="63453181" w14:textId="2B1444E4"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There are several reasons behind my choice of timeframe. First, and most obvious, is the lack of existing research on education and empire in the post-war period. As we will see, previous works on related themes tend to conclude in the First World War or its immediate aftermath. This is unsatisfactory on multiple levels. The teaching of imperial history at the empire’s territorial zenith inevitably looked very different to teaching during and after formal decolonisation. Conclusions from studies with an earlier focus cannot be generalised to apply to the post-war period. The loss of empire exerted considerable influence on national self-understanding. As Susanne Grindel notes, the connection between history and identity means that history classrooms are a key site in which the ‘politics of memory’ have been navigated, both during and after the period of formal decolonisation.</w:t>
      </w:r>
      <w:r w:rsidRPr="00AE141E">
        <w:rPr>
          <w:rStyle w:val="FootnoteReference"/>
          <w:rFonts w:ascii="Times New Roman" w:hAnsi="Times New Roman" w:cs="Times New Roman"/>
          <w:sz w:val="24"/>
          <w:szCs w:val="24"/>
        </w:rPr>
        <w:footnoteReference w:id="64"/>
      </w:r>
      <w:r w:rsidRPr="00AE141E">
        <w:rPr>
          <w:rFonts w:ascii="Times New Roman" w:hAnsi="Times New Roman" w:cs="Times New Roman"/>
          <w:sz w:val="24"/>
          <w:szCs w:val="24"/>
        </w:rPr>
        <w:t xml:space="preserve"> By examining these themes in the post-war period, I am able to uncover the history of ideas of memory, identity, and nationhood in the era of imperial decline. Such ideas continue to structure the socio-cultural dynamics and political debates of the present – and hence to shape our future. </w:t>
      </w:r>
    </w:p>
    <w:p w14:paraId="7089194C" w14:textId="61B19434"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following study focuses primarily on the history of the British empire as taught in formal</w:t>
      </w:r>
      <w:r w:rsidR="001717E5">
        <w:rPr>
          <w:rFonts w:ascii="Times New Roman" w:hAnsi="Times New Roman" w:cs="Times New Roman"/>
          <w:sz w:val="24"/>
          <w:szCs w:val="24"/>
        </w:rPr>
        <w:t>, subject-specific ‘h</w:t>
      </w:r>
      <w:r w:rsidRPr="00AE141E">
        <w:rPr>
          <w:rFonts w:ascii="Times New Roman" w:hAnsi="Times New Roman" w:cs="Times New Roman"/>
          <w:sz w:val="24"/>
          <w:szCs w:val="24"/>
        </w:rPr>
        <w:t>istory</w:t>
      </w:r>
      <w:r w:rsidR="001717E5">
        <w:rPr>
          <w:rFonts w:ascii="Times New Roman" w:hAnsi="Times New Roman" w:cs="Times New Roman"/>
          <w:sz w:val="24"/>
          <w:szCs w:val="24"/>
        </w:rPr>
        <w:t>’</w:t>
      </w:r>
      <w:r w:rsidRPr="00AE141E">
        <w:rPr>
          <w:rFonts w:ascii="Times New Roman" w:hAnsi="Times New Roman" w:cs="Times New Roman"/>
          <w:sz w:val="24"/>
          <w:szCs w:val="24"/>
        </w:rPr>
        <w:t xml:space="preserve"> lessons in state-funded secondary schools in England. History, including imperial history, of course enters school curricula in other subjects. However, it is my contention that </w:t>
      </w:r>
      <w:r w:rsidR="001717E5">
        <w:rPr>
          <w:rFonts w:ascii="Times New Roman" w:hAnsi="Times New Roman" w:cs="Times New Roman"/>
          <w:sz w:val="24"/>
          <w:szCs w:val="24"/>
        </w:rPr>
        <w:t>h</w:t>
      </w:r>
      <w:r w:rsidRPr="00AE141E">
        <w:rPr>
          <w:rFonts w:ascii="Times New Roman" w:hAnsi="Times New Roman" w:cs="Times New Roman"/>
          <w:sz w:val="24"/>
          <w:szCs w:val="24"/>
        </w:rPr>
        <w:t>istory has a strong and distinctive disciplinary identity</w:t>
      </w:r>
      <w:r w:rsidR="0044725B">
        <w:rPr>
          <w:rFonts w:ascii="Times New Roman" w:hAnsi="Times New Roman" w:cs="Times New Roman"/>
          <w:sz w:val="24"/>
          <w:szCs w:val="24"/>
        </w:rPr>
        <w:t xml:space="preserve"> as a taught subject</w:t>
      </w:r>
      <w:r w:rsidRPr="00AE141E">
        <w:rPr>
          <w:rFonts w:ascii="Times New Roman" w:hAnsi="Times New Roman" w:cs="Times New Roman"/>
          <w:sz w:val="24"/>
          <w:szCs w:val="24"/>
        </w:rPr>
        <w:t xml:space="preserve">. This identity lends a specific framework to the study of history </w:t>
      </w:r>
      <w:r w:rsidRPr="00AE141E">
        <w:rPr>
          <w:rFonts w:ascii="Times New Roman" w:hAnsi="Times New Roman" w:cs="Times New Roman"/>
          <w:i/>
          <w:sz w:val="24"/>
          <w:szCs w:val="24"/>
        </w:rPr>
        <w:t>qua</w:t>
      </w:r>
      <w:r w:rsidRPr="00AE141E">
        <w:rPr>
          <w:rFonts w:ascii="Times New Roman" w:hAnsi="Times New Roman" w:cs="Times New Roman"/>
          <w:sz w:val="24"/>
          <w:szCs w:val="24"/>
        </w:rPr>
        <w:t xml:space="preserve"> </w:t>
      </w:r>
      <w:r w:rsidR="00D23796">
        <w:rPr>
          <w:rFonts w:ascii="Times New Roman" w:hAnsi="Times New Roman" w:cs="Times New Roman"/>
          <w:sz w:val="24"/>
          <w:szCs w:val="24"/>
        </w:rPr>
        <w:t>‘</w:t>
      </w:r>
      <w:r w:rsidRPr="00AE141E">
        <w:rPr>
          <w:rFonts w:ascii="Times New Roman" w:hAnsi="Times New Roman" w:cs="Times New Roman"/>
          <w:sz w:val="24"/>
          <w:szCs w:val="24"/>
        </w:rPr>
        <w:t>History</w:t>
      </w:r>
      <w:r w:rsidR="00D23796">
        <w:rPr>
          <w:rFonts w:ascii="Times New Roman" w:hAnsi="Times New Roman" w:cs="Times New Roman"/>
          <w:sz w:val="24"/>
          <w:szCs w:val="24"/>
        </w:rPr>
        <w:t>’</w:t>
      </w:r>
      <w:r w:rsidR="00C65672">
        <w:rPr>
          <w:rFonts w:ascii="Times New Roman" w:hAnsi="Times New Roman" w:cs="Times New Roman"/>
          <w:sz w:val="24"/>
          <w:szCs w:val="24"/>
        </w:rPr>
        <w:t xml:space="preserve">. </w:t>
      </w:r>
      <w:r w:rsidRPr="00AE141E">
        <w:rPr>
          <w:rFonts w:ascii="Times New Roman" w:hAnsi="Times New Roman" w:cs="Times New Roman"/>
          <w:sz w:val="24"/>
          <w:szCs w:val="24"/>
        </w:rPr>
        <w:t xml:space="preserve">The origins and nature of </w:t>
      </w:r>
      <w:r w:rsidR="001717E5">
        <w:rPr>
          <w:rFonts w:ascii="Times New Roman" w:hAnsi="Times New Roman" w:cs="Times New Roman"/>
          <w:sz w:val="24"/>
          <w:szCs w:val="24"/>
        </w:rPr>
        <w:t>h</w:t>
      </w:r>
      <w:r w:rsidRPr="00AE141E">
        <w:rPr>
          <w:rFonts w:ascii="Times New Roman" w:hAnsi="Times New Roman" w:cs="Times New Roman"/>
          <w:sz w:val="24"/>
          <w:szCs w:val="24"/>
        </w:rPr>
        <w:t xml:space="preserve">istory’s disciplinary identity will be expanded upon further below. </w:t>
      </w:r>
      <w:r w:rsidRPr="00AE141E">
        <w:rPr>
          <w:rFonts w:ascii="Times New Roman" w:hAnsi="Times New Roman" w:cs="Times New Roman"/>
          <w:sz w:val="24"/>
          <w:szCs w:val="24"/>
        </w:rPr>
        <w:lastRenderedPageBreak/>
        <w:t xml:space="preserve">I make a partial exception for </w:t>
      </w:r>
      <w:r w:rsidR="001717E5">
        <w:rPr>
          <w:rFonts w:ascii="Times New Roman" w:hAnsi="Times New Roman" w:cs="Times New Roman"/>
          <w:sz w:val="24"/>
          <w:szCs w:val="24"/>
        </w:rPr>
        <w:t>‘</w:t>
      </w:r>
      <w:r w:rsidR="003644E1">
        <w:rPr>
          <w:rFonts w:ascii="Times New Roman" w:hAnsi="Times New Roman" w:cs="Times New Roman"/>
          <w:sz w:val="24"/>
          <w:szCs w:val="24"/>
        </w:rPr>
        <w:t>I</w:t>
      </w:r>
      <w:r w:rsidRPr="00AE141E">
        <w:rPr>
          <w:rFonts w:ascii="Times New Roman" w:hAnsi="Times New Roman" w:cs="Times New Roman"/>
          <w:sz w:val="24"/>
          <w:szCs w:val="24"/>
        </w:rPr>
        <w:t xml:space="preserve">ntegrated </w:t>
      </w:r>
      <w:r w:rsidR="003644E1">
        <w:rPr>
          <w:rFonts w:ascii="Times New Roman" w:hAnsi="Times New Roman" w:cs="Times New Roman"/>
          <w:sz w:val="24"/>
          <w:szCs w:val="24"/>
        </w:rPr>
        <w:t>H</w:t>
      </w:r>
      <w:r w:rsidRPr="00AE141E">
        <w:rPr>
          <w:rFonts w:ascii="Times New Roman" w:hAnsi="Times New Roman" w:cs="Times New Roman"/>
          <w:sz w:val="24"/>
          <w:szCs w:val="24"/>
        </w:rPr>
        <w:t>umanities</w:t>
      </w:r>
      <w:r w:rsidR="001717E5">
        <w:rPr>
          <w:rFonts w:ascii="Times New Roman" w:hAnsi="Times New Roman" w:cs="Times New Roman"/>
          <w:sz w:val="24"/>
          <w:szCs w:val="24"/>
        </w:rPr>
        <w:t>’</w:t>
      </w:r>
      <w:r w:rsidRPr="00AE141E">
        <w:rPr>
          <w:rFonts w:ascii="Times New Roman" w:hAnsi="Times New Roman" w:cs="Times New Roman"/>
          <w:sz w:val="24"/>
          <w:szCs w:val="24"/>
        </w:rPr>
        <w:t xml:space="preserve"> courses which treated </w:t>
      </w:r>
      <w:r w:rsidR="001717E5">
        <w:rPr>
          <w:rFonts w:ascii="Times New Roman" w:hAnsi="Times New Roman" w:cs="Times New Roman"/>
          <w:sz w:val="24"/>
          <w:szCs w:val="24"/>
        </w:rPr>
        <w:t>h</w:t>
      </w:r>
      <w:r w:rsidRPr="00AE141E">
        <w:rPr>
          <w:rFonts w:ascii="Times New Roman" w:hAnsi="Times New Roman" w:cs="Times New Roman"/>
          <w:sz w:val="24"/>
          <w:szCs w:val="24"/>
        </w:rPr>
        <w:t xml:space="preserve">istory as a distinct subject, albeit embedded within a broader, holistic approach to education in the </w:t>
      </w:r>
      <w:r w:rsidR="003D5D6D">
        <w:rPr>
          <w:rFonts w:ascii="Times New Roman" w:hAnsi="Times New Roman" w:cs="Times New Roman"/>
          <w:sz w:val="24"/>
          <w:szCs w:val="24"/>
        </w:rPr>
        <w:t>h</w:t>
      </w:r>
      <w:r w:rsidRPr="00AE141E">
        <w:rPr>
          <w:rFonts w:ascii="Times New Roman" w:hAnsi="Times New Roman" w:cs="Times New Roman"/>
          <w:sz w:val="24"/>
          <w:szCs w:val="24"/>
        </w:rPr>
        <w:t>umanities.</w:t>
      </w:r>
      <w:r w:rsidR="0035450E" w:rsidRPr="00AE141E">
        <w:rPr>
          <w:rFonts w:ascii="Times New Roman" w:hAnsi="Times New Roman" w:cs="Times New Roman"/>
          <w:sz w:val="24"/>
          <w:szCs w:val="24"/>
        </w:rPr>
        <w:t xml:space="preserve"> </w:t>
      </w:r>
      <w:r w:rsidRPr="00AE141E">
        <w:rPr>
          <w:rFonts w:ascii="Times New Roman" w:hAnsi="Times New Roman" w:cs="Times New Roman"/>
          <w:sz w:val="24"/>
          <w:szCs w:val="24"/>
        </w:rPr>
        <w:t>This is chiefly relevant from the close of the 1960s to the start of the 1980s.</w:t>
      </w:r>
    </w:p>
    <w:p w14:paraId="569C66FA"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My emphasis is primarily, though not exclusively, on formal history teaching in the secondary school classroom. Again, I feel that history has a distinctive disciplinary identity which structures teaching and which is worthy of analysis in its own right. Education outside the context of the formal teaching of history at secondary level will be analysed in terms of its influence on the historical sensibilities of teachers and students and their expression in school classrooms. Thus, my thesis will describe the impact of ‘hidden curricula’ (the values, customs, and behavioural norms which form the unacknowledged background to school life) and ‘informal curricula’ (school-based learning which falls outside formal, taught lessons).</w:t>
      </w:r>
      <w:r w:rsidRPr="00AE141E">
        <w:rPr>
          <w:rStyle w:val="FootnoteReference"/>
          <w:rFonts w:ascii="Times New Roman" w:hAnsi="Times New Roman" w:cs="Times New Roman"/>
          <w:sz w:val="24"/>
          <w:szCs w:val="24"/>
        </w:rPr>
        <w:footnoteReference w:id="65"/>
      </w:r>
      <w:r w:rsidRPr="00AE141E">
        <w:rPr>
          <w:rFonts w:ascii="Times New Roman" w:hAnsi="Times New Roman" w:cs="Times New Roman"/>
          <w:sz w:val="24"/>
          <w:szCs w:val="24"/>
        </w:rPr>
        <w:t xml:space="preserve"> It will also describe the effects of forms of teaching and learning which take place outside of compulsory schooling altogether. This includes popular cultural education, education in the family, peer education, and supplementary or community-based schooling. Such learning is sometimes referred to as ‘informal’, though the term has the tendency to downplay its capacity to be both highly coherent and highly organised.</w:t>
      </w:r>
      <w:r w:rsidRPr="00AE141E">
        <w:rPr>
          <w:rStyle w:val="FootnoteReference"/>
          <w:rFonts w:ascii="Times New Roman" w:hAnsi="Times New Roman" w:cs="Times New Roman"/>
          <w:sz w:val="24"/>
          <w:szCs w:val="24"/>
        </w:rPr>
        <w:footnoteReference w:id="66"/>
      </w:r>
      <w:r w:rsidRPr="00AE141E">
        <w:rPr>
          <w:rFonts w:ascii="Times New Roman" w:hAnsi="Times New Roman" w:cs="Times New Roman"/>
          <w:sz w:val="24"/>
          <w:szCs w:val="24"/>
        </w:rPr>
        <w:t xml:space="preserve"> </w:t>
      </w:r>
    </w:p>
    <w:p w14:paraId="49277417" w14:textId="3D61802C"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 have chosen to focus on secondary education as </w:t>
      </w:r>
      <w:r w:rsidR="00667508">
        <w:rPr>
          <w:rFonts w:ascii="Times New Roman" w:hAnsi="Times New Roman" w:cs="Times New Roman"/>
          <w:sz w:val="24"/>
          <w:szCs w:val="24"/>
        </w:rPr>
        <w:t>historical studies</w:t>
      </w:r>
      <w:r w:rsidRPr="00AE141E">
        <w:rPr>
          <w:rFonts w:ascii="Times New Roman" w:hAnsi="Times New Roman" w:cs="Times New Roman"/>
          <w:sz w:val="24"/>
          <w:szCs w:val="24"/>
        </w:rPr>
        <w:t xml:space="preserve"> ha</w:t>
      </w:r>
      <w:r w:rsidR="00667508">
        <w:rPr>
          <w:rFonts w:ascii="Times New Roman" w:hAnsi="Times New Roman" w:cs="Times New Roman"/>
          <w:sz w:val="24"/>
          <w:szCs w:val="24"/>
        </w:rPr>
        <w:t>ve</w:t>
      </w:r>
      <w:r w:rsidRPr="00AE141E">
        <w:rPr>
          <w:rFonts w:ascii="Times New Roman" w:hAnsi="Times New Roman" w:cs="Times New Roman"/>
          <w:sz w:val="24"/>
          <w:szCs w:val="24"/>
        </w:rPr>
        <w:t xml:space="preserve"> enjoyed a more stable, clearly defined place on the school curriculum here than at primary level.</w:t>
      </w:r>
      <w:r w:rsidRPr="00AE141E">
        <w:rPr>
          <w:rStyle w:val="FootnoteReference"/>
          <w:rFonts w:ascii="Times New Roman" w:hAnsi="Times New Roman" w:cs="Times New Roman"/>
          <w:sz w:val="24"/>
          <w:szCs w:val="24"/>
        </w:rPr>
        <w:footnoteReference w:id="67"/>
      </w:r>
      <w:r w:rsidRPr="00AE141E">
        <w:rPr>
          <w:rFonts w:ascii="Times New Roman" w:hAnsi="Times New Roman" w:cs="Times New Roman"/>
          <w:sz w:val="24"/>
          <w:szCs w:val="24"/>
        </w:rPr>
        <w:t xml:space="preserve"> I recognise, however, that primary and secondary education cannot be divorced entirely. The education received at primary school naturally influences pupils’ experiences of the transition to secondary education and shapes the demands placed on secondary school teachers. Likewise, the need to equip pupils to transition to secondary school moulds primary school teaching. The mutually constitutive nature of primary and secondary education in England means that the conclusions of this thesis likely have relevance beyond the secondary field. Future research with an explicit focus on primary schooling could demonstrate similarities </w:t>
      </w:r>
      <w:r w:rsidRPr="00AE141E">
        <w:rPr>
          <w:rFonts w:ascii="Times New Roman" w:hAnsi="Times New Roman" w:cs="Times New Roman"/>
          <w:sz w:val="24"/>
          <w:szCs w:val="24"/>
        </w:rPr>
        <w:lastRenderedPageBreak/>
        <w:t>and differences. It could also illuminate the impact of the sometimes deprecated, uncertain status of historical education at primary level on the teaching of the British empire, and the use of history to construct national identity.</w:t>
      </w:r>
    </w:p>
    <w:p w14:paraId="099D6615"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picture is complicated by the occasionally inconsistent nature of the English school system from age 11 upwards. Although the school leaving age increased from 15 to 16 in 1973, at no point in the twentieth century was post-16 education compulsory. Under the bipartite system, post-16 study was usually restricted to pupils at grammar schools. Grammars, unlike most secondary moderns, typically included a ‘sixth form’ focused on university preparation.</w:t>
      </w:r>
      <w:r w:rsidRPr="00AE141E">
        <w:rPr>
          <w:rStyle w:val="FootnoteReference"/>
          <w:rFonts w:ascii="Times New Roman" w:hAnsi="Times New Roman" w:cs="Times New Roman"/>
          <w:sz w:val="24"/>
          <w:szCs w:val="24"/>
        </w:rPr>
        <w:footnoteReference w:id="68"/>
      </w:r>
      <w:r w:rsidRPr="00AE141E">
        <w:rPr>
          <w:rFonts w:ascii="Times New Roman" w:hAnsi="Times New Roman" w:cs="Times New Roman"/>
          <w:sz w:val="24"/>
          <w:szCs w:val="24"/>
        </w:rPr>
        <w:t xml:space="preserve"> Comprehensivisation led to wider opportunities for post-16 education, both in sixth forms integrated within comprehensive schools, and in independent ‘sixth form colleges’. This study both treats sixth form education as a component of secondary education in England and recognises the inequalities attendant upon access.</w:t>
      </w:r>
    </w:p>
    <w:p w14:paraId="7661F14B" w14:textId="0E125FE9"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 take a similar approach to the somewhat anomalous institution of ‘middle’ and ‘combined’ schools. Middle schools were codified under the Education Act of 1964, which gave formal recognition to existing institutions which crossed the standard primary/secondary division.</w:t>
      </w:r>
      <w:r w:rsidRPr="00AE141E">
        <w:rPr>
          <w:rStyle w:val="FootnoteReference"/>
          <w:rFonts w:ascii="Times New Roman" w:hAnsi="Times New Roman" w:cs="Times New Roman"/>
          <w:sz w:val="24"/>
          <w:szCs w:val="24"/>
        </w:rPr>
        <w:footnoteReference w:id="69"/>
      </w:r>
      <w:r w:rsidRPr="00AE141E">
        <w:rPr>
          <w:rFonts w:ascii="Times New Roman" w:hAnsi="Times New Roman" w:cs="Times New Roman"/>
          <w:sz w:val="24"/>
          <w:szCs w:val="24"/>
        </w:rPr>
        <w:t xml:space="preserve"> Middle schools were defined as those educating both students below the age of ten years and six months, and those aged twelve and up. ‘Combined’ schools were a subset of middle schools, which taught students from five to twelve.</w:t>
      </w:r>
      <w:r w:rsidRPr="00AE141E">
        <w:rPr>
          <w:rStyle w:val="FootnoteReference"/>
          <w:rFonts w:ascii="Times New Roman" w:hAnsi="Times New Roman" w:cs="Times New Roman"/>
          <w:sz w:val="24"/>
          <w:szCs w:val="24"/>
        </w:rPr>
        <w:footnoteReference w:id="70"/>
      </w:r>
      <w:r w:rsidRPr="00AE141E">
        <w:rPr>
          <w:rFonts w:ascii="Times New Roman" w:hAnsi="Times New Roman" w:cs="Times New Roman"/>
          <w:sz w:val="24"/>
          <w:szCs w:val="24"/>
        </w:rPr>
        <w:t xml:space="preserve"> Such institutions </w:t>
      </w:r>
      <w:r w:rsidR="00A545CE" w:rsidRPr="00AE141E">
        <w:rPr>
          <w:rFonts w:ascii="Times New Roman" w:hAnsi="Times New Roman" w:cs="Times New Roman"/>
          <w:sz w:val="24"/>
          <w:szCs w:val="24"/>
        </w:rPr>
        <w:t>remained</w:t>
      </w:r>
      <w:r w:rsidRPr="00AE141E">
        <w:rPr>
          <w:rFonts w:ascii="Times New Roman" w:hAnsi="Times New Roman" w:cs="Times New Roman"/>
          <w:sz w:val="24"/>
          <w:szCs w:val="24"/>
        </w:rPr>
        <w:t xml:space="preserve"> concentrated in a select group of LEAs, but did experience a brief flowering in the two decades after 1964.</w:t>
      </w:r>
      <w:r w:rsidRPr="00AE141E">
        <w:rPr>
          <w:rStyle w:val="FootnoteReference"/>
          <w:rFonts w:ascii="Times New Roman" w:hAnsi="Times New Roman" w:cs="Times New Roman"/>
          <w:sz w:val="24"/>
          <w:szCs w:val="24"/>
        </w:rPr>
        <w:footnoteReference w:id="71"/>
      </w:r>
      <w:r w:rsidRPr="00AE141E">
        <w:rPr>
          <w:rFonts w:ascii="Times New Roman" w:hAnsi="Times New Roman" w:cs="Times New Roman"/>
          <w:sz w:val="24"/>
          <w:szCs w:val="24"/>
        </w:rPr>
        <w:t xml:space="preserve"> This study will occasionally draw on the experiences of middle school students of ordinary secondary age, and of their teachers. There are likely to have been some experiences </w:t>
      </w:r>
      <w:r w:rsidRPr="00AE141E">
        <w:rPr>
          <w:rFonts w:ascii="Times New Roman" w:hAnsi="Times New Roman" w:cs="Times New Roman"/>
          <w:sz w:val="24"/>
          <w:szCs w:val="24"/>
        </w:rPr>
        <w:lastRenderedPageBreak/>
        <w:t>specific to middle schools, but their statistically negligible nature and uneven distribution means that any particularity does not register in this study.</w:t>
      </w:r>
    </w:p>
    <w:p w14:paraId="2672B6E5" w14:textId="71F62E01"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My research encompasses state schools in all their varied forms. To give a non-exhaustive list, this category includes grammars; secondary moderns; comprehensives; and faith schools (including ‘voluntary aided’ schools, in which a charitable trust supplies part of the running costs). I have chosen to focus on state schools as they form the educational background of the vast majority of English children. In the latter half of the twentieth century, the proportion of English pupils at private schools (fee</w:t>
      </w:r>
      <w:r w:rsidR="00BD49FF" w:rsidRPr="00AE141E">
        <w:rPr>
          <w:rFonts w:ascii="Times New Roman" w:hAnsi="Times New Roman" w:cs="Times New Roman"/>
          <w:sz w:val="24"/>
          <w:szCs w:val="24"/>
        </w:rPr>
        <w:t>-</w:t>
      </w:r>
      <w:r w:rsidRPr="00AE141E">
        <w:rPr>
          <w:rFonts w:ascii="Times New Roman" w:hAnsi="Times New Roman" w:cs="Times New Roman"/>
          <w:sz w:val="24"/>
          <w:szCs w:val="24"/>
        </w:rPr>
        <w:t>paying institutions which are independent of government support) never rose above nine per cent.</w:t>
      </w:r>
      <w:r w:rsidRPr="00AE141E">
        <w:rPr>
          <w:rStyle w:val="FootnoteReference"/>
          <w:rFonts w:ascii="Times New Roman" w:hAnsi="Times New Roman" w:cs="Times New Roman"/>
          <w:sz w:val="24"/>
          <w:szCs w:val="24"/>
        </w:rPr>
        <w:footnoteReference w:id="72"/>
      </w:r>
      <w:r w:rsidRPr="00AE141E">
        <w:rPr>
          <w:rFonts w:ascii="Times New Roman" w:hAnsi="Times New Roman" w:cs="Times New Roman"/>
          <w:sz w:val="24"/>
          <w:szCs w:val="24"/>
        </w:rPr>
        <w:t xml:space="preserve"> This is not simply a numbers game (although state school experiences are unquestionably more ‘representative’ of a broad cross-section of the population). Private schools have diverse institutional identities, but many offer a self-consciously ‘elite’ education: the expectation that they are preparing a governing class for leadership shapes the curricula of such schools, whether formal, informal, or hidden.</w:t>
      </w:r>
      <w:r w:rsidRPr="00AE141E">
        <w:rPr>
          <w:rStyle w:val="FootnoteReference"/>
          <w:rFonts w:ascii="Times New Roman" w:hAnsi="Times New Roman" w:cs="Times New Roman"/>
          <w:sz w:val="24"/>
          <w:szCs w:val="24"/>
        </w:rPr>
        <w:footnoteReference w:id="73"/>
      </w:r>
      <w:r w:rsidRPr="00AE141E">
        <w:rPr>
          <w:rFonts w:ascii="Times New Roman" w:hAnsi="Times New Roman" w:cs="Times New Roman"/>
          <w:sz w:val="24"/>
          <w:szCs w:val="24"/>
        </w:rPr>
        <w:t xml:space="preserve"> This is particularly true of public schools which, as we will see, played a unique role in educating for imperial leadership. The specificity of the education offered by public schools is worthy of focused study in its own right. Such research could be usefully placed in dialogue with this thesis. </w:t>
      </w:r>
    </w:p>
    <w:p w14:paraId="19DF315B" w14:textId="48D7398C"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My research is restricted to the teaching of imperial history in England. It does not take a British or ‘four nations’ perspective. This is partly because the education systems of England, Scotland, Wales, and Northern Ireland have developed relatively independently.</w:t>
      </w:r>
      <w:r w:rsidRPr="00AE141E">
        <w:rPr>
          <w:rStyle w:val="FootnoteReference"/>
          <w:rFonts w:ascii="Times New Roman" w:hAnsi="Times New Roman" w:cs="Times New Roman"/>
          <w:sz w:val="24"/>
          <w:szCs w:val="24"/>
        </w:rPr>
        <w:footnoteReference w:id="74"/>
      </w:r>
      <w:r w:rsidRPr="00AE141E">
        <w:rPr>
          <w:rFonts w:ascii="Times New Roman" w:hAnsi="Times New Roman" w:cs="Times New Roman"/>
          <w:sz w:val="24"/>
          <w:szCs w:val="24"/>
        </w:rPr>
        <w:t xml:space="preserve"> There are important distinctions in governance, structure, context, and taught content. Furthermore, each of the ‘four nations’ has a profoundly individual relationship to the British empire, structured by the specificities of their historical experience and national identity. In the </w:t>
      </w:r>
      <w:r w:rsidRPr="00AE141E">
        <w:rPr>
          <w:rFonts w:ascii="Times New Roman" w:hAnsi="Times New Roman" w:cs="Times New Roman"/>
          <w:sz w:val="24"/>
          <w:szCs w:val="24"/>
        </w:rPr>
        <w:lastRenderedPageBreak/>
        <w:t xml:space="preserve">limited space available in this thesis, I would struggle to do justice to the nuance of these dynamics. I have no desire to homogenise, oversimplify, or to sacrifice depth for breadth. </w:t>
      </w:r>
    </w:p>
    <w:p w14:paraId="22753272" w14:textId="4ACDABB8"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Britishness is, in more ways than one, an imperial identity. The constituent parts of the United Kingdom were invited to identify with an expansive Britishness, in which imperial pride – and an (uneven) share in the material value extracted from empire – formed unifying bonds.</w:t>
      </w:r>
      <w:r w:rsidRPr="00AE141E">
        <w:rPr>
          <w:rStyle w:val="FootnoteReference"/>
          <w:rFonts w:ascii="Times New Roman" w:hAnsi="Times New Roman" w:cs="Times New Roman"/>
          <w:sz w:val="24"/>
          <w:szCs w:val="24"/>
        </w:rPr>
        <w:footnoteReference w:id="75"/>
      </w:r>
      <w:r w:rsidRPr="00AE141E">
        <w:rPr>
          <w:rFonts w:ascii="Times New Roman" w:hAnsi="Times New Roman" w:cs="Times New Roman"/>
          <w:sz w:val="24"/>
          <w:szCs w:val="24"/>
        </w:rPr>
        <w:t xml:space="preserve"> The decline of empire has been posited as a ‘formidable challenge’ to the durability of this ‘unitary Britishness’.</w:t>
      </w:r>
      <w:r w:rsidRPr="00AE141E">
        <w:rPr>
          <w:rStyle w:val="FootnoteReference"/>
          <w:rFonts w:ascii="Times New Roman" w:hAnsi="Times New Roman" w:cs="Times New Roman"/>
          <w:sz w:val="24"/>
          <w:szCs w:val="24"/>
        </w:rPr>
        <w:footnoteReference w:id="76"/>
      </w:r>
      <w:r w:rsidRPr="00AE141E">
        <w:rPr>
          <w:rFonts w:ascii="Times New Roman" w:hAnsi="Times New Roman" w:cs="Times New Roman"/>
          <w:sz w:val="24"/>
          <w:szCs w:val="24"/>
        </w:rPr>
        <w:t xml:space="preserve"> Nevertheless, the idea of Britishness was internally hierarchical, and was often forged at the expense of the distinct national identities of the UK’s constituent parts. England may not have been the sole perpetrator – or beneficiary – of empire, but it is clear that Englishness was affirmed and elevated by the imperial experience. Wendy Webster’s study of the relationship between English national identity and empire clarifies early on that her decision to focus on Englishness (in the place of Britishness) was an intentional one. Webster draws on the work of Kenneth Lunn to argue that the common slippage between ideas of Britishness and Englishness is rarely accidental: instead, it reflects an Anglocentric assumption that English identity is the dominant component of Britishness. England thus claims the right ‘to speak for Britain’.</w:t>
      </w:r>
      <w:r w:rsidRPr="00AE141E">
        <w:rPr>
          <w:rStyle w:val="FootnoteReference"/>
          <w:rFonts w:ascii="Times New Roman" w:hAnsi="Times New Roman" w:cs="Times New Roman"/>
          <w:sz w:val="24"/>
          <w:szCs w:val="24"/>
        </w:rPr>
        <w:footnoteReference w:id="77"/>
      </w:r>
      <w:r w:rsidRPr="00AE141E">
        <w:rPr>
          <w:rFonts w:ascii="Times New Roman" w:hAnsi="Times New Roman" w:cs="Times New Roman"/>
          <w:sz w:val="24"/>
          <w:szCs w:val="24"/>
        </w:rPr>
        <w:t xml:space="preserve"> Webster notes that popular cultural representations of empire as an English endeavour reflected and reiterated this Anglocentric vision of national identity.</w:t>
      </w:r>
      <w:r w:rsidRPr="00AE141E">
        <w:rPr>
          <w:rStyle w:val="FootnoteReference"/>
          <w:rFonts w:ascii="Times New Roman" w:hAnsi="Times New Roman" w:cs="Times New Roman"/>
          <w:sz w:val="24"/>
          <w:szCs w:val="24"/>
        </w:rPr>
        <w:footnoteReference w:id="78"/>
      </w:r>
      <w:r w:rsidRPr="00AE141E">
        <w:rPr>
          <w:rFonts w:ascii="Times New Roman" w:hAnsi="Times New Roman" w:cs="Times New Roman"/>
          <w:sz w:val="24"/>
          <w:szCs w:val="24"/>
        </w:rPr>
        <w:t xml:space="preserve"> Her thesis is taken a step further by Krishan Kumar, who claims that the English identification with ideas of an imperial Britishness rendered meaningless the development o</w:t>
      </w:r>
      <w:r w:rsidRPr="00AE141E">
        <w:rPr>
          <w:rFonts w:ascii="Times New Roman" w:eastAsia="Times New Roman" w:hAnsi="Times New Roman" w:cs="Times New Roman"/>
          <w:color w:val="000000"/>
          <w:sz w:val="24"/>
          <w:szCs w:val="24"/>
          <w:lang w:eastAsia="en-GB"/>
        </w:rPr>
        <w:t>f a ‘specifically English national identity’.</w:t>
      </w:r>
      <w:r w:rsidRPr="00AE141E">
        <w:rPr>
          <w:rStyle w:val="FootnoteReference"/>
          <w:rFonts w:ascii="Times New Roman" w:eastAsia="Times New Roman" w:hAnsi="Times New Roman" w:cs="Times New Roman"/>
          <w:color w:val="000000"/>
          <w:sz w:val="24"/>
          <w:szCs w:val="24"/>
          <w:lang w:eastAsia="en-GB"/>
        </w:rPr>
        <w:footnoteReference w:id="79"/>
      </w:r>
      <w:r w:rsidRPr="00AE141E">
        <w:rPr>
          <w:rFonts w:ascii="Times New Roman" w:eastAsia="Times New Roman" w:hAnsi="Times New Roman" w:cs="Times New Roman"/>
          <w:color w:val="000000"/>
          <w:sz w:val="24"/>
          <w:szCs w:val="24"/>
          <w:lang w:eastAsia="en-GB"/>
        </w:rPr>
        <w:t xml:space="preserve"> In this context, it is perhaps unsurprising that the decline of empire led to the sometime assertion of a ‘little English’ identity, in opposition to the expansive Britishness of empire.</w:t>
      </w:r>
    </w:p>
    <w:p w14:paraId="051D16B6"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Ireland was both Britain’s first colony, and an active participant in further imperial expansion.</w:t>
      </w:r>
      <w:r w:rsidRPr="00AE141E">
        <w:rPr>
          <w:rStyle w:val="FootnoteReference"/>
          <w:rFonts w:ascii="Times New Roman" w:hAnsi="Times New Roman" w:cs="Times New Roman"/>
          <w:sz w:val="24"/>
          <w:szCs w:val="24"/>
        </w:rPr>
        <w:footnoteReference w:id="80"/>
      </w:r>
      <w:r w:rsidRPr="00AE141E">
        <w:rPr>
          <w:rFonts w:ascii="Times New Roman" w:hAnsi="Times New Roman" w:cs="Times New Roman"/>
          <w:sz w:val="24"/>
          <w:szCs w:val="24"/>
        </w:rPr>
        <w:t xml:space="preserve"> The colonial nature of Northern Ireland’s position within the UK was an especially fraught problem during the time period covered by this thesis. From the late 1960s onwards, various actors in the ‘Troubles’ employed a discourse of colonialism to explain the origins of the conflict and to frame their own participation.</w:t>
      </w:r>
      <w:r w:rsidRPr="00AE141E">
        <w:rPr>
          <w:rStyle w:val="FootnoteReference"/>
          <w:rFonts w:ascii="Times New Roman" w:hAnsi="Times New Roman" w:cs="Times New Roman"/>
          <w:sz w:val="24"/>
          <w:szCs w:val="24"/>
        </w:rPr>
        <w:footnoteReference w:id="81"/>
      </w:r>
      <w:r w:rsidRPr="00AE141E">
        <w:rPr>
          <w:rFonts w:ascii="Times New Roman" w:hAnsi="Times New Roman" w:cs="Times New Roman"/>
          <w:sz w:val="24"/>
          <w:szCs w:val="24"/>
        </w:rPr>
        <w:t xml:space="preserve"> Scottish and Welsh experiences, by contrast, have sometimes been explained through a framework of ‘internal colonialism’.</w:t>
      </w:r>
      <w:r w:rsidRPr="00AE141E">
        <w:rPr>
          <w:rStyle w:val="FootnoteReference"/>
          <w:rFonts w:ascii="Times New Roman" w:hAnsi="Times New Roman" w:cs="Times New Roman"/>
          <w:sz w:val="24"/>
          <w:szCs w:val="24"/>
        </w:rPr>
        <w:footnoteReference w:id="82"/>
      </w:r>
      <w:r w:rsidRPr="00AE141E">
        <w:rPr>
          <w:rFonts w:ascii="Times New Roman" w:hAnsi="Times New Roman" w:cs="Times New Roman"/>
          <w:sz w:val="24"/>
          <w:szCs w:val="24"/>
        </w:rPr>
        <w:t xml:space="preserve"> ‘Internal colonialism’ describes the construction of the United Kingdom as a process of expansion and domination by an aggressive English state. At its most extreme, this narrative has redefined the British empire as an essentially English endeavour, allowing Scottish and Welsh nationalisms to posit their countries as victims and erasing their complicity.</w:t>
      </w:r>
      <w:r w:rsidRPr="00AE141E">
        <w:rPr>
          <w:rStyle w:val="FootnoteReference"/>
          <w:rFonts w:ascii="Times New Roman" w:hAnsi="Times New Roman" w:cs="Times New Roman"/>
          <w:sz w:val="24"/>
          <w:szCs w:val="24"/>
        </w:rPr>
        <w:footnoteReference w:id="83"/>
      </w:r>
    </w:p>
    <w:p w14:paraId="47FCE8AF"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England’s symbolic position as the heart of the metropole and its status as the largest, the most populous, and the most powerful of the ‘four nations’ made it a logical starting point for research on the place of imperial histories in school classrooms. Additionally, the secondary literature on the English relationship with empire is well-developed, respective to that </w:t>
      </w:r>
      <w:r w:rsidRPr="00AE141E">
        <w:rPr>
          <w:rFonts w:ascii="Times New Roman" w:hAnsi="Times New Roman" w:cs="Times New Roman"/>
          <w:sz w:val="24"/>
          <w:szCs w:val="24"/>
        </w:rPr>
        <w:lastRenderedPageBreak/>
        <w:t>covering Scotland and Wales (unsurprisingly, there is also a broad range of literature addressing the Irish experience).</w:t>
      </w:r>
      <w:r w:rsidRPr="00AE141E">
        <w:rPr>
          <w:rStyle w:val="FootnoteReference"/>
          <w:rFonts w:ascii="Times New Roman" w:hAnsi="Times New Roman" w:cs="Times New Roman"/>
          <w:sz w:val="24"/>
          <w:szCs w:val="24"/>
        </w:rPr>
        <w:footnoteReference w:id="84"/>
      </w:r>
      <w:r w:rsidRPr="00AE141E">
        <w:rPr>
          <w:rFonts w:ascii="Times New Roman" w:hAnsi="Times New Roman" w:cs="Times New Roman"/>
          <w:sz w:val="24"/>
          <w:szCs w:val="24"/>
        </w:rPr>
        <w:t xml:space="preserve"> Within the limited scope of this thesis, I have been unable to situate my research in dialogue with the Scottish, Irish, and Welsh contexts, or to develop a comparative account of the teaching of the British empire. Future research encompassing these contexts could usefully highlight parallels and contrasts across the ‘four nations’.</w:t>
      </w:r>
    </w:p>
    <w:p w14:paraId="4C774DA0" w14:textId="77777777" w:rsidR="009329E1" w:rsidRPr="00AE141E" w:rsidRDefault="009329E1" w:rsidP="00AE141E">
      <w:pPr>
        <w:spacing w:line="360" w:lineRule="auto"/>
        <w:rPr>
          <w:rFonts w:ascii="Times New Roman" w:eastAsia="Times New Roman" w:hAnsi="Times New Roman" w:cs="Times New Roman"/>
          <w:b/>
          <w:bCs/>
          <w:color w:val="000000"/>
          <w:sz w:val="24"/>
          <w:szCs w:val="24"/>
          <w:lang w:eastAsia="en-GB"/>
        </w:rPr>
      </w:pPr>
      <w:r w:rsidRPr="00AE141E">
        <w:rPr>
          <w:rFonts w:ascii="Times New Roman" w:eastAsia="Times New Roman" w:hAnsi="Times New Roman" w:cs="Times New Roman"/>
          <w:b/>
          <w:bCs/>
          <w:color w:val="000000"/>
          <w:sz w:val="24"/>
          <w:szCs w:val="24"/>
          <w:lang w:eastAsia="en-GB"/>
        </w:rPr>
        <w:t>Historiography</w:t>
      </w:r>
    </w:p>
    <w:p w14:paraId="17E9DAFA" w14:textId="77777777" w:rsidR="009329E1"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It is perhaps a truism to claim that historiography and history cannot be separated: the ways in which we narrate history are influenced by a historical sensibility shaped by the times in which we live, and by our experiences of a present which will one day become the past. This is especially true of the historiographical tradition which addresses the metropolitan impacts of empire and imperialism. Historians who write on this subject are faced by the need to historicise their own discipline. Furthermore, their work is both a product of, and contributor to, the same cultural phenomenon which they set out to study. </w:t>
      </w:r>
    </w:p>
    <w:p w14:paraId="01827939" w14:textId="77777777" w:rsidR="009329E1" w:rsidRPr="00AE141E" w:rsidRDefault="009329E1" w:rsidP="00AE141E">
      <w:pPr>
        <w:spacing w:line="360" w:lineRule="auto"/>
        <w:rPr>
          <w:rFonts w:ascii="Times New Roman" w:eastAsia="Times New Roman" w:hAnsi="Times New Roman" w:cs="Times New Roman"/>
          <w:color w:val="000000"/>
          <w:sz w:val="24"/>
          <w:szCs w:val="24"/>
          <w:u w:val="single"/>
          <w:lang w:eastAsia="en-GB"/>
        </w:rPr>
      </w:pPr>
      <w:r w:rsidRPr="00AE141E">
        <w:rPr>
          <w:rFonts w:ascii="Times New Roman" w:eastAsia="Times New Roman" w:hAnsi="Times New Roman" w:cs="Times New Roman"/>
          <w:color w:val="000000"/>
          <w:sz w:val="24"/>
          <w:szCs w:val="24"/>
          <w:u w:val="single"/>
          <w:lang w:eastAsia="en-GB"/>
        </w:rPr>
        <w:t>Imperial Histories in English Universities</w:t>
      </w:r>
    </w:p>
    <w:p w14:paraId="05712F5E" w14:textId="2BCC9E8D"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Robert Phillips has argued that the 1970s marked a turning point when school history became less dependent upon academia for its ‘organizing influence’.</w:t>
      </w:r>
      <w:r w:rsidRPr="00AE141E">
        <w:rPr>
          <w:rStyle w:val="FootnoteReference"/>
          <w:rFonts w:ascii="Times New Roman" w:hAnsi="Times New Roman" w:cs="Times New Roman"/>
          <w:sz w:val="24"/>
          <w:szCs w:val="24"/>
        </w:rPr>
        <w:footnoteReference w:id="85"/>
      </w:r>
      <w:r w:rsidRPr="00AE141E">
        <w:rPr>
          <w:rFonts w:ascii="Times New Roman" w:hAnsi="Times New Roman" w:cs="Times New Roman"/>
          <w:sz w:val="24"/>
          <w:szCs w:val="24"/>
        </w:rPr>
        <w:t xml:space="preserve"> He notes that the emergence of theories of child development compelled teachers to think seriously about their selection of historical content and its suitability for different age groups. My own research suggests that, as early as the mid-1960s, academics themselves recognised the ability of schoolteachers to push the discipline forward in novel and exciting ways. World history may well have started as an academic sub-discipline, but it was transformed by schools. Likewise, the multicultural and antiracist movements drove changes in historical practice unique to secondary education. They also generated substantial, independent historical research – which would in turn influence scholarship produced within a formal academic setting. Academics played an </w:t>
      </w:r>
      <w:r w:rsidRPr="00AE141E">
        <w:rPr>
          <w:rFonts w:ascii="Times New Roman" w:hAnsi="Times New Roman" w:cs="Times New Roman"/>
          <w:sz w:val="24"/>
          <w:szCs w:val="24"/>
        </w:rPr>
        <w:lastRenderedPageBreak/>
        <w:t>important part in the debates over the introduction of the National Curriculum. Yet they did so in dialogue with teachers, and in recognition of the unique power of the historical narrative embraced by schools – a power bestowed upon school history by its compulsory, hence (potentially) universal, and universalising nature. Thus, this thesis claims a significant role for English secondary education in shaping the historical discipline in the latter half of the twentieth century. I concur with Laura Carter’s view that</w:t>
      </w:r>
      <w:r w:rsidRPr="00AE141E">
        <w:rPr>
          <w:rFonts w:ascii="Times New Roman" w:hAnsi="Times New Roman" w:cs="Times New Roman"/>
          <w:b/>
          <w:bCs/>
          <w:sz w:val="24"/>
          <w:szCs w:val="24"/>
        </w:rPr>
        <w:t xml:space="preserve"> ‘</w:t>
      </w:r>
      <w:r w:rsidRPr="00AE141E">
        <w:rPr>
          <w:rFonts w:ascii="Times New Roman" w:hAnsi="Times New Roman" w:cs="Times New Roman"/>
          <w:sz w:val="24"/>
          <w:szCs w:val="24"/>
        </w:rPr>
        <w:t>popular history does not “trickle down” into any culture or society from academics’, but ‘plays by its own rules’.</w:t>
      </w:r>
      <w:r w:rsidR="00C80724">
        <w:rPr>
          <w:rStyle w:val="FootnoteReference"/>
          <w:rFonts w:ascii="Times New Roman" w:hAnsi="Times New Roman" w:cs="Times New Roman"/>
          <w:sz w:val="24"/>
          <w:szCs w:val="24"/>
        </w:rPr>
        <w:footnoteReference w:id="86"/>
      </w:r>
    </w:p>
    <w:p w14:paraId="6232CA57" w14:textId="3A226EC5" w:rsidR="009329E1" w:rsidRPr="00AE141E" w:rsidRDefault="009329E1"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Nevertheless, history developed its distinct disciplinary identity in the universities of the nineteenth century, in a co-constitutive relationship with the ideology of imperialism. As such, context on this period forms an essential background to understanding later debates on the role of empire within school history teaching. </w:t>
      </w:r>
      <w:r w:rsidRPr="00AE141E">
        <w:rPr>
          <w:rFonts w:ascii="Times New Roman" w:hAnsi="Times New Roman" w:cs="Times New Roman"/>
          <w:sz w:val="24"/>
          <w:szCs w:val="24"/>
        </w:rPr>
        <w:t>The imperial context of history’s disciplinary origins in England has been described by Reba N. Soffer.</w:t>
      </w:r>
      <w:r w:rsidRPr="00AE141E">
        <w:rPr>
          <w:rStyle w:val="FootnoteReference"/>
          <w:rFonts w:ascii="Times New Roman" w:hAnsi="Times New Roman" w:cs="Times New Roman"/>
          <w:sz w:val="24"/>
          <w:szCs w:val="24"/>
        </w:rPr>
        <w:footnoteReference w:id="87"/>
      </w:r>
      <w:r w:rsidRPr="00AE141E">
        <w:rPr>
          <w:rFonts w:ascii="Times New Roman" w:hAnsi="Times New Roman" w:cs="Times New Roman"/>
          <w:sz w:val="24"/>
          <w:szCs w:val="24"/>
        </w:rPr>
        <w:t xml:space="preserve"> </w:t>
      </w:r>
      <w:r w:rsidR="00FF5516" w:rsidRPr="00AE141E">
        <w:rPr>
          <w:rFonts w:ascii="Times New Roman" w:hAnsi="Times New Roman" w:cs="Times New Roman"/>
          <w:sz w:val="24"/>
          <w:szCs w:val="24"/>
        </w:rPr>
        <w:t>Honours degree courses were established first at Oxford (1872) and at Cambridge one year later</w:t>
      </w:r>
      <w:r w:rsidR="00FF5516">
        <w:rPr>
          <w:rFonts w:ascii="Times New Roman" w:hAnsi="Times New Roman" w:cs="Times New Roman"/>
          <w:sz w:val="24"/>
          <w:szCs w:val="24"/>
        </w:rPr>
        <w:t xml:space="preserve">. </w:t>
      </w:r>
      <w:r w:rsidRPr="00AE141E">
        <w:rPr>
          <w:rFonts w:ascii="Times New Roman" w:hAnsi="Times New Roman" w:cs="Times New Roman"/>
          <w:sz w:val="24"/>
          <w:szCs w:val="24"/>
        </w:rPr>
        <w:t>The goal of such courses was not to produce professional historians. As Soffer suggests, history instead took over the traditional role of Classics as a form of training in moral leadership for the statesmen of tomorrow.</w:t>
      </w:r>
      <w:r w:rsidR="00CC382F">
        <w:rPr>
          <w:rStyle w:val="FootnoteReference"/>
          <w:rFonts w:ascii="Times New Roman" w:hAnsi="Times New Roman" w:cs="Times New Roman"/>
          <w:sz w:val="24"/>
          <w:szCs w:val="24"/>
        </w:rPr>
        <w:footnoteReference w:id="88"/>
      </w:r>
      <w:r w:rsidRPr="00AE141E">
        <w:rPr>
          <w:rFonts w:ascii="Times New Roman" w:hAnsi="Times New Roman" w:cs="Times New Roman"/>
          <w:sz w:val="24"/>
          <w:szCs w:val="24"/>
        </w:rPr>
        <w:t xml:space="preserve"> As the study of the past of a living civilisation, history was seen to provide a more instructive repository of examples for its students. History’s political purpose was reflected in its content. Despite their differences, both the Oxford and the Cambridge courses emphasised English constitutional history. The historical narrative stressed continuity and teleology: the English constitution was presented as a ‘great inheritance’ transmitted from generation to generation, which enshrined a progressively more perfect vision of ‘reason, consent and liberty’.</w:t>
      </w:r>
      <w:r w:rsidR="00964D0D">
        <w:rPr>
          <w:rStyle w:val="FootnoteReference"/>
          <w:rFonts w:ascii="Times New Roman" w:hAnsi="Times New Roman" w:cs="Times New Roman"/>
          <w:sz w:val="24"/>
          <w:szCs w:val="24"/>
        </w:rPr>
        <w:footnoteReference w:id="89"/>
      </w:r>
      <w:r w:rsidRPr="00AE141E">
        <w:rPr>
          <w:rFonts w:ascii="Times New Roman" w:hAnsi="Times New Roman" w:cs="Times New Roman"/>
          <w:sz w:val="24"/>
          <w:szCs w:val="24"/>
        </w:rPr>
        <w:t xml:space="preserve"> The role of the historian was to preserve and advance this legacy by inculcating a faithful, ‘evolutionary optimism’ in their young charges. The national past was to act as a guarantor of the national present, and the national future. </w:t>
      </w:r>
    </w:p>
    <w:p w14:paraId="518962D9" w14:textId="0F0FF5DA"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To prepare students for governance was to prepare them for colonial rule. At least initially, history as a form of imperial training did not entail dedicated papers in ‘imperial history’, nor </w:t>
      </w:r>
      <w:r w:rsidRPr="00AE141E">
        <w:rPr>
          <w:rFonts w:ascii="Times New Roman" w:hAnsi="Times New Roman" w:cs="Times New Roman"/>
          <w:sz w:val="24"/>
          <w:szCs w:val="24"/>
        </w:rPr>
        <w:lastRenderedPageBreak/>
        <w:t xml:space="preserve">a divergence from the English constitutional model. Soffer describes the integration of imperial history within a wider story of English development; a conclusion which is confirmed by </w:t>
      </w:r>
      <w:r w:rsidR="00AB3B41" w:rsidRPr="00AE141E">
        <w:rPr>
          <w:rFonts w:ascii="Times New Roman" w:hAnsi="Times New Roman" w:cs="Times New Roman"/>
          <w:sz w:val="24"/>
          <w:szCs w:val="24"/>
        </w:rPr>
        <w:t>Robert</w:t>
      </w:r>
      <w:r w:rsidRPr="00AE141E">
        <w:rPr>
          <w:rFonts w:ascii="Times New Roman" w:hAnsi="Times New Roman" w:cs="Times New Roman"/>
          <w:sz w:val="24"/>
          <w:szCs w:val="24"/>
        </w:rPr>
        <w:t xml:space="preserve"> Moore’s study of the disciplinary origins of history at the University of Sheffield.</w:t>
      </w:r>
      <w:r w:rsidRPr="00AE141E">
        <w:rPr>
          <w:rStyle w:val="FootnoteReference"/>
          <w:rFonts w:ascii="Times New Roman" w:hAnsi="Times New Roman" w:cs="Times New Roman"/>
          <w:sz w:val="24"/>
          <w:szCs w:val="24"/>
        </w:rPr>
        <w:footnoteReference w:id="90"/>
      </w:r>
      <w:r w:rsidRPr="00AE141E">
        <w:rPr>
          <w:rFonts w:ascii="Times New Roman" w:hAnsi="Times New Roman" w:cs="Times New Roman"/>
          <w:sz w:val="24"/>
          <w:szCs w:val="24"/>
        </w:rPr>
        <w:t xml:space="preserve"> As Moore argues, imperialism was conceived of as a process of national ‘expansion’: a term which is suggestive of the way in which empire was easily incorporated into, and absorbed by, the national past and its teleological, developmental logic. In the imperial imaginary, civilisation – represented by British modernity – was envisioned as the culmination of a fixed historical timeline. Taken to its logical conclusion, this framework identified historicity itself as a racially and nationally exclusive property. Those who fell outside of the universalizable mode of British historical development were seen as non-historical – or more precisely </w:t>
      </w:r>
      <w:r w:rsidRPr="00AE141E">
        <w:rPr>
          <w:rFonts w:ascii="Times New Roman" w:hAnsi="Times New Roman" w:cs="Times New Roman"/>
          <w:i/>
          <w:sz w:val="24"/>
          <w:szCs w:val="24"/>
        </w:rPr>
        <w:t>pre</w:t>
      </w:r>
      <w:r w:rsidRPr="00AE141E">
        <w:rPr>
          <w:rFonts w:ascii="Times New Roman" w:hAnsi="Times New Roman" w:cs="Times New Roman"/>
          <w:sz w:val="24"/>
          <w:szCs w:val="24"/>
        </w:rPr>
        <w:t>-historical. Thus, nineteenth century imperial conquests in Africa were justified by the mythos of the ‘dark continent’, which denied that African people racialised as Black possessed independent powers of history-making.</w:t>
      </w:r>
      <w:r w:rsidRPr="00AE141E">
        <w:rPr>
          <w:rStyle w:val="FootnoteReference"/>
          <w:rFonts w:ascii="Times New Roman" w:hAnsi="Times New Roman" w:cs="Times New Roman"/>
          <w:sz w:val="24"/>
          <w:szCs w:val="24"/>
        </w:rPr>
        <w:footnoteReference w:id="91"/>
      </w:r>
      <w:r w:rsidRPr="00AE141E">
        <w:rPr>
          <w:rFonts w:ascii="Times New Roman" w:hAnsi="Times New Roman" w:cs="Times New Roman"/>
          <w:sz w:val="24"/>
          <w:szCs w:val="24"/>
        </w:rPr>
        <w:t xml:space="preserve"> This temporal logic both defended and naturalised imperialism: White, European intervention was the necessary, animating force by which all societies could fulfil a normative historical destiny. Imperial ‘expansion’ was entirely organic and unplanned, achieved ‘in a fit of absence of mind’.</w:t>
      </w:r>
      <w:r w:rsidRPr="00AE141E">
        <w:rPr>
          <w:rStyle w:val="FootnoteReference"/>
          <w:rFonts w:ascii="Times New Roman" w:hAnsi="Times New Roman" w:cs="Times New Roman"/>
          <w:sz w:val="24"/>
          <w:szCs w:val="24"/>
        </w:rPr>
        <w:footnoteReference w:id="92"/>
      </w:r>
    </w:p>
    <w:p w14:paraId="1EA2075C" w14:textId="39824953"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w:t>
      </w:r>
      <w:r w:rsidRPr="00AE141E">
        <w:rPr>
          <w:rFonts w:ascii="Times New Roman" w:hAnsi="Times New Roman" w:cs="Times New Roman"/>
          <w:i/>
          <w:sz w:val="24"/>
          <w:szCs w:val="24"/>
        </w:rPr>
        <w:t xml:space="preserve">Time’s Monster, </w:t>
      </w:r>
      <w:r w:rsidRPr="00AE141E">
        <w:rPr>
          <w:rFonts w:ascii="Times New Roman" w:hAnsi="Times New Roman" w:cs="Times New Roman"/>
          <w:sz w:val="24"/>
          <w:szCs w:val="24"/>
        </w:rPr>
        <w:t>Priya Satia provides a compelling explanation of the function of this teleological, evolutionist approach to historical change as a form of conscience management.</w:t>
      </w:r>
      <w:r w:rsidRPr="00AE141E">
        <w:rPr>
          <w:rStyle w:val="FootnoteReference"/>
          <w:rFonts w:ascii="Times New Roman" w:hAnsi="Times New Roman" w:cs="Times New Roman"/>
          <w:sz w:val="24"/>
          <w:szCs w:val="24"/>
        </w:rPr>
        <w:footnoteReference w:id="93"/>
      </w:r>
      <w:r w:rsidRPr="00AE141E">
        <w:rPr>
          <w:rFonts w:ascii="Times New Roman" w:hAnsi="Times New Roman" w:cs="Times New Roman"/>
          <w:sz w:val="24"/>
          <w:szCs w:val="24"/>
        </w:rPr>
        <w:t xml:space="preserve"> Satia contends that notions of historical progression wore different clothes in different contexts. Social Darwinists viewed the march of time as a process of natural selection, in which only the worthy would endure and prosper. Moments of mass death (such as the Great Famine of 1876-78, which killed anywhere from 5.6 to 8.2 million in the Indian </w:t>
      </w:r>
      <w:r w:rsidRPr="00AE141E">
        <w:rPr>
          <w:rFonts w:ascii="Times New Roman" w:hAnsi="Times New Roman" w:cs="Times New Roman"/>
          <w:sz w:val="24"/>
          <w:szCs w:val="24"/>
        </w:rPr>
        <w:lastRenderedPageBreak/>
        <w:t>sub-continent) could therefore be considered as the tragic but unavoidable judgement of history on those who had failed to become sufficiently modern.</w:t>
      </w:r>
      <w:r w:rsidRPr="00AE141E">
        <w:rPr>
          <w:rStyle w:val="FootnoteReference"/>
          <w:rFonts w:ascii="Times New Roman" w:hAnsi="Times New Roman" w:cs="Times New Roman"/>
          <w:sz w:val="24"/>
          <w:szCs w:val="24"/>
        </w:rPr>
        <w:footnoteReference w:id="94"/>
      </w:r>
      <w:r w:rsidRPr="00AE141E">
        <w:rPr>
          <w:rFonts w:ascii="Times New Roman" w:hAnsi="Times New Roman" w:cs="Times New Roman"/>
          <w:sz w:val="24"/>
          <w:szCs w:val="24"/>
        </w:rPr>
        <w:t xml:space="preserve"> Liberal imperialists, on the other hand, might recognise such instances of famine as anomalous past mistakes, for which the present and future imperialist enterprise – itself in a constant state of self-betterment – could atone. In either case, the notion of ‘history as judge’ could be used to dispel anxieties surrounding empire’s moral implications by orienting its gaze towards an exculpatory future.</w:t>
      </w:r>
      <w:r w:rsidRPr="00AE141E">
        <w:rPr>
          <w:rStyle w:val="FootnoteReference"/>
          <w:rFonts w:ascii="Times New Roman" w:hAnsi="Times New Roman" w:cs="Times New Roman"/>
          <w:sz w:val="24"/>
          <w:szCs w:val="24"/>
        </w:rPr>
        <w:footnoteReference w:id="95"/>
      </w:r>
      <w:r w:rsidR="0072578B" w:rsidRPr="00AE141E">
        <w:rPr>
          <w:rFonts w:ascii="Times New Roman" w:hAnsi="Times New Roman" w:cs="Times New Roman"/>
          <w:sz w:val="24"/>
          <w:szCs w:val="24"/>
        </w:rPr>
        <w:t xml:space="preserve"> </w:t>
      </w:r>
      <w:r w:rsidRPr="00AE141E">
        <w:rPr>
          <w:rFonts w:ascii="Times New Roman" w:hAnsi="Times New Roman" w:cs="Times New Roman"/>
          <w:sz w:val="24"/>
          <w:szCs w:val="24"/>
        </w:rPr>
        <w:t>Thus, history’s relationship to empire went far beyond mere complicity. History and empire were mutually constitutive: history provided the rationale for empire and empire animated the study of history. The development of a cohesive historical discipline sat right at the heart of the imperial project. This thesis will track the enduring influence of history as imperial justification within mid- to late- twentieth century English education.</w:t>
      </w:r>
    </w:p>
    <w:p w14:paraId="490116CF"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the early decades of the twentieth century, imperial history gradually began to emerge as an independent sub-discipline, separate from courses in English constitutional history. Richard Drayton and Sarah Stockwell concur that the University of London was pioneering in this regard.</w:t>
      </w:r>
      <w:r w:rsidRPr="00AE141E">
        <w:rPr>
          <w:rStyle w:val="FootnoteReference"/>
          <w:rFonts w:ascii="Times New Roman" w:hAnsi="Times New Roman" w:cs="Times New Roman"/>
          <w:sz w:val="24"/>
          <w:szCs w:val="24"/>
        </w:rPr>
        <w:footnoteReference w:id="96"/>
      </w:r>
      <w:r w:rsidRPr="00AE141E">
        <w:rPr>
          <w:rFonts w:ascii="Times New Roman" w:hAnsi="Times New Roman" w:cs="Times New Roman"/>
          <w:sz w:val="24"/>
          <w:szCs w:val="24"/>
        </w:rPr>
        <w:t xml:space="preserve"> Drayton describes the emergent school of Imperial Studies – and its corollary in imperial history – as a form of study moulded by the ‘protagonists’ vision of a world ruled by and for people like themselves’. The global scope of historical study was accompanied by a parochial framework which stressed the importance of race as a historical determinant. In 1945, 35 years after the demand had first been made for a separate paper in ‘English colonial history’, Cambridge finally introduced ‘The Expansion of Europe’.</w:t>
      </w:r>
      <w:r w:rsidRPr="00AE141E">
        <w:rPr>
          <w:rStyle w:val="FootnoteReference"/>
          <w:rFonts w:ascii="Times New Roman" w:hAnsi="Times New Roman" w:cs="Times New Roman"/>
          <w:sz w:val="24"/>
          <w:szCs w:val="24"/>
        </w:rPr>
        <w:footnoteReference w:id="97"/>
      </w:r>
    </w:p>
    <w:p w14:paraId="49D4DA7E" w14:textId="337AA04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The emergence of imperial history as a distinct sub-discipline led to an – often binary – separation of ‘domestic’ and ‘imperial’ history in the historiography.</w:t>
      </w:r>
      <w:r w:rsidRPr="00AE141E">
        <w:rPr>
          <w:rStyle w:val="FootnoteReference"/>
          <w:rFonts w:ascii="Times New Roman" w:hAnsi="Times New Roman" w:cs="Times New Roman"/>
          <w:sz w:val="24"/>
          <w:szCs w:val="24"/>
        </w:rPr>
        <w:footnoteReference w:id="98"/>
      </w:r>
      <w:r w:rsidRPr="00AE141E">
        <w:rPr>
          <w:rFonts w:ascii="Times New Roman" w:hAnsi="Times New Roman" w:cs="Times New Roman"/>
          <w:sz w:val="24"/>
          <w:szCs w:val="24"/>
        </w:rPr>
        <w:t xml:space="preserve"> Nevertheless, the new sub-discipline of imperial history re-enshrined the </w:t>
      </w:r>
      <w:r w:rsidR="009F2C88" w:rsidRPr="00AE141E">
        <w:rPr>
          <w:rFonts w:ascii="Times New Roman" w:hAnsi="Times New Roman" w:cs="Times New Roman"/>
          <w:sz w:val="24"/>
          <w:szCs w:val="24"/>
        </w:rPr>
        <w:t>evolutionary</w:t>
      </w:r>
      <w:r w:rsidRPr="00AE141E">
        <w:rPr>
          <w:rFonts w:ascii="Times New Roman" w:hAnsi="Times New Roman" w:cs="Times New Roman"/>
          <w:sz w:val="24"/>
          <w:szCs w:val="24"/>
        </w:rPr>
        <w:t xml:space="preserve"> logic of previous papers with an English constitutional emphasis. As David Fieldhouse has argued, imperial history was written as the unfolding of a natural, progressive pattern by which ‘small European societies’ were transformed into ‘world powers’, spreading the fruits of their own historical advancement.</w:t>
      </w:r>
      <w:r w:rsidRPr="00AE141E">
        <w:rPr>
          <w:rStyle w:val="FootnoteReference"/>
          <w:rFonts w:ascii="Times New Roman" w:hAnsi="Times New Roman" w:cs="Times New Roman"/>
          <w:sz w:val="24"/>
          <w:szCs w:val="24"/>
        </w:rPr>
        <w:footnoteReference w:id="99"/>
      </w:r>
      <w:r w:rsidRPr="00AE141E">
        <w:rPr>
          <w:rFonts w:ascii="Times New Roman" w:hAnsi="Times New Roman" w:cs="Times New Roman"/>
          <w:sz w:val="24"/>
          <w:szCs w:val="24"/>
        </w:rPr>
        <w:t xml:space="preserve"> In the process of colonisation, colonised societies lost their ‘historical autonomy’ and were subsumed within the imperial grand narrative. Fieldhouse was responding to a perceived crisis facing the sub-discipline of imperial history. In the era of formal decolonisation, ‘area studies’ and nationally focused accounts of the histories of formerly colonised nations (both of which decentred the coloniser’s perspective) challenged the assumptions of a unitary ‘imperial history’. Additionally, the association between imperial and imperial</w:t>
      </w:r>
      <w:r w:rsidRPr="00AE141E">
        <w:rPr>
          <w:rFonts w:ascii="Times New Roman" w:hAnsi="Times New Roman" w:cs="Times New Roman"/>
          <w:i/>
          <w:sz w:val="24"/>
          <w:szCs w:val="24"/>
        </w:rPr>
        <w:t>ist</w:t>
      </w:r>
      <w:r w:rsidRPr="00AE141E">
        <w:rPr>
          <w:rFonts w:ascii="Times New Roman" w:hAnsi="Times New Roman" w:cs="Times New Roman"/>
          <w:sz w:val="24"/>
          <w:szCs w:val="24"/>
        </w:rPr>
        <w:t xml:space="preserve"> history attracted doubt and criticism. In this context, Fieldhouse asked whether the field ‘could be put together again’. Although he concluded in the affirmative, the future of the sub-discipline was far from assured.</w:t>
      </w:r>
    </w:p>
    <w:p w14:paraId="05CEDEB5"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Fieldhouse’s call to reformulate imperial history for the late twentieth century would soon be answered. From the 1990s onwards, the ‘new imperial history’ challenged the detachment of ‘domestic’ and ‘imperial’ histories and considered metropole and colony ‘within the same historiographical field’.</w:t>
      </w:r>
      <w:r w:rsidRPr="00AE141E">
        <w:rPr>
          <w:rStyle w:val="FootnoteReference"/>
          <w:rFonts w:ascii="Times New Roman" w:hAnsi="Times New Roman" w:cs="Times New Roman"/>
          <w:sz w:val="24"/>
          <w:szCs w:val="24"/>
        </w:rPr>
        <w:footnoteReference w:id="100"/>
      </w:r>
      <w:r w:rsidRPr="00AE141E">
        <w:rPr>
          <w:rFonts w:ascii="Times New Roman" w:hAnsi="Times New Roman" w:cs="Times New Roman"/>
          <w:sz w:val="24"/>
          <w:szCs w:val="24"/>
        </w:rPr>
        <w:t xml:space="preserve"> The new imperial history tended to situate metropolitan experience within broader global networks, decentring the ‘centre’. It also placed a heavy emphasis on culture. In these circumstances, it is unsurprising that attention turned to the influence of colonisation and decolonisation on metropolitan culture. Thus, the minimal and maximal impact theses were born. These combative polarities have sometimes stripped discussion of the necessary nuance. As we have already seen, the saturation of English culture by imperial ideology does not necessarily map on to a conscious celebration of empire.</w:t>
      </w:r>
    </w:p>
    <w:p w14:paraId="6C426B71" w14:textId="77777777" w:rsidR="009329E1" w:rsidRPr="00AE141E" w:rsidRDefault="009329E1" w:rsidP="00AE141E">
      <w:pPr>
        <w:spacing w:line="360" w:lineRule="auto"/>
        <w:rPr>
          <w:rFonts w:ascii="Times New Roman" w:eastAsia="Times New Roman" w:hAnsi="Times New Roman" w:cs="Times New Roman"/>
          <w:color w:val="000000"/>
          <w:sz w:val="24"/>
          <w:szCs w:val="24"/>
          <w:u w:val="single"/>
          <w:lang w:eastAsia="en-GB"/>
        </w:rPr>
      </w:pPr>
      <w:r w:rsidRPr="00AE141E">
        <w:rPr>
          <w:rFonts w:ascii="Times New Roman" w:eastAsia="Times New Roman" w:hAnsi="Times New Roman" w:cs="Times New Roman"/>
          <w:color w:val="000000"/>
          <w:sz w:val="24"/>
          <w:szCs w:val="24"/>
          <w:u w:val="single"/>
          <w:lang w:eastAsia="en-GB"/>
        </w:rPr>
        <w:t>Empire and Imperialism in English Schools</w:t>
      </w:r>
    </w:p>
    <w:p w14:paraId="4B20B5E7" w14:textId="656AF286"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The historiography on empire and imperialism in English schools has a distinctly uneven temporal focus. The majority of existing literature encompasses the late nineteenth and early twentieth centuries. It tends to embrace the First World War and its immediate aftermath but to cut off before the Second.</w:t>
      </w:r>
      <w:r w:rsidRPr="00AE141E">
        <w:rPr>
          <w:rStyle w:val="FootnoteReference"/>
          <w:rFonts w:ascii="Times New Roman" w:hAnsi="Times New Roman" w:cs="Times New Roman"/>
          <w:sz w:val="24"/>
          <w:szCs w:val="24"/>
        </w:rPr>
        <w:footnoteReference w:id="101"/>
      </w:r>
      <w:r w:rsidRPr="00AE141E">
        <w:rPr>
          <w:rFonts w:ascii="Times New Roman" w:hAnsi="Times New Roman" w:cs="Times New Roman"/>
          <w:sz w:val="24"/>
          <w:szCs w:val="24"/>
        </w:rPr>
        <w:t xml:space="preserve"> There are several plausible reasons for this emphasis. First, the period in question corresponds to the zenith of the British empire’s territorial reach and to outward manifestations of imperial and patriotic enthusiasm. Thus, the period claims an important place in debates over how far imperialism truly penetrated public consciousness (the minimal and maximal impact theses). Second, the First World War is often identified as </w:t>
      </w:r>
      <w:r w:rsidR="0052517A" w:rsidRPr="00AE141E">
        <w:rPr>
          <w:rFonts w:ascii="Times New Roman" w:hAnsi="Times New Roman" w:cs="Times New Roman"/>
          <w:sz w:val="24"/>
          <w:szCs w:val="24"/>
        </w:rPr>
        <w:t xml:space="preserve">a </w:t>
      </w:r>
      <w:r w:rsidRPr="00AE141E">
        <w:rPr>
          <w:rFonts w:ascii="Times New Roman" w:hAnsi="Times New Roman" w:cs="Times New Roman"/>
          <w:sz w:val="24"/>
          <w:szCs w:val="24"/>
        </w:rPr>
        <w:t>fundamental turning point in the history of empire and imperialism, which makes it a logical endpoint for studies examining the preceding decades.</w:t>
      </w:r>
    </w:p>
    <w:p w14:paraId="40EF2F77" w14:textId="3136CD65"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There is broad agreement that the late nineteenth and early twentieth centuries marked the apex of explicitly imperialist teaching in grant-funded English schools, though opinions diverge on how far this reflected and/or influenced popular culture.</w:t>
      </w:r>
      <w:r w:rsidRPr="00AE141E">
        <w:rPr>
          <w:rStyle w:val="FootnoteReference"/>
          <w:rFonts w:ascii="Times New Roman" w:hAnsi="Times New Roman" w:cs="Times New Roman"/>
          <w:sz w:val="24"/>
          <w:szCs w:val="24"/>
        </w:rPr>
        <w:footnoteReference w:id="102"/>
      </w:r>
      <w:r w:rsidRPr="00AE141E">
        <w:rPr>
          <w:rFonts w:ascii="Times New Roman" w:hAnsi="Times New Roman" w:cs="Times New Roman"/>
          <w:sz w:val="24"/>
          <w:szCs w:val="24"/>
        </w:rPr>
        <w:t xml:space="preserve"> In the context of escalating rivalry between the European powers, history (whether taught as an independent subject, or in the context of ‘readers’ designed to promote literacy) appears to have taken on a more defined function as a form of mass education in patriotic pride and national values. The militaristic mood entailed a new emphasis on foreign conquest. Porter writes that the empire featured in ‘just about every new history book published after 1880’.</w:t>
      </w:r>
      <w:r w:rsidRPr="00AE141E">
        <w:rPr>
          <w:rStyle w:val="FootnoteReference"/>
          <w:rFonts w:ascii="Times New Roman" w:hAnsi="Times New Roman" w:cs="Times New Roman"/>
          <w:sz w:val="24"/>
          <w:szCs w:val="24"/>
        </w:rPr>
        <w:footnoteReference w:id="103"/>
      </w:r>
      <w:r w:rsidRPr="00AE141E">
        <w:rPr>
          <w:rFonts w:ascii="Times New Roman" w:hAnsi="Times New Roman" w:cs="Times New Roman"/>
          <w:sz w:val="24"/>
          <w:szCs w:val="24"/>
        </w:rPr>
        <w:t xml:space="preserve"> Significantly, he </w:t>
      </w:r>
      <w:r w:rsidRPr="00AE141E">
        <w:rPr>
          <w:rFonts w:ascii="Times New Roman" w:hAnsi="Times New Roman" w:cs="Times New Roman"/>
          <w:sz w:val="24"/>
          <w:szCs w:val="24"/>
        </w:rPr>
        <w:lastRenderedPageBreak/>
        <w:t>argues that imperial expansion was no longer justified with reference to the ‘spread of liberty’: the growth of empire could be viewed as a good in and of itself. Criticism, where present, was reserved for those individuals who failed to live up to the ‘highest imperial ideals’ – a personal, rather than a systematic problem. Indeed, as Satia has argued, the imperial system was represented</w:t>
      </w:r>
      <w:r w:rsidR="00B741CD" w:rsidRPr="00AE141E">
        <w:rPr>
          <w:rFonts w:ascii="Times New Roman" w:hAnsi="Times New Roman" w:cs="Times New Roman"/>
          <w:sz w:val="24"/>
          <w:szCs w:val="24"/>
        </w:rPr>
        <w:t xml:space="preserve"> as</w:t>
      </w:r>
      <w:r w:rsidRPr="00AE141E">
        <w:rPr>
          <w:rFonts w:ascii="Times New Roman" w:hAnsi="Times New Roman" w:cs="Times New Roman"/>
          <w:sz w:val="24"/>
          <w:szCs w:val="24"/>
        </w:rPr>
        <w:t xml:space="preserve"> capable of redeeming such flaws.</w:t>
      </w:r>
      <w:r w:rsidR="00A53DFC">
        <w:rPr>
          <w:rStyle w:val="FootnoteReference"/>
          <w:rFonts w:ascii="Times New Roman" w:hAnsi="Times New Roman" w:cs="Times New Roman"/>
          <w:sz w:val="24"/>
          <w:szCs w:val="24"/>
        </w:rPr>
        <w:footnoteReference w:id="104"/>
      </w:r>
      <w:r w:rsidRPr="00AE141E">
        <w:rPr>
          <w:rFonts w:ascii="Times New Roman" w:hAnsi="Times New Roman" w:cs="Times New Roman"/>
          <w:sz w:val="24"/>
          <w:szCs w:val="24"/>
        </w:rPr>
        <w:t xml:space="preserve"> Teachers were subject to the influence of public opinion, and to the concerted lobbying of organisations ideologically committed to the imperial project; the (in)famous wall-maps displaying British imperial possessions in pink and red were in fact widely distributed as a product of Imperial League sponsorship.</w:t>
      </w:r>
      <w:r w:rsidRPr="00AE141E">
        <w:rPr>
          <w:rStyle w:val="FootnoteReference"/>
          <w:rFonts w:ascii="Times New Roman" w:hAnsi="Times New Roman" w:cs="Times New Roman"/>
          <w:sz w:val="24"/>
          <w:szCs w:val="24"/>
        </w:rPr>
        <w:footnoteReference w:id="105"/>
      </w:r>
      <w:r w:rsidRPr="00AE141E">
        <w:rPr>
          <w:rFonts w:ascii="Times New Roman" w:hAnsi="Times New Roman" w:cs="Times New Roman"/>
          <w:sz w:val="24"/>
          <w:szCs w:val="24"/>
        </w:rPr>
        <w:t xml:space="preserve"> If ever there was a moment at which the mass of English schoolchildren was invited to feel pride that the ‘the red bits are British’, it was in the decades leading up to the First World War.</w:t>
      </w:r>
      <w:r w:rsidRPr="00AE141E">
        <w:rPr>
          <w:rStyle w:val="FootnoteReference"/>
          <w:rFonts w:ascii="Times New Roman" w:hAnsi="Times New Roman" w:cs="Times New Roman"/>
          <w:sz w:val="24"/>
          <w:szCs w:val="24"/>
        </w:rPr>
        <w:footnoteReference w:id="106"/>
      </w:r>
    </w:p>
    <w:p w14:paraId="32FCCC30" w14:textId="0FAFBA35"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British public schools – the top echelon of independent, fee-paying institutions – reflected the mood of the time, albeit with a different emphasis. The public schools, much like the universities of Oxford and Cambridge, embraced a self-consciously elite ethos: their students were prepared for governance and leadership, which in this period necessarily entailed a preparation for colonial rule. Given the centrality of public schooling to the imperial project, they have understandably been the focus of significant scholarly interest. The work of J.A. Mangan is emblematic.</w:t>
      </w:r>
      <w:r w:rsidRPr="00AE141E">
        <w:rPr>
          <w:rStyle w:val="FootnoteReference"/>
          <w:rFonts w:ascii="Times New Roman" w:hAnsi="Times New Roman" w:cs="Times New Roman"/>
          <w:sz w:val="24"/>
          <w:szCs w:val="24"/>
        </w:rPr>
        <w:footnoteReference w:id="107"/>
      </w:r>
      <w:r w:rsidRPr="00AE141E">
        <w:rPr>
          <w:rFonts w:ascii="Times New Roman" w:hAnsi="Times New Roman" w:cs="Times New Roman"/>
          <w:sz w:val="24"/>
          <w:szCs w:val="24"/>
        </w:rPr>
        <w:t xml:space="preserve"> Mangan focuses less on the taught content of the formal curriculum, and more on the socialising influence of the informal curriculum which upheld ideals of hierarchy, martial masculinity, and service. Porter argues that the informal curriculum may in fact have been the primary means of imperial education in these institutions.</w:t>
      </w:r>
      <w:r w:rsidRPr="00AE141E">
        <w:rPr>
          <w:rStyle w:val="FootnoteReference"/>
          <w:rFonts w:ascii="Times New Roman" w:hAnsi="Times New Roman" w:cs="Times New Roman"/>
          <w:sz w:val="24"/>
          <w:szCs w:val="24"/>
        </w:rPr>
        <w:footnoteReference w:id="108"/>
      </w:r>
      <w:r w:rsidRPr="00AE141E">
        <w:rPr>
          <w:rFonts w:ascii="Times New Roman" w:hAnsi="Times New Roman" w:cs="Times New Roman"/>
          <w:sz w:val="24"/>
          <w:szCs w:val="24"/>
        </w:rPr>
        <w:t xml:space="preserve"> History, when it entered into the picture as a formal subject, was often confined to the ‘Classical world’ of Greece and Rome, which were believed to offer important exemplars. </w:t>
      </w:r>
    </w:p>
    <w:p w14:paraId="27320CC1" w14:textId="4E475BD3"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Michael Roper has described the First World War as a moment which fundamentally unsettled the imperial certainties of the Edwardian public school environment: the heroic masculinity cultivated by such institutions was ‘buried in the mud of Flanders’.</w:t>
      </w:r>
      <w:r w:rsidRPr="00AE141E">
        <w:rPr>
          <w:rStyle w:val="FootnoteReference"/>
          <w:rFonts w:ascii="Times New Roman" w:hAnsi="Times New Roman" w:cs="Times New Roman"/>
          <w:sz w:val="24"/>
          <w:szCs w:val="24"/>
        </w:rPr>
        <w:footnoteReference w:id="109"/>
      </w:r>
      <w:r w:rsidRPr="00AE141E">
        <w:rPr>
          <w:rFonts w:ascii="Times New Roman" w:hAnsi="Times New Roman" w:cs="Times New Roman"/>
          <w:sz w:val="24"/>
          <w:szCs w:val="24"/>
        </w:rPr>
        <w:t xml:space="preserve"> The trauma of war was felt on both a personal and a public level. The 1931 satirical history </w:t>
      </w:r>
      <w:r w:rsidRPr="00AE141E">
        <w:rPr>
          <w:rFonts w:ascii="Times New Roman" w:hAnsi="Times New Roman" w:cs="Times New Roman"/>
          <w:i/>
          <w:sz w:val="24"/>
          <w:szCs w:val="24"/>
        </w:rPr>
        <w:t>1066 And All That</w:t>
      </w:r>
      <w:r w:rsidRPr="00AE141E">
        <w:rPr>
          <w:rFonts w:ascii="Times New Roman" w:hAnsi="Times New Roman" w:cs="Times New Roman"/>
          <w:sz w:val="24"/>
          <w:szCs w:val="24"/>
        </w:rPr>
        <w:t xml:space="preserve"> offers a window into a newly uncertain national self-perception. W. C. Sellar and R. J. Yeatman concluded their account of Britain’s past with the First World War, which they interpreted as final proof that the United States of America had superseded Britain as ‘top nation’.</w:t>
      </w:r>
      <w:r w:rsidRPr="00AE141E">
        <w:rPr>
          <w:rStyle w:val="FootnoteReference"/>
          <w:rFonts w:ascii="Times New Roman" w:hAnsi="Times New Roman" w:cs="Times New Roman"/>
          <w:sz w:val="24"/>
          <w:szCs w:val="24"/>
        </w:rPr>
        <w:footnoteReference w:id="110"/>
      </w:r>
      <w:r w:rsidRPr="00AE141E">
        <w:rPr>
          <w:rFonts w:ascii="Times New Roman" w:hAnsi="Times New Roman" w:cs="Times New Roman"/>
          <w:sz w:val="24"/>
          <w:szCs w:val="24"/>
        </w:rPr>
        <w:t xml:space="preserve"> Sellar and Yeatman labelled 1918 as the end not just of their history, but of </w:t>
      </w:r>
      <w:r w:rsidRPr="00AE141E">
        <w:rPr>
          <w:rFonts w:ascii="Times New Roman" w:hAnsi="Times New Roman" w:cs="Times New Roman"/>
          <w:i/>
          <w:sz w:val="24"/>
          <w:szCs w:val="24"/>
        </w:rPr>
        <w:t xml:space="preserve">history itself. </w:t>
      </w:r>
      <w:r w:rsidRPr="00AE141E">
        <w:rPr>
          <w:rFonts w:ascii="Times New Roman" w:hAnsi="Times New Roman" w:cs="Times New Roman"/>
          <w:sz w:val="24"/>
          <w:szCs w:val="24"/>
        </w:rPr>
        <w:t>In so doing, they described the decline and fall of the confident teleology which had structured historical writing in earlier decades – in which the past was a progressive march to social and political perfection, and in which empire became the ‘ultimate fulfilment of the country</w:t>
      </w:r>
      <w:r w:rsidR="00CF7EA8">
        <w:rPr>
          <w:rFonts w:ascii="Times New Roman" w:hAnsi="Times New Roman" w:cs="Times New Roman"/>
          <w:sz w:val="24"/>
          <w:szCs w:val="24"/>
        </w:rPr>
        <w:t>’</w:t>
      </w:r>
      <w:r w:rsidRPr="00AE141E">
        <w:rPr>
          <w:rFonts w:ascii="Times New Roman" w:hAnsi="Times New Roman" w:cs="Times New Roman"/>
          <w:sz w:val="24"/>
          <w:szCs w:val="24"/>
        </w:rPr>
        <w:t>s historic mission’.</w:t>
      </w:r>
      <w:r w:rsidR="00CF7EA8">
        <w:rPr>
          <w:rStyle w:val="FootnoteReference"/>
          <w:rFonts w:ascii="Times New Roman" w:hAnsi="Times New Roman" w:cs="Times New Roman"/>
          <w:sz w:val="24"/>
          <w:szCs w:val="24"/>
        </w:rPr>
        <w:footnoteReference w:id="111"/>
      </w:r>
      <w:r w:rsidRPr="00AE141E">
        <w:rPr>
          <w:rFonts w:ascii="Times New Roman" w:hAnsi="Times New Roman" w:cs="Times New Roman"/>
          <w:sz w:val="24"/>
          <w:szCs w:val="24"/>
        </w:rPr>
        <w:t xml:space="preserve"> It is for this reason that Raphael Samuel interprets </w:t>
      </w:r>
      <w:r w:rsidRPr="00AE141E">
        <w:rPr>
          <w:rFonts w:ascii="Times New Roman" w:hAnsi="Times New Roman" w:cs="Times New Roman"/>
          <w:i/>
          <w:sz w:val="24"/>
          <w:szCs w:val="24"/>
        </w:rPr>
        <w:t xml:space="preserve">1066 And All That </w:t>
      </w:r>
      <w:r w:rsidRPr="00AE141E">
        <w:rPr>
          <w:rFonts w:ascii="Times New Roman" w:hAnsi="Times New Roman" w:cs="Times New Roman"/>
          <w:sz w:val="24"/>
          <w:szCs w:val="24"/>
        </w:rPr>
        <w:t>as an ‘underrated anti-imperialistic tract [which] punctured some of the more bombastic claims of drum-and-trumpet history’.</w:t>
      </w:r>
      <w:r w:rsidRPr="00AE141E">
        <w:rPr>
          <w:rStyle w:val="FootnoteReference"/>
          <w:rFonts w:ascii="Times New Roman" w:hAnsi="Times New Roman" w:cs="Times New Roman"/>
          <w:sz w:val="24"/>
          <w:szCs w:val="24"/>
        </w:rPr>
        <w:footnoteReference w:id="112"/>
      </w:r>
    </w:p>
    <w:p w14:paraId="46200E3F" w14:textId="1B7248EF"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Unfortunately, the sense that history ended with the First World War (or its aftermath) seems to have </w:t>
      </w:r>
      <w:r w:rsidR="00B741CD" w:rsidRPr="00AE141E">
        <w:rPr>
          <w:rFonts w:ascii="Times New Roman" w:hAnsi="Times New Roman" w:cs="Times New Roman"/>
          <w:sz w:val="24"/>
          <w:szCs w:val="24"/>
        </w:rPr>
        <w:t xml:space="preserve">been </w:t>
      </w:r>
      <w:r w:rsidRPr="00AE141E">
        <w:rPr>
          <w:rFonts w:ascii="Times New Roman" w:hAnsi="Times New Roman" w:cs="Times New Roman"/>
          <w:sz w:val="24"/>
          <w:szCs w:val="24"/>
        </w:rPr>
        <w:t xml:space="preserve">embraced by many scholars of empire and education. This is symptomatic of a broader silence in the debate over the imperial </w:t>
      </w:r>
      <w:r w:rsidR="00D439EF">
        <w:rPr>
          <w:rFonts w:ascii="Times New Roman" w:hAnsi="Times New Roman" w:cs="Times New Roman"/>
          <w:sz w:val="24"/>
          <w:szCs w:val="24"/>
        </w:rPr>
        <w:t>content</w:t>
      </w:r>
      <w:r w:rsidRPr="00AE141E">
        <w:rPr>
          <w:rFonts w:ascii="Times New Roman" w:hAnsi="Times New Roman" w:cs="Times New Roman"/>
          <w:sz w:val="24"/>
          <w:szCs w:val="24"/>
        </w:rPr>
        <w:t xml:space="preserve"> of British (or English) culture and society. As Anna Claeys notes, academic discussion has ‘focused predominantly on the empire’s heyday before 1914 and the interwar period’, only occasionally ‘stretching beyond 1945’ (her own work is the exception that proves the rule).</w:t>
      </w:r>
      <w:r w:rsidRPr="00AE141E">
        <w:rPr>
          <w:rStyle w:val="FootnoteReference"/>
          <w:rFonts w:ascii="Times New Roman" w:hAnsi="Times New Roman" w:cs="Times New Roman"/>
          <w:sz w:val="24"/>
          <w:szCs w:val="24"/>
        </w:rPr>
        <w:footnoteReference w:id="113"/>
      </w:r>
      <w:r w:rsidRPr="00AE141E">
        <w:rPr>
          <w:rFonts w:ascii="Times New Roman" w:hAnsi="Times New Roman" w:cs="Times New Roman"/>
          <w:sz w:val="24"/>
          <w:szCs w:val="24"/>
        </w:rPr>
        <w:t xml:space="preserve"> The dominance of literature </w:t>
      </w:r>
      <w:r w:rsidR="00FB76B0" w:rsidRPr="00AE141E">
        <w:rPr>
          <w:rFonts w:ascii="Times New Roman" w:hAnsi="Times New Roman" w:cs="Times New Roman"/>
          <w:sz w:val="24"/>
          <w:szCs w:val="24"/>
        </w:rPr>
        <w:t>covering</w:t>
      </w:r>
      <w:r w:rsidRPr="00AE141E">
        <w:rPr>
          <w:rFonts w:ascii="Times New Roman" w:hAnsi="Times New Roman" w:cs="Times New Roman"/>
          <w:sz w:val="24"/>
          <w:szCs w:val="24"/>
        </w:rPr>
        <w:t xml:space="preserve"> the late nineteenth and early twentieth centuries may be partially responsible for some of the assumptions now typically made about the history of imperial history teaching. If the narrative cuts off prior to (or even during) the First World War, readers could be forgiven for walking away with a general impression that imperial celebration has traditionally </w:t>
      </w:r>
      <w:r w:rsidRPr="00AE141E">
        <w:rPr>
          <w:rFonts w:ascii="Times New Roman" w:hAnsi="Times New Roman" w:cs="Times New Roman"/>
          <w:sz w:val="24"/>
          <w:szCs w:val="24"/>
        </w:rPr>
        <w:lastRenderedPageBreak/>
        <w:t>structured English history teaching. If the narrative concludes shortly after 1918, with an emphasis on a national crisis of confidence and on ‘education for peace’, the reader may well decide that histories of empire became progressively less dominant – and less celebratory – from that point on.</w:t>
      </w:r>
      <w:r w:rsidRPr="00AE141E">
        <w:rPr>
          <w:rStyle w:val="FootnoteReference"/>
          <w:rFonts w:ascii="Times New Roman" w:hAnsi="Times New Roman" w:cs="Times New Roman"/>
          <w:sz w:val="24"/>
          <w:szCs w:val="24"/>
        </w:rPr>
        <w:footnoteReference w:id="114"/>
      </w:r>
    </w:p>
    <w:p w14:paraId="56CF6153" w14:textId="14A6DD75"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teaching of imperial history from mid-century onwards has never received the attention of a dedicated monograph or thesis – a gap which my research aims to fill. Such histories appear in fragments within longer works, short articles with a limited temporal scope, or in reflections on memory and national identity in the social sciences. For example, Cannadine, Keating, and Sheldon’s </w:t>
      </w:r>
      <w:r w:rsidRPr="00AE141E">
        <w:rPr>
          <w:rFonts w:ascii="Times New Roman" w:hAnsi="Times New Roman" w:cs="Times New Roman"/>
          <w:i/>
          <w:sz w:val="24"/>
          <w:szCs w:val="24"/>
        </w:rPr>
        <w:t xml:space="preserve">The Right Kind of History: Teaching the Past in Twentieth-Century England </w:t>
      </w:r>
      <w:r w:rsidRPr="00AE141E">
        <w:rPr>
          <w:rFonts w:ascii="Times New Roman" w:hAnsi="Times New Roman" w:cs="Times New Roman"/>
          <w:sz w:val="24"/>
          <w:szCs w:val="24"/>
        </w:rPr>
        <w:t>provides essential context for broad shifts in teaching practice and historical understanding. It is possible to glean details of the teaching (and erasure) of imperial history from its pages. However, empire barely appears as an explicit subject of analysis, especially after 1945.</w:t>
      </w:r>
      <w:r w:rsidRPr="00AE141E">
        <w:rPr>
          <w:rStyle w:val="FootnoteReference"/>
          <w:rFonts w:ascii="Times New Roman" w:hAnsi="Times New Roman" w:cs="Times New Roman"/>
          <w:sz w:val="24"/>
          <w:szCs w:val="24"/>
        </w:rPr>
        <w:footnoteReference w:id="115"/>
      </w:r>
      <w:r w:rsidRPr="00AE141E">
        <w:rPr>
          <w:rFonts w:ascii="Times New Roman" w:hAnsi="Times New Roman" w:cs="Times New Roman"/>
          <w:sz w:val="24"/>
          <w:szCs w:val="24"/>
        </w:rPr>
        <w:t xml:space="preserve"> It makes only an occasional appearance in Raphael Samuel’s reflections on history, history teaching, and national identity, which were penned in the midst of the debate on the introduction of the national curriculum.</w:t>
      </w:r>
      <w:r w:rsidRPr="00AE141E">
        <w:rPr>
          <w:rStyle w:val="FootnoteReference"/>
          <w:rFonts w:ascii="Times New Roman" w:hAnsi="Times New Roman" w:cs="Times New Roman"/>
          <w:sz w:val="24"/>
          <w:szCs w:val="24"/>
        </w:rPr>
        <w:footnoteReference w:id="116"/>
      </w:r>
      <w:r w:rsidRPr="00AE141E">
        <w:rPr>
          <w:rFonts w:ascii="Times New Roman" w:hAnsi="Times New Roman" w:cs="Times New Roman"/>
          <w:sz w:val="24"/>
          <w:szCs w:val="24"/>
        </w:rPr>
        <w:t xml:space="preserve"> This is an intriguing absence, since he shared my conviction that the disappearance of empire from history curricula demonstrated a troubling refusal to confront its legacy. Sally Tomlinson’s </w:t>
      </w:r>
      <w:r w:rsidRPr="00AE141E">
        <w:rPr>
          <w:rFonts w:ascii="Times New Roman" w:hAnsi="Times New Roman" w:cs="Times New Roman"/>
          <w:i/>
          <w:sz w:val="24"/>
          <w:szCs w:val="24"/>
        </w:rPr>
        <w:t xml:space="preserve">Education and Race from Empire to Brexit </w:t>
      </w:r>
      <w:r w:rsidRPr="00AE141E">
        <w:rPr>
          <w:rFonts w:ascii="Times New Roman" w:hAnsi="Times New Roman" w:cs="Times New Roman"/>
          <w:sz w:val="24"/>
          <w:szCs w:val="24"/>
        </w:rPr>
        <w:t>identifies racialised experiences of education as a legacy of empire, but the teaching of empire, where it appears, is very much a secondary theme.</w:t>
      </w:r>
      <w:r w:rsidRPr="00AE141E">
        <w:rPr>
          <w:rStyle w:val="FootnoteReference"/>
          <w:rFonts w:ascii="Times New Roman" w:hAnsi="Times New Roman" w:cs="Times New Roman"/>
          <w:sz w:val="24"/>
          <w:szCs w:val="24"/>
        </w:rPr>
        <w:footnoteReference w:id="117"/>
      </w:r>
      <w:r w:rsidRPr="00AE141E">
        <w:rPr>
          <w:rFonts w:ascii="Times New Roman" w:hAnsi="Times New Roman" w:cs="Times New Roman"/>
          <w:sz w:val="24"/>
          <w:szCs w:val="24"/>
        </w:rPr>
        <w:t xml:space="preserve"> On the other hand, sociologists and cultural theorists have engaged extensively with the place of the imperial past in contemporary culture and society (as in the work of Gilroy, described above), but have rarely linked their analysis back to the role of formal, school-based historical education.</w:t>
      </w:r>
      <w:r w:rsidRPr="00AE141E">
        <w:rPr>
          <w:rStyle w:val="FootnoteReference"/>
          <w:rFonts w:ascii="Times New Roman" w:hAnsi="Times New Roman" w:cs="Times New Roman"/>
          <w:sz w:val="24"/>
          <w:szCs w:val="24"/>
        </w:rPr>
        <w:footnoteReference w:id="118"/>
      </w:r>
      <w:r w:rsidRPr="00AE141E">
        <w:rPr>
          <w:rFonts w:ascii="Times New Roman" w:hAnsi="Times New Roman" w:cs="Times New Roman"/>
          <w:sz w:val="24"/>
          <w:szCs w:val="24"/>
        </w:rPr>
        <w:t xml:space="preserve"> </w:t>
      </w:r>
    </w:p>
    <w:p w14:paraId="6CD59035" w14:textId="7508F573"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In fact, the most prolonged engagement with the teaching of imperial history in mid- to late-twentieth century may perhaps be found in a 1</w:t>
      </w:r>
      <w:r w:rsidR="00C51284">
        <w:rPr>
          <w:rFonts w:ascii="Times New Roman" w:hAnsi="Times New Roman" w:cs="Times New Roman"/>
          <w:sz w:val="24"/>
          <w:szCs w:val="24"/>
        </w:rPr>
        <w:t>7</w:t>
      </w:r>
      <w:r w:rsidRPr="00AE141E">
        <w:rPr>
          <w:rFonts w:ascii="Times New Roman" w:hAnsi="Times New Roman" w:cs="Times New Roman"/>
          <w:sz w:val="24"/>
          <w:szCs w:val="24"/>
        </w:rPr>
        <w:t>-page article by Claeys.</w:t>
      </w:r>
      <w:r w:rsidRPr="00AE141E">
        <w:rPr>
          <w:rStyle w:val="FootnoteReference"/>
          <w:rFonts w:ascii="Times New Roman" w:hAnsi="Times New Roman" w:cs="Times New Roman"/>
          <w:sz w:val="24"/>
          <w:szCs w:val="24"/>
        </w:rPr>
        <w:footnoteReference w:id="119"/>
      </w:r>
      <w:r w:rsidRPr="00AE141E">
        <w:rPr>
          <w:rFonts w:ascii="Times New Roman" w:hAnsi="Times New Roman" w:cs="Times New Roman"/>
          <w:sz w:val="24"/>
          <w:szCs w:val="24"/>
        </w:rPr>
        <w:t xml:space="preserve"> Although I agree with her assessment that imperial ideas survived in schools into the 1970s (and beyond), my work differs profoundly in its assessment of the causes of this survival. We concur that schools were encouraged to teach the Commonwealth as the ‘continuation of empire by other means’.</w:t>
      </w:r>
      <w:r w:rsidR="00C51284">
        <w:rPr>
          <w:rStyle w:val="FootnoteReference"/>
          <w:rFonts w:ascii="Times New Roman" w:hAnsi="Times New Roman" w:cs="Times New Roman"/>
          <w:sz w:val="24"/>
          <w:szCs w:val="24"/>
        </w:rPr>
        <w:footnoteReference w:id="120"/>
      </w:r>
      <w:r w:rsidRPr="00AE141E">
        <w:rPr>
          <w:rFonts w:ascii="Times New Roman" w:hAnsi="Times New Roman" w:cs="Times New Roman"/>
          <w:sz w:val="24"/>
          <w:szCs w:val="24"/>
        </w:rPr>
        <w:t xml:space="preserve"> However, while Claeys views this initiative as broadly successful, my own research suggests that the Commonwealth’s imperial connections contributed to its marginalisation in history syllabi.</w:t>
      </w:r>
    </w:p>
    <w:p w14:paraId="580A2009" w14:textId="77777777" w:rsidR="009329E1" w:rsidRPr="00AE141E" w:rsidRDefault="009329E1" w:rsidP="00AE141E">
      <w:pPr>
        <w:spacing w:line="360" w:lineRule="auto"/>
        <w:rPr>
          <w:rFonts w:ascii="Times New Roman" w:eastAsia="Times New Roman" w:hAnsi="Times New Roman" w:cs="Times New Roman"/>
          <w:color w:val="000000"/>
          <w:sz w:val="24"/>
          <w:szCs w:val="24"/>
          <w:u w:val="single"/>
          <w:lang w:eastAsia="en-GB"/>
        </w:rPr>
      </w:pPr>
      <w:r w:rsidRPr="00AE141E">
        <w:rPr>
          <w:rFonts w:ascii="Times New Roman" w:eastAsia="Times New Roman" w:hAnsi="Times New Roman" w:cs="Times New Roman"/>
          <w:color w:val="000000"/>
          <w:sz w:val="24"/>
          <w:szCs w:val="24"/>
          <w:u w:val="single"/>
          <w:lang w:eastAsia="en-GB"/>
        </w:rPr>
        <w:t>Sources in the History of Education and Empire</w:t>
      </w:r>
    </w:p>
    <w:p w14:paraId="177BF0EF" w14:textId="2D410450"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Textbooks have long been the dominant means through which to examine the teaching of history – including the history of empire. This is perhaps unsurprising; they offer a tangible, widely documented inheritance from the classrooms of the past. Norman Graves has claimed that textbooks are a straightforward expression of the ‘current ethos’ of their authors’ society – a position which seems to deny the agency and subjectivity of educators.</w:t>
      </w:r>
      <w:r w:rsidRPr="00AE141E">
        <w:rPr>
          <w:rStyle w:val="FootnoteReference"/>
          <w:rFonts w:ascii="Times New Roman" w:hAnsi="Times New Roman" w:cs="Times New Roman"/>
          <w:sz w:val="24"/>
          <w:szCs w:val="24"/>
        </w:rPr>
        <w:footnoteReference w:id="121"/>
      </w:r>
      <w:r w:rsidRPr="00AE141E">
        <w:rPr>
          <w:rFonts w:ascii="Times New Roman" w:hAnsi="Times New Roman" w:cs="Times New Roman"/>
          <w:sz w:val="24"/>
          <w:szCs w:val="24"/>
        </w:rPr>
        <w:t xml:space="preserve"> Nevertheless, it is certainly true that they represent not just the views of a single author, but a wider body of opinion.</w:t>
      </w:r>
      <w:r w:rsidRPr="00AE141E">
        <w:rPr>
          <w:rStyle w:val="FootnoteReference"/>
          <w:rFonts w:ascii="Times New Roman" w:hAnsi="Times New Roman" w:cs="Times New Roman"/>
          <w:sz w:val="24"/>
          <w:szCs w:val="24"/>
        </w:rPr>
        <w:footnoteReference w:id="122"/>
      </w:r>
      <w:r w:rsidRPr="00AE141E">
        <w:rPr>
          <w:rFonts w:ascii="Times New Roman" w:hAnsi="Times New Roman" w:cs="Times New Roman"/>
          <w:sz w:val="24"/>
          <w:szCs w:val="24"/>
        </w:rPr>
        <w:t xml:space="preserve"> Most textbooks are produced to meet existing demand. The editorial process (sometimes accompanied by reviews or trials in schools) also canvasses a variety of different opinions. Textbooks must therefore demonstrate something about the needs and priorities of those responsible for determining the curriculum. </w:t>
      </w:r>
    </w:p>
    <w:p w14:paraId="08D6B760" w14:textId="0326B973"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There are practical problems, however, with an overreliance on textbooks as a source-base. MacDermid and Foster used a large sample size of textbooks in their comparative history of the teaching of the British empire between 1920 and 1939, and 2015 and 2023. They noted that most previous studies on related themes concentrated on ‘small numbers of books </w:t>
      </w:r>
      <w:r w:rsidRPr="00AE141E">
        <w:rPr>
          <w:rFonts w:ascii="Times New Roman" w:hAnsi="Times New Roman" w:cs="Times New Roman"/>
          <w:sz w:val="24"/>
          <w:szCs w:val="24"/>
        </w:rPr>
        <w:lastRenderedPageBreak/>
        <w:t>covering limited time periods’.</w:t>
      </w:r>
      <w:r w:rsidRPr="00AE141E">
        <w:rPr>
          <w:rStyle w:val="FootnoteReference"/>
          <w:rFonts w:ascii="Times New Roman" w:hAnsi="Times New Roman" w:cs="Times New Roman"/>
          <w:sz w:val="24"/>
          <w:szCs w:val="24"/>
        </w:rPr>
        <w:footnoteReference w:id="123"/>
      </w:r>
      <w:r w:rsidRPr="00AE141E">
        <w:rPr>
          <w:rFonts w:ascii="Times New Roman" w:hAnsi="Times New Roman" w:cs="Times New Roman"/>
          <w:sz w:val="24"/>
          <w:szCs w:val="24"/>
        </w:rPr>
        <w:t xml:space="preserve"> This was attributed to a lack of availability of sales data, and to the time-intensive nature of research involving close reading of textually dense materials. As Tina van der Vlies points out, textbooks also suffer from a ‘time-lag’: the gap between the emergence of ‘new findings or ideas’ and the ‘production of new or revised textbooks’ (one could add to this formulation the gap between the production of new textbooks and schools</w:t>
      </w:r>
      <w:r w:rsidR="002B1805" w:rsidRPr="00AE141E">
        <w:rPr>
          <w:rFonts w:ascii="Times New Roman" w:hAnsi="Times New Roman" w:cs="Times New Roman"/>
          <w:sz w:val="24"/>
          <w:szCs w:val="24"/>
        </w:rPr>
        <w:t>’</w:t>
      </w:r>
      <w:r w:rsidRPr="00AE141E">
        <w:rPr>
          <w:rFonts w:ascii="Times New Roman" w:hAnsi="Times New Roman" w:cs="Times New Roman"/>
          <w:sz w:val="24"/>
          <w:szCs w:val="24"/>
        </w:rPr>
        <w:t xml:space="preserve"> financial ability to purchase them).</w:t>
      </w:r>
      <w:r w:rsidRPr="00AE141E">
        <w:rPr>
          <w:rStyle w:val="FootnoteReference"/>
          <w:rFonts w:ascii="Times New Roman" w:hAnsi="Times New Roman" w:cs="Times New Roman"/>
          <w:sz w:val="24"/>
          <w:szCs w:val="24"/>
        </w:rPr>
        <w:footnoteReference w:id="124"/>
      </w:r>
      <w:r w:rsidRPr="00AE141E">
        <w:rPr>
          <w:rFonts w:ascii="Times New Roman" w:hAnsi="Times New Roman" w:cs="Times New Roman"/>
          <w:sz w:val="24"/>
          <w:szCs w:val="24"/>
        </w:rPr>
        <w:t xml:space="preserve"> Historians of education who use textbooks as their primary source base must therefore work across a broad temporal scope if they wish to track changes – and may risk overemphasising continuity.</w:t>
      </w:r>
    </w:p>
    <w:p w14:paraId="30459A58"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Even leaving aside such practical barriers, reliance upon textbooks as a source-base raises questions around bias and erasure. Textbooks traditionally emphasise exam preparation. Given that exams were primarily the preserve of grammar school students in the immediate post-war years, textbooks from this period often provide insights into the education of a socially exclusive minority.</w:t>
      </w:r>
      <w:r w:rsidRPr="00AE141E">
        <w:rPr>
          <w:rStyle w:val="FootnoteReference"/>
          <w:rFonts w:ascii="Times New Roman" w:hAnsi="Times New Roman" w:cs="Times New Roman"/>
          <w:sz w:val="24"/>
          <w:szCs w:val="24"/>
        </w:rPr>
        <w:footnoteReference w:id="125"/>
      </w:r>
      <w:r w:rsidRPr="00AE141E">
        <w:rPr>
          <w:rFonts w:ascii="Times New Roman" w:hAnsi="Times New Roman" w:cs="Times New Roman"/>
          <w:sz w:val="24"/>
          <w:szCs w:val="24"/>
        </w:rPr>
        <w:t xml:space="preserve"> In secondary moderns, teaching embraced a much broader range of materials. Equally troublingly, textbooks are a poor guide to classroom dynamics. It would be a mistake to view curricula as static collections of content; not for nothing do historians of education refer to the ‘black box of schooling’.</w:t>
      </w:r>
      <w:r w:rsidRPr="00AE141E">
        <w:rPr>
          <w:rStyle w:val="FootnoteReference"/>
          <w:rFonts w:ascii="Times New Roman" w:hAnsi="Times New Roman" w:cs="Times New Roman"/>
          <w:sz w:val="24"/>
          <w:szCs w:val="24"/>
        </w:rPr>
        <w:footnoteReference w:id="126"/>
      </w:r>
      <w:r w:rsidRPr="00AE141E">
        <w:rPr>
          <w:rFonts w:ascii="Times New Roman" w:hAnsi="Times New Roman" w:cs="Times New Roman"/>
          <w:sz w:val="24"/>
          <w:szCs w:val="24"/>
        </w:rPr>
        <w:t xml:space="preserve"> Even in traditional ‘talk and chalk’ settings, textbooks have rarely been co-extensive with taught content; history teachers have fiercely guarded their position as subject specialists with the ability to offer expert guidance. Furthermore, the materials the teacher </w:t>
      </w:r>
      <w:r w:rsidRPr="00AE141E">
        <w:rPr>
          <w:rFonts w:ascii="Times New Roman" w:hAnsi="Times New Roman" w:cs="Times New Roman"/>
          <w:i/>
          <w:sz w:val="24"/>
          <w:szCs w:val="24"/>
        </w:rPr>
        <w:t>intends</w:t>
      </w:r>
      <w:r w:rsidRPr="00AE141E">
        <w:rPr>
          <w:rFonts w:ascii="Times New Roman" w:hAnsi="Times New Roman" w:cs="Times New Roman"/>
          <w:sz w:val="24"/>
          <w:szCs w:val="24"/>
        </w:rPr>
        <w:t xml:space="preserve"> to present rarely map precisely onto the lesson delivered. This is because the process of knowledge production cannot be one-sided. Even in the most authoritarian classroom, in which power is conceived as unipolar, the teacher cannot control the subjective reactions of pupils, nor their vocalisation. Depending upon the attitude of the teacher, and the manner in which the response is expressed, such contributions might be interpreted as positive ‘participation’ or negative ‘disruption’. The line between the two is thin and context dependent. Thus, the history set down in textbooks offers greater insight into educational ideals than educational reality. An exclusive emphasis on </w:t>
      </w:r>
      <w:r w:rsidRPr="00AE141E">
        <w:rPr>
          <w:rFonts w:ascii="Times New Roman" w:hAnsi="Times New Roman" w:cs="Times New Roman"/>
          <w:sz w:val="24"/>
          <w:szCs w:val="24"/>
        </w:rPr>
        <w:lastRenderedPageBreak/>
        <w:t>textbooks tends to erase two of the most important influences on school history teaching: teachers and students.</w:t>
      </w:r>
    </w:p>
    <w:p w14:paraId="793EEBD8" w14:textId="77777777"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the last two decades, some historians of education have moved to embrace a wider source-base, in a bid to access the experiential dimension of teaching and being taught history. Cannadine, Keating, and Sheldon based their history of history teaching on an extraordinarily diverse range of materials.</w:t>
      </w:r>
      <w:r w:rsidRPr="00AE141E">
        <w:rPr>
          <w:rStyle w:val="FootnoteReference"/>
          <w:rFonts w:ascii="Times New Roman" w:hAnsi="Times New Roman" w:cs="Times New Roman"/>
          <w:sz w:val="24"/>
          <w:szCs w:val="24"/>
        </w:rPr>
        <w:footnoteReference w:id="127"/>
      </w:r>
      <w:r w:rsidRPr="00AE141E">
        <w:rPr>
          <w:rFonts w:ascii="Times New Roman" w:hAnsi="Times New Roman" w:cs="Times New Roman"/>
          <w:sz w:val="24"/>
          <w:szCs w:val="24"/>
        </w:rPr>
        <w:t xml:space="preserve"> They set printed sources (including textbooks, legislation, and official reports) in dialogue with students’ workbooks, and oral history interviews with both pupils and teachers. Tellingly, the project had to create its own archive in order to document and describe the lived experience of historical education. This archive remains publicly accessible and has exerted an influence far beyond the original project, fostering ‘bottom up’ accounts of history teaching. Claeys’ history of the teaching of empire and Commonwealth draws upon student work and interviews from this archive, though her sample size is relatively small.</w:t>
      </w:r>
      <w:r w:rsidRPr="00AE141E">
        <w:rPr>
          <w:rStyle w:val="FootnoteReference"/>
          <w:rFonts w:ascii="Times New Roman" w:hAnsi="Times New Roman" w:cs="Times New Roman"/>
          <w:sz w:val="24"/>
          <w:szCs w:val="24"/>
        </w:rPr>
        <w:footnoteReference w:id="128"/>
      </w:r>
    </w:p>
    <w:p w14:paraId="7DEAC16A" w14:textId="3E43CEED"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Oral histories carry a specific set of internal dynamics and ‘risks’ (or values, depending on your perspective) associated with the vagaries of memory. The passage of time causes some events to be forgotten and others to take on new significance. Hindsight encourages reflection and reinterpretation. Furthermore, the emphases of questions, and the narrative choices made by interviewees, often reflect current priorities. The resulting archives can tell us as much about the present as they do about the past, and historians must be wary of treating oral sources as a simple demonstration of ‘the way things were’. The use of oral history also has a limitation specific to the histories of childhood - and by extension histories of education. The categories of ‘adult’ and ‘child’ are socially constructed, often in opposition to one another.</w:t>
      </w:r>
      <w:r w:rsidRPr="00AE141E">
        <w:rPr>
          <w:rStyle w:val="FootnoteReference"/>
          <w:rFonts w:ascii="Times New Roman" w:hAnsi="Times New Roman" w:cs="Times New Roman"/>
          <w:sz w:val="24"/>
          <w:szCs w:val="24"/>
        </w:rPr>
        <w:footnoteReference w:id="129"/>
      </w:r>
      <w:r w:rsidRPr="00AE141E">
        <w:rPr>
          <w:rFonts w:ascii="Times New Roman" w:hAnsi="Times New Roman" w:cs="Times New Roman"/>
          <w:sz w:val="24"/>
          <w:szCs w:val="24"/>
        </w:rPr>
        <w:t xml:space="preserve"> Their relationship is also hierarchical: adults are given stewardship over children, and the attainment of ‘adulthood’ is posed as the product of positive progression to a state of enhanced maturity and reflexivity. An individual’s positioning as</w:t>
      </w:r>
      <w:r w:rsidR="00E3577D" w:rsidRPr="00AE141E">
        <w:rPr>
          <w:rFonts w:ascii="Times New Roman" w:hAnsi="Times New Roman" w:cs="Times New Roman"/>
          <w:sz w:val="24"/>
          <w:szCs w:val="24"/>
        </w:rPr>
        <w:t xml:space="preserve"> an</w:t>
      </w:r>
      <w:r w:rsidRPr="00AE141E">
        <w:rPr>
          <w:rFonts w:ascii="Times New Roman" w:hAnsi="Times New Roman" w:cs="Times New Roman"/>
          <w:sz w:val="24"/>
          <w:szCs w:val="24"/>
        </w:rPr>
        <w:t xml:space="preserve"> adult or child will necessarily affect their perspective on these categories. Oral history recordings made ‘after the fact’ reflect the views of adults looking back at their childhood. In this sense, they remain </w:t>
      </w:r>
      <w:r w:rsidRPr="00AE141E">
        <w:rPr>
          <w:rFonts w:ascii="Times New Roman" w:hAnsi="Times New Roman" w:cs="Times New Roman"/>
          <w:sz w:val="24"/>
          <w:szCs w:val="24"/>
        </w:rPr>
        <w:lastRenderedPageBreak/>
        <w:t>‘adult-produced materials’, inflected with the assumptions of the differential status of adulthood.</w:t>
      </w:r>
      <w:r w:rsidR="00675817">
        <w:rPr>
          <w:rStyle w:val="FootnoteReference"/>
          <w:rFonts w:ascii="Times New Roman" w:hAnsi="Times New Roman" w:cs="Times New Roman"/>
          <w:sz w:val="24"/>
          <w:szCs w:val="24"/>
        </w:rPr>
        <w:footnoteReference w:id="130"/>
      </w:r>
    </w:p>
    <w:p w14:paraId="320AFAC4" w14:textId="4BAB2E51" w:rsidR="009329E1" w:rsidRPr="00AE141E" w:rsidRDefault="009329E1" w:rsidP="00AE141E">
      <w:pPr>
        <w:spacing w:line="360" w:lineRule="auto"/>
        <w:rPr>
          <w:rFonts w:ascii="Times New Roman" w:hAnsi="Times New Roman" w:cs="Times New Roman"/>
          <w:i/>
          <w:iCs/>
          <w:sz w:val="24"/>
          <w:szCs w:val="24"/>
        </w:rPr>
      </w:pPr>
      <w:r w:rsidRPr="00AE141E">
        <w:rPr>
          <w:rFonts w:ascii="Times New Roman" w:hAnsi="Times New Roman" w:cs="Times New Roman"/>
          <w:sz w:val="24"/>
          <w:szCs w:val="24"/>
        </w:rPr>
        <w:t>For this reason, modern histories of childhood place a premium on the voices of contemporary children.</w:t>
      </w:r>
      <w:r w:rsidRPr="00AE141E">
        <w:rPr>
          <w:rStyle w:val="FootnoteReference"/>
          <w:rFonts w:ascii="Times New Roman" w:hAnsi="Times New Roman" w:cs="Times New Roman"/>
          <w:sz w:val="24"/>
          <w:szCs w:val="24"/>
        </w:rPr>
        <w:footnoteReference w:id="131"/>
      </w:r>
      <w:r w:rsidRPr="00AE141E">
        <w:rPr>
          <w:rFonts w:ascii="Times New Roman" w:hAnsi="Times New Roman" w:cs="Times New Roman"/>
          <w:sz w:val="24"/>
          <w:szCs w:val="24"/>
        </w:rPr>
        <w:t xml:space="preserve"> The history of education, despite its natural entanglement with the history of childhood, has been much slower to embrace child-authored or child-narrated sources.</w:t>
      </w:r>
      <w:r w:rsidRPr="00AE141E">
        <w:rPr>
          <w:rStyle w:val="FootnoteReference"/>
          <w:rFonts w:ascii="Times New Roman" w:hAnsi="Times New Roman" w:cs="Times New Roman"/>
          <w:sz w:val="24"/>
          <w:szCs w:val="24"/>
        </w:rPr>
        <w:footnoteReference w:id="132"/>
      </w:r>
      <w:r w:rsidRPr="00AE141E">
        <w:rPr>
          <w:rFonts w:ascii="Times New Roman" w:hAnsi="Times New Roman" w:cs="Times New Roman"/>
          <w:sz w:val="24"/>
          <w:szCs w:val="24"/>
        </w:rPr>
        <w:t xml:space="preserve"> Conventional wisdom says that the systematic marginalisation of children’s voices is reflected in the archive. It may well be that it is harder to access these voices than ‘adult-produced materials’. However, the study of child-produced sources is essential to develop a more </w:t>
      </w:r>
      <w:r w:rsidR="00B14CEC" w:rsidRPr="00AE141E">
        <w:rPr>
          <w:rFonts w:ascii="Times New Roman" w:hAnsi="Times New Roman" w:cs="Times New Roman"/>
          <w:sz w:val="24"/>
          <w:szCs w:val="24"/>
        </w:rPr>
        <w:t>accurate</w:t>
      </w:r>
      <w:r w:rsidRPr="00AE141E">
        <w:rPr>
          <w:rFonts w:ascii="Times New Roman" w:hAnsi="Times New Roman" w:cs="Times New Roman"/>
          <w:sz w:val="24"/>
          <w:szCs w:val="24"/>
        </w:rPr>
        <w:t xml:space="preserve"> and </w:t>
      </w:r>
      <w:r w:rsidR="00B14CEC" w:rsidRPr="00AE141E">
        <w:rPr>
          <w:rFonts w:ascii="Times New Roman" w:hAnsi="Times New Roman" w:cs="Times New Roman"/>
          <w:sz w:val="24"/>
          <w:szCs w:val="24"/>
        </w:rPr>
        <w:t>complete</w:t>
      </w:r>
      <w:r w:rsidRPr="00AE141E">
        <w:rPr>
          <w:rFonts w:ascii="Times New Roman" w:hAnsi="Times New Roman" w:cs="Times New Roman"/>
          <w:sz w:val="24"/>
          <w:szCs w:val="24"/>
        </w:rPr>
        <w:t xml:space="preserve"> account of educational history. Crucially, such sources allow us to reconceptualise young people as participants in, rather than recipients of, education. In recent years, the work of Laura Tisdall and the resources produced by the ‘Secondary Education and Social Change in the United Kingdom since 1945’ (SESC) research project have both helped to model the ‘child’s eye view’ of educational history.</w:t>
      </w:r>
      <w:r w:rsidRPr="00AE141E">
        <w:rPr>
          <w:rStyle w:val="FootnoteReference"/>
          <w:rFonts w:ascii="Times New Roman" w:hAnsi="Times New Roman" w:cs="Times New Roman"/>
          <w:sz w:val="24"/>
          <w:szCs w:val="24"/>
        </w:rPr>
        <w:footnoteReference w:id="133"/>
      </w:r>
      <w:r w:rsidRPr="00AE141E">
        <w:rPr>
          <w:rFonts w:ascii="Times New Roman" w:hAnsi="Times New Roman" w:cs="Times New Roman"/>
          <w:sz w:val="24"/>
          <w:szCs w:val="24"/>
        </w:rPr>
        <w:t xml:space="preserve"> These authors have all approached the role played by racial identity in the construction and deconstruction of history in mass education; empire features in their accounts but is again confined to the periphery. By contrast, Rob Waters has used child-authored sources to explore youth conceptions of history and identity, with substantial reference to empire; his emphasis, however, is on Black Saturday Schools (voluntary organisations which primarily operated outside of, if in dialogue with, state-funded mass education).</w:t>
      </w:r>
      <w:r w:rsidRPr="00AE141E">
        <w:rPr>
          <w:rStyle w:val="FootnoteReference"/>
          <w:rFonts w:ascii="Times New Roman" w:hAnsi="Times New Roman" w:cs="Times New Roman"/>
          <w:sz w:val="24"/>
          <w:szCs w:val="24"/>
        </w:rPr>
        <w:footnoteReference w:id="134"/>
      </w:r>
    </w:p>
    <w:p w14:paraId="6A430366" w14:textId="77777777" w:rsidR="009329E1" w:rsidRPr="00AE141E" w:rsidRDefault="009329E1"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lastRenderedPageBreak/>
        <w:t>Sources and Methodology</w:t>
      </w:r>
    </w:p>
    <w:p w14:paraId="27E643DC" w14:textId="51A7047E"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building an appropriate source-base, I have drawn on lessons derived from the critical analysis of the use of primary sources in the existing historiography, as outlined above. First, a brief note on sources I </w:t>
      </w:r>
      <w:r w:rsidRPr="00AE141E">
        <w:rPr>
          <w:rFonts w:ascii="Times New Roman" w:hAnsi="Times New Roman" w:cs="Times New Roman"/>
          <w:i/>
          <w:sz w:val="24"/>
          <w:szCs w:val="24"/>
        </w:rPr>
        <w:t>do not</w:t>
      </w:r>
      <w:r w:rsidRPr="00AE141E">
        <w:rPr>
          <w:rFonts w:ascii="Times New Roman" w:hAnsi="Times New Roman" w:cs="Times New Roman"/>
          <w:sz w:val="24"/>
          <w:szCs w:val="24"/>
        </w:rPr>
        <w:t xml:space="preserve"> use. A decision was taken early on to rely on existing sources, rather than to generate my own archive. There is a need to expand the work initiated by the team behind </w:t>
      </w:r>
      <w:r w:rsidRPr="00AE141E">
        <w:rPr>
          <w:rFonts w:ascii="Times New Roman" w:hAnsi="Times New Roman" w:cs="Times New Roman"/>
          <w:i/>
          <w:sz w:val="24"/>
          <w:szCs w:val="24"/>
        </w:rPr>
        <w:t xml:space="preserve">The Right Kind of History </w:t>
      </w:r>
      <w:r w:rsidRPr="00AE141E">
        <w:rPr>
          <w:rFonts w:ascii="Times New Roman" w:hAnsi="Times New Roman" w:cs="Times New Roman"/>
          <w:sz w:val="24"/>
          <w:szCs w:val="24"/>
        </w:rPr>
        <w:t xml:space="preserve">and to document the history of pupils’ schoolwork. Schoolwork is of immense importance in reconstructing children's perspectives on education and on history, yet it is rarely represented in the archives. To initiate a collection would go far beyond the boundaries of a </w:t>
      </w:r>
      <w:r w:rsidR="003A49BC">
        <w:rPr>
          <w:rFonts w:ascii="Times New Roman" w:hAnsi="Times New Roman" w:cs="Times New Roman"/>
          <w:sz w:val="24"/>
          <w:szCs w:val="24"/>
        </w:rPr>
        <w:t>D</w:t>
      </w:r>
      <w:r w:rsidRPr="00AE141E">
        <w:rPr>
          <w:rFonts w:ascii="Times New Roman" w:hAnsi="Times New Roman" w:cs="Times New Roman"/>
          <w:sz w:val="24"/>
          <w:szCs w:val="24"/>
        </w:rPr>
        <w:t>octoral thesis. More importantly, I declined to conduct my own oral history interviews. It seemed likely that the contemporary resonances of the topic of my research, and the current hyper-politicisation of histories of empire and school history, would generate narratives of the past heavily inflected with present concerns. Of course, the influence of contemporary debate on recollections of the teaching of British imperial history is a subject worthy of study in its own right. It was not, however, the story I wanted to tell here. As detailed below, I have occasionally drawn upon existing oral history projects, conducted with different emphases in different times.</w:t>
      </w:r>
    </w:p>
    <w:p w14:paraId="47C626AA" w14:textId="0F6435E9"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This thesis does make use</w:t>
      </w:r>
      <w:r w:rsidR="00332DBB" w:rsidRPr="00AE141E">
        <w:rPr>
          <w:rFonts w:ascii="Times New Roman" w:hAnsi="Times New Roman" w:cs="Times New Roman"/>
          <w:sz w:val="24"/>
          <w:szCs w:val="24"/>
        </w:rPr>
        <w:t xml:space="preserve"> of</w:t>
      </w:r>
      <w:r w:rsidRPr="00AE141E">
        <w:rPr>
          <w:rFonts w:ascii="Times New Roman" w:hAnsi="Times New Roman" w:cs="Times New Roman"/>
          <w:sz w:val="24"/>
          <w:szCs w:val="24"/>
        </w:rPr>
        <w:t xml:space="preserve"> textbooks and other classroom resources (for example teachers’ packs). In the upper secondary classes, where ‘teaching to the exam’ was a common occurrence, such materials tend to correlate more heavily with actual taught content. However, I acknowledge that textbooks generally provide a stronger guide to the theory than the practice of history teaching. Due to the ‘time-lag’ between new ideas, new textbooks, and new purchases for classroom use, textbooks may act as an inhibiting factor in educational change.</w:t>
      </w:r>
      <w:r w:rsidR="003A49BC">
        <w:rPr>
          <w:rStyle w:val="FootnoteReference"/>
          <w:rFonts w:ascii="Times New Roman" w:hAnsi="Times New Roman" w:cs="Times New Roman"/>
          <w:sz w:val="24"/>
          <w:szCs w:val="24"/>
        </w:rPr>
        <w:footnoteReference w:id="135"/>
      </w:r>
      <w:r w:rsidRPr="00AE141E">
        <w:rPr>
          <w:rFonts w:ascii="Times New Roman" w:hAnsi="Times New Roman" w:cs="Times New Roman"/>
          <w:sz w:val="24"/>
          <w:szCs w:val="24"/>
        </w:rPr>
        <w:t xml:space="preserve"> If one accepts, however, that changes in taught content and teaching style occur somewhat independently of textbook production, textbooks must be treated as a poor means through which to examine such change. As a result, my thesis diverges from historiographical tradition by relegating textbooks to a secondary, supporting role. Where used, they are placed in dialogue with other sources which offer a more direct insight into the lived experience of teaching and learning empire.</w:t>
      </w:r>
    </w:p>
    <w:p w14:paraId="17C61623" w14:textId="03BF87BE" w:rsidR="009329E1" w:rsidRPr="00AE141E" w:rsidRDefault="00332DB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w:t>
      </w:r>
      <w:r w:rsidR="009329E1" w:rsidRPr="00AE141E">
        <w:rPr>
          <w:rFonts w:ascii="Times New Roman" w:hAnsi="Times New Roman" w:cs="Times New Roman"/>
          <w:sz w:val="24"/>
          <w:szCs w:val="24"/>
        </w:rPr>
        <w:t xml:space="preserve">he period in question was one in which the ethos and purpose of history teaching was repeatedly called into question. The need to defend and to justify the role of history on school </w:t>
      </w:r>
      <w:r w:rsidR="009329E1" w:rsidRPr="00AE141E">
        <w:rPr>
          <w:rFonts w:ascii="Times New Roman" w:hAnsi="Times New Roman" w:cs="Times New Roman"/>
          <w:sz w:val="24"/>
          <w:szCs w:val="24"/>
        </w:rPr>
        <w:lastRenderedPageBreak/>
        <w:t xml:space="preserve">curricula generated intense professional debate at a national level. Dedicated newsletters and journals were created in order to facilitate these conversations. Publications such as the </w:t>
      </w:r>
      <w:r w:rsidR="00A92225" w:rsidRPr="00AE141E">
        <w:rPr>
          <w:rFonts w:ascii="Times New Roman" w:hAnsi="Times New Roman" w:cs="Times New Roman"/>
          <w:sz w:val="24"/>
          <w:szCs w:val="24"/>
        </w:rPr>
        <w:t>HA’s</w:t>
      </w:r>
      <w:r w:rsidR="009329E1" w:rsidRPr="00AE141E">
        <w:rPr>
          <w:rFonts w:ascii="Times New Roman" w:hAnsi="Times New Roman" w:cs="Times New Roman"/>
          <w:i/>
          <w:sz w:val="24"/>
          <w:szCs w:val="24"/>
        </w:rPr>
        <w:t xml:space="preserve"> Teaching History</w:t>
      </w:r>
      <w:r w:rsidR="009329E1" w:rsidRPr="00AE141E">
        <w:rPr>
          <w:rFonts w:ascii="Times New Roman" w:hAnsi="Times New Roman" w:cs="Times New Roman"/>
          <w:sz w:val="24"/>
          <w:szCs w:val="24"/>
        </w:rPr>
        <w:t xml:space="preserve">, or the Inner London Education Authority’s </w:t>
      </w:r>
      <w:r w:rsidR="009329E1" w:rsidRPr="00AE141E">
        <w:rPr>
          <w:rFonts w:ascii="Times New Roman" w:hAnsi="Times New Roman" w:cs="Times New Roman"/>
          <w:i/>
          <w:sz w:val="24"/>
          <w:szCs w:val="24"/>
        </w:rPr>
        <w:t xml:space="preserve">Clio, </w:t>
      </w:r>
      <w:r w:rsidR="009329E1" w:rsidRPr="00AE141E">
        <w:rPr>
          <w:rFonts w:ascii="Times New Roman" w:hAnsi="Times New Roman" w:cs="Times New Roman"/>
          <w:sz w:val="24"/>
          <w:szCs w:val="24"/>
        </w:rPr>
        <w:t>may have entertained the voices of academics and politicians, but they</w:t>
      </w:r>
      <w:r w:rsidR="009329E1" w:rsidRPr="00AE141E">
        <w:rPr>
          <w:rFonts w:ascii="Times New Roman" w:hAnsi="Times New Roman" w:cs="Times New Roman"/>
          <w:i/>
          <w:sz w:val="24"/>
          <w:szCs w:val="24"/>
        </w:rPr>
        <w:t xml:space="preserve"> </w:t>
      </w:r>
      <w:r w:rsidR="009329E1" w:rsidRPr="00AE141E">
        <w:rPr>
          <w:rFonts w:ascii="Times New Roman" w:hAnsi="Times New Roman" w:cs="Times New Roman"/>
          <w:sz w:val="24"/>
          <w:szCs w:val="24"/>
        </w:rPr>
        <w:t xml:space="preserve">were produced by and for teachers. As a result, they provide an invaluable insight into teachers’ opinions on curricular matters, contemporary examples of ‘best practice’, and candid advice on planning and delivering lessons on key topics. Alongside more formal guidelines distributed within the teaching profession, this thesis relies on such resources to illuminate educational practice (as opposed to educational theory). Occasionally, teachers’ writings also reveal crucial details on the reception of teaching, or on the co-construction of a historical narrative with pupils. Here, elements of student experience are demonstrated – albeit through the sometimes-distorting lens of the teacher, guided in their interpretation by adult subjectivity, pedagogical theory, and professional power and responsibility relative to the student. </w:t>
      </w:r>
    </w:p>
    <w:p w14:paraId="254BF00B" w14:textId="039087B9" w:rsidR="009329E1" w:rsidRPr="00AE141E" w:rsidRDefault="006A229E" w:rsidP="00AE141E">
      <w:pPr>
        <w:spacing w:line="360" w:lineRule="auto"/>
        <w:rPr>
          <w:rFonts w:ascii="Times New Roman" w:hAnsi="Times New Roman" w:cs="Times New Roman"/>
          <w:sz w:val="24"/>
          <w:szCs w:val="24"/>
        </w:rPr>
      </w:pPr>
      <w:r>
        <w:rPr>
          <w:rFonts w:ascii="Times New Roman" w:hAnsi="Times New Roman" w:cs="Times New Roman"/>
          <w:sz w:val="24"/>
          <w:szCs w:val="24"/>
        </w:rPr>
        <w:t>In Chapter 3, t</w:t>
      </w:r>
      <w:r w:rsidR="009329E1" w:rsidRPr="00AE141E">
        <w:rPr>
          <w:rFonts w:ascii="Times New Roman" w:hAnsi="Times New Roman" w:cs="Times New Roman"/>
          <w:sz w:val="24"/>
          <w:szCs w:val="24"/>
        </w:rPr>
        <w:t>his thesis breaks new ground in embrac</w:t>
      </w:r>
      <w:r w:rsidR="00602059">
        <w:rPr>
          <w:rFonts w:ascii="Times New Roman" w:hAnsi="Times New Roman" w:cs="Times New Roman"/>
          <w:sz w:val="24"/>
          <w:szCs w:val="24"/>
        </w:rPr>
        <w:t>ing</w:t>
      </w:r>
      <w:r w:rsidR="009329E1" w:rsidRPr="00AE141E">
        <w:rPr>
          <w:rFonts w:ascii="Times New Roman" w:hAnsi="Times New Roman" w:cs="Times New Roman"/>
          <w:sz w:val="24"/>
          <w:szCs w:val="24"/>
        </w:rPr>
        <w:t xml:space="preserve"> the ‘child’s eye view’ of learning about empire. Taking my lead from Waters’ study of Saturday Schools, I examine the development of children’s and young people's historical sensibility in spaces outside of full time, state education.</w:t>
      </w:r>
      <w:r w:rsidR="009329E1" w:rsidRPr="00AE141E">
        <w:rPr>
          <w:rStyle w:val="FootnoteReference"/>
          <w:rFonts w:ascii="Times New Roman" w:hAnsi="Times New Roman" w:cs="Times New Roman"/>
          <w:sz w:val="24"/>
          <w:szCs w:val="24"/>
        </w:rPr>
        <w:footnoteReference w:id="136"/>
      </w:r>
      <w:r w:rsidR="009329E1" w:rsidRPr="00AE141E">
        <w:rPr>
          <w:rFonts w:ascii="Times New Roman" w:hAnsi="Times New Roman" w:cs="Times New Roman"/>
          <w:sz w:val="24"/>
          <w:szCs w:val="24"/>
        </w:rPr>
        <w:t xml:space="preserve"> This branch of my research encompasses the influences of family, community, and popular culture on school students’ understanding of imperial history. I then track the ways in which these understandings manifested in mass education. To this end, I have utilised examples of children’s writing from Saturday Schools in the archives of the George Padmore Institute and the London Metropolitan Archives. I also use anthologies of children’s writing and published collections of transcribed interviews. </w:t>
      </w:r>
    </w:p>
    <w:p w14:paraId="6D4499BB" w14:textId="7152AD74"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Of course, the simple identification of any of these sources as ‘child-authored’ or ‘child-narrated’ is potentially problematic. There are various forms of adult mediation in these sources. Texts produced within the context of Saturday Schools would have been shaped by the demands of teachers. Similarly, writing submitted for inclusion in an anthology would be crafted to impress the (usually adult) selection panel. Adult writers tended to exercise editorial control over interview transcripts</w:t>
      </w:r>
      <w:r w:rsidR="00566A97" w:rsidRPr="00AE141E">
        <w:rPr>
          <w:rFonts w:ascii="Times New Roman" w:hAnsi="Times New Roman" w:cs="Times New Roman"/>
          <w:sz w:val="24"/>
          <w:szCs w:val="24"/>
        </w:rPr>
        <w:t xml:space="preserve"> published for public consumption</w:t>
      </w:r>
      <w:r w:rsidR="00FB130D" w:rsidRPr="00AE141E">
        <w:rPr>
          <w:rFonts w:ascii="Times New Roman" w:hAnsi="Times New Roman" w:cs="Times New Roman"/>
          <w:sz w:val="24"/>
          <w:szCs w:val="24"/>
        </w:rPr>
        <w:t xml:space="preserve">. </w:t>
      </w:r>
      <w:r w:rsidR="00566A97" w:rsidRPr="00AE141E">
        <w:rPr>
          <w:rFonts w:ascii="Times New Roman" w:hAnsi="Times New Roman" w:cs="Times New Roman"/>
          <w:sz w:val="24"/>
          <w:szCs w:val="24"/>
        </w:rPr>
        <w:t>P</w:t>
      </w:r>
      <w:r w:rsidRPr="00AE141E">
        <w:rPr>
          <w:rFonts w:ascii="Times New Roman" w:hAnsi="Times New Roman" w:cs="Times New Roman"/>
          <w:sz w:val="24"/>
          <w:szCs w:val="24"/>
        </w:rPr>
        <w:t>refaces, commentary, and</w:t>
      </w:r>
      <w:r w:rsidR="00E9645B" w:rsidRPr="00AE141E">
        <w:rPr>
          <w:rFonts w:ascii="Times New Roman" w:hAnsi="Times New Roman" w:cs="Times New Roman"/>
          <w:sz w:val="24"/>
          <w:szCs w:val="24"/>
        </w:rPr>
        <w:t xml:space="preserve"> textual</w:t>
      </w:r>
      <w:r w:rsidRPr="00AE141E">
        <w:rPr>
          <w:rFonts w:ascii="Times New Roman" w:hAnsi="Times New Roman" w:cs="Times New Roman"/>
          <w:sz w:val="24"/>
          <w:szCs w:val="24"/>
        </w:rPr>
        <w:t xml:space="preserve"> layout </w:t>
      </w:r>
      <w:r w:rsidR="00E9645B" w:rsidRPr="00AE141E">
        <w:rPr>
          <w:rFonts w:ascii="Times New Roman" w:hAnsi="Times New Roman" w:cs="Times New Roman"/>
          <w:sz w:val="24"/>
          <w:szCs w:val="24"/>
        </w:rPr>
        <w:t>all act as framing devices which mediate a reader’s interpretation of the text</w:t>
      </w:r>
      <w:r w:rsidRPr="00AE141E">
        <w:rPr>
          <w:rFonts w:ascii="Times New Roman" w:hAnsi="Times New Roman" w:cs="Times New Roman"/>
          <w:sz w:val="24"/>
          <w:szCs w:val="24"/>
        </w:rPr>
        <w:t xml:space="preserve">. As a politically and culturally marginalised group, </w:t>
      </w:r>
      <w:r w:rsidR="004A6DF8" w:rsidRPr="00AE141E">
        <w:rPr>
          <w:rFonts w:ascii="Times New Roman" w:hAnsi="Times New Roman" w:cs="Times New Roman"/>
          <w:sz w:val="24"/>
          <w:szCs w:val="24"/>
        </w:rPr>
        <w:t xml:space="preserve">the </w:t>
      </w:r>
      <w:r w:rsidRPr="00AE141E">
        <w:rPr>
          <w:rFonts w:ascii="Times New Roman" w:hAnsi="Times New Roman" w:cs="Times New Roman"/>
          <w:sz w:val="24"/>
          <w:szCs w:val="24"/>
        </w:rPr>
        <w:t>voices</w:t>
      </w:r>
      <w:r w:rsidR="004A6DF8" w:rsidRPr="00AE141E">
        <w:rPr>
          <w:rFonts w:ascii="Times New Roman" w:hAnsi="Times New Roman" w:cs="Times New Roman"/>
          <w:sz w:val="24"/>
          <w:szCs w:val="24"/>
        </w:rPr>
        <w:t xml:space="preserve"> of children</w:t>
      </w:r>
      <w:r w:rsidRPr="00AE141E">
        <w:rPr>
          <w:rFonts w:ascii="Times New Roman" w:hAnsi="Times New Roman" w:cs="Times New Roman"/>
          <w:sz w:val="24"/>
          <w:szCs w:val="24"/>
        </w:rPr>
        <w:t xml:space="preserve"> are especially vulnerable to direction and/or distortion. However, these problems are </w:t>
      </w:r>
      <w:r w:rsidRPr="00AE141E">
        <w:rPr>
          <w:rFonts w:ascii="Times New Roman" w:hAnsi="Times New Roman" w:cs="Times New Roman"/>
          <w:sz w:val="24"/>
          <w:szCs w:val="24"/>
        </w:rPr>
        <w:lastRenderedPageBreak/>
        <w:t xml:space="preserve">by no means </w:t>
      </w:r>
      <w:r w:rsidRPr="00AE141E">
        <w:rPr>
          <w:rFonts w:ascii="Times New Roman" w:hAnsi="Times New Roman" w:cs="Times New Roman"/>
          <w:i/>
          <w:sz w:val="24"/>
          <w:szCs w:val="24"/>
        </w:rPr>
        <w:t>specific</w:t>
      </w:r>
      <w:r w:rsidRPr="00AE141E">
        <w:rPr>
          <w:rFonts w:ascii="Times New Roman" w:hAnsi="Times New Roman" w:cs="Times New Roman"/>
          <w:sz w:val="24"/>
          <w:szCs w:val="24"/>
        </w:rPr>
        <w:t xml:space="preserve"> to children. Tisdall objects to the false binary which asserts that adults are autonomous actors removed from exogenous influence, while children are ‘passive recipients of culture with no minds of their own’.</w:t>
      </w:r>
      <w:r w:rsidRPr="00AE141E">
        <w:rPr>
          <w:rStyle w:val="FootnoteReference"/>
          <w:rFonts w:ascii="Times New Roman" w:hAnsi="Times New Roman" w:cs="Times New Roman"/>
          <w:sz w:val="24"/>
          <w:szCs w:val="24"/>
        </w:rPr>
        <w:footnoteReference w:id="137"/>
      </w:r>
      <w:r w:rsidRPr="00AE141E">
        <w:rPr>
          <w:rFonts w:ascii="Times New Roman" w:hAnsi="Times New Roman" w:cs="Times New Roman"/>
          <w:sz w:val="24"/>
          <w:szCs w:val="24"/>
        </w:rPr>
        <w:t xml:space="preserve"> As we would with adult-produced sources, it is helpful to read child-produced sources with an awareness of the forces which influence their self-narration, </w:t>
      </w:r>
      <w:r w:rsidRPr="00AE141E">
        <w:rPr>
          <w:rFonts w:ascii="Times New Roman" w:hAnsi="Times New Roman" w:cs="Times New Roman"/>
          <w:i/>
          <w:sz w:val="24"/>
          <w:szCs w:val="24"/>
        </w:rPr>
        <w:t xml:space="preserve">but not to discount their words as a result. </w:t>
      </w:r>
      <w:r w:rsidRPr="00AE141E">
        <w:rPr>
          <w:rFonts w:ascii="Times New Roman" w:hAnsi="Times New Roman" w:cs="Times New Roman"/>
          <w:sz w:val="24"/>
          <w:szCs w:val="24"/>
        </w:rPr>
        <w:t>In some cases, I have supplemented the voices of contemporary children with reflections from adults who grew up in the period in question, both in the form of biographies and existing oral history interviews. They are a supporting pillar of my analysis, rather than the centre of focus, owing to the questions (raised above) surrounding the vagaries of memory and the narrative impact of subsequent events.</w:t>
      </w:r>
    </w:p>
    <w:p w14:paraId="7BCA7C90" w14:textId="582B7F3D"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Finally, my thesis makes extensive use of collections held at </w:t>
      </w:r>
      <w:r w:rsidR="00F46FD4" w:rsidRPr="00AE141E">
        <w:rPr>
          <w:rFonts w:ascii="Times New Roman" w:hAnsi="Times New Roman" w:cs="Times New Roman"/>
          <w:sz w:val="24"/>
          <w:szCs w:val="24"/>
        </w:rPr>
        <w:t xml:space="preserve">the </w:t>
      </w:r>
      <w:r w:rsidRPr="00AE141E">
        <w:rPr>
          <w:rFonts w:ascii="Times New Roman" w:hAnsi="Times New Roman" w:cs="Times New Roman"/>
          <w:sz w:val="24"/>
          <w:szCs w:val="24"/>
        </w:rPr>
        <w:t>National Archives</w:t>
      </w:r>
      <w:r w:rsidR="00F46FD4" w:rsidRPr="00AE141E">
        <w:rPr>
          <w:rFonts w:ascii="Times New Roman" w:hAnsi="Times New Roman" w:cs="Times New Roman"/>
          <w:sz w:val="24"/>
          <w:szCs w:val="24"/>
        </w:rPr>
        <w:t xml:space="preserve"> in</w:t>
      </w:r>
      <w:r w:rsidRPr="00AE141E">
        <w:rPr>
          <w:rFonts w:ascii="Times New Roman" w:hAnsi="Times New Roman" w:cs="Times New Roman"/>
          <w:sz w:val="24"/>
          <w:szCs w:val="24"/>
        </w:rPr>
        <w:t xml:space="preserve"> London, pertaining to the formulation of the National Curriculum. This includes minutes from the History Working Group (HWG), its successors in the subsequent processes of review and revision, and Prime Ministerial Private Office files. As already noted, this is a history of experience rather than theory, and of people rather than policy. However, these forces inevitably interact. In the late 1980s, they seemed to collide. The National Curriculum was formulated in response to intense public anxieties regarding national identity and the country’s relationship to its past. As such, official documentation from this period includes reflection on, and engagement with, the voices of teachers, parents, press, and the general public. The extensive consultation process which preceded the introduction of the National Curriculum encompassed large groups of teachers, whose voices are represented in the archives – though often in a condensed, summarised, or generalised form. Furthermore, the National Curriculum symbolised the entry of government into the intricate details of curricular construction. Thus, an understanding of the policy process and its results provides essential background to any understanding of teaching and learning in the following years. Additional insights into this process are offered by the oral history archive generated by the researchers behind </w:t>
      </w:r>
      <w:r w:rsidRPr="00AE141E">
        <w:rPr>
          <w:rFonts w:ascii="Times New Roman" w:hAnsi="Times New Roman" w:cs="Times New Roman"/>
          <w:i/>
          <w:sz w:val="24"/>
          <w:szCs w:val="24"/>
        </w:rPr>
        <w:t>The Right Kind of History</w:t>
      </w:r>
      <w:r w:rsidRPr="00AE141E">
        <w:rPr>
          <w:rFonts w:ascii="Times New Roman" w:hAnsi="Times New Roman" w:cs="Times New Roman"/>
          <w:sz w:val="24"/>
          <w:szCs w:val="24"/>
        </w:rPr>
        <w:t>. I have made use of interviews with several former Ministers for Education and members of the HWG. The details contained within these interviews help to clarify the rationale behind decisions which appear in finished form in official documentation, and to elucidate the internal logic of an often-labyrinthine drafting process.</w:t>
      </w:r>
    </w:p>
    <w:p w14:paraId="2219943B" w14:textId="77777777" w:rsidR="009329E1" w:rsidRPr="00AE141E" w:rsidRDefault="009329E1"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lastRenderedPageBreak/>
        <w:t>Chapter Structure</w:t>
      </w:r>
    </w:p>
    <w:p w14:paraId="566E1EB6" w14:textId="41E50A96"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My thesis is divided into four chapters</w:t>
      </w:r>
      <w:r w:rsidR="00B93284"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Chapter 1 offers a brief, introductory overview of the teaching of imperial history in English schools in the immediate post-war years. I argue that imperial history enjoyed a stable, celebratory, but marginal </w:t>
      </w:r>
      <w:r w:rsidR="00B93284" w:rsidRPr="00AE141E">
        <w:rPr>
          <w:rFonts w:ascii="Times New Roman" w:hAnsi="Times New Roman" w:cs="Times New Roman"/>
          <w:sz w:val="24"/>
          <w:szCs w:val="24"/>
        </w:rPr>
        <w:t xml:space="preserve">place </w:t>
      </w:r>
      <w:r w:rsidRPr="00AE141E">
        <w:rPr>
          <w:rFonts w:ascii="Times New Roman" w:hAnsi="Times New Roman" w:cs="Times New Roman"/>
          <w:sz w:val="24"/>
          <w:szCs w:val="24"/>
        </w:rPr>
        <w:t>on the school curriculum during this period. Nevertheless, there was growing awareness that the changing geopolitical context of the post-war world – including a wave of imperial territorial retreat and the rise of the new ‘superpowers’ – necessitated changes in the framing and conceptualisation of empire and imperial history. Central government advocated for the history of empire to be rewritten as a history of Commonwealth – a narrative which by turns sought to obscure and redeem colonial violence. As the public mood turned against imperial remembrance, the persistent connection between imperial and Commonwealth histories threatened their place in secondary school classrooms</w:t>
      </w:r>
      <w:r w:rsidR="00E60BDE">
        <w:rPr>
          <w:rFonts w:ascii="Times New Roman" w:hAnsi="Times New Roman" w:cs="Times New Roman"/>
          <w:sz w:val="24"/>
          <w:szCs w:val="24"/>
        </w:rPr>
        <w:t xml:space="preserve">, prompting a decline in </w:t>
      </w:r>
      <w:r w:rsidR="00A277C1">
        <w:rPr>
          <w:rFonts w:ascii="Times New Roman" w:hAnsi="Times New Roman" w:cs="Times New Roman"/>
          <w:sz w:val="24"/>
          <w:szCs w:val="24"/>
        </w:rPr>
        <w:t>uptake</w:t>
      </w:r>
      <w:r w:rsidRPr="00AE141E">
        <w:rPr>
          <w:rFonts w:ascii="Times New Roman" w:hAnsi="Times New Roman" w:cs="Times New Roman"/>
          <w:sz w:val="24"/>
          <w:szCs w:val="24"/>
        </w:rPr>
        <w:t>.</w:t>
      </w:r>
    </w:p>
    <w:p w14:paraId="599D0D00" w14:textId="1FFCCB48"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Chapter 2 examines the development of two connected historical approaches, world history and the </w:t>
      </w:r>
      <w:r w:rsidR="00A17280" w:rsidRPr="00AE141E">
        <w:rPr>
          <w:rFonts w:ascii="Times New Roman" w:hAnsi="Times New Roman" w:cs="Times New Roman"/>
          <w:sz w:val="24"/>
          <w:szCs w:val="24"/>
        </w:rPr>
        <w:t>‘</w:t>
      </w:r>
      <w:r w:rsidRPr="00AE141E">
        <w:rPr>
          <w:rFonts w:ascii="Times New Roman" w:hAnsi="Times New Roman" w:cs="Times New Roman"/>
          <w:sz w:val="24"/>
          <w:szCs w:val="24"/>
        </w:rPr>
        <w:t>new history</w:t>
      </w:r>
      <w:r w:rsidR="00A17280" w:rsidRPr="00AE141E">
        <w:rPr>
          <w:rFonts w:ascii="Times New Roman" w:hAnsi="Times New Roman" w:cs="Times New Roman"/>
          <w:sz w:val="24"/>
          <w:szCs w:val="24"/>
        </w:rPr>
        <w:t>’</w:t>
      </w:r>
      <w:r w:rsidRPr="00AE141E">
        <w:rPr>
          <w:rFonts w:ascii="Times New Roman" w:hAnsi="Times New Roman" w:cs="Times New Roman"/>
          <w:sz w:val="24"/>
          <w:szCs w:val="24"/>
        </w:rPr>
        <w:t>, which emerged in response to demands for curricular relevance in an era marked by decolonisation and globalisation. Both contributed to the further marginalisation of the teaching of ‘imperial and Commonwealth history’ as a defined subject area. World history defined itself in opposition to the old school of imperial and Commonwealth history</w:t>
      </w:r>
      <w:r w:rsidR="00C25802" w:rsidRPr="00AE141E">
        <w:rPr>
          <w:rFonts w:ascii="Times New Roman" w:hAnsi="Times New Roman" w:cs="Times New Roman"/>
          <w:sz w:val="24"/>
          <w:szCs w:val="24"/>
        </w:rPr>
        <w:t xml:space="preserve">; </w:t>
      </w:r>
      <w:r w:rsidRPr="00AE141E">
        <w:rPr>
          <w:rFonts w:ascii="Times New Roman" w:hAnsi="Times New Roman" w:cs="Times New Roman"/>
          <w:sz w:val="24"/>
          <w:szCs w:val="24"/>
        </w:rPr>
        <w:t>in its desire to shed the</w:t>
      </w:r>
      <w:r w:rsidR="00547BC7" w:rsidRPr="00AE141E">
        <w:rPr>
          <w:rFonts w:ascii="Times New Roman" w:hAnsi="Times New Roman" w:cs="Times New Roman"/>
          <w:sz w:val="24"/>
          <w:szCs w:val="24"/>
        </w:rPr>
        <w:t xml:space="preserve"> negative resonances</w:t>
      </w:r>
      <w:r w:rsidRPr="00AE141E">
        <w:rPr>
          <w:rFonts w:ascii="Times New Roman" w:hAnsi="Times New Roman" w:cs="Times New Roman"/>
          <w:sz w:val="24"/>
          <w:szCs w:val="24"/>
        </w:rPr>
        <w:t xml:space="preserve"> of imperial history, world history largely ignored the history of empire. As a product of this silence, many of the old logics of imperial(ist) historical understanding were able to survive uncriticised and unchecked</w:t>
      </w:r>
      <w:r w:rsidR="00964F0E" w:rsidRPr="00AE141E">
        <w:rPr>
          <w:rFonts w:ascii="Times New Roman" w:hAnsi="Times New Roman" w:cs="Times New Roman"/>
          <w:sz w:val="24"/>
          <w:szCs w:val="24"/>
        </w:rPr>
        <w:t xml:space="preserve"> – a pattern which was reproduced in t</w:t>
      </w:r>
      <w:r w:rsidR="00AE43E5" w:rsidRPr="00AE141E">
        <w:rPr>
          <w:rFonts w:ascii="Times New Roman" w:hAnsi="Times New Roman" w:cs="Times New Roman"/>
          <w:sz w:val="24"/>
          <w:szCs w:val="24"/>
        </w:rPr>
        <w:t>he</w:t>
      </w:r>
      <w:r w:rsidR="00964F0E" w:rsidRPr="00AE141E">
        <w:rPr>
          <w:rFonts w:ascii="Times New Roman" w:hAnsi="Times New Roman" w:cs="Times New Roman"/>
          <w:sz w:val="24"/>
          <w:szCs w:val="24"/>
        </w:rPr>
        <w:t xml:space="preserve"> taught content of</w:t>
      </w:r>
      <w:r w:rsidR="00AE43E5" w:rsidRPr="00AE141E">
        <w:rPr>
          <w:rFonts w:ascii="Times New Roman" w:hAnsi="Times New Roman" w:cs="Times New Roman"/>
          <w:sz w:val="24"/>
          <w:szCs w:val="24"/>
        </w:rPr>
        <w:t xml:space="preserve"> SCHP </w:t>
      </w:r>
      <w:r w:rsidR="00964F0E" w:rsidRPr="00AE141E">
        <w:rPr>
          <w:rFonts w:ascii="Times New Roman" w:hAnsi="Times New Roman" w:cs="Times New Roman"/>
          <w:sz w:val="24"/>
          <w:szCs w:val="24"/>
        </w:rPr>
        <w:t>world history courses.</w:t>
      </w:r>
      <w:r w:rsidR="00CF3EC8" w:rsidRPr="00AE141E">
        <w:rPr>
          <w:rFonts w:ascii="Times New Roman" w:hAnsi="Times New Roman" w:cs="Times New Roman"/>
          <w:sz w:val="24"/>
          <w:szCs w:val="24"/>
        </w:rPr>
        <w:t xml:space="preserve"> However, the SCHP’s ‘new historical’ ethos of student</w:t>
      </w:r>
      <w:r w:rsidR="00F70265" w:rsidRPr="00AE141E">
        <w:rPr>
          <w:rFonts w:ascii="Times New Roman" w:hAnsi="Times New Roman" w:cs="Times New Roman"/>
          <w:sz w:val="24"/>
          <w:szCs w:val="24"/>
        </w:rPr>
        <w:t>-led interpretation</w:t>
      </w:r>
      <w:r w:rsidR="00CF3EC8" w:rsidRPr="00AE141E">
        <w:rPr>
          <w:rFonts w:ascii="Times New Roman" w:hAnsi="Times New Roman" w:cs="Times New Roman"/>
          <w:sz w:val="24"/>
          <w:szCs w:val="24"/>
        </w:rPr>
        <w:t xml:space="preserve"> </w:t>
      </w:r>
      <w:r w:rsidR="00F70265" w:rsidRPr="00AE141E">
        <w:rPr>
          <w:rFonts w:ascii="Times New Roman" w:hAnsi="Times New Roman" w:cs="Times New Roman"/>
          <w:sz w:val="24"/>
          <w:szCs w:val="24"/>
        </w:rPr>
        <w:t xml:space="preserve">may well have opened space for criticism and dissent. </w:t>
      </w:r>
    </w:p>
    <w:p w14:paraId="79088D84" w14:textId="2FB34085"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Chapter 3 de</w:t>
      </w:r>
      <w:r w:rsidR="002A57A5" w:rsidRPr="00AE141E">
        <w:rPr>
          <w:rFonts w:ascii="Times New Roman" w:hAnsi="Times New Roman" w:cs="Times New Roman"/>
          <w:sz w:val="24"/>
          <w:szCs w:val="24"/>
        </w:rPr>
        <w:t xml:space="preserve">scribes how </w:t>
      </w:r>
      <w:r w:rsidR="00DE0854" w:rsidRPr="00AE141E">
        <w:rPr>
          <w:rFonts w:ascii="Times New Roman" w:hAnsi="Times New Roman" w:cs="Times New Roman"/>
          <w:sz w:val="24"/>
          <w:szCs w:val="24"/>
        </w:rPr>
        <w:t xml:space="preserve">students </w:t>
      </w:r>
      <w:r w:rsidR="00C60C99" w:rsidRPr="00AE141E">
        <w:rPr>
          <w:rFonts w:ascii="Times New Roman" w:hAnsi="Times New Roman" w:cs="Times New Roman"/>
          <w:sz w:val="24"/>
          <w:szCs w:val="24"/>
        </w:rPr>
        <w:t>from colonised backgrounds</w:t>
      </w:r>
      <w:r w:rsidR="00DE0854" w:rsidRPr="00AE141E">
        <w:rPr>
          <w:rFonts w:ascii="Times New Roman" w:hAnsi="Times New Roman" w:cs="Times New Roman"/>
          <w:sz w:val="24"/>
          <w:szCs w:val="24"/>
        </w:rPr>
        <w:t xml:space="preserve"> helped to unsettle dominant</w:t>
      </w:r>
      <w:r w:rsidR="00C60C99" w:rsidRPr="00AE141E">
        <w:rPr>
          <w:rFonts w:ascii="Times New Roman" w:hAnsi="Times New Roman" w:cs="Times New Roman"/>
          <w:sz w:val="24"/>
          <w:szCs w:val="24"/>
        </w:rPr>
        <w:t xml:space="preserve"> historical</w:t>
      </w:r>
      <w:r w:rsidR="00DE0854" w:rsidRPr="00AE141E">
        <w:rPr>
          <w:rFonts w:ascii="Times New Roman" w:hAnsi="Times New Roman" w:cs="Times New Roman"/>
          <w:sz w:val="24"/>
          <w:szCs w:val="24"/>
        </w:rPr>
        <w:t xml:space="preserve"> assumptions</w:t>
      </w:r>
      <w:r w:rsidR="00C60C99"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 </w:t>
      </w:r>
      <w:r w:rsidR="00C60C99" w:rsidRPr="00AE141E">
        <w:rPr>
          <w:rFonts w:ascii="Times New Roman" w:hAnsi="Times New Roman" w:cs="Times New Roman"/>
          <w:sz w:val="24"/>
          <w:szCs w:val="24"/>
        </w:rPr>
        <w:t>sometimes</w:t>
      </w:r>
      <w:r w:rsidRPr="00AE141E">
        <w:rPr>
          <w:rFonts w:ascii="Times New Roman" w:hAnsi="Times New Roman" w:cs="Times New Roman"/>
          <w:sz w:val="24"/>
          <w:szCs w:val="24"/>
        </w:rPr>
        <w:t xml:space="preserve"> at significant personal cost.</w:t>
      </w:r>
      <w:r w:rsidR="0001363E">
        <w:rPr>
          <w:rFonts w:ascii="Times New Roman" w:hAnsi="Times New Roman" w:cs="Times New Roman"/>
          <w:sz w:val="24"/>
          <w:szCs w:val="24"/>
        </w:rPr>
        <w:t xml:space="preserve"> </w:t>
      </w:r>
      <w:r w:rsidR="00DF119B">
        <w:rPr>
          <w:rFonts w:ascii="Times New Roman" w:hAnsi="Times New Roman" w:cs="Times New Roman"/>
          <w:sz w:val="24"/>
          <w:szCs w:val="24"/>
        </w:rPr>
        <w:t>I</w:t>
      </w:r>
      <w:r w:rsidR="0062666D">
        <w:rPr>
          <w:rFonts w:ascii="Times New Roman" w:hAnsi="Times New Roman" w:cs="Times New Roman"/>
          <w:sz w:val="24"/>
          <w:szCs w:val="24"/>
        </w:rPr>
        <w:t xml:space="preserve"> </w:t>
      </w:r>
      <w:r w:rsidR="00371368">
        <w:rPr>
          <w:rFonts w:ascii="Times New Roman" w:hAnsi="Times New Roman" w:cs="Times New Roman"/>
          <w:sz w:val="24"/>
          <w:szCs w:val="24"/>
        </w:rPr>
        <w:t xml:space="preserve">argue </w:t>
      </w:r>
      <w:r w:rsidRPr="00AE141E">
        <w:rPr>
          <w:rFonts w:ascii="Times New Roman" w:hAnsi="Times New Roman" w:cs="Times New Roman"/>
          <w:sz w:val="24"/>
          <w:szCs w:val="24"/>
        </w:rPr>
        <w:t xml:space="preserve">that family history, and the legacy of historical knowledge bequeathed by conversations with elders, could inspire young people to intervene to modify or correct the content delivered by teachers. In so doing, students educated their peers. Depending on the setting, these interventions could be variously interpreted as helpful or disruptive. Some students of colour were fundamentally alienated by their experiences in history classrooms. Others mobilised to demand changes to history curricula, specifically the inclusion of formal tuition on anti-imperial resistance. In the </w:t>
      </w:r>
      <w:r w:rsidRPr="00AE141E">
        <w:rPr>
          <w:rFonts w:ascii="Times New Roman" w:hAnsi="Times New Roman" w:cs="Times New Roman"/>
          <w:sz w:val="24"/>
          <w:szCs w:val="24"/>
        </w:rPr>
        <w:lastRenderedPageBreak/>
        <w:t>pre-National Curriculum era, when content was set by the individual school, this was a realisable goal.</w:t>
      </w:r>
      <w:r w:rsidR="00D16341">
        <w:rPr>
          <w:rFonts w:ascii="Times New Roman" w:hAnsi="Times New Roman" w:cs="Times New Roman"/>
          <w:sz w:val="24"/>
          <w:szCs w:val="24"/>
        </w:rPr>
        <w:t xml:space="preserve"> </w:t>
      </w:r>
    </w:p>
    <w:p w14:paraId="5829FCF5" w14:textId="5F0FE6C2" w:rsidR="009329E1" w:rsidRPr="00AE141E" w:rsidRDefault="009329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Chapter 4 encompasses the construction of ideological hegemony by the New Right. It interprets the formulation of the National Curriculum as part of this hegemonic project. I argue that the Education Reform Act and the resulting National Curriculum in History represented a racialised, disciplinary logic. By the mid-1990s, teachers were more likely than ever before to teach the history of non-European countries on their own terms, rather than as extensions of the metropolitan core. </w:t>
      </w:r>
      <w:r w:rsidR="00C156A1">
        <w:rPr>
          <w:rFonts w:ascii="Times New Roman" w:hAnsi="Times New Roman" w:cs="Times New Roman"/>
          <w:sz w:val="24"/>
          <w:szCs w:val="24"/>
        </w:rPr>
        <w:t>Additionally</w:t>
      </w:r>
      <w:r w:rsidRPr="00AE141E">
        <w:rPr>
          <w:rFonts w:ascii="Times New Roman" w:hAnsi="Times New Roman" w:cs="Times New Roman"/>
          <w:sz w:val="24"/>
          <w:szCs w:val="24"/>
        </w:rPr>
        <w:t>, the space for dissent and challenge within the education system had been dramatically narrowed. The creative autonomy which had fed the radical educational experiments of the previous two decades was deliberately and effectively removed.</w:t>
      </w:r>
    </w:p>
    <w:p w14:paraId="620FC409" w14:textId="3BC061EF" w:rsidR="00CC40C7" w:rsidRPr="00AE141E" w:rsidRDefault="00932235" w:rsidP="00AE141E">
      <w:pPr>
        <w:spacing w:line="360" w:lineRule="auto"/>
        <w:rPr>
          <w:rFonts w:ascii="Times New Roman" w:hAnsi="Times New Roman" w:cs="Times New Roman"/>
          <w:sz w:val="24"/>
          <w:szCs w:val="24"/>
        </w:rPr>
      </w:pPr>
      <w:r w:rsidRPr="00932235">
        <w:rPr>
          <w:rFonts w:ascii="Times New Roman" w:hAnsi="Times New Roman" w:cs="Times New Roman"/>
          <w:sz w:val="24"/>
          <w:szCs w:val="24"/>
        </w:rPr>
        <w:t xml:space="preserve">To summarise, </w:t>
      </w:r>
      <w:r>
        <w:rPr>
          <w:rFonts w:ascii="Times New Roman" w:hAnsi="Times New Roman" w:cs="Times New Roman"/>
          <w:sz w:val="24"/>
          <w:szCs w:val="24"/>
        </w:rPr>
        <w:t xml:space="preserve">the 1960s marked a turning point </w:t>
      </w:r>
      <w:r w:rsidR="00C40F25">
        <w:rPr>
          <w:rFonts w:ascii="Times New Roman" w:hAnsi="Times New Roman" w:cs="Times New Roman"/>
          <w:sz w:val="24"/>
          <w:szCs w:val="24"/>
        </w:rPr>
        <w:t>at which</w:t>
      </w:r>
      <w:r w:rsidR="00A248B5">
        <w:rPr>
          <w:rFonts w:ascii="Times New Roman" w:hAnsi="Times New Roman" w:cs="Times New Roman"/>
          <w:sz w:val="24"/>
          <w:szCs w:val="24"/>
        </w:rPr>
        <w:t xml:space="preserve"> developments in and beyond the classroom pushed imperial history further towards the margins of school curricula.</w:t>
      </w:r>
      <w:r>
        <w:rPr>
          <w:rFonts w:ascii="Times New Roman" w:hAnsi="Times New Roman" w:cs="Times New Roman"/>
          <w:sz w:val="24"/>
          <w:szCs w:val="24"/>
        </w:rPr>
        <w:t xml:space="preserve"> </w:t>
      </w:r>
      <w:r w:rsidRPr="00932235">
        <w:rPr>
          <w:rFonts w:ascii="Times New Roman" w:hAnsi="Times New Roman" w:cs="Times New Roman"/>
          <w:sz w:val="24"/>
          <w:szCs w:val="24"/>
        </w:rPr>
        <w:t xml:space="preserve">This thesis will tease out where and how it was taught, while accounting for gaps, silences, and contestations. </w:t>
      </w:r>
      <w:r w:rsidR="00CF022E" w:rsidRPr="00AE141E">
        <w:rPr>
          <w:rFonts w:ascii="Times New Roman" w:hAnsi="Times New Roman" w:cs="Times New Roman"/>
          <w:sz w:val="24"/>
          <w:szCs w:val="24"/>
        </w:rPr>
        <w:t xml:space="preserve">Overall, my work makes </w:t>
      </w:r>
      <w:r w:rsidR="00487525">
        <w:rPr>
          <w:rFonts w:ascii="Times New Roman" w:hAnsi="Times New Roman" w:cs="Times New Roman"/>
          <w:sz w:val="24"/>
          <w:szCs w:val="24"/>
        </w:rPr>
        <w:t>three</w:t>
      </w:r>
      <w:r w:rsidR="00CF022E" w:rsidRPr="00AE141E">
        <w:rPr>
          <w:rFonts w:ascii="Times New Roman" w:hAnsi="Times New Roman" w:cs="Times New Roman"/>
          <w:sz w:val="24"/>
          <w:szCs w:val="24"/>
        </w:rPr>
        <w:t xml:space="preserve"> key interventions.</w:t>
      </w:r>
      <w:r w:rsidR="006864E7" w:rsidRPr="00AE141E">
        <w:rPr>
          <w:rFonts w:ascii="Times New Roman" w:hAnsi="Times New Roman" w:cs="Times New Roman"/>
          <w:sz w:val="24"/>
          <w:szCs w:val="24"/>
        </w:rPr>
        <w:t xml:space="preserve"> I</w:t>
      </w:r>
      <w:r w:rsidR="009329E1" w:rsidRPr="00AE141E">
        <w:rPr>
          <w:rFonts w:ascii="Times New Roman" w:hAnsi="Times New Roman" w:cs="Times New Roman"/>
          <w:sz w:val="24"/>
          <w:szCs w:val="24"/>
        </w:rPr>
        <w:t>t demonstrates the impact of a national culture of ‘postcolonial melancholia’ on teaching and learning in mid-to late-twentieth century Britain.</w:t>
      </w:r>
      <w:r w:rsidR="009329E1" w:rsidRPr="00AE141E">
        <w:rPr>
          <w:rStyle w:val="FootnoteReference"/>
          <w:rFonts w:ascii="Times New Roman" w:hAnsi="Times New Roman" w:cs="Times New Roman"/>
          <w:sz w:val="24"/>
          <w:szCs w:val="24"/>
        </w:rPr>
        <w:footnoteReference w:id="138"/>
      </w:r>
      <w:r w:rsidR="00647B37" w:rsidRPr="00AE141E">
        <w:rPr>
          <w:rFonts w:ascii="Times New Roman" w:hAnsi="Times New Roman" w:cs="Times New Roman"/>
          <w:sz w:val="24"/>
          <w:szCs w:val="24"/>
        </w:rPr>
        <w:t xml:space="preserve"> Secondly,</w:t>
      </w:r>
      <w:r w:rsidR="009329E1" w:rsidRPr="00AE141E">
        <w:rPr>
          <w:rFonts w:ascii="Times New Roman" w:hAnsi="Times New Roman" w:cs="Times New Roman"/>
          <w:sz w:val="24"/>
          <w:szCs w:val="24"/>
        </w:rPr>
        <w:t xml:space="preserve"> </w:t>
      </w:r>
      <w:r w:rsidR="00647B37" w:rsidRPr="00AE141E">
        <w:rPr>
          <w:rFonts w:ascii="Times New Roman" w:hAnsi="Times New Roman" w:cs="Times New Roman"/>
          <w:sz w:val="24"/>
          <w:szCs w:val="24"/>
        </w:rPr>
        <w:t>i</w:t>
      </w:r>
      <w:r w:rsidR="009329E1" w:rsidRPr="00AE141E">
        <w:rPr>
          <w:rFonts w:ascii="Times New Roman" w:hAnsi="Times New Roman" w:cs="Times New Roman"/>
          <w:sz w:val="24"/>
          <w:szCs w:val="24"/>
        </w:rPr>
        <w:t>t helps to reconceptualise education as a multidirectional process: not only the teacher, but also students, their families, and their communities are demonstrated to be significant actors.</w:t>
      </w:r>
      <w:r w:rsidR="00BD536C">
        <w:rPr>
          <w:rFonts w:ascii="Times New Roman" w:hAnsi="Times New Roman" w:cs="Times New Roman"/>
          <w:sz w:val="24"/>
          <w:szCs w:val="24"/>
        </w:rPr>
        <w:t xml:space="preserve"> This is </w:t>
      </w:r>
      <w:r w:rsidR="005D5639">
        <w:rPr>
          <w:rFonts w:ascii="Times New Roman" w:hAnsi="Times New Roman" w:cs="Times New Roman"/>
          <w:sz w:val="24"/>
          <w:szCs w:val="24"/>
        </w:rPr>
        <w:t>emphasis is most prominent in my third Chapter.</w:t>
      </w:r>
      <w:r w:rsidR="009329E1" w:rsidRPr="00AE141E">
        <w:rPr>
          <w:rFonts w:ascii="Times New Roman" w:hAnsi="Times New Roman" w:cs="Times New Roman"/>
          <w:sz w:val="24"/>
          <w:szCs w:val="24"/>
        </w:rPr>
        <w:t xml:space="preserve"> </w:t>
      </w:r>
      <w:r w:rsidR="006864E7" w:rsidRPr="00AE141E">
        <w:rPr>
          <w:rFonts w:ascii="Times New Roman" w:hAnsi="Times New Roman" w:cs="Times New Roman"/>
          <w:sz w:val="24"/>
          <w:szCs w:val="24"/>
        </w:rPr>
        <w:t>Third, i</w:t>
      </w:r>
      <w:r w:rsidR="009329E1" w:rsidRPr="00AE141E">
        <w:rPr>
          <w:rFonts w:ascii="Times New Roman" w:hAnsi="Times New Roman" w:cs="Times New Roman"/>
          <w:sz w:val="24"/>
          <w:szCs w:val="24"/>
        </w:rPr>
        <w:t>t serves as a powerful reminder that what history we choose to teach matters to students, especially those who are downwardly racialised.</w:t>
      </w:r>
    </w:p>
    <w:p w14:paraId="1C7DC128" w14:textId="77777777" w:rsidR="005F5FB6" w:rsidRPr="00AE141E" w:rsidRDefault="005F5FB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br w:type="page"/>
      </w:r>
    </w:p>
    <w:p w14:paraId="7DCE8512" w14:textId="11315CB5" w:rsidR="00835093" w:rsidRDefault="00CA2101" w:rsidP="00CA2101">
      <w:pPr>
        <w:pStyle w:val="Heading1"/>
        <w:jc w:val="center"/>
      </w:pPr>
      <w:bookmarkStart w:id="6" w:name="_Toc193726228"/>
      <w:r w:rsidRPr="00CA2101">
        <w:lastRenderedPageBreak/>
        <w:t xml:space="preserve">1. </w:t>
      </w:r>
      <w:r w:rsidR="0054507C" w:rsidRPr="00CA2101">
        <w:t>A</w:t>
      </w:r>
      <w:r w:rsidR="0054507C" w:rsidRPr="00DF0C4F">
        <w:t xml:space="preserve"> Decline, </w:t>
      </w:r>
      <w:r w:rsidR="00EB293A" w:rsidRPr="00DF0C4F">
        <w:t>not</w:t>
      </w:r>
      <w:r w:rsidR="0054507C" w:rsidRPr="00DF0C4F">
        <w:t xml:space="preserve"> a Fall</w:t>
      </w:r>
      <w:r w:rsidR="00D9492D" w:rsidRPr="00DF0C4F">
        <w:t xml:space="preserve">: </w:t>
      </w:r>
      <w:r w:rsidR="00EB293A" w:rsidRPr="00DF0C4F">
        <w:t>Empire and Commonwealth</w:t>
      </w:r>
      <w:r w:rsidR="00CC689C" w:rsidRPr="00DF0C4F">
        <w:t xml:space="preserve"> History </w:t>
      </w:r>
      <w:r w:rsidR="00B42BAA" w:rsidRPr="00DF0C4F">
        <w:t>in English Classrooms</w:t>
      </w:r>
      <w:r w:rsidR="00F43396" w:rsidRPr="00DF0C4F">
        <w:t>, 1945-19</w:t>
      </w:r>
      <w:r w:rsidR="002D683B" w:rsidRPr="00DF0C4F">
        <w:t>6</w:t>
      </w:r>
      <w:r w:rsidR="00EB293A" w:rsidRPr="00DF0C4F">
        <w:t>5</w:t>
      </w:r>
      <w:bookmarkEnd w:id="6"/>
    </w:p>
    <w:p w14:paraId="799E3A8B" w14:textId="77777777" w:rsidR="00CA2101" w:rsidRPr="00CA2101" w:rsidRDefault="00CA2101" w:rsidP="00CA2101"/>
    <w:p w14:paraId="776815EF" w14:textId="446DFBE3" w:rsidR="0031467C" w:rsidRPr="00AE141E" w:rsidRDefault="0031467C" w:rsidP="00AE141E">
      <w:pPr>
        <w:spacing w:line="360" w:lineRule="auto"/>
        <w:ind w:left="720"/>
        <w:rPr>
          <w:rFonts w:ascii="Times New Roman" w:hAnsi="Times New Roman" w:cs="Times New Roman"/>
          <w:sz w:val="24"/>
          <w:szCs w:val="24"/>
        </w:rPr>
      </w:pPr>
      <w:r w:rsidRPr="00AE141E">
        <w:rPr>
          <w:rFonts w:ascii="Times New Roman" w:hAnsi="Times New Roman" w:cs="Times New Roman"/>
          <w:i/>
          <w:sz w:val="24"/>
          <w:szCs w:val="24"/>
        </w:rPr>
        <w:t xml:space="preserve">I suspect that the most potent reason for this continued neglect of the Empire is the unwillingness of teachers of history to leave their well-worn groove […] </w:t>
      </w:r>
      <w:r w:rsidR="0056177F">
        <w:rPr>
          <w:rFonts w:ascii="Times New Roman" w:hAnsi="Times New Roman" w:cs="Times New Roman"/>
          <w:i/>
          <w:sz w:val="24"/>
          <w:szCs w:val="24"/>
        </w:rPr>
        <w:t xml:space="preserve">it </w:t>
      </w:r>
      <w:r w:rsidRPr="00AE141E">
        <w:rPr>
          <w:rFonts w:ascii="Times New Roman" w:hAnsi="Times New Roman" w:cs="Times New Roman"/>
          <w:i/>
          <w:sz w:val="24"/>
          <w:szCs w:val="24"/>
        </w:rPr>
        <w:t>is easier to repeat the familiar description of the English manor or to expound the results of the Crusades than to embark on the reading necessary for an intelligent treatment of a theme so varied and intricate as the development of the Empire</w:t>
      </w:r>
      <w:r w:rsidR="005D2595" w:rsidRPr="00AE141E">
        <w:rPr>
          <w:rFonts w:ascii="Times New Roman" w:hAnsi="Times New Roman" w:cs="Times New Roman"/>
          <w:sz w:val="24"/>
          <w:szCs w:val="24"/>
        </w:rPr>
        <w:t>.</w:t>
      </w:r>
      <w:r w:rsidR="005D2595" w:rsidRPr="00AE141E">
        <w:rPr>
          <w:rStyle w:val="FootnoteReference"/>
          <w:rFonts w:ascii="Times New Roman" w:hAnsi="Times New Roman" w:cs="Times New Roman"/>
          <w:sz w:val="24"/>
          <w:szCs w:val="24"/>
        </w:rPr>
        <w:footnoteReference w:id="139"/>
      </w:r>
      <w:r w:rsidRPr="00AE141E">
        <w:rPr>
          <w:rFonts w:ascii="Times New Roman" w:hAnsi="Times New Roman" w:cs="Times New Roman"/>
          <w:b/>
          <w:bCs/>
          <w:sz w:val="24"/>
          <w:szCs w:val="24"/>
        </w:rPr>
        <w:t xml:space="preserve"> F.B. Malim,</w:t>
      </w:r>
      <w:r w:rsidR="00FC3E51">
        <w:rPr>
          <w:rFonts w:ascii="Times New Roman" w:hAnsi="Times New Roman" w:cs="Times New Roman"/>
          <w:b/>
          <w:bCs/>
          <w:sz w:val="24"/>
          <w:szCs w:val="24"/>
        </w:rPr>
        <w:t xml:space="preserve"> </w:t>
      </w:r>
      <w:r w:rsidRPr="00AE141E">
        <w:rPr>
          <w:rFonts w:ascii="Times New Roman" w:hAnsi="Times New Roman" w:cs="Times New Roman"/>
          <w:b/>
          <w:bCs/>
          <w:sz w:val="24"/>
          <w:szCs w:val="24"/>
        </w:rPr>
        <w:t>1944</w:t>
      </w:r>
      <w:r w:rsidR="005D2595" w:rsidRPr="00AE141E">
        <w:rPr>
          <w:rFonts w:ascii="Times New Roman" w:hAnsi="Times New Roman" w:cs="Times New Roman"/>
          <w:b/>
          <w:bCs/>
          <w:sz w:val="24"/>
          <w:szCs w:val="24"/>
        </w:rPr>
        <w:t>.</w:t>
      </w:r>
      <w:r w:rsidRPr="00AE141E">
        <w:rPr>
          <w:rFonts w:ascii="Times New Roman" w:hAnsi="Times New Roman" w:cs="Times New Roman"/>
          <w:sz w:val="24"/>
          <w:szCs w:val="24"/>
        </w:rPr>
        <w:t xml:space="preserve"> </w:t>
      </w:r>
    </w:p>
    <w:p w14:paraId="6806EBC5" w14:textId="77777777" w:rsidR="003734E9" w:rsidRPr="00AE141E" w:rsidRDefault="003734E9" w:rsidP="00AE141E">
      <w:pPr>
        <w:spacing w:line="360" w:lineRule="auto"/>
        <w:rPr>
          <w:rFonts w:ascii="Times New Roman" w:hAnsi="Times New Roman" w:cs="Times New Roman"/>
          <w:b/>
          <w:bCs/>
          <w:sz w:val="24"/>
          <w:szCs w:val="24"/>
        </w:rPr>
      </w:pPr>
    </w:p>
    <w:p w14:paraId="6916006F" w14:textId="06899ADE" w:rsidR="00200562" w:rsidRPr="00AE141E" w:rsidRDefault="00757255" w:rsidP="00AE141E">
      <w:pPr>
        <w:spacing w:line="360" w:lineRule="auto"/>
        <w:ind w:left="720"/>
        <w:rPr>
          <w:rFonts w:ascii="Times New Roman" w:hAnsi="Times New Roman" w:cs="Times New Roman"/>
          <w:b/>
          <w:bCs/>
          <w:sz w:val="24"/>
          <w:szCs w:val="24"/>
        </w:rPr>
      </w:pPr>
      <w:r w:rsidRPr="00AE141E">
        <w:rPr>
          <w:rFonts w:ascii="Times New Roman" w:hAnsi="Times New Roman" w:cs="Times New Roman"/>
          <w:b/>
          <w:bCs/>
          <w:sz w:val="24"/>
          <w:szCs w:val="24"/>
        </w:rPr>
        <w:t>Chapter Summary</w:t>
      </w:r>
    </w:p>
    <w:p w14:paraId="76465927" w14:textId="28470178" w:rsidR="003734E9" w:rsidRPr="00AE141E" w:rsidRDefault="003734E9"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The following Chapter offers an introductory overview of the teaching of British imperial history in English secondary school classrooms in the immediate post-war years. It argues that the colonial retreat which followed the Second World War was culturally and educationally less significant than that of the 1960s. As such, Chapter 1 serves to provide the background necessary to understand the more radical shifts of the late twentieth century. Despite the decentralised nature of the English education system, a standard curricular model persisted and proved resistant to change. History teaching tended to prioritise a political outline of the national past. Imperial history was taught (though not necessarily received) through a celebratory, Anglocentric lens. International initiatives which sought to reform syllabi to promote cross-cultural understanding were undercut by the weight of imperialist historiographical assumptions. Efforts to ‘update’ the teaching of imperial history by superimposing a vision of the modern Commonwealth backwards onto empire proved unsuccessful. By the </w:t>
      </w:r>
      <w:r w:rsidR="00DB371C">
        <w:rPr>
          <w:rFonts w:ascii="Times New Roman" w:hAnsi="Times New Roman" w:cs="Times New Roman"/>
          <w:sz w:val="24"/>
          <w:szCs w:val="24"/>
        </w:rPr>
        <w:t>middle</w:t>
      </w:r>
      <w:r w:rsidRPr="00AE141E">
        <w:rPr>
          <w:rFonts w:ascii="Times New Roman" w:hAnsi="Times New Roman" w:cs="Times New Roman"/>
          <w:sz w:val="24"/>
          <w:szCs w:val="24"/>
        </w:rPr>
        <w:t xml:space="preserve"> of the 1960s, changes in the popular cultural reception of the imperial past placed the teaching of empire and Commonwealth history on the defensive. </w:t>
      </w:r>
    </w:p>
    <w:p w14:paraId="099589F8" w14:textId="77777777" w:rsidR="008F4C24" w:rsidRPr="00AE141E" w:rsidRDefault="008F4C24" w:rsidP="00AE141E">
      <w:pPr>
        <w:spacing w:line="360" w:lineRule="auto"/>
        <w:rPr>
          <w:rFonts w:ascii="Times New Roman" w:hAnsi="Times New Roman" w:cs="Times New Roman"/>
          <w:sz w:val="24"/>
          <w:szCs w:val="24"/>
        </w:rPr>
      </w:pPr>
    </w:p>
    <w:p w14:paraId="23F159EF" w14:textId="0B206106" w:rsidR="00665627" w:rsidRPr="00AE141E" w:rsidRDefault="0066562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John Darwin has accurately described the ‘corrosive’ effect of the Second World War on the British empire. In East and Southeast Asia, the conflict led to British ‘humiliation’ by the </w:t>
      </w:r>
      <w:r w:rsidRPr="00AE141E">
        <w:rPr>
          <w:rFonts w:ascii="Times New Roman" w:hAnsi="Times New Roman" w:cs="Times New Roman"/>
          <w:sz w:val="24"/>
          <w:szCs w:val="24"/>
        </w:rPr>
        <w:lastRenderedPageBreak/>
        <w:t>Japanese empire and to the ‘virtual break-up of the colonial order’.</w:t>
      </w:r>
      <w:r w:rsidRPr="00AE141E">
        <w:rPr>
          <w:rStyle w:val="FootnoteReference"/>
          <w:rFonts w:ascii="Times New Roman" w:hAnsi="Times New Roman" w:cs="Times New Roman"/>
          <w:sz w:val="24"/>
          <w:szCs w:val="24"/>
        </w:rPr>
        <w:footnoteReference w:id="140"/>
      </w:r>
      <w:r w:rsidRPr="00AE141E">
        <w:rPr>
          <w:rFonts w:ascii="Times New Roman" w:hAnsi="Times New Roman" w:cs="Times New Roman"/>
          <w:sz w:val="24"/>
          <w:szCs w:val="24"/>
        </w:rPr>
        <w:t xml:space="preserve"> In South Asia, a deliberate policy of mass starvation, escalating anger, and the progressive weakening of the instruments of colonial rule – all combined with the sacrifices of colonial troops in the fight against the Axis powers – led to a reluctant promise of post-war independence for British India. British politicians, and the nation at large, were not unshaken by the loss of the ‘jewel in the imperial crown’.</w:t>
      </w:r>
      <w:r w:rsidRPr="00AE141E">
        <w:rPr>
          <w:rStyle w:val="FootnoteReference"/>
          <w:rFonts w:ascii="Times New Roman" w:hAnsi="Times New Roman" w:cs="Times New Roman"/>
          <w:sz w:val="24"/>
          <w:szCs w:val="24"/>
        </w:rPr>
        <w:footnoteReference w:id="141"/>
      </w:r>
      <w:r w:rsidRPr="00AE141E">
        <w:rPr>
          <w:rFonts w:ascii="Times New Roman" w:hAnsi="Times New Roman" w:cs="Times New Roman"/>
          <w:sz w:val="24"/>
          <w:szCs w:val="24"/>
        </w:rPr>
        <w:t xml:space="preserve"> However, a general faith seems to have been maintained in the institution and ideology of empire. Decolonisation could, in fact, be used to bolster the imperial historical narrative, in academia and beyond. Sarah Stockwell refers to a ‘whiggish interpretation’ which presented the dissolution of empire as the ‘culmination rather than the wreck of British ambitions’.</w:t>
      </w:r>
      <w:r w:rsidRPr="00AE141E">
        <w:rPr>
          <w:rStyle w:val="FootnoteReference"/>
          <w:rFonts w:ascii="Times New Roman" w:hAnsi="Times New Roman" w:cs="Times New Roman"/>
          <w:sz w:val="24"/>
          <w:szCs w:val="24"/>
        </w:rPr>
        <w:footnoteReference w:id="142"/>
      </w:r>
      <w:r w:rsidRPr="00AE141E">
        <w:rPr>
          <w:rFonts w:ascii="Times New Roman" w:hAnsi="Times New Roman" w:cs="Times New Roman"/>
          <w:sz w:val="24"/>
          <w:szCs w:val="24"/>
        </w:rPr>
        <w:t xml:space="preserve"> This was reflected in metropolitan coverage of Indian independence in 1947, which was organised around a theme of ‘pride in a job well done’.</w:t>
      </w:r>
      <w:r w:rsidRPr="00AE141E">
        <w:rPr>
          <w:rStyle w:val="FootnoteReference"/>
          <w:rFonts w:ascii="Times New Roman" w:hAnsi="Times New Roman" w:cs="Times New Roman"/>
          <w:sz w:val="24"/>
          <w:szCs w:val="24"/>
        </w:rPr>
        <w:footnoteReference w:id="143"/>
      </w:r>
      <w:r w:rsidRPr="00AE141E">
        <w:rPr>
          <w:rFonts w:ascii="Times New Roman" w:hAnsi="Times New Roman" w:cs="Times New Roman"/>
          <w:sz w:val="24"/>
          <w:szCs w:val="24"/>
        </w:rPr>
        <w:t xml:space="preserve"> Independence was read as the final fulfilment of the British mission of service and the violence of Partition dismissed as the natural outgrowth of an Eastern temperament, rather </w:t>
      </w:r>
      <w:r w:rsidR="008E380A" w:rsidRPr="00AE141E">
        <w:rPr>
          <w:rFonts w:ascii="Times New Roman" w:hAnsi="Times New Roman" w:cs="Times New Roman"/>
          <w:sz w:val="24"/>
          <w:szCs w:val="24"/>
        </w:rPr>
        <w:t xml:space="preserve">than </w:t>
      </w:r>
      <w:r w:rsidRPr="00AE141E">
        <w:rPr>
          <w:rFonts w:ascii="Times New Roman" w:hAnsi="Times New Roman" w:cs="Times New Roman"/>
          <w:sz w:val="24"/>
          <w:szCs w:val="24"/>
        </w:rPr>
        <w:t>a specific legacy of colonial rule.</w:t>
      </w:r>
    </w:p>
    <w:p w14:paraId="53B6B958" w14:textId="2C69287F" w:rsidR="00665627" w:rsidRPr="00AE141E" w:rsidRDefault="00665627" w:rsidP="00AE141E">
      <w:pPr>
        <w:spacing w:line="360" w:lineRule="auto"/>
        <w:rPr>
          <w:rFonts w:ascii="Times New Roman" w:eastAsia="Times New Roman" w:hAnsi="Times New Roman" w:cs="Times New Roman"/>
          <w:color w:val="000000"/>
          <w:sz w:val="24"/>
          <w:szCs w:val="24"/>
          <w:u w:val="single"/>
          <w:lang w:eastAsia="en-GB"/>
        </w:rPr>
      </w:pPr>
      <w:r w:rsidRPr="00AE141E">
        <w:rPr>
          <w:rFonts w:ascii="Times New Roman" w:hAnsi="Times New Roman" w:cs="Times New Roman"/>
          <w:sz w:val="24"/>
          <w:szCs w:val="24"/>
        </w:rPr>
        <w:t>The media both fostered and reflected the persistence of imperial culture at a popular level. John M. MacKenzie supplies convincing evidence to this effect.</w:t>
      </w:r>
      <w:r w:rsidRPr="00AE141E">
        <w:rPr>
          <w:rStyle w:val="FootnoteReference"/>
          <w:rFonts w:ascii="Times New Roman" w:hAnsi="Times New Roman" w:cs="Times New Roman"/>
          <w:sz w:val="24"/>
          <w:szCs w:val="24"/>
        </w:rPr>
        <w:footnoteReference w:id="144"/>
      </w:r>
      <w:r w:rsidRPr="00AE141E">
        <w:rPr>
          <w:rFonts w:ascii="Times New Roman" w:hAnsi="Times New Roman" w:cs="Times New Roman"/>
          <w:sz w:val="24"/>
          <w:szCs w:val="24"/>
        </w:rPr>
        <w:t xml:space="preserve"> </w:t>
      </w:r>
      <w:r w:rsidR="002A5E15">
        <w:rPr>
          <w:rFonts w:ascii="Times New Roman" w:hAnsi="Times New Roman" w:cs="Times New Roman"/>
          <w:sz w:val="24"/>
          <w:szCs w:val="24"/>
        </w:rPr>
        <w:t>As MacKenzie notes, t</w:t>
      </w:r>
      <w:r w:rsidRPr="00AE141E">
        <w:rPr>
          <w:rFonts w:ascii="Times New Roman" w:hAnsi="Times New Roman" w:cs="Times New Roman"/>
          <w:sz w:val="24"/>
          <w:szCs w:val="24"/>
        </w:rPr>
        <w:t>he discourse of empire remained a popular and reliable vote-winner for Conservative candidates throughout the 1950s. In youth culture, too, the imperial tradition remained prominent; the colonial adventure stories of G.A. Henty, Sir Henry Rider Haggard, and R.M. Ballantyne ‘remained in print and still constituted some of the prime elements of the prize and present market for children’.</w:t>
      </w:r>
      <w:r w:rsidR="00A043CF">
        <w:rPr>
          <w:rStyle w:val="FootnoteReference"/>
          <w:rFonts w:ascii="Times New Roman" w:hAnsi="Times New Roman" w:cs="Times New Roman"/>
          <w:sz w:val="24"/>
          <w:szCs w:val="24"/>
        </w:rPr>
        <w:footnoteReference w:id="145"/>
      </w:r>
      <w:r w:rsidRPr="00AE141E">
        <w:rPr>
          <w:rFonts w:ascii="Times New Roman" w:hAnsi="Times New Roman" w:cs="Times New Roman"/>
          <w:sz w:val="24"/>
          <w:szCs w:val="24"/>
        </w:rPr>
        <w:t xml:space="preserve"> The act of awarding romances of empire to </w:t>
      </w:r>
      <w:r w:rsidR="00D70B4A">
        <w:rPr>
          <w:rFonts w:ascii="Times New Roman" w:hAnsi="Times New Roman" w:cs="Times New Roman"/>
          <w:sz w:val="24"/>
          <w:szCs w:val="24"/>
        </w:rPr>
        <w:t>merit</w:t>
      </w:r>
      <w:r w:rsidR="00D567B8">
        <w:rPr>
          <w:rFonts w:ascii="Times New Roman" w:hAnsi="Times New Roman" w:cs="Times New Roman"/>
          <w:sz w:val="24"/>
          <w:szCs w:val="24"/>
        </w:rPr>
        <w:t>orious</w:t>
      </w:r>
      <w:r w:rsidRPr="00AE141E">
        <w:rPr>
          <w:rFonts w:ascii="Times New Roman" w:hAnsi="Times New Roman" w:cs="Times New Roman"/>
          <w:sz w:val="24"/>
          <w:szCs w:val="24"/>
        </w:rPr>
        <w:t xml:space="preserve"> school-students in British schools is significant for the purposes of </w:t>
      </w:r>
      <w:r w:rsidR="00290706">
        <w:rPr>
          <w:rFonts w:ascii="Times New Roman" w:hAnsi="Times New Roman" w:cs="Times New Roman"/>
          <w:sz w:val="24"/>
          <w:szCs w:val="24"/>
        </w:rPr>
        <w:t>this</w:t>
      </w:r>
      <w:r w:rsidRPr="00AE141E">
        <w:rPr>
          <w:rFonts w:ascii="Times New Roman" w:hAnsi="Times New Roman" w:cs="Times New Roman"/>
          <w:sz w:val="24"/>
          <w:szCs w:val="24"/>
        </w:rPr>
        <w:t xml:space="preserve"> analysis. It implies that, in secondary education, as in the universities, existing narratives and forms of imperial history survived well into the 1950s – and perhaps beyond. The legacy of the Second World War </w:t>
      </w:r>
      <w:r w:rsidRPr="00AE141E">
        <w:rPr>
          <w:rFonts w:ascii="Times New Roman" w:hAnsi="Times New Roman" w:cs="Times New Roman"/>
          <w:sz w:val="24"/>
          <w:szCs w:val="24"/>
        </w:rPr>
        <w:lastRenderedPageBreak/>
        <w:t>appears to have had a more significant influence on curricula in the 1940s and 1950s than decolonisation.</w:t>
      </w:r>
    </w:p>
    <w:p w14:paraId="6BDD0BD5" w14:textId="1934C07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Aldrich and Dean characterise English history teaching in the immediate post-war years as conciliatory</w:t>
      </w:r>
      <w:r w:rsidR="00D94265" w:rsidRPr="00AE141E">
        <w:rPr>
          <w:rFonts w:ascii="Times New Roman" w:hAnsi="Times New Roman" w:cs="Times New Roman"/>
          <w:sz w:val="24"/>
          <w:szCs w:val="24"/>
        </w:rPr>
        <w:t xml:space="preserve"> in </w:t>
      </w:r>
      <w:r w:rsidR="006220A9" w:rsidRPr="00AE141E">
        <w:rPr>
          <w:rFonts w:ascii="Times New Roman" w:hAnsi="Times New Roman" w:cs="Times New Roman"/>
          <w:sz w:val="24"/>
          <w:szCs w:val="24"/>
        </w:rPr>
        <w:t>its thematic and ideological orientation</w:t>
      </w:r>
      <w:r w:rsidRPr="00AE141E">
        <w:rPr>
          <w:rFonts w:ascii="Times New Roman" w:hAnsi="Times New Roman" w:cs="Times New Roman"/>
          <w:sz w:val="24"/>
          <w:szCs w:val="24"/>
        </w:rPr>
        <w:t>: in the wake of violence and destruction, there emerged a desire to teach for international understanding, supported by transnational bodies such as the United Nations Educational, Scientific and Cultural Organization (UNESCO).</w:t>
      </w:r>
      <w:r w:rsidRPr="00AE141E">
        <w:rPr>
          <w:rStyle w:val="FootnoteReference"/>
          <w:rFonts w:ascii="Times New Roman" w:hAnsi="Times New Roman" w:cs="Times New Roman"/>
          <w:sz w:val="24"/>
          <w:szCs w:val="24"/>
        </w:rPr>
        <w:footnoteReference w:id="146"/>
      </w:r>
      <w:r w:rsidRPr="00AE141E">
        <w:rPr>
          <w:rFonts w:ascii="Times New Roman" w:hAnsi="Times New Roman" w:cs="Times New Roman"/>
          <w:sz w:val="24"/>
          <w:szCs w:val="24"/>
        </w:rPr>
        <w:t xml:space="preserve"> Education for international understanding entailed critical perspectives on national(ist) bias. An effort was to be made to view British history, including British imperial history, ‘through others</w:t>
      </w:r>
      <w:r w:rsidR="00A40FFA">
        <w:rPr>
          <w:rFonts w:ascii="Times New Roman" w:hAnsi="Times New Roman" w:cs="Times New Roman"/>
          <w:sz w:val="24"/>
          <w:szCs w:val="24"/>
        </w:rPr>
        <w:t xml:space="preserve">’ </w:t>
      </w:r>
      <w:r w:rsidRPr="00AE141E">
        <w:rPr>
          <w:rFonts w:ascii="Times New Roman" w:hAnsi="Times New Roman" w:cs="Times New Roman"/>
          <w:sz w:val="24"/>
          <w:szCs w:val="24"/>
        </w:rPr>
        <w:t xml:space="preserve">eyes’. </w:t>
      </w:r>
      <w:r w:rsidRPr="00AE141E">
        <w:rPr>
          <w:rFonts w:ascii="Times New Roman" w:hAnsi="Times New Roman" w:cs="Times New Roman"/>
          <w:i/>
          <w:sz w:val="24"/>
          <w:szCs w:val="24"/>
        </w:rPr>
        <w:t>Some Suggestions on the Teaching of History</w:t>
      </w:r>
      <w:r w:rsidRPr="00AE141E">
        <w:rPr>
          <w:rFonts w:ascii="Times New Roman" w:hAnsi="Times New Roman" w:cs="Times New Roman"/>
          <w:sz w:val="24"/>
          <w:szCs w:val="24"/>
        </w:rPr>
        <w:t>, a UNESCO-sponsored publication by the French educator Marie-Thérèse Maurette, argued that England’s parochial equation of history teaching with teaching the ‘history of the nation’ ironically excised a crucial part of the national story.</w:t>
      </w:r>
      <w:r w:rsidRPr="00AE141E">
        <w:rPr>
          <w:rStyle w:val="FootnoteReference"/>
          <w:rFonts w:ascii="Times New Roman" w:hAnsi="Times New Roman" w:cs="Times New Roman"/>
          <w:sz w:val="24"/>
          <w:szCs w:val="24"/>
        </w:rPr>
        <w:footnoteReference w:id="147"/>
      </w:r>
      <w:r w:rsidRPr="00AE141E">
        <w:rPr>
          <w:rFonts w:ascii="Times New Roman" w:hAnsi="Times New Roman" w:cs="Times New Roman"/>
          <w:sz w:val="24"/>
          <w:szCs w:val="24"/>
        </w:rPr>
        <w:t xml:space="preserve"> The refusal to look beyond current borders produced ignorance of the ways in which English history was ‘inextricably bound up with that of most of the countries of Europe – and later, as a result of the building of the Empire, with that of the whole world’. </w:t>
      </w:r>
    </w:p>
    <w:p w14:paraId="1A1BDC6C" w14:textId="1E505913"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Maurette asked her readers to consider how many ‘Occidentals’ might know more than the ‘bare outline of the history of India, which with 300 million inhabitants and a land surface as great as Europe, holds a key position in Asia?’</w:t>
      </w:r>
      <w:r w:rsidR="00E54B9D">
        <w:rPr>
          <w:rStyle w:val="FootnoteReference"/>
          <w:rFonts w:ascii="Times New Roman" w:hAnsi="Times New Roman" w:cs="Times New Roman"/>
          <w:sz w:val="24"/>
          <w:szCs w:val="24"/>
        </w:rPr>
        <w:footnoteReference w:id="148"/>
      </w:r>
      <w:r w:rsidRPr="00AE141E">
        <w:rPr>
          <w:rFonts w:ascii="Times New Roman" w:hAnsi="Times New Roman" w:cs="Times New Roman"/>
          <w:sz w:val="24"/>
          <w:szCs w:val="24"/>
        </w:rPr>
        <w:t xml:space="preserve"> UNESCO attributed this knowledge gap to the historical self-aggrandisement of European powers. ‘Up to the present’, the organisation noted, ‘European culture and scholarship have dominated the writing of history, and the contributions of other regions and cultures have not received their proper place in the textbooks</w:t>
      </w:r>
      <w:r w:rsidR="003E3ADF">
        <w:rPr>
          <w:rFonts w:ascii="Times New Roman" w:hAnsi="Times New Roman" w:cs="Times New Roman"/>
          <w:sz w:val="24"/>
          <w:szCs w:val="24"/>
        </w:rPr>
        <w:t>’</w:t>
      </w:r>
      <w:r w:rsidRPr="00AE141E">
        <w:rPr>
          <w:rFonts w:ascii="Times New Roman" w:hAnsi="Times New Roman" w:cs="Times New Roman"/>
          <w:sz w:val="24"/>
          <w:szCs w:val="24"/>
        </w:rPr>
        <w:t>.</w:t>
      </w:r>
      <w:r w:rsidR="003E3ADF">
        <w:rPr>
          <w:rStyle w:val="FootnoteReference"/>
          <w:rFonts w:ascii="Times New Roman" w:hAnsi="Times New Roman" w:cs="Times New Roman"/>
          <w:sz w:val="24"/>
          <w:szCs w:val="24"/>
        </w:rPr>
        <w:footnoteReference w:id="149"/>
      </w:r>
      <w:r w:rsidRPr="00AE141E">
        <w:rPr>
          <w:rFonts w:ascii="Times New Roman" w:hAnsi="Times New Roman" w:cs="Times New Roman"/>
          <w:sz w:val="24"/>
          <w:szCs w:val="24"/>
        </w:rPr>
        <w:t xml:space="preserve"> The writing of history from a ‘world point of view’ was therefore conceptualised as a necessary </w:t>
      </w:r>
      <w:r w:rsidR="00D63D23" w:rsidRPr="00AE141E">
        <w:rPr>
          <w:rFonts w:ascii="Times New Roman" w:hAnsi="Times New Roman" w:cs="Times New Roman"/>
          <w:sz w:val="24"/>
          <w:szCs w:val="24"/>
        </w:rPr>
        <w:t>decentring</w:t>
      </w:r>
      <w:r w:rsidRPr="00AE141E">
        <w:rPr>
          <w:rFonts w:ascii="Times New Roman" w:hAnsi="Times New Roman" w:cs="Times New Roman"/>
          <w:sz w:val="24"/>
          <w:szCs w:val="24"/>
        </w:rPr>
        <w:t xml:space="preserve"> of the European experience – albeit not from a subaltern position. UNESCO was very clear that the gap necessitated ‘more research by Western scholars in these other cultures’, rather than a process of listening to history as </w:t>
      </w:r>
      <w:r w:rsidRPr="00AE141E">
        <w:rPr>
          <w:rFonts w:ascii="Times New Roman" w:hAnsi="Times New Roman" w:cs="Times New Roman"/>
          <w:sz w:val="24"/>
          <w:szCs w:val="24"/>
        </w:rPr>
        <w:lastRenderedPageBreak/>
        <w:t>narrated by colonised subjects and those in the Global South.</w:t>
      </w:r>
      <w:r w:rsidR="00D63D23">
        <w:rPr>
          <w:rStyle w:val="FootnoteReference"/>
          <w:rFonts w:ascii="Times New Roman" w:hAnsi="Times New Roman" w:cs="Times New Roman"/>
          <w:sz w:val="24"/>
          <w:szCs w:val="24"/>
        </w:rPr>
        <w:footnoteReference w:id="150"/>
      </w:r>
      <w:r w:rsidRPr="00AE141E">
        <w:rPr>
          <w:rFonts w:ascii="Times New Roman" w:hAnsi="Times New Roman" w:cs="Times New Roman"/>
          <w:sz w:val="24"/>
          <w:szCs w:val="24"/>
        </w:rPr>
        <w:t xml:space="preserve"> Nevertheless, old imperial frameworks continued to structure much of UNESCO’s historical and educational work.</w:t>
      </w:r>
    </w:p>
    <w:p w14:paraId="39E3E065" w14:textId="2EB2CD35"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1951, UNESCO formalised its commitment to sponsoring the documentation of history on a world-scale – the ambitious and unprecedented History of Mankind project.</w:t>
      </w:r>
      <w:r w:rsidR="00E62B02" w:rsidRPr="00AE141E">
        <w:rPr>
          <w:rFonts w:ascii="Times New Roman" w:hAnsi="Times New Roman" w:cs="Times New Roman"/>
          <w:sz w:val="24"/>
          <w:szCs w:val="24"/>
        </w:rPr>
        <w:t xml:space="preserve"> The project employed historians from across the globe to write a history of humanity from its dawn to the present, with an emphasis on inter-cultural commonalities, connections, and exchange.</w:t>
      </w:r>
      <w:r w:rsidR="00AC07E0" w:rsidRPr="00AE141E">
        <w:rPr>
          <w:rFonts w:ascii="Times New Roman" w:hAnsi="Times New Roman" w:cs="Times New Roman"/>
          <w:sz w:val="24"/>
          <w:szCs w:val="24"/>
        </w:rPr>
        <w:t xml:space="preserve"> It was hoped that this work would both embody and fulfil the UN’s aspirations of international solidarity and world peace</w:t>
      </w:r>
      <w:r w:rsidRPr="00AE141E">
        <w:rPr>
          <w:rFonts w:ascii="Times New Roman" w:hAnsi="Times New Roman" w:cs="Times New Roman"/>
          <w:sz w:val="24"/>
          <w:szCs w:val="24"/>
        </w:rPr>
        <w:t>.</w:t>
      </w:r>
      <w:r w:rsidRPr="00AE141E">
        <w:rPr>
          <w:rStyle w:val="FootnoteReference"/>
          <w:rFonts w:ascii="Times New Roman" w:hAnsi="Times New Roman" w:cs="Times New Roman"/>
          <w:sz w:val="24"/>
          <w:szCs w:val="24"/>
        </w:rPr>
        <w:footnoteReference w:id="151"/>
      </w:r>
      <w:r w:rsidRPr="00AE141E">
        <w:rPr>
          <w:rFonts w:ascii="Times New Roman" w:hAnsi="Times New Roman" w:cs="Times New Roman"/>
          <w:sz w:val="24"/>
          <w:szCs w:val="24"/>
        </w:rPr>
        <w:t xml:space="preserve"> Poul Duedahl distinguishes between the ‘long-term political project’ theorised by the U</w:t>
      </w:r>
      <w:r w:rsidR="00371DF2">
        <w:rPr>
          <w:rFonts w:ascii="Times New Roman" w:hAnsi="Times New Roman" w:cs="Times New Roman"/>
          <w:sz w:val="24"/>
          <w:szCs w:val="24"/>
        </w:rPr>
        <w:t xml:space="preserve">nited </w:t>
      </w:r>
      <w:r w:rsidRPr="00AE141E">
        <w:rPr>
          <w:rFonts w:ascii="Times New Roman" w:hAnsi="Times New Roman" w:cs="Times New Roman"/>
          <w:sz w:val="24"/>
          <w:szCs w:val="24"/>
        </w:rPr>
        <w:t>N</w:t>
      </w:r>
      <w:r w:rsidR="00371DF2">
        <w:rPr>
          <w:rFonts w:ascii="Times New Roman" w:hAnsi="Times New Roman" w:cs="Times New Roman"/>
          <w:sz w:val="24"/>
          <w:szCs w:val="24"/>
        </w:rPr>
        <w:t>ations (UN)</w:t>
      </w:r>
      <w:r w:rsidRPr="00AE141E">
        <w:rPr>
          <w:rFonts w:ascii="Times New Roman" w:hAnsi="Times New Roman" w:cs="Times New Roman"/>
          <w:sz w:val="24"/>
          <w:szCs w:val="24"/>
        </w:rPr>
        <w:t xml:space="preserve"> and adjacent bodies – which he characterises as representing a major development in the writing of global history – and the eventual product of their endeavours, which he characterises as a ‘work of dubious reputation’.</w:t>
      </w:r>
      <w:r w:rsidRPr="00AE141E">
        <w:rPr>
          <w:rStyle w:val="FootnoteReference"/>
          <w:rFonts w:ascii="Times New Roman" w:hAnsi="Times New Roman" w:cs="Times New Roman"/>
          <w:sz w:val="24"/>
          <w:szCs w:val="24"/>
        </w:rPr>
        <w:footnoteReference w:id="152"/>
      </w:r>
      <w:r w:rsidRPr="00AE141E">
        <w:rPr>
          <w:rFonts w:ascii="Times New Roman" w:hAnsi="Times New Roman" w:cs="Times New Roman"/>
          <w:sz w:val="24"/>
          <w:szCs w:val="24"/>
        </w:rPr>
        <w:t xml:space="preserve"> The project is represented as a ground-breaking confrontation with the orthodoxies of Eurocentric and ethnocentric history. As Duedahl freely acknowledges, however, the broad geographical scope of the project’s focus did not influence its epistemological underpinnings: an Enlightenment-derived theory of historical progress was retained.</w:t>
      </w:r>
    </w:p>
    <w:p w14:paraId="76244F44" w14:textId="04B4ECAD"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This conclusion is supported by Glenda Sluga and Paul Betts’ respective analyses of UNESCO’s History of Mankind project. Both scholars stress the significance of evolutionist approaches to history to the History of Mankind and to Julian Huxley – UNESCO’s first Director-General and one of the project’s core intellectual progenitors.</w:t>
      </w:r>
      <w:r w:rsidRPr="00AE141E">
        <w:rPr>
          <w:rStyle w:val="FootnoteReference"/>
          <w:rFonts w:ascii="Times New Roman" w:hAnsi="Times New Roman" w:cs="Times New Roman"/>
          <w:sz w:val="24"/>
          <w:szCs w:val="24"/>
        </w:rPr>
        <w:footnoteReference w:id="153"/>
      </w:r>
      <w:r w:rsidRPr="00AE141E">
        <w:rPr>
          <w:rFonts w:ascii="Times New Roman" w:hAnsi="Times New Roman" w:cs="Times New Roman"/>
          <w:sz w:val="24"/>
          <w:szCs w:val="24"/>
        </w:rPr>
        <w:t xml:space="preserve"> Central to Huxley’s worldview was a quasi-biological belief in ‘man’s role’ as custodian of ‘the evolutionary process’ of history.</w:t>
      </w:r>
      <w:r w:rsidRPr="00AE141E">
        <w:rPr>
          <w:rStyle w:val="FootnoteReference"/>
          <w:rFonts w:ascii="Times New Roman" w:hAnsi="Times New Roman" w:cs="Times New Roman"/>
          <w:sz w:val="24"/>
          <w:szCs w:val="24"/>
        </w:rPr>
        <w:footnoteReference w:id="154"/>
      </w:r>
      <w:r w:rsidRPr="00AE141E">
        <w:rPr>
          <w:rFonts w:ascii="Times New Roman" w:hAnsi="Times New Roman" w:cs="Times New Roman"/>
          <w:sz w:val="24"/>
          <w:szCs w:val="24"/>
        </w:rPr>
        <w:t xml:space="preserve"> A teleological, even Whiggish understanding of the relation between past, present, and future was implicit within his reasoning. The guiding principle of history was the development of scientific and technological knowledge, its logical endpoint the growth of peaceable international cooperation – embodied </w:t>
      </w:r>
      <w:r w:rsidR="00D31C81" w:rsidRPr="00AE141E">
        <w:rPr>
          <w:rFonts w:ascii="Times New Roman" w:hAnsi="Times New Roman" w:cs="Times New Roman"/>
          <w:sz w:val="24"/>
          <w:szCs w:val="24"/>
        </w:rPr>
        <w:t>by</w:t>
      </w:r>
      <w:r w:rsidRPr="00AE141E">
        <w:rPr>
          <w:rFonts w:ascii="Times New Roman" w:hAnsi="Times New Roman" w:cs="Times New Roman"/>
          <w:sz w:val="24"/>
          <w:szCs w:val="24"/>
        </w:rPr>
        <w:t xml:space="preserve"> organisations like the UN.</w:t>
      </w:r>
      <w:r w:rsidRPr="00AE141E">
        <w:rPr>
          <w:rStyle w:val="FootnoteReference"/>
          <w:rFonts w:ascii="Times New Roman" w:hAnsi="Times New Roman" w:cs="Times New Roman"/>
          <w:sz w:val="24"/>
          <w:szCs w:val="24"/>
        </w:rPr>
        <w:footnoteReference w:id="155"/>
      </w:r>
      <w:r w:rsidRPr="00AE141E">
        <w:rPr>
          <w:rFonts w:ascii="Times New Roman" w:hAnsi="Times New Roman" w:cs="Times New Roman"/>
          <w:sz w:val="24"/>
          <w:szCs w:val="24"/>
        </w:rPr>
        <w:t xml:space="preserve"> </w:t>
      </w:r>
      <w:r w:rsidRPr="00AE141E">
        <w:rPr>
          <w:rFonts w:ascii="Times New Roman" w:hAnsi="Times New Roman" w:cs="Times New Roman"/>
          <w:sz w:val="24"/>
          <w:szCs w:val="24"/>
        </w:rPr>
        <w:lastRenderedPageBreak/>
        <w:t>Evolutionism thus folded all to easily into universalism, with its promotion of a singular notion of past and present as an all-embracing, inescapable model for future ‘development’.</w:t>
      </w:r>
      <w:r w:rsidRPr="00AE141E">
        <w:rPr>
          <w:rStyle w:val="FootnoteReference"/>
          <w:rFonts w:ascii="Times New Roman" w:hAnsi="Times New Roman" w:cs="Times New Roman"/>
          <w:sz w:val="24"/>
          <w:szCs w:val="24"/>
        </w:rPr>
        <w:footnoteReference w:id="156"/>
      </w:r>
    </w:p>
    <w:p w14:paraId="6A01D5F7" w14:textId="7777777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Betts draws attention to the silences attendant upon this narrative of historical progression. He observes that the adoption of ‘exchange, commonality and progress’ as organising themes led to a subordination of ‘the unpleasant aspects of history’ – including ‘colonialism, slavery or even war’.</w:t>
      </w:r>
      <w:r w:rsidRPr="00AE141E">
        <w:rPr>
          <w:rStyle w:val="FootnoteReference"/>
          <w:rFonts w:ascii="Times New Roman" w:hAnsi="Times New Roman" w:cs="Times New Roman"/>
          <w:sz w:val="24"/>
          <w:szCs w:val="24"/>
        </w:rPr>
        <w:footnoteReference w:id="157"/>
      </w:r>
      <w:r w:rsidRPr="00AE141E">
        <w:rPr>
          <w:rFonts w:ascii="Times New Roman" w:hAnsi="Times New Roman" w:cs="Times New Roman"/>
          <w:sz w:val="24"/>
          <w:szCs w:val="24"/>
        </w:rPr>
        <w:t xml:space="preserve"> Clearly, the absence of such histories – understood as moments of fundamental crisis and rupture by the enslaved or colonised – undermines the History of Mankind’s claim to represent a genuinely world-wide view of the past.</w:t>
      </w:r>
      <w:r w:rsidRPr="00AE141E">
        <w:rPr>
          <w:rStyle w:val="FootnoteReference"/>
          <w:rFonts w:ascii="Times New Roman" w:hAnsi="Times New Roman" w:cs="Times New Roman"/>
          <w:sz w:val="24"/>
          <w:szCs w:val="24"/>
        </w:rPr>
        <w:footnoteReference w:id="158"/>
      </w:r>
      <w:r w:rsidRPr="00AE141E">
        <w:rPr>
          <w:rFonts w:ascii="Times New Roman" w:hAnsi="Times New Roman" w:cs="Times New Roman"/>
          <w:sz w:val="24"/>
          <w:szCs w:val="24"/>
        </w:rPr>
        <w:t xml:space="preserve"> However, there was also a deeper colonial logic at play in the story of linear progress; these ideas possessed an obvious heritage in the liberal imperialist movement of the late nineteenth and early twentieth centuries.</w:t>
      </w:r>
    </w:p>
    <w:p w14:paraId="637A6515" w14:textId="2BE8651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History of Mankind’s reiteration of imperial theories of history was no mere coincidence; Huxley had himself been involved in the liberal imperialist movement of the early twentieth century. As Sluga describes, Huxley enjoyed an extended career in the British Colonial Office before switching his focus to the UN. He brought with him an interest in classification of humanity into various ‘sub-species’ and phases of development, and a belief in the paternalistic duty of ‘civilised’ nations to act as trustees or tutors of ‘backward’ peoples.</w:t>
      </w:r>
      <w:r w:rsidRPr="00AE141E">
        <w:rPr>
          <w:rStyle w:val="FootnoteReference"/>
          <w:rFonts w:ascii="Times New Roman" w:hAnsi="Times New Roman" w:cs="Times New Roman"/>
          <w:sz w:val="24"/>
          <w:szCs w:val="24"/>
        </w:rPr>
        <w:footnoteReference w:id="159"/>
      </w:r>
      <w:r w:rsidRPr="00AE141E">
        <w:rPr>
          <w:rFonts w:ascii="Times New Roman" w:hAnsi="Times New Roman" w:cs="Times New Roman"/>
          <w:sz w:val="24"/>
          <w:szCs w:val="24"/>
        </w:rPr>
        <w:t xml:space="preserve"> The History of Mankind’s emphasis on linear technological, scientific, and political progress towards a fixed end point may be read as the direct legacy of these connections. </w:t>
      </w:r>
    </w:p>
    <w:p w14:paraId="6984B63C" w14:textId="5EA9EF0F"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History of Mankind was always intended as an educational project. Huxley’s close friend and UNESCO colleague Joseph Needham hoped that the resulting history might, in Duedahl’s words, act as ‘an antidote to the kind of history taught in many schools’, with its narrowly national focus on military and political events.</w:t>
      </w:r>
      <w:r w:rsidRPr="00AE141E">
        <w:rPr>
          <w:rStyle w:val="FootnoteReference"/>
          <w:rFonts w:ascii="Times New Roman" w:hAnsi="Times New Roman" w:cs="Times New Roman"/>
          <w:sz w:val="24"/>
          <w:szCs w:val="24"/>
        </w:rPr>
        <w:footnoteReference w:id="160"/>
      </w:r>
      <w:r w:rsidRPr="00AE141E">
        <w:rPr>
          <w:rFonts w:ascii="Times New Roman" w:hAnsi="Times New Roman" w:cs="Times New Roman"/>
          <w:sz w:val="24"/>
          <w:szCs w:val="24"/>
        </w:rPr>
        <w:t xml:space="preserve"> The French historian Lucien </w:t>
      </w:r>
      <w:r w:rsidRPr="00AE141E">
        <w:rPr>
          <w:rFonts w:ascii="Times New Roman" w:hAnsi="Times New Roman" w:cs="Times New Roman"/>
          <w:sz w:val="24"/>
          <w:szCs w:val="24"/>
        </w:rPr>
        <w:lastRenderedPageBreak/>
        <w:t xml:space="preserve">Febvre, who founded the </w:t>
      </w:r>
      <w:r w:rsidRPr="00AE141E">
        <w:rPr>
          <w:rFonts w:ascii="Times New Roman" w:hAnsi="Times New Roman" w:cs="Times New Roman"/>
          <w:i/>
          <w:sz w:val="24"/>
          <w:szCs w:val="24"/>
        </w:rPr>
        <w:t xml:space="preserve">Journal of World History </w:t>
      </w:r>
      <w:r w:rsidRPr="00AE141E">
        <w:rPr>
          <w:rFonts w:ascii="Times New Roman" w:hAnsi="Times New Roman" w:cs="Times New Roman"/>
          <w:sz w:val="24"/>
          <w:szCs w:val="24"/>
        </w:rPr>
        <w:t>in order to gather material relevant to the History of Mankind project, similarly envisioned its role as the foundation-stone of a ‘new kind of teaching — the teaching of a non-political world history, a teaching which will be, by definition, consecrated to peace’.</w:t>
      </w:r>
      <w:r w:rsidRPr="00AE141E">
        <w:rPr>
          <w:rStyle w:val="FootnoteReference"/>
          <w:rFonts w:ascii="Times New Roman" w:hAnsi="Times New Roman" w:cs="Times New Roman"/>
          <w:sz w:val="24"/>
          <w:szCs w:val="24"/>
        </w:rPr>
        <w:footnoteReference w:id="161"/>
      </w:r>
      <w:r w:rsidRPr="00AE141E">
        <w:rPr>
          <w:rFonts w:ascii="Times New Roman" w:hAnsi="Times New Roman" w:cs="Times New Roman"/>
          <w:sz w:val="24"/>
          <w:szCs w:val="24"/>
        </w:rPr>
        <w:t xml:space="preserve"> As Betts describes, abortive interventions in</w:t>
      </w:r>
      <w:r w:rsidR="00887287" w:rsidRPr="00AE141E">
        <w:rPr>
          <w:rFonts w:ascii="Times New Roman" w:hAnsi="Times New Roman" w:cs="Times New Roman"/>
          <w:sz w:val="24"/>
          <w:szCs w:val="24"/>
        </w:rPr>
        <w:t xml:space="preserve"> the</w:t>
      </w:r>
      <w:r w:rsidRPr="00AE141E">
        <w:rPr>
          <w:rFonts w:ascii="Times New Roman" w:hAnsi="Times New Roman" w:cs="Times New Roman"/>
          <w:sz w:val="24"/>
          <w:szCs w:val="24"/>
        </w:rPr>
        <w:t xml:space="preserve"> field of higher education encouraged the UN to turn its attention to the education of school students by the beginning of the 1950s.</w:t>
      </w:r>
      <w:r w:rsidRPr="00AE141E">
        <w:rPr>
          <w:rStyle w:val="FootnoteReference"/>
          <w:rFonts w:ascii="Times New Roman" w:hAnsi="Times New Roman" w:cs="Times New Roman"/>
          <w:sz w:val="24"/>
          <w:szCs w:val="24"/>
        </w:rPr>
        <w:footnoteReference w:id="162"/>
      </w:r>
      <w:r w:rsidRPr="00AE141E">
        <w:rPr>
          <w:rFonts w:ascii="Times New Roman" w:hAnsi="Times New Roman" w:cs="Times New Roman"/>
          <w:sz w:val="24"/>
          <w:szCs w:val="24"/>
        </w:rPr>
        <w:t xml:space="preserve"> Initial plans for knowledge pertaining to the History of Mankind to ‘trickle down’ into schools were frustrated. However, Duedahl notes that a selection of articles from the </w:t>
      </w:r>
      <w:r w:rsidRPr="00AE141E">
        <w:rPr>
          <w:rFonts w:ascii="Times New Roman" w:hAnsi="Times New Roman" w:cs="Times New Roman"/>
          <w:i/>
          <w:sz w:val="24"/>
          <w:szCs w:val="24"/>
        </w:rPr>
        <w:t xml:space="preserve">Journal of World History </w:t>
      </w:r>
      <w:r w:rsidRPr="00AE141E">
        <w:rPr>
          <w:rFonts w:ascii="Times New Roman" w:hAnsi="Times New Roman" w:cs="Times New Roman"/>
          <w:sz w:val="24"/>
          <w:szCs w:val="24"/>
        </w:rPr>
        <w:t>were published as ‘readings in the History of Mankind’, which enjoyed a much wider distribution – including to educational institutions – than their journal of origin.</w:t>
      </w:r>
      <w:r w:rsidRPr="00AE141E">
        <w:rPr>
          <w:rStyle w:val="FootnoteReference"/>
          <w:rFonts w:ascii="Times New Roman" w:hAnsi="Times New Roman" w:cs="Times New Roman"/>
          <w:sz w:val="24"/>
          <w:szCs w:val="24"/>
        </w:rPr>
        <w:footnoteReference w:id="163"/>
      </w:r>
      <w:r w:rsidRPr="00AE141E">
        <w:rPr>
          <w:rFonts w:ascii="Times New Roman" w:hAnsi="Times New Roman" w:cs="Times New Roman"/>
          <w:sz w:val="24"/>
          <w:szCs w:val="24"/>
        </w:rPr>
        <w:t xml:space="preserve"> </w:t>
      </w:r>
    </w:p>
    <w:p w14:paraId="2350134F" w14:textId="7777777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It can be suggested that the historical and educational work of the UK’s Parliamentary Group for World Government (PGWG) was a belated flowering of this tradition, which likewise carried the marks of an imperial heritage. The PGWG was an all-party group of Members of Parliament (MPs) founded shortly after the Second World War to promote federal government on a global scale – an ambition which was to be realised through the growth and transformation of the UN.</w:t>
      </w:r>
      <w:r w:rsidRPr="00AE141E">
        <w:rPr>
          <w:rStyle w:val="FootnoteReference"/>
          <w:rFonts w:ascii="Times New Roman" w:hAnsi="Times New Roman" w:cs="Times New Roman"/>
          <w:sz w:val="24"/>
          <w:szCs w:val="24"/>
        </w:rPr>
        <w:footnoteReference w:id="164"/>
      </w:r>
      <w:r w:rsidRPr="00AE141E">
        <w:rPr>
          <w:rFonts w:ascii="Times New Roman" w:hAnsi="Times New Roman" w:cs="Times New Roman"/>
          <w:sz w:val="24"/>
          <w:szCs w:val="24"/>
        </w:rPr>
        <w:t xml:space="preserve"> In 1967, the group’s Education Advisory Committee surveyed contemporary efforts to teach British history from a ‘world perspective’.</w:t>
      </w:r>
      <w:r w:rsidRPr="00AE141E">
        <w:rPr>
          <w:rStyle w:val="FootnoteReference"/>
          <w:rFonts w:ascii="Times New Roman" w:hAnsi="Times New Roman" w:cs="Times New Roman"/>
          <w:sz w:val="24"/>
          <w:szCs w:val="24"/>
        </w:rPr>
        <w:footnoteReference w:id="165"/>
      </w:r>
      <w:r w:rsidRPr="00AE141E">
        <w:rPr>
          <w:rFonts w:ascii="Times New Roman" w:hAnsi="Times New Roman" w:cs="Times New Roman"/>
          <w:sz w:val="24"/>
          <w:szCs w:val="24"/>
        </w:rPr>
        <w:t xml:space="preserve"> The final chapter of the resulting text described the PGWG’s ‘One World Examination Syllabus Competition’, in which a prize was offered to the teacher (or trainee teacher) who submitted the ‘best detailed syllabus […] balancing national loyalty’ with loyalty to the ‘human race as a whole’.</w:t>
      </w:r>
      <w:r w:rsidRPr="00AE141E">
        <w:rPr>
          <w:rStyle w:val="FootnoteReference"/>
          <w:rFonts w:ascii="Times New Roman" w:hAnsi="Times New Roman" w:cs="Times New Roman"/>
          <w:sz w:val="24"/>
          <w:szCs w:val="24"/>
        </w:rPr>
        <w:footnoteReference w:id="166"/>
      </w:r>
      <w:r w:rsidRPr="00AE141E">
        <w:rPr>
          <w:rFonts w:ascii="Times New Roman" w:hAnsi="Times New Roman" w:cs="Times New Roman"/>
          <w:sz w:val="24"/>
          <w:szCs w:val="24"/>
        </w:rPr>
        <w:t xml:space="preserve"> The authors selected an Ordinary Level GCE syllabus submitted by Sulwyn Lewis, a Welsh grammar school teacher, as the winner.</w:t>
      </w:r>
    </w:p>
    <w:p w14:paraId="52018CAC" w14:textId="39DD64BF"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notes provided on the content of Lewis’ syllabus offered a patronising acknowledgement that ‘technically backward’ countries did not exist in a state of abject dependency on the </w:t>
      </w:r>
      <w:r w:rsidRPr="00AE141E">
        <w:rPr>
          <w:rFonts w:ascii="Times New Roman" w:hAnsi="Times New Roman" w:cs="Times New Roman"/>
          <w:sz w:val="24"/>
          <w:szCs w:val="24"/>
        </w:rPr>
        <w:lastRenderedPageBreak/>
        <w:t>intellectual and financial resources of the Global North: ‘the amount of work many Eastern countries have achieved by their own resources only, is impressive’.</w:t>
      </w:r>
      <w:r w:rsidRPr="00AE141E">
        <w:rPr>
          <w:rStyle w:val="FootnoteReference"/>
          <w:rFonts w:ascii="Times New Roman" w:hAnsi="Times New Roman" w:cs="Times New Roman"/>
          <w:sz w:val="24"/>
          <w:szCs w:val="24"/>
        </w:rPr>
        <w:footnoteReference w:id="167"/>
      </w:r>
      <w:r w:rsidRPr="00AE141E">
        <w:rPr>
          <w:rFonts w:ascii="Times New Roman" w:hAnsi="Times New Roman" w:cs="Times New Roman"/>
          <w:sz w:val="24"/>
          <w:szCs w:val="24"/>
        </w:rPr>
        <w:t xml:space="preserve"> Global disparities in wealth were attributed to the ‘historical accident’ of the naturally uneven distribution of such resources, in a telling erasure of the extractive practices at the heart of the imperial project. The deliberate silencing of imperial exploitation allowed the authors to portray Britain’s relationship to the rest of the world as one of paternalistic guidance</w:t>
      </w:r>
      <w:r w:rsidR="007509CC">
        <w:rPr>
          <w:rFonts w:ascii="Times New Roman" w:hAnsi="Times New Roman" w:cs="Times New Roman"/>
          <w:sz w:val="24"/>
          <w:szCs w:val="24"/>
        </w:rPr>
        <w:t>; t</w:t>
      </w:r>
      <w:r w:rsidRPr="00AE141E">
        <w:rPr>
          <w:rFonts w:ascii="Times New Roman" w:hAnsi="Times New Roman" w:cs="Times New Roman"/>
          <w:sz w:val="24"/>
          <w:szCs w:val="24"/>
        </w:rPr>
        <w:t>hrough goodwill and the benevolent patronage of the ‘advanced’ world, ‘backward’ societies could be led to a higher level of human existence (industrialism; urbanisation; capitalist consumerism; liberal democracy). Histories of colonisation and imperialism were reinscribed as a long march toward international cooperation in the interest of universal progress. Once again, the ends were believed to justify the means.</w:t>
      </w:r>
    </w:p>
    <w:p w14:paraId="207E8D8F" w14:textId="4DD0953F"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modes of imperial justification employed by UNESCO and its British allies problematise Aldrich and Dean’s view that teaching in the immediate post-war years was marked by self-reflective humility.</w:t>
      </w:r>
      <w:r w:rsidR="007509CC">
        <w:rPr>
          <w:rStyle w:val="FootnoteReference"/>
          <w:rFonts w:ascii="Times New Roman" w:hAnsi="Times New Roman" w:cs="Times New Roman"/>
          <w:sz w:val="24"/>
          <w:szCs w:val="24"/>
        </w:rPr>
        <w:footnoteReference w:id="168"/>
      </w:r>
      <w:r w:rsidRPr="00AE141E">
        <w:rPr>
          <w:rFonts w:ascii="Times New Roman" w:hAnsi="Times New Roman" w:cs="Times New Roman"/>
          <w:sz w:val="24"/>
          <w:szCs w:val="24"/>
        </w:rPr>
        <w:t xml:space="preserve"> The ideological structures of imperial history remained intact. </w:t>
      </w:r>
      <w:r w:rsidR="00BD4563">
        <w:rPr>
          <w:rFonts w:ascii="Times New Roman" w:hAnsi="Times New Roman" w:cs="Times New Roman"/>
          <w:sz w:val="24"/>
          <w:szCs w:val="24"/>
        </w:rPr>
        <w:t>Furthermore, a</w:t>
      </w:r>
      <w:r w:rsidRPr="00AE141E">
        <w:rPr>
          <w:rFonts w:ascii="Times New Roman" w:hAnsi="Times New Roman" w:cs="Times New Roman"/>
          <w:sz w:val="24"/>
          <w:szCs w:val="24"/>
        </w:rPr>
        <w:t>s the country moved into the 1950s, empire</w:t>
      </w:r>
      <w:r w:rsidR="00AD7EB7">
        <w:rPr>
          <w:rFonts w:ascii="Times New Roman" w:hAnsi="Times New Roman" w:cs="Times New Roman"/>
          <w:sz w:val="24"/>
          <w:szCs w:val="24"/>
        </w:rPr>
        <w:t xml:space="preserve"> </w:t>
      </w:r>
      <w:r w:rsidR="00BD4563">
        <w:rPr>
          <w:rFonts w:ascii="Times New Roman" w:hAnsi="Times New Roman" w:cs="Times New Roman"/>
          <w:sz w:val="24"/>
          <w:szCs w:val="24"/>
        </w:rPr>
        <w:t>remained</w:t>
      </w:r>
      <w:r w:rsidRPr="00AE141E">
        <w:rPr>
          <w:rFonts w:ascii="Times New Roman" w:hAnsi="Times New Roman" w:cs="Times New Roman"/>
          <w:sz w:val="24"/>
          <w:szCs w:val="24"/>
        </w:rPr>
        <w:t xml:space="preserve"> a stable – though by no means central </w:t>
      </w:r>
      <w:r w:rsidR="00BD4563">
        <w:rPr>
          <w:rFonts w:ascii="Times New Roman" w:hAnsi="Times New Roman" w:cs="Times New Roman"/>
          <w:sz w:val="24"/>
          <w:szCs w:val="24"/>
        </w:rPr>
        <w:t>–</w:t>
      </w:r>
      <w:r w:rsidRPr="00AE141E">
        <w:rPr>
          <w:rFonts w:ascii="Times New Roman" w:hAnsi="Times New Roman" w:cs="Times New Roman"/>
          <w:sz w:val="24"/>
          <w:szCs w:val="24"/>
        </w:rPr>
        <w:t xml:space="preserve"> </w:t>
      </w:r>
      <w:r w:rsidR="00BD4563">
        <w:rPr>
          <w:rFonts w:ascii="Times New Roman" w:hAnsi="Times New Roman" w:cs="Times New Roman"/>
          <w:sz w:val="24"/>
          <w:szCs w:val="24"/>
        </w:rPr>
        <w:t>feature of the national story, as narrated in history classrooms</w:t>
      </w:r>
      <w:r w:rsidRPr="00AE141E">
        <w:rPr>
          <w:rFonts w:ascii="Times New Roman" w:hAnsi="Times New Roman" w:cs="Times New Roman"/>
          <w:sz w:val="24"/>
          <w:szCs w:val="24"/>
        </w:rPr>
        <w:t xml:space="preserve">. In 1954, the HA published a revised edition of </w:t>
      </w:r>
      <w:r w:rsidRPr="00AE141E">
        <w:rPr>
          <w:rFonts w:ascii="Times New Roman" w:hAnsi="Times New Roman" w:cs="Times New Roman"/>
          <w:i/>
          <w:sz w:val="24"/>
          <w:szCs w:val="24"/>
        </w:rPr>
        <w:t>Notes on the Teaching of British Imperial History (For Age Groups 15-18)</w:t>
      </w:r>
      <w:r w:rsidRPr="00AE141E">
        <w:rPr>
          <w:rFonts w:ascii="Times New Roman" w:hAnsi="Times New Roman" w:cs="Times New Roman"/>
          <w:sz w:val="24"/>
          <w:szCs w:val="24"/>
        </w:rPr>
        <w:t>, authored by the Eton-based teacher and textbook writer C.R.N. Routh. Routh offered a strident justification of the moral worth of an education in imperial history. The ‘vision, courage, humanity and faith’ of British empire builders – men such as Raffles, Durham, Livingstone, and Rhodes – would ‘build and improve [the] character’ of the nation’s youth.</w:t>
      </w:r>
      <w:r w:rsidRPr="00AE141E">
        <w:rPr>
          <w:rStyle w:val="FootnoteReference"/>
          <w:rFonts w:ascii="Times New Roman" w:hAnsi="Times New Roman" w:cs="Times New Roman"/>
          <w:sz w:val="24"/>
          <w:szCs w:val="24"/>
        </w:rPr>
        <w:footnoteReference w:id="169"/>
      </w:r>
      <w:r w:rsidRPr="00AE141E">
        <w:rPr>
          <w:rFonts w:ascii="Times New Roman" w:hAnsi="Times New Roman" w:cs="Times New Roman"/>
          <w:sz w:val="24"/>
          <w:szCs w:val="24"/>
        </w:rPr>
        <w:t xml:space="preserve"> Likewise, Routh believed that the study of empire was crucial to national self-understanding. The history of Britain could not be understood or appreciated, he asserted, if its ‘greatest achievement’ was neglected.</w:t>
      </w:r>
    </w:p>
    <w:p w14:paraId="2E8FD148" w14:textId="77777777" w:rsidR="00A47420"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this implies, Routh’s account bestowed benevolent intentions both on individual imperialists, and the imperial system as a whole. </w:t>
      </w:r>
      <w:r w:rsidRPr="00AE141E">
        <w:rPr>
          <w:rFonts w:ascii="Times New Roman" w:hAnsi="Times New Roman" w:cs="Times New Roman"/>
          <w:i/>
          <w:sz w:val="24"/>
          <w:szCs w:val="24"/>
        </w:rPr>
        <w:t xml:space="preserve">Notes on the Teaching of British Imperial History </w:t>
      </w:r>
      <w:r w:rsidRPr="00AE141E">
        <w:rPr>
          <w:rFonts w:ascii="Times New Roman" w:hAnsi="Times New Roman" w:cs="Times New Roman"/>
          <w:sz w:val="24"/>
          <w:szCs w:val="24"/>
        </w:rPr>
        <w:t xml:space="preserve">advised teachers to prioritise the study of the ambitions and philosophy of empire </w:t>
      </w:r>
      <w:r w:rsidRPr="00AE141E">
        <w:rPr>
          <w:rFonts w:ascii="Times New Roman" w:hAnsi="Times New Roman" w:cs="Times New Roman"/>
          <w:sz w:val="24"/>
          <w:szCs w:val="24"/>
        </w:rPr>
        <w:lastRenderedPageBreak/>
        <w:t>over the internal history of different colonies.</w:t>
      </w:r>
      <w:r w:rsidRPr="00AE141E">
        <w:rPr>
          <w:rStyle w:val="FootnoteReference"/>
          <w:rFonts w:ascii="Times New Roman" w:hAnsi="Times New Roman" w:cs="Times New Roman"/>
          <w:sz w:val="24"/>
          <w:szCs w:val="24"/>
        </w:rPr>
        <w:footnoteReference w:id="170"/>
      </w:r>
      <w:r w:rsidRPr="00AE141E">
        <w:rPr>
          <w:rFonts w:ascii="Times New Roman" w:hAnsi="Times New Roman" w:cs="Times New Roman"/>
          <w:sz w:val="24"/>
          <w:szCs w:val="24"/>
        </w:rPr>
        <w:t xml:space="preserve"> Its author named three </w:t>
      </w:r>
      <w:r w:rsidR="00AE7606" w:rsidRPr="00AE141E">
        <w:rPr>
          <w:rFonts w:ascii="Times New Roman" w:hAnsi="Times New Roman" w:cs="Times New Roman"/>
          <w:sz w:val="24"/>
          <w:szCs w:val="24"/>
        </w:rPr>
        <w:t>principal</w:t>
      </w:r>
      <w:r w:rsidRPr="00AE141E">
        <w:rPr>
          <w:rFonts w:ascii="Times New Roman" w:hAnsi="Times New Roman" w:cs="Times New Roman"/>
          <w:sz w:val="24"/>
          <w:szCs w:val="24"/>
        </w:rPr>
        <w:t xml:space="preserve"> aims of the British imperial project: the governance of new settlements overseas (the White Dominions) ‘until they came of age’ and achieved independence; the adaptation of ‘Asiatic peoples’ to ‘modern conditions’; and the education of ‘primitive and backward peoples in the ways of law, order and justice’. Such statements betray</w:t>
      </w:r>
      <w:r w:rsidR="00D233E1">
        <w:rPr>
          <w:rFonts w:ascii="Times New Roman" w:hAnsi="Times New Roman" w:cs="Times New Roman"/>
          <w:sz w:val="24"/>
          <w:szCs w:val="24"/>
        </w:rPr>
        <w:t>ed</w:t>
      </w:r>
      <w:r w:rsidRPr="00AE141E">
        <w:rPr>
          <w:rFonts w:ascii="Times New Roman" w:hAnsi="Times New Roman" w:cs="Times New Roman"/>
          <w:sz w:val="24"/>
          <w:szCs w:val="24"/>
        </w:rPr>
        <w:t xml:space="preserve"> a racialised judgement of the differential capacities of peoples and nations to govern themselves. There </w:t>
      </w:r>
      <w:r w:rsidR="00D233E1">
        <w:rPr>
          <w:rFonts w:ascii="Times New Roman" w:hAnsi="Times New Roman" w:cs="Times New Roman"/>
          <w:sz w:val="24"/>
          <w:szCs w:val="24"/>
        </w:rPr>
        <w:t>was</w:t>
      </w:r>
      <w:r w:rsidRPr="00AE141E">
        <w:rPr>
          <w:rFonts w:ascii="Times New Roman" w:hAnsi="Times New Roman" w:cs="Times New Roman"/>
          <w:sz w:val="24"/>
          <w:szCs w:val="24"/>
        </w:rPr>
        <w:t xml:space="preserve"> also a threat of violence implicit in </w:t>
      </w:r>
      <w:r w:rsidR="00850E81">
        <w:rPr>
          <w:rFonts w:ascii="Times New Roman" w:hAnsi="Times New Roman" w:cs="Times New Roman"/>
          <w:sz w:val="24"/>
          <w:szCs w:val="24"/>
        </w:rPr>
        <w:t>Routh’s</w:t>
      </w:r>
      <w:r w:rsidRPr="00AE141E">
        <w:rPr>
          <w:rFonts w:ascii="Times New Roman" w:hAnsi="Times New Roman" w:cs="Times New Roman"/>
          <w:sz w:val="24"/>
          <w:szCs w:val="24"/>
        </w:rPr>
        <w:t xml:space="preserve"> approach to modernisation: conformity to a rigid developmental model based on British norms was not to be achieved by consent of the governed. The colonisers could be trusted to act in the best interest of the colonised. </w:t>
      </w:r>
    </w:p>
    <w:p w14:paraId="32097015" w14:textId="2076220C"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Routh viewed his historical analysis as an objective truth, based upon ‘hard facts and figures’.</w:t>
      </w:r>
      <w:r w:rsidR="00A47420">
        <w:rPr>
          <w:rStyle w:val="FootnoteReference"/>
          <w:rFonts w:ascii="Times New Roman" w:hAnsi="Times New Roman" w:cs="Times New Roman"/>
          <w:sz w:val="24"/>
          <w:szCs w:val="24"/>
        </w:rPr>
        <w:footnoteReference w:id="171"/>
      </w:r>
      <w:r w:rsidRPr="00AE141E">
        <w:rPr>
          <w:rFonts w:ascii="Times New Roman" w:hAnsi="Times New Roman" w:cs="Times New Roman"/>
          <w:sz w:val="24"/>
          <w:szCs w:val="24"/>
        </w:rPr>
        <w:t xml:space="preserve"> However, his judgement relied upon the selection of evidence to </w:t>
      </w:r>
      <w:r w:rsidR="004F4ECA">
        <w:rPr>
          <w:rFonts w:ascii="Times New Roman" w:hAnsi="Times New Roman" w:cs="Times New Roman"/>
          <w:sz w:val="24"/>
          <w:szCs w:val="24"/>
        </w:rPr>
        <w:t>obscure</w:t>
      </w:r>
      <w:r w:rsidRPr="00AE141E">
        <w:rPr>
          <w:rFonts w:ascii="Times New Roman" w:hAnsi="Times New Roman" w:cs="Times New Roman"/>
          <w:sz w:val="24"/>
          <w:szCs w:val="24"/>
        </w:rPr>
        <w:t xml:space="preserve"> the experiences of colonised peoples. For example, British settler colonialism was presented as a form of cultivation of vast, ‘empty’ space. The very existence of indigenous peoples was thus erased – a cultural and historical extension of the genocidal process of settlement and expansion. The careful excision of histories revealing the violent logics inherent to the imperial project allowed Routh to reduce brutality to singular instances of (regrettable) ‘human error’.</w:t>
      </w:r>
    </w:p>
    <w:p w14:paraId="2F1D93E5" w14:textId="4518CB02"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Routh’s tract was as much defensive as it was assertive. The author believed that the teaching of imperial history had failed to achieve the prominence warranted by its ‘interest and importance’.</w:t>
      </w:r>
      <w:r w:rsidRPr="00AE141E">
        <w:rPr>
          <w:rStyle w:val="FootnoteReference"/>
          <w:rFonts w:ascii="Times New Roman" w:hAnsi="Times New Roman" w:cs="Times New Roman"/>
          <w:sz w:val="24"/>
          <w:szCs w:val="24"/>
        </w:rPr>
        <w:footnoteReference w:id="172"/>
      </w:r>
      <w:r w:rsidRPr="00AE141E">
        <w:rPr>
          <w:rFonts w:ascii="Times New Roman" w:hAnsi="Times New Roman" w:cs="Times New Roman"/>
          <w:sz w:val="24"/>
          <w:szCs w:val="24"/>
        </w:rPr>
        <w:t xml:space="preserve">  He cited several factors which lay behind the subject’s neglect. University history departments were accused of teaching empire as a series of constitutional milestones – ‘an approach well calculated to destroy all enthusiasm for the history of the British peoples overseas’. This stagnant and dull field of academic study was ill-equipped to serve the growing appetite of school history teachers for information and resources. Routh claimed that history teachers had answered ‘attacks’ on British imperialism (‘provoked chiefly by affairs in India and directed principally from the United States’) by throwing imperial history into an overcrowded timetable, without due recourse to the fundamental educational ‘machinery’ of textbooks, teaching aids, and suitable exam syllabi. Teachers were thus left in a predicament: under</w:t>
      </w:r>
      <w:r w:rsidR="0088441E" w:rsidRPr="00AE141E">
        <w:rPr>
          <w:rFonts w:ascii="Times New Roman" w:hAnsi="Times New Roman" w:cs="Times New Roman"/>
          <w:sz w:val="24"/>
          <w:szCs w:val="24"/>
        </w:rPr>
        <w:t>-</w:t>
      </w:r>
      <w:r w:rsidRPr="00AE141E">
        <w:rPr>
          <w:rFonts w:ascii="Times New Roman" w:hAnsi="Times New Roman" w:cs="Times New Roman"/>
          <w:sz w:val="24"/>
          <w:szCs w:val="24"/>
        </w:rPr>
        <w:t xml:space="preserve">resourced, unsupported, and inexperienced, but committed to exposing the dangerous </w:t>
      </w:r>
      <w:r w:rsidRPr="00AE141E">
        <w:rPr>
          <w:rFonts w:ascii="Times New Roman" w:hAnsi="Times New Roman" w:cs="Times New Roman"/>
          <w:sz w:val="24"/>
          <w:szCs w:val="24"/>
        </w:rPr>
        <w:lastRenderedPageBreak/>
        <w:t>‘historical ignorance’ of anti-imperial thought. Routh reassured his fellow educators that the tides were turning</w:t>
      </w:r>
      <w:r w:rsidR="00FA27B7">
        <w:rPr>
          <w:rFonts w:ascii="Times New Roman" w:hAnsi="Times New Roman" w:cs="Times New Roman"/>
          <w:sz w:val="24"/>
          <w:szCs w:val="24"/>
        </w:rPr>
        <w:t>:</w:t>
      </w:r>
      <w:r w:rsidRPr="00AE141E">
        <w:rPr>
          <w:rFonts w:ascii="Times New Roman" w:hAnsi="Times New Roman" w:cs="Times New Roman"/>
          <w:sz w:val="24"/>
          <w:szCs w:val="24"/>
        </w:rPr>
        <w:t xml:space="preserve"> Cambridge University Press had answered the demand for texts suitable for use at a secondary level with a dedicated new series.</w:t>
      </w:r>
      <w:r w:rsidR="00707261">
        <w:rPr>
          <w:rStyle w:val="FootnoteReference"/>
          <w:rFonts w:ascii="Times New Roman" w:hAnsi="Times New Roman" w:cs="Times New Roman"/>
          <w:sz w:val="24"/>
          <w:szCs w:val="24"/>
        </w:rPr>
        <w:footnoteReference w:id="173"/>
      </w:r>
      <w:r w:rsidR="006657B5" w:rsidRPr="00AE141E">
        <w:rPr>
          <w:rFonts w:ascii="Times New Roman" w:hAnsi="Times New Roman" w:cs="Times New Roman"/>
          <w:sz w:val="24"/>
          <w:szCs w:val="24"/>
        </w:rPr>
        <w:t xml:space="preserve"> </w:t>
      </w:r>
      <w:r w:rsidRPr="00AE141E">
        <w:rPr>
          <w:rFonts w:ascii="Times New Roman" w:hAnsi="Times New Roman" w:cs="Times New Roman"/>
          <w:sz w:val="24"/>
          <w:szCs w:val="24"/>
        </w:rPr>
        <w:t>Additionally, the Royal Empire Society could be relied upon to bring ‘the man on the spot’ into the classroom, offering educational visits from current and former Governors and District Commissioners.</w:t>
      </w:r>
    </w:p>
    <w:p w14:paraId="1CBF8FDC" w14:textId="7777777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Routh noted one further obstacle to the teaching of imperial history: that of student opposition. His text devoted considerable space to advice on addressing – and combatting – an ‘immediate, persistent and totally uninformed suspicion on the part of the Sixth Form student as soon as the word Imperialism is uttered’.</w:t>
      </w:r>
      <w:r w:rsidRPr="00AE141E">
        <w:rPr>
          <w:rStyle w:val="FootnoteReference"/>
          <w:rFonts w:ascii="Times New Roman" w:hAnsi="Times New Roman" w:cs="Times New Roman"/>
          <w:sz w:val="24"/>
          <w:szCs w:val="24"/>
        </w:rPr>
        <w:footnoteReference w:id="174"/>
      </w:r>
      <w:r w:rsidRPr="00AE141E">
        <w:rPr>
          <w:rFonts w:ascii="Times New Roman" w:hAnsi="Times New Roman" w:cs="Times New Roman"/>
          <w:sz w:val="24"/>
          <w:szCs w:val="24"/>
        </w:rPr>
        <w:t xml:space="preserve"> Routh acknowledged that pupils’ scepticism may form an important counterweight to ‘national bigotry and self-righteousness’. Yet such scepticism was characterised as itself a form of prejudice which stood in the way of ‘true historical judgement’. Simple statistical analysis would be sufficient to refute allegations of imperial injustice and correct students’ historical bias. Here, Routh erected a juxtaposition between his own adulation of empire (objective; fact-based) and his students’ critical approach (subjective; emotional). Imperial benevolence was presented as a fundamental truth, removed from the political and/or ideological currents which shaped anti-imperial thought – a familiar machination in the defence of empire.</w:t>
      </w:r>
    </w:p>
    <w:p w14:paraId="7BFEB253" w14:textId="0D3C2E3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Routh’s concern with justifying imperialism to school students suggests that they were willing to vocalise hostility to received narratives. His own teaching experience was firmly based in an elite institution in the private sector. However, the HA’s decision to publish (and reprint) his reflections indicated that they were believed to have a more general relevance. Routh attributed student opposition to the broader scepticism of the age.</w:t>
      </w:r>
      <w:r w:rsidRPr="00AE141E">
        <w:rPr>
          <w:rStyle w:val="FootnoteReference"/>
          <w:rFonts w:ascii="Times New Roman" w:hAnsi="Times New Roman" w:cs="Times New Roman"/>
          <w:sz w:val="24"/>
          <w:szCs w:val="24"/>
        </w:rPr>
        <w:footnoteReference w:id="175"/>
      </w:r>
      <w:r w:rsidRPr="00AE141E">
        <w:rPr>
          <w:rFonts w:ascii="Times New Roman" w:hAnsi="Times New Roman" w:cs="Times New Roman"/>
          <w:sz w:val="24"/>
          <w:szCs w:val="24"/>
        </w:rPr>
        <w:t xml:space="preserve"> The self-assurance with which pupils challenged the traditional distribution of authority within the classroom might be seen as an early premonition of the ‘decline in deference’ which Florence Sutcliffe-Braithwaite has posited as a major feature of late twentieth century Britain.</w:t>
      </w:r>
      <w:r w:rsidRPr="00AE141E">
        <w:rPr>
          <w:rStyle w:val="FootnoteReference"/>
          <w:rFonts w:ascii="Times New Roman" w:hAnsi="Times New Roman" w:cs="Times New Roman"/>
          <w:sz w:val="24"/>
          <w:szCs w:val="24"/>
        </w:rPr>
        <w:footnoteReference w:id="176"/>
      </w:r>
      <w:r w:rsidRPr="00AE141E">
        <w:rPr>
          <w:rFonts w:ascii="Times New Roman" w:hAnsi="Times New Roman" w:cs="Times New Roman"/>
          <w:sz w:val="24"/>
          <w:szCs w:val="24"/>
        </w:rPr>
        <w:t xml:space="preserve"> The post-war collapse of a deferential culture has itself been linked to the end of empire, when satire and </w:t>
      </w:r>
      <w:r w:rsidRPr="00AE141E">
        <w:rPr>
          <w:rFonts w:ascii="Times New Roman" w:hAnsi="Times New Roman" w:cs="Times New Roman"/>
          <w:sz w:val="24"/>
          <w:szCs w:val="24"/>
        </w:rPr>
        <w:lastRenderedPageBreak/>
        <w:t>parody emerged as popular entertainment forms in a bid to render ‘dramatic changes in the national self-image’ less threatening.</w:t>
      </w:r>
      <w:r w:rsidRPr="00AE141E">
        <w:rPr>
          <w:rStyle w:val="FootnoteReference"/>
          <w:rFonts w:ascii="Times New Roman" w:hAnsi="Times New Roman" w:cs="Times New Roman"/>
          <w:sz w:val="24"/>
          <w:szCs w:val="24"/>
        </w:rPr>
        <w:footnoteReference w:id="177"/>
      </w:r>
      <w:r w:rsidRPr="00AE141E">
        <w:rPr>
          <w:rFonts w:ascii="Times New Roman" w:hAnsi="Times New Roman" w:cs="Times New Roman"/>
          <w:sz w:val="24"/>
          <w:szCs w:val="24"/>
        </w:rPr>
        <w:t xml:space="preserve">  Routh’s experience usefully point</w:t>
      </w:r>
      <w:r w:rsidR="00000986" w:rsidRPr="00AE141E">
        <w:rPr>
          <w:rFonts w:ascii="Times New Roman" w:hAnsi="Times New Roman" w:cs="Times New Roman"/>
          <w:sz w:val="24"/>
          <w:szCs w:val="24"/>
        </w:rPr>
        <w:t>s</w:t>
      </w:r>
      <w:r w:rsidRPr="00AE141E">
        <w:rPr>
          <w:rFonts w:ascii="Times New Roman" w:hAnsi="Times New Roman" w:cs="Times New Roman"/>
          <w:sz w:val="24"/>
          <w:szCs w:val="24"/>
        </w:rPr>
        <w:t xml:space="preserve"> towards two central features of educational history: power in classrooms is rarely unipolar, and the narrative given by teachers is not always that received by students.</w:t>
      </w:r>
    </w:p>
    <w:p w14:paraId="750C1E53" w14:textId="7777777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Contemporary syllabi affirm Routh’s judgement that imperial history was widely taught but rarely emphasised. In 1952 the Ministry of Education released </w:t>
      </w:r>
      <w:r w:rsidRPr="00AE141E">
        <w:rPr>
          <w:rFonts w:ascii="Times New Roman" w:hAnsi="Times New Roman" w:cs="Times New Roman"/>
          <w:i/>
          <w:sz w:val="24"/>
          <w:szCs w:val="24"/>
        </w:rPr>
        <w:t>Teaching History</w:t>
      </w:r>
      <w:r w:rsidRPr="00AE141E">
        <w:rPr>
          <w:rFonts w:ascii="Times New Roman" w:hAnsi="Times New Roman" w:cs="Times New Roman"/>
          <w:sz w:val="24"/>
          <w:szCs w:val="24"/>
        </w:rPr>
        <w:t xml:space="preserve">, a pamphlet which combined reflection on contemporary historical education with guidelines for best practice. The pamphlet attracted a considerable readership and would be reprinted multiple times through to the mid-1960s. </w:t>
      </w:r>
      <w:r w:rsidRPr="00AE141E">
        <w:rPr>
          <w:rFonts w:ascii="Times New Roman" w:hAnsi="Times New Roman" w:cs="Times New Roman"/>
          <w:i/>
          <w:sz w:val="24"/>
          <w:szCs w:val="24"/>
        </w:rPr>
        <w:t xml:space="preserve">Teaching History </w:t>
      </w:r>
      <w:r w:rsidRPr="00AE141E">
        <w:rPr>
          <w:rFonts w:ascii="Times New Roman" w:hAnsi="Times New Roman" w:cs="Times New Roman"/>
          <w:sz w:val="24"/>
          <w:szCs w:val="24"/>
        </w:rPr>
        <w:t>provides an invaluable guide to school curricula in post-war Britain, especially in grammar schools, where rigid university entrance requirements imposed considerable uniformity.</w:t>
      </w:r>
      <w:r w:rsidRPr="00AE141E">
        <w:rPr>
          <w:rStyle w:val="FootnoteReference"/>
          <w:rFonts w:ascii="Times New Roman" w:hAnsi="Times New Roman" w:cs="Times New Roman"/>
          <w:sz w:val="24"/>
          <w:szCs w:val="24"/>
        </w:rPr>
        <w:footnoteReference w:id="178"/>
      </w:r>
      <w:r w:rsidRPr="00AE141E">
        <w:rPr>
          <w:rFonts w:ascii="Times New Roman" w:hAnsi="Times New Roman" w:cs="Times New Roman"/>
          <w:sz w:val="24"/>
          <w:szCs w:val="24"/>
        </w:rPr>
        <w:t xml:space="preserve"> Some three-quarters of grammar schools were believed to teach to the following structure, with minor variation:</w:t>
      </w:r>
    </w:p>
    <w:p w14:paraId="6CF43FE0" w14:textId="77777777" w:rsidR="00E13EF0" w:rsidRPr="00AE141E" w:rsidRDefault="00E13EF0"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u w:val="single"/>
        </w:rPr>
        <w:t>Age 11-12:</w:t>
      </w:r>
      <w:r w:rsidRPr="00AE141E">
        <w:rPr>
          <w:rFonts w:ascii="Times New Roman" w:hAnsi="Times New Roman" w:cs="Times New Roman"/>
          <w:sz w:val="24"/>
          <w:szCs w:val="24"/>
        </w:rPr>
        <w:t xml:space="preserve"> Pre-History, Ancient Civilizations, or Mediaeval History.</w:t>
      </w:r>
    </w:p>
    <w:p w14:paraId="7143599A" w14:textId="71B14AF8" w:rsidR="00E13EF0" w:rsidRPr="00AE141E" w:rsidRDefault="00E13EF0"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u w:val="single"/>
        </w:rPr>
        <w:t>Age 12-13:</w:t>
      </w:r>
      <w:r w:rsidRPr="00AE141E">
        <w:rPr>
          <w:rFonts w:ascii="Times New Roman" w:hAnsi="Times New Roman" w:cs="Times New Roman"/>
          <w:sz w:val="24"/>
          <w:szCs w:val="24"/>
        </w:rPr>
        <w:t xml:space="preserve"> The Tudors and Stuarts</w:t>
      </w:r>
      <w:r w:rsidR="007004EA" w:rsidRPr="00AE141E">
        <w:rPr>
          <w:rFonts w:ascii="Times New Roman" w:hAnsi="Times New Roman" w:cs="Times New Roman"/>
          <w:sz w:val="24"/>
          <w:szCs w:val="24"/>
        </w:rPr>
        <w:t>.</w:t>
      </w:r>
    </w:p>
    <w:p w14:paraId="3FD15212" w14:textId="39961237" w:rsidR="00E13EF0" w:rsidRPr="00AE141E" w:rsidRDefault="00E13EF0"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u w:val="single"/>
        </w:rPr>
        <w:t>Age 13-14:</w:t>
      </w:r>
      <w:r w:rsidRPr="00AE141E">
        <w:rPr>
          <w:rFonts w:ascii="Times New Roman" w:hAnsi="Times New Roman" w:cs="Times New Roman"/>
          <w:sz w:val="24"/>
          <w:szCs w:val="24"/>
        </w:rPr>
        <w:t xml:space="preserve"> The Eighteenth Century in England, with some American and Empire History and sometimes the Eighteenth Century in Europe</w:t>
      </w:r>
      <w:r w:rsidR="007004EA" w:rsidRPr="00AE141E">
        <w:rPr>
          <w:rFonts w:ascii="Times New Roman" w:hAnsi="Times New Roman" w:cs="Times New Roman"/>
          <w:sz w:val="24"/>
          <w:szCs w:val="24"/>
        </w:rPr>
        <w:t>.</w:t>
      </w:r>
    </w:p>
    <w:p w14:paraId="5C465062" w14:textId="77777777" w:rsidR="00E13EF0" w:rsidRPr="00AE141E" w:rsidRDefault="00E13EF0"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u w:val="single"/>
        </w:rPr>
        <w:t>Age 14-15</w:t>
      </w:r>
      <w:r w:rsidRPr="00AE141E">
        <w:rPr>
          <w:rFonts w:ascii="Times New Roman" w:hAnsi="Times New Roman" w:cs="Times New Roman"/>
          <w:sz w:val="24"/>
          <w:szCs w:val="24"/>
        </w:rPr>
        <w:t xml:space="preserve"> and </w:t>
      </w:r>
      <w:r w:rsidRPr="00AE141E">
        <w:rPr>
          <w:rFonts w:ascii="Times New Roman" w:hAnsi="Times New Roman" w:cs="Times New Roman"/>
          <w:sz w:val="24"/>
          <w:szCs w:val="24"/>
          <w:u w:val="single"/>
        </w:rPr>
        <w:t>Age 15-16</w:t>
      </w:r>
      <w:r w:rsidRPr="00AE141E">
        <w:rPr>
          <w:rFonts w:ascii="Times New Roman" w:hAnsi="Times New Roman" w:cs="Times New Roman"/>
          <w:b/>
          <w:bCs/>
          <w:sz w:val="24"/>
          <w:szCs w:val="24"/>
          <w:u w:val="single"/>
        </w:rPr>
        <w:t>:</w:t>
      </w:r>
      <w:r w:rsidRPr="00AE141E">
        <w:rPr>
          <w:rFonts w:ascii="Times New Roman" w:hAnsi="Times New Roman" w:cs="Times New Roman"/>
          <w:sz w:val="24"/>
          <w:szCs w:val="24"/>
        </w:rPr>
        <w:t xml:space="preserve"> Nineteenth-century English and European History (occasionally American) to be taken for certificate examination.</w:t>
      </w:r>
      <w:r w:rsidRPr="00AE141E">
        <w:rPr>
          <w:rStyle w:val="FootnoteReference"/>
          <w:rFonts w:ascii="Times New Roman" w:hAnsi="Times New Roman" w:cs="Times New Roman"/>
          <w:sz w:val="24"/>
          <w:szCs w:val="24"/>
        </w:rPr>
        <w:footnoteReference w:id="179"/>
      </w:r>
    </w:p>
    <w:p w14:paraId="1086A342" w14:textId="3E085C78"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At all stages of study, national history (variously conceived as English or British) formed the core</w:t>
      </w:r>
      <w:r w:rsidR="00C0536C" w:rsidRPr="00AE141E">
        <w:rPr>
          <w:rFonts w:ascii="Times New Roman" w:hAnsi="Times New Roman" w:cs="Times New Roman"/>
          <w:sz w:val="24"/>
          <w:szCs w:val="24"/>
        </w:rPr>
        <w:t xml:space="preserve"> of the curriculum</w:t>
      </w:r>
      <w:r w:rsidRPr="00AE141E">
        <w:rPr>
          <w:rFonts w:ascii="Times New Roman" w:hAnsi="Times New Roman" w:cs="Times New Roman"/>
          <w:sz w:val="24"/>
          <w:szCs w:val="24"/>
        </w:rPr>
        <w:t>. Generally speaking, students would move from earlier periods to later periods as they got older. Teachers justified this structure on both an ideological and a pedagogical basis. Progression through the ages was believed to illuminate the grand narrative arc of national history (‘a great story nobly told’).</w:t>
      </w:r>
      <w:r w:rsidRPr="00AE141E">
        <w:rPr>
          <w:rStyle w:val="FootnoteReference"/>
          <w:rFonts w:ascii="Times New Roman" w:hAnsi="Times New Roman" w:cs="Times New Roman"/>
          <w:sz w:val="24"/>
          <w:szCs w:val="24"/>
        </w:rPr>
        <w:footnoteReference w:id="180"/>
      </w:r>
      <w:r w:rsidRPr="00AE141E">
        <w:rPr>
          <w:rFonts w:ascii="Times New Roman" w:hAnsi="Times New Roman" w:cs="Times New Roman"/>
          <w:sz w:val="24"/>
          <w:szCs w:val="24"/>
        </w:rPr>
        <w:t xml:space="preserve"> The alien nature of temporally distant historical events was expected to hold ‘imaginative appeal’ for younger students. For </w:t>
      </w:r>
      <w:r w:rsidRPr="00AE141E">
        <w:rPr>
          <w:rFonts w:ascii="Times New Roman" w:hAnsi="Times New Roman" w:cs="Times New Roman"/>
          <w:sz w:val="24"/>
          <w:szCs w:val="24"/>
        </w:rPr>
        <w:lastRenderedPageBreak/>
        <w:t xml:space="preserve">their older peers, recent history would serve as an introduction to the world into which they would enter upon leaving school. </w:t>
      </w:r>
    </w:p>
    <w:p w14:paraId="1831E4C9" w14:textId="09BF86A6"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Secondary moderns offered more varied and experimental curricula. They were guided by the pursuit of relevance for students who would likely leave school, enter employment, and assume many of the responsibilities of adult life before the age of 16.</w:t>
      </w:r>
      <w:r w:rsidRPr="00AE141E">
        <w:rPr>
          <w:rStyle w:val="FootnoteReference"/>
          <w:rFonts w:ascii="Times New Roman" w:hAnsi="Times New Roman" w:cs="Times New Roman"/>
          <w:sz w:val="24"/>
          <w:szCs w:val="24"/>
        </w:rPr>
        <w:footnoteReference w:id="181"/>
      </w:r>
      <w:r w:rsidRPr="00AE141E">
        <w:rPr>
          <w:rFonts w:ascii="Times New Roman" w:hAnsi="Times New Roman" w:cs="Times New Roman"/>
          <w:sz w:val="24"/>
          <w:szCs w:val="24"/>
        </w:rPr>
        <w:t xml:space="preserve">  While grammar schools tended to end their chronological narrative with the start of the First World War, secondary moderns often extended further, seeking to bring history ‘up to date’. Social and economic history often took priority over the old-style ‘political outline’.</w:t>
      </w:r>
      <w:r w:rsidRPr="00AE141E">
        <w:rPr>
          <w:rStyle w:val="FootnoteReference"/>
          <w:rFonts w:ascii="Times New Roman" w:hAnsi="Times New Roman" w:cs="Times New Roman"/>
          <w:sz w:val="24"/>
          <w:szCs w:val="24"/>
        </w:rPr>
        <w:footnoteReference w:id="182"/>
      </w:r>
      <w:r w:rsidRPr="00AE141E">
        <w:rPr>
          <w:rFonts w:ascii="Times New Roman" w:hAnsi="Times New Roman" w:cs="Times New Roman"/>
          <w:sz w:val="24"/>
          <w:szCs w:val="24"/>
        </w:rPr>
        <w:t xml:space="preserve"> Thematic study, which included histories of clothing, trade, and food, provided links with pupils’ vocational work.</w:t>
      </w:r>
      <w:r w:rsidR="00865129">
        <w:rPr>
          <w:rStyle w:val="FootnoteReference"/>
          <w:rFonts w:ascii="Times New Roman" w:hAnsi="Times New Roman" w:cs="Times New Roman"/>
          <w:sz w:val="24"/>
          <w:szCs w:val="24"/>
        </w:rPr>
        <w:footnoteReference w:id="183"/>
      </w:r>
      <w:r w:rsidRPr="00AE141E">
        <w:rPr>
          <w:rFonts w:ascii="Times New Roman" w:hAnsi="Times New Roman" w:cs="Times New Roman"/>
          <w:sz w:val="24"/>
          <w:szCs w:val="24"/>
        </w:rPr>
        <w:t xml:space="preserve"> Teaching was also more likely to apply broad categories of analysis: history was inscribed as a form of movement between ‘distinct phases’ of development (feudalism and industrialism, for example). Nevertheless, the traditional idea of ‘history as an evolution, as bestowing a heritage’ had survived and was implicit in the chronological, sequential organisation of </w:t>
      </w:r>
      <w:r w:rsidR="00EB293A" w:rsidRPr="00AE141E">
        <w:rPr>
          <w:rFonts w:ascii="Times New Roman" w:hAnsi="Times New Roman" w:cs="Times New Roman"/>
          <w:sz w:val="24"/>
          <w:szCs w:val="24"/>
        </w:rPr>
        <w:t>nationally based</w:t>
      </w:r>
      <w:r w:rsidRPr="00AE141E">
        <w:rPr>
          <w:rFonts w:ascii="Times New Roman" w:hAnsi="Times New Roman" w:cs="Times New Roman"/>
          <w:sz w:val="24"/>
          <w:szCs w:val="24"/>
        </w:rPr>
        <w:t xml:space="preserve"> content. English history remained at the core, situated at times in a European and – particularly in the later stages of a pupil’s education –</w:t>
      </w:r>
      <w:r w:rsidR="00473843">
        <w:rPr>
          <w:rFonts w:ascii="Times New Roman" w:hAnsi="Times New Roman" w:cs="Times New Roman"/>
          <w:sz w:val="24"/>
          <w:szCs w:val="24"/>
        </w:rPr>
        <w:t xml:space="preserve"> </w:t>
      </w:r>
      <w:r w:rsidRPr="00AE141E">
        <w:rPr>
          <w:rFonts w:ascii="Times New Roman" w:hAnsi="Times New Roman" w:cs="Times New Roman"/>
          <w:sz w:val="24"/>
          <w:szCs w:val="24"/>
        </w:rPr>
        <w:t>a world setting.</w:t>
      </w:r>
      <w:r w:rsidR="0036236C">
        <w:rPr>
          <w:rStyle w:val="FootnoteReference"/>
          <w:rFonts w:ascii="Times New Roman" w:hAnsi="Times New Roman" w:cs="Times New Roman"/>
          <w:sz w:val="24"/>
          <w:szCs w:val="24"/>
        </w:rPr>
        <w:footnoteReference w:id="184"/>
      </w:r>
      <w:r w:rsidRPr="00AE141E">
        <w:rPr>
          <w:rFonts w:ascii="Times New Roman" w:hAnsi="Times New Roman" w:cs="Times New Roman"/>
          <w:sz w:val="24"/>
          <w:szCs w:val="24"/>
        </w:rPr>
        <w:t xml:space="preserve"> The world dimension typically included both US and Commonwealth history.</w:t>
      </w:r>
    </w:p>
    <w:p w14:paraId="4D22A346" w14:textId="0C9A812E" w:rsidR="00E13EF0"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Grammar schools and secondary moderns concurred on the start-date for ‘relevant’, ‘modern’ history:  in both cases, courses for pupils aged 14 and above tended to start around 1776.</w:t>
      </w:r>
      <w:r w:rsidRPr="00AE141E">
        <w:rPr>
          <w:rStyle w:val="FootnoteReference"/>
          <w:rFonts w:ascii="Times New Roman" w:hAnsi="Times New Roman" w:cs="Times New Roman"/>
          <w:sz w:val="24"/>
          <w:szCs w:val="24"/>
        </w:rPr>
        <w:footnoteReference w:id="185"/>
      </w:r>
      <w:r w:rsidRPr="00AE141E">
        <w:rPr>
          <w:rFonts w:ascii="Times New Roman" w:hAnsi="Times New Roman" w:cs="Times New Roman"/>
          <w:sz w:val="24"/>
          <w:szCs w:val="24"/>
        </w:rPr>
        <w:t xml:space="preserve"> Previously, school syllabi had placed the beginning of modernity much earlier, in 1485. As </w:t>
      </w:r>
      <w:r w:rsidRPr="00AE141E">
        <w:rPr>
          <w:rFonts w:ascii="Times New Roman" w:hAnsi="Times New Roman" w:cs="Times New Roman"/>
          <w:i/>
          <w:sz w:val="24"/>
          <w:szCs w:val="24"/>
        </w:rPr>
        <w:t xml:space="preserve">Teaching History </w:t>
      </w:r>
      <w:r w:rsidRPr="00AE141E">
        <w:rPr>
          <w:rFonts w:ascii="Times New Roman" w:hAnsi="Times New Roman" w:cs="Times New Roman"/>
          <w:sz w:val="24"/>
          <w:szCs w:val="24"/>
        </w:rPr>
        <w:t xml:space="preserve">noted, the transference of the beginning of ‘modern history’ from 1485 to 1776 represented a ‘shift in emphasis as well as </w:t>
      </w:r>
      <w:r w:rsidR="00CD507A">
        <w:rPr>
          <w:rFonts w:ascii="Times New Roman" w:hAnsi="Times New Roman" w:cs="Times New Roman"/>
          <w:sz w:val="24"/>
          <w:szCs w:val="24"/>
        </w:rPr>
        <w:t xml:space="preserve">in </w:t>
      </w:r>
      <w:r w:rsidRPr="00AE141E">
        <w:rPr>
          <w:rFonts w:ascii="Times New Roman" w:hAnsi="Times New Roman" w:cs="Times New Roman"/>
          <w:sz w:val="24"/>
          <w:szCs w:val="24"/>
        </w:rPr>
        <w:t>period’.</w:t>
      </w:r>
      <w:r w:rsidR="000A18C9">
        <w:rPr>
          <w:rStyle w:val="FootnoteReference"/>
          <w:rFonts w:ascii="Times New Roman" w:hAnsi="Times New Roman" w:cs="Times New Roman"/>
          <w:sz w:val="24"/>
          <w:szCs w:val="24"/>
        </w:rPr>
        <w:footnoteReference w:id="186"/>
      </w:r>
      <w:r w:rsidRPr="00AE141E">
        <w:rPr>
          <w:rFonts w:ascii="Times New Roman" w:hAnsi="Times New Roman" w:cs="Times New Roman"/>
          <w:sz w:val="24"/>
          <w:szCs w:val="24"/>
        </w:rPr>
        <w:t xml:space="preserve"> 1485, the year in which Henry VII inaugurated the Tudor dynasty, had been symbolic of the flowering of a distinctive national consciousness (expressed in his successor’s break with Roman Catholicism). It was also redolent of the cultural achievements of the Renaissance. By contrast, a start-date of </w:t>
      </w:r>
      <w:r w:rsidRPr="00AE141E">
        <w:rPr>
          <w:rFonts w:ascii="Times New Roman" w:hAnsi="Times New Roman" w:cs="Times New Roman"/>
          <w:sz w:val="24"/>
          <w:szCs w:val="24"/>
        </w:rPr>
        <w:lastRenderedPageBreak/>
        <w:t xml:space="preserve">1776, the year of the American Revolution, spoke to a less introspective vision of British history. This was the history of the nation on the world stage, expressed through the dual processes of colonisation and decolonisation. The later </w:t>
      </w:r>
      <w:r w:rsidR="00EB293A" w:rsidRPr="00AE141E">
        <w:rPr>
          <w:rFonts w:ascii="Times New Roman" w:hAnsi="Times New Roman" w:cs="Times New Roman"/>
          <w:sz w:val="24"/>
          <w:szCs w:val="24"/>
        </w:rPr>
        <w:t>starting point</w:t>
      </w:r>
      <w:r w:rsidRPr="00AE141E">
        <w:rPr>
          <w:rFonts w:ascii="Times New Roman" w:hAnsi="Times New Roman" w:cs="Times New Roman"/>
          <w:sz w:val="24"/>
          <w:szCs w:val="24"/>
        </w:rPr>
        <w:t xml:space="preserve"> also had the effect of placing a greater emphasis on the history of the nineteenth century, including industrialisation and the High Imperialist era.</w:t>
      </w:r>
    </w:p>
    <w:p w14:paraId="44DE8D5F" w14:textId="6B679781"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study of empire was heavily concentrated in upper forms. Imperial history from 1776 onwards appeared at age 13-14. In the examination forms (ages 14-15 and ages 15-16), empire appeared </w:t>
      </w:r>
      <w:r w:rsidR="009915AD" w:rsidRPr="00AE141E">
        <w:rPr>
          <w:rFonts w:ascii="Times New Roman" w:hAnsi="Times New Roman" w:cs="Times New Roman"/>
          <w:sz w:val="24"/>
          <w:szCs w:val="24"/>
        </w:rPr>
        <w:t xml:space="preserve">in </w:t>
      </w:r>
      <w:r w:rsidRPr="00AE141E">
        <w:rPr>
          <w:rFonts w:ascii="Times New Roman" w:hAnsi="Times New Roman" w:cs="Times New Roman"/>
          <w:sz w:val="24"/>
          <w:szCs w:val="24"/>
        </w:rPr>
        <w:t>two principal guises: in the highly popular nineteenth century English papers, and in dedicated imperial and Commonwealth history papers.</w:t>
      </w:r>
      <w:r w:rsidRPr="00AE141E">
        <w:rPr>
          <w:rStyle w:val="FootnoteReference"/>
          <w:rFonts w:ascii="Times New Roman" w:hAnsi="Times New Roman" w:cs="Times New Roman"/>
          <w:sz w:val="24"/>
          <w:szCs w:val="24"/>
        </w:rPr>
        <w:footnoteReference w:id="187"/>
      </w:r>
      <w:r w:rsidRPr="00AE141E">
        <w:rPr>
          <w:rFonts w:ascii="Times New Roman" w:hAnsi="Times New Roman" w:cs="Times New Roman"/>
          <w:sz w:val="24"/>
          <w:szCs w:val="24"/>
        </w:rPr>
        <w:t xml:space="preserve"> According to </w:t>
      </w:r>
      <w:r w:rsidRPr="00AE141E">
        <w:rPr>
          <w:rFonts w:ascii="Times New Roman" w:hAnsi="Times New Roman" w:cs="Times New Roman"/>
          <w:i/>
          <w:sz w:val="24"/>
          <w:szCs w:val="24"/>
        </w:rPr>
        <w:t>Teaching History</w:t>
      </w:r>
      <w:r w:rsidRPr="00AE141E">
        <w:rPr>
          <w:rFonts w:ascii="Times New Roman" w:hAnsi="Times New Roman" w:cs="Times New Roman"/>
          <w:sz w:val="24"/>
          <w:szCs w:val="24"/>
        </w:rPr>
        <w:t>, nineteenth century English papers ranged widely, but covered the following topics with a clear imperial dimension:</w:t>
      </w:r>
    </w:p>
    <w:p w14:paraId="28E2404B" w14:textId="77777777" w:rsidR="00E13EF0" w:rsidRPr="00AE141E" w:rsidRDefault="00E13EF0"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Gladstone and Disraeli at home and abroad; ‘The Irish Problem’ (usually ending in 1886, with the failure of Gladstone's First Home Rule Bill); the evolution of Dominion Status in Canada and Australia; The Boer Wars; South America; ‘The Eastern Question’ and the Congress of Berlin (which transferred control of Cyprus from the Ottoman to the British empire); ‘The Scramble for Africa’.</w:t>
      </w:r>
      <w:r w:rsidRPr="00AE141E">
        <w:rPr>
          <w:rStyle w:val="FootnoteReference"/>
          <w:rFonts w:ascii="Times New Roman" w:hAnsi="Times New Roman" w:cs="Times New Roman"/>
          <w:sz w:val="24"/>
          <w:szCs w:val="24"/>
        </w:rPr>
        <w:footnoteReference w:id="188"/>
      </w:r>
    </w:p>
    <w:p w14:paraId="0AC93B5D" w14:textId="7777777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use of descriptors such as ‘The Irish Problem’ or ‘The Scramble for Africa’ implies a denial of the subjectivity and agency of the colonised. This was an imperial history seen principally (or even exclusively) through British eyes, as an extension of domestic politics. Nor was imperial history anything more than marginal to the totality of the examination syllabus: as one government publication lamented, ‘nineteenth century experiments in constitutional advance’ were referred to only ‘incidentally’.</w:t>
      </w:r>
      <w:r w:rsidRPr="00AE141E">
        <w:rPr>
          <w:rStyle w:val="FootnoteReference"/>
          <w:rFonts w:ascii="Times New Roman" w:hAnsi="Times New Roman" w:cs="Times New Roman"/>
          <w:sz w:val="24"/>
          <w:szCs w:val="24"/>
        </w:rPr>
        <w:footnoteReference w:id="189"/>
      </w:r>
      <w:r w:rsidRPr="00AE141E">
        <w:rPr>
          <w:rFonts w:ascii="Times New Roman" w:hAnsi="Times New Roman" w:cs="Times New Roman"/>
          <w:sz w:val="24"/>
          <w:szCs w:val="24"/>
        </w:rPr>
        <w:t xml:space="preserve"> </w:t>
      </w:r>
    </w:p>
    <w:p w14:paraId="2FFD9EB3" w14:textId="426FB835" w:rsidR="00EF67D9" w:rsidRPr="00AE141E" w:rsidRDefault="00396A37" w:rsidP="00EF67D9">
      <w:pPr>
        <w:spacing w:line="360" w:lineRule="auto"/>
        <w:rPr>
          <w:rFonts w:ascii="Times New Roman" w:hAnsi="Times New Roman" w:cs="Times New Roman"/>
          <w:sz w:val="24"/>
          <w:szCs w:val="24"/>
        </w:rPr>
      </w:pPr>
      <w:r w:rsidRPr="00AE141E">
        <w:rPr>
          <w:rFonts w:ascii="Times New Roman" w:hAnsi="Times New Roman" w:cs="Times New Roman"/>
          <w:sz w:val="24"/>
          <w:szCs w:val="24"/>
        </w:rPr>
        <w:t>Dedicated imperial and Commonwealth examination courses were both less common and less popular.</w:t>
      </w:r>
      <w:r w:rsidRPr="00AE141E">
        <w:rPr>
          <w:rStyle w:val="FootnoteReference"/>
          <w:rFonts w:ascii="Times New Roman" w:hAnsi="Times New Roman" w:cs="Times New Roman"/>
          <w:sz w:val="24"/>
          <w:szCs w:val="24"/>
        </w:rPr>
        <w:footnoteReference w:id="190"/>
      </w:r>
      <w:r w:rsidRPr="00AE141E">
        <w:rPr>
          <w:rFonts w:ascii="Times New Roman" w:hAnsi="Times New Roman" w:cs="Times New Roman"/>
          <w:sz w:val="24"/>
          <w:szCs w:val="24"/>
        </w:rPr>
        <w:t xml:space="preserve"> </w:t>
      </w:r>
      <w:r w:rsidR="00EF67D9">
        <w:rPr>
          <w:rFonts w:ascii="Times New Roman" w:hAnsi="Times New Roman" w:cs="Times New Roman"/>
          <w:sz w:val="24"/>
          <w:szCs w:val="24"/>
        </w:rPr>
        <w:t xml:space="preserve">In 1967, the Oxfordshire teacher G.M.D. Howat reported on the uptake of empire and Commonwealth history in English schools, writing under the auspices of the HA. He described a tradition of marginality, in which the empire was treated as ‘incidental’ to a </w:t>
      </w:r>
      <w:r w:rsidR="00EF67D9">
        <w:rPr>
          <w:rFonts w:ascii="Times New Roman" w:hAnsi="Times New Roman" w:cs="Times New Roman"/>
          <w:sz w:val="24"/>
          <w:szCs w:val="24"/>
        </w:rPr>
        <w:lastRenderedPageBreak/>
        <w:t>British and European curricular core.</w:t>
      </w:r>
      <w:r w:rsidR="00EF67D9">
        <w:rPr>
          <w:rStyle w:val="FootnoteReference"/>
          <w:rFonts w:ascii="Times New Roman" w:hAnsi="Times New Roman" w:cs="Times New Roman"/>
          <w:sz w:val="24"/>
          <w:szCs w:val="24"/>
        </w:rPr>
        <w:footnoteReference w:id="191"/>
      </w:r>
      <w:r w:rsidR="00EF67D9">
        <w:rPr>
          <w:rFonts w:ascii="Times New Roman" w:hAnsi="Times New Roman" w:cs="Times New Roman"/>
          <w:sz w:val="24"/>
          <w:szCs w:val="24"/>
        </w:rPr>
        <w:t xml:space="preserve"> Indeed, Howat concluded that ‘at no time since history has been a serious subject for study in schools has Empire and Commonwealth History played a large part’. This was exemplified by the position of empire and Commonwealth history in the examination forms. Howat alleged that sixth form teachers had received ‘little encouragement’ from the A Level papers set by Oxford and Cambridge colleges. At A Level, empire and Commonwealth history was thus represented only in a limited number of ‘special papers’. These themes were better served by a range of papers at O Level, albeit with low candidate numbers.</w:t>
      </w:r>
    </w:p>
    <w:p w14:paraId="1EF790A8" w14:textId="3D885523" w:rsidR="006E72E8"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University of Cambridge Local Examinations Syndicate (UCLES) </w:t>
      </w:r>
      <w:r w:rsidR="007B22B0">
        <w:rPr>
          <w:rFonts w:ascii="Times New Roman" w:hAnsi="Times New Roman" w:cs="Times New Roman"/>
          <w:sz w:val="24"/>
          <w:szCs w:val="24"/>
        </w:rPr>
        <w:t xml:space="preserve">was one of </w:t>
      </w:r>
      <w:r w:rsidR="0076524C">
        <w:rPr>
          <w:rFonts w:ascii="Times New Roman" w:hAnsi="Times New Roman" w:cs="Times New Roman"/>
          <w:sz w:val="24"/>
          <w:szCs w:val="24"/>
        </w:rPr>
        <w:t>the boards</w:t>
      </w:r>
      <w:r w:rsidR="007B22B0">
        <w:rPr>
          <w:rFonts w:ascii="Times New Roman" w:hAnsi="Times New Roman" w:cs="Times New Roman"/>
          <w:sz w:val="24"/>
          <w:szCs w:val="24"/>
        </w:rPr>
        <w:t xml:space="preserve"> </w:t>
      </w:r>
      <w:r w:rsidR="0076524C">
        <w:rPr>
          <w:rFonts w:ascii="Times New Roman" w:hAnsi="Times New Roman" w:cs="Times New Roman"/>
          <w:sz w:val="24"/>
          <w:szCs w:val="24"/>
        </w:rPr>
        <w:t>that</w:t>
      </w:r>
      <w:r w:rsidR="007B22B0">
        <w:rPr>
          <w:rFonts w:ascii="Times New Roman" w:hAnsi="Times New Roman" w:cs="Times New Roman"/>
          <w:sz w:val="24"/>
          <w:szCs w:val="24"/>
        </w:rPr>
        <w:t xml:space="preserve"> did </w:t>
      </w:r>
      <w:r w:rsidRPr="00AE141E">
        <w:rPr>
          <w:rFonts w:ascii="Times New Roman" w:hAnsi="Times New Roman" w:cs="Times New Roman"/>
          <w:sz w:val="24"/>
          <w:szCs w:val="24"/>
        </w:rPr>
        <w:t>offe</w:t>
      </w:r>
      <w:r w:rsidR="007B22B0">
        <w:rPr>
          <w:rFonts w:ascii="Times New Roman" w:hAnsi="Times New Roman" w:cs="Times New Roman"/>
          <w:sz w:val="24"/>
          <w:szCs w:val="24"/>
        </w:rPr>
        <w:t>r</w:t>
      </w:r>
      <w:r w:rsidRPr="00AE141E">
        <w:rPr>
          <w:rFonts w:ascii="Times New Roman" w:hAnsi="Times New Roman" w:cs="Times New Roman"/>
          <w:sz w:val="24"/>
          <w:szCs w:val="24"/>
        </w:rPr>
        <w:t xml:space="preserve"> a paper on the</w:t>
      </w:r>
      <w:r w:rsidRPr="00AE141E">
        <w:rPr>
          <w:rFonts w:ascii="Times New Roman" w:hAnsi="Times New Roman" w:cs="Times New Roman"/>
          <w:sz w:val="24"/>
          <w:szCs w:val="24"/>
          <w:lang w:val="en"/>
        </w:rPr>
        <w:t xml:space="preserve"> ‘</w:t>
      </w:r>
      <w:r w:rsidRPr="00AE141E">
        <w:rPr>
          <w:rFonts w:ascii="Times New Roman" w:hAnsi="Times New Roman" w:cs="Times New Roman"/>
          <w:sz w:val="24"/>
          <w:szCs w:val="24"/>
        </w:rPr>
        <w:t>History of the British Empire and Commonwealth’ at O Level. The syllabus covered the years 1558 to 1939, divided into two periods (1558-1783, and 1740-1939).</w:t>
      </w:r>
      <w:r w:rsidRPr="00AE141E">
        <w:rPr>
          <w:rStyle w:val="FootnoteReference"/>
          <w:rFonts w:ascii="Times New Roman" w:hAnsi="Times New Roman" w:cs="Times New Roman"/>
          <w:sz w:val="24"/>
          <w:szCs w:val="24"/>
        </w:rPr>
        <w:footnoteReference w:id="192"/>
      </w:r>
      <w:r w:rsidRPr="00AE141E">
        <w:rPr>
          <w:rFonts w:ascii="Times New Roman" w:hAnsi="Times New Roman" w:cs="Times New Roman"/>
          <w:sz w:val="24"/>
          <w:szCs w:val="24"/>
        </w:rPr>
        <w:t xml:space="preserve"> It demanded some knowledge of the ‘history and development of the most important countries of the Empire and Commonwealth’. Nevertheless, examination papers typically only demanded knowledge of the British experience, told as a political and constitutional outline, with the lives of American settlers, growing anti-British sentiment, and the Declaration of Independence featuring as a brief diversion. </w:t>
      </w:r>
      <w:r w:rsidR="00B93887" w:rsidRPr="00AE141E">
        <w:rPr>
          <w:rFonts w:ascii="Times New Roman" w:hAnsi="Times New Roman" w:cs="Times New Roman"/>
          <w:sz w:val="24"/>
          <w:szCs w:val="24"/>
        </w:rPr>
        <w:t>In</w:t>
      </w:r>
      <w:r w:rsidRPr="00AE141E">
        <w:rPr>
          <w:rFonts w:ascii="Times New Roman" w:hAnsi="Times New Roman" w:cs="Times New Roman"/>
          <w:sz w:val="24"/>
          <w:szCs w:val="24"/>
        </w:rPr>
        <w:t xml:space="preserve"> the July 1957 paper, only one question (‘Describe the relations between Great Britain and members of the British Empire and Commonwealth during the years 1914-39’) offered an opportunity to consider empire from an alternative perspective.</w:t>
      </w:r>
      <w:r w:rsidRPr="00AE141E">
        <w:rPr>
          <w:rStyle w:val="FootnoteReference"/>
          <w:rFonts w:ascii="Times New Roman" w:hAnsi="Times New Roman" w:cs="Times New Roman"/>
          <w:sz w:val="24"/>
          <w:szCs w:val="24"/>
        </w:rPr>
        <w:footnoteReference w:id="193"/>
      </w:r>
      <w:r w:rsidRPr="00AE141E">
        <w:rPr>
          <w:rFonts w:ascii="Times New Roman" w:hAnsi="Times New Roman" w:cs="Times New Roman"/>
          <w:sz w:val="24"/>
          <w:szCs w:val="24"/>
        </w:rPr>
        <w:t xml:space="preserve"> Even here, students could legitimately centre the British experience and achieve good marks. Roughly the same pattern seems to have prevailed at A </w:t>
      </w:r>
      <w:r w:rsidR="005B58E6">
        <w:rPr>
          <w:rFonts w:ascii="Times New Roman" w:hAnsi="Times New Roman" w:cs="Times New Roman"/>
          <w:sz w:val="24"/>
          <w:szCs w:val="24"/>
        </w:rPr>
        <w:t>L</w:t>
      </w:r>
      <w:r w:rsidRPr="00AE141E">
        <w:rPr>
          <w:rFonts w:ascii="Times New Roman" w:hAnsi="Times New Roman" w:cs="Times New Roman"/>
          <w:sz w:val="24"/>
          <w:szCs w:val="24"/>
        </w:rPr>
        <w:t xml:space="preserve">evel, where papers in imperial and Commonwealth history (sometimes presented as an option within a wider ‘World Affairs’ unit) remained a minority choice with a </w:t>
      </w:r>
      <w:r w:rsidRPr="00AE141E">
        <w:rPr>
          <w:rFonts w:ascii="Times New Roman" w:hAnsi="Times New Roman" w:cs="Times New Roman"/>
          <w:sz w:val="24"/>
          <w:szCs w:val="24"/>
        </w:rPr>
        <w:lastRenderedPageBreak/>
        <w:t>British, constitutional perspective.</w:t>
      </w:r>
      <w:r w:rsidRPr="00AE141E">
        <w:rPr>
          <w:rStyle w:val="FootnoteReference"/>
          <w:rFonts w:ascii="Times New Roman" w:hAnsi="Times New Roman" w:cs="Times New Roman"/>
          <w:sz w:val="24"/>
          <w:szCs w:val="24"/>
        </w:rPr>
        <w:footnoteReference w:id="194"/>
      </w:r>
      <w:r w:rsidRPr="00AE141E">
        <w:rPr>
          <w:rFonts w:ascii="Times New Roman" w:hAnsi="Times New Roman" w:cs="Times New Roman"/>
          <w:sz w:val="24"/>
          <w:szCs w:val="24"/>
        </w:rPr>
        <w:t xml:space="preserve"> Imperial and Commonwealth history would only be pushed further towards the margins as Britain advanced into the 1960s.</w:t>
      </w:r>
    </w:p>
    <w:p w14:paraId="5210F310" w14:textId="77777777" w:rsidR="00E13EF0" w:rsidRPr="00AE141E" w:rsidRDefault="00E13EF0"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From Empire to Commonwealth – and Back Again</w:t>
      </w:r>
    </w:p>
    <w:p w14:paraId="6F497BDC" w14:textId="7CE8E7DF"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contradictions and ambiguities built into the Commonwealth’s very nature were born</w:t>
      </w:r>
      <w:r w:rsidR="00E65C8E">
        <w:rPr>
          <w:rFonts w:ascii="Times New Roman" w:hAnsi="Times New Roman" w:cs="Times New Roman"/>
          <w:sz w:val="24"/>
          <w:szCs w:val="24"/>
        </w:rPr>
        <w:t>e</w:t>
      </w:r>
      <w:r w:rsidRPr="00AE141E">
        <w:rPr>
          <w:rFonts w:ascii="Times New Roman" w:hAnsi="Times New Roman" w:cs="Times New Roman"/>
          <w:sz w:val="24"/>
          <w:szCs w:val="24"/>
        </w:rPr>
        <w:t xml:space="preserve"> out in successive governments’ fraught attempts to compose a (sympathetic, celebratory) Commonwealth history for use in schools.  In 1961, the Ministry of Education published </w:t>
      </w:r>
      <w:r w:rsidRPr="00AE141E">
        <w:rPr>
          <w:rFonts w:ascii="Times New Roman" w:hAnsi="Times New Roman" w:cs="Times New Roman"/>
          <w:i/>
          <w:sz w:val="24"/>
          <w:szCs w:val="24"/>
        </w:rPr>
        <w:t xml:space="preserve">Schools and the Commonwealth </w:t>
      </w:r>
      <w:r w:rsidR="001A16A0">
        <w:rPr>
          <w:rFonts w:ascii="Times New Roman" w:hAnsi="Times New Roman" w:cs="Times New Roman"/>
          <w:sz w:val="24"/>
          <w:szCs w:val="24"/>
        </w:rPr>
        <w:t>–</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a</w:t>
      </w:r>
      <w:r w:rsidR="001A16A0">
        <w:rPr>
          <w:rFonts w:ascii="Times New Roman" w:hAnsi="Times New Roman" w:cs="Times New Roman"/>
          <w:sz w:val="24"/>
          <w:szCs w:val="24"/>
        </w:rPr>
        <w:t xml:space="preserve"> </w:t>
      </w:r>
      <w:r w:rsidRPr="00AE141E">
        <w:rPr>
          <w:rFonts w:ascii="Times New Roman" w:hAnsi="Times New Roman" w:cs="Times New Roman"/>
          <w:sz w:val="24"/>
          <w:szCs w:val="24"/>
        </w:rPr>
        <w:t>plea for the increased status of Commonwealth studies in schools, authored by a group of Her Majesty’s Inspectors (a category of official responsible for reporting on education in the state sector to relevant ministers). The authors posited Commonwealth history as a crucial part of education for international understanding and world citizenship in the post-war era. The Commonwealth was believed to embody the values of ‘equality and friendship’ and to act as a historically unprecedent</w:t>
      </w:r>
      <w:r w:rsidR="00046917" w:rsidRPr="00AE141E">
        <w:rPr>
          <w:rFonts w:ascii="Times New Roman" w:hAnsi="Times New Roman" w:cs="Times New Roman"/>
          <w:sz w:val="24"/>
          <w:szCs w:val="24"/>
        </w:rPr>
        <w:t>ed</w:t>
      </w:r>
      <w:r w:rsidRPr="00AE141E">
        <w:rPr>
          <w:rFonts w:ascii="Times New Roman" w:hAnsi="Times New Roman" w:cs="Times New Roman"/>
          <w:sz w:val="24"/>
          <w:szCs w:val="24"/>
        </w:rPr>
        <w:t xml:space="preserve"> bulwark against the ‘fear of conflict between people of different race and colours’.</w:t>
      </w:r>
      <w:r w:rsidR="00114E3A">
        <w:rPr>
          <w:rStyle w:val="FootnoteReference"/>
          <w:rFonts w:ascii="Times New Roman" w:hAnsi="Times New Roman" w:cs="Times New Roman"/>
          <w:sz w:val="24"/>
          <w:szCs w:val="24"/>
        </w:rPr>
        <w:footnoteReference w:id="195"/>
      </w:r>
      <w:r w:rsidRPr="00AE141E">
        <w:rPr>
          <w:rFonts w:ascii="Times New Roman" w:hAnsi="Times New Roman" w:cs="Times New Roman"/>
          <w:sz w:val="24"/>
          <w:szCs w:val="24"/>
        </w:rPr>
        <w:t xml:space="preserve"> Furthermore, knowledge of the Commonwealth </w:t>
      </w:r>
      <w:r w:rsidR="001A16A0">
        <w:rPr>
          <w:rFonts w:ascii="Times New Roman" w:hAnsi="Times New Roman" w:cs="Times New Roman"/>
          <w:sz w:val="24"/>
          <w:szCs w:val="24"/>
        </w:rPr>
        <w:t>–</w:t>
      </w:r>
      <w:r w:rsidRPr="00AE141E">
        <w:rPr>
          <w:rFonts w:ascii="Times New Roman" w:hAnsi="Times New Roman" w:cs="Times New Roman"/>
          <w:sz w:val="24"/>
          <w:szCs w:val="24"/>
        </w:rPr>
        <w:t xml:space="preserve"> </w:t>
      </w:r>
      <w:r w:rsidR="001A16A0">
        <w:rPr>
          <w:rFonts w:ascii="Times New Roman" w:hAnsi="Times New Roman" w:cs="Times New Roman"/>
          <w:sz w:val="24"/>
          <w:szCs w:val="24"/>
        </w:rPr>
        <w:t>‘</w:t>
      </w:r>
      <w:r w:rsidRPr="00AE141E">
        <w:rPr>
          <w:rFonts w:ascii="Times New Roman" w:hAnsi="Times New Roman" w:cs="Times New Roman"/>
          <w:sz w:val="24"/>
          <w:szCs w:val="24"/>
        </w:rPr>
        <w:t>its</w:t>
      </w:r>
      <w:r w:rsidR="001A16A0">
        <w:rPr>
          <w:rFonts w:ascii="Times New Roman" w:hAnsi="Times New Roman" w:cs="Times New Roman"/>
          <w:sz w:val="24"/>
          <w:szCs w:val="24"/>
        </w:rPr>
        <w:t xml:space="preserve"> </w:t>
      </w:r>
      <w:r w:rsidRPr="00AE141E">
        <w:rPr>
          <w:rFonts w:ascii="Times New Roman" w:hAnsi="Times New Roman" w:cs="Times New Roman"/>
          <w:sz w:val="24"/>
          <w:szCs w:val="24"/>
        </w:rPr>
        <w:t xml:space="preserve">origins, development and present significance’ </w:t>
      </w:r>
      <w:r w:rsidR="001A16A0">
        <w:rPr>
          <w:rFonts w:ascii="Times New Roman" w:hAnsi="Times New Roman" w:cs="Times New Roman"/>
          <w:sz w:val="24"/>
          <w:szCs w:val="24"/>
        </w:rPr>
        <w:t>–</w:t>
      </w:r>
      <w:r w:rsidRPr="00AE141E">
        <w:rPr>
          <w:rFonts w:ascii="Times New Roman" w:hAnsi="Times New Roman" w:cs="Times New Roman"/>
          <w:sz w:val="24"/>
          <w:szCs w:val="24"/>
        </w:rPr>
        <w:t xml:space="preserve"> was</w:t>
      </w:r>
      <w:r w:rsidR="001A16A0">
        <w:rPr>
          <w:rFonts w:ascii="Times New Roman" w:hAnsi="Times New Roman" w:cs="Times New Roman"/>
          <w:sz w:val="24"/>
          <w:szCs w:val="24"/>
        </w:rPr>
        <w:t xml:space="preserve"> </w:t>
      </w:r>
      <w:r w:rsidRPr="00AE141E">
        <w:rPr>
          <w:rFonts w:ascii="Times New Roman" w:hAnsi="Times New Roman" w:cs="Times New Roman"/>
          <w:sz w:val="24"/>
          <w:szCs w:val="24"/>
        </w:rPr>
        <w:t>viewed as fundamental to an understanding of Britain’s place in contemporary world affairs.</w:t>
      </w:r>
    </w:p>
    <w:p w14:paraId="712198F6" w14:textId="7777777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Like Routh’s earlier advocacy for empire, this appeal for the teaching of Commonwealth history was born out of anxiety rather than confidence. By drawing attention to the administrative expertise derived from Britain’s colonial past, the authors were staking a claim for the country’s continued relevance in the post-colonial world:</w:t>
      </w:r>
    </w:p>
    <w:p w14:paraId="30F600E4" w14:textId="77777777" w:rsidR="00E13EF0" w:rsidRPr="00AE141E" w:rsidRDefault="00E13EF0"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We should not be afraid to recognise that, in the realm of ideas and ideals and of practical experience in the conduct of human affairs, the United Kingdom can still make to the world an unrivalled contribution, which is independent of physical strength or material power.</w:t>
      </w:r>
      <w:r w:rsidRPr="00AE141E">
        <w:rPr>
          <w:rStyle w:val="FootnoteReference"/>
          <w:rFonts w:ascii="Times New Roman" w:hAnsi="Times New Roman" w:cs="Times New Roman"/>
          <w:sz w:val="24"/>
          <w:szCs w:val="24"/>
        </w:rPr>
        <w:footnoteReference w:id="196"/>
      </w:r>
    </w:p>
    <w:p w14:paraId="688CF77A" w14:textId="0BBE9E0C"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i/>
          <w:sz w:val="24"/>
          <w:szCs w:val="24"/>
        </w:rPr>
        <w:lastRenderedPageBreak/>
        <w:t>Schools and the Commonwealth</w:t>
      </w:r>
      <w:r w:rsidRPr="00AE141E">
        <w:rPr>
          <w:rFonts w:ascii="Times New Roman" w:hAnsi="Times New Roman" w:cs="Times New Roman"/>
          <w:sz w:val="24"/>
          <w:szCs w:val="24"/>
        </w:rPr>
        <w:t xml:space="preserve"> was laden with a sense of danger. Its authors sought to defend Britain not only against the consequences of decolonisation, but against the anti-imperial critiques which precipitated decolonisation. These two threats were tied together in the figure of the USA. The fraught co-existence of American imperial ascend</w:t>
      </w:r>
      <w:r w:rsidR="006A7D98">
        <w:rPr>
          <w:rFonts w:ascii="Times New Roman" w:hAnsi="Times New Roman" w:cs="Times New Roman"/>
          <w:sz w:val="24"/>
          <w:szCs w:val="24"/>
        </w:rPr>
        <w:t>a</w:t>
      </w:r>
      <w:r w:rsidRPr="00AE141E">
        <w:rPr>
          <w:rFonts w:ascii="Times New Roman" w:hAnsi="Times New Roman" w:cs="Times New Roman"/>
          <w:sz w:val="24"/>
          <w:szCs w:val="24"/>
        </w:rPr>
        <w:t>ncy with a performative anti-colonialism (often referring back to the rejection of British power during the American Revolutionary War) formed a striking subtext to the pamphlet.</w:t>
      </w:r>
      <w:r w:rsidRPr="00AE141E">
        <w:rPr>
          <w:rStyle w:val="FootnoteReference"/>
          <w:rFonts w:ascii="Times New Roman" w:hAnsi="Times New Roman" w:cs="Times New Roman"/>
          <w:sz w:val="24"/>
          <w:szCs w:val="24"/>
        </w:rPr>
        <w:footnoteReference w:id="197"/>
      </w:r>
      <w:r w:rsidRPr="00AE141E">
        <w:rPr>
          <w:rFonts w:ascii="Times New Roman" w:hAnsi="Times New Roman" w:cs="Times New Roman"/>
          <w:sz w:val="24"/>
          <w:szCs w:val="24"/>
        </w:rPr>
        <w:t xml:space="preserve"> It was only by ‘understanding more fully and […] teaching more positively’ the nature of Commonwealth history that, the authors argued, American accusations of colonial brutality might be countered. If Britain’s future was to be guaranteed on the international stage, its past must be defended at all costs. This desperate defence of the privileges conferred by Britain’s imperial role sits at odds with the pamphlet’s assertion that the Commonwealth was characterised by ‘absolute equality’ between member nations.</w:t>
      </w:r>
    </w:p>
    <w:p w14:paraId="02FEFC8F" w14:textId="044609EB"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threat was not merely external. </w:t>
      </w:r>
      <w:r w:rsidRPr="00AE141E">
        <w:rPr>
          <w:rFonts w:ascii="Times New Roman" w:hAnsi="Times New Roman" w:cs="Times New Roman"/>
          <w:i/>
          <w:sz w:val="24"/>
          <w:szCs w:val="24"/>
        </w:rPr>
        <w:t xml:space="preserve">Schools and the Commonwealth </w:t>
      </w:r>
      <w:r w:rsidRPr="00AE141E">
        <w:rPr>
          <w:rFonts w:ascii="Times New Roman" w:hAnsi="Times New Roman" w:cs="Times New Roman"/>
          <w:sz w:val="24"/>
          <w:szCs w:val="24"/>
        </w:rPr>
        <w:t>also sought to defend the Commonwealth from rampant British scepticism. Against accusations that ‘pressure of internal frictions’ or the ‘prospect of new and more rewarding political alignments’ might lead to the Commonwealth’s early disintegration, the authors set out to prove that the organisation had the strength to endure.</w:t>
      </w:r>
      <w:r w:rsidRPr="00AE141E">
        <w:rPr>
          <w:rStyle w:val="FootnoteReference"/>
          <w:rFonts w:ascii="Times New Roman" w:hAnsi="Times New Roman" w:cs="Times New Roman"/>
          <w:sz w:val="24"/>
          <w:szCs w:val="24"/>
        </w:rPr>
        <w:footnoteReference w:id="198"/>
      </w:r>
      <w:r w:rsidRPr="00AE141E">
        <w:rPr>
          <w:rFonts w:ascii="Times New Roman" w:hAnsi="Times New Roman" w:cs="Times New Roman"/>
          <w:sz w:val="24"/>
          <w:szCs w:val="24"/>
        </w:rPr>
        <w:t xml:space="preserve"> They acknowledged that teaching on the subject was routinely marginalised due to teachers’ lack of knowledge and experience and, more significantly, prevailing qualms about the entanglement of empire and Commonwealth. Yet the group’s answer to such doubts only deepened this entanglement.</w:t>
      </w:r>
    </w:p>
    <w:p w14:paraId="0B2BA962" w14:textId="601C132B"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w:t>
      </w:r>
      <w:r w:rsidRPr="00AE141E">
        <w:rPr>
          <w:rFonts w:ascii="Times New Roman" w:hAnsi="Times New Roman" w:cs="Times New Roman"/>
          <w:i/>
          <w:sz w:val="24"/>
          <w:szCs w:val="24"/>
        </w:rPr>
        <w:t>Schools and the Commonwealth</w:t>
      </w:r>
      <w:r w:rsidRPr="00AE141E">
        <w:rPr>
          <w:rFonts w:ascii="Times New Roman" w:hAnsi="Times New Roman" w:cs="Times New Roman"/>
          <w:sz w:val="24"/>
          <w:szCs w:val="24"/>
        </w:rPr>
        <w:t>, the Commonwealth’s very existence functioned as an exculpatory device – redeeming colonial violence and alleviating bad conscience. A momentary recognition that ‘the Commonwealth story has not been one of unbroken idealism and progress’ was quickly qualified with the claim that ‘Britain’s part in the development of the Commonwealth is one in which even the most censorious can take pride’.</w:t>
      </w:r>
      <w:r w:rsidRPr="00AE141E">
        <w:rPr>
          <w:rStyle w:val="FootnoteReference"/>
          <w:rFonts w:ascii="Times New Roman" w:hAnsi="Times New Roman" w:cs="Times New Roman"/>
          <w:sz w:val="24"/>
          <w:szCs w:val="24"/>
        </w:rPr>
        <w:footnoteReference w:id="199"/>
      </w:r>
      <w:r w:rsidRPr="00AE141E">
        <w:rPr>
          <w:rFonts w:ascii="Times New Roman" w:hAnsi="Times New Roman" w:cs="Times New Roman"/>
          <w:sz w:val="24"/>
          <w:szCs w:val="24"/>
        </w:rPr>
        <w:t xml:space="preserve"> Of note here is a curious terminological slippage, which appears to project the Commonwealth back in time, superimposing its image upon that of the empire. This apparent error of phrasing is in fact indicative of a broader theme within the pamphlet</w:t>
      </w:r>
      <w:r w:rsidR="00063DA3">
        <w:rPr>
          <w:rFonts w:ascii="Times New Roman" w:hAnsi="Times New Roman" w:cs="Times New Roman"/>
          <w:sz w:val="24"/>
          <w:szCs w:val="24"/>
        </w:rPr>
        <w:t xml:space="preserve"> –</w:t>
      </w:r>
      <w:r w:rsidRPr="00AE141E">
        <w:rPr>
          <w:rFonts w:ascii="Times New Roman" w:hAnsi="Times New Roman" w:cs="Times New Roman"/>
          <w:sz w:val="24"/>
          <w:szCs w:val="24"/>
        </w:rPr>
        <w:t xml:space="preserve"> that</w:t>
      </w:r>
      <w:r w:rsidR="00063DA3">
        <w:rPr>
          <w:rFonts w:ascii="Times New Roman" w:hAnsi="Times New Roman" w:cs="Times New Roman"/>
          <w:sz w:val="24"/>
          <w:szCs w:val="24"/>
        </w:rPr>
        <w:t xml:space="preserve"> </w:t>
      </w:r>
      <w:r w:rsidRPr="00AE141E">
        <w:rPr>
          <w:rFonts w:ascii="Times New Roman" w:hAnsi="Times New Roman" w:cs="Times New Roman"/>
          <w:sz w:val="24"/>
          <w:szCs w:val="24"/>
        </w:rPr>
        <w:t xml:space="preserve">the benevolent internationalism of the Commonwealth was both prefigured and moulded by that of the British empire. The </w:t>
      </w:r>
      <w:r w:rsidRPr="00AE141E">
        <w:rPr>
          <w:rFonts w:ascii="Times New Roman" w:hAnsi="Times New Roman" w:cs="Times New Roman"/>
          <w:sz w:val="24"/>
          <w:szCs w:val="24"/>
        </w:rPr>
        <w:lastRenderedPageBreak/>
        <w:t>authors identified colonial governance with an unproblematised ideal of trusteeship; imperial rule, the reader was informed, was exercised ‘for the benefit of dependent peoples until such time as they were able to take over responsibility for themselves’.</w:t>
      </w:r>
      <w:r w:rsidRPr="00AE141E">
        <w:rPr>
          <w:rStyle w:val="FootnoteReference"/>
          <w:rFonts w:ascii="Times New Roman" w:hAnsi="Times New Roman" w:cs="Times New Roman"/>
          <w:sz w:val="24"/>
          <w:szCs w:val="24"/>
        </w:rPr>
        <w:footnoteReference w:id="200"/>
      </w:r>
      <w:r w:rsidRPr="00AE141E">
        <w:rPr>
          <w:rFonts w:ascii="Times New Roman" w:hAnsi="Times New Roman" w:cs="Times New Roman"/>
          <w:sz w:val="24"/>
          <w:szCs w:val="24"/>
        </w:rPr>
        <w:t xml:space="preserve"> Proof of imperial justice was ultimately located in the supposedly seamless transition from empire to Commonwealth, which the authors claimed was accomplished with ‘little bitterness and recrimination’.</w:t>
      </w:r>
      <w:r w:rsidRPr="00AE141E">
        <w:rPr>
          <w:rStyle w:val="FootnoteReference"/>
          <w:rFonts w:ascii="Times New Roman" w:hAnsi="Times New Roman" w:cs="Times New Roman"/>
          <w:sz w:val="24"/>
          <w:szCs w:val="24"/>
        </w:rPr>
        <w:footnoteReference w:id="201"/>
      </w:r>
      <w:r w:rsidRPr="00AE141E">
        <w:rPr>
          <w:rFonts w:ascii="Times New Roman" w:hAnsi="Times New Roman" w:cs="Times New Roman"/>
          <w:sz w:val="24"/>
          <w:szCs w:val="24"/>
        </w:rPr>
        <w:t xml:space="preserve"> No other country, they argued, could rival the experience of the United Kingdom, which had led</w:t>
      </w:r>
    </w:p>
    <w:p w14:paraId="250DC742" w14:textId="1BE92FDA" w:rsidR="00E13EF0" w:rsidRPr="00AE141E" w:rsidRDefault="009E1806" w:rsidP="00AE141E">
      <w:pPr>
        <w:spacing w:line="360" w:lineRule="auto"/>
        <w:ind w:left="720"/>
        <w:rPr>
          <w:rFonts w:ascii="Times New Roman" w:hAnsi="Times New Roman" w:cs="Times New Roman"/>
          <w:sz w:val="24"/>
          <w:szCs w:val="24"/>
        </w:rPr>
      </w:pPr>
      <w:r>
        <w:rPr>
          <w:rFonts w:ascii="Times New Roman" w:hAnsi="Times New Roman" w:cs="Times New Roman"/>
          <w:sz w:val="24"/>
          <w:szCs w:val="24"/>
        </w:rPr>
        <w:t>o</w:t>
      </w:r>
      <w:r w:rsidR="00E13EF0" w:rsidRPr="00AE141E">
        <w:rPr>
          <w:rFonts w:ascii="Times New Roman" w:hAnsi="Times New Roman" w:cs="Times New Roman"/>
          <w:sz w:val="24"/>
          <w:szCs w:val="24"/>
        </w:rPr>
        <w:t>ne-time dependent peoples to maturity and independence, without any sense of inferiority or of unwelcome obligation, so that the revolutionary leaders of yesterday become the Prime Ministers of today, and independence serves, paradoxically, only to cement relationships which were recently regarded as an intolerable burden.</w:t>
      </w:r>
      <w:r w:rsidR="00E13EF0" w:rsidRPr="00AE141E">
        <w:rPr>
          <w:rStyle w:val="FootnoteReference"/>
          <w:rFonts w:ascii="Times New Roman" w:hAnsi="Times New Roman" w:cs="Times New Roman"/>
          <w:sz w:val="24"/>
          <w:szCs w:val="24"/>
        </w:rPr>
        <w:footnoteReference w:id="202"/>
      </w:r>
    </w:p>
    <w:p w14:paraId="1CA1F15B" w14:textId="7777777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Commonwealth was thus plotted as the culmination and climax of the liberal imperialist timeline. It served as vindication for colonial policy which, for all its occasional errors, was an overwhelmingly benevolent, progressive force.</w:t>
      </w:r>
    </w:p>
    <w:p w14:paraId="0BB4F81B" w14:textId="03D1AEDE"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attitudes evinced by </w:t>
      </w:r>
      <w:r w:rsidRPr="00AE141E">
        <w:rPr>
          <w:rFonts w:ascii="Times New Roman" w:hAnsi="Times New Roman" w:cs="Times New Roman"/>
          <w:i/>
          <w:sz w:val="24"/>
          <w:szCs w:val="24"/>
        </w:rPr>
        <w:t xml:space="preserve">Schools and the Commonwealth </w:t>
      </w:r>
      <w:r w:rsidRPr="00AE141E">
        <w:rPr>
          <w:rFonts w:ascii="Times New Roman" w:hAnsi="Times New Roman" w:cs="Times New Roman"/>
          <w:sz w:val="24"/>
          <w:szCs w:val="24"/>
        </w:rPr>
        <w:t>were of a piece with the broader political project of the Commonwealth in the decades immediately following the Second World War. Philip Murphy, a historian and former Director of the Institute of Commonwealth Studies, has argued that a deliberate ‘forgetfulness’ of certain legacies of empire was a major building-block in the construction of the Commonwealth.</w:t>
      </w:r>
      <w:r w:rsidRPr="00AE141E">
        <w:rPr>
          <w:rStyle w:val="FootnoteReference"/>
          <w:rFonts w:ascii="Times New Roman" w:hAnsi="Times New Roman" w:cs="Times New Roman"/>
          <w:sz w:val="24"/>
          <w:szCs w:val="24"/>
        </w:rPr>
        <w:footnoteReference w:id="203"/>
      </w:r>
      <w:r w:rsidRPr="00AE141E">
        <w:rPr>
          <w:rFonts w:ascii="Times New Roman" w:hAnsi="Times New Roman" w:cs="Times New Roman"/>
          <w:sz w:val="24"/>
          <w:szCs w:val="24"/>
        </w:rPr>
        <w:t xml:space="preserve"> The silencing of empire was enacted by the same transposition of the Commonwealth identified above: histories of British imperialism were to be acknowledged only insofar as they could be </w:t>
      </w:r>
      <w:r w:rsidRPr="00AE141E">
        <w:rPr>
          <w:rFonts w:ascii="Times New Roman" w:hAnsi="Times New Roman" w:cs="Times New Roman"/>
          <w:sz w:val="24"/>
          <w:szCs w:val="24"/>
        </w:rPr>
        <w:lastRenderedPageBreak/>
        <w:t>used to support</w:t>
      </w:r>
      <w:r w:rsidR="00B2329C" w:rsidRPr="00AE141E">
        <w:rPr>
          <w:rFonts w:ascii="Times New Roman" w:hAnsi="Times New Roman" w:cs="Times New Roman"/>
          <w:sz w:val="24"/>
          <w:szCs w:val="24"/>
        </w:rPr>
        <w:t xml:space="preserve"> a</w:t>
      </w:r>
      <w:r w:rsidRPr="00AE141E">
        <w:rPr>
          <w:rFonts w:ascii="Times New Roman" w:hAnsi="Times New Roman" w:cs="Times New Roman"/>
          <w:sz w:val="24"/>
          <w:szCs w:val="24"/>
        </w:rPr>
        <w:t xml:space="preserve"> narrative in which Commonwealth set the pattern for empire, rather than the other way round. In Murphy’s words:</w:t>
      </w:r>
    </w:p>
    <w:p w14:paraId="389EDCF1" w14:textId="77777777" w:rsidR="00E13EF0" w:rsidRPr="00AE141E" w:rsidRDefault="00E13EF0"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In the independence period, the Commonwealth’s boost to the UK’s international image was obvious: being on friendly terms with former colonies sent a powerful signal that, in spite of all that had happened, Britain was essentially one of the good guys. There is [and was] no escaping this reality of the decolonizing context in which the Commonwealth was established.</w:t>
      </w:r>
      <w:r w:rsidRPr="00AE141E">
        <w:rPr>
          <w:rStyle w:val="FootnoteReference"/>
          <w:rFonts w:ascii="Times New Roman" w:hAnsi="Times New Roman" w:cs="Times New Roman"/>
          <w:sz w:val="24"/>
          <w:szCs w:val="24"/>
        </w:rPr>
        <w:footnoteReference w:id="204"/>
      </w:r>
    </w:p>
    <w:p w14:paraId="418EE36D" w14:textId="71CFEBB6"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There is an obvious link between the Commonwealth policy of ‘forgetfulness’ and ‘Operation Legacy’, which saw the British government and colonial administrations collaborate in the destruction and/or concealment of the records of British rule, </w:t>
      </w:r>
      <w:r w:rsidR="00042A84" w:rsidRPr="00AE141E">
        <w:rPr>
          <w:rFonts w:ascii="Times New Roman" w:hAnsi="Times New Roman" w:cs="Times New Roman"/>
          <w:sz w:val="24"/>
          <w:szCs w:val="24"/>
        </w:rPr>
        <w:t>in an effort</w:t>
      </w:r>
      <w:r w:rsidRPr="00AE141E">
        <w:rPr>
          <w:rFonts w:ascii="Times New Roman" w:hAnsi="Times New Roman" w:cs="Times New Roman"/>
          <w:sz w:val="24"/>
          <w:szCs w:val="24"/>
        </w:rPr>
        <w:t xml:space="preserve"> to insulate the UK from the dual risks of guilt and accountability.</w:t>
      </w:r>
      <w:r w:rsidRPr="00AE141E">
        <w:rPr>
          <w:rStyle w:val="FootnoteReference"/>
          <w:rFonts w:ascii="Times New Roman" w:hAnsi="Times New Roman" w:cs="Times New Roman"/>
          <w:sz w:val="24"/>
          <w:szCs w:val="24"/>
        </w:rPr>
        <w:footnoteReference w:id="205"/>
      </w:r>
      <w:r w:rsidRPr="00AE141E">
        <w:rPr>
          <w:rFonts w:ascii="Times New Roman" w:hAnsi="Times New Roman" w:cs="Times New Roman"/>
          <w:sz w:val="24"/>
          <w:szCs w:val="24"/>
        </w:rPr>
        <w:t xml:space="preserve"> </w:t>
      </w:r>
    </w:p>
    <w:p w14:paraId="21B7B4E6" w14:textId="77777777"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i/>
          <w:sz w:val="24"/>
          <w:szCs w:val="24"/>
        </w:rPr>
        <w:t>The Commonwealth in Education</w:t>
      </w:r>
      <w:r w:rsidRPr="00AE141E">
        <w:rPr>
          <w:rFonts w:ascii="Times New Roman" w:hAnsi="Times New Roman" w:cs="Times New Roman"/>
          <w:sz w:val="24"/>
          <w:szCs w:val="24"/>
        </w:rPr>
        <w:t xml:space="preserve"> – a 1966 reworking of the 1961 text – displayed greater self-awareness. At this time, the Commonwealth’s future seemed far from certain. The sincerity of its commitment to the promotion of racial and national equality was under attack in the wake of disputes over South African membership, and of new immigration laws depriving Commonwealth citizens of the full rights of British citizenship.</w:t>
      </w:r>
      <w:r w:rsidRPr="00AE141E">
        <w:rPr>
          <w:rStyle w:val="FootnoteReference"/>
          <w:rFonts w:ascii="Times New Roman" w:hAnsi="Times New Roman" w:cs="Times New Roman"/>
          <w:sz w:val="24"/>
          <w:szCs w:val="24"/>
        </w:rPr>
        <w:footnoteReference w:id="206"/>
      </w:r>
      <w:r w:rsidRPr="00AE141E">
        <w:rPr>
          <w:rFonts w:ascii="Times New Roman" w:hAnsi="Times New Roman" w:cs="Times New Roman"/>
          <w:sz w:val="24"/>
          <w:szCs w:val="24"/>
        </w:rPr>
        <w:t xml:space="preserve">  British trade with the Commonwealth declined year on year. In this context, the organisation was often portrayed as an imperial relic obstructing Britain’s true destiny as a </w:t>
      </w:r>
      <w:r w:rsidRPr="00AE141E">
        <w:rPr>
          <w:rFonts w:ascii="Times New Roman" w:hAnsi="Times New Roman" w:cs="Times New Roman"/>
          <w:i/>
          <w:sz w:val="24"/>
          <w:szCs w:val="24"/>
        </w:rPr>
        <w:t xml:space="preserve">European </w:t>
      </w:r>
      <w:r w:rsidRPr="00AE141E">
        <w:rPr>
          <w:rFonts w:ascii="Times New Roman" w:hAnsi="Times New Roman" w:cs="Times New Roman"/>
          <w:sz w:val="24"/>
          <w:szCs w:val="24"/>
        </w:rPr>
        <w:t>power.</w:t>
      </w:r>
      <w:r w:rsidRPr="00AE141E">
        <w:rPr>
          <w:rStyle w:val="FootnoteReference"/>
          <w:rFonts w:ascii="Times New Roman" w:hAnsi="Times New Roman" w:cs="Times New Roman"/>
          <w:sz w:val="24"/>
          <w:szCs w:val="24"/>
        </w:rPr>
        <w:footnoteReference w:id="207"/>
      </w:r>
      <w:r w:rsidRPr="00AE141E">
        <w:rPr>
          <w:rFonts w:ascii="Times New Roman" w:hAnsi="Times New Roman" w:cs="Times New Roman"/>
          <w:sz w:val="24"/>
          <w:szCs w:val="24"/>
        </w:rPr>
        <w:t xml:space="preserve"> The pamphlet acknowledged the doubts which might accrue to the centring of the Commonwealth in teaching under such circumstances. Teachers, the text made clear, had expressed concerns that the teaching of Commonwealth history might amount to a ‘special pleading for Britain’s greatness’ or an ‘up-to-date substitute for the white man’s burden’ and the glamour of an </w:t>
      </w:r>
      <w:r w:rsidRPr="00AE141E">
        <w:rPr>
          <w:rFonts w:ascii="Times New Roman" w:hAnsi="Times New Roman" w:cs="Times New Roman"/>
          <w:sz w:val="24"/>
          <w:szCs w:val="24"/>
        </w:rPr>
        <w:lastRenderedPageBreak/>
        <w:t>imperial past.</w:t>
      </w:r>
      <w:r w:rsidRPr="00AE141E">
        <w:rPr>
          <w:rStyle w:val="FootnoteReference"/>
          <w:rFonts w:ascii="Times New Roman" w:hAnsi="Times New Roman" w:cs="Times New Roman"/>
          <w:sz w:val="24"/>
          <w:szCs w:val="24"/>
        </w:rPr>
        <w:footnoteReference w:id="208"/>
      </w:r>
      <w:r w:rsidRPr="00AE141E">
        <w:rPr>
          <w:rFonts w:ascii="Times New Roman" w:hAnsi="Times New Roman" w:cs="Times New Roman"/>
          <w:sz w:val="24"/>
          <w:szCs w:val="24"/>
        </w:rPr>
        <w:t xml:space="preserve"> To many, the Commonwealth appeared as a mask behind which Britain’s ‘ruthless self-interest’ could operate.</w:t>
      </w:r>
    </w:p>
    <w:p w14:paraId="1FA3AF67" w14:textId="5CE8DCFC" w:rsidR="00E13EF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pamphlet’s own habit of ‘pleading for Britain’s greatness’ did little to allay such doubts. Once again, empire and Commonwealth were neatly enfolded, presented as part of the same historical continuum. Commonwealth history, the authors argued, had the ‘</w:t>
      </w:r>
      <w:r w:rsidRPr="00AE141E">
        <w:rPr>
          <w:rFonts w:ascii="Times New Roman" w:hAnsi="Times New Roman" w:cs="Times New Roman"/>
          <w:i/>
          <w:sz w:val="24"/>
          <w:szCs w:val="24"/>
        </w:rPr>
        <w:t>intrinsic</w:t>
      </w:r>
      <w:r w:rsidRPr="00AE141E">
        <w:rPr>
          <w:rFonts w:ascii="Times New Roman" w:hAnsi="Times New Roman" w:cs="Times New Roman"/>
          <w:sz w:val="24"/>
          <w:szCs w:val="24"/>
        </w:rPr>
        <w:t xml:space="preserve"> danger [emphasis added]’ of showing Britain ‘in a consistently good light’.</w:t>
      </w:r>
      <w:r w:rsidRPr="00AE141E">
        <w:rPr>
          <w:rStyle w:val="FootnoteReference"/>
          <w:rFonts w:ascii="Times New Roman" w:hAnsi="Times New Roman" w:cs="Times New Roman"/>
          <w:sz w:val="24"/>
          <w:szCs w:val="24"/>
        </w:rPr>
        <w:footnoteReference w:id="209"/>
      </w:r>
      <w:r w:rsidRPr="00AE141E">
        <w:rPr>
          <w:rFonts w:ascii="Times New Roman" w:hAnsi="Times New Roman" w:cs="Times New Roman"/>
          <w:sz w:val="24"/>
          <w:szCs w:val="24"/>
        </w:rPr>
        <w:t xml:space="preserve"> </w:t>
      </w:r>
      <w:r w:rsidR="00E220F7">
        <w:rPr>
          <w:rFonts w:ascii="Times New Roman" w:hAnsi="Times New Roman" w:cs="Times New Roman"/>
          <w:sz w:val="24"/>
          <w:szCs w:val="24"/>
        </w:rPr>
        <w:t>This</w:t>
      </w:r>
      <w:r w:rsidRPr="00AE141E">
        <w:rPr>
          <w:rFonts w:ascii="Times New Roman" w:hAnsi="Times New Roman" w:cs="Times New Roman"/>
          <w:sz w:val="24"/>
          <w:szCs w:val="24"/>
        </w:rPr>
        <w:t xml:space="preserve"> risk could be avoided by balancing descriptions of the British imperial past with due attention to the views of the colonised – allowing former British subjects to be understood as historical agents in their own right rather than as the passive recipients of European generosity. Such was the authors’ belief in the justice of the imperial project, they did not expect the voices of the colonised to draw it into question. Imperial violence was presented as individual, rather than systematic: the product of simple errors of judgement, or of the ‘social climate of the time’.</w:t>
      </w:r>
      <w:r w:rsidR="00CB5AB0">
        <w:rPr>
          <w:rStyle w:val="FootnoteReference"/>
          <w:rFonts w:ascii="Times New Roman" w:hAnsi="Times New Roman" w:cs="Times New Roman"/>
          <w:sz w:val="24"/>
          <w:szCs w:val="24"/>
        </w:rPr>
        <w:footnoteReference w:id="210"/>
      </w:r>
      <w:r w:rsidRPr="00AE141E">
        <w:rPr>
          <w:rFonts w:ascii="Times New Roman" w:hAnsi="Times New Roman" w:cs="Times New Roman"/>
          <w:sz w:val="24"/>
          <w:szCs w:val="24"/>
        </w:rPr>
        <w:t xml:space="preserve"> Both explanations served to deny that there was anything </w:t>
      </w:r>
      <w:r w:rsidRPr="00AE141E">
        <w:rPr>
          <w:rFonts w:ascii="Times New Roman" w:hAnsi="Times New Roman" w:cs="Times New Roman"/>
          <w:i/>
          <w:sz w:val="24"/>
          <w:szCs w:val="24"/>
        </w:rPr>
        <w:t>fundamentally</w:t>
      </w:r>
      <w:r w:rsidRPr="00AE141E">
        <w:rPr>
          <w:rFonts w:ascii="Times New Roman" w:hAnsi="Times New Roman" w:cs="Times New Roman"/>
          <w:sz w:val="24"/>
          <w:szCs w:val="24"/>
        </w:rPr>
        <w:t xml:space="preserve"> exploitative about the colonial relationship. The exculpation of individual imperialists under the assumption that they were ‘of their time’ is also inaccurate. As Priyamvada Gopal has convincingly argued, such statements silence the voices of contemporary anti-colonialists in archives across the world.</w:t>
      </w:r>
      <w:r w:rsidRPr="00AE141E">
        <w:rPr>
          <w:rStyle w:val="FootnoteReference"/>
          <w:rFonts w:ascii="Times New Roman" w:hAnsi="Times New Roman" w:cs="Times New Roman"/>
          <w:sz w:val="24"/>
          <w:szCs w:val="24"/>
        </w:rPr>
        <w:footnoteReference w:id="211"/>
      </w:r>
      <w:r w:rsidRPr="00AE141E">
        <w:rPr>
          <w:rFonts w:ascii="Times New Roman" w:hAnsi="Times New Roman" w:cs="Times New Roman"/>
          <w:sz w:val="24"/>
          <w:szCs w:val="24"/>
        </w:rPr>
        <w:t xml:space="preserve"> They therefore become active participants in a deliberate process of historical forgetting and imperial rehabilitation.</w:t>
      </w:r>
    </w:p>
    <w:p w14:paraId="66E2F266" w14:textId="1DC8B495" w:rsidR="00CB4BC0" w:rsidRPr="00AE141E" w:rsidRDefault="00E13EF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Commonwealth could not divest itself of imperial connotations. After all, to study the history of the Commonwealth is to study the history of the British empire. Significantly, its advocates were also inconsistent in seeking to divorce the two systems. Although the Commonwealth was sometimes articulated as an entirely new model for international cooperation, of a piece with the </w:t>
      </w:r>
      <w:r w:rsidR="00C26038">
        <w:rPr>
          <w:rFonts w:ascii="Times New Roman" w:hAnsi="Times New Roman" w:cs="Times New Roman"/>
          <w:sz w:val="24"/>
          <w:szCs w:val="24"/>
        </w:rPr>
        <w:t>UN</w:t>
      </w:r>
      <w:r w:rsidRPr="00AE141E">
        <w:rPr>
          <w:rFonts w:ascii="Times New Roman" w:hAnsi="Times New Roman" w:cs="Times New Roman"/>
          <w:sz w:val="24"/>
          <w:szCs w:val="24"/>
        </w:rPr>
        <w:t xml:space="preserve">, it was more often presented as an extension and justification of imperial doctrine. In 1961, </w:t>
      </w:r>
      <w:r w:rsidRPr="00AE141E">
        <w:rPr>
          <w:rFonts w:ascii="Times New Roman" w:hAnsi="Times New Roman" w:cs="Times New Roman"/>
          <w:i/>
          <w:sz w:val="24"/>
          <w:szCs w:val="24"/>
        </w:rPr>
        <w:t xml:space="preserve">Schools and the Commonwealth </w:t>
      </w:r>
      <w:r w:rsidRPr="00AE141E">
        <w:rPr>
          <w:rFonts w:ascii="Times New Roman" w:hAnsi="Times New Roman" w:cs="Times New Roman"/>
          <w:sz w:val="24"/>
          <w:szCs w:val="24"/>
        </w:rPr>
        <w:t xml:space="preserve">had remarked that </w:t>
      </w:r>
      <w:bookmarkStart w:id="7" w:name="03"/>
      <w:r w:rsidRPr="00AE141E">
        <w:rPr>
          <w:rFonts w:ascii="Times New Roman" w:hAnsi="Times New Roman" w:cs="Times New Roman"/>
          <w:sz w:val="24"/>
          <w:szCs w:val="24"/>
        </w:rPr>
        <w:t>‘imperial’ and ‘colonial’ had both become ‘terms of reproach in the current political idiom’</w:t>
      </w:r>
      <w:bookmarkEnd w:id="7"/>
      <w:r w:rsidRPr="00AE141E">
        <w:rPr>
          <w:rFonts w:ascii="Times New Roman" w:hAnsi="Times New Roman" w:cs="Times New Roman"/>
          <w:sz w:val="24"/>
          <w:szCs w:val="24"/>
        </w:rPr>
        <w:t>.</w:t>
      </w:r>
      <w:r w:rsidRPr="00AE141E">
        <w:rPr>
          <w:rStyle w:val="FootnoteReference"/>
          <w:rFonts w:ascii="Times New Roman" w:hAnsi="Times New Roman" w:cs="Times New Roman"/>
          <w:sz w:val="24"/>
          <w:szCs w:val="24"/>
        </w:rPr>
        <w:footnoteReference w:id="212"/>
      </w:r>
      <w:r w:rsidRPr="00AE141E">
        <w:rPr>
          <w:rFonts w:ascii="Times New Roman" w:hAnsi="Times New Roman" w:cs="Times New Roman"/>
          <w:sz w:val="24"/>
          <w:szCs w:val="24"/>
        </w:rPr>
        <w:t xml:space="preserve"> As the 1960s advanced and the public mood turned against straightforward </w:t>
      </w:r>
      <w:r w:rsidRPr="00AE141E">
        <w:rPr>
          <w:rFonts w:ascii="Times New Roman" w:hAnsi="Times New Roman" w:cs="Times New Roman"/>
          <w:sz w:val="24"/>
          <w:szCs w:val="24"/>
        </w:rPr>
        <w:lastRenderedPageBreak/>
        <w:t>celebration – or even remembrance – of the imperial past, the enmeshed nature of empire and Commonwealth threatened the presence of both on school curricula. Far from rehabilitating empire, the government writing of Commonwealth history vindicated concerns that the Commonwealth was itself a neo-colonial endeavour.</w:t>
      </w:r>
      <w:r w:rsidR="00CB4BC0" w:rsidRPr="00AE141E">
        <w:rPr>
          <w:rFonts w:ascii="Times New Roman" w:hAnsi="Times New Roman" w:cs="Times New Roman"/>
          <w:sz w:val="24"/>
          <w:szCs w:val="24"/>
        </w:rPr>
        <w:t xml:space="preserve"> </w:t>
      </w:r>
    </w:p>
    <w:p w14:paraId="18C105CE" w14:textId="51F7121B" w:rsidR="003B4A50" w:rsidRPr="00AE141E" w:rsidRDefault="003B4A50"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Imperial History on the Defensive</w:t>
      </w:r>
    </w:p>
    <w:p w14:paraId="4FC84AD7" w14:textId="2CA08517" w:rsidR="00B42BAA" w:rsidRPr="00AE141E" w:rsidRDefault="00B42BA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On the eve of the 1960s, the London History Teachers’ Association (LHTA) complained that ‘Empire’ and ‘Imperial’ had become ‘dirty words’, both within and beyond the profession.</w:t>
      </w:r>
      <w:r w:rsidRPr="00AE141E">
        <w:rPr>
          <w:rStyle w:val="FootnoteReference"/>
          <w:rFonts w:ascii="Times New Roman" w:hAnsi="Times New Roman" w:cs="Times New Roman"/>
          <w:sz w:val="24"/>
          <w:szCs w:val="24"/>
        </w:rPr>
        <w:footnoteReference w:id="213"/>
      </w:r>
      <w:r w:rsidRPr="00AE141E">
        <w:rPr>
          <w:rFonts w:ascii="Times New Roman" w:hAnsi="Times New Roman" w:cs="Times New Roman"/>
          <w:sz w:val="24"/>
          <w:szCs w:val="24"/>
        </w:rPr>
        <w:t xml:space="preserve"> Thus, the teaching of imperial history had been placed beyond a moral pale. LHTA assumed that the teaching of imperial history was an inherently imperialist endeavour – an argument which may read as bizarre in the context of today’s debates, but which makes sense when the disciplinary origins of imperial history are considered. Imperial history had emerged as a means to justify and naturalise empire. By the 1960s, the imperial grand narrative lay broken, ruptured by formal decolonisation and by anti-colonial movements’ claims to historical autonomy. To survive, imperial history would have to be reconstituted on entirely different terms. In this context, Fieldhouse wondered whether the ‘old imperial history’ was doomed to suffer the same obsoletion as astrology or phrenology.</w:t>
      </w:r>
      <w:r w:rsidRPr="00AE141E">
        <w:rPr>
          <w:rStyle w:val="FootnoteReference"/>
          <w:rFonts w:ascii="Times New Roman" w:hAnsi="Times New Roman" w:cs="Times New Roman"/>
          <w:sz w:val="24"/>
          <w:szCs w:val="24"/>
        </w:rPr>
        <w:footnoteReference w:id="214"/>
      </w:r>
      <w:r w:rsidRPr="00AE141E">
        <w:rPr>
          <w:rFonts w:ascii="Times New Roman" w:hAnsi="Times New Roman" w:cs="Times New Roman"/>
          <w:sz w:val="24"/>
          <w:szCs w:val="24"/>
        </w:rPr>
        <w:t xml:space="preserve"> He would ultimately conclude that it could be reassembled into new, ‘intellectually respectable’ patterns. Many, however, refused to believe that imperial history could be divorced from complicity in (or celebration of) the imperial project. To use Fieldhouse’s framework, teachers seem to have been unwilling or unable to ‘put humpty-dumpty together again’.</w:t>
      </w:r>
    </w:p>
    <w:p w14:paraId="51EBF01F" w14:textId="77777777" w:rsidR="00B42BAA" w:rsidRPr="00AE141E" w:rsidRDefault="00B42BAA" w:rsidP="00AE141E">
      <w:pPr>
        <w:spacing w:line="360" w:lineRule="auto"/>
        <w:rPr>
          <w:rFonts w:ascii="Times New Roman" w:hAnsi="Times New Roman" w:cs="Times New Roman"/>
          <w:iCs/>
          <w:sz w:val="24"/>
          <w:szCs w:val="24"/>
        </w:rPr>
      </w:pPr>
      <w:r w:rsidRPr="00AE141E">
        <w:rPr>
          <w:rFonts w:ascii="Times New Roman" w:hAnsi="Times New Roman" w:cs="Times New Roman"/>
          <w:sz w:val="24"/>
          <w:szCs w:val="24"/>
        </w:rPr>
        <w:t xml:space="preserve">Guides to the teaching and learning of African history, dating from the 1960s, display an unwillingness to discard the time-honoured grand narrative of a White racial monopoly on historicity. In 1961, the HA published </w:t>
      </w:r>
      <w:r w:rsidRPr="00AE141E">
        <w:rPr>
          <w:rFonts w:ascii="Times New Roman" w:hAnsi="Times New Roman" w:cs="Times New Roman"/>
          <w:i/>
          <w:sz w:val="24"/>
          <w:szCs w:val="24"/>
        </w:rPr>
        <w:t xml:space="preserve">European Rule in Africa, </w:t>
      </w:r>
      <w:r w:rsidRPr="00AE141E">
        <w:rPr>
          <w:rFonts w:ascii="Times New Roman" w:hAnsi="Times New Roman" w:cs="Times New Roman"/>
          <w:sz w:val="24"/>
          <w:szCs w:val="24"/>
        </w:rPr>
        <w:t xml:space="preserve">authored by A.J. Hanna (Lecturer in Modern History at the University of Southampton). The text’s title set out its expectation of which aspects of African history were worth teaching: the continent’s past was reducible to the history of European intervention. Like Roper, Hanna believed that colonisation had </w:t>
      </w:r>
      <w:r w:rsidRPr="00AE141E">
        <w:rPr>
          <w:rFonts w:ascii="Times New Roman" w:hAnsi="Times New Roman" w:cs="Times New Roman"/>
          <w:i/>
          <w:sz w:val="24"/>
          <w:szCs w:val="24"/>
        </w:rPr>
        <w:t>made Africa historical</w:t>
      </w:r>
      <w:r w:rsidRPr="00AE141E">
        <w:rPr>
          <w:rFonts w:ascii="Times New Roman" w:hAnsi="Times New Roman" w:cs="Times New Roman"/>
          <w:sz w:val="24"/>
          <w:szCs w:val="24"/>
        </w:rPr>
        <w:t xml:space="preserve">; the African people had no independent powers of history-making, nor indeed any sense of the fundamental ‘connection between cause and </w:t>
      </w:r>
      <w:r w:rsidRPr="00AE141E">
        <w:rPr>
          <w:rFonts w:ascii="Times New Roman" w:hAnsi="Times New Roman" w:cs="Times New Roman"/>
          <w:sz w:val="24"/>
          <w:szCs w:val="24"/>
        </w:rPr>
        <w:lastRenderedPageBreak/>
        <w:t>effect’.</w:t>
      </w:r>
      <w:r w:rsidRPr="00AE141E">
        <w:rPr>
          <w:rStyle w:val="FootnoteReference"/>
          <w:rFonts w:ascii="Times New Roman" w:hAnsi="Times New Roman" w:cs="Times New Roman"/>
          <w:sz w:val="24"/>
          <w:szCs w:val="24"/>
        </w:rPr>
        <w:footnoteReference w:id="215"/>
      </w:r>
      <w:r w:rsidRPr="00AE141E">
        <w:rPr>
          <w:rFonts w:ascii="Times New Roman" w:hAnsi="Times New Roman" w:cs="Times New Roman"/>
          <w:sz w:val="24"/>
          <w:szCs w:val="24"/>
        </w:rPr>
        <w:t xml:space="preserve"> This was both a cultural and a racial judgement. Hanna was careful to note that such comments applied only to his imagined racial landscape ‘south of the Sahara’ – north Africa, with its ‘Berber and Arab’ inhabitants was excluded from analysis. </w:t>
      </w:r>
    </w:p>
    <w:p w14:paraId="6367C32E" w14:textId="77777777" w:rsidR="00B42BAA" w:rsidRPr="00AE141E" w:rsidRDefault="00B42BAA" w:rsidP="00AE141E">
      <w:pPr>
        <w:spacing w:line="360" w:lineRule="auto"/>
        <w:rPr>
          <w:rFonts w:ascii="Times New Roman" w:hAnsi="Times New Roman" w:cs="Times New Roman"/>
          <w:sz w:val="24"/>
          <w:szCs w:val="24"/>
        </w:rPr>
      </w:pPr>
      <w:r w:rsidRPr="00AE141E">
        <w:rPr>
          <w:rFonts w:ascii="Times New Roman" w:hAnsi="Times New Roman" w:cs="Times New Roman"/>
          <w:i/>
          <w:sz w:val="24"/>
          <w:szCs w:val="24"/>
        </w:rPr>
        <w:t xml:space="preserve">European Rule in Africa </w:t>
      </w:r>
      <w:r w:rsidRPr="00AE141E">
        <w:rPr>
          <w:rFonts w:ascii="Times New Roman" w:hAnsi="Times New Roman" w:cs="Times New Roman"/>
          <w:sz w:val="24"/>
          <w:szCs w:val="24"/>
        </w:rPr>
        <w:t>informed teachers that ‘conditions in Africa would still be roughly what they were a century ago, had it not been for the introduction of European administration, European instruction, and contact with the European economy’.</w:t>
      </w:r>
      <w:r w:rsidRPr="00AE141E">
        <w:rPr>
          <w:rStyle w:val="FootnoteReference"/>
          <w:rFonts w:ascii="Times New Roman" w:hAnsi="Times New Roman" w:cs="Times New Roman"/>
          <w:sz w:val="24"/>
          <w:szCs w:val="24"/>
        </w:rPr>
        <w:footnoteReference w:id="216"/>
      </w:r>
      <w:r w:rsidRPr="00AE141E">
        <w:rPr>
          <w:rFonts w:ascii="Times New Roman" w:hAnsi="Times New Roman" w:cs="Times New Roman"/>
          <w:sz w:val="24"/>
          <w:szCs w:val="24"/>
        </w:rPr>
        <w:t xml:space="preserve"> According to this narrative, European actions, however violent, were not blameworthy – but nor were they strictly benevolent. Instead, European imperialism was interpreted as a necessary stage in a predetermined historical process. It was ‘out of the question’, the publication argued, that Africa ‘could continue forever in economic stagnation and political chaos […] while in every other continent the facility of communications and the pace of economic development were rapidly increasing’.</w:t>
      </w:r>
    </w:p>
    <w:p w14:paraId="1EB7A776" w14:textId="77777777" w:rsidR="00B42BAA" w:rsidRPr="00AE141E" w:rsidRDefault="00B42BA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African and European cultures were plotted as two points on a linear timeline in which progress was assumed and assured. The European presence in Africa was a tool of historical destiny, allowing ‘the African […] to travel the entire distance to twentieth-century civilisation from his starting-point in the early Iron Age’.</w:t>
      </w:r>
      <w:r w:rsidRPr="00AE141E">
        <w:rPr>
          <w:rStyle w:val="FootnoteReference"/>
          <w:rFonts w:ascii="Times New Roman" w:hAnsi="Times New Roman" w:cs="Times New Roman"/>
          <w:sz w:val="24"/>
          <w:szCs w:val="24"/>
        </w:rPr>
        <w:footnoteReference w:id="217"/>
      </w:r>
      <w:r w:rsidRPr="00AE141E">
        <w:rPr>
          <w:rFonts w:ascii="Times New Roman" w:hAnsi="Times New Roman" w:cs="Times New Roman"/>
          <w:sz w:val="24"/>
          <w:szCs w:val="24"/>
        </w:rPr>
        <w:t xml:space="preserve"> British imperialists could not be held personally, or even collectively, responsible for actions determined by Social Darwinist laws of historical development. As Satia argues in connection to the first appearance of such narratives during the late-Victorian era, this reasoning could act as a highly effective tool for the management of guilt and bad-conscience experienced by Europeans confronting the violent underpinnings of national wealth and prestige.</w:t>
      </w:r>
      <w:r w:rsidRPr="00AE141E">
        <w:rPr>
          <w:rStyle w:val="FootnoteReference"/>
          <w:rFonts w:ascii="Times New Roman" w:hAnsi="Times New Roman" w:cs="Times New Roman"/>
          <w:sz w:val="24"/>
          <w:szCs w:val="24"/>
        </w:rPr>
        <w:footnoteReference w:id="218"/>
      </w:r>
      <w:r w:rsidRPr="00AE141E">
        <w:rPr>
          <w:rFonts w:ascii="Times New Roman" w:hAnsi="Times New Roman" w:cs="Times New Roman"/>
          <w:sz w:val="24"/>
          <w:szCs w:val="24"/>
        </w:rPr>
        <w:t xml:space="preserve"> In part, this may account for its enduring popularity. </w:t>
      </w:r>
    </w:p>
    <w:p w14:paraId="06A014FD" w14:textId="77777777" w:rsidR="00B42BAA" w:rsidRPr="00AE141E" w:rsidRDefault="00B42BA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Hanna’s work was not simply an isolated holdover from yesteryear. </w:t>
      </w:r>
      <w:r w:rsidRPr="00AE141E">
        <w:rPr>
          <w:rFonts w:ascii="Times New Roman" w:hAnsi="Times New Roman" w:cs="Times New Roman"/>
          <w:i/>
          <w:sz w:val="24"/>
          <w:szCs w:val="24"/>
        </w:rPr>
        <w:t>European Rule in Africa</w:t>
      </w:r>
      <w:r w:rsidRPr="00AE141E">
        <w:rPr>
          <w:rFonts w:ascii="Times New Roman" w:hAnsi="Times New Roman" w:cs="Times New Roman"/>
          <w:sz w:val="24"/>
          <w:szCs w:val="24"/>
        </w:rPr>
        <w:t xml:space="preserve"> was revised and reprinted in 1965.</w:t>
      </w:r>
      <w:r w:rsidRPr="00AE141E">
        <w:rPr>
          <w:rStyle w:val="FootnoteReference"/>
          <w:rFonts w:ascii="Times New Roman" w:hAnsi="Times New Roman" w:cs="Times New Roman"/>
          <w:sz w:val="24"/>
          <w:szCs w:val="24"/>
        </w:rPr>
        <w:footnoteReference w:id="219"/>
      </w:r>
      <w:r w:rsidRPr="00AE141E">
        <w:rPr>
          <w:rFonts w:ascii="Times New Roman" w:hAnsi="Times New Roman" w:cs="Times New Roman"/>
          <w:sz w:val="24"/>
          <w:szCs w:val="24"/>
        </w:rPr>
        <w:t xml:space="preserve"> In 1968, the HA published </w:t>
      </w:r>
      <w:r w:rsidRPr="00AE141E">
        <w:rPr>
          <w:rFonts w:ascii="Times New Roman" w:hAnsi="Times New Roman" w:cs="Times New Roman"/>
          <w:i/>
          <w:sz w:val="24"/>
          <w:szCs w:val="24"/>
        </w:rPr>
        <w:t xml:space="preserve">The Teaching of African History </w:t>
      </w:r>
      <w:r w:rsidRPr="00AE141E">
        <w:rPr>
          <w:rFonts w:ascii="Times New Roman" w:hAnsi="Times New Roman" w:cs="Times New Roman"/>
          <w:sz w:val="24"/>
          <w:szCs w:val="24"/>
        </w:rPr>
        <w:t xml:space="preserve">– a teachers’ guide co-authored by the HMI members Zoë Marsh and Peter Collister. Marsh and Collister reiterated a biological and geographical determinism. They imagined great feats of bravery and the drama of intense emotional responses, all engendered by a </w:t>
      </w:r>
      <w:r w:rsidRPr="00AE141E">
        <w:rPr>
          <w:rFonts w:ascii="Times New Roman" w:hAnsi="Times New Roman" w:cs="Times New Roman"/>
          <w:sz w:val="24"/>
          <w:szCs w:val="24"/>
        </w:rPr>
        <w:lastRenderedPageBreak/>
        <w:t>hostile and unforgiving climate.</w:t>
      </w:r>
      <w:r w:rsidRPr="00AE141E">
        <w:rPr>
          <w:rStyle w:val="FootnoteReference"/>
          <w:rFonts w:ascii="Times New Roman" w:hAnsi="Times New Roman" w:cs="Times New Roman"/>
          <w:sz w:val="24"/>
          <w:szCs w:val="24"/>
        </w:rPr>
        <w:footnoteReference w:id="220"/>
      </w:r>
      <w:r w:rsidRPr="00AE141E">
        <w:rPr>
          <w:rFonts w:ascii="Times New Roman" w:hAnsi="Times New Roman" w:cs="Times New Roman"/>
          <w:sz w:val="24"/>
          <w:szCs w:val="24"/>
        </w:rPr>
        <w:t xml:space="preserve"> Africa, they claimed, naturally gave rise to ‘heroes of Arthurian stature’: a state of being difficult to appreciate in ‘misty lands where mellow thought matches a moderate climate’. The authors left no room for doubt that the ‘heroes’ to whom they referred were White colonisers. Once again, the ‘coming of the Europeans’ was proclaimed the ‘greatest event in African history’, if not the moment at which Africa first entered into history.</w:t>
      </w:r>
    </w:p>
    <w:p w14:paraId="4651ED73" w14:textId="53221326" w:rsidR="00B42BAA" w:rsidRDefault="00B42BA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persistence of such narratives may have vindicated fears that the discipline of imperial history could be divorced from complicity in the imperial project. Given the habitual conflation of empire and Commonwealth, the latter was ensnared in this generalised mistrust. </w:t>
      </w:r>
      <w:r w:rsidRPr="00AE141E">
        <w:rPr>
          <w:rFonts w:ascii="Times New Roman" w:hAnsi="Times New Roman" w:cs="Times New Roman"/>
          <w:i/>
          <w:sz w:val="24"/>
          <w:szCs w:val="24"/>
        </w:rPr>
        <w:t xml:space="preserve">The Teaching of History in Secondary Schools, </w:t>
      </w:r>
      <w:r w:rsidRPr="00AE141E">
        <w:rPr>
          <w:rFonts w:ascii="Times New Roman" w:hAnsi="Times New Roman" w:cs="Times New Roman"/>
          <w:sz w:val="24"/>
          <w:szCs w:val="24"/>
        </w:rPr>
        <w:t xml:space="preserve">a 1974 training guide produced by the Assistant Masters Association (AMA), implied that the Commonwealth had been the object of a deliberate attempt to divest the topic of its association with jingoistic accounts of imperial expansion. AMA celebrated the disappearance of the stigma which had identified Commonwealth history </w:t>
      </w:r>
      <w:r w:rsidR="00436E69">
        <w:rPr>
          <w:rFonts w:ascii="Times New Roman" w:hAnsi="Times New Roman" w:cs="Times New Roman"/>
          <w:sz w:val="24"/>
          <w:szCs w:val="24"/>
        </w:rPr>
        <w:t>with</w:t>
      </w:r>
      <w:r w:rsidRPr="00AE141E">
        <w:rPr>
          <w:rFonts w:ascii="Times New Roman" w:hAnsi="Times New Roman" w:cs="Times New Roman"/>
          <w:sz w:val="24"/>
          <w:szCs w:val="24"/>
        </w:rPr>
        <w:t xml:space="preserve"> ‘an even more biased form of national history’, attributing these changes to ‘new approaches which highlight the emergence of a unique form of partnership of self-governing states’.</w:t>
      </w:r>
      <w:r w:rsidRPr="00AE141E">
        <w:rPr>
          <w:rStyle w:val="FootnoteReference"/>
          <w:rFonts w:ascii="Times New Roman" w:hAnsi="Times New Roman" w:cs="Times New Roman"/>
          <w:sz w:val="24"/>
          <w:szCs w:val="24"/>
        </w:rPr>
        <w:footnoteReference w:id="221"/>
      </w:r>
      <w:r w:rsidRPr="00AE141E">
        <w:rPr>
          <w:rFonts w:ascii="Times New Roman" w:hAnsi="Times New Roman" w:cs="Times New Roman"/>
          <w:sz w:val="24"/>
          <w:szCs w:val="24"/>
        </w:rPr>
        <w:t xml:space="preserve"> They acknowledged, however, that this apparent divestment had had little success in increasing the popularity of the subject. </w:t>
      </w:r>
    </w:p>
    <w:p w14:paraId="13F1D9B2" w14:textId="5911BFC4" w:rsidR="00A41380" w:rsidRPr="00AE141E" w:rsidRDefault="00DE0243" w:rsidP="00A41380">
      <w:pPr>
        <w:spacing w:line="360" w:lineRule="auto"/>
        <w:rPr>
          <w:rFonts w:ascii="Times New Roman" w:hAnsi="Times New Roman" w:cs="Times New Roman"/>
          <w:sz w:val="24"/>
          <w:szCs w:val="24"/>
        </w:rPr>
      </w:pPr>
      <w:r>
        <w:rPr>
          <w:rFonts w:ascii="Times New Roman" w:hAnsi="Times New Roman" w:cs="Times New Roman"/>
          <w:sz w:val="24"/>
          <w:szCs w:val="24"/>
        </w:rPr>
        <w:t>Indeed, b</w:t>
      </w:r>
      <w:r w:rsidR="00A41380" w:rsidRPr="00AE141E">
        <w:rPr>
          <w:rFonts w:ascii="Times New Roman" w:hAnsi="Times New Roman" w:cs="Times New Roman"/>
          <w:sz w:val="24"/>
          <w:szCs w:val="24"/>
        </w:rPr>
        <w:t xml:space="preserve">y the start of the </w:t>
      </w:r>
      <w:r>
        <w:rPr>
          <w:rFonts w:ascii="Times New Roman" w:hAnsi="Times New Roman" w:cs="Times New Roman"/>
          <w:sz w:val="24"/>
          <w:szCs w:val="24"/>
        </w:rPr>
        <w:t>1970s</w:t>
      </w:r>
      <w:r w:rsidR="00A41380" w:rsidRPr="00AE141E">
        <w:rPr>
          <w:rFonts w:ascii="Times New Roman" w:hAnsi="Times New Roman" w:cs="Times New Roman"/>
          <w:sz w:val="24"/>
          <w:szCs w:val="24"/>
        </w:rPr>
        <w:t xml:space="preserve">, the </w:t>
      </w:r>
      <w:r w:rsidR="00D33AC8">
        <w:rPr>
          <w:rFonts w:ascii="Times New Roman" w:hAnsi="Times New Roman" w:cs="Times New Roman"/>
          <w:sz w:val="24"/>
          <w:szCs w:val="24"/>
        </w:rPr>
        <w:t>already low uptake</w:t>
      </w:r>
      <w:r>
        <w:rPr>
          <w:rFonts w:ascii="Times New Roman" w:hAnsi="Times New Roman" w:cs="Times New Roman"/>
          <w:sz w:val="24"/>
          <w:szCs w:val="24"/>
        </w:rPr>
        <w:t xml:space="preserve"> of imperial and Commonwealth history</w:t>
      </w:r>
      <w:r w:rsidR="00D33AC8">
        <w:rPr>
          <w:rFonts w:ascii="Times New Roman" w:hAnsi="Times New Roman" w:cs="Times New Roman"/>
          <w:sz w:val="24"/>
          <w:szCs w:val="24"/>
        </w:rPr>
        <w:t xml:space="preserve"> seemed to be in sharp </w:t>
      </w:r>
      <w:r w:rsidR="00A41380" w:rsidRPr="00AE141E">
        <w:rPr>
          <w:rFonts w:ascii="Times New Roman" w:hAnsi="Times New Roman" w:cs="Times New Roman"/>
          <w:sz w:val="24"/>
          <w:szCs w:val="24"/>
        </w:rPr>
        <w:t xml:space="preserve">decline </w:t>
      </w:r>
      <w:r w:rsidR="002D7198">
        <w:rPr>
          <w:rFonts w:ascii="Times New Roman" w:hAnsi="Times New Roman" w:cs="Times New Roman"/>
          <w:sz w:val="24"/>
          <w:szCs w:val="24"/>
        </w:rPr>
        <w:t xml:space="preserve">– a phenomenon both prompted by and reflected in </w:t>
      </w:r>
      <w:r w:rsidR="00CB70E9">
        <w:rPr>
          <w:rFonts w:ascii="Times New Roman" w:hAnsi="Times New Roman" w:cs="Times New Roman"/>
          <w:sz w:val="24"/>
          <w:szCs w:val="24"/>
        </w:rPr>
        <w:t xml:space="preserve">the </w:t>
      </w:r>
      <w:r w:rsidR="00A41380" w:rsidRPr="00AE141E">
        <w:rPr>
          <w:rFonts w:ascii="Times New Roman" w:hAnsi="Times New Roman" w:cs="Times New Roman"/>
          <w:sz w:val="24"/>
          <w:szCs w:val="24"/>
        </w:rPr>
        <w:t>cut</w:t>
      </w:r>
      <w:r w:rsidR="00CB70E9">
        <w:rPr>
          <w:rFonts w:ascii="Times New Roman" w:hAnsi="Times New Roman" w:cs="Times New Roman"/>
          <w:sz w:val="24"/>
          <w:szCs w:val="24"/>
        </w:rPr>
        <w:t>ting of</w:t>
      </w:r>
      <w:r w:rsidR="00A41380" w:rsidRPr="00AE141E">
        <w:rPr>
          <w:rFonts w:ascii="Times New Roman" w:hAnsi="Times New Roman" w:cs="Times New Roman"/>
          <w:sz w:val="24"/>
          <w:szCs w:val="24"/>
        </w:rPr>
        <w:t xml:space="preserve"> </w:t>
      </w:r>
      <w:r>
        <w:rPr>
          <w:rFonts w:ascii="Times New Roman" w:hAnsi="Times New Roman" w:cs="Times New Roman"/>
          <w:sz w:val="24"/>
          <w:szCs w:val="24"/>
        </w:rPr>
        <w:t xml:space="preserve">examination </w:t>
      </w:r>
      <w:r w:rsidR="00A41380" w:rsidRPr="00AE141E">
        <w:rPr>
          <w:rFonts w:ascii="Times New Roman" w:hAnsi="Times New Roman" w:cs="Times New Roman"/>
          <w:sz w:val="24"/>
          <w:szCs w:val="24"/>
        </w:rPr>
        <w:t xml:space="preserve">papers. A 1971 report noted that imperial and Commonwealth history had all but ‘disappeared’ at A </w:t>
      </w:r>
      <w:r w:rsidR="00A41380">
        <w:rPr>
          <w:rFonts w:ascii="Times New Roman" w:hAnsi="Times New Roman" w:cs="Times New Roman"/>
          <w:sz w:val="24"/>
          <w:szCs w:val="24"/>
        </w:rPr>
        <w:t>L</w:t>
      </w:r>
      <w:r w:rsidR="00A41380" w:rsidRPr="00AE141E">
        <w:rPr>
          <w:rFonts w:ascii="Times New Roman" w:hAnsi="Times New Roman" w:cs="Times New Roman"/>
          <w:sz w:val="24"/>
          <w:szCs w:val="24"/>
        </w:rPr>
        <w:t>evel, except in the Associated Examining Board (AEB) examinations, while it was retained at O Level only by AEB, Oxford, Cambridge and Northern Universities.</w:t>
      </w:r>
      <w:r w:rsidR="00A41380" w:rsidRPr="00AE141E">
        <w:rPr>
          <w:rStyle w:val="FootnoteReference"/>
          <w:rFonts w:ascii="Times New Roman" w:hAnsi="Times New Roman" w:cs="Times New Roman"/>
          <w:sz w:val="24"/>
          <w:szCs w:val="24"/>
        </w:rPr>
        <w:footnoteReference w:id="222"/>
      </w:r>
      <w:r w:rsidR="00A41380" w:rsidRPr="00AE141E">
        <w:rPr>
          <w:rFonts w:ascii="Times New Roman" w:hAnsi="Times New Roman" w:cs="Times New Roman"/>
          <w:sz w:val="24"/>
          <w:szCs w:val="24"/>
        </w:rPr>
        <w:t xml:space="preserve"> </w:t>
      </w:r>
      <w:r w:rsidR="00CB70E9">
        <w:rPr>
          <w:rFonts w:ascii="Times New Roman" w:hAnsi="Times New Roman" w:cs="Times New Roman"/>
          <w:sz w:val="24"/>
          <w:szCs w:val="24"/>
        </w:rPr>
        <w:t>Howat had</w:t>
      </w:r>
      <w:r w:rsidR="00A41380" w:rsidRPr="00AE141E">
        <w:rPr>
          <w:rFonts w:ascii="Times New Roman" w:hAnsi="Times New Roman" w:cs="Times New Roman"/>
          <w:sz w:val="24"/>
          <w:szCs w:val="24"/>
        </w:rPr>
        <w:t xml:space="preserve"> attributed imperial and Commonwealth history’s habitual failure to attract a large candidature to its unfortunate association with the narration of the past as a ‘confused parade of constitutional milestones’.</w:t>
      </w:r>
      <w:r w:rsidR="00A41380" w:rsidRPr="00AE141E">
        <w:rPr>
          <w:rStyle w:val="FootnoteReference"/>
          <w:rFonts w:ascii="Times New Roman" w:hAnsi="Times New Roman" w:cs="Times New Roman"/>
          <w:sz w:val="24"/>
          <w:szCs w:val="24"/>
        </w:rPr>
        <w:footnoteReference w:id="223"/>
      </w:r>
      <w:r w:rsidR="00A41380" w:rsidRPr="00AE141E">
        <w:rPr>
          <w:rFonts w:ascii="Times New Roman" w:hAnsi="Times New Roman" w:cs="Times New Roman"/>
          <w:sz w:val="24"/>
          <w:szCs w:val="24"/>
        </w:rPr>
        <w:t xml:space="preserve"> </w:t>
      </w:r>
      <w:r w:rsidR="00436E69">
        <w:rPr>
          <w:rFonts w:ascii="Times New Roman" w:hAnsi="Times New Roman" w:cs="Times New Roman"/>
          <w:sz w:val="24"/>
          <w:szCs w:val="24"/>
        </w:rPr>
        <w:t>As we will see in Chapter 2, t</w:t>
      </w:r>
      <w:r w:rsidR="00A41380" w:rsidRPr="00AE141E">
        <w:rPr>
          <w:rFonts w:ascii="Times New Roman" w:hAnsi="Times New Roman" w:cs="Times New Roman"/>
          <w:sz w:val="24"/>
          <w:szCs w:val="24"/>
        </w:rPr>
        <w:t xml:space="preserve">he rise of child-centred learning demanded teaching with demonstrable relevance to the lives </w:t>
      </w:r>
      <w:r w:rsidR="00A41380" w:rsidRPr="00AE141E">
        <w:rPr>
          <w:rFonts w:ascii="Times New Roman" w:hAnsi="Times New Roman" w:cs="Times New Roman"/>
          <w:sz w:val="24"/>
          <w:szCs w:val="24"/>
        </w:rPr>
        <w:lastRenderedPageBreak/>
        <w:t>and interests of young audiences; dry political sequences, learned by rote, came under fire.</w:t>
      </w:r>
      <w:r w:rsidR="00A41380" w:rsidRPr="00AE141E">
        <w:rPr>
          <w:rStyle w:val="FootnoteReference"/>
          <w:rFonts w:ascii="Times New Roman" w:hAnsi="Times New Roman" w:cs="Times New Roman"/>
          <w:sz w:val="24"/>
          <w:szCs w:val="24"/>
        </w:rPr>
        <w:footnoteReference w:id="224"/>
      </w:r>
      <w:r w:rsidR="00A41380" w:rsidRPr="00AE141E">
        <w:rPr>
          <w:rFonts w:ascii="Times New Roman" w:hAnsi="Times New Roman" w:cs="Times New Roman"/>
          <w:sz w:val="24"/>
          <w:szCs w:val="24"/>
        </w:rPr>
        <w:t xml:space="preserve"> However, the contemporary shift in public attitudes to empire seems to offer another</w:t>
      </w:r>
      <w:r w:rsidR="004D0132">
        <w:rPr>
          <w:rFonts w:ascii="Times New Roman" w:hAnsi="Times New Roman" w:cs="Times New Roman"/>
          <w:sz w:val="24"/>
          <w:szCs w:val="24"/>
        </w:rPr>
        <w:t xml:space="preserve"> </w:t>
      </w:r>
      <w:r w:rsidR="00A41380" w:rsidRPr="00AE141E">
        <w:rPr>
          <w:rFonts w:ascii="Times New Roman" w:hAnsi="Times New Roman" w:cs="Times New Roman"/>
          <w:sz w:val="24"/>
          <w:szCs w:val="24"/>
        </w:rPr>
        <w:t>powerful reason for the decline in imperial and Commonwealth history as an examination topic.</w:t>
      </w:r>
    </w:p>
    <w:p w14:paraId="500F2FD1" w14:textId="20168B0D" w:rsidR="00B42BAA" w:rsidRPr="00AE141E" w:rsidRDefault="00276DBB" w:rsidP="00AE141E">
      <w:pPr>
        <w:spacing w:line="360" w:lineRule="auto"/>
        <w:rPr>
          <w:rFonts w:ascii="Times New Roman" w:hAnsi="Times New Roman" w:cs="Times New Roman"/>
          <w:sz w:val="24"/>
          <w:szCs w:val="24"/>
        </w:rPr>
      </w:pPr>
      <w:r w:rsidRPr="00A3667C">
        <w:rPr>
          <w:rFonts w:ascii="Times New Roman" w:hAnsi="Times New Roman" w:cs="Times New Roman"/>
          <w:sz w:val="24"/>
          <w:szCs w:val="24"/>
        </w:rPr>
        <w:t>In the 1970s</w:t>
      </w:r>
      <w:r w:rsidR="00A3667C" w:rsidRPr="00A3667C">
        <w:rPr>
          <w:rFonts w:ascii="Times New Roman" w:hAnsi="Times New Roman" w:cs="Times New Roman"/>
          <w:sz w:val="24"/>
          <w:szCs w:val="24"/>
        </w:rPr>
        <w:t xml:space="preserve"> to the close of the 1980s, i</w:t>
      </w:r>
      <w:r w:rsidR="00B42BAA" w:rsidRPr="00A3667C">
        <w:rPr>
          <w:rFonts w:ascii="Times New Roman" w:hAnsi="Times New Roman" w:cs="Times New Roman"/>
          <w:sz w:val="24"/>
          <w:szCs w:val="24"/>
        </w:rPr>
        <w:t>mperial and Commonwealth history lived on in two principal forms.</w:t>
      </w:r>
      <w:r w:rsidR="00B42BAA" w:rsidRPr="00AE141E">
        <w:rPr>
          <w:rFonts w:ascii="Times New Roman" w:hAnsi="Times New Roman" w:cs="Times New Roman"/>
          <w:sz w:val="24"/>
          <w:szCs w:val="24"/>
        </w:rPr>
        <w:t xml:space="preserve"> We have already seen that many schools chose to offer some form of empire history at ages 13 to 14 (the last year of compulsory history, prior to the choosing of ‘options’ for public exams). Episodes such as the ‘Scramble for Africa’ or the American War of Independence seem to have been widely taught, and to have been approached primarily as an extension of British political and constitutional history.</w:t>
      </w:r>
      <w:r w:rsidR="00B42BAA" w:rsidRPr="00AE141E">
        <w:rPr>
          <w:rStyle w:val="FootnoteReference"/>
          <w:rFonts w:ascii="Times New Roman" w:hAnsi="Times New Roman" w:cs="Times New Roman"/>
          <w:sz w:val="24"/>
          <w:szCs w:val="24"/>
        </w:rPr>
        <w:footnoteReference w:id="225"/>
      </w:r>
      <w:r w:rsidR="00B42BAA" w:rsidRPr="00AE141E">
        <w:rPr>
          <w:rFonts w:ascii="Times New Roman" w:hAnsi="Times New Roman" w:cs="Times New Roman"/>
          <w:sz w:val="24"/>
          <w:szCs w:val="24"/>
        </w:rPr>
        <w:t xml:space="preserve"> Students in this age range and below were also introduced to Britain’s imperial past through the themes of ‘discovery’ and ‘exploration’. The 1967 publication </w:t>
      </w:r>
      <w:r w:rsidR="00B42BAA" w:rsidRPr="00AE141E">
        <w:rPr>
          <w:rFonts w:ascii="Times New Roman" w:hAnsi="Times New Roman" w:cs="Times New Roman"/>
          <w:i/>
          <w:sz w:val="24"/>
          <w:szCs w:val="24"/>
        </w:rPr>
        <w:t>Notes on the Teaching of Empire and Commonwealth History</w:t>
      </w:r>
      <w:r w:rsidR="00B42BAA" w:rsidRPr="00AE141E">
        <w:rPr>
          <w:rFonts w:ascii="Times New Roman" w:hAnsi="Times New Roman" w:cs="Times New Roman"/>
          <w:sz w:val="24"/>
          <w:szCs w:val="24"/>
        </w:rPr>
        <w:t>, produced by the HA, stressed the power of such narratives in engaging lower secondary forms. Younger secondary students, teachers were advised, would ‘derive a great deal of pleasure from the adventures of the Elizabethan sailors or the explorations of men like Cook and Livingstone’.</w:t>
      </w:r>
      <w:r w:rsidR="00B42BAA" w:rsidRPr="00AE141E">
        <w:rPr>
          <w:rFonts w:ascii="Times New Roman" w:hAnsi="Times New Roman" w:cs="Times New Roman"/>
          <w:sz w:val="24"/>
          <w:szCs w:val="24"/>
          <w:vertAlign w:val="superscript"/>
        </w:rPr>
        <w:footnoteReference w:id="226"/>
      </w:r>
      <w:r w:rsidR="00B42BAA" w:rsidRPr="00AE141E">
        <w:rPr>
          <w:rFonts w:ascii="Times New Roman" w:hAnsi="Times New Roman" w:cs="Times New Roman"/>
          <w:sz w:val="24"/>
          <w:szCs w:val="24"/>
        </w:rPr>
        <w:t xml:space="preserve"> In </w:t>
      </w:r>
      <w:r w:rsidR="00B42BAA" w:rsidRPr="00AE141E">
        <w:rPr>
          <w:rFonts w:ascii="Times New Roman" w:hAnsi="Times New Roman" w:cs="Times New Roman"/>
          <w:i/>
          <w:sz w:val="24"/>
          <w:szCs w:val="24"/>
        </w:rPr>
        <w:t xml:space="preserve">The Teaching of African History, </w:t>
      </w:r>
      <w:r w:rsidR="00B42BAA" w:rsidRPr="00AE141E">
        <w:rPr>
          <w:rFonts w:ascii="Times New Roman" w:hAnsi="Times New Roman" w:cs="Times New Roman"/>
          <w:sz w:val="24"/>
          <w:szCs w:val="24"/>
        </w:rPr>
        <w:t>published the following year, it was suggested that teachers should supplement the already-popular study of ‘fifteenth century explorers and subsequent maritime discoveries’ with topic-work on the exploration of Africa by land.</w:t>
      </w:r>
      <w:r w:rsidR="00B42BAA" w:rsidRPr="00AE141E">
        <w:rPr>
          <w:rFonts w:ascii="Times New Roman" w:hAnsi="Times New Roman" w:cs="Times New Roman"/>
          <w:sz w:val="24"/>
          <w:szCs w:val="24"/>
          <w:vertAlign w:val="superscript"/>
        </w:rPr>
        <w:footnoteReference w:id="227"/>
      </w:r>
      <w:r w:rsidR="00B42BAA" w:rsidRPr="00AE141E">
        <w:rPr>
          <w:rFonts w:ascii="Times New Roman" w:hAnsi="Times New Roman" w:cs="Times New Roman"/>
          <w:sz w:val="24"/>
          <w:szCs w:val="24"/>
        </w:rPr>
        <w:t xml:space="preserve"> </w:t>
      </w:r>
    </w:p>
    <w:p w14:paraId="0BDBF5C8" w14:textId="66744365" w:rsidR="00B42BAA" w:rsidRPr="00AE141E" w:rsidRDefault="00B42BA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very notion of ‘discovery’ carried within it a denial of indigenous existence which accepted and reinforced the genocidal logic of settler colonialism. The lives of the explorers who made these ‘discoveries’ were often written in the style of adventure stories. Marsh and Collister asserted the value of African history – with its intrinsic ‘colour, excitement, romance, courage, [and] adventure’ – for engaging young audiences.</w:t>
      </w:r>
      <w:r w:rsidRPr="00AE141E">
        <w:rPr>
          <w:rStyle w:val="FootnoteReference"/>
          <w:rFonts w:ascii="Times New Roman" w:hAnsi="Times New Roman" w:cs="Times New Roman"/>
          <w:sz w:val="24"/>
          <w:szCs w:val="24"/>
        </w:rPr>
        <w:footnoteReference w:id="228"/>
      </w:r>
      <w:r w:rsidRPr="00AE141E">
        <w:rPr>
          <w:rFonts w:ascii="Times New Roman" w:hAnsi="Times New Roman" w:cs="Times New Roman"/>
          <w:sz w:val="24"/>
          <w:szCs w:val="24"/>
        </w:rPr>
        <w:t xml:space="preserve"> In making the history of empire appealing to younger students, the tropes of discovery, exploration, and adventure had a sanitising effect, sheering empire of much of its violence and functioning as distancing mechanisms. The heroes of the imperial narrative were necessarily confronted by obstacles as </w:t>
      </w:r>
      <w:r w:rsidRPr="00AE141E">
        <w:rPr>
          <w:rFonts w:ascii="Times New Roman" w:hAnsi="Times New Roman" w:cs="Times New Roman"/>
          <w:sz w:val="24"/>
          <w:szCs w:val="24"/>
        </w:rPr>
        <w:lastRenderedPageBreak/>
        <w:t xml:space="preserve">a test of bravery, but these could never be portrayed as insuperable, nor presented in such a light as to undermine sympathy for the protagonists. Thus, </w:t>
      </w:r>
      <w:r w:rsidRPr="00AE141E">
        <w:rPr>
          <w:rFonts w:ascii="Times New Roman" w:hAnsi="Times New Roman" w:cs="Times New Roman"/>
          <w:i/>
          <w:sz w:val="24"/>
          <w:szCs w:val="24"/>
        </w:rPr>
        <w:t xml:space="preserve">European Rule in Africa </w:t>
      </w:r>
      <w:r w:rsidRPr="00AE141E">
        <w:rPr>
          <w:rFonts w:ascii="Times New Roman" w:hAnsi="Times New Roman" w:cs="Times New Roman"/>
          <w:sz w:val="24"/>
          <w:szCs w:val="24"/>
        </w:rPr>
        <w:t>lauded the Kenyan settlers’ achievements in overcoming the ‘unwillingness of the African tribesman […] to do any regular work’.</w:t>
      </w:r>
      <w:r w:rsidRPr="00AE141E">
        <w:rPr>
          <w:rFonts w:ascii="Times New Roman" w:hAnsi="Times New Roman" w:cs="Times New Roman"/>
          <w:sz w:val="24"/>
          <w:szCs w:val="24"/>
          <w:vertAlign w:val="superscript"/>
        </w:rPr>
        <w:footnoteReference w:id="229"/>
      </w:r>
      <w:r w:rsidRPr="00AE141E">
        <w:rPr>
          <w:rFonts w:ascii="Times New Roman" w:hAnsi="Times New Roman" w:cs="Times New Roman"/>
          <w:sz w:val="24"/>
          <w:szCs w:val="24"/>
        </w:rPr>
        <w:t xml:space="preserve"> In keeping with the taxonomies of race science, this passage represented the Kenyan people as pathologically and immutably lazy. The idea that non-cooperation with the British might have been a mechanism of survival and resistance for much of the rural population was excised from the narrative. The cultivation of student interest was to be founded on a close identification between student and coloniser/hero. The affective dimension of these studies may well have contributed to their enduring popularity. As late as 1987, an Economic and Social Research Council report on the teaching of history in secondary schools found that ‘exploration and discovery’ remained common themes in the second and third years.</w:t>
      </w:r>
      <w:r w:rsidRPr="00AE141E">
        <w:rPr>
          <w:rStyle w:val="FootnoteReference"/>
          <w:rFonts w:ascii="Times New Roman" w:hAnsi="Times New Roman" w:cs="Times New Roman"/>
          <w:sz w:val="24"/>
          <w:szCs w:val="24"/>
        </w:rPr>
        <w:footnoteReference w:id="230"/>
      </w:r>
    </w:p>
    <w:p w14:paraId="02F461B7" w14:textId="28770E45" w:rsidR="007B4181" w:rsidRPr="00AE141E" w:rsidRDefault="004D045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By the </w:t>
      </w:r>
      <w:r w:rsidR="00DF2A73">
        <w:rPr>
          <w:rFonts w:ascii="Times New Roman" w:hAnsi="Times New Roman" w:cs="Times New Roman"/>
          <w:sz w:val="24"/>
          <w:szCs w:val="24"/>
        </w:rPr>
        <w:t>start of the 1970s</w:t>
      </w:r>
      <w:r w:rsidRPr="00AE141E">
        <w:rPr>
          <w:rFonts w:ascii="Times New Roman" w:hAnsi="Times New Roman" w:cs="Times New Roman"/>
          <w:sz w:val="24"/>
          <w:szCs w:val="24"/>
        </w:rPr>
        <w:t xml:space="preserve">, </w:t>
      </w:r>
      <w:r w:rsidR="005D6320" w:rsidRPr="00AE141E">
        <w:rPr>
          <w:rFonts w:ascii="Times New Roman" w:hAnsi="Times New Roman" w:cs="Times New Roman"/>
          <w:sz w:val="24"/>
          <w:szCs w:val="24"/>
        </w:rPr>
        <w:t>it seems that</w:t>
      </w:r>
      <w:r w:rsidR="00472DC7" w:rsidRPr="00AE141E">
        <w:rPr>
          <w:rFonts w:ascii="Times New Roman" w:hAnsi="Times New Roman" w:cs="Times New Roman"/>
          <w:sz w:val="24"/>
          <w:szCs w:val="24"/>
        </w:rPr>
        <w:t xml:space="preserve"> the teaching of imperial history was suffering a decline in English secondary schools, though it did not fall out of the picture entirely.</w:t>
      </w:r>
      <w:r w:rsidR="000F6C4F" w:rsidRPr="00AE141E">
        <w:rPr>
          <w:rFonts w:ascii="Times New Roman" w:hAnsi="Times New Roman" w:cs="Times New Roman"/>
          <w:sz w:val="24"/>
          <w:szCs w:val="24"/>
        </w:rPr>
        <w:t xml:space="preserve"> The timeline of this shift affirms MacKenzie’s conclusion that, in cultural terms, the loss of empire had a greater impact in the 1960s and succeeding years than in the immediate aftermath of the Second World War.</w:t>
      </w:r>
      <w:r w:rsidR="001C5CF7" w:rsidRPr="00AE141E">
        <w:rPr>
          <w:rStyle w:val="FootnoteReference"/>
          <w:rFonts w:ascii="Times New Roman" w:hAnsi="Times New Roman" w:cs="Times New Roman"/>
          <w:sz w:val="24"/>
          <w:szCs w:val="24"/>
        </w:rPr>
        <w:footnoteReference w:id="231"/>
      </w:r>
      <w:r w:rsidR="000F6C4F" w:rsidRPr="00AE141E">
        <w:rPr>
          <w:rFonts w:ascii="Times New Roman" w:hAnsi="Times New Roman" w:cs="Times New Roman"/>
          <w:sz w:val="24"/>
          <w:szCs w:val="24"/>
        </w:rPr>
        <w:t xml:space="preserve"> </w:t>
      </w:r>
      <w:r w:rsidR="00E86E1A" w:rsidRPr="00AE141E">
        <w:rPr>
          <w:rFonts w:ascii="Times New Roman" w:hAnsi="Times New Roman" w:cs="Times New Roman"/>
          <w:sz w:val="24"/>
          <w:szCs w:val="24"/>
        </w:rPr>
        <w:t xml:space="preserve">As </w:t>
      </w:r>
      <w:r w:rsidR="00F321E4" w:rsidRPr="00AE141E">
        <w:rPr>
          <w:rFonts w:ascii="Times New Roman" w:hAnsi="Times New Roman" w:cs="Times New Roman"/>
          <w:sz w:val="24"/>
          <w:szCs w:val="24"/>
        </w:rPr>
        <w:t>we will see</w:t>
      </w:r>
      <w:r w:rsidR="00E86E1A" w:rsidRPr="00AE141E">
        <w:rPr>
          <w:rFonts w:ascii="Times New Roman" w:hAnsi="Times New Roman" w:cs="Times New Roman"/>
          <w:sz w:val="24"/>
          <w:szCs w:val="24"/>
        </w:rPr>
        <w:t xml:space="preserve">, </w:t>
      </w:r>
      <w:r w:rsidR="00B86A26" w:rsidRPr="00AE141E">
        <w:rPr>
          <w:rFonts w:ascii="Times New Roman" w:hAnsi="Times New Roman" w:cs="Times New Roman"/>
          <w:sz w:val="24"/>
          <w:szCs w:val="24"/>
        </w:rPr>
        <w:t xml:space="preserve">other sub-disciplines and historical themes compounded and profited from </w:t>
      </w:r>
      <w:r w:rsidR="00B4312A" w:rsidRPr="00AE141E">
        <w:rPr>
          <w:rFonts w:ascii="Times New Roman" w:hAnsi="Times New Roman" w:cs="Times New Roman"/>
          <w:sz w:val="24"/>
          <w:szCs w:val="24"/>
        </w:rPr>
        <w:t xml:space="preserve">its decline. Most notably, world history </w:t>
      </w:r>
      <w:r w:rsidR="00B47A95" w:rsidRPr="00AE141E">
        <w:rPr>
          <w:rFonts w:ascii="Times New Roman" w:hAnsi="Times New Roman" w:cs="Times New Roman"/>
          <w:sz w:val="24"/>
          <w:szCs w:val="24"/>
        </w:rPr>
        <w:t xml:space="preserve">emerged as a rival to the </w:t>
      </w:r>
      <w:r w:rsidR="00902860" w:rsidRPr="00AE141E">
        <w:rPr>
          <w:rFonts w:ascii="Times New Roman" w:hAnsi="Times New Roman" w:cs="Times New Roman"/>
          <w:sz w:val="24"/>
          <w:szCs w:val="24"/>
        </w:rPr>
        <w:t>old school of imperial and Commonwealth history, such as it had existed in English classrooms.</w:t>
      </w:r>
      <w:r w:rsidR="00927B13" w:rsidRPr="00AE141E">
        <w:rPr>
          <w:rFonts w:ascii="Times New Roman" w:hAnsi="Times New Roman" w:cs="Times New Roman"/>
          <w:sz w:val="24"/>
          <w:szCs w:val="24"/>
        </w:rPr>
        <w:t xml:space="preserve"> </w:t>
      </w:r>
      <w:r w:rsidR="005B28B4" w:rsidRPr="00AE141E">
        <w:rPr>
          <w:rFonts w:ascii="Times New Roman" w:hAnsi="Times New Roman" w:cs="Times New Roman"/>
          <w:sz w:val="24"/>
          <w:szCs w:val="24"/>
        </w:rPr>
        <w:t>If continuity and (to a lesser degree) consensus characterised the teaching of history from 1945 to the end of the 1950s, change and division were the watchword</w:t>
      </w:r>
      <w:r w:rsidR="006560DB" w:rsidRPr="00AE141E">
        <w:rPr>
          <w:rFonts w:ascii="Times New Roman" w:hAnsi="Times New Roman" w:cs="Times New Roman"/>
          <w:sz w:val="24"/>
          <w:szCs w:val="24"/>
        </w:rPr>
        <w:t>s</w:t>
      </w:r>
      <w:r w:rsidR="005B28B4" w:rsidRPr="00AE141E">
        <w:rPr>
          <w:rFonts w:ascii="Times New Roman" w:hAnsi="Times New Roman" w:cs="Times New Roman"/>
          <w:sz w:val="24"/>
          <w:szCs w:val="24"/>
        </w:rPr>
        <w:t xml:space="preserve"> of the 1960s. As Aldrich and Dean put it, ‘the 1960s ushered in a period of such fundamental social and educational change that a series of new, and potentially conflicting and competing, histories was bound to emerge’.</w:t>
      </w:r>
      <w:r w:rsidR="001C5CF7" w:rsidRPr="00AE141E">
        <w:rPr>
          <w:rStyle w:val="FootnoteReference"/>
          <w:rFonts w:ascii="Times New Roman" w:hAnsi="Times New Roman" w:cs="Times New Roman"/>
          <w:sz w:val="24"/>
          <w:szCs w:val="24"/>
        </w:rPr>
        <w:footnoteReference w:id="232"/>
      </w:r>
      <w:r w:rsidR="00287527" w:rsidRPr="00AE141E">
        <w:rPr>
          <w:rFonts w:ascii="Times New Roman" w:hAnsi="Times New Roman" w:cs="Times New Roman"/>
          <w:sz w:val="24"/>
          <w:szCs w:val="24"/>
        </w:rPr>
        <w:t xml:space="preserve"> The next two chapters will track </w:t>
      </w:r>
      <w:r w:rsidR="0071718B" w:rsidRPr="00AE141E">
        <w:rPr>
          <w:rFonts w:ascii="Times New Roman" w:hAnsi="Times New Roman" w:cs="Times New Roman"/>
          <w:sz w:val="24"/>
          <w:szCs w:val="24"/>
        </w:rPr>
        <w:t xml:space="preserve">changes in the teaching of imperial and Commonwealth history from the </w:t>
      </w:r>
      <w:r w:rsidR="009D4354" w:rsidRPr="00AE141E">
        <w:rPr>
          <w:rFonts w:ascii="Times New Roman" w:hAnsi="Times New Roman" w:cs="Times New Roman"/>
          <w:sz w:val="24"/>
          <w:szCs w:val="24"/>
        </w:rPr>
        <w:t>mid</w:t>
      </w:r>
      <w:r w:rsidR="00F321E4" w:rsidRPr="00AE141E">
        <w:rPr>
          <w:rFonts w:ascii="Times New Roman" w:hAnsi="Times New Roman" w:cs="Times New Roman"/>
          <w:sz w:val="24"/>
          <w:szCs w:val="24"/>
        </w:rPr>
        <w:t>-</w:t>
      </w:r>
      <w:r w:rsidR="00FD7A4D" w:rsidRPr="00AE141E">
        <w:rPr>
          <w:rFonts w:ascii="Times New Roman" w:hAnsi="Times New Roman" w:cs="Times New Roman"/>
          <w:sz w:val="24"/>
          <w:szCs w:val="24"/>
        </w:rPr>
        <w:t xml:space="preserve">1960s to the mid-1980s – a period of a </w:t>
      </w:r>
      <w:r w:rsidR="00FD7A4D" w:rsidRPr="00AE141E">
        <w:rPr>
          <w:rFonts w:ascii="Times New Roman" w:hAnsi="Times New Roman" w:cs="Times New Roman"/>
          <w:sz w:val="24"/>
          <w:szCs w:val="24"/>
        </w:rPr>
        <w:lastRenderedPageBreak/>
        <w:t xml:space="preserve">quarter of a century which saw substantial challenges to some of the fundamental assumptions of </w:t>
      </w:r>
      <w:r w:rsidR="001615D3" w:rsidRPr="00AE141E">
        <w:rPr>
          <w:rFonts w:ascii="Times New Roman" w:hAnsi="Times New Roman" w:cs="Times New Roman"/>
          <w:sz w:val="24"/>
          <w:szCs w:val="24"/>
        </w:rPr>
        <w:t>the historical narrative and its presentation in school classrooms.</w:t>
      </w:r>
    </w:p>
    <w:p w14:paraId="178FC4BA" w14:textId="0D932D7C" w:rsidR="007F02D7" w:rsidRPr="00DF0C4F" w:rsidRDefault="007B4181" w:rsidP="001A12F1">
      <w:pPr>
        <w:pStyle w:val="Heading1"/>
      </w:pPr>
      <w:r w:rsidRPr="00DF0C4F">
        <w:br w:type="page"/>
      </w:r>
      <w:bookmarkStart w:id="8" w:name="_Toc193726229"/>
      <w:r w:rsidR="004E0217" w:rsidRPr="00DF0C4F">
        <w:lastRenderedPageBreak/>
        <w:t xml:space="preserve">2. </w:t>
      </w:r>
      <w:r w:rsidR="00CC689C" w:rsidRPr="00DF0C4F">
        <w:t>The World in the Classroom</w:t>
      </w:r>
      <w:r w:rsidR="004E0217" w:rsidRPr="00DF0C4F">
        <w:t>, 196</w:t>
      </w:r>
      <w:r w:rsidR="009D4354" w:rsidRPr="00DF0C4F">
        <w:t>5</w:t>
      </w:r>
      <w:r w:rsidR="004E0217" w:rsidRPr="00DF0C4F">
        <w:t>-</w:t>
      </w:r>
      <w:r w:rsidR="00CC689C" w:rsidRPr="00DF0C4F">
        <w:t>19</w:t>
      </w:r>
      <w:r w:rsidR="009D6F4D" w:rsidRPr="00DF0C4F">
        <w:t>8</w:t>
      </w:r>
      <w:r w:rsidR="008457E5" w:rsidRPr="00DF0C4F">
        <w:t>5</w:t>
      </w:r>
      <w:bookmarkEnd w:id="8"/>
    </w:p>
    <w:p w14:paraId="7C1558F2" w14:textId="77777777" w:rsidR="0063357D" w:rsidRPr="00AE141E" w:rsidRDefault="0063357D" w:rsidP="00AE141E">
      <w:pPr>
        <w:spacing w:line="360" w:lineRule="auto"/>
        <w:rPr>
          <w:rFonts w:ascii="Times New Roman" w:hAnsi="Times New Roman" w:cs="Times New Roman"/>
          <w:sz w:val="24"/>
          <w:szCs w:val="24"/>
        </w:rPr>
      </w:pPr>
    </w:p>
    <w:p w14:paraId="142CDA6F" w14:textId="27F9AB04" w:rsidR="00B656EA" w:rsidRPr="00AE141E" w:rsidRDefault="00B656EA" w:rsidP="00AE141E">
      <w:pPr>
        <w:spacing w:line="360" w:lineRule="auto"/>
        <w:ind w:left="720"/>
        <w:rPr>
          <w:rFonts w:ascii="Times New Roman" w:hAnsi="Times New Roman" w:cs="Times New Roman"/>
          <w:sz w:val="24"/>
          <w:szCs w:val="24"/>
        </w:rPr>
      </w:pPr>
      <w:r w:rsidRPr="00AE141E">
        <w:rPr>
          <w:rFonts w:ascii="Times New Roman" w:hAnsi="Times New Roman" w:cs="Times New Roman"/>
          <w:i/>
          <w:sz w:val="24"/>
          <w:szCs w:val="24"/>
        </w:rPr>
        <w:t>It is surely far more important for young people to know the facts about Vietnam than it is to know all the details of the Wars of the Roses</w:t>
      </w:r>
      <w:r w:rsidR="00102C18" w:rsidRPr="00AE141E">
        <w:rPr>
          <w:rFonts w:ascii="Times New Roman" w:hAnsi="Times New Roman" w:cs="Times New Roman"/>
          <w:i/>
          <w:sz w:val="24"/>
          <w:szCs w:val="24"/>
        </w:rPr>
        <w:t>.</w:t>
      </w:r>
      <w:r w:rsidR="00102C18" w:rsidRPr="00AE141E">
        <w:rPr>
          <w:rStyle w:val="FootnoteReference"/>
          <w:rFonts w:ascii="Times New Roman" w:hAnsi="Times New Roman" w:cs="Times New Roman"/>
          <w:i/>
          <w:sz w:val="24"/>
          <w:szCs w:val="24"/>
        </w:rPr>
        <w:footnoteReference w:id="233"/>
      </w:r>
      <w:r w:rsidR="00496EF5" w:rsidRPr="00AE141E">
        <w:rPr>
          <w:rFonts w:ascii="Times New Roman" w:hAnsi="Times New Roman" w:cs="Times New Roman"/>
          <w:b/>
          <w:bCs/>
          <w:i/>
          <w:sz w:val="24"/>
          <w:szCs w:val="24"/>
        </w:rPr>
        <w:t xml:space="preserve"> </w:t>
      </w:r>
      <w:r w:rsidR="00496EF5" w:rsidRPr="00AE141E">
        <w:rPr>
          <w:rFonts w:ascii="Times New Roman" w:hAnsi="Times New Roman" w:cs="Times New Roman"/>
          <w:b/>
          <w:bCs/>
          <w:sz w:val="24"/>
          <w:szCs w:val="24"/>
        </w:rPr>
        <w:t xml:space="preserve">Edward Short, Labour Minister of Education, </w:t>
      </w:r>
      <w:r w:rsidR="00913920" w:rsidRPr="00AE141E">
        <w:rPr>
          <w:rFonts w:ascii="Times New Roman" w:hAnsi="Times New Roman" w:cs="Times New Roman"/>
          <w:b/>
          <w:bCs/>
          <w:sz w:val="24"/>
          <w:szCs w:val="24"/>
        </w:rPr>
        <w:t>to</w:t>
      </w:r>
      <w:r w:rsidR="00496EF5" w:rsidRPr="00AE141E">
        <w:rPr>
          <w:rFonts w:ascii="Times New Roman" w:hAnsi="Times New Roman" w:cs="Times New Roman"/>
          <w:b/>
          <w:bCs/>
          <w:sz w:val="24"/>
          <w:szCs w:val="24"/>
        </w:rPr>
        <w:t xml:space="preserve"> the Association of Education Committees </w:t>
      </w:r>
      <w:r w:rsidR="00913920" w:rsidRPr="00AE141E">
        <w:rPr>
          <w:rFonts w:ascii="Times New Roman" w:hAnsi="Times New Roman" w:cs="Times New Roman"/>
          <w:b/>
          <w:bCs/>
          <w:sz w:val="24"/>
          <w:szCs w:val="24"/>
        </w:rPr>
        <w:t>(1</w:t>
      </w:r>
      <w:r w:rsidR="00496EF5" w:rsidRPr="00AE141E">
        <w:rPr>
          <w:rFonts w:ascii="Times New Roman" w:hAnsi="Times New Roman" w:cs="Times New Roman"/>
          <w:b/>
          <w:bCs/>
          <w:sz w:val="24"/>
          <w:szCs w:val="24"/>
        </w:rPr>
        <w:t>968</w:t>
      </w:r>
      <w:r w:rsidR="00913920" w:rsidRPr="00AE141E">
        <w:rPr>
          <w:rFonts w:ascii="Times New Roman" w:hAnsi="Times New Roman" w:cs="Times New Roman"/>
          <w:b/>
          <w:bCs/>
          <w:sz w:val="24"/>
          <w:szCs w:val="24"/>
        </w:rPr>
        <w:t>).</w:t>
      </w:r>
    </w:p>
    <w:p w14:paraId="4030770B" w14:textId="77777777" w:rsidR="00286590" w:rsidRDefault="00286590" w:rsidP="00AE141E">
      <w:pPr>
        <w:spacing w:line="360" w:lineRule="auto"/>
        <w:ind w:left="720"/>
        <w:rPr>
          <w:rFonts w:ascii="Times New Roman" w:hAnsi="Times New Roman" w:cs="Times New Roman"/>
          <w:sz w:val="24"/>
          <w:szCs w:val="24"/>
        </w:rPr>
      </w:pPr>
    </w:p>
    <w:p w14:paraId="0DC6A20B" w14:textId="4503DC8A" w:rsidR="004A747C" w:rsidRPr="00AE141E" w:rsidRDefault="00671913" w:rsidP="00AE141E">
      <w:pPr>
        <w:spacing w:line="360" w:lineRule="auto"/>
        <w:ind w:left="720"/>
        <w:rPr>
          <w:rFonts w:ascii="Times New Roman" w:hAnsi="Times New Roman" w:cs="Times New Roman"/>
          <w:b/>
          <w:bCs/>
          <w:sz w:val="24"/>
          <w:szCs w:val="24"/>
        </w:rPr>
      </w:pPr>
      <w:r w:rsidRPr="00AE141E">
        <w:rPr>
          <w:rFonts w:ascii="Times New Roman" w:hAnsi="Times New Roman" w:cs="Times New Roman"/>
          <w:b/>
          <w:bCs/>
          <w:sz w:val="24"/>
          <w:szCs w:val="24"/>
        </w:rPr>
        <w:t>Chapter Summary</w:t>
      </w:r>
    </w:p>
    <w:p w14:paraId="43E18080" w14:textId="185E0D0C" w:rsidR="00671913" w:rsidRPr="00AE141E" w:rsidRDefault="00671913"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The following chapter examines two coterminous, teacher-led curricular changes: the introduction of the ‘new history’ and of ‘world history’ into English classrooms. Both sought to reimagine the subject in line with the changing needs of modern pupils. In most schools, world history was added to – but did not replace – the British, chronological content of the ‘great tradition’. World history was conceived as an escape from the grandiose claims to national and/or civilisational superiority traditionally enshrined by imperial and Commonwealth history. </w:t>
      </w:r>
      <w:r w:rsidR="00F0001F">
        <w:rPr>
          <w:rFonts w:ascii="Times New Roman" w:hAnsi="Times New Roman" w:cs="Times New Roman"/>
          <w:sz w:val="24"/>
          <w:szCs w:val="24"/>
        </w:rPr>
        <w:t>By contrast, world history</w:t>
      </w:r>
      <w:r w:rsidRPr="00AE141E">
        <w:rPr>
          <w:rFonts w:ascii="Times New Roman" w:hAnsi="Times New Roman" w:cs="Times New Roman"/>
          <w:sz w:val="24"/>
          <w:szCs w:val="24"/>
        </w:rPr>
        <w:t xml:space="preserve"> tended to ignore empire entirely. Instead, it emphasised the diplomatic relations of the modern ‘Superpowers’, or a flattened, picturesque vision of foreign cultures. By removing empire from its frame of analysis, world history facilitated the perseverance of imperial logics as a ‘pathology of presence’. The ‘new history’ stressed the independent analytical powers of the pupil-as-historian. Its dominant formulation, the Schools Council History Project, paid little attention to histories of empire. Nevertheless, </w:t>
      </w:r>
      <w:r w:rsidR="00F0001F">
        <w:rPr>
          <w:rFonts w:ascii="Times New Roman" w:hAnsi="Times New Roman" w:cs="Times New Roman"/>
          <w:sz w:val="24"/>
          <w:szCs w:val="24"/>
        </w:rPr>
        <w:t>its</w:t>
      </w:r>
      <w:r w:rsidRPr="00AE141E">
        <w:rPr>
          <w:rFonts w:ascii="Times New Roman" w:hAnsi="Times New Roman" w:cs="Times New Roman"/>
          <w:sz w:val="24"/>
          <w:szCs w:val="24"/>
        </w:rPr>
        <w:t xml:space="preserve"> valorisation of </w:t>
      </w:r>
      <w:r w:rsidR="00F0001F">
        <w:rPr>
          <w:rFonts w:ascii="Times New Roman" w:hAnsi="Times New Roman" w:cs="Times New Roman"/>
          <w:sz w:val="24"/>
          <w:szCs w:val="24"/>
        </w:rPr>
        <w:t>independent historical</w:t>
      </w:r>
      <w:r w:rsidRPr="00AE141E">
        <w:rPr>
          <w:rFonts w:ascii="Times New Roman" w:hAnsi="Times New Roman" w:cs="Times New Roman"/>
          <w:sz w:val="24"/>
          <w:szCs w:val="24"/>
        </w:rPr>
        <w:t xml:space="preserve"> study opened space for the contestation of received narratives, and for students to create their own linkages between past and present.</w:t>
      </w:r>
    </w:p>
    <w:p w14:paraId="34DE0A48" w14:textId="77777777" w:rsidR="00671913" w:rsidRPr="00AE141E" w:rsidRDefault="00671913" w:rsidP="00AE141E">
      <w:pPr>
        <w:spacing w:line="360" w:lineRule="auto"/>
        <w:rPr>
          <w:rFonts w:ascii="Times New Roman" w:hAnsi="Times New Roman" w:cs="Times New Roman"/>
          <w:b/>
          <w:bCs/>
          <w:sz w:val="24"/>
          <w:szCs w:val="24"/>
        </w:rPr>
      </w:pPr>
    </w:p>
    <w:p w14:paraId="24F01C39" w14:textId="759C5EB9" w:rsidR="003936FE" w:rsidRPr="00AE141E" w:rsidRDefault="00E325B9" w:rsidP="00AE141E">
      <w:pPr>
        <w:spacing w:line="360" w:lineRule="auto"/>
        <w:rPr>
          <w:rFonts w:ascii="Times New Roman" w:hAnsi="Times New Roman" w:cs="Times New Roman"/>
          <w:sz w:val="24"/>
          <w:szCs w:val="24"/>
          <w:highlight w:val="yellow"/>
        </w:rPr>
      </w:pPr>
      <w:r w:rsidRPr="00AE141E">
        <w:rPr>
          <w:rFonts w:ascii="Times New Roman" w:hAnsi="Times New Roman" w:cs="Times New Roman"/>
          <w:sz w:val="24"/>
          <w:szCs w:val="24"/>
        </w:rPr>
        <w:t xml:space="preserve">By all accounts, the 1960s </w:t>
      </w:r>
      <w:r w:rsidR="00914492" w:rsidRPr="00AE141E">
        <w:rPr>
          <w:rFonts w:ascii="Times New Roman" w:hAnsi="Times New Roman" w:cs="Times New Roman"/>
          <w:sz w:val="24"/>
          <w:szCs w:val="24"/>
        </w:rPr>
        <w:t xml:space="preserve">inaugurated a period of intense professional anxiety for British educators. </w:t>
      </w:r>
      <w:r w:rsidR="00EE769C" w:rsidRPr="00AE141E">
        <w:rPr>
          <w:rFonts w:ascii="Times New Roman" w:hAnsi="Times New Roman" w:cs="Times New Roman"/>
          <w:sz w:val="24"/>
          <w:szCs w:val="24"/>
        </w:rPr>
        <w:t>Individual careers were acutely affected by</w:t>
      </w:r>
      <w:r w:rsidR="00C44700" w:rsidRPr="00AE141E">
        <w:rPr>
          <w:rFonts w:ascii="Times New Roman" w:hAnsi="Times New Roman" w:cs="Times New Roman"/>
          <w:sz w:val="24"/>
          <w:szCs w:val="24"/>
        </w:rPr>
        <w:t xml:space="preserve"> the</w:t>
      </w:r>
      <w:r w:rsidR="00E865CD" w:rsidRPr="00AE141E">
        <w:rPr>
          <w:rFonts w:ascii="Times New Roman" w:hAnsi="Times New Roman" w:cs="Times New Roman"/>
          <w:sz w:val="24"/>
          <w:szCs w:val="24"/>
        </w:rPr>
        <w:t xml:space="preserve"> administrative upheaval </w:t>
      </w:r>
      <w:r w:rsidR="00C44700" w:rsidRPr="00AE141E">
        <w:rPr>
          <w:rFonts w:ascii="Times New Roman" w:hAnsi="Times New Roman" w:cs="Times New Roman"/>
          <w:sz w:val="24"/>
          <w:szCs w:val="24"/>
        </w:rPr>
        <w:t xml:space="preserve">of </w:t>
      </w:r>
      <w:r w:rsidR="00E865CD" w:rsidRPr="00AE141E">
        <w:rPr>
          <w:rFonts w:ascii="Times New Roman" w:hAnsi="Times New Roman" w:cs="Times New Roman"/>
          <w:sz w:val="24"/>
          <w:szCs w:val="24"/>
        </w:rPr>
        <w:t>comprehensivisation</w:t>
      </w:r>
      <w:r w:rsidR="00EE769C" w:rsidRPr="00AE141E">
        <w:rPr>
          <w:rFonts w:ascii="Times New Roman" w:hAnsi="Times New Roman" w:cs="Times New Roman"/>
          <w:sz w:val="24"/>
          <w:szCs w:val="24"/>
        </w:rPr>
        <w:t>.</w:t>
      </w:r>
      <w:r w:rsidR="00882286" w:rsidRPr="00AE141E">
        <w:rPr>
          <w:rStyle w:val="FootnoteReference"/>
          <w:rFonts w:ascii="Times New Roman" w:hAnsi="Times New Roman" w:cs="Times New Roman"/>
          <w:sz w:val="24"/>
          <w:szCs w:val="24"/>
        </w:rPr>
        <w:footnoteReference w:id="234"/>
      </w:r>
      <w:r w:rsidR="00785921" w:rsidRPr="00AE141E">
        <w:rPr>
          <w:rFonts w:ascii="Times New Roman" w:hAnsi="Times New Roman" w:cs="Times New Roman"/>
          <w:sz w:val="24"/>
          <w:szCs w:val="24"/>
        </w:rPr>
        <w:t xml:space="preserve"> </w:t>
      </w:r>
      <w:r w:rsidR="006745DA" w:rsidRPr="00AE141E">
        <w:rPr>
          <w:rFonts w:ascii="Times New Roman" w:hAnsi="Times New Roman" w:cs="Times New Roman"/>
          <w:sz w:val="24"/>
          <w:szCs w:val="24"/>
        </w:rPr>
        <w:t>The comprehensive movement was accompanied by</w:t>
      </w:r>
      <w:r w:rsidR="00E865CD" w:rsidRPr="00AE141E">
        <w:rPr>
          <w:rFonts w:ascii="Times New Roman" w:hAnsi="Times New Roman" w:cs="Times New Roman"/>
          <w:sz w:val="24"/>
          <w:szCs w:val="24"/>
        </w:rPr>
        <w:t xml:space="preserve"> mounting conservative attacks on progressive education (soon to crystallise into the </w:t>
      </w:r>
      <w:r w:rsidR="00E865CD" w:rsidRPr="00AE141E">
        <w:rPr>
          <w:rFonts w:ascii="Times New Roman" w:hAnsi="Times New Roman" w:cs="Times New Roman"/>
          <w:i/>
          <w:sz w:val="24"/>
          <w:szCs w:val="24"/>
        </w:rPr>
        <w:t>Black Papers</w:t>
      </w:r>
      <w:r w:rsidR="001E3A38" w:rsidRPr="00AE141E">
        <w:rPr>
          <w:rFonts w:ascii="Times New Roman" w:hAnsi="Times New Roman" w:cs="Times New Roman"/>
          <w:i/>
          <w:sz w:val="24"/>
          <w:szCs w:val="24"/>
        </w:rPr>
        <w:t xml:space="preserve"> on </w:t>
      </w:r>
      <w:r w:rsidR="001E3A38" w:rsidRPr="00AE141E">
        <w:rPr>
          <w:rFonts w:ascii="Times New Roman" w:hAnsi="Times New Roman" w:cs="Times New Roman"/>
          <w:i/>
          <w:sz w:val="24"/>
          <w:szCs w:val="24"/>
        </w:rPr>
        <w:lastRenderedPageBreak/>
        <w:t>Education</w:t>
      </w:r>
      <w:r w:rsidR="001E3A38" w:rsidRPr="00AE141E">
        <w:rPr>
          <w:rFonts w:ascii="Times New Roman" w:hAnsi="Times New Roman" w:cs="Times New Roman"/>
          <w:sz w:val="24"/>
          <w:szCs w:val="24"/>
        </w:rPr>
        <w:t xml:space="preserve">, </w:t>
      </w:r>
      <w:r w:rsidR="006F66F4" w:rsidRPr="00AE141E">
        <w:rPr>
          <w:rFonts w:ascii="Times New Roman" w:hAnsi="Times New Roman" w:cs="Times New Roman"/>
          <w:sz w:val="24"/>
          <w:szCs w:val="24"/>
        </w:rPr>
        <w:t>the first of which was published in 1969</w:t>
      </w:r>
      <w:r w:rsidR="00E865CD" w:rsidRPr="00AE141E">
        <w:rPr>
          <w:rFonts w:ascii="Times New Roman" w:hAnsi="Times New Roman" w:cs="Times New Roman"/>
          <w:sz w:val="24"/>
          <w:szCs w:val="24"/>
        </w:rPr>
        <w:t>).</w:t>
      </w:r>
      <w:r w:rsidR="003D3698" w:rsidRPr="00AE141E">
        <w:rPr>
          <w:rStyle w:val="FootnoteReference"/>
          <w:rFonts w:ascii="Times New Roman" w:hAnsi="Times New Roman" w:cs="Times New Roman"/>
          <w:sz w:val="24"/>
          <w:szCs w:val="24"/>
        </w:rPr>
        <w:footnoteReference w:id="235"/>
      </w:r>
      <w:r w:rsidR="00A3319F" w:rsidRPr="00AE141E">
        <w:rPr>
          <w:rFonts w:ascii="Times New Roman" w:hAnsi="Times New Roman" w:cs="Times New Roman"/>
          <w:sz w:val="24"/>
          <w:szCs w:val="24"/>
        </w:rPr>
        <w:t xml:space="preserve"> </w:t>
      </w:r>
      <w:r w:rsidR="00E11C4C" w:rsidRPr="00AE141E">
        <w:rPr>
          <w:rFonts w:ascii="Times New Roman" w:hAnsi="Times New Roman" w:cs="Times New Roman"/>
          <w:sz w:val="24"/>
          <w:szCs w:val="24"/>
        </w:rPr>
        <w:t xml:space="preserve">As a result, teachers knew themselves to be operating in an intensely politicised </w:t>
      </w:r>
      <w:r w:rsidR="00882286" w:rsidRPr="00AE141E">
        <w:rPr>
          <w:rFonts w:ascii="Times New Roman" w:hAnsi="Times New Roman" w:cs="Times New Roman"/>
          <w:sz w:val="24"/>
          <w:szCs w:val="24"/>
        </w:rPr>
        <w:t xml:space="preserve">environment. </w:t>
      </w:r>
      <w:r w:rsidR="003936FE" w:rsidRPr="00AE141E">
        <w:rPr>
          <w:rFonts w:ascii="Times New Roman" w:hAnsi="Times New Roman" w:cs="Times New Roman"/>
          <w:sz w:val="24"/>
          <w:szCs w:val="24"/>
        </w:rPr>
        <w:t>Anxieties were heightened</w:t>
      </w:r>
      <w:r w:rsidR="00D0554F" w:rsidRPr="00AE141E">
        <w:rPr>
          <w:rFonts w:ascii="Times New Roman" w:hAnsi="Times New Roman" w:cs="Times New Roman"/>
          <w:sz w:val="24"/>
          <w:szCs w:val="24"/>
        </w:rPr>
        <w:t xml:space="preserve"> by</w:t>
      </w:r>
      <w:r w:rsidR="0083297B" w:rsidRPr="00AE141E">
        <w:rPr>
          <w:rFonts w:ascii="Times New Roman" w:hAnsi="Times New Roman" w:cs="Times New Roman"/>
          <w:sz w:val="24"/>
          <w:szCs w:val="24"/>
        </w:rPr>
        <w:t xml:space="preserve"> a long-term fall in teachers’ relative salaries, which had narrowed the wage differential between teachers and skilled manual workers.</w:t>
      </w:r>
      <w:r w:rsidR="0083297B" w:rsidRPr="00AE141E">
        <w:rPr>
          <w:rStyle w:val="FootnoteReference"/>
          <w:rFonts w:ascii="Times New Roman" w:hAnsi="Times New Roman" w:cs="Times New Roman"/>
          <w:sz w:val="24"/>
          <w:szCs w:val="24"/>
        </w:rPr>
        <w:footnoteReference w:id="236"/>
      </w:r>
      <w:r w:rsidR="0083297B" w:rsidRPr="00AE141E">
        <w:rPr>
          <w:rFonts w:ascii="Times New Roman" w:hAnsi="Times New Roman" w:cs="Times New Roman"/>
          <w:sz w:val="24"/>
          <w:szCs w:val="24"/>
        </w:rPr>
        <w:t xml:space="preserve"> Many associated this economic redistribution with a redistribution of social authority</w:t>
      </w:r>
      <w:r w:rsidR="004E3046" w:rsidRPr="00AE141E">
        <w:rPr>
          <w:rFonts w:ascii="Times New Roman" w:hAnsi="Times New Roman" w:cs="Times New Roman"/>
          <w:sz w:val="24"/>
          <w:szCs w:val="24"/>
        </w:rPr>
        <w:t>.</w:t>
      </w:r>
      <w:r w:rsidR="0083297B" w:rsidRPr="00AE141E">
        <w:rPr>
          <w:rFonts w:ascii="Times New Roman" w:hAnsi="Times New Roman" w:cs="Times New Roman"/>
          <w:sz w:val="24"/>
          <w:szCs w:val="24"/>
        </w:rPr>
        <w:t xml:space="preserve"> </w:t>
      </w:r>
      <w:r w:rsidR="004E3046" w:rsidRPr="00AE141E">
        <w:rPr>
          <w:rFonts w:ascii="Times New Roman" w:hAnsi="Times New Roman" w:cs="Times New Roman"/>
          <w:sz w:val="24"/>
          <w:szCs w:val="24"/>
        </w:rPr>
        <w:t>Teachers</w:t>
      </w:r>
      <w:r w:rsidR="0083297B" w:rsidRPr="00AE141E">
        <w:rPr>
          <w:rFonts w:ascii="Times New Roman" w:hAnsi="Times New Roman" w:cs="Times New Roman"/>
          <w:sz w:val="24"/>
          <w:szCs w:val="24"/>
        </w:rPr>
        <w:t xml:space="preserve"> believed that the traditional respect afforded to their profession – and indeed their very designation as ‘professionals’ – was subject to </w:t>
      </w:r>
      <w:r w:rsidR="003936FE" w:rsidRPr="00AE141E">
        <w:rPr>
          <w:rFonts w:ascii="Times New Roman" w:hAnsi="Times New Roman" w:cs="Times New Roman"/>
          <w:sz w:val="24"/>
          <w:szCs w:val="24"/>
        </w:rPr>
        <w:t>interrogation</w:t>
      </w:r>
      <w:r w:rsidR="0083297B" w:rsidRPr="00AE141E">
        <w:rPr>
          <w:rFonts w:ascii="Times New Roman" w:hAnsi="Times New Roman" w:cs="Times New Roman"/>
          <w:sz w:val="24"/>
          <w:szCs w:val="24"/>
        </w:rPr>
        <w:t xml:space="preserve"> and renegotiation.</w:t>
      </w:r>
      <w:r w:rsidR="00B32F08" w:rsidRPr="00AE141E">
        <w:rPr>
          <w:rFonts w:ascii="Times New Roman" w:hAnsi="Times New Roman" w:cs="Times New Roman"/>
          <w:sz w:val="24"/>
          <w:szCs w:val="24"/>
        </w:rPr>
        <w:t xml:space="preserve"> </w:t>
      </w:r>
      <w:r w:rsidR="00305DBF" w:rsidRPr="00AE141E">
        <w:rPr>
          <w:rFonts w:ascii="Times New Roman" w:hAnsi="Times New Roman" w:cs="Times New Roman"/>
          <w:sz w:val="24"/>
          <w:szCs w:val="24"/>
        </w:rPr>
        <w:t xml:space="preserve">By themselves, these events were </w:t>
      </w:r>
      <w:r w:rsidR="001F0A20" w:rsidRPr="00AE141E">
        <w:rPr>
          <w:rFonts w:ascii="Times New Roman" w:hAnsi="Times New Roman" w:cs="Times New Roman"/>
          <w:sz w:val="24"/>
          <w:szCs w:val="24"/>
        </w:rPr>
        <w:t>sufficient</w:t>
      </w:r>
      <w:r w:rsidR="00305DBF" w:rsidRPr="00AE141E">
        <w:rPr>
          <w:rFonts w:ascii="Times New Roman" w:hAnsi="Times New Roman" w:cs="Times New Roman"/>
          <w:sz w:val="24"/>
          <w:szCs w:val="24"/>
        </w:rPr>
        <w:t xml:space="preserve"> to </w:t>
      </w:r>
      <w:r w:rsidR="007E49E8" w:rsidRPr="00AE141E">
        <w:rPr>
          <w:rFonts w:ascii="Times New Roman" w:hAnsi="Times New Roman" w:cs="Times New Roman"/>
          <w:sz w:val="24"/>
          <w:szCs w:val="24"/>
        </w:rPr>
        <w:t>erode</w:t>
      </w:r>
      <w:r w:rsidR="00305DBF" w:rsidRPr="00AE141E">
        <w:rPr>
          <w:rFonts w:ascii="Times New Roman" w:hAnsi="Times New Roman" w:cs="Times New Roman"/>
          <w:sz w:val="24"/>
          <w:szCs w:val="24"/>
        </w:rPr>
        <w:t xml:space="preserve"> professional</w:t>
      </w:r>
      <w:r w:rsidR="007C5DD3" w:rsidRPr="00AE141E">
        <w:rPr>
          <w:rFonts w:ascii="Times New Roman" w:hAnsi="Times New Roman" w:cs="Times New Roman"/>
          <w:sz w:val="24"/>
          <w:szCs w:val="24"/>
        </w:rPr>
        <w:t xml:space="preserve"> security and</w:t>
      </w:r>
      <w:r w:rsidR="00305DBF" w:rsidRPr="00AE141E">
        <w:rPr>
          <w:rFonts w:ascii="Times New Roman" w:hAnsi="Times New Roman" w:cs="Times New Roman"/>
          <w:sz w:val="24"/>
          <w:szCs w:val="24"/>
        </w:rPr>
        <w:t xml:space="preserve"> self-esteem</w:t>
      </w:r>
      <w:r w:rsidR="007C5DD3" w:rsidRPr="00AE141E">
        <w:rPr>
          <w:rFonts w:ascii="Times New Roman" w:hAnsi="Times New Roman" w:cs="Times New Roman"/>
          <w:sz w:val="24"/>
          <w:szCs w:val="24"/>
        </w:rPr>
        <w:t xml:space="preserve">. </w:t>
      </w:r>
    </w:p>
    <w:p w14:paraId="56AD5C0A" w14:textId="5676D970" w:rsidR="0039140A" w:rsidRPr="00AE141E" w:rsidRDefault="007C5DD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For history teachers, however, the crisis went deeper.</w:t>
      </w:r>
      <w:r w:rsidR="00305DBF" w:rsidRPr="00AE141E">
        <w:rPr>
          <w:rFonts w:ascii="Times New Roman" w:hAnsi="Times New Roman" w:cs="Times New Roman"/>
          <w:sz w:val="24"/>
          <w:szCs w:val="24"/>
        </w:rPr>
        <w:t xml:space="preserve"> </w:t>
      </w:r>
      <w:r w:rsidR="002806C1" w:rsidRPr="00AE141E">
        <w:rPr>
          <w:rFonts w:ascii="Times New Roman" w:hAnsi="Times New Roman" w:cs="Times New Roman"/>
          <w:sz w:val="24"/>
          <w:szCs w:val="24"/>
        </w:rPr>
        <w:t>The progressive education</w:t>
      </w:r>
      <w:r w:rsidR="00E14065" w:rsidRPr="00AE141E">
        <w:rPr>
          <w:rFonts w:ascii="Times New Roman" w:hAnsi="Times New Roman" w:cs="Times New Roman"/>
          <w:sz w:val="24"/>
          <w:szCs w:val="24"/>
        </w:rPr>
        <w:t>al</w:t>
      </w:r>
      <w:r w:rsidR="002806C1" w:rsidRPr="00AE141E">
        <w:rPr>
          <w:rFonts w:ascii="Times New Roman" w:hAnsi="Times New Roman" w:cs="Times New Roman"/>
          <w:sz w:val="24"/>
          <w:szCs w:val="24"/>
        </w:rPr>
        <w:t xml:space="preserve"> movement, with its focus on ‘child-centred learning’, was </w:t>
      </w:r>
      <w:r w:rsidR="00CE6EC5" w:rsidRPr="00AE141E">
        <w:rPr>
          <w:rFonts w:ascii="Times New Roman" w:hAnsi="Times New Roman" w:cs="Times New Roman"/>
          <w:sz w:val="24"/>
          <w:szCs w:val="24"/>
        </w:rPr>
        <w:t>generating</w:t>
      </w:r>
      <w:r w:rsidR="00C02EC0" w:rsidRPr="00AE141E">
        <w:rPr>
          <w:rFonts w:ascii="Times New Roman" w:hAnsi="Times New Roman" w:cs="Times New Roman"/>
          <w:sz w:val="24"/>
          <w:szCs w:val="24"/>
        </w:rPr>
        <w:t xml:space="preserve"> new research into the educational experiences of pupils</w:t>
      </w:r>
      <w:r w:rsidR="00A61186" w:rsidRPr="00AE141E">
        <w:rPr>
          <w:rFonts w:ascii="Times New Roman" w:hAnsi="Times New Roman" w:cs="Times New Roman"/>
          <w:sz w:val="24"/>
          <w:szCs w:val="24"/>
        </w:rPr>
        <w:t>. S</w:t>
      </w:r>
      <w:r w:rsidR="00C02EC0" w:rsidRPr="00AE141E">
        <w:rPr>
          <w:rFonts w:ascii="Times New Roman" w:hAnsi="Times New Roman" w:cs="Times New Roman"/>
          <w:sz w:val="24"/>
          <w:szCs w:val="24"/>
        </w:rPr>
        <w:t xml:space="preserve">uch </w:t>
      </w:r>
      <w:r w:rsidR="00187928" w:rsidRPr="00AE141E">
        <w:rPr>
          <w:rFonts w:ascii="Times New Roman" w:hAnsi="Times New Roman" w:cs="Times New Roman"/>
          <w:sz w:val="24"/>
          <w:szCs w:val="24"/>
        </w:rPr>
        <w:t>enquiries</w:t>
      </w:r>
      <w:r w:rsidR="00C02EC0" w:rsidRPr="00AE141E">
        <w:rPr>
          <w:rFonts w:ascii="Times New Roman" w:hAnsi="Times New Roman" w:cs="Times New Roman"/>
          <w:sz w:val="24"/>
          <w:szCs w:val="24"/>
        </w:rPr>
        <w:t xml:space="preserve"> presented a damning indictment of </w:t>
      </w:r>
      <w:r w:rsidR="005B4195" w:rsidRPr="00AE141E">
        <w:rPr>
          <w:rFonts w:ascii="Times New Roman" w:hAnsi="Times New Roman" w:cs="Times New Roman"/>
          <w:sz w:val="24"/>
          <w:szCs w:val="24"/>
        </w:rPr>
        <w:t xml:space="preserve">attitudes to </w:t>
      </w:r>
      <w:r w:rsidR="00335317" w:rsidRPr="00AE141E">
        <w:rPr>
          <w:rFonts w:ascii="Times New Roman" w:hAnsi="Times New Roman" w:cs="Times New Roman"/>
          <w:sz w:val="24"/>
          <w:szCs w:val="24"/>
        </w:rPr>
        <w:t>history teaching</w:t>
      </w:r>
      <w:r w:rsidR="005B4195" w:rsidRPr="00AE141E">
        <w:rPr>
          <w:rFonts w:ascii="Times New Roman" w:hAnsi="Times New Roman" w:cs="Times New Roman"/>
          <w:sz w:val="24"/>
          <w:szCs w:val="24"/>
        </w:rPr>
        <w:t xml:space="preserve"> amongst the school-age population.</w:t>
      </w:r>
      <w:r w:rsidR="00F507C9" w:rsidRPr="00AE141E">
        <w:rPr>
          <w:rStyle w:val="FootnoteReference"/>
          <w:rFonts w:ascii="Times New Roman" w:hAnsi="Times New Roman" w:cs="Times New Roman"/>
          <w:sz w:val="24"/>
          <w:szCs w:val="24"/>
        </w:rPr>
        <w:footnoteReference w:id="237"/>
      </w:r>
      <w:r w:rsidR="00207F07" w:rsidRPr="00AE141E">
        <w:rPr>
          <w:rFonts w:ascii="Times New Roman" w:hAnsi="Times New Roman" w:cs="Times New Roman"/>
          <w:sz w:val="24"/>
          <w:szCs w:val="24"/>
        </w:rPr>
        <w:t xml:space="preserve"> </w:t>
      </w:r>
      <w:r w:rsidR="00363DD8" w:rsidRPr="00AE141E">
        <w:rPr>
          <w:rFonts w:ascii="Times New Roman" w:hAnsi="Times New Roman" w:cs="Times New Roman"/>
          <w:sz w:val="24"/>
          <w:szCs w:val="24"/>
        </w:rPr>
        <w:t>The Schools Council was the body tasked with coordinating public examinations at secondary level between 1964 and 1984. I</w:t>
      </w:r>
      <w:r w:rsidR="005B7FAB" w:rsidRPr="00AE141E">
        <w:rPr>
          <w:rFonts w:ascii="Times New Roman" w:hAnsi="Times New Roman" w:cs="Times New Roman"/>
          <w:sz w:val="24"/>
          <w:szCs w:val="24"/>
        </w:rPr>
        <w:t xml:space="preserve">n a </w:t>
      </w:r>
      <w:r w:rsidR="003A3ADD" w:rsidRPr="00AE141E">
        <w:rPr>
          <w:rFonts w:ascii="Times New Roman" w:hAnsi="Times New Roman" w:cs="Times New Roman"/>
          <w:sz w:val="24"/>
          <w:szCs w:val="24"/>
        </w:rPr>
        <w:t xml:space="preserve">1968 </w:t>
      </w:r>
      <w:r w:rsidR="00187928" w:rsidRPr="00AE141E">
        <w:rPr>
          <w:rFonts w:ascii="Times New Roman" w:hAnsi="Times New Roman" w:cs="Times New Roman"/>
          <w:sz w:val="24"/>
          <w:szCs w:val="24"/>
        </w:rPr>
        <w:t xml:space="preserve">survey of </w:t>
      </w:r>
      <w:r w:rsidR="00CE6EC5" w:rsidRPr="00AE141E">
        <w:rPr>
          <w:rFonts w:ascii="Times New Roman" w:hAnsi="Times New Roman" w:cs="Times New Roman"/>
          <w:sz w:val="24"/>
          <w:szCs w:val="24"/>
        </w:rPr>
        <w:t>9,677 secondary students</w:t>
      </w:r>
      <w:r w:rsidR="00C93A3F" w:rsidRPr="00AE141E">
        <w:rPr>
          <w:rFonts w:ascii="Times New Roman" w:hAnsi="Times New Roman" w:cs="Times New Roman"/>
          <w:sz w:val="24"/>
          <w:szCs w:val="24"/>
        </w:rPr>
        <w:t>,</w:t>
      </w:r>
      <w:r w:rsidR="005B7FAB" w:rsidRPr="00AE141E">
        <w:rPr>
          <w:rFonts w:ascii="Times New Roman" w:hAnsi="Times New Roman" w:cs="Times New Roman"/>
          <w:sz w:val="24"/>
          <w:szCs w:val="24"/>
        </w:rPr>
        <w:t xml:space="preserve"> the Council</w:t>
      </w:r>
      <w:r w:rsidR="003A3ADD" w:rsidRPr="00AE141E">
        <w:rPr>
          <w:rFonts w:ascii="Times New Roman" w:hAnsi="Times New Roman" w:cs="Times New Roman"/>
          <w:sz w:val="24"/>
          <w:szCs w:val="24"/>
        </w:rPr>
        <w:t xml:space="preserve"> </w:t>
      </w:r>
      <w:r w:rsidR="00C93A3F" w:rsidRPr="00AE141E">
        <w:rPr>
          <w:rFonts w:ascii="Times New Roman" w:hAnsi="Times New Roman" w:cs="Times New Roman"/>
          <w:sz w:val="24"/>
          <w:szCs w:val="24"/>
        </w:rPr>
        <w:t>determined</w:t>
      </w:r>
      <w:r w:rsidR="003A3ADD" w:rsidRPr="00AE141E">
        <w:rPr>
          <w:rFonts w:ascii="Times New Roman" w:hAnsi="Times New Roman" w:cs="Times New Roman"/>
          <w:sz w:val="24"/>
          <w:szCs w:val="24"/>
        </w:rPr>
        <w:t xml:space="preserve"> that</w:t>
      </w:r>
      <w:r w:rsidR="00C756C7" w:rsidRPr="00AE141E">
        <w:rPr>
          <w:rFonts w:ascii="Times New Roman" w:hAnsi="Times New Roman" w:cs="Times New Roman"/>
          <w:sz w:val="24"/>
          <w:szCs w:val="24"/>
        </w:rPr>
        <w:t xml:space="preserve"> only 41 percent of boys, and 40 percent of girls in the 13-16 age group found history ‘interesting’</w:t>
      </w:r>
      <w:r w:rsidR="001258D9" w:rsidRPr="00AE141E">
        <w:rPr>
          <w:rFonts w:ascii="Times New Roman" w:hAnsi="Times New Roman" w:cs="Times New Roman"/>
          <w:sz w:val="24"/>
          <w:szCs w:val="24"/>
        </w:rPr>
        <w:t>.</w:t>
      </w:r>
      <w:r w:rsidR="00B833E5" w:rsidRPr="00AE141E">
        <w:rPr>
          <w:rStyle w:val="FootnoteReference"/>
          <w:rFonts w:ascii="Times New Roman" w:hAnsi="Times New Roman" w:cs="Times New Roman"/>
          <w:sz w:val="24"/>
          <w:szCs w:val="24"/>
        </w:rPr>
        <w:footnoteReference w:id="238"/>
      </w:r>
      <w:r w:rsidR="001258D9" w:rsidRPr="00AE141E">
        <w:rPr>
          <w:rFonts w:ascii="Times New Roman" w:hAnsi="Times New Roman" w:cs="Times New Roman"/>
          <w:sz w:val="24"/>
          <w:szCs w:val="24"/>
        </w:rPr>
        <w:t xml:space="preserve"> A mere 21</w:t>
      </w:r>
      <w:r w:rsidR="00730F33" w:rsidRPr="00AE141E">
        <w:rPr>
          <w:rFonts w:ascii="Times New Roman" w:hAnsi="Times New Roman" w:cs="Times New Roman"/>
          <w:sz w:val="24"/>
          <w:szCs w:val="24"/>
        </w:rPr>
        <w:t xml:space="preserve"> percent of male ‘Young School Leavers’ (defined as those leaving at 15) </w:t>
      </w:r>
      <w:r w:rsidR="003E1FB3" w:rsidRPr="00AE141E">
        <w:rPr>
          <w:rFonts w:ascii="Times New Roman" w:hAnsi="Times New Roman" w:cs="Times New Roman"/>
          <w:sz w:val="24"/>
          <w:szCs w:val="24"/>
        </w:rPr>
        <w:t>defined history as ‘useful and interesting’, to 19 percent who found it ‘useless and boring’.</w:t>
      </w:r>
      <w:r w:rsidR="00B32F08" w:rsidRPr="00AE141E">
        <w:rPr>
          <w:rFonts w:ascii="Times New Roman" w:hAnsi="Times New Roman" w:cs="Times New Roman"/>
          <w:sz w:val="24"/>
          <w:szCs w:val="24"/>
        </w:rPr>
        <w:t xml:space="preserve"> </w:t>
      </w:r>
      <w:r w:rsidR="003E1FB3" w:rsidRPr="00AE141E">
        <w:rPr>
          <w:rFonts w:ascii="Times New Roman" w:hAnsi="Times New Roman" w:cs="Times New Roman"/>
          <w:sz w:val="24"/>
          <w:szCs w:val="24"/>
        </w:rPr>
        <w:t>The statistics are even more marked for their female contemporaries</w:t>
      </w:r>
      <w:r w:rsidR="00E34A8B" w:rsidRPr="00AE141E">
        <w:rPr>
          <w:rFonts w:ascii="Times New Roman" w:hAnsi="Times New Roman" w:cs="Times New Roman"/>
          <w:sz w:val="24"/>
          <w:szCs w:val="24"/>
        </w:rPr>
        <w:t xml:space="preserve">, amongst whom </w:t>
      </w:r>
      <w:r w:rsidR="00FE6113" w:rsidRPr="00AE141E">
        <w:rPr>
          <w:rFonts w:ascii="Times New Roman" w:hAnsi="Times New Roman" w:cs="Times New Roman"/>
          <w:sz w:val="24"/>
          <w:szCs w:val="24"/>
        </w:rPr>
        <w:t>the equivalent statistics are 19 and 22 percent, respectively.</w:t>
      </w:r>
    </w:p>
    <w:p w14:paraId="6E539078" w14:textId="4B4CD2CA" w:rsidR="00702181" w:rsidRPr="00AE141E" w:rsidRDefault="0070218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Mary Price’s impassioned call to arms in a 1968 edition of the HA journal </w:t>
      </w:r>
      <w:r w:rsidRPr="00AE141E">
        <w:rPr>
          <w:rFonts w:ascii="Times New Roman" w:hAnsi="Times New Roman" w:cs="Times New Roman"/>
          <w:i/>
          <w:sz w:val="24"/>
          <w:szCs w:val="24"/>
        </w:rPr>
        <w:t>History</w:t>
      </w:r>
      <w:r w:rsidRPr="00AE141E">
        <w:rPr>
          <w:rFonts w:ascii="Times New Roman" w:hAnsi="Times New Roman" w:cs="Times New Roman"/>
          <w:sz w:val="24"/>
          <w:szCs w:val="24"/>
        </w:rPr>
        <w:t xml:space="preserve"> was emblematic of </w:t>
      </w:r>
      <w:r w:rsidR="001311AB" w:rsidRPr="00AE141E">
        <w:rPr>
          <w:rFonts w:ascii="Times New Roman" w:hAnsi="Times New Roman" w:cs="Times New Roman"/>
          <w:sz w:val="24"/>
          <w:szCs w:val="24"/>
        </w:rPr>
        <w:t>contemporary fears for the subject’s future</w:t>
      </w:r>
      <w:r w:rsidRPr="00AE141E">
        <w:rPr>
          <w:rFonts w:ascii="Times New Roman" w:hAnsi="Times New Roman" w:cs="Times New Roman"/>
          <w:sz w:val="24"/>
          <w:szCs w:val="24"/>
        </w:rPr>
        <w:t>:</w:t>
      </w:r>
    </w:p>
    <w:p w14:paraId="323675D7" w14:textId="55A4D860" w:rsidR="00702181" w:rsidRPr="00AE141E" w:rsidRDefault="00702181" w:rsidP="00AE141E">
      <w:pPr>
        <w:spacing w:line="360" w:lineRule="auto"/>
        <w:ind w:left="425"/>
        <w:rPr>
          <w:rFonts w:ascii="Times New Roman" w:hAnsi="Times New Roman" w:cs="Times New Roman"/>
          <w:sz w:val="24"/>
          <w:szCs w:val="24"/>
        </w:rPr>
      </w:pPr>
      <w:r w:rsidRPr="00AE141E">
        <w:rPr>
          <w:rFonts w:ascii="Times New Roman" w:hAnsi="Times New Roman" w:cs="Times New Roman"/>
          <w:sz w:val="24"/>
          <w:szCs w:val="24"/>
        </w:rPr>
        <w:t xml:space="preserve">It would be an exaggeration to say that all teachers of history in schools at the present time feel a considerable degree of perplexity, even of pessimism, about their subject but </w:t>
      </w:r>
      <w:r w:rsidRPr="00AE141E">
        <w:rPr>
          <w:rFonts w:ascii="Times New Roman" w:hAnsi="Times New Roman" w:cs="Times New Roman"/>
          <w:sz w:val="24"/>
          <w:szCs w:val="24"/>
        </w:rPr>
        <w:lastRenderedPageBreak/>
        <w:t>this is certainly true of many. Moreover there are not a few who are actually apprehensive about its future and see a real danger of history disappearing from the time-table as a subject in its own right, surviving only as an ingredient of social studies, or civics, or combined courses of one kind and another.</w:t>
      </w:r>
      <w:r w:rsidRPr="00AE141E">
        <w:rPr>
          <w:rStyle w:val="FootnoteReference"/>
          <w:rFonts w:ascii="Times New Roman" w:hAnsi="Times New Roman" w:cs="Times New Roman"/>
          <w:sz w:val="24"/>
          <w:szCs w:val="24"/>
        </w:rPr>
        <w:footnoteReference w:id="239"/>
      </w:r>
    </w:p>
    <w:p w14:paraId="5D371D31" w14:textId="69B85125" w:rsidR="0039140A" w:rsidRPr="00AE141E" w:rsidRDefault="0070148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Robert Phillips has observed, the </w:t>
      </w:r>
      <w:r w:rsidR="00AC0FC9" w:rsidRPr="00AE141E">
        <w:rPr>
          <w:rFonts w:ascii="Times New Roman" w:hAnsi="Times New Roman" w:cs="Times New Roman"/>
          <w:sz w:val="24"/>
          <w:szCs w:val="24"/>
        </w:rPr>
        <w:t>HA’s</w:t>
      </w:r>
      <w:r w:rsidRPr="00AE141E">
        <w:rPr>
          <w:rFonts w:ascii="Times New Roman" w:hAnsi="Times New Roman" w:cs="Times New Roman"/>
          <w:sz w:val="24"/>
          <w:szCs w:val="24"/>
        </w:rPr>
        <w:t xml:space="preserve"> conception in a university environment lent it an elitist image amongst</w:t>
      </w:r>
      <w:r w:rsidR="00D448F5" w:rsidRPr="00AE141E">
        <w:rPr>
          <w:rFonts w:ascii="Times New Roman" w:hAnsi="Times New Roman" w:cs="Times New Roman"/>
          <w:sz w:val="24"/>
          <w:szCs w:val="24"/>
        </w:rPr>
        <w:t xml:space="preserve"> </w:t>
      </w:r>
      <w:r w:rsidR="0080611D" w:rsidRPr="00AE141E">
        <w:rPr>
          <w:rFonts w:ascii="Times New Roman" w:hAnsi="Times New Roman" w:cs="Times New Roman"/>
          <w:sz w:val="24"/>
          <w:szCs w:val="24"/>
        </w:rPr>
        <w:t>teachers</w:t>
      </w:r>
      <w:r w:rsidRPr="00AE141E">
        <w:rPr>
          <w:rFonts w:ascii="Times New Roman" w:hAnsi="Times New Roman" w:cs="Times New Roman"/>
          <w:sz w:val="24"/>
          <w:szCs w:val="24"/>
        </w:rPr>
        <w:t>.</w:t>
      </w:r>
      <w:r w:rsidR="007F3EC9" w:rsidRPr="00AE141E">
        <w:rPr>
          <w:rStyle w:val="FootnoteReference"/>
          <w:rFonts w:ascii="Times New Roman" w:hAnsi="Times New Roman" w:cs="Times New Roman"/>
          <w:sz w:val="24"/>
          <w:szCs w:val="24"/>
        </w:rPr>
        <w:footnoteReference w:id="240"/>
      </w:r>
      <w:r w:rsidRPr="00AE141E">
        <w:rPr>
          <w:rFonts w:ascii="Times New Roman" w:hAnsi="Times New Roman" w:cs="Times New Roman"/>
          <w:sz w:val="24"/>
          <w:szCs w:val="24"/>
        </w:rPr>
        <w:t xml:space="preserve"> By the 1960s, however, the sense of </w:t>
      </w:r>
      <w:r w:rsidR="00D448F5" w:rsidRPr="00AE141E">
        <w:rPr>
          <w:rFonts w:ascii="Times New Roman" w:hAnsi="Times New Roman" w:cs="Times New Roman"/>
          <w:sz w:val="24"/>
          <w:szCs w:val="24"/>
        </w:rPr>
        <w:t xml:space="preserve">a </w:t>
      </w:r>
      <w:r w:rsidRPr="00AE141E">
        <w:rPr>
          <w:rFonts w:ascii="Times New Roman" w:hAnsi="Times New Roman" w:cs="Times New Roman"/>
          <w:sz w:val="24"/>
          <w:szCs w:val="24"/>
        </w:rPr>
        <w:t xml:space="preserve">looming </w:t>
      </w:r>
      <w:r w:rsidR="00D448F5" w:rsidRPr="00AE141E">
        <w:rPr>
          <w:rFonts w:ascii="Times New Roman" w:hAnsi="Times New Roman" w:cs="Times New Roman"/>
          <w:sz w:val="24"/>
          <w:szCs w:val="24"/>
        </w:rPr>
        <w:t xml:space="preserve">disciplinary </w:t>
      </w:r>
      <w:r w:rsidR="00E54EDA" w:rsidRPr="00AE141E">
        <w:rPr>
          <w:rFonts w:ascii="Times New Roman" w:hAnsi="Times New Roman" w:cs="Times New Roman"/>
          <w:sz w:val="24"/>
          <w:szCs w:val="24"/>
        </w:rPr>
        <w:t>crisis</w:t>
      </w:r>
      <w:r w:rsidRPr="00AE141E">
        <w:rPr>
          <w:rFonts w:ascii="Times New Roman" w:hAnsi="Times New Roman" w:cs="Times New Roman"/>
          <w:sz w:val="24"/>
          <w:szCs w:val="24"/>
        </w:rPr>
        <w:t xml:space="preserve"> prompted </w:t>
      </w:r>
      <w:r w:rsidR="00E12085" w:rsidRPr="00AE141E">
        <w:rPr>
          <w:rFonts w:ascii="Times New Roman" w:hAnsi="Times New Roman" w:cs="Times New Roman"/>
          <w:sz w:val="24"/>
          <w:szCs w:val="24"/>
        </w:rPr>
        <w:t>it</w:t>
      </w:r>
      <w:r w:rsidRPr="00AE141E">
        <w:rPr>
          <w:rFonts w:ascii="Times New Roman" w:hAnsi="Times New Roman" w:cs="Times New Roman"/>
          <w:sz w:val="24"/>
          <w:szCs w:val="24"/>
        </w:rPr>
        <w:t xml:space="preserve"> to deepen connections with schools.</w:t>
      </w:r>
      <w:r w:rsidR="00DB0723" w:rsidRPr="00AE141E">
        <w:rPr>
          <w:rFonts w:ascii="Times New Roman" w:hAnsi="Times New Roman" w:cs="Times New Roman"/>
          <w:sz w:val="24"/>
          <w:szCs w:val="24"/>
        </w:rPr>
        <w:t xml:space="preserve"> </w:t>
      </w:r>
      <w:r w:rsidR="00E12085" w:rsidRPr="00AE141E">
        <w:rPr>
          <w:rFonts w:ascii="Times New Roman" w:hAnsi="Times New Roman" w:cs="Times New Roman"/>
          <w:sz w:val="24"/>
          <w:szCs w:val="24"/>
        </w:rPr>
        <w:t>The HA</w:t>
      </w:r>
      <w:r w:rsidR="00F45985" w:rsidRPr="00AE141E">
        <w:rPr>
          <w:rFonts w:ascii="Times New Roman" w:hAnsi="Times New Roman" w:cs="Times New Roman"/>
          <w:sz w:val="24"/>
          <w:szCs w:val="24"/>
        </w:rPr>
        <w:t xml:space="preserve"> recognised the importance of foregrounding teachers’ professional </w:t>
      </w:r>
      <w:r w:rsidR="009A426A" w:rsidRPr="00AE141E">
        <w:rPr>
          <w:rFonts w:ascii="Times New Roman" w:hAnsi="Times New Roman" w:cs="Times New Roman"/>
          <w:sz w:val="24"/>
          <w:szCs w:val="24"/>
        </w:rPr>
        <w:t xml:space="preserve">opinions in the fight to preserve the place of history in the nation’s classrooms. </w:t>
      </w:r>
      <w:r w:rsidR="002D4DA9" w:rsidRPr="00AE141E">
        <w:rPr>
          <w:rFonts w:ascii="Times New Roman" w:hAnsi="Times New Roman" w:cs="Times New Roman"/>
          <w:sz w:val="24"/>
          <w:szCs w:val="24"/>
        </w:rPr>
        <w:t xml:space="preserve">To this end, it founded a new </w:t>
      </w:r>
      <w:r w:rsidR="007F3EC9" w:rsidRPr="00AE141E">
        <w:rPr>
          <w:rFonts w:ascii="Times New Roman" w:hAnsi="Times New Roman" w:cs="Times New Roman"/>
          <w:sz w:val="24"/>
          <w:szCs w:val="24"/>
        </w:rPr>
        <w:t>journal –</w:t>
      </w:r>
      <w:r w:rsidR="00107FF0" w:rsidRPr="00AE141E">
        <w:rPr>
          <w:rFonts w:ascii="Times New Roman" w:hAnsi="Times New Roman" w:cs="Times New Roman"/>
          <w:sz w:val="24"/>
          <w:szCs w:val="24"/>
        </w:rPr>
        <w:t xml:space="preserve"> </w:t>
      </w:r>
      <w:r w:rsidR="00107FF0" w:rsidRPr="00AE141E">
        <w:rPr>
          <w:rFonts w:ascii="Times New Roman" w:hAnsi="Times New Roman" w:cs="Times New Roman"/>
          <w:i/>
          <w:sz w:val="24"/>
          <w:szCs w:val="24"/>
        </w:rPr>
        <w:t>Teaching History</w:t>
      </w:r>
      <w:r w:rsidR="00F93855" w:rsidRPr="00AE141E">
        <w:rPr>
          <w:rFonts w:ascii="Times New Roman" w:hAnsi="Times New Roman" w:cs="Times New Roman"/>
          <w:sz w:val="24"/>
          <w:szCs w:val="24"/>
        </w:rPr>
        <w:t xml:space="preserve"> – which would</w:t>
      </w:r>
      <w:r w:rsidR="00107FF0" w:rsidRPr="00AE141E">
        <w:rPr>
          <w:rFonts w:ascii="Times New Roman" w:hAnsi="Times New Roman" w:cs="Times New Roman"/>
          <w:sz w:val="24"/>
          <w:szCs w:val="24"/>
        </w:rPr>
        <w:t xml:space="preserve"> centre the concerns of educators and provide a forum in which</w:t>
      </w:r>
      <w:r w:rsidR="00F93855" w:rsidRPr="00AE141E">
        <w:rPr>
          <w:rFonts w:ascii="Times New Roman" w:hAnsi="Times New Roman" w:cs="Times New Roman"/>
          <w:sz w:val="24"/>
          <w:szCs w:val="24"/>
        </w:rPr>
        <w:t xml:space="preserve"> to navigate disciplinary</w:t>
      </w:r>
      <w:r w:rsidR="00107FF0" w:rsidRPr="00AE141E">
        <w:rPr>
          <w:rFonts w:ascii="Times New Roman" w:hAnsi="Times New Roman" w:cs="Times New Roman"/>
          <w:sz w:val="24"/>
          <w:szCs w:val="24"/>
        </w:rPr>
        <w:t xml:space="preserve"> challenges.</w:t>
      </w:r>
      <w:r w:rsidR="00107FF0" w:rsidRPr="00AE141E">
        <w:rPr>
          <w:rStyle w:val="FootnoteReference"/>
          <w:rFonts w:ascii="Times New Roman" w:hAnsi="Times New Roman" w:cs="Times New Roman"/>
          <w:sz w:val="24"/>
          <w:szCs w:val="24"/>
        </w:rPr>
        <w:footnoteReference w:id="241"/>
      </w:r>
      <w:r w:rsidR="00107FF0" w:rsidRPr="00AE141E">
        <w:rPr>
          <w:rFonts w:ascii="Times New Roman" w:hAnsi="Times New Roman" w:cs="Times New Roman"/>
          <w:sz w:val="24"/>
          <w:szCs w:val="24"/>
        </w:rPr>
        <w:t xml:space="preserve"> Though the </w:t>
      </w:r>
      <w:r w:rsidR="007F3EC9" w:rsidRPr="00AE141E">
        <w:rPr>
          <w:rFonts w:ascii="Times New Roman" w:hAnsi="Times New Roman" w:cs="Times New Roman"/>
          <w:sz w:val="24"/>
          <w:szCs w:val="24"/>
        </w:rPr>
        <w:t xml:space="preserve">HA </w:t>
      </w:r>
      <w:r w:rsidR="00107FF0" w:rsidRPr="00AE141E">
        <w:rPr>
          <w:rFonts w:ascii="Times New Roman" w:hAnsi="Times New Roman" w:cs="Times New Roman"/>
          <w:sz w:val="24"/>
          <w:szCs w:val="24"/>
        </w:rPr>
        <w:t xml:space="preserve">retained a certain reputation of lofty condescension over the coming decades, </w:t>
      </w:r>
      <w:r w:rsidR="00107FF0" w:rsidRPr="00AE141E">
        <w:rPr>
          <w:rFonts w:ascii="Times New Roman" w:hAnsi="Times New Roman" w:cs="Times New Roman"/>
          <w:i/>
          <w:sz w:val="24"/>
          <w:szCs w:val="24"/>
        </w:rPr>
        <w:t xml:space="preserve">Teaching History </w:t>
      </w:r>
      <w:r w:rsidR="00107FF0" w:rsidRPr="00AE141E">
        <w:rPr>
          <w:rFonts w:ascii="Times New Roman" w:hAnsi="Times New Roman" w:cs="Times New Roman"/>
          <w:sz w:val="24"/>
          <w:szCs w:val="24"/>
        </w:rPr>
        <w:t xml:space="preserve">would provide a lively, genuinely popular form for professional discussion amongst school staff. </w:t>
      </w:r>
    </w:p>
    <w:p w14:paraId="177A53BA" w14:textId="526F8F66" w:rsidR="002B394F" w:rsidRPr="00AE141E" w:rsidRDefault="002B394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Pupils’ critiques of historical teaching tended to focus on the predominance of traditional, ‘talk and chalk’ methods, and on the issue of relevance. To many pupils, the histories presented at school simply seemed too far removed from present concerns to merit real interest.</w:t>
      </w:r>
      <w:r w:rsidRPr="00AE141E">
        <w:rPr>
          <w:rStyle w:val="FootnoteReference"/>
          <w:rFonts w:ascii="Times New Roman" w:hAnsi="Times New Roman" w:cs="Times New Roman"/>
          <w:sz w:val="24"/>
          <w:szCs w:val="24"/>
        </w:rPr>
        <w:footnoteReference w:id="242"/>
      </w:r>
      <w:r w:rsidRPr="00AE141E">
        <w:rPr>
          <w:rFonts w:ascii="Times New Roman" w:hAnsi="Times New Roman" w:cs="Times New Roman"/>
          <w:sz w:val="24"/>
          <w:szCs w:val="24"/>
        </w:rPr>
        <w:t xml:space="preserve">  Meanwhile, new subjects (</w:t>
      </w:r>
      <w:r w:rsidR="003644E1">
        <w:rPr>
          <w:rFonts w:ascii="Times New Roman" w:hAnsi="Times New Roman" w:cs="Times New Roman"/>
          <w:sz w:val="24"/>
          <w:szCs w:val="24"/>
        </w:rPr>
        <w:t xml:space="preserve">including </w:t>
      </w:r>
      <w:r w:rsidR="003F72F1">
        <w:rPr>
          <w:rFonts w:ascii="Times New Roman" w:hAnsi="Times New Roman" w:cs="Times New Roman"/>
          <w:sz w:val="24"/>
          <w:szCs w:val="24"/>
        </w:rPr>
        <w:t>‘</w:t>
      </w:r>
      <w:r w:rsidR="003644E1">
        <w:rPr>
          <w:rFonts w:ascii="Times New Roman" w:hAnsi="Times New Roman" w:cs="Times New Roman"/>
          <w:sz w:val="24"/>
          <w:szCs w:val="24"/>
        </w:rPr>
        <w:t>I</w:t>
      </w:r>
      <w:r w:rsidRPr="00AE141E">
        <w:rPr>
          <w:rFonts w:ascii="Times New Roman" w:hAnsi="Times New Roman" w:cs="Times New Roman"/>
          <w:sz w:val="24"/>
          <w:szCs w:val="24"/>
        </w:rPr>
        <w:t xml:space="preserve">ntegrated </w:t>
      </w:r>
      <w:r w:rsidR="003644E1">
        <w:rPr>
          <w:rFonts w:ascii="Times New Roman" w:hAnsi="Times New Roman" w:cs="Times New Roman"/>
          <w:sz w:val="24"/>
          <w:szCs w:val="24"/>
        </w:rPr>
        <w:t>H</w:t>
      </w:r>
      <w:r w:rsidRPr="00AE141E">
        <w:rPr>
          <w:rFonts w:ascii="Times New Roman" w:hAnsi="Times New Roman" w:cs="Times New Roman"/>
          <w:sz w:val="24"/>
          <w:szCs w:val="24"/>
        </w:rPr>
        <w:t>umanities</w:t>
      </w:r>
      <w:r w:rsidR="003F72F1">
        <w:rPr>
          <w:rFonts w:ascii="Times New Roman" w:hAnsi="Times New Roman" w:cs="Times New Roman"/>
          <w:sz w:val="24"/>
          <w:szCs w:val="24"/>
        </w:rPr>
        <w:t>’</w:t>
      </w:r>
      <w:r w:rsidR="003644E1">
        <w:rPr>
          <w:rFonts w:ascii="Times New Roman" w:hAnsi="Times New Roman" w:cs="Times New Roman"/>
          <w:sz w:val="24"/>
          <w:szCs w:val="24"/>
        </w:rPr>
        <w:t xml:space="preserve"> and the </w:t>
      </w:r>
      <w:r w:rsidR="003F72F1">
        <w:rPr>
          <w:rFonts w:ascii="Times New Roman" w:hAnsi="Times New Roman" w:cs="Times New Roman"/>
          <w:sz w:val="24"/>
          <w:szCs w:val="24"/>
        </w:rPr>
        <w:t>s</w:t>
      </w:r>
      <w:r w:rsidRPr="00AE141E">
        <w:rPr>
          <w:rFonts w:ascii="Times New Roman" w:hAnsi="Times New Roman" w:cs="Times New Roman"/>
          <w:sz w:val="24"/>
          <w:szCs w:val="24"/>
        </w:rPr>
        <w:t xml:space="preserve">ocial </w:t>
      </w:r>
      <w:r w:rsidR="003F72F1">
        <w:rPr>
          <w:rFonts w:ascii="Times New Roman" w:hAnsi="Times New Roman" w:cs="Times New Roman"/>
          <w:sz w:val="24"/>
          <w:szCs w:val="24"/>
        </w:rPr>
        <w:t>s</w:t>
      </w:r>
      <w:r w:rsidRPr="00AE141E">
        <w:rPr>
          <w:rFonts w:ascii="Times New Roman" w:hAnsi="Times New Roman" w:cs="Times New Roman"/>
          <w:sz w:val="24"/>
          <w:szCs w:val="24"/>
        </w:rPr>
        <w:t>ciences) were annexing secondary schools’ limited funding and timetable spaces on the basis of claims to educate children in the realities of contemporary life.</w:t>
      </w:r>
      <w:r w:rsidRPr="00AE141E">
        <w:rPr>
          <w:rStyle w:val="FootnoteReference"/>
          <w:rFonts w:ascii="Times New Roman" w:hAnsi="Times New Roman" w:cs="Times New Roman"/>
          <w:sz w:val="24"/>
          <w:szCs w:val="24"/>
        </w:rPr>
        <w:footnoteReference w:id="243"/>
      </w:r>
      <w:r w:rsidRPr="00AE141E">
        <w:rPr>
          <w:rFonts w:ascii="Times New Roman" w:hAnsi="Times New Roman" w:cs="Times New Roman"/>
          <w:sz w:val="24"/>
          <w:szCs w:val="24"/>
        </w:rPr>
        <w:t xml:space="preserve"> The problem was partly thematic. By the 1960s, the process of formal, political decolonisation was firmly underway.</w:t>
      </w:r>
      <w:r w:rsidR="00143B55" w:rsidRPr="00AE141E">
        <w:rPr>
          <w:rStyle w:val="FootnoteReference"/>
          <w:rFonts w:ascii="Times New Roman" w:hAnsi="Times New Roman" w:cs="Times New Roman"/>
          <w:sz w:val="24"/>
          <w:szCs w:val="24"/>
        </w:rPr>
        <w:footnoteReference w:id="244"/>
      </w:r>
      <w:r w:rsidRPr="00AE141E">
        <w:rPr>
          <w:rFonts w:ascii="Times New Roman" w:hAnsi="Times New Roman" w:cs="Times New Roman"/>
          <w:sz w:val="24"/>
          <w:szCs w:val="24"/>
        </w:rPr>
        <w:t xml:space="preserve"> The Suez Crisis had engendered serious national reflection on Britain’s loss of global influence. The bilateral shape of Cold War politics illuminated the ascendancy of the United States of America – and confirmed Britain’s role as a sometime accessory to other great powers. A changing landscape of media, technology, and travel ensured that the nation </w:t>
      </w:r>
      <w:r w:rsidRPr="00AE141E">
        <w:rPr>
          <w:rFonts w:ascii="Times New Roman" w:hAnsi="Times New Roman" w:cs="Times New Roman"/>
          <w:sz w:val="24"/>
          <w:szCs w:val="24"/>
        </w:rPr>
        <w:lastRenderedPageBreak/>
        <w:t xml:space="preserve">was aware of the world around it as never before.  In this context, it was difficult to justify an insular historical narrative which placed Britain at the centre of the world. The traditional English history curriculum – chronological and national – seemed out of step with an era of unprecedented global </w:t>
      </w:r>
      <w:r w:rsidR="00496431" w:rsidRPr="00AE141E">
        <w:rPr>
          <w:rFonts w:ascii="Times New Roman" w:hAnsi="Times New Roman" w:cs="Times New Roman"/>
          <w:sz w:val="24"/>
          <w:szCs w:val="24"/>
        </w:rPr>
        <w:t>interconnection</w:t>
      </w:r>
      <w:r w:rsidRPr="00AE141E">
        <w:rPr>
          <w:rFonts w:ascii="Times New Roman" w:hAnsi="Times New Roman" w:cs="Times New Roman"/>
          <w:sz w:val="24"/>
          <w:szCs w:val="24"/>
        </w:rPr>
        <w:t>.</w:t>
      </w:r>
      <w:r w:rsidR="00D56DD2" w:rsidRPr="00AE141E">
        <w:rPr>
          <w:rStyle w:val="FootnoteReference"/>
          <w:rFonts w:ascii="Times New Roman" w:hAnsi="Times New Roman" w:cs="Times New Roman"/>
          <w:sz w:val="24"/>
          <w:szCs w:val="24"/>
        </w:rPr>
        <w:footnoteReference w:id="245"/>
      </w:r>
    </w:p>
    <w:p w14:paraId="29FD2232" w14:textId="630A2507" w:rsidR="00A549C6" w:rsidRPr="00AE141E" w:rsidRDefault="00BF55F1"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 xml:space="preserve">‘New </w:t>
      </w:r>
      <w:r w:rsidR="00F155D6" w:rsidRPr="00AE141E">
        <w:rPr>
          <w:rFonts w:ascii="Times New Roman" w:hAnsi="Times New Roman" w:cs="Times New Roman"/>
          <w:b/>
          <w:bCs/>
          <w:sz w:val="24"/>
          <w:szCs w:val="24"/>
        </w:rPr>
        <w:t>History’ and</w:t>
      </w:r>
      <w:r w:rsidR="00A549C6" w:rsidRPr="00AE141E">
        <w:rPr>
          <w:rFonts w:ascii="Times New Roman" w:hAnsi="Times New Roman" w:cs="Times New Roman"/>
          <w:b/>
          <w:bCs/>
          <w:sz w:val="24"/>
          <w:szCs w:val="24"/>
        </w:rPr>
        <w:t xml:space="preserve"> World History</w:t>
      </w:r>
    </w:p>
    <w:p w14:paraId="6D15B27E" w14:textId="4DF678A8" w:rsidR="00F155D6" w:rsidRPr="00AE141E" w:rsidRDefault="00F155D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Two interlinked trends arose</w:t>
      </w:r>
      <w:r w:rsidR="00D60C34" w:rsidRPr="00AE141E">
        <w:rPr>
          <w:rFonts w:ascii="Times New Roman" w:hAnsi="Times New Roman" w:cs="Times New Roman"/>
          <w:sz w:val="24"/>
          <w:szCs w:val="24"/>
        </w:rPr>
        <w:t xml:space="preserve"> in response to demands for history to demonstrate ‘relevance’ in order to justify a place on the school timetable</w:t>
      </w:r>
      <w:r w:rsidR="00623C58" w:rsidRPr="00AE141E">
        <w:rPr>
          <w:rFonts w:ascii="Times New Roman" w:hAnsi="Times New Roman" w:cs="Times New Roman"/>
          <w:sz w:val="24"/>
          <w:szCs w:val="24"/>
        </w:rPr>
        <w:t>: the ‘new history’ and world history</w:t>
      </w:r>
      <w:r w:rsidR="005B6E63" w:rsidRPr="00AE141E">
        <w:rPr>
          <w:rFonts w:ascii="Times New Roman" w:hAnsi="Times New Roman" w:cs="Times New Roman"/>
          <w:sz w:val="24"/>
          <w:szCs w:val="24"/>
        </w:rPr>
        <w:t>. The ‘new history’ is typically associated with the arrival</w:t>
      </w:r>
      <w:r w:rsidRPr="00AE141E">
        <w:rPr>
          <w:rFonts w:ascii="Times New Roman" w:hAnsi="Times New Roman" w:cs="Times New Roman"/>
          <w:sz w:val="24"/>
          <w:szCs w:val="24"/>
        </w:rPr>
        <w:t xml:space="preserve"> </w:t>
      </w:r>
      <w:r w:rsidR="005B6E63" w:rsidRPr="00AE141E">
        <w:rPr>
          <w:rFonts w:ascii="Times New Roman" w:hAnsi="Times New Roman" w:cs="Times New Roman"/>
          <w:sz w:val="24"/>
          <w:szCs w:val="24"/>
        </w:rPr>
        <w:t xml:space="preserve">of the </w:t>
      </w:r>
      <w:r w:rsidRPr="00AE141E">
        <w:rPr>
          <w:rFonts w:ascii="Times New Roman" w:hAnsi="Times New Roman" w:cs="Times New Roman"/>
          <w:sz w:val="24"/>
          <w:szCs w:val="24"/>
        </w:rPr>
        <w:t>S</w:t>
      </w:r>
      <w:r w:rsidR="005B6E63" w:rsidRPr="00AE141E">
        <w:rPr>
          <w:rFonts w:ascii="Times New Roman" w:hAnsi="Times New Roman" w:cs="Times New Roman"/>
          <w:sz w:val="24"/>
          <w:szCs w:val="24"/>
        </w:rPr>
        <w:t xml:space="preserve">chools </w:t>
      </w:r>
      <w:r w:rsidRPr="00AE141E">
        <w:rPr>
          <w:rFonts w:ascii="Times New Roman" w:hAnsi="Times New Roman" w:cs="Times New Roman"/>
          <w:sz w:val="24"/>
          <w:szCs w:val="24"/>
        </w:rPr>
        <w:t>C</w:t>
      </w:r>
      <w:r w:rsidR="005B6E63" w:rsidRPr="00AE141E">
        <w:rPr>
          <w:rFonts w:ascii="Times New Roman" w:hAnsi="Times New Roman" w:cs="Times New Roman"/>
          <w:sz w:val="24"/>
          <w:szCs w:val="24"/>
        </w:rPr>
        <w:t xml:space="preserve">ouncil </w:t>
      </w:r>
      <w:r w:rsidRPr="00AE141E">
        <w:rPr>
          <w:rFonts w:ascii="Times New Roman" w:hAnsi="Times New Roman" w:cs="Times New Roman"/>
          <w:sz w:val="24"/>
          <w:szCs w:val="24"/>
        </w:rPr>
        <w:t>H</w:t>
      </w:r>
      <w:r w:rsidR="005B6E63" w:rsidRPr="00AE141E">
        <w:rPr>
          <w:rFonts w:ascii="Times New Roman" w:hAnsi="Times New Roman" w:cs="Times New Roman"/>
          <w:sz w:val="24"/>
          <w:szCs w:val="24"/>
        </w:rPr>
        <w:t xml:space="preserve">istory </w:t>
      </w:r>
      <w:r w:rsidRPr="00AE141E">
        <w:rPr>
          <w:rFonts w:ascii="Times New Roman" w:hAnsi="Times New Roman" w:cs="Times New Roman"/>
          <w:sz w:val="24"/>
          <w:szCs w:val="24"/>
        </w:rPr>
        <w:t>P</w:t>
      </w:r>
      <w:r w:rsidR="005B6E63" w:rsidRPr="00AE141E">
        <w:rPr>
          <w:rFonts w:ascii="Times New Roman" w:hAnsi="Times New Roman" w:cs="Times New Roman"/>
          <w:sz w:val="24"/>
          <w:szCs w:val="24"/>
        </w:rPr>
        <w:t>roject (SCHP) in</w:t>
      </w:r>
      <w:r w:rsidRPr="00AE141E">
        <w:rPr>
          <w:rFonts w:ascii="Times New Roman" w:hAnsi="Times New Roman" w:cs="Times New Roman"/>
          <w:sz w:val="24"/>
          <w:szCs w:val="24"/>
        </w:rPr>
        <w:t xml:space="preserve"> 1972</w:t>
      </w:r>
      <w:r w:rsidR="00D60C34" w:rsidRPr="00AE141E">
        <w:rPr>
          <w:rFonts w:ascii="Times New Roman" w:hAnsi="Times New Roman" w:cs="Times New Roman"/>
          <w:sz w:val="24"/>
          <w:szCs w:val="24"/>
        </w:rPr>
        <w:t>.</w:t>
      </w:r>
      <w:r w:rsidRPr="00AE141E">
        <w:rPr>
          <w:rFonts w:ascii="Times New Roman" w:hAnsi="Times New Roman" w:cs="Times New Roman"/>
          <w:sz w:val="24"/>
          <w:szCs w:val="24"/>
        </w:rPr>
        <w:t xml:space="preserve"> The Project’s quest for relevance was ideological as well as practical. Its founding members took a child-centred approach to historical education. As such, they sought to create a course which answered the specific ‘personal and social needs’ of modern pupils.</w:t>
      </w:r>
      <w:r w:rsidR="000B7519" w:rsidRPr="00AE141E">
        <w:rPr>
          <w:rStyle w:val="FootnoteReference"/>
          <w:rFonts w:ascii="Times New Roman" w:hAnsi="Times New Roman" w:cs="Times New Roman"/>
          <w:sz w:val="24"/>
          <w:szCs w:val="24"/>
        </w:rPr>
        <w:footnoteReference w:id="246"/>
      </w:r>
      <w:r w:rsidRPr="00AE141E">
        <w:rPr>
          <w:rFonts w:ascii="Times New Roman" w:hAnsi="Times New Roman" w:cs="Times New Roman"/>
          <w:sz w:val="24"/>
          <w:szCs w:val="24"/>
        </w:rPr>
        <w:t xml:space="preserve"> SCHP promoted active participation in the processes of historical work, rather than passive absorption of knowledge. Students were encouraged to develop a distinctive set of theoretical and methodological ‘skills’ which they could use to construct their own explanations of past events. The Project’s guiding philosophy was pithily summarised by David Sylvester, its first Director: ‘pupils should do history, not receive it’.</w:t>
      </w:r>
      <w:r w:rsidR="00BA6BCD" w:rsidRPr="00AE141E">
        <w:rPr>
          <w:rStyle w:val="FootnoteReference"/>
          <w:rFonts w:ascii="Times New Roman" w:hAnsi="Times New Roman" w:cs="Times New Roman"/>
          <w:sz w:val="24"/>
          <w:szCs w:val="24"/>
        </w:rPr>
        <w:footnoteReference w:id="247"/>
      </w:r>
      <w:r w:rsidRPr="00AE141E">
        <w:rPr>
          <w:rFonts w:ascii="Times New Roman" w:hAnsi="Times New Roman" w:cs="Times New Roman"/>
          <w:sz w:val="24"/>
          <w:szCs w:val="24"/>
        </w:rPr>
        <w:t xml:space="preserve"> By challenging the great tradition’s assumption of history as a ‘received subject’, SCHP opened the space for new content.</w:t>
      </w:r>
      <w:r w:rsidRPr="00AE141E">
        <w:rPr>
          <w:rStyle w:val="FootnoteReference"/>
          <w:rFonts w:ascii="Times New Roman" w:hAnsi="Times New Roman" w:cs="Times New Roman"/>
          <w:sz w:val="24"/>
          <w:szCs w:val="24"/>
        </w:rPr>
        <w:footnoteReference w:id="248"/>
      </w:r>
      <w:r w:rsidRPr="00AE141E">
        <w:rPr>
          <w:rFonts w:ascii="Times New Roman" w:hAnsi="Times New Roman" w:cs="Times New Roman"/>
          <w:sz w:val="24"/>
          <w:szCs w:val="24"/>
        </w:rPr>
        <w:t xml:space="preserve"> The course aimed to cultivate awareness of ‘the significance and limitations of historical evidence, the balance between change and continuity, the problems of causation, and the importance of […] empathy’.</w:t>
      </w:r>
      <w:r w:rsidR="00CD1B26" w:rsidRPr="00AE141E">
        <w:rPr>
          <w:rStyle w:val="FootnoteReference"/>
          <w:rFonts w:ascii="Times New Roman" w:hAnsi="Times New Roman" w:cs="Times New Roman"/>
          <w:sz w:val="24"/>
          <w:szCs w:val="24"/>
        </w:rPr>
        <w:footnoteReference w:id="249"/>
      </w:r>
      <w:r w:rsidRPr="00AE141E">
        <w:rPr>
          <w:rFonts w:ascii="Times New Roman" w:hAnsi="Times New Roman" w:cs="Times New Roman"/>
          <w:sz w:val="24"/>
          <w:szCs w:val="24"/>
        </w:rPr>
        <w:t xml:space="preserve"> The national</w:t>
      </w:r>
      <w:r w:rsidR="00DB5708" w:rsidRPr="00AE141E">
        <w:rPr>
          <w:rFonts w:ascii="Times New Roman" w:hAnsi="Times New Roman" w:cs="Times New Roman"/>
          <w:sz w:val="24"/>
          <w:szCs w:val="24"/>
        </w:rPr>
        <w:t xml:space="preserve">ly-focused, linear </w:t>
      </w:r>
      <w:r w:rsidRPr="00AE141E">
        <w:rPr>
          <w:rFonts w:ascii="Times New Roman" w:hAnsi="Times New Roman" w:cs="Times New Roman"/>
          <w:sz w:val="24"/>
          <w:szCs w:val="24"/>
        </w:rPr>
        <w:t xml:space="preserve">chronology of the great tradition was self-evidently unsuitable for the development of such skills. </w:t>
      </w:r>
    </w:p>
    <w:p w14:paraId="5C0CAB55" w14:textId="271208F9" w:rsidR="00F155D6" w:rsidRPr="00AE141E" w:rsidRDefault="00F155D6" w:rsidP="00AE141E">
      <w:pPr>
        <w:spacing w:line="360" w:lineRule="auto"/>
        <w:rPr>
          <w:rFonts w:ascii="Times New Roman" w:hAnsi="Times New Roman" w:cs="Times New Roman"/>
          <w:iCs/>
          <w:sz w:val="24"/>
          <w:szCs w:val="24"/>
        </w:rPr>
      </w:pPr>
      <w:r w:rsidRPr="00AE141E">
        <w:rPr>
          <w:rFonts w:ascii="Times New Roman" w:hAnsi="Times New Roman" w:cs="Times New Roman"/>
          <w:sz w:val="24"/>
          <w:szCs w:val="24"/>
        </w:rPr>
        <w:t>In concert with teachers and pilot schools, a Project team based at the University of Leeds created a novel history syllabus</w:t>
      </w:r>
      <w:r w:rsidR="00930D24" w:rsidRPr="00AE141E">
        <w:rPr>
          <w:rFonts w:ascii="Times New Roman" w:hAnsi="Times New Roman" w:cs="Times New Roman"/>
          <w:sz w:val="24"/>
          <w:szCs w:val="24"/>
        </w:rPr>
        <w:t xml:space="preserve"> for students aged 13 to 16. </w:t>
      </w:r>
      <w:r w:rsidRPr="00AE141E">
        <w:rPr>
          <w:rFonts w:ascii="Times New Roman" w:hAnsi="Times New Roman" w:cs="Times New Roman"/>
          <w:sz w:val="24"/>
          <w:szCs w:val="24"/>
        </w:rPr>
        <w:t xml:space="preserve">Pilot exams were first held in 1974 and full public exams followed two years later, under the joint administration of the </w:t>
      </w:r>
      <w:r w:rsidRPr="00AE141E">
        <w:rPr>
          <w:rFonts w:ascii="Times New Roman" w:hAnsi="Times New Roman" w:cs="Times New Roman"/>
          <w:sz w:val="24"/>
          <w:szCs w:val="24"/>
        </w:rPr>
        <w:lastRenderedPageBreak/>
        <w:t>Southern Universities Joint Board and the Southern Regional Examinations Board.</w:t>
      </w:r>
      <w:r w:rsidRPr="00AE141E">
        <w:rPr>
          <w:rStyle w:val="FootnoteReference"/>
          <w:rFonts w:ascii="Times New Roman" w:hAnsi="Times New Roman" w:cs="Times New Roman"/>
          <w:sz w:val="24"/>
          <w:szCs w:val="24"/>
        </w:rPr>
        <w:footnoteReference w:id="250"/>
      </w:r>
      <w:r w:rsidRPr="00AE141E">
        <w:rPr>
          <w:rFonts w:ascii="Times New Roman" w:hAnsi="Times New Roman" w:cs="Times New Roman"/>
          <w:sz w:val="24"/>
          <w:szCs w:val="24"/>
        </w:rPr>
        <w:t xml:space="preserve"> The exam syllabus consisted of four components, each justified by a unique claim to utility (a full list is given in Appendix A).</w:t>
      </w:r>
      <w:r w:rsidR="0092252F" w:rsidRPr="00AE141E">
        <w:rPr>
          <w:rFonts w:ascii="Times New Roman" w:hAnsi="Times New Roman" w:cs="Times New Roman"/>
          <w:sz w:val="24"/>
          <w:szCs w:val="24"/>
        </w:rPr>
        <w:t xml:space="preserve"> </w:t>
      </w:r>
      <w:r w:rsidR="003447C2" w:rsidRPr="00AE141E">
        <w:rPr>
          <w:rFonts w:ascii="Times New Roman" w:hAnsi="Times New Roman" w:cs="Times New Roman"/>
          <w:sz w:val="24"/>
          <w:szCs w:val="24"/>
        </w:rPr>
        <w:t xml:space="preserve">For example, </w:t>
      </w:r>
      <w:r w:rsidR="0092252F" w:rsidRPr="00AE141E">
        <w:rPr>
          <w:rFonts w:ascii="Times New Roman" w:hAnsi="Times New Roman" w:cs="Times New Roman"/>
          <w:sz w:val="24"/>
          <w:szCs w:val="24"/>
        </w:rPr>
        <w:t>‘Studies in World History’, also known as ‘Modern World Studies’ (</w:t>
      </w:r>
      <w:r w:rsidR="008A6A62" w:rsidRPr="00AE141E">
        <w:rPr>
          <w:rFonts w:ascii="Times New Roman" w:hAnsi="Times New Roman" w:cs="Times New Roman"/>
          <w:sz w:val="24"/>
          <w:szCs w:val="24"/>
        </w:rPr>
        <w:t>‘</w:t>
      </w:r>
      <w:r w:rsidR="0092252F" w:rsidRPr="00AE141E">
        <w:rPr>
          <w:rFonts w:ascii="Times New Roman" w:hAnsi="Times New Roman" w:cs="Times New Roman"/>
          <w:sz w:val="24"/>
          <w:szCs w:val="24"/>
        </w:rPr>
        <w:t>MWS’), encouraged students to historicise the ‘burning issues and problems of the contemporary world’.</w:t>
      </w:r>
      <w:r w:rsidR="00217059" w:rsidRPr="00AE141E">
        <w:rPr>
          <w:rStyle w:val="FootnoteReference"/>
          <w:rFonts w:ascii="Times New Roman" w:hAnsi="Times New Roman" w:cs="Times New Roman"/>
          <w:sz w:val="24"/>
          <w:szCs w:val="24"/>
        </w:rPr>
        <w:footnoteReference w:id="251"/>
      </w:r>
      <w:r w:rsidR="00217059" w:rsidRPr="00AE141E">
        <w:rPr>
          <w:rFonts w:ascii="Times New Roman" w:hAnsi="Times New Roman" w:cs="Times New Roman"/>
          <w:sz w:val="24"/>
          <w:szCs w:val="24"/>
        </w:rPr>
        <w:t xml:space="preserve"> </w:t>
      </w:r>
      <w:r w:rsidR="00BC58C9" w:rsidRPr="00AE141E">
        <w:rPr>
          <w:rFonts w:ascii="Times New Roman" w:hAnsi="Times New Roman" w:cs="Times New Roman"/>
          <w:sz w:val="24"/>
          <w:szCs w:val="24"/>
        </w:rPr>
        <w:t xml:space="preserve">MWS represented the application of SCHP’s unique methodological approach to </w:t>
      </w:r>
      <w:r w:rsidR="003447C2" w:rsidRPr="00AE141E">
        <w:rPr>
          <w:rFonts w:ascii="Times New Roman" w:hAnsi="Times New Roman" w:cs="Times New Roman"/>
          <w:sz w:val="24"/>
          <w:szCs w:val="24"/>
        </w:rPr>
        <w:t xml:space="preserve">‘world history’ – a new historical sub-discipline which </w:t>
      </w:r>
      <w:r w:rsidR="00190A52" w:rsidRPr="00AE141E">
        <w:rPr>
          <w:rFonts w:ascii="Times New Roman" w:hAnsi="Times New Roman" w:cs="Times New Roman"/>
          <w:sz w:val="24"/>
          <w:szCs w:val="24"/>
        </w:rPr>
        <w:t>emerged in a university context</w:t>
      </w:r>
      <w:r w:rsidR="006266C6" w:rsidRPr="00AE141E">
        <w:rPr>
          <w:rFonts w:ascii="Times New Roman" w:hAnsi="Times New Roman" w:cs="Times New Roman"/>
          <w:sz w:val="24"/>
          <w:szCs w:val="24"/>
        </w:rPr>
        <w:t xml:space="preserve"> and was quickly taken up </w:t>
      </w:r>
      <w:r w:rsidR="00D80014" w:rsidRPr="00AE141E">
        <w:rPr>
          <w:rFonts w:ascii="Times New Roman" w:hAnsi="Times New Roman" w:cs="Times New Roman"/>
          <w:sz w:val="24"/>
          <w:szCs w:val="24"/>
        </w:rPr>
        <w:t xml:space="preserve">by teachers pursuing the </w:t>
      </w:r>
      <w:r w:rsidR="007007D1" w:rsidRPr="00AE141E">
        <w:rPr>
          <w:rFonts w:ascii="Times New Roman" w:hAnsi="Times New Roman" w:cs="Times New Roman"/>
          <w:sz w:val="24"/>
          <w:szCs w:val="24"/>
        </w:rPr>
        <w:t>coveted ideal of ‘relevant’ historical content.</w:t>
      </w:r>
    </w:p>
    <w:p w14:paraId="2DD1C45C" w14:textId="0E4FE1C4" w:rsidR="007D290A" w:rsidRPr="00AE141E" w:rsidRDefault="007C0D8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1960s witnessed the arrival of </w:t>
      </w:r>
      <w:r w:rsidR="00E605B8" w:rsidRPr="00AE141E">
        <w:rPr>
          <w:rFonts w:ascii="Times New Roman" w:hAnsi="Times New Roman" w:cs="Times New Roman"/>
          <w:sz w:val="24"/>
          <w:szCs w:val="24"/>
        </w:rPr>
        <w:t>pioneering</w:t>
      </w:r>
      <w:r w:rsidR="006E34BC" w:rsidRPr="00AE141E">
        <w:rPr>
          <w:rFonts w:ascii="Times New Roman" w:hAnsi="Times New Roman" w:cs="Times New Roman"/>
          <w:sz w:val="24"/>
          <w:szCs w:val="24"/>
        </w:rPr>
        <w:t xml:space="preserve"> </w:t>
      </w:r>
      <w:r w:rsidR="00E605B8" w:rsidRPr="00AE141E">
        <w:rPr>
          <w:rFonts w:ascii="Times New Roman" w:hAnsi="Times New Roman" w:cs="Times New Roman"/>
          <w:sz w:val="24"/>
          <w:szCs w:val="24"/>
        </w:rPr>
        <w:t xml:space="preserve">work </w:t>
      </w:r>
      <w:r w:rsidRPr="00AE141E">
        <w:rPr>
          <w:rFonts w:ascii="Times New Roman" w:hAnsi="Times New Roman" w:cs="Times New Roman"/>
          <w:sz w:val="24"/>
          <w:szCs w:val="24"/>
        </w:rPr>
        <w:t>by</w:t>
      </w:r>
      <w:r w:rsidR="00942C25" w:rsidRPr="00AE141E">
        <w:rPr>
          <w:rFonts w:ascii="Times New Roman" w:hAnsi="Times New Roman" w:cs="Times New Roman"/>
          <w:sz w:val="24"/>
          <w:szCs w:val="24"/>
        </w:rPr>
        <w:t xml:space="preserve"> scholars such as W</w:t>
      </w:r>
      <w:r w:rsidR="00A46CE0" w:rsidRPr="00AE141E">
        <w:rPr>
          <w:rFonts w:ascii="Times New Roman" w:hAnsi="Times New Roman" w:cs="Times New Roman"/>
          <w:sz w:val="24"/>
          <w:szCs w:val="24"/>
        </w:rPr>
        <w:t>illiam</w:t>
      </w:r>
      <w:r w:rsidR="00942C25" w:rsidRPr="00AE141E">
        <w:rPr>
          <w:rFonts w:ascii="Times New Roman" w:hAnsi="Times New Roman" w:cs="Times New Roman"/>
          <w:sz w:val="24"/>
          <w:szCs w:val="24"/>
        </w:rPr>
        <w:t xml:space="preserve"> McNeill, Geoffrey Barraclough</w:t>
      </w:r>
      <w:r w:rsidR="001B7817" w:rsidRPr="00AE141E">
        <w:rPr>
          <w:rFonts w:ascii="Times New Roman" w:hAnsi="Times New Roman" w:cs="Times New Roman"/>
          <w:sz w:val="24"/>
          <w:szCs w:val="24"/>
        </w:rPr>
        <w:t>,</w:t>
      </w:r>
      <w:r w:rsidR="00942C25" w:rsidRPr="00AE141E">
        <w:rPr>
          <w:rFonts w:ascii="Times New Roman" w:hAnsi="Times New Roman" w:cs="Times New Roman"/>
          <w:sz w:val="24"/>
          <w:szCs w:val="24"/>
        </w:rPr>
        <w:t xml:space="preserve"> </w:t>
      </w:r>
      <w:r w:rsidR="00EB0080" w:rsidRPr="00AE141E">
        <w:rPr>
          <w:rFonts w:ascii="Times New Roman" w:hAnsi="Times New Roman" w:cs="Times New Roman"/>
          <w:sz w:val="24"/>
          <w:szCs w:val="24"/>
        </w:rPr>
        <w:t xml:space="preserve">E.H. Dance </w:t>
      </w:r>
      <w:r w:rsidR="00942C25" w:rsidRPr="00AE141E">
        <w:rPr>
          <w:rFonts w:ascii="Times New Roman" w:hAnsi="Times New Roman" w:cs="Times New Roman"/>
          <w:sz w:val="24"/>
          <w:szCs w:val="24"/>
        </w:rPr>
        <w:t>and John Robert</w:t>
      </w:r>
      <w:r w:rsidR="00E605B8" w:rsidRPr="00AE141E">
        <w:rPr>
          <w:rFonts w:ascii="Times New Roman" w:hAnsi="Times New Roman" w:cs="Times New Roman"/>
          <w:sz w:val="24"/>
          <w:szCs w:val="24"/>
        </w:rPr>
        <w:t>s</w:t>
      </w:r>
      <w:r w:rsidR="006E34BC" w:rsidRPr="00AE141E">
        <w:rPr>
          <w:rFonts w:ascii="Times New Roman" w:hAnsi="Times New Roman" w:cs="Times New Roman"/>
          <w:sz w:val="24"/>
          <w:szCs w:val="24"/>
        </w:rPr>
        <w:t>, all of whom adopted a world perspective on the past</w:t>
      </w:r>
      <w:r w:rsidR="007E1015" w:rsidRPr="00AE141E">
        <w:rPr>
          <w:rFonts w:ascii="Times New Roman" w:hAnsi="Times New Roman" w:cs="Times New Roman"/>
          <w:sz w:val="24"/>
          <w:szCs w:val="24"/>
        </w:rPr>
        <w:t xml:space="preserve"> in a bid to better understand contemporary events</w:t>
      </w:r>
      <w:r w:rsidR="00E605B8" w:rsidRPr="00AE141E">
        <w:rPr>
          <w:rFonts w:ascii="Times New Roman" w:hAnsi="Times New Roman" w:cs="Times New Roman"/>
          <w:sz w:val="24"/>
          <w:szCs w:val="24"/>
        </w:rPr>
        <w:t>.</w:t>
      </w:r>
      <w:r w:rsidR="00F951F9" w:rsidRPr="00AE141E">
        <w:rPr>
          <w:rFonts w:ascii="Times New Roman" w:hAnsi="Times New Roman" w:cs="Times New Roman"/>
          <w:sz w:val="24"/>
          <w:szCs w:val="24"/>
        </w:rPr>
        <w:t xml:space="preserve"> </w:t>
      </w:r>
      <w:r w:rsidR="000C1396" w:rsidRPr="00AE141E">
        <w:rPr>
          <w:rFonts w:ascii="Times New Roman" w:hAnsi="Times New Roman" w:cs="Times New Roman"/>
          <w:sz w:val="24"/>
          <w:szCs w:val="24"/>
        </w:rPr>
        <w:t xml:space="preserve">In the early </w:t>
      </w:r>
      <w:r w:rsidR="00000CC3" w:rsidRPr="00AE141E">
        <w:rPr>
          <w:rFonts w:ascii="Times New Roman" w:hAnsi="Times New Roman" w:cs="Times New Roman"/>
          <w:sz w:val="24"/>
          <w:szCs w:val="24"/>
        </w:rPr>
        <w:t>years of world history</w:t>
      </w:r>
      <w:r w:rsidR="008205D1" w:rsidRPr="00AE141E">
        <w:rPr>
          <w:rFonts w:ascii="Times New Roman" w:hAnsi="Times New Roman" w:cs="Times New Roman"/>
          <w:sz w:val="24"/>
          <w:szCs w:val="24"/>
        </w:rPr>
        <w:t>’s development as a</w:t>
      </w:r>
      <w:r w:rsidR="003A0F96" w:rsidRPr="00AE141E">
        <w:rPr>
          <w:rFonts w:ascii="Times New Roman" w:hAnsi="Times New Roman" w:cs="Times New Roman"/>
          <w:sz w:val="24"/>
          <w:szCs w:val="24"/>
        </w:rPr>
        <w:t xml:space="preserve"> formal academic discipline</w:t>
      </w:r>
      <w:r w:rsidR="00700FF3">
        <w:rPr>
          <w:rFonts w:ascii="Times New Roman" w:hAnsi="Times New Roman" w:cs="Times New Roman"/>
          <w:sz w:val="24"/>
          <w:szCs w:val="24"/>
        </w:rPr>
        <w:t xml:space="preserve">, </w:t>
      </w:r>
      <w:r w:rsidR="00626EA3" w:rsidRPr="00AE141E">
        <w:rPr>
          <w:rFonts w:ascii="Times New Roman" w:hAnsi="Times New Roman" w:cs="Times New Roman"/>
          <w:sz w:val="24"/>
          <w:szCs w:val="24"/>
        </w:rPr>
        <w:t xml:space="preserve">definitions of the field </w:t>
      </w:r>
      <w:r w:rsidR="00761411" w:rsidRPr="00AE141E">
        <w:rPr>
          <w:rFonts w:ascii="Times New Roman" w:hAnsi="Times New Roman" w:cs="Times New Roman"/>
          <w:sz w:val="24"/>
          <w:szCs w:val="24"/>
        </w:rPr>
        <w:t xml:space="preserve">and its aims were inconsistent and mutable. </w:t>
      </w:r>
      <w:r w:rsidR="00B7149A" w:rsidRPr="00AE141E">
        <w:rPr>
          <w:rFonts w:ascii="Times New Roman" w:hAnsi="Times New Roman" w:cs="Times New Roman"/>
          <w:sz w:val="24"/>
          <w:szCs w:val="24"/>
        </w:rPr>
        <w:t xml:space="preserve">Barraclough distinguished </w:t>
      </w:r>
      <w:r w:rsidR="005B65B2" w:rsidRPr="00AE141E">
        <w:rPr>
          <w:rFonts w:ascii="Times New Roman" w:hAnsi="Times New Roman" w:cs="Times New Roman"/>
          <w:sz w:val="24"/>
          <w:szCs w:val="24"/>
        </w:rPr>
        <w:t>the</w:t>
      </w:r>
      <w:r w:rsidR="003466B7" w:rsidRPr="00AE141E">
        <w:rPr>
          <w:rFonts w:ascii="Times New Roman" w:hAnsi="Times New Roman" w:cs="Times New Roman"/>
          <w:sz w:val="24"/>
          <w:szCs w:val="24"/>
        </w:rPr>
        <w:t xml:space="preserve"> broad</w:t>
      </w:r>
      <w:r w:rsidR="005B65B2" w:rsidRPr="00AE141E">
        <w:rPr>
          <w:rFonts w:ascii="Times New Roman" w:hAnsi="Times New Roman" w:cs="Times New Roman"/>
          <w:sz w:val="24"/>
          <w:szCs w:val="24"/>
        </w:rPr>
        <w:t xml:space="preserve"> geographical </w:t>
      </w:r>
      <w:r w:rsidR="003466B7" w:rsidRPr="00AE141E">
        <w:rPr>
          <w:rFonts w:ascii="Times New Roman" w:hAnsi="Times New Roman" w:cs="Times New Roman"/>
          <w:sz w:val="24"/>
          <w:szCs w:val="24"/>
        </w:rPr>
        <w:t xml:space="preserve">perspective of his work </w:t>
      </w:r>
      <w:r w:rsidR="008E1CE2" w:rsidRPr="00AE141E">
        <w:rPr>
          <w:rFonts w:ascii="Times New Roman" w:hAnsi="Times New Roman" w:cs="Times New Roman"/>
          <w:sz w:val="24"/>
          <w:szCs w:val="24"/>
        </w:rPr>
        <w:t xml:space="preserve">from the </w:t>
      </w:r>
      <w:r w:rsidR="009C5843" w:rsidRPr="00AE141E">
        <w:rPr>
          <w:rFonts w:ascii="Times New Roman" w:hAnsi="Times New Roman" w:cs="Times New Roman"/>
          <w:sz w:val="24"/>
          <w:szCs w:val="24"/>
        </w:rPr>
        <w:t>totalising</w:t>
      </w:r>
      <w:r w:rsidR="008E1CE2" w:rsidRPr="00AE141E">
        <w:rPr>
          <w:rFonts w:ascii="Times New Roman" w:hAnsi="Times New Roman" w:cs="Times New Roman"/>
          <w:sz w:val="24"/>
          <w:szCs w:val="24"/>
        </w:rPr>
        <w:t xml:space="preserve"> philosophy of other historians attempting to </w:t>
      </w:r>
      <w:r w:rsidR="009C5843" w:rsidRPr="00AE141E">
        <w:rPr>
          <w:rFonts w:ascii="Times New Roman" w:hAnsi="Times New Roman" w:cs="Times New Roman"/>
          <w:sz w:val="24"/>
          <w:szCs w:val="24"/>
        </w:rPr>
        <w:t>synthesise</w:t>
      </w:r>
      <w:r w:rsidR="008E1CE2" w:rsidRPr="00AE141E">
        <w:rPr>
          <w:rFonts w:ascii="Times New Roman" w:hAnsi="Times New Roman" w:cs="Times New Roman"/>
          <w:sz w:val="24"/>
          <w:szCs w:val="24"/>
        </w:rPr>
        <w:t xml:space="preserve"> </w:t>
      </w:r>
      <w:r w:rsidR="009C5843" w:rsidRPr="00AE141E">
        <w:rPr>
          <w:rFonts w:ascii="Times New Roman" w:hAnsi="Times New Roman" w:cs="Times New Roman"/>
          <w:sz w:val="24"/>
          <w:szCs w:val="24"/>
        </w:rPr>
        <w:t>human history into a unitary narrative.</w:t>
      </w:r>
      <w:r w:rsidR="00513617" w:rsidRPr="00AE141E">
        <w:rPr>
          <w:rStyle w:val="FootnoteReference"/>
          <w:rFonts w:ascii="Times New Roman" w:hAnsi="Times New Roman" w:cs="Times New Roman"/>
          <w:sz w:val="24"/>
          <w:szCs w:val="24"/>
        </w:rPr>
        <w:footnoteReference w:id="252"/>
      </w:r>
      <w:r w:rsidR="009C5843" w:rsidRPr="00AE141E">
        <w:rPr>
          <w:rFonts w:ascii="Times New Roman" w:hAnsi="Times New Roman" w:cs="Times New Roman"/>
          <w:sz w:val="24"/>
          <w:szCs w:val="24"/>
        </w:rPr>
        <w:t xml:space="preserve"> Despite his best efforts</w:t>
      </w:r>
      <w:r w:rsidR="007138CB" w:rsidRPr="00AE141E">
        <w:rPr>
          <w:rFonts w:ascii="Times New Roman" w:hAnsi="Times New Roman" w:cs="Times New Roman"/>
          <w:sz w:val="24"/>
          <w:szCs w:val="24"/>
        </w:rPr>
        <w:t xml:space="preserve">, world history </w:t>
      </w:r>
      <w:r w:rsidR="00A728A6" w:rsidRPr="00AE141E">
        <w:rPr>
          <w:rFonts w:ascii="Times New Roman" w:hAnsi="Times New Roman" w:cs="Times New Roman"/>
          <w:sz w:val="24"/>
          <w:szCs w:val="24"/>
        </w:rPr>
        <w:t>maintained an association with</w:t>
      </w:r>
      <w:r w:rsidR="00C27336" w:rsidRPr="00AE141E">
        <w:rPr>
          <w:rFonts w:ascii="Times New Roman" w:hAnsi="Times New Roman" w:cs="Times New Roman"/>
          <w:sz w:val="24"/>
          <w:szCs w:val="24"/>
        </w:rPr>
        <w:t xml:space="preserve"> </w:t>
      </w:r>
      <w:r w:rsidR="001C1058" w:rsidRPr="00AE141E">
        <w:rPr>
          <w:rFonts w:ascii="Times New Roman" w:hAnsi="Times New Roman" w:cs="Times New Roman"/>
          <w:sz w:val="24"/>
          <w:szCs w:val="24"/>
        </w:rPr>
        <w:t>universali</w:t>
      </w:r>
      <w:r w:rsidR="001347C4" w:rsidRPr="00AE141E">
        <w:rPr>
          <w:rFonts w:ascii="Times New Roman" w:hAnsi="Times New Roman" w:cs="Times New Roman"/>
          <w:sz w:val="24"/>
          <w:szCs w:val="24"/>
        </w:rPr>
        <w:t>st and homogenising</w:t>
      </w:r>
      <w:r w:rsidR="00A728A6" w:rsidRPr="00AE141E">
        <w:rPr>
          <w:rFonts w:ascii="Times New Roman" w:hAnsi="Times New Roman" w:cs="Times New Roman"/>
          <w:sz w:val="24"/>
          <w:szCs w:val="24"/>
        </w:rPr>
        <w:t xml:space="preserve"> </w:t>
      </w:r>
      <w:r w:rsidR="00531A90">
        <w:rPr>
          <w:rFonts w:ascii="Times New Roman" w:hAnsi="Times New Roman" w:cs="Times New Roman"/>
          <w:sz w:val="24"/>
          <w:szCs w:val="24"/>
        </w:rPr>
        <w:t>grand narrative</w:t>
      </w:r>
      <w:r w:rsidR="00550537" w:rsidRPr="00AE141E">
        <w:rPr>
          <w:rFonts w:ascii="Times New Roman" w:hAnsi="Times New Roman" w:cs="Times New Roman"/>
          <w:sz w:val="24"/>
          <w:szCs w:val="24"/>
        </w:rPr>
        <w:t xml:space="preserve"> which, as this chapter will </w:t>
      </w:r>
      <w:r w:rsidR="00E13ACB" w:rsidRPr="00AE141E">
        <w:rPr>
          <w:rFonts w:ascii="Times New Roman" w:hAnsi="Times New Roman" w:cs="Times New Roman"/>
          <w:sz w:val="24"/>
          <w:szCs w:val="24"/>
        </w:rPr>
        <w:t xml:space="preserve">explore, </w:t>
      </w:r>
      <w:r w:rsidR="00765F66">
        <w:rPr>
          <w:rFonts w:ascii="Times New Roman" w:hAnsi="Times New Roman" w:cs="Times New Roman"/>
          <w:sz w:val="24"/>
          <w:szCs w:val="24"/>
        </w:rPr>
        <w:t>was reflected in</w:t>
      </w:r>
      <w:r w:rsidR="00E13ACB" w:rsidRPr="00AE141E">
        <w:rPr>
          <w:rFonts w:ascii="Times New Roman" w:hAnsi="Times New Roman" w:cs="Times New Roman"/>
          <w:sz w:val="24"/>
          <w:szCs w:val="24"/>
        </w:rPr>
        <w:t xml:space="preserve"> school teaching practi</w:t>
      </w:r>
      <w:r w:rsidR="00674E92" w:rsidRPr="00AE141E">
        <w:rPr>
          <w:rFonts w:ascii="Times New Roman" w:hAnsi="Times New Roman" w:cs="Times New Roman"/>
          <w:sz w:val="24"/>
          <w:szCs w:val="24"/>
        </w:rPr>
        <w:t>c</w:t>
      </w:r>
      <w:r w:rsidR="00E13ACB" w:rsidRPr="00AE141E">
        <w:rPr>
          <w:rFonts w:ascii="Times New Roman" w:hAnsi="Times New Roman" w:cs="Times New Roman"/>
          <w:sz w:val="24"/>
          <w:szCs w:val="24"/>
        </w:rPr>
        <w:t>e</w:t>
      </w:r>
      <w:r w:rsidR="00513617" w:rsidRPr="00AE141E">
        <w:rPr>
          <w:rFonts w:ascii="Times New Roman" w:hAnsi="Times New Roman" w:cs="Times New Roman"/>
          <w:sz w:val="24"/>
          <w:szCs w:val="24"/>
        </w:rPr>
        <w:t>.</w:t>
      </w:r>
    </w:p>
    <w:p w14:paraId="34563BF6" w14:textId="64598120" w:rsidR="00196928" w:rsidRPr="00AE141E" w:rsidRDefault="001D41D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Burgeoning interest in th</w:t>
      </w:r>
      <w:r w:rsidR="001860D7" w:rsidRPr="00AE141E">
        <w:rPr>
          <w:rFonts w:ascii="Times New Roman" w:hAnsi="Times New Roman" w:cs="Times New Roman"/>
          <w:sz w:val="24"/>
          <w:szCs w:val="24"/>
        </w:rPr>
        <w:t xml:space="preserve">e use of world history within schools </w:t>
      </w:r>
      <w:r w:rsidR="002E68E4" w:rsidRPr="00AE141E">
        <w:rPr>
          <w:rFonts w:ascii="Times New Roman" w:hAnsi="Times New Roman" w:cs="Times New Roman"/>
          <w:sz w:val="24"/>
          <w:szCs w:val="24"/>
        </w:rPr>
        <w:t>is</w:t>
      </w:r>
      <w:r w:rsidR="001860D7" w:rsidRPr="00AE141E">
        <w:rPr>
          <w:rFonts w:ascii="Times New Roman" w:hAnsi="Times New Roman" w:cs="Times New Roman"/>
          <w:sz w:val="24"/>
          <w:szCs w:val="24"/>
        </w:rPr>
        <w:t xml:space="preserve"> indicated by </w:t>
      </w:r>
      <w:r w:rsidR="00323E09" w:rsidRPr="00AE141E">
        <w:rPr>
          <w:rFonts w:ascii="Times New Roman" w:hAnsi="Times New Roman" w:cs="Times New Roman"/>
          <w:sz w:val="24"/>
          <w:szCs w:val="24"/>
        </w:rPr>
        <w:t>the pr</w:t>
      </w:r>
      <w:r w:rsidR="00F67D68" w:rsidRPr="00AE141E">
        <w:rPr>
          <w:rFonts w:ascii="Times New Roman" w:hAnsi="Times New Roman" w:cs="Times New Roman"/>
          <w:sz w:val="24"/>
          <w:szCs w:val="24"/>
        </w:rPr>
        <w:t>ominence of major world historians</w:t>
      </w:r>
      <w:r w:rsidR="000348F0" w:rsidRPr="00AE141E">
        <w:rPr>
          <w:rFonts w:ascii="Times New Roman" w:hAnsi="Times New Roman" w:cs="Times New Roman"/>
          <w:sz w:val="24"/>
          <w:szCs w:val="24"/>
        </w:rPr>
        <w:t xml:space="preserve"> </w:t>
      </w:r>
      <w:r w:rsidR="00F67D68" w:rsidRPr="00AE141E">
        <w:rPr>
          <w:rFonts w:ascii="Times New Roman" w:hAnsi="Times New Roman" w:cs="Times New Roman"/>
          <w:sz w:val="24"/>
          <w:szCs w:val="24"/>
        </w:rPr>
        <w:t xml:space="preserve">within the </w:t>
      </w:r>
      <w:r w:rsidR="00387047" w:rsidRPr="00AE141E">
        <w:rPr>
          <w:rFonts w:ascii="Times New Roman" w:hAnsi="Times New Roman" w:cs="Times New Roman"/>
          <w:sz w:val="24"/>
          <w:szCs w:val="24"/>
        </w:rPr>
        <w:t>HA</w:t>
      </w:r>
      <w:r w:rsidR="000348F0" w:rsidRPr="00AE141E">
        <w:rPr>
          <w:rFonts w:ascii="Times New Roman" w:hAnsi="Times New Roman" w:cs="Times New Roman"/>
          <w:sz w:val="24"/>
          <w:szCs w:val="24"/>
        </w:rPr>
        <w:t>; this included both Dance (sometime Vice-President) and Barraclough (sometime President)</w:t>
      </w:r>
      <w:r w:rsidR="00F67D68" w:rsidRPr="00AE141E">
        <w:rPr>
          <w:rFonts w:ascii="Times New Roman" w:hAnsi="Times New Roman" w:cs="Times New Roman"/>
          <w:sz w:val="24"/>
          <w:szCs w:val="24"/>
        </w:rPr>
        <w:t>.</w:t>
      </w:r>
      <w:r w:rsidR="00617BC7" w:rsidRPr="00AE141E">
        <w:rPr>
          <w:rFonts w:ascii="Times New Roman" w:hAnsi="Times New Roman" w:cs="Times New Roman"/>
          <w:sz w:val="24"/>
          <w:szCs w:val="24"/>
        </w:rPr>
        <w:t xml:space="preserve"> </w:t>
      </w:r>
      <w:r w:rsidR="00DD15E4" w:rsidRPr="00AE141E">
        <w:rPr>
          <w:rFonts w:ascii="Times New Roman" w:hAnsi="Times New Roman" w:cs="Times New Roman"/>
          <w:sz w:val="24"/>
          <w:szCs w:val="24"/>
        </w:rPr>
        <w:t>In a</w:t>
      </w:r>
      <w:r w:rsidR="00617BC7" w:rsidRPr="00AE141E">
        <w:rPr>
          <w:rFonts w:ascii="Times New Roman" w:hAnsi="Times New Roman" w:cs="Times New Roman"/>
          <w:sz w:val="24"/>
          <w:szCs w:val="24"/>
        </w:rPr>
        <w:t xml:space="preserve"> Presidential </w:t>
      </w:r>
      <w:r w:rsidR="00DD15E4" w:rsidRPr="00AE141E">
        <w:rPr>
          <w:rFonts w:ascii="Times New Roman" w:hAnsi="Times New Roman" w:cs="Times New Roman"/>
          <w:sz w:val="24"/>
          <w:szCs w:val="24"/>
        </w:rPr>
        <w:t>A</w:t>
      </w:r>
      <w:r w:rsidR="00617BC7" w:rsidRPr="00AE141E">
        <w:rPr>
          <w:rFonts w:ascii="Times New Roman" w:hAnsi="Times New Roman" w:cs="Times New Roman"/>
          <w:sz w:val="24"/>
          <w:szCs w:val="24"/>
        </w:rPr>
        <w:t>ddress</w:t>
      </w:r>
      <w:r w:rsidR="00DD15E4" w:rsidRPr="00AE141E">
        <w:rPr>
          <w:rFonts w:ascii="Times New Roman" w:hAnsi="Times New Roman" w:cs="Times New Roman"/>
          <w:sz w:val="24"/>
          <w:szCs w:val="24"/>
        </w:rPr>
        <w:t xml:space="preserve"> to the Association’s 1966 Diamond Jubilee Conference, Barraclough</w:t>
      </w:r>
      <w:r w:rsidR="00617BC7" w:rsidRPr="00AE141E">
        <w:rPr>
          <w:rFonts w:ascii="Times New Roman" w:hAnsi="Times New Roman" w:cs="Times New Roman"/>
          <w:sz w:val="24"/>
          <w:szCs w:val="24"/>
        </w:rPr>
        <w:t xml:space="preserve"> praise</w:t>
      </w:r>
      <w:r w:rsidR="002E68E4" w:rsidRPr="00AE141E">
        <w:rPr>
          <w:rFonts w:ascii="Times New Roman" w:hAnsi="Times New Roman" w:cs="Times New Roman"/>
          <w:sz w:val="24"/>
          <w:szCs w:val="24"/>
        </w:rPr>
        <w:t>d</w:t>
      </w:r>
      <w:r w:rsidR="00617BC7" w:rsidRPr="00AE141E">
        <w:rPr>
          <w:rFonts w:ascii="Times New Roman" w:hAnsi="Times New Roman" w:cs="Times New Roman"/>
          <w:sz w:val="24"/>
          <w:szCs w:val="24"/>
        </w:rPr>
        <w:t xml:space="preserve"> a recent shift in emphasis within history teaching</w:t>
      </w:r>
      <w:r w:rsidR="00392E91" w:rsidRPr="00AE141E">
        <w:rPr>
          <w:rFonts w:ascii="Times New Roman" w:hAnsi="Times New Roman" w:cs="Times New Roman"/>
          <w:sz w:val="24"/>
          <w:szCs w:val="24"/>
        </w:rPr>
        <w:t>, driven by the ‘</w:t>
      </w:r>
      <w:r w:rsidR="00617BC7" w:rsidRPr="00AE141E">
        <w:rPr>
          <w:rFonts w:ascii="Times New Roman" w:hAnsi="Times New Roman" w:cs="Times New Roman"/>
          <w:sz w:val="24"/>
          <w:szCs w:val="24"/>
        </w:rPr>
        <w:t>inexorable pressure of the world around us’</w:t>
      </w:r>
      <w:r w:rsidR="00392E91" w:rsidRPr="00AE141E">
        <w:rPr>
          <w:rFonts w:ascii="Times New Roman" w:hAnsi="Times New Roman" w:cs="Times New Roman"/>
          <w:sz w:val="24"/>
          <w:szCs w:val="24"/>
        </w:rPr>
        <w:t>.</w:t>
      </w:r>
      <w:r w:rsidR="004D5F59" w:rsidRPr="00AE141E">
        <w:rPr>
          <w:rStyle w:val="FootnoteReference"/>
          <w:rFonts w:ascii="Times New Roman" w:hAnsi="Times New Roman" w:cs="Times New Roman"/>
          <w:sz w:val="24"/>
          <w:szCs w:val="24"/>
        </w:rPr>
        <w:footnoteReference w:id="253"/>
      </w:r>
      <w:r w:rsidR="00D84B47" w:rsidRPr="00AE141E">
        <w:rPr>
          <w:rFonts w:ascii="Times New Roman" w:hAnsi="Times New Roman" w:cs="Times New Roman"/>
          <w:sz w:val="24"/>
          <w:szCs w:val="24"/>
        </w:rPr>
        <w:t xml:space="preserve"> Barraclough quote</w:t>
      </w:r>
      <w:r w:rsidR="002E68E4" w:rsidRPr="00AE141E">
        <w:rPr>
          <w:rFonts w:ascii="Times New Roman" w:hAnsi="Times New Roman" w:cs="Times New Roman"/>
          <w:sz w:val="24"/>
          <w:szCs w:val="24"/>
        </w:rPr>
        <w:t>d</w:t>
      </w:r>
      <w:r w:rsidR="00B01E1E" w:rsidRPr="00AE141E">
        <w:rPr>
          <w:rFonts w:ascii="Times New Roman" w:hAnsi="Times New Roman" w:cs="Times New Roman"/>
          <w:sz w:val="24"/>
          <w:szCs w:val="24"/>
        </w:rPr>
        <w:t xml:space="preserve"> Dance to the effect that, in an increasingly interconnected world, </w:t>
      </w:r>
      <w:r w:rsidR="002F5766" w:rsidRPr="00AE141E">
        <w:rPr>
          <w:rFonts w:ascii="Times New Roman" w:hAnsi="Times New Roman" w:cs="Times New Roman"/>
          <w:sz w:val="24"/>
          <w:szCs w:val="24"/>
        </w:rPr>
        <w:t xml:space="preserve">the </w:t>
      </w:r>
      <w:r w:rsidR="000F70F8" w:rsidRPr="00AE141E">
        <w:rPr>
          <w:rFonts w:ascii="Times New Roman" w:hAnsi="Times New Roman" w:cs="Times New Roman"/>
          <w:sz w:val="24"/>
          <w:szCs w:val="24"/>
        </w:rPr>
        <w:t>inward-looking</w:t>
      </w:r>
      <w:r w:rsidR="002F5766" w:rsidRPr="00AE141E">
        <w:rPr>
          <w:rFonts w:ascii="Times New Roman" w:hAnsi="Times New Roman" w:cs="Times New Roman"/>
          <w:sz w:val="24"/>
          <w:szCs w:val="24"/>
        </w:rPr>
        <w:t xml:space="preserve"> tradition of English history teaching </w:t>
      </w:r>
      <w:r w:rsidR="0047226A" w:rsidRPr="00AE141E">
        <w:rPr>
          <w:rFonts w:ascii="Times New Roman" w:hAnsi="Times New Roman" w:cs="Times New Roman"/>
          <w:sz w:val="24"/>
          <w:szCs w:val="24"/>
        </w:rPr>
        <w:t>no longer offered pupils adequate preparation for the responsibilities of modern citizenship</w:t>
      </w:r>
      <w:r w:rsidR="00420FE6" w:rsidRPr="00AE141E">
        <w:rPr>
          <w:rFonts w:ascii="Times New Roman" w:hAnsi="Times New Roman" w:cs="Times New Roman"/>
          <w:sz w:val="24"/>
          <w:szCs w:val="24"/>
        </w:rPr>
        <w:t>.</w:t>
      </w:r>
      <w:r w:rsidR="00D56DD2" w:rsidRPr="00AE141E">
        <w:rPr>
          <w:rFonts w:ascii="Times New Roman" w:hAnsi="Times New Roman" w:cs="Times New Roman"/>
          <w:sz w:val="24"/>
          <w:szCs w:val="24"/>
        </w:rPr>
        <w:t xml:space="preserve"> </w:t>
      </w:r>
      <w:r w:rsidR="00EE3E89" w:rsidRPr="00AE141E">
        <w:rPr>
          <w:rFonts w:ascii="Times New Roman" w:hAnsi="Times New Roman" w:cs="Times New Roman"/>
          <w:sz w:val="24"/>
          <w:szCs w:val="24"/>
        </w:rPr>
        <w:t>To</w:t>
      </w:r>
      <w:r w:rsidR="006552B5" w:rsidRPr="00AE141E">
        <w:rPr>
          <w:rFonts w:ascii="Times New Roman" w:hAnsi="Times New Roman" w:cs="Times New Roman"/>
          <w:sz w:val="24"/>
          <w:szCs w:val="24"/>
        </w:rPr>
        <w:t xml:space="preserve"> </w:t>
      </w:r>
      <w:r w:rsidR="00856870" w:rsidRPr="00AE141E">
        <w:rPr>
          <w:rFonts w:ascii="Times New Roman" w:hAnsi="Times New Roman" w:cs="Times New Roman"/>
          <w:sz w:val="24"/>
          <w:szCs w:val="24"/>
        </w:rPr>
        <w:t>secure history’s long-term future in school</w:t>
      </w:r>
      <w:r w:rsidR="00EE3E89" w:rsidRPr="00AE141E">
        <w:rPr>
          <w:rFonts w:ascii="Times New Roman" w:hAnsi="Times New Roman" w:cs="Times New Roman"/>
          <w:sz w:val="24"/>
          <w:szCs w:val="24"/>
        </w:rPr>
        <w:t xml:space="preserve"> </w:t>
      </w:r>
      <w:r w:rsidR="00EE3E89" w:rsidRPr="00AE141E">
        <w:rPr>
          <w:rFonts w:ascii="Times New Roman" w:hAnsi="Times New Roman" w:cs="Times New Roman"/>
          <w:sz w:val="24"/>
          <w:szCs w:val="24"/>
        </w:rPr>
        <w:lastRenderedPageBreak/>
        <w:t xml:space="preserve">curricula, it was necessary to </w:t>
      </w:r>
      <w:r w:rsidR="00F979DB" w:rsidRPr="00AE141E">
        <w:rPr>
          <w:rFonts w:ascii="Times New Roman" w:hAnsi="Times New Roman" w:cs="Times New Roman"/>
          <w:sz w:val="24"/>
          <w:szCs w:val="24"/>
        </w:rPr>
        <w:t xml:space="preserve">look </w:t>
      </w:r>
      <w:r w:rsidR="000F6FC2" w:rsidRPr="00AE141E">
        <w:rPr>
          <w:rFonts w:ascii="Times New Roman" w:hAnsi="Times New Roman" w:cs="Times New Roman"/>
          <w:sz w:val="24"/>
          <w:szCs w:val="24"/>
        </w:rPr>
        <w:t xml:space="preserve">both inwards and outwards – </w:t>
      </w:r>
      <w:r w:rsidR="00F979DB" w:rsidRPr="00AE141E">
        <w:rPr>
          <w:rFonts w:ascii="Times New Roman" w:hAnsi="Times New Roman" w:cs="Times New Roman"/>
          <w:sz w:val="24"/>
          <w:szCs w:val="24"/>
        </w:rPr>
        <w:t>to</w:t>
      </w:r>
      <w:r w:rsidR="000F6FC2" w:rsidRPr="00AE141E">
        <w:rPr>
          <w:rFonts w:ascii="Times New Roman" w:hAnsi="Times New Roman" w:cs="Times New Roman"/>
          <w:sz w:val="24"/>
          <w:szCs w:val="24"/>
        </w:rPr>
        <w:t xml:space="preserve"> </w:t>
      </w:r>
      <w:r w:rsidR="008E13F2" w:rsidRPr="00AE141E">
        <w:rPr>
          <w:rFonts w:ascii="Times New Roman" w:hAnsi="Times New Roman" w:cs="Times New Roman"/>
          <w:sz w:val="24"/>
          <w:szCs w:val="24"/>
        </w:rPr>
        <w:t>pivot</w:t>
      </w:r>
      <w:r w:rsidR="000F6FC2" w:rsidRPr="00AE141E">
        <w:rPr>
          <w:rFonts w:ascii="Times New Roman" w:hAnsi="Times New Roman" w:cs="Times New Roman"/>
          <w:sz w:val="24"/>
          <w:szCs w:val="24"/>
        </w:rPr>
        <w:t xml:space="preserve"> </w:t>
      </w:r>
      <w:r w:rsidR="008E13F2" w:rsidRPr="00AE141E">
        <w:rPr>
          <w:rFonts w:ascii="Times New Roman" w:hAnsi="Times New Roman" w:cs="Times New Roman"/>
          <w:sz w:val="24"/>
          <w:szCs w:val="24"/>
        </w:rPr>
        <w:t xml:space="preserve">away from insular </w:t>
      </w:r>
      <w:r w:rsidR="00876800" w:rsidRPr="00AE141E">
        <w:rPr>
          <w:rFonts w:ascii="Times New Roman" w:hAnsi="Times New Roman" w:cs="Times New Roman"/>
          <w:sz w:val="24"/>
          <w:szCs w:val="24"/>
        </w:rPr>
        <w:t>discussions</w:t>
      </w:r>
      <w:r w:rsidR="008E13F2" w:rsidRPr="00AE141E">
        <w:rPr>
          <w:rFonts w:ascii="Times New Roman" w:hAnsi="Times New Roman" w:cs="Times New Roman"/>
          <w:sz w:val="24"/>
          <w:szCs w:val="24"/>
        </w:rPr>
        <w:t xml:space="preserve"> over causation </w:t>
      </w:r>
      <w:r w:rsidR="0007486A" w:rsidRPr="00AE141E">
        <w:rPr>
          <w:rFonts w:ascii="Times New Roman" w:hAnsi="Times New Roman" w:cs="Times New Roman"/>
          <w:sz w:val="24"/>
          <w:szCs w:val="24"/>
        </w:rPr>
        <w:t xml:space="preserve">to a </w:t>
      </w:r>
      <w:r w:rsidR="00F350BF" w:rsidRPr="00AE141E">
        <w:rPr>
          <w:rFonts w:ascii="Times New Roman" w:hAnsi="Times New Roman" w:cs="Times New Roman"/>
          <w:sz w:val="24"/>
          <w:szCs w:val="24"/>
        </w:rPr>
        <w:t xml:space="preserve">wider perspective on the </w:t>
      </w:r>
      <w:r w:rsidR="00F350BF" w:rsidRPr="00AE141E">
        <w:rPr>
          <w:rFonts w:ascii="Times New Roman" w:hAnsi="Times New Roman" w:cs="Times New Roman"/>
          <w:i/>
          <w:sz w:val="24"/>
          <w:szCs w:val="24"/>
        </w:rPr>
        <w:t xml:space="preserve">outcomes </w:t>
      </w:r>
      <w:r w:rsidR="00F350BF" w:rsidRPr="00AE141E">
        <w:rPr>
          <w:rFonts w:ascii="Times New Roman" w:hAnsi="Times New Roman" w:cs="Times New Roman"/>
          <w:sz w:val="24"/>
          <w:szCs w:val="24"/>
        </w:rPr>
        <w:t xml:space="preserve">of </w:t>
      </w:r>
      <w:r w:rsidR="004F575F" w:rsidRPr="00AE141E">
        <w:rPr>
          <w:rFonts w:ascii="Times New Roman" w:hAnsi="Times New Roman" w:cs="Times New Roman"/>
          <w:sz w:val="24"/>
          <w:szCs w:val="24"/>
        </w:rPr>
        <w:t>major historical events</w:t>
      </w:r>
      <w:r w:rsidR="000F6FC2" w:rsidRPr="00AE141E">
        <w:rPr>
          <w:rFonts w:ascii="Times New Roman" w:hAnsi="Times New Roman" w:cs="Times New Roman"/>
          <w:sz w:val="24"/>
          <w:szCs w:val="24"/>
        </w:rPr>
        <w:t xml:space="preserve">, and to </w:t>
      </w:r>
      <w:r w:rsidR="00A750A0" w:rsidRPr="00AE141E">
        <w:rPr>
          <w:rFonts w:ascii="Times New Roman" w:hAnsi="Times New Roman" w:cs="Times New Roman"/>
          <w:sz w:val="24"/>
          <w:szCs w:val="24"/>
        </w:rPr>
        <w:t>turn a critical gaze on the supposed objectivity of historical writing</w:t>
      </w:r>
      <w:r w:rsidR="004F575F" w:rsidRPr="00AE141E">
        <w:rPr>
          <w:rFonts w:ascii="Times New Roman" w:hAnsi="Times New Roman" w:cs="Times New Roman"/>
          <w:sz w:val="24"/>
          <w:szCs w:val="24"/>
        </w:rPr>
        <w:t>.</w:t>
      </w:r>
    </w:p>
    <w:p w14:paraId="60AC4703" w14:textId="3BEAD9FF" w:rsidR="00E92931" w:rsidRPr="00AE141E" w:rsidRDefault="00E9293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Barraclough was by no means </w:t>
      </w:r>
      <w:r w:rsidR="00A331BC" w:rsidRPr="00AE141E">
        <w:rPr>
          <w:rFonts w:ascii="Times New Roman" w:hAnsi="Times New Roman" w:cs="Times New Roman"/>
          <w:sz w:val="24"/>
          <w:szCs w:val="24"/>
        </w:rPr>
        <w:t>isolated</w:t>
      </w:r>
      <w:r w:rsidRPr="00AE141E">
        <w:rPr>
          <w:rFonts w:ascii="Times New Roman" w:hAnsi="Times New Roman" w:cs="Times New Roman"/>
          <w:sz w:val="24"/>
          <w:szCs w:val="24"/>
        </w:rPr>
        <w:t xml:space="preserve"> in </w:t>
      </w:r>
      <w:r w:rsidR="006C098D" w:rsidRPr="00AE141E">
        <w:rPr>
          <w:rFonts w:ascii="Times New Roman" w:hAnsi="Times New Roman" w:cs="Times New Roman"/>
          <w:sz w:val="24"/>
          <w:szCs w:val="24"/>
        </w:rPr>
        <w:t>his beliefs</w:t>
      </w:r>
      <w:r w:rsidRPr="00AE141E">
        <w:rPr>
          <w:rFonts w:ascii="Times New Roman" w:hAnsi="Times New Roman" w:cs="Times New Roman"/>
          <w:sz w:val="24"/>
          <w:szCs w:val="24"/>
        </w:rPr>
        <w:t xml:space="preserve">. </w:t>
      </w:r>
      <w:r w:rsidR="000F70F8" w:rsidRPr="00AE141E">
        <w:rPr>
          <w:rFonts w:ascii="Times New Roman" w:hAnsi="Times New Roman" w:cs="Times New Roman"/>
          <w:sz w:val="24"/>
          <w:szCs w:val="24"/>
        </w:rPr>
        <w:t xml:space="preserve">His </w:t>
      </w:r>
      <w:r w:rsidRPr="00AE141E">
        <w:rPr>
          <w:rFonts w:ascii="Times New Roman" w:hAnsi="Times New Roman" w:cs="Times New Roman"/>
          <w:sz w:val="24"/>
          <w:szCs w:val="24"/>
        </w:rPr>
        <w:t>contemporary, Martin Ballard, a former history teacher turned Director of the Educational Publisher’s Council, described much of the knowledge transmitted to history students as ‘palpably useless’ in</w:t>
      </w:r>
      <w:r w:rsidR="00A331BC" w:rsidRPr="00AE141E">
        <w:rPr>
          <w:rFonts w:ascii="Times New Roman" w:hAnsi="Times New Roman" w:cs="Times New Roman"/>
          <w:sz w:val="24"/>
          <w:szCs w:val="24"/>
        </w:rPr>
        <w:t xml:space="preserve"> the context of</w:t>
      </w:r>
      <w:r w:rsidRPr="00AE141E">
        <w:rPr>
          <w:rFonts w:ascii="Times New Roman" w:hAnsi="Times New Roman" w:cs="Times New Roman"/>
          <w:sz w:val="24"/>
          <w:szCs w:val="24"/>
        </w:rPr>
        <w:t xml:space="preserve"> a changing world.</w:t>
      </w:r>
      <w:r w:rsidR="00FC373F" w:rsidRPr="00AE141E">
        <w:rPr>
          <w:rStyle w:val="FootnoteReference"/>
          <w:rFonts w:ascii="Times New Roman" w:hAnsi="Times New Roman" w:cs="Times New Roman"/>
          <w:sz w:val="24"/>
          <w:szCs w:val="24"/>
        </w:rPr>
        <w:footnoteReference w:id="254"/>
      </w:r>
      <w:r w:rsidRPr="00AE141E">
        <w:rPr>
          <w:rFonts w:ascii="Times New Roman" w:hAnsi="Times New Roman" w:cs="Times New Roman"/>
          <w:sz w:val="24"/>
          <w:szCs w:val="24"/>
        </w:rPr>
        <w:t xml:space="preserve"> As Ballard explained in an essay addressed to his fellow educators:</w:t>
      </w:r>
    </w:p>
    <w:p w14:paraId="4C2D1B60" w14:textId="36E57B8F" w:rsidR="00E92931" w:rsidRPr="00AE141E" w:rsidRDefault="00E92931"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It yearly becomes more clear that history teaching must break out of the narrow nationalistic strait-jacket in which it has lived for so long. In a century of world-wide communications – and indeed of world-wide warfare – it has become inexcusable that teachers should continue to work from syllabuses which were designed to prepare pupils for life in a narrower environment.</w:t>
      </w:r>
      <w:r w:rsidR="00CA376E" w:rsidRPr="00AE141E">
        <w:rPr>
          <w:rStyle w:val="FootnoteReference"/>
          <w:rFonts w:ascii="Times New Roman" w:hAnsi="Times New Roman" w:cs="Times New Roman"/>
          <w:sz w:val="24"/>
          <w:szCs w:val="24"/>
        </w:rPr>
        <w:footnoteReference w:id="255"/>
      </w:r>
    </w:p>
    <w:p w14:paraId="7CE50264" w14:textId="0A66A6EC" w:rsidR="00AB1C1B" w:rsidRPr="00AE141E" w:rsidRDefault="00B554D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Ballard believed that a</w:t>
      </w:r>
      <w:r w:rsidR="00E92931" w:rsidRPr="00AE141E">
        <w:rPr>
          <w:rFonts w:ascii="Times New Roman" w:hAnsi="Times New Roman" w:cs="Times New Roman"/>
          <w:sz w:val="24"/>
          <w:szCs w:val="24"/>
        </w:rPr>
        <w:t xml:space="preserve"> world historical perspective was not only vital to enable pupils to understand and act within an inescapably interconnected world, but to secure the</w:t>
      </w:r>
      <w:r w:rsidRPr="00AE141E">
        <w:rPr>
          <w:rFonts w:ascii="Times New Roman" w:hAnsi="Times New Roman" w:cs="Times New Roman"/>
          <w:sz w:val="24"/>
          <w:szCs w:val="24"/>
        </w:rPr>
        <w:t xml:space="preserve"> very</w:t>
      </w:r>
      <w:r w:rsidR="00E92931" w:rsidRPr="00AE141E">
        <w:rPr>
          <w:rFonts w:ascii="Times New Roman" w:hAnsi="Times New Roman" w:cs="Times New Roman"/>
          <w:sz w:val="24"/>
          <w:szCs w:val="24"/>
        </w:rPr>
        <w:t xml:space="preserve"> future of that world</w:t>
      </w:r>
      <w:r w:rsidR="000B7310" w:rsidRPr="00AE141E">
        <w:rPr>
          <w:rFonts w:ascii="Times New Roman" w:hAnsi="Times New Roman" w:cs="Times New Roman"/>
          <w:sz w:val="24"/>
          <w:szCs w:val="24"/>
        </w:rPr>
        <w:t>; t</w:t>
      </w:r>
      <w:r w:rsidR="00E92931" w:rsidRPr="00AE141E">
        <w:rPr>
          <w:rFonts w:ascii="Times New Roman" w:hAnsi="Times New Roman" w:cs="Times New Roman"/>
          <w:sz w:val="24"/>
          <w:szCs w:val="24"/>
        </w:rPr>
        <w:t>he rise of the atom bomb left no room for the promotion of parochialism or national chauvinism in school classrooms.</w:t>
      </w:r>
      <w:r w:rsidR="0047210B" w:rsidRPr="00AE141E">
        <w:rPr>
          <w:rFonts w:ascii="Times New Roman" w:hAnsi="Times New Roman" w:cs="Times New Roman"/>
          <w:sz w:val="24"/>
          <w:szCs w:val="24"/>
        </w:rPr>
        <w:t xml:space="preserve"> T</w:t>
      </w:r>
      <w:r w:rsidR="00E92931" w:rsidRPr="00AE141E">
        <w:rPr>
          <w:rFonts w:ascii="Times New Roman" w:hAnsi="Times New Roman" w:cs="Times New Roman"/>
          <w:sz w:val="24"/>
          <w:szCs w:val="24"/>
        </w:rPr>
        <w:t xml:space="preserve">he 1972 edition of the popular </w:t>
      </w:r>
      <w:r w:rsidR="00E92931" w:rsidRPr="00AE141E">
        <w:rPr>
          <w:rFonts w:ascii="Times New Roman" w:hAnsi="Times New Roman" w:cs="Times New Roman"/>
          <w:i/>
          <w:sz w:val="24"/>
          <w:szCs w:val="24"/>
        </w:rPr>
        <w:t>Handbook for History Teachers</w:t>
      </w:r>
      <w:r w:rsidR="003A6259" w:rsidRPr="00AE141E">
        <w:rPr>
          <w:rFonts w:ascii="Times New Roman" w:hAnsi="Times New Roman" w:cs="Times New Roman"/>
          <w:sz w:val="24"/>
          <w:szCs w:val="24"/>
        </w:rPr>
        <w:t xml:space="preserve">, published by the University of London Institute of Education, </w:t>
      </w:r>
      <w:r w:rsidR="002D15FB" w:rsidRPr="00AE141E">
        <w:rPr>
          <w:rFonts w:ascii="Times New Roman" w:hAnsi="Times New Roman" w:cs="Times New Roman"/>
          <w:sz w:val="24"/>
          <w:szCs w:val="24"/>
        </w:rPr>
        <w:t xml:space="preserve">hoped that world history might promote attitudinal </w:t>
      </w:r>
      <w:r w:rsidR="00F31657" w:rsidRPr="00AE141E">
        <w:rPr>
          <w:rFonts w:ascii="Times New Roman" w:hAnsi="Times New Roman" w:cs="Times New Roman"/>
          <w:sz w:val="24"/>
          <w:szCs w:val="24"/>
        </w:rPr>
        <w:t xml:space="preserve">shifts amongst students, </w:t>
      </w:r>
      <w:r w:rsidR="00FA47F3" w:rsidRPr="00AE141E">
        <w:rPr>
          <w:rFonts w:ascii="Times New Roman" w:hAnsi="Times New Roman" w:cs="Times New Roman"/>
          <w:sz w:val="24"/>
          <w:szCs w:val="24"/>
        </w:rPr>
        <w:t>from ‘my people right or wrong’ to ‘my people as part of the human family’.</w:t>
      </w:r>
      <w:r w:rsidR="00FA47F3" w:rsidRPr="00AE141E">
        <w:rPr>
          <w:rStyle w:val="FootnoteReference"/>
          <w:rFonts w:ascii="Times New Roman" w:hAnsi="Times New Roman" w:cs="Times New Roman"/>
          <w:sz w:val="24"/>
          <w:szCs w:val="24"/>
        </w:rPr>
        <w:footnoteReference w:id="256"/>
      </w:r>
      <w:r w:rsidR="00FA47F3" w:rsidRPr="00AE141E">
        <w:rPr>
          <w:rFonts w:ascii="Times New Roman" w:hAnsi="Times New Roman" w:cs="Times New Roman"/>
          <w:sz w:val="24"/>
          <w:szCs w:val="24"/>
        </w:rPr>
        <w:t xml:space="preserve"> </w:t>
      </w:r>
    </w:p>
    <w:p w14:paraId="15A53529" w14:textId="70E65955" w:rsidR="00617BC7" w:rsidRPr="00AE141E" w:rsidRDefault="00A750A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Barraclough</w:t>
      </w:r>
      <w:r w:rsidR="00B9429C" w:rsidRPr="00AE141E">
        <w:rPr>
          <w:rFonts w:ascii="Times New Roman" w:hAnsi="Times New Roman" w:cs="Times New Roman"/>
          <w:sz w:val="24"/>
          <w:szCs w:val="24"/>
        </w:rPr>
        <w:t xml:space="preserve"> credit</w:t>
      </w:r>
      <w:r w:rsidR="002E68E4" w:rsidRPr="00AE141E">
        <w:rPr>
          <w:rFonts w:ascii="Times New Roman" w:hAnsi="Times New Roman" w:cs="Times New Roman"/>
          <w:sz w:val="24"/>
          <w:szCs w:val="24"/>
        </w:rPr>
        <w:t>ed</w:t>
      </w:r>
      <w:r w:rsidR="00B9429C" w:rsidRPr="00AE141E">
        <w:rPr>
          <w:rFonts w:ascii="Times New Roman" w:hAnsi="Times New Roman" w:cs="Times New Roman"/>
          <w:sz w:val="24"/>
          <w:szCs w:val="24"/>
        </w:rPr>
        <w:t xml:space="preserve"> </w:t>
      </w:r>
      <w:r w:rsidR="00593A34" w:rsidRPr="00AE141E">
        <w:rPr>
          <w:rFonts w:ascii="Times New Roman" w:hAnsi="Times New Roman" w:cs="Times New Roman"/>
          <w:sz w:val="24"/>
          <w:szCs w:val="24"/>
        </w:rPr>
        <w:t xml:space="preserve">school history teachers with </w:t>
      </w:r>
      <w:r w:rsidR="00F348EB" w:rsidRPr="00AE141E">
        <w:rPr>
          <w:rFonts w:ascii="Times New Roman" w:hAnsi="Times New Roman" w:cs="Times New Roman"/>
          <w:sz w:val="24"/>
          <w:szCs w:val="24"/>
        </w:rPr>
        <w:t>pioneering the study</w:t>
      </w:r>
      <w:r w:rsidR="00033F3F" w:rsidRPr="00AE141E">
        <w:rPr>
          <w:rFonts w:ascii="Times New Roman" w:hAnsi="Times New Roman" w:cs="Times New Roman"/>
          <w:sz w:val="24"/>
          <w:szCs w:val="24"/>
        </w:rPr>
        <w:t xml:space="preserve"> of world history</w:t>
      </w:r>
      <w:r w:rsidR="00F348EB" w:rsidRPr="00AE141E">
        <w:rPr>
          <w:rFonts w:ascii="Times New Roman" w:hAnsi="Times New Roman" w:cs="Times New Roman"/>
          <w:sz w:val="24"/>
          <w:szCs w:val="24"/>
        </w:rPr>
        <w:t xml:space="preserve">; </w:t>
      </w:r>
      <w:r w:rsidR="007A7ADE" w:rsidRPr="00AE141E">
        <w:rPr>
          <w:rFonts w:ascii="Times New Roman" w:hAnsi="Times New Roman" w:cs="Times New Roman"/>
          <w:sz w:val="24"/>
          <w:szCs w:val="24"/>
        </w:rPr>
        <w:t xml:space="preserve">disciplinary pressure had </w:t>
      </w:r>
      <w:r w:rsidR="00D00920" w:rsidRPr="00AE141E">
        <w:rPr>
          <w:rFonts w:ascii="Times New Roman" w:hAnsi="Times New Roman" w:cs="Times New Roman"/>
          <w:sz w:val="24"/>
          <w:szCs w:val="24"/>
        </w:rPr>
        <w:t>provoked</w:t>
      </w:r>
      <w:r w:rsidR="007A7ADE" w:rsidRPr="00AE141E">
        <w:rPr>
          <w:rFonts w:ascii="Times New Roman" w:hAnsi="Times New Roman" w:cs="Times New Roman"/>
          <w:sz w:val="24"/>
          <w:szCs w:val="24"/>
        </w:rPr>
        <w:t xml:space="preserve"> immediate innovation</w:t>
      </w:r>
      <w:r w:rsidR="00033F3F" w:rsidRPr="00AE141E">
        <w:rPr>
          <w:rFonts w:ascii="Times New Roman" w:hAnsi="Times New Roman" w:cs="Times New Roman"/>
          <w:sz w:val="24"/>
          <w:szCs w:val="24"/>
        </w:rPr>
        <w:t xml:space="preserve">. </w:t>
      </w:r>
      <w:r w:rsidRPr="00AE141E">
        <w:rPr>
          <w:rFonts w:ascii="Times New Roman" w:hAnsi="Times New Roman" w:cs="Times New Roman"/>
          <w:sz w:val="24"/>
          <w:szCs w:val="24"/>
        </w:rPr>
        <w:t>He</w:t>
      </w:r>
      <w:r w:rsidR="00033F3F" w:rsidRPr="00AE141E">
        <w:rPr>
          <w:rFonts w:ascii="Times New Roman" w:hAnsi="Times New Roman" w:cs="Times New Roman"/>
          <w:sz w:val="24"/>
          <w:szCs w:val="24"/>
        </w:rPr>
        <w:t xml:space="preserve"> </w:t>
      </w:r>
      <w:r w:rsidR="00DF09B3" w:rsidRPr="00AE141E">
        <w:rPr>
          <w:rFonts w:ascii="Times New Roman" w:hAnsi="Times New Roman" w:cs="Times New Roman"/>
          <w:sz w:val="24"/>
          <w:szCs w:val="24"/>
        </w:rPr>
        <w:t>cite</w:t>
      </w:r>
      <w:r w:rsidR="002E68E4" w:rsidRPr="00AE141E">
        <w:rPr>
          <w:rFonts w:ascii="Times New Roman" w:hAnsi="Times New Roman" w:cs="Times New Roman"/>
          <w:sz w:val="24"/>
          <w:szCs w:val="24"/>
        </w:rPr>
        <w:t>d</w:t>
      </w:r>
      <w:r w:rsidR="00DF09B3" w:rsidRPr="00AE141E">
        <w:rPr>
          <w:rFonts w:ascii="Times New Roman" w:hAnsi="Times New Roman" w:cs="Times New Roman"/>
          <w:sz w:val="24"/>
          <w:szCs w:val="24"/>
        </w:rPr>
        <w:t xml:space="preserve"> the </w:t>
      </w:r>
      <w:r w:rsidR="008A4F74" w:rsidRPr="00AE141E">
        <w:rPr>
          <w:rFonts w:ascii="Times New Roman" w:hAnsi="Times New Roman" w:cs="Times New Roman"/>
          <w:sz w:val="24"/>
          <w:szCs w:val="24"/>
        </w:rPr>
        <w:t xml:space="preserve">‘pioneering effort’ of a group of Surrey history teachers who had recently </w:t>
      </w:r>
      <w:r w:rsidR="00044F47" w:rsidRPr="00AE141E">
        <w:rPr>
          <w:rFonts w:ascii="Times New Roman" w:hAnsi="Times New Roman" w:cs="Times New Roman"/>
          <w:sz w:val="24"/>
          <w:szCs w:val="24"/>
        </w:rPr>
        <w:t xml:space="preserve">devised a new General Certificate of Education (GCE) syllabus focusing explicitly on </w:t>
      </w:r>
      <w:r w:rsidR="009341A7" w:rsidRPr="00AE141E">
        <w:rPr>
          <w:rFonts w:ascii="Times New Roman" w:hAnsi="Times New Roman" w:cs="Times New Roman"/>
          <w:sz w:val="24"/>
          <w:szCs w:val="24"/>
        </w:rPr>
        <w:t xml:space="preserve">twentieth century world history, and </w:t>
      </w:r>
      <w:r w:rsidR="00273A5B" w:rsidRPr="00AE141E">
        <w:rPr>
          <w:rFonts w:ascii="Times New Roman" w:hAnsi="Times New Roman" w:cs="Times New Roman"/>
          <w:sz w:val="24"/>
          <w:szCs w:val="24"/>
        </w:rPr>
        <w:t xml:space="preserve">the </w:t>
      </w:r>
      <w:r w:rsidR="00B105C7" w:rsidRPr="00AE141E">
        <w:rPr>
          <w:rFonts w:ascii="Times New Roman" w:hAnsi="Times New Roman" w:cs="Times New Roman"/>
          <w:sz w:val="24"/>
          <w:szCs w:val="24"/>
        </w:rPr>
        <w:t>work of Ministry of Education inspector E.E.Y</w:t>
      </w:r>
      <w:r w:rsidR="00765F66">
        <w:rPr>
          <w:rFonts w:ascii="Times New Roman" w:hAnsi="Times New Roman" w:cs="Times New Roman"/>
          <w:sz w:val="24"/>
          <w:szCs w:val="24"/>
        </w:rPr>
        <w:t>.</w:t>
      </w:r>
      <w:r w:rsidR="00B105C7" w:rsidRPr="00AE141E">
        <w:rPr>
          <w:rFonts w:ascii="Times New Roman" w:hAnsi="Times New Roman" w:cs="Times New Roman"/>
          <w:sz w:val="24"/>
          <w:szCs w:val="24"/>
        </w:rPr>
        <w:t xml:space="preserve"> Hales in convening conferences </w:t>
      </w:r>
      <w:r w:rsidR="007B1A7E" w:rsidRPr="00AE141E">
        <w:rPr>
          <w:rFonts w:ascii="Times New Roman" w:hAnsi="Times New Roman" w:cs="Times New Roman"/>
          <w:sz w:val="24"/>
          <w:szCs w:val="24"/>
        </w:rPr>
        <w:t xml:space="preserve">to </w:t>
      </w:r>
      <w:r w:rsidR="00395180" w:rsidRPr="00AE141E">
        <w:rPr>
          <w:rFonts w:ascii="Times New Roman" w:hAnsi="Times New Roman" w:cs="Times New Roman"/>
          <w:sz w:val="24"/>
          <w:szCs w:val="24"/>
        </w:rPr>
        <w:t>debate</w:t>
      </w:r>
      <w:r w:rsidR="007B1A7E" w:rsidRPr="00AE141E">
        <w:rPr>
          <w:rFonts w:ascii="Times New Roman" w:hAnsi="Times New Roman" w:cs="Times New Roman"/>
          <w:sz w:val="24"/>
          <w:szCs w:val="24"/>
        </w:rPr>
        <w:t xml:space="preserve"> and formulate the new subject.</w:t>
      </w:r>
      <w:r w:rsidR="00395180" w:rsidRPr="00AE141E">
        <w:rPr>
          <w:rStyle w:val="FootnoteReference"/>
          <w:rFonts w:ascii="Times New Roman" w:hAnsi="Times New Roman" w:cs="Times New Roman"/>
          <w:sz w:val="24"/>
          <w:szCs w:val="24"/>
        </w:rPr>
        <w:footnoteReference w:id="257"/>
      </w:r>
      <w:r w:rsidR="00CF7542" w:rsidRPr="00AE141E">
        <w:rPr>
          <w:rFonts w:ascii="Times New Roman" w:hAnsi="Times New Roman" w:cs="Times New Roman"/>
          <w:sz w:val="24"/>
          <w:szCs w:val="24"/>
        </w:rPr>
        <w:t xml:space="preserve"> </w:t>
      </w:r>
      <w:r w:rsidR="002D789C" w:rsidRPr="00AE141E">
        <w:rPr>
          <w:rFonts w:ascii="Times New Roman" w:hAnsi="Times New Roman" w:cs="Times New Roman"/>
          <w:sz w:val="24"/>
          <w:szCs w:val="24"/>
        </w:rPr>
        <w:t>Real c</w:t>
      </w:r>
      <w:r w:rsidR="00072A89" w:rsidRPr="00AE141E">
        <w:rPr>
          <w:rFonts w:ascii="Times New Roman" w:hAnsi="Times New Roman" w:cs="Times New Roman"/>
          <w:sz w:val="24"/>
          <w:szCs w:val="24"/>
        </w:rPr>
        <w:t>hange,</w:t>
      </w:r>
      <w:r w:rsidR="002D789C" w:rsidRPr="00AE141E">
        <w:rPr>
          <w:rFonts w:ascii="Times New Roman" w:hAnsi="Times New Roman" w:cs="Times New Roman"/>
          <w:sz w:val="24"/>
          <w:szCs w:val="24"/>
        </w:rPr>
        <w:t xml:space="preserve"> </w:t>
      </w:r>
      <w:r w:rsidRPr="00AE141E">
        <w:rPr>
          <w:rFonts w:ascii="Times New Roman" w:hAnsi="Times New Roman" w:cs="Times New Roman"/>
          <w:sz w:val="24"/>
          <w:szCs w:val="24"/>
        </w:rPr>
        <w:t>Barra</w:t>
      </w:r>
      <w:r w:rsidR="007E317B" w:rsidRPr="00AE141E">
        <w:rPr>
          <w:rFonts w:ascii="Times New Roman" w:hAnsi="Times New Roman" w:cs="Times New Roman"/>
          <w:sz w:val="24"/>
          <w:szCs w:val="24"/>
        </w:rPr>
        <w:t>clough argue</w:t>
      </w:r>
      <w:r w:rsidR="007B40C0" w:rsidRPr="00AE141E">
        <w:rPr>
          <w:rFonts w:ascii="Times New Roman" w:hAnsi="Times New Roman" w:cs="Times New Roman"/>
          <w:sz w:val="24"/>
          <w:szCs w:val="24"/>
        </w:rPr>
        <w:t>d</w:t>
      </w:r>
      <w:r w:rsidR="002D789C" w:rsidRPr="00AE141E">
        <w:rPr>
          <w:rFonts w:ascii="Times New Roman" w:hAnsi="Times New Roman" w:cs="Times New Roman"/>
          <w:sz w:val="24"/>
          <w:szCs w:val="24"/>
        </w:rPr>
        <w:t>, was coming from ‘</w:t>
      </w:r>
      <w:r w:rsidR="00617BC7" w:rsidRPr="00AE141E">
        <w:rPr>
          <w:rFonts w:ascii="Times New Roman" w:hAnsi="Times New Roman" w:cs="Times New Roman"/>
          <w:sz w:val="24"/>
          <w:szCs w:val="24"/>
        </w:rPr>
        <w:t>those areas where the recondite speculations of academic history have least echo’</w:t>
      </w:r>
      <w:r w:rsidR="002D789C" w:rsidRPr="00AE141E">
        <w:rPr>
          <w:rFonts w:ascii="Times New Roman" w:hAnsi="Times New Roman" w:cs="Times New Roman"/>
          <w:sz w:val="24"/>
          <w:szCs w:val="24"/>
        </w:rPr>
        <w:t xml:space="preserve"> and only then </w:t>
      </w:r>
      <w:r w:rsidR="002D789C" w:rsidRPr="00AE141E">
        <w:rPr>
          <w:rFonts w:ascii="Times New Roman" w:hAnsi="Times New Roman" w:cs="Times New Roman"/>
          <w:sz w:val="24"/>
          <w:szCs w:val="24"/>
        </w:rPr>
        <w:lastRenderedPageBreak/>
        <w:t>percolating through to university curricula</w:t>
      </w:r>
      <w:r w:rsidR="0033646A" w:rsidRPr="00AE141E">
        <w:rPr>
          <w:rFonts w:ascii="Times New Roman" w:hAnsi="Times New Roman" w:cs="Times New Roman"/>
          <w:sz w:val="24"/>
          <w:szCs w:val="24"/>
        </w:rPr>
        <w:t xml:space="preserve"> (with a considerable time-lag in the case of traditionalist </w:t>
      </w:r>
      <w:r w:rsidR="00FE412C" w:rsidRPr="00AE141E">
        <w:rPr>
          <w:rFonts w:ascii="Times New Roman" w:hAnsi="Times New Roman" w:cs="Times New Roman"/>
          <w:sz w:val="24"/>
          <w:szCs w:val="24"/>
        </w:rPr>
        <w:t>institutions such as the University of Cambridge)</w:t>
      </w:r>
      <w:r w:rsidR="002D789C" w:rsidRPr="00AE141E">
        <w:rPr>
          <w:rFonts w:ascii="Times New Roman" w:hAnsi="Times New Roman" w:cs="Times New Roman"/>
          <w:sz w:val="24"/>
          <w:szCs w:val="24"/>
        </w:rPr>
        <w:t>.</w:t>
      </w:r>
    </w:p>
    <w:p w14:paraId="1048FBDA" w14:textId="5E06E0E3" w:rsidR="00A976F7" w:rsidRPr="00AE141E" w:rsidRDefault="008D507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Demands to </w:t>
      </w:r>
      <w:r w:rsidR="00761B77" w:rsidRPr="00AE141E">
        <w:rPr>
          <w:rFonts w:ascii="Times New Roman" w:hAnsi="Times New Roman" w:cs="Times New Roman"/>
          <w:sz w:val="24"/>
          <w:szCs w:val="24"/>
        </w:rPr>
        <w:t>broaden</w:t>
      </w:r>
      <w:r w:rsidRPr="00AE141E">
        <w:rPr>
          <w:rFonts w:ascii="Times New Roman" w:hAnsi="Times New Roman" w:cs="Times New Roman"/>
          <w:sz w:val="24"/>
          <w:szCs w:val="24"/>
        </w:rPr>
        <w:t xml:space="preserve"> the geographical </w:t>
      </w:r>
      <w:r w:rsidR="00761B77" w:rsidRPr="00AE141E">
        <w:rPr>
          <w:rFonts w:ascii="Times New Roman" w:hAnsi="Times New Roman" w:cs="Times New Roman"/>
          <w:sz w:val="24"/>
          <w:szCs w:val="24"/>
        </w:rPr>
        <w:t xml:space="preserve">outlook of history syllabi were </w:t>
      </w:r>
      <w:r w:rsidR="00B66C62" w:rsidRPr="00AE141E">
        <w:rPr>
          <w:rFonts w:ascii="Times New Roman" w:hAnsi="Times New Roman" w:cs="Times New Roman"/>
          <w:sz w:val="24"/>
          <w:szCs w:val="24"/>
        </w:rPr>
        <w:t>accompanied by efforts to extend its temporal scope.</w:t>
      </w:r>
      <w:r w:rsidR="00FF1DB0" w:rsidRPr="00AE141E">
        <w:rPr>
          <w:rFonts w:ascii="Times New Roman" w:hAnsi="Times New Roman" w:cs="Times New Roman"/>
          <w:sz w:val="24"/>
          <w:szCs w:val="24"/>
        </w:rPr>
        <w:t xml:space="preserve"> S</w:t>
      </w:r>
      <w:r w:rsidR="005D517A" w:rsidRPr="00AE141E">
        <w:rPr>
          <w:rFonts w:ascii="Times New Roman" w:hAnsi="Times New Roman" w:cs="Times New Roman"/>
          <w:sz w:val="24"/>
          <w:szCs w:val="24"/>
        </w:rPr>
        <w:t xml:space="preserve">ome </w:t>
      </w:r>
      <w:r w:rsidR="00FF1DB0" w:rsidRPr="00AE141E">
        <w:rPr>
          <w:rFonts w:ascii="Times New Roman" w:hAnsi="Times New Roman" w:cs="Times New Roman"/>
          <w:sz w:val="24"/>
          <w:szCs w:val="24"/>
        </w:rPr>
        <w:t xml:space="preserve">history teachers </w:t>
      </w:r>
      <w:r w:rsidR="005D517A" w:rsidRPr="00AE141E">
        <w:rPr>
          <w:rFonts w:ascii="Times New Roman" w:hAnsi="Times New Roman" w:cs="Times New Roman"/>
          <w:sz w:val="24"/>
          <w:szCs w:val="24"/>
        </w:rPr>
        <w:t xml:space="preserve">believed that the best way to </w:t>
      </w:r>
      <w:r w:rsidR="00C82547" w:rsidRPr="00AE141E">
        <w:rPr>
          <w:rFonts w:ascii="Times New Roman" w:hAnsi="Times New Roman" w:cs="Times New Roman"/>
          <w:sz w:val="24"/>
          <w:szCs w:val="24"/>
        </w:rPr>
        <w:t xml:space="preserve">make </w:t>
      </w:r>
      <w:r w:rsidR="00FF1DB0" w:rsidRPr="00AE141E">
        <w:rPr>
          <w:rFonts w:ascii="Times New Roman" w:hAnsi="Times New Roman" w:cs="Times New Roman"/>
          <w:sz w:val="24"/>
          <w:szCs w:val="24"/>
        </w:rPr>
        <w:t>their subject</w:t>
      </w:r>
      <w:r w:rsidR="00C82547" w:rsidRPr="00AE141E">
        <w:rPr>
          <w:rFonts w:ascii="Times New Roman" w:hAnsi="Times New Roman" w:cs="Times New Roman"/>
          <w:sz w:val="24"/>
          <w:szCs w:val="24"/>
        </w:rPr>
        <w:t xml:space="preserve"> relevant to the next generation was</w:t>
      </w:r>
      <w:r w:rsidR="00645ED7" w:rsidRPr="00AE141E">
        <w:rPr>
          <w:rFonts w:ascii="Times New Roman" w:hAnsi="Times New Roman" w:cs="Times New Roman"/>
          <w:sz w:val="24"/>
          <w:szCs w:val="24"/>
        </w:rPr>
        <w:t xml:space="preserve"> quite</w:t>
      </w:r>
      <w:r w:rsidR="00C82547" w:rsidRPr="00AE141E">
        <w:rPr>
          <w:rFonts w:ascii="Times New Roman" w:hAnsi="Times New Roman" w:cs="Times New Roman"/>
          <w:sz w:val="24"/>
          <w:szCs w:val="24"/>
        </w:rPr>
        <w:t xml:space="preserve"> literally to bring it up to date. </w:t>
      </w:r>
      <w:r w:rsidR="00C324B2" w:rsidRPr="00AE141E">
        <w:rPr>
          <w:rFonts w:ascii="Times New Roman" w:hAnsi="Times New Roman" w:cs="Times New Roman"/>
          <w:sz w:val="24"/>
          <w:szCs w:val="24"/>
        </w:rPr>
        <w:t>Amongst reformers, t</w:t>
      </w:r>
      <w:r w:rsidR="00C82547" w:rsidRPr="00AE141E">
        <w:rPr>
          <w:rFonts w:ascii="Times New Roman" w:hAnsi="Times New Roman" w:cs="Times New Roman"/>
          <w:sz w:val="24"/>
          <w:szCs w:val="24"/>
        </w:rPr>
        <w:t xml:space="preserve">here was widespread recognition that </w:t>
      </w:r>
      <w:r w:rsidR="00BD1182" w:rsidRPr="00AE141E">
        <w:rPr>
          <w:rFonts w:ascii="Times New Roman" w:hAnsi="Times New Roman" w:cs="Times New Roman"/>
          <w:sz w:val="24"/>
          <w:szCs w:val="24"/>
        </w:rPr>
        <w:t>contemporary history was</w:t>
      </w:r>
      <w:r w:rsidR="003D20B9" w:rsidRPr="00AE141E">
        <w:rPr>
          <w:rFonts w:ascii="Times New Roman" w:hAnsi="Times New Roman" w:cs="Times New Roman"/>
          <w:sz w:val="24"/>
          <w:szCs w:val="24"/>
        </w:rPr>
        <w:t xml:space="preserve"> intimately connected to</w:t>
      </w:r>
      <w:r w:rsidR="00A422CC" w:rsidRPr="00AE141E">
        <w:rPr>
          <w:rFonts w:ascii="Times New Roman" w:hAnsi="Times New Roman" w:cs="Times New Roman"/>
          <w:sz w:val="24"/>
          <w:szCs w:val="24"/>
        </w:rPr>
        <w:t xml:space="preserve"> world history.</w:t>
      </w:r>
      <w:r w:rsidR="000B5439" w:rsidRPr="00AE141E">
        <w:rPr>
          <w:rFonts w:ascii="Times New Roman" w:hAnsi="Times New Roman" w:cs="Times New Roman"/>
          <w:sz w:val="24"/>
          <w:szCs w:val="24"/>
        </w:rPr>
        <w:t xml:space="preserve"> </w:t>
      </w:r>
      <w:r w:rsidR="008B1798" w:rsidRPr="00AE141E">
        <w:rPr>
          <w:rFonts w:ascii="Times New Roman" w:hAnsi="Times New Roman" w:cs="Times New Roman"/>
          <w:sz w:val="24"/>
          <w:szCs w:val="24"/>
        </w:rPr>
        <w:t xml:space="preserve">The </w:t>
      </w:r>
      <w:r w:rsidR="0082244B" w:rsidRPr="00AE141E">
        <w:rPr>
          <w:rFonts w:ascii="Times New Roman" w:hAnsi="Times New Roman" w:cs="Times New Roman"/>
          <w:i/>
          <w:sz w:val="24"/>
          <w:szCs w:val="24"/>
        </w:rPr>
        <w:t xml:space="preserve">Handbook for History Teachers </w:t>
      </w:r>
      <w:r w:rsidR="0082244B" w:rsidRPr="00AE141E">
        <w:rPr>
          <w:rFonts w:ascii="Times New Roman" w:hAnsi="Times New Roman" w:cs="Times New Roman"/>
          <w:sz w:val="24"/>
          <w:szCs w:val="24"/>
        </w:rPr>
        <w:t>noted that</w:t>
      </w:r>
      <w:r w:rsidR="00A616FF" w:rsidRPr="00AE141E">
        <w:rPr>
          <w:rFonts w:ascii="Times New Roman" w:hAnsi="Times New Roman" w:cs="Times New Roman"/>
          <w:sz w:val="24"/>
          <w:szCs w:val="24"/>
        </w:rPr>
        <w:t xml:space="preserve"> the preceding decade had ‘witnessed a powerful movement to introduce twentieth century history into the syllabuses of secondary schools</w:t>
      </w:r>
      <w:r w:rsidR="003D20B9" w:rsidRPr="00AE141E">
        <w:rPr>
          <w:rFonts w:ascii="Times New Roman" w:hAnsi="Times New Roman" w:cs="Times New Roman"/>
          <w:sz w:val="24"/>
          <w:szCs w:val="24"/>
        </w:rPr>
        <w:t xml:space="preserve"> […]</w:t>
      </w:r>
      <w:r w:rsidR="00A616FF" w:rsidRPr="00AE141E">
        <w:rPr>
          <w:rFonts w:ascii="Times New Roman" w:hAnsi="Times New Roman" w:cs="Times New Roman"/>
          <w:sz w:val="24"/>
          <w:szCs w:val="24"/>
        </w:rPr>
        <w:t xml:space="preserve"> and the enthusiasts for such work recognized that any effective study of the</w:t>
      </w:r>
      <w:r w:rsidR="00CD7638" w:rsidRPr="00AE141E">
        <w:rPr>
          <w:rFonts w:ascii="Times New Roman" w:hAnsi="Times New Roman" w:cs="Times New Roman"/>
          <w:sz w:val="24"/>
          <w:szCs w:val="24"/>
        </w:rPr>
        <w:t xml:space="preserve"> century must</w:t>
      </w:r>
      <w:r w:rsidR="00A616FF" w:rsidRPr="00AE141E">
        <w:rPr>
          <w:rFonts w:ascii="Times New Roman" w:hAnsi="Times New Roman" w:cs="Times New Roman"/>
          <w:sz w:val="24"/>
          <w:szCs w:val="24"/>
        </w:rPr>
        <w:t xml:space="preserve"> be global in perspective</w:t>
      </w:r>
      <w:r w:rsidR="003D20B9" w:rsidRPr="00AE141E">
        <w:rPr>
          <w:rFonts w:ascii="Times New Roman" w:hAnsi="Times New Roman" w:cs="Times New Roman"/>
          <w:sz w:val="24"/>
          <w:szCs w:val="24"/>
        </w:rPr>
        <w:t>’</w:t>
      </w:r>
      <w:r w:rsidR="00A616FF" w:rsidRPr="00AE141E">
        <w:rPr>
          <w:rFonts w:ascii="Times New Roman" w:hAnsi="Times New Roman" w:cs="Times New Roman"/>
          <w:sz w:val="24"/>
          <w:szCs w:val="24"/>
        </w:rPr>
        <w:t>.</w:t>
      </w:r>
      <w:r w:rsidR="00AD77C6" w:rsidRPr="00AE141E">
        <w:rPr>
          <w:rStyle w:val="FootnoteReference"/>
          <w:rFonts w:ascii="Times New Roman" w:hAnsi="Times New Roman" w:cs="Times New Roman"/>
          <w:sz w:val="24"/>
          <w:szCs w:val="24"/>
        </w:rPr>
        <w:footnoteReference w:id="258"/>
      </w:r>
      <w:r w:rsidR="003D20B9" w:rsidRPr="00AE141E">
        <w:rPr>
          <w:rFonts w:ascii="Times New Roman" w:hAnsi="Times New Roman" w:cs="Times New Roman"/>
          <w:sz w:val="24"/>
          <w:szCs w:val="24"/>
        </w:rPr>
        <w:t xml:space="preserve"> </w:t>
      </w:r>
      <w:r w:rsidR="00960D75" w:rsidRPr="00AE141E">
        <w:rPr>
          <w:rFonts w:ascii="Times New Roman" w:hAnsi="Times New Roman" w:cs="Times New Roman"/>
          <w:sz w:val="24"/>
          <w:szCs w:val="24"/>
        </w:rPr>
        <w:t xml:space="preserve">A </w:t>
      </w:r>
      <w:r w:rsidR="00332667" w:rsidRPr="00AE141E">
        <w:rPr>
          <w:rFonts w:ascii="Times New Roman" w:hAnsi="Times New Roman" w:cs="Times New Roman"/>
          <w:sz w:val="24"/>
          <w:szCs w:val="24"/>
        </w:rPr>
        <w:t xml:space="preserve">DES </w:t>
      </w:r>
      <w:r w:rsidR="00960D75" w:rsidRPr="00AE141E">
        <w:rPr>
          <w:rFonts w:ascii="Times New Roman" w:hAnsi="Times New Roman" w:cs="Times New Roman"/>
          <w:sz w:val="24"/>
          <w:szCs w:val="24"/>
        </w:rPr>
        <w:t>publication</w:t>
      </w:r>
      <w:r w:rsidR="008069AF" w:rsidRPr="00AE141E">
        <w:rPr>
          <w:rFonts w:ascii="Times New Roman" w:hAnsi="Times New Roman" w:cs="Times New Roman"/>
          <w:sz w:val="24"/>
          <w:szCs w:val="24"/>
        </w:rPr>
        <w:t xml:space="preserve">, </w:t>
      </w:r>
      <w:r w:rsidR="008069AF" w:rsidRPr="00AE141E">
        <w:rPr>
          <w:rFonts w:ascii="Times New Roman" w:hAnsi="Times New Roman" w:cs="Times New Roman"/>
          <w:i/>
          <w:sz w:val="24"/>
          <w:szCs w:val="24"/>
        </w:rPr>
        <w:t>Towards World History</w:t>
      </w:r>
      <w:r w:rsidR="002B48FA" w:rsidRPr="00AE141E">
        <w:rPr>
          <w:rFonts w:ascii="Times New Roman" w:hAnsi="Times New Roman" w:cs="Times New Roman"/>
          <w:i/>
          <w:sz w:val="24"/>
          <w:szCs w:val="24"/>
        </w:rPr>
        <w:t>,</w:t>
      </w:r>
      <w:r w:rsidR="00960D75" w:rsidRPr="00AE141E">
        <w:rPr>
          <w:rFonts w:ascii="Times New Roman" w:hAnsi="Times New Roman" w:cs="Times New Roman"/>
          <w:sz w:val="24"/>
          <w:szCs w:val="24"/>
        </w:rPr>
        <w:t xml:space="preserve"> was</w:t>
      </w:r>
      <w:r w:rsidR="003908EC" w:rsidRPr="00AE141E">
        <w:rPr>
          <w:rFonts w:ascii="Times New Roman" w:hAnsi="Times New Roman" w:cs="Times New Roman"/>
          <w:sz w:val="24"/>
          <w:szCs w:val="24"/>
        </w:rPr>
        <w:t xml:space="preserve"> unequivocal in its analysis</w:t>
      </w:r>
      <w:r w:rsidR="008069AF" w:rsidRPr="00AE141E">
        <w:rPr>
          <w:rFonts w:ascii="Times New Roman" w:hAnsi="Times New Roman" w:cs="Times New Roman"/>
          <w:sz w:val="24"/>
          <w:szCs w:val="24"/>
        </w:rPr>
        <w:t xml:space="preserve">; </w:t>
      </w:r>
      <w:r w:rsidR="002B48FA" w:rsidRPr="00AE141E">
        <w:rPr>
          <w:rFonts w:ascii="Times New Roman" w:hAnsi="Times New Roman" w:cs="Times New Roman"/>
          <w:sz w:val="24"/>
          <w:szCs w:val="24"/>
        </w:rPr>
        <w:t xml:space="preserve">it </w:t>
      </w:r>
      <w:r w:rsidR="000B0942" w:rsidRPr="00AE141E">
        <w:rPr>
          <w:rFonts w:ascii="Times New Roman" w:hAnsi="Times New Roman" w:cs="Times New Roman"/>
          <w:sz w:val="24"/>
          <w:szCs w:val="24"/>
        </w:rPr>
        <w:t>inform</w:t>
      </w:r>
      <w:r w:rsidR="008069AF" w:rsidRPr="00AE141E">
        <w:rPr>
          <w:rFonts w:ascii="Times New Roman" w:hAnsi="Times New Roman" w:cs="Times New Roman"/>
          <w:sz w:val="24"/>
          <w:szCs w:val="24"/>
        </w:rPr>
        <w:t>ed</w:t>
      </w:r>
      <w:r w:rsidR="000B0942" w:rsidRPr="00AE141E">
        <w:rPr>
          <w:rFonts w:ascii="Times New Roman" w:hAnsi="Times New Roman" w:cs="Times New Roman"/>
          <w:sz w:val="24"/>
          <w:szCs w:val="24"/>
        </w:rPr>
        <w:t xml:space="preserve"> teachers that</w:t>
      </w:r>
    </w:p>
    <w:p w14:paraId="28E691FE" w14:textId="6044EC0C" w:rsidR="00A976F7" w:rsidRPr="00AE141E" w:rsidRDefault="000B0942"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twentieth century history </w:t>
      </w:r>
      <w:r w:rsidRPr="00AE141E">
        <w:rPr>
          <w:rFonts w:ascii="Times New Roman" w:hAnsi="Times New Roman" w:cs="Times New Roman"/>
          <w:i/>
          <w:sz w:val="24"/>
          <w:szCs w:val="24"/>
        </w:rPr>
        <w:t xml:space="preserve">is </w:t>
      </w:r>
      <w:r w:rsidRPr="00AE141E">
        <w:rPr>
          <w:rFonts w:ascii="Times New Roman" w:hAnsi="Times New Roman" w:cs="Times New Roman"/>
          <w:sz w:val="24"/>
          <w:szCs w:val="24"/>
        </w:rPr>
        <w:t xml:space="preserve">world history, with </w:t>
      </w:r>
      <w:r w:rsidR="00634037" w:rsidRPr="00AE141E">
        <w:rPr>
          <w:rFonts w:ascii="Times New Roman" w:hAnsi="Times New Roman" w:cs="Times New Roman"/>
          <w:sz w:val="24"/>
          <w:szCs w:val="24"/>
        </w:rPr>
        <w:t xml:space="preserve">the result that the new and considerable attention which our schools are beginning to give to it appears </w:t>
      </w:r>
      <w:r w:rsidR="008B7830" w:rsidRPr="00AE141E">
        <w:rPr>
          <w:rFonts w:ascii="Times New Roman" w:hAnsi="Times New Roman" w:cs="Times New Roman"/>
          <w:sz w:val="24"/>
          <w:szCs w:val="24"/>
        </w:rPr>
        <w:t xml:space="preserve">to be providing the catalyst by which the insularity of our syllabuses </w:t>
      </w:r>
      <w:r w:rsidR="00DD5854" w:rsidRPr="00AE141E">
        <w:rPr>
          <w:rFonts w:ascii="Times New Roman" w:hAnsi="Times New Roman" w:cs="Times New Roman"/>
          <w:sz w:val="24"/>
          <w:szCs w:val="24"/>
        </w:rPr>
        <w:t>may be dissolved [</w:t>
      </w:r>
      <w:r w:rsidR="004719F9" w:rsidRPr="00AE141E">
        <w:rPr>
          <w:rFonts w:ascii="Times New Roman" w:hAnsi="Times New Roman" w:cs="Times New Roman"/>
          <w:sz w:val="24"/>
          <w:szCs w:val="24"/>
        </w:rPr>
        <w:t xml:space="preserve">emphasis in </w:t>
      </w:r>
      <w:r w:rsidR="00723C02" w:rsidRPr="00AE141E">
        <w:rPr>
          <w:rFonts w:ascii="Times New Roman" w:hAnsi="Times New Roman" w:cs="Times New Roman"/>
          <w:sz w:val="24"/>
          <w:szCs w:val="24"/>
        </w:rPr>
        <w:t>original]</w:t>
      </w:r>
      <w:r w:rsidR="00DD5854" w:rsidRPr="00AE141E">
        <w:rPr>
          <w:rFonts w:ascii="Times New Roman" w:hAnsi="Times New Roman" w:cs="Times New Roman"/>
          <w:sz w:val="24"/>
          <w:szCs w:val="24"/>
        </w:rPr>
        <w:t>.</w:t>
      </w:r>
      <w:r w:rsidR="00A976F7" w:rsidRPr="00AE141E">
        <w:rPr>
          <w:rStyle w:val="FootnoteReference"/>
          <w:rFonts w:ascii="Times New Roman" w:hAnsi="Times New Roman" w:cs="Times New Roman"/>
          <w:sz w:val="24"/>
          <w:szCs w:val="24"/>
        </w:rPr>
        <w:footnoteReference w:id="259"/>
      </w:r>
      <w:r w:rsidR="00DD5854" w:rsidRPr="00AE141E">
        <w:rPr>
          <w:rFonts w:ascii="Times New Roman" w:hAnsi="Times New Roman" w:cs="Times New Roman"/>
          <w:sz w:val="24"/>
          <w:szCs w:val="24"/>
        </w:rPr>
        <w:t xml:space="preserve"> </w:t>
      </w:r>
    </w:p>
    <w:p w14:paraId="0B3DC000" w14:textId="15A331FC" w:rsidR="00A616FF" w:rsidRPr="00AE141E" w:rsidRDefault="008D2A7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Both publications express</w:t>
      </w:r>
      <w:r w:rsidR="00735B47" w:rsidRPr="00AE141E">
        <w:rPr>
          <w:rFonts w:ascii="Times New Roman" w:hAnsi="Times New Roman" w:cs="Times New Roman"/>
          <w:sz w:val="24"/>
          <w:szCs w:val="24"/>
        </w:rPr>
        <w:t>ed</w:t>
      </w:r>
      <w:r w:rsidRPr="00AE141E">
        <w:rPr>
          <w:rFonts w:ascii="Times New Roman" w:hAnsi="Times New Roman" w:cs="Times New Roman"/>
          <w:sz w:val="24"/>
          <w:szCs w:val="24"/>
        </w:rPr>
        <w:t xml:space="preserve"> hope that tolerance and </w:t>
      </w:r>
      <w:r w:rsidR="00C56056" w:rsidRPr="00AE141E">
        <w:rPr>
          <w:rFonts w:ascii="Times New Roman" w:hAnsi="Times New Roman" w:cs="Times New Roman"/>
          <w:sz w:val="24"/>
          <w:szCs w:val="24"/>
        </w:rPr>
        <w:t>international understanding would be promoted by th</w:t>
      </w:r>
      <w:r w:rsidR="00BD2953" w:rsidRPr="00AE141E">
        <w:rPr>
          <w:rFonts w:ascii="Times New Roman" w:hAnsi="Times New Roman" w:cs="Times New Roman"/>
          <w:sz w:val="24"/>
          <w:szCs w:val="24"/>
        </w:rPr>
        <w:t>is decline in historical insularity.</w:t>
      </w:r>
    </w:p>
    <w:p w14:paraId="58A8FF4B" w14:textId="3ADBC3F1" w:rsidR="0033114D" w:rsidRPr="00AE141E" w:rsidRDefault="00551CB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w:t>
      </w:r>
      <w:r w:rsidR="00BD2953" w:rsidRPr="00AE141E">
        <w:rPr>
          <w:rFonts w:ascii="Times New Roman" w:hAnsi="Times New Roman" w:cs="Times New Roman"/>
          <w:sz w:val="24"/>
          <w:szCs w:val="24"/>
        </w:rPr>
        <w:t xml:space="preserve">mplicit </w:t>
      </w:r>
      <w:r w:rsidR="00EF7BBC" w:rsidRPr="00AE141E">
        <w:rPr>
          <w:rFonts w:ascii="Times New Roman" w:hAnsi="Times New Roman" w:cs="Times New Roman"/>
          <w:sz w:val="24"/>
          <w:szCs w:val="24"/>
        </w:rPr>
        <w:t xml:space="preserve">within </w:t>
      </w:r>
      <w:r w:rsidR="006B6859" w:rsidRPr="00AE141E">
        <w:rPr>
          <w:rFonts w:ascii="Times New Roman" w:hAnsi="Times New Roman" w:cs="Times New Roman"/>
          <w:sz w:val="24"/>
          <w:szCs w:val="24"/>
        </w:rPr>
        <w:t>such</w:t>
      </w:r>
      <w:r w:rsidR="00E220A4" w:rsidRPr="00AE141E">
        <w:rPr>
          <w:rFonts w:ascii="Times New Roman" w:hAnsi="Times New Roman" w:cs="Times New Roman"/>
          <w:sz w:val="24"/>
          <w:szCs w:val="24"/>
        </w:rPr>
        <w:t xml:space="preserve"> statements of support for contemporary histo</w:t>
      </w:r>
      <w:r w:rsidR="006B6859" w:rsidRPr="00AE141E">
        <w:rPr>
          <w:rFonts w:ascii="Times New Roman" w:hAnsi="Times New Roman" w:cs="Times New Roman"/>
          <w:sz w:val="24"/>
          <w:szCs w:val="24"/>
        </w:rPr>
        <w:t xml:space="preserve">ry </w:t>
      </w:r>
      <w:r w:rsidR="00475E2B" w:rsidRPr="00AE141E">
        <w:rPr>
          <w:rFonts w:ascii="Times New Roman" w:hAnsi="Times New Roman" w:cs="Times New Roman"/>
          <w:sz w:val="24"/>
          <w:szCs w:val="24"/>
        </w:rPr>
        <w:t>was</w:t>
      </w:r>
      <w:r w:rsidR="00EF7BBC" w:rsidRPr="00AE141E">
        <w:rPr>
          <w:rFonts w:ascii="Times New Roman" w:hAnsi="Times New Roman" w:cs="Times New Roman"/>
          <w:sz w:val="24"/>
          <w:szCs w:val="24"/>
        </w:rPr>
        <w:t xml:space="preserve"> a </w:t>
      </w:r>
      <w:r w:rsidR="005F599B" w:rsidRPr="00AE141E">
        <w:rPr>
          <w:rFonts w:ascii="Times New Roman" w:hAnsi="Times New Roman" w:cs="Times New Roman"/>
          <w:sz w:val="24"/>
          <w:szCs w:val="24"/>
        </w:rPr>
        <w:t xml:space="preserve">denial of global interconnectedness prior to the </w:t>
      </w:r>
      <w:r w:rsidR="00857905" w:rsidRPr="00AE141E">
        <w:rPr>
          <w:rFonts w:ascii="Times New Roman" w:hAnsi="Times New Roman" w:cs="Times New Roman"/>
          <w:sz w:val="24"/>
          <w:szCs w:val="24"/>
        </w:rPr>
        <w:t>twentieth</w:t>
      </w:r>
      <w:r w:rsidR="005F599B" w:rsidRPr="00AE141E">
        <w:rPr>
          <w:rFonts w:ascii="Times New Roman" w:hAnsi="Times New Roman" w:cs="Times New Roman"/>
          <w:sz w:val="24"/>
          <w:szCs w:val="24"/>
        </w:rPr>
        <w:t xml:space="preserve"> century</w:t>
      </w:r>
      <w:r w:rsidR="008D2CA9" w:rsidRPr="00AE141E">
        <w:rPr>
          <w:rFonts w:ascii="Times New Roman" w:hAnsi="Times New Roman" w:cs="Times New Roman"/>
          <w:sz w:val="24"/>
          <w:szCs w:val="24"/>
        </w:rPr>
        <w:t xml:space="preserve"> – a denial</w:t>
      </w:r>
      <w:r w:rsidR="00EF7BBC" w:rsidRPr="00AE141E">
        <w:rPr>
          <w:rFonts w:ascii="Times New Roman" w:hAnsi="Times New Roman" w:cs="Times New Roman"/>
          <w:sz w:val="24"/>
          <w:szCs w:val="24"/>
        </w:rPr>
        <w:t xml:space="preserve"> which</w:t>
      </w:r>
      <w:r w:rsidR="00162E80" w:rsidRPr="00AE141E">
        <w:rPr>
          <w:rFonts w:ascii="Times New Roman" w:hAnsi="Times New Roman" w:cs="Times New Roman"/>
          <w:sz w:val="24"/>
          <w:szCs w:val="24"/>
        </w:rPr>
        <w:t xml:space="preserve"> might be </w:t>
      </w:r>
      <w:r w:rsidR="00AA1D18" w:rsidRPr="00AE141E">
        <w:rPr>
          <w:rFonts w:ascii="Times New Roman" w:hAnsi="Times New Roman" w:cs="Times New Roman"/>
          <w:sz w:val="24"/>
          <w:szCs w:val="24"/>
        </w:rPr>
        <w:t xml:space="preserve">understood as a </w:t>
      </w:r>
      <w:r w:rsidR="00810345" w:rsidRPr="00AE141E">
        <w:rPr>
          <w:rFonts w:ascii="Times New Roman" w:hAnsi="Times New Roman" w:cs="Times New Roman"/>
          <w:sz w:val="24"/>
          <w:szCs w:val="24"/>
        </w:rPr>
        <w:t xml:space="preserve">forgetting and erasure of the relations of imperial domination which characterised </w:t>
      </w:r>
      <w:r w:rsidR="00BD564B" w:rsidRPr="00AE141E">
        <w:rPr>
          <w:rFonts w:ascii="Times New Roman" w:hAnsi="Times New Roman" w:cs="Times New Roman"/>
          <w:sz w:val="24"/>
          <w:szCs w:val="24"/>
        </w:rPr>
        <w:t>British</w:t>
      </w:r>
      <w:r w:rsidR="00C458A2" w:rsidRPr="00AE141E">
        <w:rPr>
          <w:rFonts w:ascii="Times New Roman" w:hAnsi="Times New Roman" w:cs="Times New Roman"/>
          <w:sz w:val="24"/>
          <w:szCs w:val="24"/>
        </w:rPr>
        <w:t xml:space="preserve"> relations with </w:t>
      </w:r>
      <w:r w:rsidR="00284E99" w:rsidRPr="00AE141E">
        <w:rPr>
          <w:rFonts w:ascii="Times New Roman" w:hAnsi="Times New Roman" w:cs="Times New Roman"/>
          <w:sz w:val="24"/>
          <w:szCs w:val="24"/>
        </w:rPr>
        <w:t xml:space="preserve">non-European </w:t>
      </w:r>
      <w:r w:rsidR="001F382E" w:rsidRPr="00AE141E">
        <w:rPr>
          <w:rFonts w:ascii="Times New Roman" w:hAnsi="Times New Roman" w:cs="Times New Roman"/>
          <w:sz w:val="24"/>
          <w:szCs w:val="24"/>
        </w:rPr>
        <w:t xml:space="preserve">polities from at least the </w:t>
      </w:r>
      <w:r w:rsidR="00AC510B" w:rsidRPr="00AE141E">
        <w:rPr>
          <w:rFonts w:ascii="Times New Roman" w:hAnsi="Times New Roman" w:cs="Times New Roman"/>
          <w:sz w:val="24"/>
          <w:szCs w:val="24"/>
        </w:rPr>
        <w:t>sixteenth</w:t>
      </w:r>
      <w:r w:rsidR="00497067" w:rsidRPr="00AE141E">
        <w:rPr>
          <w:rFonts w:ascii="Times New Roman" w:hAnsi="Times New Roman" w:cs="Times New Roman"/>
          <w:sz w:val="24"/>
          <w:szCs w:val="24"/>
        </w:rPr>
        <w:t xml:space="preserve"> century onwards.</w:t>
      </w:r>
      <w:r w:rsidR="002D14F3" w:rsidRPr="00AE141E">
        <w:rPr>
          <w:rStyle w:val="FootnoteReference"/>
          <w:rFonts w:ascii="Times New Roman" w:hAnsi="Times New Roman" w:cs="Times New Roman"/>
          <w:sz w:val="24"/>
          <w:szCs w:val="24"/>
        </w:rPr>
        <w:footnoteReference w:id="260"/>
      </w:r>
      <w:r w:rsidR="0076775F" w:rsidRPr="00AE141E">
        <w:rPr>
          <w:rStyle w:val="FootnoteReference"/>
          <w:rFonts w:ascii="Times New Roman" w:hAnsi="Times New Roman" w:cs="Times New Roman"/>
          <w:sz w:val="24"/>
          <w:szCs w:val="24"/>
        </w:rPr>
        <w:t xml:space="preserve"> </w:t>
      </w:r>
      <w:r w:rsidR="00DB3E86" w:rsidRPr="00AE141E">
        <w:rPr>
          <w:rFonts w:ascii="Times New Roman" w:hAnsi="Times New Roman" w:cs="Times New Roman"/>
          <w:sz w:val="24"/>
          <w:szCs w:val="24"/>
        </w:rPr>
        <w:t xml:space="preserve">Especially when viewed from the perspective of the colonised, the British empire could not be </w:t>
      </w:r>
      <w:r w:rsidR="00717E7E" w:rsidRPr="00AE141E">
        <w:rPr>
          <w:rFonts w:ascii="Times New Roman" w:hAnsi="Times New Roman" w:cs="Times New Roman"/>
          <w:sz w:val="24"/>
          <w:szCs w:val="24"/>
        </w:rPr>
        <w:t>identified</w:t>
      </w:r>
      <w:r w:rsidR="00DB3E86" w:rsidRPr="00AE141E">
        <w:rPr>
          <w:rFonts w:ascii="Times New Roman" w:hAnsi="Times New Roman" w:cs="Times New Roman"/>
          <w:sz w:val="24"/>
          <w:szCs w:val="24"/>
        </w:rPr>
        <w:t xml:space="preserve"> as anything other than a</w:t>
      </w:r>
      <w:r w:rsidR="00325070" w:rsidRPr="00AE141E">
        <w:rPr>
          <w:rFonts w:ascii="Times New Roman" w:hAnsi="Times New Roman" w:cs="Times New Roman"/>
          <w:sz w:val="24"/>
          <w:szCs w:val="24"/>
        </w:rPr>
        <w:t>n</w:t>
      </w:r>
      <w:r w:rsidR="00BB1B39" w:rsidRPr="00AE141E">
        <w:rPr>
          <w:rFonts w:ascii="Times New Roman" w:hAnsi="Times New Roman" w:cs="Times New Roman"/>
          <w:sz w:val="24"/>
          <w:szCs w:val="24"/>
        </w:rPr>
        <w:t xml:space="preserve"> extractive, exploitative</w:t>
      </w:r>
      <w:r w:rsidR="00460F40" w:rsidRPr="00AE141E">
        <w:rPr>
          <w:rFonts w:ascii="Times New Roman" w:hAnsi="Times New Roman" w:cs="Times New Roman"/>
          <w:sz w:val="24"/>
          <w:szCs w:val="24"/>
        </w:rPr>
        <w:t xml:space="preserve"> </w:t>
      </w:r>
      <w:r w:rsidR="00325070" w:rsidRPr="00AE141E">
        <w:rPr>
          <w:rFonts w:ascii="Times New Roman" w:hAnsi="Times New Roman" w:cs="Times New Roman"/>
          <w:sz w:val="24"/>
          <w:szCs w:val="24"/>
        </w:rPr>
        <w:t>experiment in the global projection of power</w:t>
      </w:r>
      <w:r w:rsidR="002F291B" w:rsidRPr="00AE141E">
        <w:rPr>
          <w:rFonts w:ascii="Times New Roman" w:hAnsi="Times New Roman" w:cs="Times New Roman"/>
          <w:sz w:val="24"/>
          <w:szCs w:val="24"/>
        </w:rPr>
        <w:t xml:space="preserve">, in which the metropole was enriched at the expense of </w:t>
      </w:r>
      <w:r w:rsidR="007D79DA" w:rsidRPr="00AE141E">
        <w:rPr>
          <w:rFonts w:ascii="Times New Roman" w:hAnsi="Times New Roman" w:cs="Times New Roman"/>
          <w:sz w:val="24"/>
          <w:szCs w:val="24"/>
        </w:rPr>
        <w:t xml:space="preserve">the very </w:t>
      </w:r>
      <w:r w:rsidR="007D79DA" w:rsidRPr="00AE141E">
        <w:rPr>
          <w:rFonts w:ascii="Times New Roman" w:hAnsi="Times New Roman" w:cs="Times New Roman"/>
          <w:sz w:val="24"/>
          <w:szCs w:val="24"/>
        </w:rPr>
        <w:lastRenderedPageBreak/>
        <w:t>humanity of those it created as racial ‘Others’</w:t>
      </w:r>
      <w:r w:rsidR="00325070" w:rsidRPr="00AE141E">
        <w:rPr>
          <w:rFonts w:ascii="Times New Roman" w:hAnsi="Times New Roman" w:cs="Times New Roman"/>
          <w:sz w:val="24"/>
          <w:szCs w:val="24"/>
        </w:rPr>
        <w:t>.</w:t>
      </w:r>
      <w:r w:rsidR="002B4FF4" w:rsidRPr="00AE141E">
        <w:rPr>
          <w:rStyle w:val="FootnoteReference"/>
          <w:rFonts w:ascii="Times New Roman" w:hAnsi="Times New Roman" w:cs="Times New Roman"/>
          <w:sz w:val="24"/>
          <w:szCs w:val="24"/>
        </w:rPr>
        <w:footnoteReference w:id="261"/>
      </w:r>
      <w:r w:rsidR="0033114D" w:rsidRPr="00AE141E">
        <w:rPr>
          <w:rFonts w:ascii="Times New Roman" w:hAnsi="Times New Roman" w:cs="Times New Roman"/>
          <w:sz w:val="24"/>
          <w:szCs w:val="24"/>
        </w:rPr>
        <w:t xml:space="preserve"> </w:t>
      </w:r>
      <w:r w:rsidR="000E3294" w:rsidRPr="00AE141E">
        <w:rPr>
          <w:rFonts w:ascii="Times New Roman" w:hAnsi="Times New Roman" w:cs="Times New Roman"/>
          <w:sz w:val="24"/>
          <w:szCs w:val="24"/>
        </w:rPr>
        <w:t>Thes</w:t>
      </w:r>
      <w:r w:rsidR="00402CB8" w:rsidRPr="00AE141E">
        <w:rPr>
          <w:rFonts w:ascii="Times New Roman" w:hAnsi="Times New Roman" w:cs="Times New Roman"/>
          <w:sz w:val="24"/>
          <w:szCs w:val="24"/>
        </w:rPr>
        <w:t xml:space="preserve">e silences speak to a broader </w:t>
      </w:r>
      <w:r w:rsidR="00DF7152" w:rsidRPr="00AE141E">
        <w:rPr>
          <w:rFonts w:ascii="Times New Roman" w:hAnsi="Times New Roman" w:cs="Times New Roman"/>
          <w:sz w:val="24"/>
          <w:szCs w:val="24"/>
        </w:rPr>
        <w:t>failure of critical engagement with histories of empire within the new discipline of world history.</w:t>
      </w:r>
      <w:r w:rsidR="00046D37" w:rsidRPr="00AE141E">
        <w:rPr>
          <w:rFonts w:ascii="Times New Roman" w:hAnsi="Times New Roman" w:cs="Times New Roman"/>
          <w:sz w:val="24"/>
          <w:szCs w:val="24"/>
        </w:rPr>
        <w:t xml:space="preserve"> </w:t>
      </w:r>
    </w:p>
    <w:p w14:paraId="476858C6" w14:textId="262F2DC9" w:rsidR="008D2CA9" w:rsidRPr="00AE141E" w:rsidRDefault="0050776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Texts promoting the discipline to schools frequently </w:t>
      </w:r>
      <w:r w:rsidR="009E6C75">
        <w:rPr>
          <w:rFonts w:ascii="Times New Roman" w:hAnsi="Times New Roman" w:cs="Times New Roman"/>
          <w:sz w:val="24"/>
          <w:szCs w:val="24"/>
        </w:rPr>
        <w:t>claimed</w:t>
      </w:r>
      <w:r w:rsidR="00017C0D" w:rsidRPr="00AE141E">
        <w:rPr>
          <w:rFonts w:ascii="Times New Roman" w:hAnsi="Times New Roman" w:cs="Times New Roman"/>
          <w:sz w:val="24"/>
          <w:szCs w:val="24"/>
        </w:rPr>
        <w:t xml:space="preserve"> to mark a break with </w:t>
      </w:r>
      <w:r w:rsidR="00E30B79" w:rsidRPr="00AE141E">
        <w:rPr>
          <w:rFonts w:ascii="Times New Roman" w:hAnsi="Times New Roman" w:cs="Times New Roman"/>
          <w:sz w:val="24"/>
          <w:szCs w:val="24"/>
        </w:rPr>
        <w:t xml:space="preserve">the past in their </w:t>
      </w:r>
      <w:r w:rsidR="0012147E" w:rsidRPr="00AE141E">
        <w:rPr>
          <w:rFonts w:ascii="Times New Roman" w:hAnsi="Times New Roman" w:cs="Times New Roman"/>
          <w:sz w:val="24"/>
          <w:szCs w:val="24"/>
        </w:rPr>
        <w:t>descriptions of empire</w:t>
      </w:r>
      <w:r w:rsidR="00A77691" w:rsidRPr="00AE141E">
        <w:rPr>
          <w:rFonts w:ascii="Times New Roman" w:hAnsi="Times New Roman" w:cs="Times New Roman"/>
          <w:sz w:val="24"/>
          <w:szCs w:val="24"/>
        </w:rPr>
        <w:t>.</w:t>
      </w:r>
      <w:r w:rsidR="00687C77">
        <w:rPr>
          <w:rFonts w:ascii="Times New Roman" w:hAnsi="Times New Roman" w:cs="Times New Roman"/>
          <w:sz w:val="24"/>
          <w:szCs w:val="24"/>
        </w:rPr>
        <w:t xml:space="preserve"> </w:t>
      </w:r>
      <w:r w:rsidR="00981FE0">
        <w:rPr>
          <w:rFonts w:ascii="Times New Roman" w:hAnsi="Times New Roman" w:cs="Times New Roman"/>
          <w:sz w:val="24"/>
          <w:szCs w:val="24"/>
        </w:rPr>
        <w:t>Various contributions</w:t>
      </w:r>
      <w:r w:rsidR="00687C77">
        <w:rPr>
          <w:rFonts w:ascii="Times New Roman" w:hAnsi="Times New Roman" w:cs="Times New Roman"/>
          <w:sz w:val="24"/>
          <w:szCs w:val="24"/>
        </w:rPr>
        <w:t xml:space="preserve"> </w:t>
      </w:r>
      <w:r w:rsidR="00222D5E">
        <w:rPr>
          <w:rFonts w:ascii="Times New Roman" w:hAnsi="Times New Roman" w:cs="Times New Roman"/>
          <w:sz w:val="24"/>
          <w:szCs w:val="24"/>
        </w:rPr>
        <w:t>to the</w:t>
      </w:r>
      <w:r w:rsidR="00477FA5">
        <w:rPr>
          <w:rFonts w:ascii="Times New Roman" w:hAnsi="Times New Roman" w:cs="Times New Roman"/>
          <w:sz w:val="24"/>
          <w:szCs w:val="24"/>
        </w:rPr>
        <w:t xml:space="preserve"> 1970</w:t>
      </w:r>
      <w:r w:rsidR="00222D5E">
        <w:rPr>
          <w:rFonts w:ascii="Times New Roman" w:hAnsi="Times New Roman" w:cs="Times New Roman"/>
          <w:sz w:val="24"/>
          <w:szCs w:val="24"/>
        </w:rPr>
        <w:t xml:space="preserve"> collection </w:t>
      </w:r>
      <w:r w:rsidR="00981FE0" w:rsidRPr="00AE141E">
        <w:rPr>
          <w:rFonts w:ascii="Times New Roman" w:hAnsi="Times New Roman" w:cs="Times New Roman"/>
          <w:i/>
          <w:sz w:val="24"/>
          <w:szCs w:val="24"/>
        </w:rPr>
        <w:t>New Movements in the Study and Teaching of History</w:t>
      </w:r>
      <w:r w:rsidR="00981FE0" w:rsidRPr="00AE141E">
        <w:rPr>
          <w:rFonts w:ascii="Times New Roman" w:hAnsi="Times New Roman" w:cs="Times New Roman"/>
          <w:sz w:val="24"/>
          <w:szCs w:val="24"/>
        </w:rPr>
        <w:t xml:space="preserve"> </w:t>
      </w:r>
      <w:r w:rsidR="00477FA5">
        <w:rPr>
          <w:rFonts w:ascii="Times New Roman" w:hAnsi="Times New Roman" w:cs="Times New Roman"/>
          <w:sz w:val="24"/>
          <w:szCs w:val="24"/>
        </w:rPr>
        <w:t xml:space="preserve">reflect this aspiration. </w:t>
      </w:r>
      <w:r w:rsidR="00706D98" w:rsidRPr="00AE141E">
        <w:rPr>
          <w:rFonts w:ascii="Times New Roman" w:hAnsi="Times New Roman" w:cs="Times New Roman"/>
          <w:sz w:val="24"/>
          <w:szCs w:val="24"/>
        </w:rPr>
        <w:t>‘In so far as our pupils have studie</w:t>
      </w:r>
      <w:r w:rsidR="00C62DCF" w:rsidRPr="00AE141E">
        <w:rPr>
          <w:rFonts w:ascii="Times New Roman" w:hAnsi="Times New Roman" w:cs="Times New Roman"/>
          <w:sz w:val="24"/>
          <w:szCs w:val="24"/>
        </w:rPr>
        <w:t>d</w:t>
      </w:r>
      <w:r w:rsidR="00706D98" w:rsidRPr="00AE141E">
        <w:rPr>
          <w:rFonts w:ascii="Times New Roman" w:hAnsi="Times New Roman" w:cs="Times New Roman"/>
          <w:sz w:val="24"/>
          <w:szCs w:val="24"/>
        </w:rPr>
        <w:t xml:space="preserve"> non-European civilisations in the past’, wrote Ballard, ‘</w:t>
      </w:r>
      <w:r w:rsidR="00257E28" w:rsidRPr="00AE141E">
        <w:rPr>
          <w:rFonts w:ascii="Times New Roman" w:hAnsi="Times New Roman" w:cs="Times New Roman"/>
          <w:sz w:val="24"/>
          <w:szCs w:val="24"/>
        </w:rPr>
        <w:t xml:space="preserve">they have generally looked at them </w:t>
      </w:r>
      <w:r w:rsidR="00FC4E6F" w:rsidRPr="00AE141E">
        <w:rPr>
          <w:rFonts w:ascii="Times New Roman" w:hAnsi="Times New Roman" w:cs="Times New Roman"/>
          <w:sz w:val="24"/>
          <w:szCs w:val="24"/>
        </w:rPr>
        <w:t>“</w:t>
      </w:r>
      <w:r w:rsidR="00257E28" w:rsidRPr="00AE141E">
        <w:rPr>
          <w:rFonts w:ascii="Times New Roman" w:hAnsi="Times New Roman" w:cs="Times New Roman"/>
          <w:sz w:val="24"/>
          <w:szCs w:val="24"/>
        </w:rPr>
        <w:t>down the end of a European drain-pipe, or from the quarter-deck of a British man-of-war</w:t>
      </w:r>
      <w:r w:rsidR="00FC4E6F" w:rsidRPr="00AE141E">
        <w:rPr>
          <w:rFonts w:ascii="Times New Roman" w:hAnsi="Times New Roman" w:cs="Times New Roman"/>
          <w:sz w:val="24"/>
          <w:szCs w:val="24"/>
        </w:rPr>
        <w:t>”</w:t>
      </w:r>
      <w:r w:rsidR="008819BE" w:rsidRPr="00AE141E">
        <w:rPr>
          <w:rFonts w:ascii="Times New Roman" w:hAnsi="Times New Roman" w:cs="Times New Roman"/>
          <w:sz w:val="24"/>
          <w:szCs w:val="24"/>
        </w:rPr>
        <w:t>’.</w:t>
      </w:r>
      <w:r w:rsidR="009D2A39" w:rsidRPr="00AE141E">
        <w:rPr>
          <w:rStyle w:val="FootnoteReference"/>
          <w:rFonts w:ascii="Times New Roman" w:hAnsi="Times New Roman" w:cs="Times New Roman"/>
          <w:sz w:val="24"/>
          <w:szCs w:val="24"/>
        </w:rPr>
        <w:footnoteReference w:id="262"/>
      </w:r>
      <w:r w:rsidR="009D2A39" w:rsidRPr="00AE141E">
        <w:rPr>
          <w:rFonts w:ascii="Times New Roman" w:hAnsi="Times New Roman" w:cs="Times New Roman"/>
          <w:sz w:val="24"/>
          <w:szCs w:val="24"/>
        </w:rPr>
        <w:t xml:space="preserve"> </w:t>
      </w:r>
      <w:r w:rsidR="006F39F8">
        <w:rPr>
          <w:rFonts w:ascii="Times New Roman" w:hAnsi="Times New Roman" w:cs="Times New Roman"/>
          <w:sz w:val="24"/>
          <w:szCs w:val="24"/>
        </w:rPr>
        <w:t>His fellow contributor</w:t>
      </w:r>
      <w:r w:rsidR="00570AC8">
        <w:rPr>
          <w:rFonts w:ascii="Times New Roman" w:hAnsi="Times New Roman" w:cs="Times New Roman"/>
          <w:sz w:val="24"/>
          <w:szCs w:val="24"/>
        </w:rPr>
        <w:t xml:space="preserve"> </w:t>
      </w:r>
      <w:r w:rsidR="00AB0BB6" w:rsidRPr="00AE141E">
        <w:rPr>
          <w:rFonts w:ascii="Times New Roman" w:hAnsi="Times New Roman" w:cs="Times New Roman"/>
          <w:sz w:val="24"/>
          <w:szCs w:val="24"/>
        </w:rPr>
        <w:t xml:space="preserve">Charles L. Hannam, </w:t>
      </w:r>
      <w:r w:rsidR="006F39F8">
        <w:rPr>
          <w:rFonts w:ascii="Times New Roman" w:hAnsi="Times New Roman" w:cs="Times New Roman"/>
          <w:sz w:val="24"/>
          <w:szCs w:val="24"/>
        </w:rPr>
        <w:t>a teacher and historian</w:t>
      </w:r>
      <w:r w:rsidR="00732D34" w:rsidRPr="00AE141E">
        <w:rPr>
          <w:rFonts w:ascii="Times New Roman" w:hAnsi="Times New Roman" w:cs="Times New Roman"/>
          <w:sz w:val="24"/>
          <w:szCs w:val="24"/>
        </w:rPr>
        <w:t>, critiqued</w:t>
      </w:r>
      <w:r w:rsidR="00C232DB" w:rsidRPr="00AE141E">
        <w:rPr>
          <w:rFonts w:ascii="Times New Roman" w:hAnsi="Times New Roman" w:cs="Times New Roman"/>
          <w:sz w:val="24"/>
          <w:szCs w:val="24"/>
        </w:rPr>
        <w:t xml:space="preserve"> existing syllabi in which </w:t>
      </w:r>
      <w:r w:rsidR="001B732A" w:rsidRPr="00AE141E">
        <w:rPr>
          <w:rFonts w:ascii="Times New Roman" w:hAnsi="Times New Roman" w:cs="Times New Roman"/>
          <w:sz w:val="24"/>
          <w:szCs w:val="24"/>
        </w:rPr>
        <w:t>‘foreigners [appeared]</w:t>
      </w:r>
      <w:r w:rsidR="003E6F6E" w:rsidRPr="00AE141E">
        <w:rPr>
          <w:rFonts w:ascii="Times New Roman" w:hAnsi="Times New Roman" w:cs="Times New Roman"/>
          <w:sz w:val="24"/>
          <w:szCs w:val="24"/>
        </w:rPr>
        <w:t xml:space="preserve"> on the scene to be defeated, enslaved and exploited for the glory of one’s own group’.</w:t>
      </w:r>
      <w:r w:rsidR="009D2A39" w:rsidRPr="00AE141E">
        <w:rPr>
          <w:rStyle w:val="FootnoteReference"/>
          <w:rFonts w:ascii="Times New Roman" w:hAnsi="Times New Roman" w:cs="Times New Roman"/>
          <w:sz w:val="24"/>
          <w:szCs w:val="24"/>
        </w:rPr>
        <w:footnoteReference w:id="263"/>
      </w:r>
      <w:r w:rsidR="00127825" w:rsidRPr="00AE141E">
        <w:rPr>
          <w:rFonts w:ascii="Times New Roman" w:hAnsi="Times New Roman" w:cs="Times New Roman"/>
          <w:sz w:val="24"/>
          <w:szCs w:val="24"/>
        </w:rPr>
        <w:t xml:space="preserve"> </w:t>
      </w:r>
    </w:p>
    <w:p w14:paraId="78A3FEBB" w14:textId="1C3FFE58" w:rsidR="008D2CA9" w:rsidRPr="00AE141E" w:rsidRDefault="00A2661E" w:rsidP="00AE141E">
      <w:pPr>
        <w:spacing w:line="360" w:lineRule="auto"/>
        <w:rPr>
          <w:rFonts w:ascii="Times New Roman" w:hAnsi="Times New Roman" w:cs="Times New Roman"/>
          <w:sz w:val="24"/>
          <w:szCs w:val="24"/>
        </w:rPr>
      </w:pPr>
      <w:r>
        <w:rPr>
          <w:rFonts w:ascii="Times New Roman" w:hAnsi="Times New Roman" w:cs="Times New Roman"/>
          <w:sz w:val="24"/>
          <w:szCs w:val="24"/>
        </w:rPr>
        <w:t xml:space="preserve">By contrast, </w:t>
      </w:r>
      <w:r w:rsidR="00685E2A" w:rsidRPr="00AE141E">
        <w:rPr>
          <w:rFonts w:ascii="Times New Roman" w:hAnsi="Times New Roman" w:cs="Times New Roman"/>
          <w:sz w:val="24"/>
          <w:szCs w:val="24"/>
        </w:rPr>
        <w:t>D.C. Watt’s contribution</w:t>
      </w:r>
      <w:r w:rsidR="00265DB1">
        <w:rPr>
          <w:rFonts w:ascii="Times New Roman" w:hAnsi="Times New Roman" w:cs="Times New Roman"/>
          <w:sz w:val="24"/>
          <w:szCs w:val="24"/>
        </w:rPr>
        <w:t xml:space="preserve"> </w:t>
      </w:r>
      <w:r w:rsidR="004051A5">
        <w:rPr>
          <w:rFonts w:ascii="Times New Roman" w:hAnsi="Times New Roman" w:cs="Times New Roman"/>
          <w:sz w:val="24"/>
          <w:szCs w:val="24"/>
        </w:rPr>
        <w:t xml:space="preserve">broke the mould by </w:t>
      </w:r>
      <w:r>
        <w:rPr>
          <w:rFonts w:ascii="Times New Roman" w:hAnsi="Times New Roman" w:cs="Times New Roman"/>
          <w:sz w:val="24"/>
          <w:szCs w:val="24"/>
        </w:rPr>
        <w:t>questioning the</w:t>
      </w:r>
      <w:r w:rsidR="004051A5" w:rsidRPr="00AE141E">
        <w:rPr>
          <w:rFonts w:ascii="Times New Roman" w:hAnsi="Times New Roman" w:cs="Times New Roman"/>
          <w:sz w:val="24"/>
          <w:szCs w:val="24"/>
        </w:rPr>
        <w:t xml:space="preserve"> identif</w:t>
      </w:r>
      <w:r>
        <w:rPr>
          <w:rFonts w:ascii="Times New Roman" w:hAnsi="Times New Roman" w:cs="Times New Roman"/>
          <w:sz w:val="24"/>
          <w:szCs w:val="24"/>
        </w:rPr>
        <w:t>ication of</w:t>
      </w:r>
      <w:r w:rsidR="004051A5" w:rsidRPr="00AE141E">
        <w:rPr>
          <w:rFonts w:ascii="Times New Roman" w:hAnsi="Times New Roman" w:cs="Times New Roman"/>
          <w:sz w:val="24"/>
          <w:szCs w:val="24"/>
        </w:rPr>
        <w:t xml:space="preserve"> </w:t>
      </w:r>
      <w:r>
        <w:rPr>
          <w:rFonts w:ascii="Times New Roman" w:hAnsi="Times New Roman" w:cs="Times New Roman"/>
          <w:sz w:val="24"/>
          <w:szCs w:val="24"/>
        </w:rPr>
        <w:t>world history</w:t>
      </w:r>
      <w:r w:rsidR="004051A5" w:rsidRPr="00AE141E">
        <w:rPr>
          <w:rFonts w:ascii="Times New Roman" w:hAnsi="Times New Roman" w:cs="Times New Roman"/>
          <w:sz w:val="24"/>
          <w:szCs w:val="24"/>
        </w:rPr>
        <w:t xml:space="preserve"> with </w:t>
      </w:r>
      <w:r>
        <w:rPr>
          <w:rFonts w:ascii="Times New Roman" w:hAnsi="Times New Roman" w:cs="Times New Roman"/>
          <w:sz w:val="24"/>
          <w:szCs w:val="24"/>
        </w:rPr>
        <w:t>the</w:t>
      </w:r>
      <w:r w:rsidR="004051A5" w:rsidRPr="00AE141E">
        <w:rPr>
          <w:rFonts w:ascii="Times New Roman" w:hAnsi="Times New Roman" w:cs="Times New Roman"/>
          <w:sz w:val="24"/>
          <w:szCs w:val="24"/>
        </w:rPr>
        <w:t xml:space="preserve"> expansion of international knowledge and </w:t>
      </w:r>
      <w:r w:rsidRPr="00AE141E">
        <w:rPr>
          <w:rFonts w:ascii="Times New Roman" w:hAnsi="Times New Roman" w:cs="Times New Roman"/>
          <w:sz w:val="24"/>
          <w:szCs w:val="24"/>
        </w:rPr>
        <w:t>understanding.</w:t>
      </w:r>
      <w:r w:rsidR="008C4BE2" w:rsidRPr="00AE141E">
        <w:rPr>
          <w:rStyle w:val="FootnoteReference"/>
          <w:rFonts w:ascii="Times New Roman" w:hAnsi="Times New Roman" w:cs="Times New Roman"/>
          <w:sz w:val="24"/>
          <w:szCs w:val="24"/>
        </w:rPr>
        <w:footnoteReference w:id="264"/>
      </w:r>
      <w:r w:rsidR="00C22114" w:rsidRPr="00AE141E">
        <w:rPr>
          <w:rFonts w:ascii="Times New Roman" w:hAnsi="Times New Roman" w:cs="Times New Roman"/>
          <w:sz w:val="24"/>
          <w:szCs w:val="24"/>
        </w:rPr>
        <w:t xml:space="preserve"> Watt </w:t>
      </w:r>
      <w:r w:rsidR="006948EA" w:rsidRPr="00AE141E">
        <w:rPr>
          <w:rFonts w:ascii="Times New Roman" w:hAnsi="Times New Roman" w:cs="Times New Roman"/>
          <w:sz w:val="24"/>
          <w:szCs w:val="24"/>
        </w:rPr>
        <w:t>wrote</w:t>
      </w:r>
      <w:r w:rsidR="00C22114" w:rsidRPr="00AE141E">
        <w:rPr>
          <w:rFonts w:ascii="Times New Roman" w:hAnsi="Times New Roman" w:cs="Times New Roman"/>
          <w:sz w:val="24"/>
          <w:szCs w:val="24"/>
        </w:rPr>
        <w:t xml:space="preserve"> anxiously of</w:t>
      </w:r>
      <w:r w:rsidR="00FC5181" w:rsidRPr="00AE141E">
        <w:rPr>
          <w:rFonts w:ascii="Times New Roman" w:hAnsi="Times New Roman" w:cs="Times New Roman"/>
          <w:sz w:val="24"/>
          <w:szCs w:val="24"/>
        </w:rPr>
        <w:t xml:space="preserve"> the capacity of courses in </w:t>
      </w:r>
      <w:r w:rsidR="00857905" w:rsidRPr="00AE141E">
        <w:rPr>
          <w:rFonts w:ascii="Times New Roman" w:hAnsi="Times New Roman" w:cs="Times New Roman"/>
          <w:sz w:val="24"/>
          <w:szCs w:val="24"/>
        </w:rPr>
        <w:t xml:space="preserve">twentieth </w:t>
      </w:r>
      <w:r w:rsidR="00FC5181" w:rsidRPr="00AE141E">
        <w:rPr>
          <w:rFonts w:ascii="Times New Roman" w:hAnsi="Times New Roman" w:cs="Times New Roman"/>
          <w:sz w:val="24"/>
          <w:szCs w:val="24"/>
        </w:rPr>
        <w:t xml:space="preserve">century world history to </w:t>
      </w:r>
      <w:r w:rsidR="00DE5F79" w:rsidRPr="00AE141E">
        <w:rPr>
          <w:rFonts w:ascii="Times New Roman" w:hAnsi="Times New Roman" w:cs="Times New Roman"/>
          <w:sz w:val="24"/>
          <w:szCs w:val="24"/>
        </w:rPr>
        <w:t>found</w:t>
      </w:r>
      <w:r w:rsidR="00FC5181" w:rsidRPr="00AE141E">
        <w:rPr>
          <w:rFonts w:ascii="Times New Roman" w:hAnsi="Times New Roman" w:cs="Times New Roman"/>
          <w:sz w:val="24"/>
          <w:szCs w:val="24"/>
        </w:rPr>
        <w:t xml:space="preserve"> a</w:t>
      </w:r>
      <w:r w:rsidR="00662DAC" w:rsidRPr="00AE141E">
        <w:rPr>
          <w:rFonts w:ascii="Times New Roman" w:hAnsi="Times New Roman" w:cs="Times New Roman"/>
          <w:sz w:val="24"/>
          <w:szCs w:val="24"/>
        </w:rPr>
        <w:t xml:space="preserve"> powerful</w:t>
      </w:r>
      <w:r w:rsidR="00FC5181" w:rsidRPr="00AE141E">
        <w:rPr>
          <w:rFonts w:ascii="Times New Roman" w:hAnsi="Times New Roman" w:cs="Times New Roman"/>
          <w:sz w:val="24"/>
          <w:szCs w:val="24"/>
        </w:rPr>
        <w:t xml:space="preserve"> new</w:t>
      </w:r>
      <w:r w:rsidR="00EA38F4" w:rsidRPr="00AE141E">
        <w:rPr>
          <w:rFonts w:ascii="Times New Roman" w:hAnsi="Times New Roman" w:cs="Times New Roman"/>
          <w:sz w:val="24"/>
          <w:szCs w:val="24"/>
        </w:rPr>
        <w:t xml:space="preserve"> national</w:t>
      </w:r>
      <w:r w:rsidR="00AC3E11" w:rsidRPr="00AE141E">
        <w:rPr>
          <w:rFonts w:ascii="Times New Roman" w:hAnsi="Times New Roman" w:cs="Times New Roman"/>
          <w:sz w:val="24"/>
          <w:szCs w:val="24"/>
        </w:rPr>
        <w:t>(ist)</w:t>
      </w:r>
      <w:r w:rsidR="00EA38F4" w:rsidRPr="00AE141E">
        <w:rPr>
          <w:rFonts w:ascii="Times New Roman" w:hAnsi="Times New Roman" w:cs="Times New Roman"/>
          <w:sz w:val="24"/>
          <w:szCs w:val="24"/>
        </w:rPr>
        <w:t xml:space="preserve"> </w:t>
      </w:r>
      <w:r w:rsidR="00662DAC" w:rsidRPr="00AE141E">
        <w:rPr>
          <w:rFonts w:ascii="Times New Roman" w:hAnsi="Times New Roman" w:cs="Times New Roman"/>
          <w:sz w:val="24"/>
          <w:szCs w:val="24"/>
        </w:rPr>
        <w:t>mythology</w:t>
      </w:r>
      <w:r w:rsidR="00D20F8F" w:rsidRPr="00AE141E">
        <w:rPr>
          <w:rFonts w:ascii="Times New Roman" w:hAnsi="Times New Roman" w:cs="Times New Roman"/>
          <w:sz w:val="24"/>
          <w:szCs w:val="24"/>
        </w:rPr>
        <w:t xml:space="preserve"> by </w:t>
      </w:r>
      <w:r w:rsidR="00E12EF3" w:rsidRPr="00AE141E">
        <w:rPr>
          <w:rFonts w:ascii="Times New Roman" w:hAnsi="Times New Roman" w:cs="Times New Roman"/>
          <w:sz w:val="24"/>
          <w:szCs w:val="24"/>
        </w:rPr>
        <w:t>selecting</w:t>
      </w:r>
      <w:r w:rsidR="003220EE" w:rsidRPr="00AE141E">
        <w:rPr>
          <w:rFonts w:ascii="Times New Roman" w:hAnsi="Times New Roman" w:cs="Times New Roman"/>
          <w:sz w:val="24"/>
          <w:szCs w:val="24"/>
        </w:rPr>
        <w:t xml:space="preserve"> the Second World War as their end date</w:t>
      </w:r>
      <w:r w:rsidR="00D20F8F" w:rsidRPr="00AE141E">
        <w:rPr>
          <w:rFonts w:ascii="Times New Roman" w:hAnsi="Times New Roman" w:cs="Times New Roman"/>
          <w:sz w:val="24"/>
          <w:szCs w:val="24"/>
        </w:rPr>
        <w:t>. His explanation is worth quoting in full:</w:t>
      </w:r>
    </w:p>
    <w:p w14:paraId="3DD12680" w14:textId="7CA22D92" w:rsidR="00373698" w:rsidRPr="00AE141E" w:rsidRDefault="005E11CE"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These “finest hours” of British democracy in their external and domestic political aspects, are thus made </w:t>
      </w:r>
      <w:r w:rsidR="00DB36F4" w:rsidRPr="00AE141E">
        <w:rPr>
          <w:rFonts w:ascii="Times New Roman" w:hAnsi="Times New Roman" w:cs="Times New Roman"/>
          <w:sz w:val="24"/>
          <w:szCs w:val="24"/>
        </w:rPr>
        <w:t xml:space="preserve">the culminating point in British history, the history of a once great power. Nostalgia, romanticism, escapism on both an individual and national scale, linger and return to </w:t>
      </w:r>
      <w:r w:rsidR="009D6B44" w:rsidRPr="00AE141E">
        <w:rPr>
          <w:rFonts w:ascii="Times New Roman" w:hAnsi="Times New Roman" w:cs="Times New Roman"/>
          <w:sz w:val="24"/>
          <w:szCs w:val="24"/>
        </w:rPr>
        <w:t>the period of the Second World War. Thereafter all is the drab and humiliating decline to the present</w:t>
      </w:r>
      <w:r w:rsidR="00D20F8F" w:rsidRPr="00AE141E">
        <w:rPr>
          <w:rFonts w:ascii="Times New Roman" w:hAnsi="Times New Roman" w:cs="Times New Roman"/>
          <w:sz w:val="24"/>
          <w:szCs w:val="24"/>
        </w:rPr>
        <w:t>.</w:t>
      </w:r>
      <w:r w:rsidR="00AC3E11" w:rsidRPr="00AE141E">
        <w:rPr>
          <w:rStyle w:val="FootnoteReference"/>
          <w:rFonts w:ascii="Times New Roman" w:hAnsi="Times New Roman" w:cs="Times New Roman"/>
          <w:sz w:val="24"/>
          <w:szCs w:val="24"/>
        </w:rPr>
        <w:footnoteReference w:id="265"/>
      </w:r>
    </w:p>
    <w:p w14:paraId="36A4AD2A" w14:textId="431F70E5" w:rsidR="00121E72" w:rsidRPr="00AE141E" w:rsidRDefault="00317C1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Watt’s</w:t>
      </w:r>
      <w:r w:rsidR="0019785A" w:rsidRPr="00AE141E">
        <w:rPr>
          <w:rFonts w:ascii="Times New Roman" w:hAnsi="Times New Roman" w:cs="Times New Roman"/>
          <w:sz w:val="24"/>
          <w:szCs w:val="24"/>
        </w:rPr>
        <w:t xml:space="preserve"> analysis </w:t>
      </w:r>
      <w:r w:rsidRPr="00AE141E">
        <w:rPr>
          <w:rFonts w:ascii="Times New Roman" w:hAnsi="Times New Roman" w:cs="Times New Roman"/>
          <w:sz w:val="24"/>
          <w:szCs w:val="24"/>
        </w:rPr>
        <w:t xml:space="preserve">here </w:t>
      </w:r>
      <w:r w:rsidR="0019785A" w:rsidRPr="00AE141E">
        <w:rPr>
          <w:rFonts w:ascii="Times New Roman" w:hAnsi="Times New Roman" w:cs="Times New Roman"/>
          <w:sz w:val="24"/>
          <w:szCs w:val="24"/>
        </w:rPr>
        <w:t xml:space="preserve">anticipated the work of later scholars, such as Gilroy, who have pointed to the role of the Second World War as the triumphal culmination of the national teleology as </w:t>
      </w:r>
      <w:r w:rsidR="0019785A" w:rsidRPr="00AE141E">
        <w:rPr>
          <w:rFonts w:ascii="Times New Roman" w:hAnsi="Times New Roman" w:cs="Times New Roman"/>
          <w:sz w:val="24"/>
          <w:szCs w:val="24"/>
        </w:rPr>
        <w:lastRenderedPageBreak/>
        <w:t>a substitute for (and occlusion of) empire.</w:t>
      </w:r>
      <w:r w:rsidR="008A7797" w:rsidRPr="00AE141E">
        <w:rPr>
          <w:rStyle w:val="FootnoteReference"/>
          <w:rFonts w:ascii="Times New Roman" w:hAnsi="Times New Roman" w:cs="Times New Roman"/>
          <w:sz w:val="24"/>
          <w:szCs w:val="24"/>
        </w:rPr>
        <w:footnoteReference w:id="266"/>
      </w:r>
      <w:r w:rsidR="0019785A" w:rsidRPr="00AE141E">
        <w:rPr>
          <w:rFonts w:ascii="Times New Roman" w:hAnsi="Times New Roman" w:cs="Times New Roman"/>
          <w:sz w:val="24"/>
          <w:szCs w:val="24"/>
        </w:rPr>
        <w:t xml:space="preserve"> </w:t>
      </w:r>
      <w:r w:rsidR="00641D34" w:rsidRPr="00AE141E">
        <w:rPr>
          <w:rFonts w:ascii="Times New Roman" w:hAnsi="Times New Roman" w:cs="Times New Roman"/>
          <w:sz w:val="24"/>
          <w:szCs w:val="24"/>
        </w:rPr>
        <w:t>Watt was not entirely correct</w:t>
      </w:r>
      <w:r w:rsidR="00350243" w:rsidRPr="00AE141E">
        <w:rPr>
          <w:rFonts w:ascii="Times New Roman" w:hAnsi="Times New Roman" w:cs="Times New Roman"/>
          <w:sz w:val="24"/>
          <w:szCs w:val="24"/>
        </w:rPr>
        <w:t xml:space="preserve"> in his assumption</w:t>
      </w:r>
      <w:r w:rsidR="00641D34" w:rsidRPr="00AE141E">
        <w:rPr>
          <w:rFonts w:ascii="Times New Roman" w:hAnsi="Times New Roman" w:cs="Times New Roman"/>
          <w:sz w:val="24"/>
          <w:szCs w:val="24"/>
        </w:rPr>
        <w:t xml:space="preserve"> that few curricula in British secondary schools </w:t>
      </w:r>
      <w:r w:rsidR="00DC3E45" w:rsidRPr="00AE141E">
        <w:rPr>
          <w:rFonts w:ascii="Times New Roman" w:hAnsi="Times New Roman" w:cs="Times New Roman"/>
          <w:sz w:val="24"/>
          <w:szCs w:val="24"/>
        </w:rPr>
        <w:t xml:space="preserve">pushed beyond </w:t>
      </w:r>
      <w:r w:rsidR="001111D1" w:rsidRPr="00AE141E">
        <w:rPr>
          <w:rFonts w:ascii="Times New Roman" w:hAnsi="Times New Roman" w:cs="Times New Roman"/>
          <w:sz w:val="24"/>
          <w:szCs w:val="24"/>
        </w:rPr>
        <w:t>the Second World War; although</w:t>
      </w:r>
      <w:r w:rsidR="0083390B" w:rsidRPr="00AE141E">
        <w:rPr>
          <w:rFonts w:ascii="Times New Roman" w:hAnsi="Times New Roman" w:cs="Times New Roman"/>
          <w:sz w:val="24"/>
          <w:szCs w:val="24"/>
        </w:rPr>
        <w:t xml:space="preserve"> a 1967 survey of exam boards suggests</w:t>
      </w:r>
      <w:r w:rsidR="001111D1" w:rsidRPr="00AE141E">
        <w:rPr>
          <w:rFonts w:ascii="Times New Roman" w:hAnsi="Times New Roman" w:cs="Times New Roman"/>
          <w:sz w:val="24"/>
          <w:szCs w:val="24"/>
        </w:rPr>
        <w:t xml:space="preserve"> the outbreak of war was a common end</w:t>
      </w:r>
      <w:r w:rsidR="006C2BBC" w:rsidRPr="00AE141E">
        <w:rPr>
          <w:rFonts w:ascii="Times New Roman" w:hAnsi="Times New Roman" w:cs="Times New Roman"/>
          <w:sz w:val="24"/>
          <w:szCs w:val="24"/>
        </w:rPr>
        <w:t>-date for British and European history examination courses,</w:t>
      </w:r>
      <w:r w:rsidR="00854BC8" w:rsidRPr="00AE141E">
        <w:rPr>
          <w:rFonts w:ascii="Times New Roman" w:hAnsi="Times New Roman" w:cs="Times New Roman"/>
          <w:sz w:val="24"/>
          <w:szCs w:val="24"/>
        </w:rPr>
        <w:t xml:space="preserve"> a substantial minority</w:t>
      </w:r>
      <w:r w:rsidR="002E1724" w:rsidRPr="00AE141E">
        <w:rPr>
          <w:rFonts w:ascii="Times New Roman" w:hAnsi="Times New Roman" w:cs="Times New Roman"/>
          <w:sz w:val="24"/>
          <w:szCs w:val="24"/>
        </w:rPr>
        <w:t xml:space="preserve"> </w:t>
      </w:r>
      <w:r w:rsidR="004E4BDC" w:rsidRPr="00AE141E">
        <w:rPr>
          <w:rFonts w:ascii="Times New Roman" w:hAnsi="Times New Roman" w:cs="Times New Roman"/>
          <w:sz w:val="24"/>
          <w:szCs w:val="24"/>
        </w:rPr>
        <w:t xml:space="preserve">– especially in the fields of </w:t>
      </w:r>
      <w:r w:rsidR="008B41E6" w:rsidRPr="00AE141E">
        <w:rPr>
          <w:rFonts w:ascii="Times New Roman" w:hAnsi="Times New Roman" w:cs="Times New Roman"/>
          <w:sz w:val="24"/>
          <w:szCs w:val="24"/>
        </w:rPr>
        <w:t>world</w:t>
      </w:r>
      <w:r w:rsidR="00126D18" w:rsidRPr="00AE141E">
        <w:rPr>
          <w:rFonts w:ascii="Times New Roman" w:hAnsi="Times New Roman" w:cs="Times New Roman"/>
          <w:sz w:val="24"/>
          <w:szCs w:val="24"/>
        </w:rPr>
        <w:t xml:space="preserve"> and imperial</w:t>
      </w:r>
      <w:r w:rsidR="004E4BDC" w:rsidRPr="00AE141E">
        <w:rPr>
          <w:rFonts w:ascii="Times New Roman" w:hAnsi="Times New Roman" w:cs="Times New Roman"/>
          <w:sz w:val="24"/>
          <w:szCs w:val="24"/>
        </w:rPr>
        <w:t xml:space="preserve"> and Commonwealth history – extended their coverage at least into the 1950s.</w:t>
      </w:r>
      <w:r w:rsidR="00673259" w:rsidRPr="00AE141E">
        <w:rPr>
          <w:rStyle w:val="FootnoteReference"/>
          <w:rFonts w:ascii="Times New Roman" w:hAnsi="Times New Roman" w:cs="Times New Roman"/>
          <w:sz w:val="24"/>
          <w:szCs w:val="24"/>
        </w:rPr>
        <w:footnoteReference w:id="267"/>
      </w:r>
      <w:r w:rsidR="000579AC" w:rsidRPr="00AE141E">
        <w:rPr>
          <w:rFonts w:ascii="Times New Roman" w:hAnsi="Times New Roman" w:cs="Times New Roman"/>
          <w:sz w:val="24"/>
          <w:szCs w:val="24"/>
        </w:rPr>
        <w:t xml:space="preserve"> </w:t>
      </w:r>
      <w:r w:rsidR="008B41E6" w:rsidRPr="00AE141E">
        <w:rPr>
          <w:rFonts w:ascii="Times New Roman" w:hAnsi="Times New Roman" w:cs="Times New Roman"/>
          <w:sz w:val="24"/>
          <w:szCs w:val="24"/>
        </w:rPr>
        <w:t>This trend would become more prominent as time went on.</w:t>
      </w:r>
      <w:r w:rsidR="00A633D8" w:rsidRPr="00AE141E">
        <w:rPr>
          <w:rStyle w:val="FootnoteReference"/>
          <w:rFonts w:ascii="Times New Roman" w:hAnsi="Times New Roman" w:cs="Times New Roman"/>
          <w:sz w:val="24"/>
          <w:szCs w:val="24"/>
        </w:rPr>
        <w:footnoteReference w:id="268"/>
      </w:r>
      <w:r w:rsidR="00A95496" w:rsidRPr="00AE141E">
        <w:rPr>
          <w:rFonts w:ascii="Times New Roman" w:hAnsi="Times New Roman" w:cs="Times New Roman"/>
          <w:sz w:val="24"/>
          <w:szCs w:val="24"/>
        </w:rPr>
        <w:t xml:space="preserve"> </w:t>
      </w:r>
      <w:r w:rsidR="00CB31B8" w:rsidRPr="00AE141E">
        <w:rPr>
          <w:rFonts w:ascii="Times New Roman" w:hAnsi="Times New Roman" w:cs="Times New Roman"/>
          <w:sz w:val="24"/>
          <w:szCs w:val="24"/>
        </w:rPr>
        <w:t xml:space="preserve">Nevertheless, the Second World War </w:t>
      </w:r>
      <w:r w:rsidR="003B3062" w:rsidRPr="00AE141E">
        <w:rPr>
          <w:rFonts w:ascii="Times New Roman" w:hAnsi="Times New Roman" w:cs="Times New Roman"/>
          <w:sz w:val="24"/>
          <w:szCs w:val="24"/>
        </w:rPr>
        <w:t>did occupy</w:t>
      </w:r>
      <w:r w:rsidR="00CB31B8" w:rsidRPr="00AE141E">
        <w:rPr>
          <w:rFonts w:ascii="Times New Roman" w:hAnsi="Times New Roman" w:cs="Times New Roman"/>
          <w:sz w:val="24"/>
          <w:szCs w:val="24"/>
        </w:rPr>
        <w:t xml:space="preserve"> an outsize role in the teaching of many schools.</w:t>
      </w:r>
      <w:r w:rsidR="005F1FC2" w:rsidRPr="00AE141E">
        <w:rPr>
          <w:rFonts w:ascii="Times New Roman" w:hAnsi="Times New Roman" w:cs="Times New Roman"/>
          <w:sz w:val="24"/>
          <w:szCs w:val="24"/>
        </w:rPr>
        <w:t xml:space="preserve"> Teachers’ articles in </w:t>
      </w:r>
      <w:r w:rsidR="00546C65" w:rsidRPr="00AE141E">
        <w:rPr>
          <w:rFonts w:ascii="Times New Roman" w:hAnsi="Times New Roman" w:cs="Times New Roman"/>
          <w:sz w:val="24"/>
          <w:szCs w:val="24"/>
        </w:rPr>
        <w:t xml:space="preserve">the </w:t>
      </w:r>
      <w:r w:rsidR="005F1FC2" w:rsidRPr="00AE141E">
        <w:rPr>
          <w:rFonts w:ascii="Times New Roman" w:hAnsi="Times New Roman" w:cs="Times New Roman"/>
          <w:sz w:val="24"/>
          <w:szCs w:val="24"/>
        </w:rPr>
        <w:t xml:space="preserve">professional journals of the era </w:t>
      </w:r>
      <w:r w:rsidR="00F1378C" w:rsidRPr="00AE141E">
        <w:rPr>
          <w:rFonts w:ascii="Times New Roman" w:hAnsi="Times New Roman" w:cs="Times New Roman"/>
          <w:sz w:val="24"/>
          <w:szCs w:val="24"/>
        </w:rPr>
        <w:t>contain</w:t>
      </w:r>
      <w:r w:rsidR="005A788D" w:rsidRPr="00AE141E">
        <w:rPr>
          <w:rFonts w:ascii="Times New Roman" w:hAnsi="Times New Roman" w:cs="Times New Roman"/>
          <w:sz w:val="24"/>
          <w:szCs w:val="24"/>
        </w:rPr>
        <w:t>ed</w:t>
      </w:r>
      <w:r w:rsidR="00F1378C" w:rsidRPr="00AE141E">
        <w:rPr>
          <w:rFonts w:ascii="Times New Roman" w:hAnsi="Times New Roman" w:cs="Times New Roman"/>
          <w:sz w:val="24"/>
          <w:szCs w:val="24"/>
        </w:rPr>
        <w:t xml:space="preserve"> both critical and neutral accounts </w:t>
      </w:r>
      <w:r w:rsidR="0030494F" w:rsidRPr="00AE141E">
        <w:rPr>
          <w:rFonts w:ascii="Times New Roman" w:hAnsi="Times New Roman" w:cs="Times New Roman"/>
          <w:sz w:val="24"/>
          <w:szCs w:val="24"/>
        </w:rPr>
        <w:t xml:space="preserve">of the </w:t>
      </w:r>
      <w:r w:rsidR="00A95496" w:rsidRPr="00AE141E">
        <w:rPr>
          <w:rFonts w:ascii="Times New Roman" w:hAnsi="Times New Roman" w:cs="Times New Roman"/>
          <w:sz w:val="24"/>
          <w:szCs w:val="24"/>
        </w:rPr>
        <w:t>W</w:t>
      </w:r>
      <w:r w:rsidR="0030494F" w:rsidRPr="00AE141E">
        <w:rPr>
          <w:rFonts w:ascii="Times New Roman" w:hAnsi="Times New Roman" w:cs="Times New Roman"/>
          <w:sz w:val="24"/>
          <w:szCs w:val="24"/>
        </w:rPr>
        <w:t>ar as a curricular staple.</w:t>
      </w:r>
      <w:r w:rsidR="002B6A1A" w:rsidRPr="00AE141E">
        <w:rPr>
          <w:rStyle w:val="FootnoteReference"/>
          <w:rFonts w:ascii="Times New Roman" w:hAnsi="Times New Roman" w:cs="Times New Roman"/>
          <w:sz w:val="24"/>
          <w:szCs w:val="24"/>
        </w:rPr>
        <w:footnoteReference w:id="269"/>
      </w:r>
      <w:r w:rsidR="00463FAB" w:rsidRPr="00AE141E">
        <w:rPr>
          <w:rFonts w:ascii="Times New Roman" w:hAnsi="Times New Roman" w:cs="Times New Roman"/>
          <w:sz w:val="24"/>
          <w:szCs w:val="24"/>
        </w:rPr>
        <w:t xml:space="preserve"> </w:t>
      </w:r>
      <w:r w:rsidR="00D43059" w:rsidRPr="00AE141E">
        <w:rPr>
          <w:rFonts w:ascii="Times New Roman" w:hAnsi="Times New Roman" w:cs="Times New Roman"/>
          <w:sz w:val="24"/>
          <w:szCs w:val="24"/>
        </w:rPr>
        <w:t xml:space="preserve">Contemporary examination papers drawn from </w:t>
      </w:r>
      <w:r w:rsidR="002C7E80" w:rsidRPr="00AE141E">
        <w:rPr>
          <w:rFonts w:ascii="Times New Roman" w:hAnsi="Times New Roman" w:cs="Times New Roman"/>
          <w:sz w:val="24"/>
          <w:szCs w:val="24"/>
        </w:rPr>
        <w:t xml:space="preserve">varying levels of assessment </w:t>
      </w:r>
      <w:r w:rsidR="00EA3B6D" w:rsidRPr="00AE141E">
        <w:rPr>
          <w:rFonts w:ascii="Times New Roman" w:hAnsi="Times New Roman" w:cs="Times New Roman"/>
          <w:sz w:val="24"/>
          <w:szCs w:val="24"/>
        </w:rPr>
        <w:t xml:space="preserve">suggest that </w:t>
      </w:r>
      <w:r w:rsidR="0036128D" w:rsidRPr="00AE141E">
        <w:rPr>
          <w:rFonts w:ascii="Times New Roman" w:hAnsi="Times New Roman" w:cs="Times New Roman"/>
          <w:sz w:val="24"/>
          <w:szCs w:val="24"/>
        </w:rPr>
        <w:t>questions on the war were a reliable staple</w:t>
      </w:r>
      <w:r w:rsidR="009464FB" w:rsidRPr="00AE141E">
        <w:rPr>
          <w:rFonts w:ascii="Times New Roman" w:hAnsi="Times New Roman" w:cs="Times New Roman"/>
          <w:sz w:val="24"/>
          <w:szCs w:val="24"/>
        </w:rPr>
        <w:t>; teachers were encouraged to devote more time to the topic as a form of safety net for their students</w:t>
      </w:r>
      <w:r w:rsidR="002C7E80" w:rsidRPr="00AE141E">
        <w:rPr>
          <w:rFonts w:ascii="Times New Roman" w:hAnsi="Times New Roman" w:cs="Times New Roman"/>
          <w:sz w:val="24"/>
          <w:szCs w:val="24"/>
        </w:rPr>
        <w:t>.</w:t>
      </w:r>
      <w:r w:rsidR="0024771E" w:rsidRPr="00AE141E">
        <w:rPr>
          <w:rStyle w:val="FootnoteReference"/>
          <w:rFonts w:ascii="Times New Roman" w:hAnsi="Times New Roman" w:cs="Times New Roman"/>
          <w:sz w:val="24"/>
          <w:szCs w:val="24"/>
        </w:rPr>
        <w:footnoteReference w:id="270"/>
      </w:r>
      <w:r w:rsidR="002C7E80" w:rsidRPr="00AE141E">
        <w:rPr>
          <w:rFonts w:ascii="Times New Roman" w:hAnsi="Times New Roman" w:cs="Times New Roman"/>
          <w:sz w:val="24"/>
          <w:szCs w:val="24"/>
        </w:rPr>
        <w:t xml:space="preserve"> </w:t>
      </w:r>
    </w:p>
    <w:p w14:paraId="6904398D" w14:textId="1AC89252" w:rsidR="00F16877" w:rsidRPr="00AE141E" w:rsidRDefault="001C277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Watt</w:t>
      </w:r>
      <w:r w:rsidR="00593554" w:rsidRPr="00AE141E">
        <w:rPr>
          <w:rFonts w:ascii="Times New Roman" w:hAnsi="Times New Roman" w:cs="Times New Roman"/>
          <w:sz w:val="24"/>
          <w:szCs w:val="24"/>
        </w:rPr>
        <w:t xml:space="preserve">’s </w:t>
      </w:r>
      <w:r w:rsidR="00A45054" w:rsidRPr="00AE141E">
        <w:rPr>
          <w:rFonts w:ascii="Times New Roman" w:hAnsi="Times New Roman" w:cs="Times New Roman"/>
          <w:sz w:val="24"/>
          <w:szCs w:val="24"/>
        </w:rPr>
        <w:t>observations on</w:t>
      </w:r>
      <w:r w:rsidR="000F2136" w:rsidRPr="00AE141E">
        <w:rPr>
          <w:rFonts w:ascii="Times New Roman" w:hAnsi="Times New Roman" w:cs="Times New Roman"/>
          <w:sz w:val="24"/>
          <w:szCs w:val="24"/>
        </w:rPr>
        <w:t xml:space="preserve"> the failure of historians to</w:t>
      </w:r>
      <w:r w:rsidR="00564311" w:rsidRPr="00AE141E">
        <w:rPr>
          <w:rFonts w:ascii="Times New Roman" w:hAnsi="Times New Roman" w:cs="Times New Roman"/>
          <w:sz w:val="24"/>
          <w:szCs w:val="24"/>
        </w:rPr>
        <w:t xml:space="preserve"> come to terms with </w:t>
      </w:r>
      <w:r w:rsidR="00FE5CAE" w:rsidRPr="00AE141E">
        <w:rPr>
          <w:rFonts w:ascii="Times New Roman" w:hAnsi="Times New Roman" w:cs="Times New Roman"/>
          <w:sz w:val="24"/>
          <w:szCs w:val="24"/>
        </w:rPr>
        <w:t>the</w:t>
      </w:r>
      <w:r w:rsidR="006B1089" w:rsidRPr="00AE141E">
        <w:rPr>
          <w:rFonts w:ascii="Times New Roman" w:hAnsi="Times New Roman" w:cs="Times New Roman"/>
          <w:sz w:val="24"/>
          <w:szCs w:val="24"/>
        </w:rPr>
        <w:t xml:space="preserve"> </w:t>
      </w:r>
      <w:r w:rsidR="00752E8A" w:rsidRPr="00AE141E">
        <w:rPr>
          <w:rFonts w:ascii="Times New Roman" w:hAnsi="Times New Roman" w:cs="Times New Roman"/>
          <w:sz w:val="24"/>
          <w:szCs w:val="24"/>
        </w:rPr>
        <w:t>realities of British imperial</w:t>
      </w:r>
      <w:r w:rsidR="006B1089" w:rsidRPr="00AE141E">
        <w:rPr>
          <w:rFonts w:ascii="Times New Roman" w:hAnsi="Times New Roman" w:cs="Times New Roman"/>
          <w:sz w:val="24"/>
          <w:szCs w:val="24"/>
        </w:rPr>
        <w:t xml:space="preserve"> </w:t>
      </w:r>
      <w:r w:rsidR="00752E8A" w:rsidRPr="00AE141E">
        <w:rPr>
          <w:rFonts w:ascii="Times New Roman" w:hAnsi="Times New Roman" w:cs="Times New Roman"/>
          <w:sz w:val="24"/>
          <w:szCs w:val="24"/>
        </w:rPr>
        <w:t>‘</w:t>
      </w:r>
      <w:r w:rsidR="006B1089" w:rsidRPr="00AE141E">
        <w:rPr>
          <w:rFonts w:ascii="Times New Roman" w:hAnsi="Times New Roman" w:cs="Times New Roman"/>
          <w:sz w:val="24"/>
          <w:szCs w:val="24"/>
        </w:rPr>
        <w:t>decline</w:t>
      </w:r>
      <w:r w:rsidR="00752E8A" w:rsidRPr="00AE141E">
        <w:rPr>
          <w:rFonts w:ascii="Times New Roman" w:hAnsi="Times New Roman" w:cs="Times New Roman"/>
          <w:sz w:val="24"/>
          <w:szCs w:val="24"/>
        </w:rPr>
        <w:t>’</w:t>
      </w:r>
      <w:r w:rsidR="00CE76CC" w:rsidRPr="00AE141E">
        <w:rPr>
          <w:rFonts w:ascii="Times New Roman" w:hAnsi="Times New Roman" w:cs="Times New Roman"/>
          <w:sz w:val="24"/>
          <w:szCs w:val="24"/>
        </w:rPr>
        <w:t xml:space="preserve"> </w:t>
      </w:r>
      <w:r w:rsidR="006B1089" w:rsidRPr="00AE141E">
        <w:rPr>
          <w:rFonts w:ascii="Times New Roman" w:hAnsi="Times New Roman" w:cs="Times New Roman"/>
          <w:sz w:val="24"/>
          <w:szCs w:val="24"/>
        </w:rPr>
        <w:t>ultimately led him to reject some forms of world history.</w:t>
      </w:r>
      <w:r w:rsidR="00F62D85" w:rsidRPr="00AE141E">
        <w:rPr>
          <w:rStyle w:val="FootnoteReference"/>
          <w:rFonts w:ascii="Times New Roman" w:hAnsi="Times New Roman" w:cs="Times New Roman"/>
          <w:sz w:val="24"/>
          <w:szCs w:val="24"/>
        </w:rPr>
        <w:footnoteReference w:id="271"/>
      </w:r>
      <w:r w:rsidR="009872F6" w:rsidRPr="00AE141E">
        <w:rPr>
          <w:rFonts w:ascii="Times New Roman" w:hAnsi="Times New Roman" w:cs="Times New Roman"/>
          <w:sz w:val="24"/>
          <w:szCs w:val="24"/>
        </w:rPr>
        <w:t xml:space="preserve"> </w:t>
      </w:r>
      <w:r w:rsidR="00765F66">
        <w:rPr>
          <w:rFonts w:ascii="Times New Roman" w:hAnsi="Times New Roman" w:cs="Times New Roman"/>
          <w:sz w:val="24"/>
          <w:szCs w:val="24"/>
        </w:rPr>
        <w:t>He</w:t>
      </w:r>
      <w:r w:rsidR="009872F6" w:rsidRPr="00AE141E">
        <w:rPr>
          <w:rFonts w:ascii="Times New Roman" w:hAnsi="Times New Roman" w:cs="Times New Roman"/>
          <w:sz w:val="24"/>
          <w:szCs w:val="24"/>
        </w:rPr>
        <w:t xml:space="preserve"> argued that world history syllabi should focus exclusivel</w:t>
      </w:r>
      <w:r w:rsidR="007F599D" w:rsidRPr="00AE141E">
        <w:rPr>
          <w:rFonts w:ascii="Times New Roman" w:hAnsi="Times New Roman" w:cs="Times New Roman"/>
          <w:sz w:val="24"/>
          <w:szCs w:val="24"/>
        </w:rPr>
        <w:t>y on</w:t>
      </w:r>
      <w:r w:rsidR="005B6971" w:rsidRPr="00AE141E">
        <w:rPr>
          <w:rFonts w:ascii="Times New Roman" w:hAnsi="Times New Roman" w:cs="Times New Roman"/>
          <w:sz w:val="24"/>
          <w:szCs w:val="24"/>
        </w:rPr>
        <w:t xml:space="preserve"> those areas</w:t>
      </w:r>
      <w:r w:rsidR="007F599D" w:rsidRPr="00AE141E">
        <w:rPr>
          <w:rFonts w:ascii="Times New Roman" w:hAnsi="Times New Roman" w:cs="Times New Roman"/>
          <w:sz w:val="24"/>
          <w:szCs w:val="24"/>
        </w:rPr>
        <w:t xml:space="preserve"> </w:t>
      </w:r>
      <w:r w:rsidR="00B3249A" w:rsidRPr="00AE141E">
        <w:rPr>
          <w:rFonts w:ascii="Times New Roman" w:hAnsi="Times New Roman" w:cs="Times New Roman"/>
          <w:sz w:val="24"/>
          <w:szCs w:val="24"/>
        </w:rPr>
        <w:t xml:space="preserve">least at risk </w:t>
      </w:r>
      <w:r w:rsidR="0064043C" w:rsidRPr="00AE141E">
        <w:rPr>
          <w:rFonts w:ascii="Times New Roman" w:hAnsi="Times New Roman" w:cs="Times New Roman"/>
          <w:sz w:val="24"/>
          <w:szCs w:val="24"/>
        </w:rPr>
        <w:t>from historians’ persistent habit of</w:t>
      </w:r>
      <w:r w:rsidR="00B3249A" w:rsidRPr="00AE141E">
        <w:rPr>
          <w:rFonts w:ascii="Times New Roman" w:hAnsi="Times New Roman" w:cs="Times New Roman"/>
          <w:sz w:val="24"/>
          <w:szCs w:val="24"/>
        </w:rPr>
        <w:t xml:space="preserve"> </w:t>
      </w:r>
      <w:r w:rsidR="0023448F" w:rsidRPr="00AE141E">
        <w:rPr>
          <w:rFonts w:ascii="Times New Roman" w:hAnsi="Times New Roman" w:cs="Times New Roman"/>
          <w:sz w:val="24"/>
          <w:szCs w:val="24"/>
        </w:rPr>
        <w:t>racist caricature:</w:t>
      </w:r>
      <w:r w:rsidR="009872F6" w:rsidRPr="00AE141E">
        <w:rPr>
          <w:rFonts w:ascii="Times New Roman" w:hAnsi="Times New Roman" w:cs="Times New Roman"/>
          <w:sz w:val="24"/>
          <w:szCs w:val="24"/>
        </w:rPr>
        <w:t xml:space="preserve"> </w:t>
      </w:r>
      <w:r w:rsidR="00AD1F43" w:rsidRPr="00AE141E">
        <w:rPr>
          <w:rFonts w:ascii="Times New Roman" w:hAnsi="Times New Roman" w:cs="Times New Roman"/>
          <w:sz w:val="24"/>
          <w:szCs w:val="24"/>
        </w:rPr>
        <w:t>western and central Europe, Soviet and eastern Europe</w:t>
      </w:r>
      <w:r w:rsidR="00F215FA" w:rsidRPr="00AE141E">
        <w:rPr>
          <w:rFonts w:ascii="Times New Roman" w:hAnsi="Times New Roman" w:cs="Times New Roman"/>
          <w:sz w:val="24"/>
          <w:szCs w:val="24"/>
        </w:rPr>
        <w:t>,</w:t>
      </w:r>
      <w:r w:rsidR="00AD1F43" w:rsidRPr="00AE141E">
        <w:rPr>
          <w:rFonts w:ascii="Times New Roman" w:hAnsi="Times New Roman" w:cs="Times New Roman"/>
          <w:sz w:val="24"/>
          <w:szCs w:val="24"/>
        </w:rPr>
        <w:t xml:space="preserve"> and the United </w:t>
      </w:r>
      <w:r w:rsidR="00734DC4" w:rsidRPr="00AE141E">
        <w:rPr>
          <w:rFonts w:ascii="Times New Roman" w:hAnsi="Times New Roman" w:cs="Times New Roman"/>
          <w:sz w:val="24"/>
          <w:szCs w:val="24"/>
        </w:rPr>
        <w:t>S</w:t>
      </w:r>
      <w:r w:rsidR="00AD1F43" w:rsidRPr="00AE141E">
        <w:rPr>
          <w:rFonts w:ascii="Times New Roman" w:hAnsi="Times New Roman" w:cs="Times New Roman"/>
          <w:sz w:val="24"/>
          <w:szCs w:val="24"/>
        </w:rPr>
        <w:t>tates</w:t>
      </w:r>
      <w:r w:rsidR="0023448F" w:rsidRPr="00AE141E">
        <w:rPr>
          <w:rFonts w:ascii="Times New Roman" w:hAnsi="Times New Roman" w:cs="Times New Roman"/>
          <w:sz w:val="24"/>
          <w:szCs w:val="24"/>
        </w:rPr>
        <w:t>.</w:t>
      </w:r>
      <w:r w:rsidR="002A7B64" w:rsidRPr="00AE141E">
        <w:rPr>
          <w:rFonts w:ascii="Times New Roman" w:hAnsi="Times New Roman" w:cs="Times New Roman"/>
          <w:sz w:val="24"/>
          <w:szCs w:val="24"/>
        </w:rPr>
        <w:t xml:space="preserve"> </w:t>
      </w:r>
      <w:r w:rsidR="006A6504" w:rsidRPr="00AE141E">
        <w:rPr>
          <w:rFonts w:ascii="Times New Roman" w:hAnsi="Times New Roman" w:cs="Times New Roman"/>
          <w:sz w:val="24"/>
          <w:szCs w:val="24"/>
        </w:rPr>
        <w:t xml:space="preserve">Watt might be accused of throwing the baby out with the bathwater, but his </w:t>
      </w:r>
      <w:r w:rsidR="002D7D20" w:rsidRPr="00AE141E">
        <w:rPr>
          <w:rFonts w:ascii="Times New Roman" w:hAnsi="Times New Roman" w:cs="Times New Roman"/>
          <w:sz w:val="24"/>
          <w:szCs w:val="24"/>
        </w:rPr>
        <w:t xml:space="preserve">concerns </w:t>
      </w:r>
      <w:r w:rsidR="004750CC" w:rsidRPr="00AE141E">
        <w:rPr>
          <w:rFonts w:ascii="Times New Roman" w:hAnsi="Times New Roman" w:cs="Times New Roman"/>
          <w:sz w:val="24"/>
          <w:szCs w:val="24"/>
        </w:rPr>
        <w:t>were</w:t>
      </w:r>
      <w:r w:rsidR="002D7D20" w:rsidRPr="00AE141E">
        <w:rPr>
          <w:rFonts w:ascii="Times New Roman" w:hAnsi="Times New Roman" w:cs="Times New Roman"/>
          <w:sz w:val="24"/>
          <w:szCs w:val="24"/>
        </w:rPr>
        <w:t xml:space="preserve"> </w:t>
      </w:r>
      <w:r w:rsidR="005A590F" w:rsidRPr="00AE141E">
        <w:rPr>
          <w:rFonts w:ascii="Times New Roman" w:hAnsi="Times New Roman" w:cs="Times New Roman"/>
          <w:sz w:val="24"/>
          <w:szCs w:val="24"/>
        </w:rPr>
        <w:t>vindicated</w:t>
      </w:r>
      <w:r w:rsidR="00160E2A" w:rsidRPr="00AE141E">
        <w:rPr>
          <w:rFonts w:ascii="Times New Roman" w:hAnsi="Times New Roman" w:cs="Times New Roman"/>
          <w:sz w:val="24"/>
          <w:szCs w:val="24"/>
        </w:rPr>
        <w:t xml:space="preserve"> by the</w:t>
      </w:r>
      <w:r w:rsidR="00C6059D" w:rsidRPr="00AE141E">
        <w:rPr>
          <w:rFonts w:ascii="Times New Roman" w:hAnsi="Times New Roman" w:cs="Times New Roman"/>
          <w:sz w:val="24"/>
          <w:szCs w:val="24"/>
        </w:rPr>
        <w:t xml:space="preserve"> work of many</w:t>
      </w:r>
      <w:r w:rsidR="00DE3CCC" w:rsidRPr="00AE141E">
        <w:rPr>
          <w:rFonts w:ascii="Times New Roman" w:hAnsi="Times New Roman" w:cs="Times New Roman"/>
          <w:sz w:val="24"/>
          <w:szCs w:val="24"/>
        </w:rPr>
        <w:t xml:space="preserve"> of his</w:t>
      </w:r>
      <w:r w:rsidR="001953BE" w:rsidRPr="00AE141E">
        <w:rPr>
          <w:rFonts w:ascii="Times New Roman" w:hAnsi="Times New Roman" w:cs="Times New Roman"/>
          <w:sz w:val="24"/>
          <w:szCs w:val="24"/>
        </w:rPr>
        <w:t xml:space="preserve"> </w:t>
      </w:r>
      <w:r w:rsidR="00C6059D" w:rsidRPr="00AE141E">
        <w:rPr>
          <w:rFonts w:ascii="Times New Roman" w:hAnsi="Times New Roman" w:cs="Times New Roman"/>
          <w:sz w:val="24"/>
          <w:szCs w:val="24"/>
        </w:rPr>
        <w:t>contemporaries.</w:t>
      </w:r>
      <w:r w:rsidR="00C34B8D" w:rsidRPr="00AE141E">
        <w:rPr>
          <w:rFonts w:ascii="Times New Roman" w:hAnsi="Times New Roman" w:cs="Times New Roman"/>
          <w:sz w:val="24"/>
          <w:szCs w:val="24"/>
        </w:rPr>
        <w:t xml:space="preserve"> </w:t>
      </w:r>
      <w:r w:rsidR="006F5518" w:rsidRPr="00AE141E">
        <w:rPr>
          <w:rFonts w:ascii="Times New Roman" w:hAnsi="Times New Roman" w:cs="Times New Roman"/>
          <w:sz w:val="24"/>
          <w:szCs w:val="24"/>
        </w:rPr>
        <w:t xml:space="preserve">Within </w:t>
      </w:r>
      <w:r w:rsidR="006F5518" w:rsidRPr="00AE141E">
        <w:rPr>
          <w:rFonts w:ascii="Times New Roman" w:hAnsi="Times New Roman" w:cs="Times New Roman"/>
          <w:i/>
          <w:sz w:val="24"/>
          <w:szCs w:val="24"/>
        </w:rPr>
        <w:t xml:space="preserve">New Movements </w:t>
      </w:r>
      <w:r w:rsidR="006F5518" w:rsidRPr="00AE141E">
        <w:rPr>
          <w:rFonts w:ascii="Times New Roman" w:hAnsi="Times New Roman" w:cs="Times New Roman"/>
          <w:sz w:val="24"/>
          <w:szCs w:val="24"/>
        </w:rPr>
        <w:t xml:space="preserve">itself, </w:t>
      </w:r>
      <w:r w:rsidR="00427C91" w:rsidRPr="00AE141E">
        <w:rPr>
          <w:rFonts w:ascii="Times New Roman" w:hAnsi="Times New Roman" w:cs="Times New Roman"/>
          <w:sz w:val="24"/>
          <w:szCs w:val="24"/>
        </w:rPr>
        <w:t xml:space="preserve">there is </w:t>
      </w:r>
      <w:r w:rsidR="00966A72" w:rsidRPr="00AE141E">
        <w:rPr>
          <w:rFonts w:ascii="Times New Roman" w:hAnsi="Times New Roman" w:cs="Times New Roman"/>
          <w:sz w:val="24"/>
          <w:szCs w:val="24"/>
        </w:rPr>
        <w:t xml:space="preserve">evidence </w:t>
      </w:r>
      <w:r w:rsidR="00274387" w:rsidRPr="00AE141E">
        <w:rPr>
          <w:rFonts w:ascii="Times New Roman" w:hAnsi="Times New Roman" w:cs="Times New Roman"/>
          <w:sz w:val="24"/>
          <w:szCs w:val="24"/>
        </w:rPr>
        <w:t xml:space="preserve">of an unwillingness to break </w:t>
      </w:r>
      <w:r w:rsidR="00601DC7" w:rsidRPr="00AE141E">
        <w:rPr>
          <w:rFonts w:ascii="Times New Roman" w:hAnsi="Times New Roman" w:cs="Times New Roman"/>
          <w:sz w:val="24"/>
          <w:szCs w:val="24"/>
        </w:rPr>
        <w:t>with</w:t>
      </w:r>
      <w:r w:rsidR="00274387" w:rsidRPr="00AE141E">
        <w:rPr>
          <w:rFonts w:ascii="Times New Roman" w:hAnsi="Times New Roman" w:cs="Times New Roman"/>
          <w:sz w:val="24"/>
          <w:szCs w:val="24"/>
        </w:rPr>
        <w:t xml:space="preserve"> the</w:t>
      </w:r>
      <w:r w:rsidR="00264DD4" w:rsidRPr="00AE141E">
        <w:rPr>
          <w:rFonts w:ascii="Times New Roman" w:hAnsi="Times New Roman" w:cs="Times New Roman"/>
          <w:sz w:val="24"/>
          <w:szCs w:val="24"/>
        </w:rPr>
        <w:t xml:space="preserve"> </w:t>
      </w:r>
      <w:r w:rsidR="00274387" w:rsidRPr="00AE141E">
        <w:rPr>
          <w:rFonts w:ascii="Times New Roman" w:hAnsi="Times New Roman" w:cs="Times New Roman"/>
          <w:sz w:val="24"/>
          <w:szCs w:val="24"/>
        </w:rPr>
        <w:t xml:space="preserve">language of </w:t>
      </w:r>
      <w:r w:rsidR="00D34B60" w:rsidRPr="00AE141E">
        <w:rPr>
          <w:rFonts w:ascii="Times New Roman" w:hAnsi="Times New Roman" w:cs="Times New Roman"/>
          <w:sz w:val="24"/>
          <w:szCs w:val="24"/>
        </w:rPr>
        <w:t xml:space="preserve">biological </w:t>
      </w:r>
      <w:r w:rsidR="00046D89" w:rsidRPr="00AE141E">
        <w:rPr>
          <w:rFonts w:ascii="Times New Roman" w:hAnsi="Times New Roman" w:cs="Times New Roman"/>
          <w:sz w:val="24"/>
          <w:szCs w:val="24"/>
        </w:rPr>
        <w:t xml:space="preserve">and cultural </w:t>
      </w:r>
      <w:r w:rsidR="00D34B60" w:rsidRPr="00AE141E">
        <w:rPr>
          <w:rFonts w:ascii="Times New Roman" w:hAnsi="Times New Roman" w:cs="Times New Roman"/>
          <w:sz w:val="24"/>
          <w:szCs w:val="24"/>
        </w:rPr>
        <w:t>determinism in the writing of world history.</w:t>
      </w:r>
      <w:r w:rsidR="00F16877" w:rsidRPr="00AE141E">
        <w:rPr>
          <w:rFonts w:ascii="Times New Roman" w:hAnsi="Times New Roman" w:cs="Times New Roman"/>
          <w:sz w:val="24"/>
          <w:szCs w:val="24"/>
        </w:rPr>
        <w:t xml:space="preserve"> Ballard</w:t>
      </w:r>
      <w:r w:rsidR="00B242A9" w:rsidRPr="00AE141E">
        <w:rPr>
          <w:rFonts w:ascii="Times New Roman" w:hAnsi="Times New Roman" w:cs="Times New Roman"/>
          <w:sz w:val="24"/>
          <w:szCs w:val="24"/>
        </w:rPr>
        <w:t xml:space="preserve"> </w:t>
      </w:r>
      <w:r w:rsidR="00135C9B" w:rsidRPr="00AE141E">
        <w:rPr>
          <w:rFonts w:ascii="Times New Roman" w:hAnsi="Times New Roman" w:cs="Times New Roman"/>
          <w:sz w:val="24"/>
          <w:szCs w:val="24"/>
        </w:rPr>
        <w:t>set the tone by characterising ‘</w:t>
      </w:r>
      <w:r w:rsidR="00A22F7A" w:rsidRPr="00AE141E">
        <w:rPr>
          <w:rFonts w:ascii="Times New Roman" w:hAnsi="Times New Roman" w:cs="Times New Roman"/>
          <w:sz w:val="24"/>
          <w:szCs w:val="24"/>
        </w:rPr>
        <w:t xml:space="preserve">western civilisation’ as historically exceptional </w:t>
      </w:r>
      <w:r w:rsidR="00410025" w:rsidRPr="00AE141E">
        <w:rPr>
          <w:rFonts w:ascii="Times New Roman" w:hAnsi="Times New Roman" w:cs="Times New Roman"/>
          <w:sz w:val="24"/>
          <w:szCs w:val="24"/>
        </w:rPr>
        <w:t xml:space="preserve">in its ‘immense potential for </w:t>
      </w:r>
      <w:r w:rsidR="00410025" w:rsidRPr="00AE141E">
        <w:rPr>
          <w:rFonts w:ascii="Times New Roman" w:hAnsi="Times New Roman" w:cs="Times New Roman"/>
          <w:sz w:val="24"/>
          <w:szCs w:val="24"/>
        </w:rPr>
        <w:lastRenderedPageBreak/>
        <w:t>change’.</w:t>
      </w:r>
      <w:r w:rsidR="00521A4D" w:rsidRPr="00AE141E">
        <w:rPr>
          <w:rStyle w:val="FootnoteReference"/>
          <w:rFonts w:ascii="Times New Roman" w:hAnsi="Times New Roman" w:cs="Times New Roman"/>
          <w:sz w:val="24"/>
          <w:szCs w:val="24"/>
        </w:rPr>
        <w:footnoteReference w:id="272"/>
      </w:r>
      <w:r w:rsidR="00410025" w:rsidRPr="00AE141E">
        <w:rPr>
          <w:rFonts w:ascii="Times New Roman" w:hAnsi="Times New Roman" w:cs="Times New Roman"/>
          <w:sz w:val="24"/>
          <w:szCs w:val="24"/>
        </w:rPr>
        <w:t xml:space="preserve"> </w:t>
      </w:r>
      <w:r w:rsidR="002F5066" w:rsidRPr="00AE141E">
        <w:rPr>
          <w:rFonts w:ascii="Times New Roman" w:hAnsi="Times New Roman" w:cs="Times New Roman"/>
          <w:sz w:val="24"/>
          <w:szCs w:val="24"/>
        </w:rPr>
        <w:t>He</w:t>
      </w:r>
      <w:r w:rsidR="004E17A8" w:rsidRPr="00AE141E">
        <w:rPr>
          <w:rFonts w:ascii="Times New Roman" w:hAnsi="Times New Roman" w:cs="Times New Roman"/>
          <w:sz w:val="24"/>
          <w:szCs w:val="24"/>
        </w:rPr>
        <w:t xml:space="preserve"> accept</w:t>
      </w:r>
      <w:r w:rsidR="0014383B" w:rsidRPr="00AE141E">
        <w:rPr>
          <w:rFonts w:ascii="Times New Roman" w:hAnsi="Times New Roman" w:cs="Times New Roman"/>
          <w:sz w:val="24"/>
          <w:szCs w:val="24"/>
        </w:rPr>
        <w:t>ed</w:t>
      </w:r>
      <w:r w:rsidR="004E17A8" w:rsidRPr="00AE141E">
        <w:rPr>
          <w:rFonts w:ascii="Times New Roman" w:hAnsi="Times New Roman" w:cs="Times New Roman"/>
          <w:sz w:val="24"/>
          <w:szCs w:val="24"/>
        </w:rPr>
        <w:t xml:space="preserve"> that </w:t>
      </w:r>
      <w:r w:rsidR="00D9568E" w:rsidRPr="00AE141E">
        <w:rPr>
          <w:rFonts w:ascii="Times New Roman" w:hAnsi="Times New Roman" w:cs="Times New Roman"/>
          <w:sz w:val="24"/>
          <w:szCs w:val="24"/>
        </w:rPr>
        <w:t xml:space="preserve">the supposed changelessness of </w:t>
      </w:r>
      <w:r w:rsidR="00E17C98" w:rsidRPr="00AE141E">
        <w:rPr>
          <w:rFonts w:ascii="Times New Roman" w:hAnsi="Times New Roman" w:cs="Times New Roman"/>
          <w:sz w:val="24"/>
          <w:szCs w:val="24"/>
        </w:rPr>
        <w:t xml:space="preserve">non-European cultures ‘can be exaggerated’, </w:t>
      </w:r>
      <w:r w:rsidR="00C5573A" w:rsidRPr="00AE141E">
        <w:rPr>
          <w:rFonts w:ascii="Times New Roman" w:hAnsi="Times New Roman" w:cs="Times New Roman"/>
          <w:sz w:val="24"/>
          <w:szCs w:val="24"/>
        </w:rPr>
        <w:t>but</w:t>
      </w:r>
      <w:r w:rsidR="00E17C98" w:rsidRPr="00AE141E">
        <w:rPr>
          <w:rFonts w:ascii="Times New Roman" w:hAnsi="Times New Roman" w:cs="Times New Roman"/>
          <w:sz w:val="24"/>
          <w:szCs w:val="24"/>
        </w:rPr>
        <w:t xml:space="preserve"> </w:t>
      </w:r>
      <w:r w:rsidR="008D03F6" w:rsidRPr="00AE141E">
        <w:rPr>
          <w:rFonts w:ascii="Times New Roman" w:hAnsi="Times New Roman" w:cs="Times New Roman"/>
          <w:sz w:val="24"/>
          <w:szCs w:val="24"/>
        </w:rPr>
        <w:t>nonetheless</w:t>
      </w:r>
      <w:r w:rsidR="00E17C98" w:rsidRPr="00AE141E">
        <w:rPr>
          <w:rFonts w:ascii="Times New Roman" w:hAnsi="Times New Roman" w:cs="Times New Roman"/>
          <w:sz w:val="24"/>
          <w:szCs w:val="24"/>
        </w:rPr>
        <w:t xml:space="preserve"> posit</w:t>
      </w:r>
      <w:r w:rsidR="00E75FC1" w:rsidRPr="00AE141E">
        <w:rPr>
          <w:rFonts w:ascii="Times New Roman" w:hAnsi="Times New Roman" w:cs="Times New Roman"/>
          <w:sz w:val="24"/>
          <w:szCs w:val="24"/>
        </w:rPr>
        <w:t>ed</w:t>
      </w:r>
      <w:r w:rsidR="00E17C98" w:rsidRPr="00AE141E">
        <w:rPr>
          <w:rFonts w:ascii="Times New Roman" w:hAnsi="Times New Roman" w:cs="Times New Roman"/>
          <w:sz w:val="24"/>
          <w:szCs w:val="24"/>
        </w:rPr>
        <w:t xml:space="preserve"> that </w:t>
      </w:r>
      <w:r w:rsidR="00AF33F7" w:rsidRPr="00AE141E">
        <w:rPr>
          <w:rFonts w:ascii="Times New Roman" w:hAnsi="Times New Roman" w:cs="Times New Roman"/>
          <w:sz w:val="24"/>
          <w:szCs w:val="24"/>
        </w:rPr>
        <w:t xml:space="preserve">the study of any period within the past thousand years of ‘eastern civilisation’ </w:t>
      </w:r>
      <w:r w:rsidR="00E75FC1" w:rsidRPr="00AE141E">
        <w:rPr>
          <w:rFonts w:ascii="Times New Roman" w:hAnsi="Times New Roman" w:cs="Times New Roman"/>
          <w:sz w:val="24"/>
          <w:szCs w:val="24"/>
        </w:rPr>
        <w:t>could</w:t>
      </w:r>
      <w:r w:rsidR="00AF33F7" w:rsidRPr="00AE141E">
        <w:rPr>
          <w:rFonts w:ascii="Times New Roman" w:hAnsi="Times New Roman" w:cs="Times New Roman"/>
          <w:sz w:val="24"/>
          <w:szCs w:val="24"/>
        </w:rPr>
        <w:t xml:space="preserve"> provide a reliable guide to </w:t>
      </w:r>
      <w:r w:rsidR="002F5066" w:rsidRPr="00AE141E">
        <w:rPr>
          <w:rFonts w:ascii="Times New Roman" w:hAnsi="Times New Roman" w:cs="Times New Roman"/>
          <w:sz w:val="24"/>
          <w:szCs w:val="24"/>
        </w:rPr>
        <w:t>the rest of this history.</w:t>
      </w:r>
      <w:r w:rsidR="00797AA9" w:rsidRPr="00AE141E">
        <w:rPr>
          <w:rFonts w:ascii="Times New Roman" w:hAnsi="Times New Roman" w:cs="Times New Roman"/>
          <w:sz w:val="24"/>
          <w:szCs w:val="24"/>
        </w:rPr>
        <w:t xml:space="preserve"> </w:t>
      </w:r>
      <w:r w:rsidR="00F70DA3" w:rsidRPr="00AE141E">
        <w:rPr>
          <w:rFonts w:ascii="Times New Roman" w:hAnsi="Times New Roman" w:cs="Times New Roman"/>
          <w:sz w:val="24"/>
          <w:szCs w:val="24"/>
        </w:rPr>
        <w:t>Thus,</w:t>
      </w:r>
      <w:r w:rsidR="00F3689B" w:rsidRPr="00AE141E">
        <w:rPr>
          <w:rFonts w:ascii="Times New Roman" w:hAnsi="Times New Roman" w:cs="Times New Roman"/>
          <w:sz w:val="24"/>
          <w:szCs w:val="24"/>
        </w:rPr>
        <w:t xml:space="preserve"> binary categories of east and west </w:t>
      </w:r>
      <w:r w:rsidR="009F5A84" w:rsidRPr="00AE141E">
        <w:rPr>
          <w:rFonts w:ascii="Times New Roman" w:hAnsi="Times New Roman" w:cs="Times New Roman"/>
          <w:sz w:val="24"/>
          <w:szCs w:val="24"/>
        </w:rPr>
        <w:t>we</w:t>
      </w:r>
      <w:r w:rsidR="00F3689B" w:rsidRPr="00AE141E">
        <w:rPr>
          <w:rFonts w:ascii="Times New Roman" w:hAnsi="Times New Roman" w:cs="Times New Roman"/>
          <w:sz w:val="24"/>
          <w:szCs w:val="24"/>
        </w:rPr>
        <w:t xml:space="preserve">re used to mask immense cultural plurality, and ultimately to reify </w:t>
      </w:r>
      <w:r w:rsidR="00036A92" w:rsidRPr="00AE141E">
        <w:rPr>
          <w:rFonts w:ascii="Times New Roman" w:hAnsi="Times New Roman" w:cs="Times New Roman"/>
          <w:sz w:val="24"/>
          <w:szCs w:val="24"/>
        </w:rPr>
        <w:t xml:space="preserve">imagined </w:t>
      </w:r>
      <w:r w:rsidR="00D36BDF" w:rsidRPr="00AE141E">
        <w:rPr>
          <w:rFonts w:ascii="Times New Roman" w:hAnsi="Times New Roman" w:cs="Times New Roman"/>
          <w:sz w:val="24"/>
          <w:szCs w:val="24"/>
        </w:rPr>
        <w:t>cultural essences</w:t>
      </w:r>
      <w:r w:rsidR="00036A92" w:rsidRPr="00AE141E">
        <w:rPr>
          <w:rFonts w:ascii="Times New Roman" w:hAnsi="Times New Roman" w:cs="Times New Roman"/>
          <w:sz w:val="24"/>
          <w:szCs w:val="24"/>
        </w:rPr>
        <w:t xml:space="preserve"> as</w:t>
      </w:r>
      <w:r w:rsidR="00C279BF" w:rsidRPr="00AE141E">
        <w:rPr>
          <w:rFonts w:ascii="Times New Roman" w:hAnsi="Times New Roman" w:cs="Times New Roman"/>
          <w:sz w:val="24"/>
          <w:szCs w:val="24"/>
        </w:rPr>
        <w:t xml:space="preserve"> </w:t>
      </w:r>
      <w:r w:rsidR="00B43A66" w:rsidRPr="00AE141E">
        <w:rPr>
          <w:rFonts w:ascii="Times New Roman" w:hAnsi="Times New Roman" w:cs="Times New Roman"/>
          <w:sz w:val="24"/>
          <w:szCs w:val="24"/>
        </w:rPr>
        <w:t xml:space="preserve">the </w:t>
      </w:r>
      <w:r w:rsidR="002F4666" w:rsidRPr="00AE141E">
        <w:rPr>
          <w:rFonts w:ascii="Times New Roman" w:hAnsi="Times New Roman" w:cs="Times New Roman"/>
          <w:sz w:val="24"/>
          <w:szCs w:val="24"/>
        </w:rPr>
        <w:t xml:space="preserve">origins of an inescapable historical destiny. </w:t>
      </w:r>
    </w:p>
    <w:p w14:paraId="17BE1810" w14:textId="6AE5867C" w:rsidR="00053BD2" w:rsidRPr="00AE141E" w:rsidRDefault="00677D5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Hannam’s explanat</w:t>
      </w:r>
      <w:r w:rsidR="00DE67C1" w:rsidRPr="00AE141E">
        <w:rPr>
          <w:rFonts w:ascii="Times New Roman" w:hAnsi="Times New Roman" w:cs="Times New Roman"/>
          <w:sz w:val="24"/>
          <w:szCs w:val="24"/>
        </w:rPr>
        <w:t>ion of</w:t>
      </w:r>
      <w:r w:rsidR="005F57B1" w:rsidRPr="00AE141E">
        <w:rPr>
          <w:rFonts w:ascii="Times New Roman" w:hAnsi="Times New Roman" w:cs="Times New Roman"/>
          <w:sz w:val="24"/>
          <w:szCs w:val="24"/>
        </w:rPr>
        <w:t xml:space="preserve"> the historical process </w:t>
      </w:r>
      <w:r w:rsidR="00744691" w:rsidRPr="00AE141E">
        <w:rPr>
          <w:rFonts w:ascii="Times New Roman" w:hAnsi="Times New Roman" w:cs="Times New Roman"/>
          <w:sz w:val="24"/>
          <w:szCs w:val="24"/>
        </w:rPr>
        <w:t>was</w:t>
      </w:r>
      <w:r w:rsidR="005F57B1" w:rsidRPr="00AE141E">
        <w:rPr>
          <w:rFonts w:ascii="Times New Roman" w:hAnsi="Times New Roman" w:cs="Times New Roman"/>
          <w:sz w:val="24"/>
          <w:szCs w:val="24"/>
        </w:rPr>
        <w:t xml:space="preserve"> only marginally more complex</w:t>
      </w:r>
      <w:r w:rsidR="005E6ACA" w:rsidRPr="00AE141E">
        <w:rPr>
          <w:rFonts w:ascii="Times New Roman" w:hAnsi="Times New Roman" w:cs="Times New Roman"/>
          <w:sz w:val="24"/>
          <w:szCs w:val="24"/>
        </w:rPr>
        <w:t>; he critique</w:t>
      </w:r>
      <w:r w:rsidR="009F5A84" w:rsidRPr="00AE141E">
        <w:rPr>
          <w:rFonts w:ascii="Times New Roman" w:hAnsi="Times New Roman" w:cs="Times New Roman"/>
          <w:sz w:val="24"/>
          <w:szCs w:val="24"/>
        </w:rPr>
        <w:t>d</w:t>
      </w:r>
      <w:r w:rsidR="005E6ACA" w:rsidRPr="00AE141E">
        <w:rPr>
          <w:rFonts w:ascii="Times New Roman" w:hAnsi="Times New Roman" w:cs="Times New Roman"/>
          <w:sz w:val="24"/>
          <w:szCs w:val="24"/>
        </w:rPr>
        <w:t xml:space="preserve"> the identification of western culture with ‘civilisation’ (defined against eastern ‘barbarism’) but </w:t>
      </w:r>
      <w:r w:rsidR="00F266A4" w:rsidRPr="00AE141E">
        <w:rPr>
          <w:rFonts w:ascii="Times New Roman" w:hAnsi="Times New Roman" w:cs="Times New Roman"/>
          <w:sz w:val="24"/>
          <w:szCs w:val="24"/>
        </w:rPr>
        <w:t>was</w:t>
      </w:r>
      <w:r w:rsidR="000A170B" w:rsidRPr="00AE141E">
        <w:rPr>
          <w:rFonts w:ascii="Times New Roman" w:hAnsi="Times New Roman" w:cs="Times New Roman"/>
          <w:sz w:val="24"/>
          <w:szCs w:val="24"/>
        </w:rPr>
        <w:t xml:space="preserve"> prepared to justify assumptions of western superiority in the </w:t>
      </w:r>
      <w:r w:rsidR="00100F07" w:rsidRPr="00AE141E">
        <w:rPr>
          <w:rFonts w:ascii="Times New Roman" w:hAnsi="Times New Roman" w:cs="Times New Roman"/>
          <w:sz w:val="24"/>
          <w:szCs w:val="24"/>
        </w:rPr>
        <w:t>sphere of ‘technological progress’.</w:t>
      </w:r>
      <w:r w:rsidR="000466DB" w:rsidRPr="00AE141E">
        <w:rPr>
          <w:rStyle w:val="FootnoteReference"/>
          <w:rFonts w:ascii="Times New Roman" w:hAnsi="Times New Roman" w:cs="Times New Roman"/>
          <w:sz w:val="24"/>
          <w:szCs w:val="24"/>
        </w:rPr>
        <w:footnoteReference w:id="273"/>
      </w:r>
      <w:r w:rsidR="00100F07" w:rsidRPr="00AE141E">
        <w:rPr>
          <w:rFonts w:ascii="Times New Roman" w:hAnsi="Times New Roman" w:cs="Times New Roman"/>
          <w:sz w:val="24"/>
          <w:szCs w:val="24"/>
        </w:rPr>
        <w:t xml:space="preserve"> </w:t>
      </w:r>
      <w:r w:rsidR="00074AC2" w:rsidRPr="00AE141E">
        <w:rPr>
          <w:rFonts w:ascii="Times New Roman" w:hAnsi="Times New Roman" w:cs="Times New Roman"/>
          <w:sz w:val="24"/>
          <w:szCs w:val="24"/>
        </w:rPr>
        <w:t>Hannam then</w:t>
      </w:r>
      <w:r w:rsidR="00100F07" w:rsidRPr="00AE141E">
        <w:rPr>
          <w:rFonts w:ascii="Times New Roman" w:hAnsi="Times New Roman" w:cs="Times New Roman"/>
          <w:sz w:val="24"/>
          <w:szCs w:val="24"/>
        </w:rPr>
        <w:t xml:space="preserve"> </w:t>
      </w:r>
      <w:r w:rsidR="00F266A4" w:rsidRPr="00AE141E">
        <w:rPr>
          <w:rFonts w:ascii="Times New Roman" w:hAnsi="Times New Roman" w:cs="Times New Roman"/>
          <w:sz w:val="24"/>
          <w:szCs w:val="24"/>
        </w:rPr>
        <w:t>went</w:t>
      </w:r>
      <w:r w:rsidR="00100F07" w:rsidRPr="00AE141E">
        <w:rPr>
          <w:rFonts w:ascii="Times New Roman" w:hAnsi="Times New Roman" w:cs="Times New Roman"/>
          <w:sz w:val="24"/>
          <w:szCs w:val="24"/>
        </w:rPr>
        <w:t xml:space="preserve"> on to </w:t>
      </w:r>
      <w:r w:rsidR="007C08AA" w:rsidRPr="00AE141E">
        <w:rPr>
          <w:rFonts w:ascii="Times New Roman" w:hAnsi="Times New Roman" w:cs="Times New Roman"/>
          <w:sz w:val="24"/>
          <w:szCs w:val="24"/>
        </w:rPr>
        <w:t>describe</w:t>
      </w:r>
      <w:r w:rsidR="00744355" w:rsidRPr="00AE141E">
        <w:rPr>
          <w:rFonts w:ascii="Times New Roman" w:hAnsi="Times New Roman" w:cs="Times New Roman"/>
          <w:sz w:val="24"/>
          <w:szCs w:val="24"/>
        </w:rPr>
        <w:t xml:space="preserve"> </w:t>
      </w:r>
      <w:r w:rsidR="0069421D" w:rsidRPr="00AE141E">
        <w:rPr>
          <w:rFonts w:ascii="Times New Roman" w:hAnsi="Times New Roman" w:cs="Times New Roman"/>
          <w:sz w:val="24"/>
          <w:szCs w:val="24"/>
        </w:rPr>
        <w:t xml:space="preserve">‘the races of Africa, </w:t>
      </w:r>
      <w:r w:rsidR="00FF0462" w:rsidRPr="00AE141E">
        <w:rPr>
          <w:rFonts w:ascii="Times New Roman" w:hAnsi="Times New Roman" w:cs="Times New Roman"/>
          <w:sz w:val="24"/>
          <w:szCs w:val="24"/>
        </w:rPr>
        <w:t xml:space="preserve">the Melanesians and Polynesians, the modern Indians of South and North America and the </w:t>
      </w:r>
      <w:r w:rsidR="00797796" w:rsidRPr="00AE141E">
        <w:rPr>
          <w:rFonts w:ascii="Times New Roman" w:hAnsi="Times New Roman" w:cs="Times New Roman"/>
          <w:sz w:val="24"/>
          <w:szCs w:val="24"/>
        </w:rPr>
        <w:t xml:space="preserve">Eskimos’ as </w:t>
      </w:r>
      <w:r w:rsidR="000B30EB" w:rsidRPr="00AE141E">
        <w:rPr>
          <w:rFonts w:ascii="Times New Roman" w:hAnsi="Times New Roman" w:cs="Times New Roman"/>
          <w:sz w:val="24"/>
          <w:szCs w:val="24"/>
        </w:rPr>
        <w:t xml:space="preserve">civilisations </w:t>
      </w:r>
      <w:r w:rsidR="000652E0" w:rsidRPr="00AE141E">
        <w:rPr>
          <w:rFonts w:ascii="Times New Roman" w:hAnsi="Times New Roman" w:cs="Times New Roman"/>
          <w:sz w:val="24"/>
          <w:szCs w:val="24"/>
        </w:rPr>
        <w:t>which</w:t>
      </w:r>
      <w:r w:rsidR="00861754" w:rsidRPr="00AE141E">
        <w:rPr>
          <w:rFonts w:ascii="Times New Roman" w:hAnsi="Times New Roman" w:cs="Times New Roman"/>
          <w:sz w:val="24"/>
          <w:szCs w:val="24"/>
        </w:rPr>
        <w:t xml:space="preserve"> </w:t>
      </w:r>
      <w:r w:rsidR="00F266A4" w:rsidRPr="00AE141E">
        <w:rPr>
          <w:rFonts w:ascii="Times New Roman" w:hAnsi="Times New Roman" w:cs="Times New Roman"/>
          <w:sz w:val="24"/>
          <w:szCs w:val="24"/>
        </w:rPr>
        <w:t>had</w:t>
      </w:r>
      <w:r w:rsidR="00861754" w:rsidRPr="00AE141E">
        <w:rPr>
          <w:rFonts w:ascii="Times New Roman" w:hAnsi="Times New Roman" w:cs="Times New Roman"/>
          <w:sz w:val="24"/>
          <w:szCs w:val="24"/>
        </w:rPr>
        <w:t xml:space="preserve"> lost their </w:t>
      </w:r>
      <w:r w:rsidR="00F16877" w:rsidRPr="00AE141E">
        <w:rPr>
          <w:rFonts w:ascii="Times New Roman" w:hAnsi="Times New Roman" w:cs="Times New Roman"/>
          <w:sz w:val="24"/>
          <w:szCs w:val="24"/>
        </w:rPr>
        <w:t>‘powers of expansion’.</w:t>
      </w:r>
      <w:r w:rsidR="00797AA9" w:rsidRPr="00AE141E">
        <w:rPr>
          <w:rFonts w:ascii="Times New Roman" w:hAnsi="Times New Roman" w:cs="Times New Roman"/>
          <w:sz w:val="24"/>
          <w:szCs w:val="24"/>
        </w:rPr>
        <w:t xml:space="preserve"> </w:t>
      </w:r>
      <w:r w:rsidR="00F1332B" w:rsidRPr="00AE141E">
        <w:rPr>
          <w:rFonts w:ascii="Times New Roman" w:hAnsi="Times New Roman" w:cs="Times New Roman"/>
          <w:sz w:val="24"/>
          <w:szCs w:val="24"/>
        </w:rPr>
        <w:t>This formulation hint</w:t>
      </w:r>
      <w:r w:rsidR="003B4CAF" w:rsidRPr="00AE141E">
        <w:rPr>
          <w:rFonts w:ascii="Times New Roman" w:hAnsi="Times New Roman" w:cs="Times New Roman"/>
          <w:sz w:val="24"/>
          <w:szCs w:val="24"/>
        </w:rPr>
        <w:t>s</w:t>
      </w:r>
      <w:r w:rsidR="00213948" w:rsidRPr="00AE141E">
        <w:rPr>
          <w:rFonts w:ascii="Times New Roman" w:hAnsi="Times New Roman" w:cs="Times New Roman"/>
          <w:sz w:val="24"/>
          <w:szCs w:val="24"/>
        </w:rPr>
        <w:t xml:space="preserve"> </w:t>
      </w:r>
      <w:r w:rsidR="00F1332B" w:rsidRPr="00AE141E">
        <w:rPr>
          <w:rFonts w:ascii="Times New Roman" w:hAnsi="Times New Roman" w:cs="Times New Roman"/>
          <w:sz w:val="24"/>
          <w:szCs w:val="24"/>
        </w:rPr>
        <w:t xml:space="preserve">at </w:t>
      </w:r>
      <w:r w:rsidR="00D36BDF" w:rsidRPr="00AE141E">
        <w:rPr>
          <w:rFonts w:ascii="Times New Roman" w:hAnsi="Times New Roman" w:cs="Times New Roman"/>
          <w:sz w:val="24"/>
          <w:szCs w:val="24"/>
        </w:rPr>
        <w:t>an understanding of the essentially contingent nature of history</w:t>
      </w:r>
      <w:r w:rsidR="00F532B3" w:rsidRPr="00AE141E">
        <w:rPr>
          <w:rFonts w:ascii="Times New Roman" w:hAnsi="Times New Roman" w:cs="Times New Roman"/>
          <w:sz w:val="24"/>
          <w:szCs w:val="24"/>
        </w:rPr>
        <w:t xml:space="preserve"> </w:t>
      </w:r>
      <w:r w:rsidR="009B0119" w:rsidRPr="00AE141E">
        <w:rPr>
          <w:rFonts w:ascii="Times New Roman" w:hAnsi="Times New Roman" w:cs="Times New Roman"/>
          <w:sz w:val="24"/>
          <w:szCs w:val="24"/>
        </w:rPr>
        <w:t>but</w:t>
      </w:r>
      <w:r w:rsidR="00E54971" w:rsidRPr="00AE141E">
        <w:rPr>
          <w:rFonts w:ascii="Times New Roman" w:hAnsi="Times New Roman" w:cs="Times New Roman"/>
          <w:sz w:val="24"/>
          <w:szCs w:val="24"/>
        </w:rPr>
        <w:t xml:space="preserve"> </w:t>
      </w:r>
      <w:r w:rsidR="00760858" w:rsidRPr="00AE141E">
        <w:rPr>
          <w:rFonts w:ascii="Times New Roman" w:hAnsi="Times New Roman" w:cs="Times New Roman"/>
          <w:sz w:val="24"/>
          <w:szCs w:val="24"/>
        </w:rPr>
        <w:t>falsely posit</w:t>
      </w:r>
      <w:r w:rsidR="003B4CAF" w:rsidRPr="00AE141E">
        <w:rPr>
          <w:rFonts w:ascii="Times New Roman" w:hAnsi="Times New Roman" w:cs="Times New Roman"/>
          <w:sz w:val="24"/>
          <w:szCs w:val="24"/>
        </w:rPr>
        <w:t>s</w:t>
      </w:r>
      <w:r w:rsidR="00760858" w:rsidRPr="00AE141E">
        <w:rPr>
          <w:rFonts w:ascii="Times New Roman" w:hAnsi="Times New Roman" w:cs="Times New Roman"/>
          <w:sz w:val="24"/>
          <w:szCs w:val="24"/>
        </w:rPr>
        <w:t xml:space="preserve"> an unchanging eastern culture. </w:t>
      </w:r>
      <w:r w:rsidR="00DC4210" w:rsidRPr="00AE141E">
        <w:rPr>
          <w:rFonts w:ascii="Times New Roman" w:hAnsi="Times New Roman" w:cs="Times New Roman"/>
          <w:sz w:val="24"/>
          <w:szCs w:val="24"/>
        </w:rPr>
        <w:t xml:space="preserve">Even if read in the most charitable light – that </w:t>
      </w:r>
      <w:r w:rsidR="00F8060A" w:rsidRPr="00AE141E">
        <w:rPr>
          <w:rFonts w:ascii="Times New Roman" w:hAnsi="Times New Roman" w:cs="Times New Roman"/>
          <w:sz w:val="24"/>
          <w:szCs w:val="24"/>
        </w:rPr>
        <w:t>the capacity for change ha</w:t>
      </w:r>
      <w:r w:rsidR="00281090" w:rsidRPr="00AE141E">
        <w:rPr>
          <w:rFonts w:ascii="Times New Roman" w:hAnsi="Times New Roman" w:cs="Times New Roman"/>
          <w:sz w:val="24"/>
          <w:szCs w:val="24"/>
        </w:rPr>
        <w:t>d</w:t>
      </w:r>
      <w:r w:rsidR="00F8060A" w:rsidRPr="00AE141E">
        <w:rPr>
          <w:rFonts w:ascii="Times New Roman" w:hAnsi="Times New Roman" w:cs="Times New Roman"/>
          <w:sz w:val="24"/>
          <w:szCs w:val="24"/>
        </w:rPr>
        <w:t xml:space="preserve"> not been lost </w:t>
      </w:r>
      <w:r w:rsidR="00F8060A" w:rsidRPr="00AE141E">
        <w:rPr>
          <w:rFonts w:ascii="Times New Roman" w:hAnsi="Times New Roman" w:cs="Times New Roman"/>
          <w:i/>
          <w:sz w:val="24"/>
          <w:szCs w:val="24"/>
        </w:rPr>
        <w:t xml:space="preserve">by </w:t>
      </w:r>
      <w:r w:rsidR="00F8060A" w:rsidRPr="00AE141E">
        <w:rPr>
          <w:rFonts w:ascii="Times New Roman" w:hAnsi="Times New Roman" w:cs="Times New Roman"/>
          <w:sz w:val="24"/>
          <w:szCs w:val="24"/>
        </w:rPr>
        <w:t xml:space="preserve">societies but rather lost </w:t>
      </w:r>
      <w:r w:rsidR="00F8060A" w:rsidRPr="00AE141E">
        <w:rPr>
          <w:rFonts w:ascii="Times New Roman" w:hAnsi="Times New Roman" w:cs="Times New Roman"/>
          <w:i/>
          <w:sz w:val="24"/>
          <w:szCs w:val="24"/>
        </w:rPr>
        <w:t xml:space="preserve">to </w:t>
      </w:r>
      <w:r w:rsidR="00F8060A" w:rsidRPr="00AE141E">
        <w:rPr>
          <w:rFonts w:ascii="Times New Roman" w:hAnsi="Times New Roman" w:cs="Times New Roman"/>
          <w:sz w:val="24"/>
          <w:szCs w:val="24"/>
        </w:rPr>
        <w:t xml:space="preserve">the </w:t>
      </w:r>
      <w:r w:rsidR="00081815" w:rsidRPr="00AE141E">
        <w:rPr>
          <w:rFonts w:ascii="Times New Roman" w:hAnsi="Times New Roman" w:cs="Times New Roman"/>
          <w:sz w:val="24"/>
          <w:szCs w:val="24"/>
        </w:rPr>
        <w:t xml:space="preserve">trauma of colonisation – the passive phraseology </w:t>
      </w:r>
      <w:r w:rsidR="002A39E7" w:rsidRPr="00AE141E">
        <w:rPr>
          <w:rFonts w:ascii="Times New Roman" w:hAnsi="Times New Roman" w:cs="Times New Roman"/>
          <w:sz w:val="24"/>
          <w:szCs w:val="24"/>
        </w:rPr>
        <w:t>(“</w:t>
      </w:r>
      <w:r w:rsidR="005574F0" w:rsidRPr="00AE141E">
        <w:rPr>
          <w:rFonts w:ascii="Times New Roman" w:hAnsi="Times New Roman" w:cs="Times New Roman"/>
          <w:sz w:val="24"/>
          <w:szCs w:val="24"/>
        </w:rPr>
        <w:t>lost” rather than “taken”)</w:t>
      </w:r>
      <w:r w:rsidR="008C6127" w:rsidRPr="00AE141E">
        <w:rPr>
          <w:rFonts w:ascii="Times New Roman" w:hAnsi="Times New Roman" w:cs="Times New Roman"/>
          <w:sz w:val="24"/>
          <w:szCs w:val="24"/>
        </w:rPr>
        <w:t xml:space="preserve"> </w:t>
      </w:r>
      <w:r w:rsidR="009E28E2" w:rsidRPr="00AE141E">
        <w:rPr>
          <w:rFonts w:ascii="Times New Roman" w:hAnsi="Times New Roman" w:cs="Times New Roman"/>
          <w:sz w:val="24"/>
          <w:szCs w:val="24"/>
        </w:rPr>
        <w:t xml:space="preserve">seems calculated to </w:t>
      </w:r>
      <w:r w:rsidR="008C6127" w:rsidRPr="00AE141E">
        <w:rPr>
          <w:rFonts w:ascii="Times New Roman" w:hAnsi="Times New Roman" w:cs="Times New Roman"/>
          <w:sz w:val="24"/>
          <w:szCs w:val="24"/>
        </w:rPr>
        <w:t xml:space="preserve">obscure this </w:t>
      </w:r>
      <w:r w:rsidR="00D17B21" w:rsidRPr="00AE141E">
        <w:rPr>
          <w:rFonts w:ascii="Times New Roman" w:hAnsi="Times New Roman" w:cs="Times New Roman"/>
          <w:sz w:val="24"/>
          <w:szCs w:val="24"/>
        </w:rPr>
        <w:t>historical reality.</w:t>
      </w:r>
      <w:r w:rsidR="008A57FE" w:rsidRPr="00AE141E">
        <w:rPr>
          <w:rFonts w:ascii="Times New Roman" w:hAnsi="Times New Roman" w:cs="Times New Roman"/>
          <w:sz w:val="24"/>
          <w:szCs w:val="24"/>
        </w:rPr>
        <w:t xml:space="preserve"> </w:t>
      </w:r>
      <w:r w:rsidR="00B46192" w:rsidRPr="00AE141E">
        <w:rPr>
          <w:rFonts w:ascii="Times New Roman" w:hAnsi="Times New Roman" w:cs="Times New Roman"/>
          <w:sz w:val="24"/>
          <w:szCs w:val="24"/>
        </w:rPr>
        <w:t xml:space="preserve">Embedded within </w:t>
      </w:r>
      <w:r w:rsidR="001B2AC7" w:rsidRPr="00AE141E">
        <w:rPr>
          <w:rFonts w:ascii="Times New Roman" w:hAnsi="Times New Roman" w:cs="Times New Roman"/>
          <w:sz w:val="24"/>
          <w:szCs w:val="24"/>
        </w:rPr>
        <w:t xml:space="preserve">the work of Hannam, Ballard, and of several others </w:t>
      </w:r>
      <w:r w:rsidR="000371A1" w:rsidRPr="00AE141E">
        <w:rPr>
          <w:rFonts w:ascii="Times New Roman" w:hAnsi="Times New Roman" w:cs="Times New Roman"/>
          <w:sz w:val="24"/>
          <w:szCs w:val="24"/>
        </w:rPr>
        <w:t xml:space="preserve">included in the collection </w:t>
      </w:r>
      <w:r w:rsidR="00AE6B81" w:rsidRPr="00AE141E">
        <w:rPr>
          <w:rFonts w:ascii="Times New Roman" w:hAnsi="Times New Roman" w:cs="Times New Roman"/>
          <w:sz w:val="24"/>
          <w:szCs w:val="24"/>
        </w:rPr>
        <w:t>was</w:t>
      </w:r>
      <w:r w:rsidR="000371A1" w:rsidRPr="00AE141E">
        <w:rPr>
          <w:rFonts w:ascii="Times New Roman" w:hAnsi="Times New Roman" w:cs="Times New Roman"/>
          <w:sz w:val="24"/>
          <w:szCs w:val="24"/>
        </w:rPr>
        <w:t xml:space="preserve"> a cultural chauvinism which – despite explicit </w:t>
      </w:r>
      <w:r w:rsidR="00D73F03" w:rsidRPr="00AE141E">
        <w:rPr>
          <w:rFonts w:ascii="Times New Roman" w:hAnsi="Times New Roman" w:cs="Times New Roman"/>
          <w:sz w:val="24"/>
          <w:szCs w:val="24"/>
        </w:rPr>
        <w:t xml:space="preserve">statements to the contrary – </w:t>
      </w:r>
      <w:r w:rsidR="0019348B" w:rsidRPr="00AE141E">
        <w:rPr>
          <w:rFonts w:ascii="Times New Roman" w:hAnsi="Times New Roman" w:cs="Times New Roman"/>
          <w:sz w:val="24"/>
          <w:szCs w:val="24"/>
        </w:rPr>
        <w:t>takes</w:t>
      </w:r>
      <w:r w:rsidR="00D73F03" w:rsidRPr="00AE141E">
        <w:rPr>
          <w:rFonts w:ascii="Times New Roman" w:hAnsi="Times New Roman" w:cs="Times New Roman"/>
          <w:sz w:val="24"/>
          <w:szCs w:val="24"/>
        </w:rPr>
        <w:t xml:space="preserve"> a</w:t>
      </w:r>
      <w:r w:rsidR="0027616B" w:rsidRPr="00AE141E">
        <w:rPr>
          <w:rFonts w:ascii="Times New Roman" w:hAnsi="Times New Roman" w:cs="Times New Roman"/>
          <w:sz w:val="24"/>
          <w:szCs w:val="24"/>
        </w:rPr>
        <w:t xml:space="preserve"> specifically</w:t>
      </w:r>
      <w:r w:rsidR="00D73F03" w:rsidRPr="00AE141E">
        <w:rPr>
          <w:rFonts w:ascii="Times New Roman" w:hAnsi="Times New Roman" w:cs="Times New Roman"/>
          <w:sz w:val="24"/>
          <w:szCs w:val="24"/>
        </w:rPr>
        <w:t xml:space="preserve"> western European and North American </w:t>
      </w:r>
      <w:r w:rsidR="00FC15C7" w:rsidRPr="00AE141E">
        <w:rPr>
          <w:rFonts w:ascii="Times New Roman" w:hAnsi="Times New Roman" w:cs="Times New Roman"/>
          <w:sz w:val="24"/>
          <w:szCs w:val="24"/>
        </w:rPr>
        <w:t>model of socio-economic and political change as</w:t>
      </w:r>
      <w:r w:rsidR="0027616B" w:rsidRPr="00AE141E">
        <w:rPr>
          <w:rFonts w:ascii="Times New Roman" w:hAnsi="Times New Roman" w:cs="Times New Roman"/>
          <w:sz w:val="24"/>
          <w:szCs w:val="24"/>
        </w:rPr>
        <w:t xml:space="preserve"> the standard by which all societies must be judged.</w:t>
      </w:r>
      <w:r w:rsidR="00B97495">
        <w:rPr>
          <w:rFonts w:ascii="Times New Roman" w:hAnsi="Times New Roman" w:cs="Times New Roman"/>
          <w:sz w:val="24"/>
          <w:szCs w:val="24"/>
        </w:rPr>
        <w:t xml:space="preserve"> </w:t>
      </w:r>
      <w:r w:rsidR="00B97495" w:rsidRPr="00AE141E">
        <w:rPr>
          <w:rFonts w:ascii="Times New Roman" w:hAnsi="Times New Roman" w:cs="Times New Roman"/>
          <w:sz w:val="24"/>
          <w:szCs w:val="24"/>
        </w:rPr>
        <w:t>Thus, the world was divided into ‘primitive’ societies (characterised by absence and inadequacy) and ‘fully civilised’ societies assumed to have reached the apex of historical development.</w:t>
      </w:r>
      <w:r w:rsidR="00814E3C" w:rsidRPr="00AE141E">
        <w:rPr>
          <w:rStyle w:val="FootnoteReference"/>
          <w:rFonts w:ascii="Times New Roman" w:hAnsi="Times New Roman" w:cs="Times New Roman"/>
          <w:sz w:val="24"/>
          <w:szCs w:val="24"/>
        </w:rPr>
        <w:footnoteReference w:id="274"/>
      </w:r>
      <w:r w:rsidR="0027616B" w:rsidRPr="00AE141E">
        <w:rPr>
          <w:rFonts w:ascii="Times New Roman" w:hAnsi="Times New Roman" w:cs="Times New Roman"/>
          <w:sz w:val="24"/>
          <w:szCs w:val="24"/>
        </w:rPr>
        <w:t xml:space="preserve"> </w:t>
      </w:r>
    </w:p>
    <w:p w14:paraId="74A97768" w14:textId="68DC7432" w:rsidR="006A0D3E" w:rsidRPr="00AE141E" w:rsidRDefault="006A0D3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World history was self-consciously positioned as an alternative to the old school of imperial and Commonwealth history suited to the shifting power dynamics and ideological sensibilities of the post-war world. In some ways, this entailed projecting the present backwards onto the past. World history offered a narrative in which Britain was a secondary or supporting character and in which the empire largely disappeared from view. Unfortunately, as Watts so presciently observed, the disappearance of empire did not entail </w:t>
      </w:r>
      <w:r w:rsidRPr="00AE141E">
        <w:rPr>
          <w:rFonts w:ascii="Times New Roman" w:hAnsi="Times New Roman" w:cs="Times New Roman"/>
          <w:sz w:val="24"/>
          <w:szCs w:val="24"/>
        </w:rPr>
        <w:lastRenderedPageBreak/>
        <w:t xml:space="preserve">the disappearance of an imperial ideological framework. In fact, as we will see, the loss of opportunities </w:t>
      </w:r>
      <w:r w:rsidR="003F480C" w:rsidRPr="00AE141E">
        <w:rPr>
          <w:rFonts w:ascii="Times New Roman" w:hAnsi="Times New Roman" w:cs="Times New Roman"/>
          <w:sz w:val="24"/>
          <w:szCs w:val="24"/>
        </w:rPr>
        <w:t xml:space="preserve">for the critical study of empire and Commonwealth helped to reaffirm some of the foundational assumptions of </w:t>
      </w:r>
      <w:r w:rsidR="00E96E54" w:rsidRPr="00AE141E">
        <w:rPr>
          <w:rFonts w:ascii="Times New Roman" w:hAnsi="Times New Roman" w:cs="Times New Roman"/>
          <w:sz w:val="24"/>
          <w:szCs w:val="24"/>
        </w:rPr>
        <w:t>the ‘old school’ world history set out to supplant.</w:t>
      </w:r>
    </w:p>
    <w:p w14:paraId="4BBFF8F2" w14:textId="66DFAC3A" w:rsidR="009C2CB9" w:rsidRPr="00AE141E" w:rsidRDefault="004F368A"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Uptake of World History</w:t>
      </w:r>
    </w:p>
    <w:p w14:paraId="49B4C87B" w14:textId="3204E0E1" w:rsidR="00A65B9E" w:rsidRPr="00AE141E" w:rsidRDefault="004C1CC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All evidence suggests that world history was a small but rapidly growing field </w:t>
      </w:r>
      <w:r w:rsidR="00E25BCB" w:rsidRPr="00AE141E">
        <w:rPr>
          <w:rFonts w:ascii="Times New Roman" w:hAnsi="Times New Roman" w:cs="Times New Roman"/>
          <w:sz w:val="24"/>
          <w:szCs w:val="24"/>
        </w:rPr>
        <w:t>from</w:t>
      </w:r>
      <w:r w:rsidRPr="00AE141E">
        <w:rPr>
          <w:rFonts w:ascii="Times New Roman" w:hAnsi="Times New Roman" w:cs="Times New Roman"/>
          <w:sz w:val="24"/>
          <w:szCs w:val="24"/>
        </w:rPr>
        <w:t xml:space="preserve"> the mid- to late-1960s. The initial breakthrough seems to have been precipitated by the </w:t>
      </w:r>
      <w:r w:rsidR="008B5272" w:rsidRPr="00AE141E">
        <w:rPr>
          <w:rFonts w:ascii="Times New Roman" w:hAnsi="Times New Roman" w:cs="Times New Roman"/>
          <w:sz w:val="24"/>
          <w:szCs w:val="24"/>
        </w:rPr>
        <w:t xml:space="preserve">growing governmental preoccupation with </w:t>
      </w:r>
      <w:r w:rsidR="00475AA8" w:rsidRPr="00AE141E">
        <w:rPr>
          <w:rFonts w:ascii="Times New Roman" w:hAnsi="Times New Roman" w:cs="Times New Roman"/>
          <w:sz w:val="24"/>
          <w:szCs w:val="24"/>
        </w:rPr>
        <w:t xml:space="preserve">‘the average and less able aged eleven and above, the overwhelming majority of whom left school with no </w:t>
      </w:r>
      <w:r w:rsidR="00A321E3" w:rsidRPr="00AE141E">
        <w:rPr>
          <w:rFonts w:ascii="Times New Roman" w:hAnsi="Times New Roman" w:cs="Times New Roman"/>
          <w:sz w:val="24"/>
          <w:szCs w:val="24"/>
        </w:rPr>
        <w:t>qualifications’</w:t>
      </w:r>
      <w:r w:rsidR="00475AA8" w:rsidRPr="00AE141E">
        <w:rPr>
          <w:rFonts w:ascii="Times New Roman" w:hAnsi="Times New Roman" w:cs="Times New Roman"/>
          <w:sz w:val="24"/>
          <w:szCs w:val="24"/>
        </w:rPr>
        <w:t>.</w:t>
      </w:r>
      <w:r w:rsidR="00475AA8" w:rsidRPr="00AE141E">
        <w:rPr>
          <w:rStyle w:val="FootnoteReference"/>
          <w:rFonts w:ascii="Times New Roman" w:hAnsi="Times New Roman" w:cs="Times New Roman"/>
          <w:sz w:val="24"/>
          <w:szCs w:val="24"/>
        </w:rPr>
        <w:footnoteReference w:id="275"/>
      </w:r>
      <w:r w:rsidR="001F575A" w:rsidRPr="00AE141E">
        <w:rPr>
          <w:rFonts w:ascii="Times New Roman" w:hAnsi="Times New Roman" w:cs="Times New Roman"/>
          <w:sz w:val="24"/>
          <w:szCs w:val="24"/>
        </w:rPr>
        <w:t xml:space="preserve"> </w:t>
      </w:r>
      <w:r w:rsidR="00097FF6" w:rsidRPr="00AE141E">
        <w:rPr>
          <w:rFonts w:ascii="Times New Roman" w:hAnsi="Times New Roman" w:cs="Times New Roman"/>
          <w:sz w:val="24"/>
          <w:szCs w:val="24"/>
        </w:rPr>
        <w:t>Cannadine, Keating, and Sheldon</w:t>
      </w:r>
      <w:r w:rsidR="00696A5D" w:rsidRPr="00AE141E">
        <w:rPr>
          <w:rFonts w:ascii="Times New Roman" w:hAnsi="Times New Roman" w:cs="Times New Roman"/>
          <w:sz w:val="24"/>
          <w:szCs w:val="24"/>
        </w:rPr>
        <w:t xml:space="preserve"> have pointed to </w:t>
      </w:r>
      <w:r w:rsidR="003D39F4" w:rsidRPr="00AE141E">
        <w:rPr>
          <w:rFonts w:ascii="Times New Roman" w:hAnsi="Times New Roman" w:cs="Times New Roman"/>
          <w:sz w:val="24"/>
          <w:szCs w:val="24"/>
        </w:rPr>
        <w:t xml:space="preserve">the impact of </w:t>
      </w:r>
      <w:r w:rsidR="00D82001" w:rsidRPr="00AE141E">
        <w:rPr>
          <w:rFonts w:ascii="Times New Roman" w:hAnsi="Times New Roman" w:cs="Times New Roman"/>
          <w:sz w:val="24"/>
          <w:szCs w:val="24"/>
        </w:rPr>
        <w:t xml:space="preserve">the </w:t>
      </w:r>
      <w:r w:rsidR="006B0A33" w:rsidRPr="00AE141E">
        <w:rPr>
          <w:rFonts w:ascii="Times New Roman" w:hAnsi="Times New Roman" w:cs="Times New Roman"/>
          <w:sz w:val="24"/>
          <w:szCs w:val="24"/>
        </w:rPr>
        <w:t xml:space="preserve">1963 </w:t>
      </w:r>
      <w:r w:rsidR="003D39F4" w:rsidRPr="00AE141E">
        <w:rPr>
          <w:rFonts w:ascii="Times New Roman" w:hAnsi="Times New Roman" w:cs="Times New Roman"/>
          <w:sz w:val="24"/>
          <w:szCs w:val="24"/>
        </w:rPr>
        <w:t xml:space="preserve">Newsom </w:t>
      </w:r>
      <w:r w:rsidR="00D82001" w:rsidRPr="00AE141E">
        <w:rPr>
          <w:rFonts w:ascii="Times New Roman" w:hAnsi="Times New Roman" w:cs="Times New Roman"/>
          <w:sz w:val="24"/>
          <w:szCs w:val="24"/>
        </w:rPr>
        <w:t>Report</w:t>
      </w:r>
      <w:r w:rsidR="00E11330" w:rsidRPr="00AE141E">
        <w:rPr>
          <w:rFonts w:ascii="Times New Roman" w:hAnsi="Times New Roman" w:cs="Times New Roman"/>
          <w:sz w:val="24"/>
          <w:szCs w:val="24"/>
        </w:rPr>
        <w:t xml:space="preserve">, </w:t>
      </w:r>
      <w:r w:rsidR="006B0A33" w:rsidRPr="00AE141E">
        <w:rPr>
          <w:rFonts w:ascii="Times New Roman" w:hAnsi="Times New Roman" w:cs="Times New Roman"/>
          <w:sz w:val="24"/>
          <w:szCs w:val="24"/>
        </w:rPr>
        <w:t>which investigated the teaching of students ‘of average and less than average ability,’</w:t>
      </w:r>
      <w:r w:rsidR="00A64254" w:rsidRPr="00AE141E">
        <w:rPr>
          <w:rFonts w:ascii="Times New Roman" w:hAnsi="Times New Roman" w:cs="Times New Roman"/>
          <w:sz w:val="24"/>
          <w:szCs w:val="24"/>
        </w:rPr>
        <w:t xml:space="preserve"> </w:t>
      </w:r>
      <w:r w:rsidR="003D39F4" w:rsidRPr="00AE141E">
        <w:rPr>
          <w:rFonts w:ascii="Times New Roman" w:hAnsi="Times New Roman" w:cs="Times New Roman"/>
          <w:sz w:val="24"/>
          <w:szCs w:val="24"/>
        </w:rPr>
        <w:t>upon</w:t>
      </w:r>
      <w:r w:rsidR="006B0A33" w:rsidRPr="00AE141E">
        <w:rPr>
          <w:rFonts w:ascii="Times New Roman" w:hAnsi="Times New Roman" w:cs="Times New Roman"/>
          <w:sz w:val="24"/>
          <w:szCs w:val="24"/>
        </w:rPr>
        <w:t xml:space="preserve"> school</w:t>
      </w:r>
      <w:r w:rsidR="003D39F4" w:rsidRPr="00AE141E">
        <w:rPr>
          <w:rFonts w:ascii="Times New Roman" w:hAnsi="Times New Roman" w:cs="Times New Roman"/>
          <w:sz w:val="24"/>
          <w:szCs w:val="24"/>
        </w:rPr>
        <w:t xml:space="preserve"> history teaching</w:t>
      </w:r>
      <w:r w:rsidR="006B0A33" w:rsidRPr="00AE141E">
        <w:rPr>
          <w:rFonts w:ascii="Times New Roman" w:hAnsi="Times New Roman" w:cs="Times New Roman"/>
          <w:sz w:val="24"/>
          <w:szCs w:val="24"/>
        </w:rPr>
        <w:t>.</w:t>
      </w:r>
      <w:r w:rsidR="00B97495">
        <w:rPr>
          <w:rStyle w:val="FootnoteReference"/>
          <w:rFonts w:ascii="Times New Roman" w:hAnsi="Times New Roman" w:cs="Times New Roman"/>
          <w:sz w:val="24"/>
          <w:szCs w:val="24"/>
        </w:rPr>
        <w:footnoteReference w:id="276"/>
      </w:r>
      <w:r w:rsidR="003019B1" w:rsidRPr="00AE141E">
        <w:rPr>
          <w:rFonts w:ascii="Times New Roman" w:hAnsi="Times New Roman" w:cs="Times New Roman"/>
          <w:sz w:val="24"/>
          <w:szCs w:val="24"/>
        </w:rPr>
        <w:t xml:space="preserve"> </w:t>
      </w:r>
      <w:r w:rsidR="004B5EDD" w:rsidRPr="00AE141E">
        <w:rPr>
          <w:rFonts w:ascii="Times New Roman" w:hAnsi="Times New Roman" w:cs="Times New Roman"/>
          <w:sz w:val="24"/>
          <w:szCs w:val="24"/>
        </w:rPr>
        <w:t>New</w:t>
      </w:r>
      <w:r w:rsidR="00B97B95" w:rsidRPr="00AE141E">
        <w:rPr>
          <w:rFonts w:ascii="Times New Roman" w:hAnsi="Times New Roman" w:cs="Times New Roman"/>
          <w:sz w:val="24"/>
          <w:szCs w:val="24"/>
        </w:rPr>
        <w:t xml:space="preserve">som argued that </w:t>
      </w:r>
      <w:r w:rsidR="003C6261" w:rsidRPr="00AE141E">
        <w:rPr>
          <w:rFonts w:ascii="Times New Roman" w:hAnsi="Times New Roman" w:cs="Times New Roman"/>
          <w:sz w:val="24"/>
          <w:szCs w:val="24"/>
        </w:rPr>
        <w:t>‘</w:t>
      </w:r>
      <w:r w:rsidR="008A0357" w:rsidRPr="00AE141E">
        <w:rPr>
          <w:rFonts w:ascii="Times New Roman" w:hAnsi="Times New Roman" w:cs="Times New Roman"/>
          <w:sz w:val="24"/>
          <w:szCs w:val="24"/>
        </w:rPr>
        <w:t>young school leavers</w:t>
      </w:r>
      <w:r w:rsidR="003C6261" w:rsidRPr="00AE141E">
        <w:rPr>
          <w:rFonts w:ascii="Times New Roman" w:hAnsi="Times New Roman" w:cs="Times New Roman"/>
          <w:sz w:val="24"/>
          <w:szCs w:val="24"/>
        </w:rPr>
        <w:t>’</w:t>
      </w:r>
      <w:r w:rsidR="00B97B95" w:rsidRPr="00AE141E">
        <w:rPr>
          <w:rFonts w:ascii="Times New Roman" w:hAnsi="Times New Roman" w:cs="Times New Roman"/>
          <w:sz w:val="24"/>
          <w:szCs w:val="24"/>
        </w:rPr>
        <w:t xml:space="preserve"> (</w:t>
      </w:r>
      <w:r w:rsidR="003C6261" w:rsidRPr="00AE141E">
        <w:rPr>
          <w:rFonts w:ascii="Times New Roman" w:hAnsi="Times New Roman" w:cs="Times New Roman"/>
          <w:sz w:val="24"/>
          <w:szCs w:val="24"/>
        </w:rPr>
        <w:t>those leaving secondary</w:t>
      </w:r>
      <w:r w:rsidR="00D6637E" w:rsidRPr="00AE141E">
        <w:rPr>
          <w:rFonts w:ascii="Times New Roman" w:hAnsi="Times New Roman" w:cs="Times New Roman"/>
          <w:sz w:val="24"/>
          <w:szCs w:val="24"/>
        </w:rPr>
        <w:t xml:space="preserve"> education </w:t>
      </w:r>
      <w:r w:rsidR="00D9157A" w:rsidRPr="00AE141E">
        <w:rPr>
          <w:rFonts w:ascii="Times New Roman" w:hAnsi="Times New Roman" w:cs="Times New Roman"/>
          <w:sz w:val="24"/>
          <w:szCs w:val="24"/>
        </w:rPr>
        <w:t xml:space="preserve">at 15) </w:t>
      </w:r>
      <w:r w:rsidR="008A0357" w:rsidRPr="00AE141E">
        <w:rPr>
          <w:rFonts w:ascii="Times New Roman" w:hAnsi="Times New Roman" w:cs="Times New Roman"/>
          <w:sz w:val="24"/>
          <w:szCs w:val="24"/>
        </w:rPr>
        <w:t xml:space="preserve">were </w:t>
      </w:r>
      <w:r w:rsidR="003D39F4" w:rsidRPr="00AE141E">
        <w:rPr>
          <w:rFonts w:ascii="Times New Roman" w:hAnsi="Times New Roman" w:cs="Times New Roman"/>
          <w:sz w:val="24"/>
          <w:szCs w:val="24"/>
        </w:rPr>
        <w:t>chiefly</w:t>
      </w:r>
      <w:r w:rsidR="008A0357" w:rsidRPr="00AE141E">
        <w:rPr>
          <w:rFonts w:ascii="Times New Roman" w:hAnsi="Times New Roman" w:cs="Times New Roman"/>
          <w:sz w:val="24"/>
          <w:szCs w:val="24"/>
        </w:rPr>
        <w:t xml:space="preserve"> concerned with the </w:t>
      </w:r>
      <w:r w:rsidR="00951C27" w:rsidRPr="00AE141E">
        <w:rPr>
          <w:rFonts w:ascii="Times New Roman" w:hAnsi="Times New Roman" w:cs="Times New Roman"/>
          <w:sz w:val="24"/>
          <w:szCs w:val="24"/>
        </w:rPr>
        <w:t xml:space="preserve">practical </w:t>
      </w:r>
      <w:r w:rsidR="00F152A2" w:rsidRPr="00AE141E">
        <w:rPr>
          <w:rFonts w:ascii="Times New Roman" w:hAnsi="Times New Roman" w:cs="Times New Roman"/>
          <w:sz w:val="24"/>
          <w:szCs w:val="24"/>
        </w:rPr>
        <w:t>value of their studies</w:t>
      </w:r>
      <w:r w:rsidR="009901DF" w:rsidRPr="00AE141E">
        <w:rPr>
          <w:rFonts w:ascii="Times New Roman" w:hAnsi="Times New Roman" w:cs="Times New Roman"/>
          <w:sz w:val="24"/>
          <w:szCs w:val="24"/>
        </w:rPr>
        <w:t>. As such,</w:t>
      </w:r>
      <w:r w:rsidR="00F152A2" w:rsidRPr="00AE141E">
        <w:rPr>
          <w:rFonts w:ascii="Times New Roman" w:hAnsi="Times New Roman" w:cs="Times New Roman"/>
          <w:sz w:val="24"/>
          <w:szCs w:val="24"/>
        </w:rPr>
        <w:t xml:space="preserve"> the report</w:t>
      </w:r>
      <w:r w:rsidR="00797EBE" w:rsidRPr="00AE141E">
        <w:rPr>
          <w:rFonts w:ascii="Times New Roman" w:hAnsi="Times New Roman" w:cs="Times New Roman"/>
          <w:sz w:val="24"/>
          <w:szCs w:val="24"/>
        </w:rPr>
        <w:t xml:space="preserve"> </w:t>
      </w:r>
      <w:r w:rsidR="009901DF" w:rsidRPr="00AE141E">
        <w:rPr>
          <w:rFonts w:ascii="Times New Roman" w:hAnsi="Times New Roman" w:cs="Times New Roman"/>
          <w:sz w:val="24"/>
          <w:szCs w:val="24"/>
        </w:rPr>
        <w:t>called for teachers to stress the</w:t>
      </w:r>
      <w:r w:rsidR="00951C27" w:rsidRPr="00AE141E">
        <w:rPr>
          <w:rFonts w:ascii="Times New Roman" w:hAnsi="Times New Roman" w:cs="Times New Roman"/>
          <w:sz w:val="24"/>
          <w:szCs w:val="24"/>
        </w:rPr>
        <w:t xml:space="preserve"> </w:t>
      </w:r>
      <w:r w:rsidR="003E7BFE" w:rsidRPr="00AE141E">
        <w:rPr>
          <w:rFonts w:ascii="Times New Roman" w:hAnsi="Times New Roman" w:cs="Times New Roman"/>
          <w:sz w:val="24"/>
          <w:szCs w:val="24"/>
        </w:rPr>
        <w:t>contemporary</w:t>
      </w:r>
      <w:r w:rsidR="00951C27" w:rsidRPr="00AE141E">
        <w:rPr>
          <w:rFonts w:ascii="Times New Roman" w:hAnsi="Times New Roman" w:cs="Times New Roman"/>
          <w:sz w:val="24"/>
          <w:szCs w:val="24"/>
        </w:rPr>
        <w:t xml:space="preserve"> relevance of history</w:t>
      </w:r>
      <w:r w:rsidR="00DE2AB2" w:rsidRPr="00AE141E">
        <w:rPr>
          <w:rFonts w:ascii="Times New Roman" w:hAnsi="Times New Roman" w:cs="Times New Roman"/>
          <w:sz w:val="24"/>
          <w:szCs w:val="24"/>
        </w:rPr>
        <w:t>; syllabi needed to illuminate ‘the world in which they [the students] live, not only the world in which their fathers were born’.</w:t>
      </w:r>
      <w:r w:rsidR="003D39F4" w:rsidRPr="00AE141E">
        <w:rPr>
          <w:rStyle w:val="FootnoteReference"/>
          <w:rFonts w:ascii="Times New Roman" w:hAnsi="Times New Roman" w:cs="Times New Roman"/>
          <w:sz w:val="24"/>
          <w:szCs w:val="24"/>
        </w:rPr>
        <w:footnoteReference w:id="277"/>
      </w:r>
      <w:r w:rsidR="00440B63" w:rsidRPr="00AE141E">
        <w:rPr>
          <w:rFonts w:ascii="Times New Roman" w:hAnsi="Times New Roman" w:cs="Times New Roman"/>
          <w:sz w:val="24"/>
          <w:szCs w:val="24"/>
        </w:rPr>
        <w:t xml:space="preserve"> </w:t>
      </w:r>
      <w:r w:rsidR="00C11325" w:rsidRPr="00AE141E">
        <w:rPr>
          <w:rFonts w:ascii="Times New Roman" w:hAnsi="Times New Roman" w:cs="Times New Roman"/>
          <w:sz w:val="24"/>
          <w:szCs w:val="24"/>
        </w:rPr>
        <w:t xml:space="preserve"> </w:t>
      </w:r>
      <w:r w:rsidR="00440B63" w:rsidRPr="00AE141E">
        <w:rPr>
          <w:rFonts w:ascii="Times New Roman" w:hAnsi="Times New Roman" w:cs="Times New Roman"/>
          <w:sz w:val="24"/>
          <w:szCs w:val="24"/>
        </w:rPr>
        <w:t>This was a</w:t>
      </w:r>
      <w:r w:rsidR="004A43CC" w:rsidRPr="00AE141E">
        <w:rPr>
          <w:rFonts w:ascii="Times New Roman" w:hAnsi="Times New Roman" w:cs="Times New Roman"/>
          <w:sz w:val="24"/>
          <w:szCs w:val="24"/>
        </w:rPr>
        <w:t xml:space="preserve">n era </w:t>
      </w:r>
      <w:r w:rsidR="00440B63" w:rsidRPr="00AE141E">
        <w:rPr>
          <w:rFonts w:ascii="Times New Roman" w:hAnsi="Times New Roman" w:cs="Times New Roman"/>
          <w:sz w:val="24"/>
          <w:szCs w:val="24"/>
        </w:rPr>
        <w:t xml:space="preserve">defined by </w:t>
      </w:r>
      <w:r w:rsidR="004A43CC" w:rsidRPr="00AE141E">
        <w:rPr>
          <w:rFonts w:ascii="Times New Roman" w:hAnsi="Times New Roman" w:cs="Times New Roman"/>
          <w:sz w:val="24"/>
          <w:szCs w:val="24"/>
        </w:rPr>
        <w:t>global</w:t>
      </w:r>
      <w:r w:rsidR="00440B63" w:rsidRPr="00AE141E">
        <w:rPr>
          <w:rFonts w:ascii="Times New Roman" w:hAnsi="Times New Roman" w:cs="Times New Roman"/>
          <w:sz w:val="24"/>
          <w:szCs w:val="24"/>
        </w:rPr>
        <w:t xml:space="preserve"> interconnectedness </w:t>
      </w:r>
      <w:r w:rsidR="00C11325" w:rsidRPr="00AE141E">
        <w:rPr>
          <w:rFonts w:ascii="Times New Roman" w:hAnsi="Times New Roman" w:cs="Times New Roman"/>
          <w:sz w:val="24"/>
          <w:szCs w:val="24"/>
        </w:rPr>
        <w:t>– th</w:t>
      </w:r>
      <w:r w:rsidR="00AC461C" w:rsidRPr="00AE141E">
        <w:rPr>
          <w:rFonts w:ascii="Times New Roman" w:hAnsi="Times New Roman" w:cs="Times New Roman"/>
          <w:sz w:val="24"/>
          <w:szCs w:val="24"/>
        </w:rPr>
        <w:t>e prob</w:t>
      </w:r>
      <w:r w:rsidR="00440B63" w:rsidRPr="00AE141E">
        <w:rPr>
          <w:rFonts w:ascii="Times New Roman" w:hAnsi="Times New Roman" w:cs="Times New Roman"/>
          <w:sz w:val="24"/>
          <w:szCs w:val="24"/>
        </w:rPr>
        <w:t xml:space="preserve">lems of contemporary history </w:t>
      </w:r>
      <w:r w:rsidR="003E79F6" w:rsidRPr="00AE141E">
        <w:rPr>
          <w:rFonts w:ascii="Times New Roman" w:hAnsi="Times New Roman" w:cs="Times New Roman"/>
          <w:sz w:val="24"/>
          <w:szCs w:val="24"/>
        </w:rPr>
        <w:t>were</w:t>
      </w:r>
      <w:r w:rsidR="008658BA" w:rsidRPr="00AE141E">
        <w:rPr>
          <w:rFonts w:ascii="Times New Roman" w:hAnsi="Times New Roman" w:cs="Times New Roman"/>
          <w:sz w:val="24"/>
          <w:szCs w:val="24"/>
        </w:rPr>
        <w:t xml:space="preserve"> </w:t>
      </w:r>
      <w:r w:rsidR="003E79F6" w:rsidRPr="00AE141E">
        <w:rPr>
          <w:rFonts w:ascii="Times New Roman" w:hAnsi="Times New Roman" w:cs="Times New Roman"/>
          <w:sz w:val="24"/>
          <w:szCs w:val="24"/>
        </w:rPr>
        <w:t>‘</w:t>
      </w:r>
      <w:r w:rsidR="008658BA" w:rsidRPr="00AE141E">
        <w:rPr>
          <w:rFonts w:ascii="Times New Roman" w:hAnsi="Times New Roman" w:cs="Times New Roman"/>
          <w:sz w:val="24"/>
          <w:szCs w:val="24"/>
        </w:rPr>
        <w:t>world problems’.</w:t>
      </w:r>
    </w:p>
    <w:p w14:paraId="3F4A6971" w14:textId="3BA8B26E" w:rsidR="004C1CCE" w:rsidRPr="00AE141E" w:rsidRDefault="00DA2B0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Newsom was accompanied by </w:t>
      </w:r>
      <w:r w:rsidR="004C1CCE" w:rsidRPr="00AE141E">
        <w:rPr>
          <w:rFonts w:ascii="Times New Roman" w:hAnsi="Times New Roman" w:cs="Times New Roman"/>
          <w:sz w:val="24"/>
          <w:szCs w:val="24"/>
        </w:rPr>
        <w:t>significant revisions to public examination practice. The old system of G</w:t>
      </w:r>
      <w:r w:rsidR="00FF4455" w:rsidRPr="00AE141E">
        <w:rPr>
          <w:rFonts w:ascii="Times New Roman" w:hAnsi="Times New Roman" w:cs="Times New Roman"/>
          <w:sz w:val="24"/>
          <w:szCs w:val="24"/>
        </w:rPr>
        <w:t>C</w:t>
      </w:r>
      <w:r w:rsidR="004C1CCE" w:rsidRPr="00AE141E">
        <w:rPr>
          <w:rFonts w:ascii="Times New Roman" w:hAnsi="Times New Roman" w:cs="Times New Roman"/>
          <w:sz w:val="24"/>
          <w:szCs w:val="24"/>
        </w:rPr>
        <w:t>E examinations, divided into Ordinary (‘O’) and Advanced (‘A’) Levels, was only designed for the country’s top academic performers.</w:t>
      </w:r>
      <w:r w:rsidR="009E17EA" w:rsidRPr="00AE141E">
        <w:rPr>
          <w:rStyle w:val="FootnoteReference"/>
          <w:rFonts w:ascii="Times New Roman" w:hAnsi="Times New Roman" w:cs="Times New Roman"/>
          <w:sz w:val="24"/>
          <w:szCs w:val="24"/>
        </w:rPr>
        <w:footnoteReference w:id="278"/>
      </w:r>
      <w:r w:rsidR="004C1CCE" w:rsidRPr="00AE141E">
        <w:rPr>
          <w:rFonts w:ascii="Times New Roman" w:hAnsi="Times New Roman" w:cs="Times New Roman"/>
          <w:sz w:val="24"/>
          <w:szCs w:val="24"/>
        </w:rPr>
        <w:t xml:space="preserve"> Those students identified as ‘weak’ by their teachers – disproportionately concentrated in </w:t>
      </w:r>
      <w:r w:rsidR="00084215" w:rsidRPr="00AE141E">
        <w:rPr>
          <w:rFonts w:ascii="Times New Roman" w:hAnsi="Times New Roman" w:cs="Times New Roman"/>
          <w:sz w:val="24"/>
          <w:szCs w:val="24"/>
        </w:rPr>
        <w:t>s</w:t>
      </w:r>
      <w:r w:rsidR="004C1CCE" w:rsidRPr="00AE141E">
        <w:rPr>
          <w:rFonts w:ascii="Times New Roman" w:hAnsi="Times New Roman" w:cs="Times New Roman"/>
          <w:sz w:val="24"/>
          <w:szCs w:val="24"/>
        </w:rPr>
        <w:t xml:space="preserve">econdary </w:t>
      </w:r>
      <w:r w:rsidR="00084215" w:rsidRPr="00AE141E">
        <w:rPr>
          <w:rFonts w:ascii="Times New Roman" w:hAnsi="Times New Roman" w:cs="Times New Roman"/>
          <w:sz w:val="24"/>
          <w:szCs w:val="24"/>
        </w:rPr>
        <w:t>m</w:t>
      </w:r>
      <w:r w:rsidR="004C1CCE" w:rsidRPr="00AE141E">
        <w:rPr>
          <w:rFonts w:ascii="Times New Roman" w:hAnsi="Times New Roman" w:cs="Times New Roman"/>
          <w:sz w:val="24"/>
          <w:szCs w:val="24"/>
        </w:rPr>
        <w:t xml:space="preserve">odern and </w:t>
      </w:r>
      <w:r w:rsidR="00084215" w:rsidRPr="00AE141E">
        <w:rPr>
          <w:rFonts w:ascii="Times New Roman" w:hAnsi="Times New Roman" w:cs="Times New Roman"/>
          <w:sz w:val="24"/>
          <w:szCs w:val="24"/>
        </w:rPr>
        <w:t>c</w:t>
      </w:r>
      <w:r w:rsidR="004C1CCE" w:rsidRPr="00AE141E">
        <w:rPr>
          <w:rFonts w:ascii="Times New Roman" w:hAnsi="Times New Roman" w:cs="Times New Roman"/>
          <w:sz w:val="24"/>
          <w:szCs w:val="24"/>
        </w:rPr>
        <w:t xml:space="preserve">omprehensive schools – were frequently debarred from even sitting these exams. In an increasingly competitive job market, such widespread exclusion from qualifications was no longer sustainable. The Certificate of Secondary Education (hereafter CSE) was therefore introduced in 1965, with the </w:t>
      </w:r>
      <w:r w:rsidR="009B6AA7" w:rsidRPr="00AE141E">
        <w:rPr>
          <w:rFonts w:ascii="Times New Roman" w:hAnsi="Times New Roman" w:cs="Times New Roman"/>
          <w:sz w:val="24"/>
          <w:szCs w:val="24"/>
        </w:rPr>
        <w:t>aim</w:t>
      </w:r>
      <w:r w:rsidR="004C1CCE" w:rsidRPr="00AE141E">
        <w:rPr>
          <w:rFonts w:ascii="Times New Roman" w:hAnsi="Times New Roman" w:cs="Times New Roman"/>
          <w:sz w:val="24"/>
          <w:szCs w:val="24"/>
        </w:rPr>
        <w:t xml:space="preserve"> of offering a less academically demanding alternative to O Levels (a CSE Grade I was equivalent to an O Level pass).</w:t>
      </w:r>
    </w:p>
    <w:p w14:paraId="66C43C29" w14:textId="599E9188" w:rsidR="004A432D" w:rsidRPr="00AE141E" w:rsidRDefault="004C1CC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The</w:t>
      </w:r>
      <w:r w:rsidR="009133DA" w:rsidRPr="00AE141E">
        <w:rPr>
          <w:rFonts w:ascii="Times New Roman" w:hAnsi="Times New Roman" w:cs="Times New Roman"/>
          <w:sz w:val="24"/>
          <w:szCs w:val="24"/>
        </w:rPr>
        <w:t xml:space="preserve"> arrival of</w:t>
      </w:r>
      <w:r w:rsidR="008C73AD" w:rsidRPr="00AE141E">
        <w:rPr>
          <w:rFonts w:ascii="Times New Roman" w:hAnsi="Times New Roman" w:cs="Times New Roman"/>
          <w:sz w:val="24"/>
          <w:szCs w:val="24"/>
        </w:rPr>
        <w:t xml:space="preserve"> the</w:t>
      </w:r>
      <w:r w:rsidRPr="00AE141E">
        <w:rPr>
          <w:rFonts w:ascii="Times New Roman" w:hAnsi="Times New Roman" w:cs="Times New Roman"/>
          <w:sz w:val="24"/>
          <w:szCs w:val="24"/>
        </w:rPr>
        <w:t xml:space="preserve"> CSE had a</w:t>
      </w:r>
      <w:r w:rsidR="0035722A" w:rsidRPr="00AE141E">
        <w:rPr>
          <w:rFonts w:ascii="Times New Roman" w:hAnsi="Times New Roman" w:cs="Times New Roman"/>
          <w:sz w:val="24"/>
          <w:szCs w:val="24"/>
        </w:rPr>
        <w:t xml:space="preserve"> substantial </w:t>
      </w:r>
      <w:r w:rsidRPr="00AE141E">
        <w:rPr>
          <w:rFonts w:ascii="Times New Roman" w:hAnsi="Times New Roman" w:cs="Times New Roman"/>
          <w:sz w:val="24"/>
          <w:szCs w:val="24"/>
        </w:rPr>
        <w:t>impact on the teaching of history</w:t>
      </w:r>
      <w:r w:rsidR="001D0AE4" w:rsidRPr="00AE141E">
        <w:rPr>
          <w:rFonts w:ascii="Times New Roman" w:hAnsi="Times New Roman" w:cs="Times New Roman"/>
          <w:sz w:val="24"/>
          <w:szCs w:val="24"/>
        </w:rPr>
        <w:t>. This was</w:t>
      </w:r>
      <w:r w:rsidR="00D66C73" w:rsidRPr="00AE141E">
        <w:rPr>
          <w:rFonts w:ascii="Times New Roman" w:hAnsi="Times New Roman" w:cs="Times New Roman"/>
          <w:sz w:val="24"/>
          <w:szCs w:val="24"/>
        </w:rPr>
        <w:t xml:space="preserve"> </w:t>
      </w:r>
      <w:r w:rsidR="007E098A" w:rsidRPr="00AE141E">
        <w:rPr>
          <w:rFonts w:ascii="Times New Roman" w:hAnsi="Times New Roman" w:cs="Times New Roman"/>
          <w:sz w:val="24"/>
          <w:szCs w:val="24"/>
        </w:rPr>
        <w:t xml:space="preserve">especially </w:t>
      </w:r>
      <w:r w:rsidR="001D0AE4" w:rsidRPr="00AE141E">
        <w:rPr>
          <w:rFonts w:ascii="Times New Roman" w:hAnsi="Times New Roman" w:cs="Times New Roman"/>
          <w:sz w:val="24"/>
          <w:szCs w:val="24"/>
        </w:rPr>
        <w:t>true of</w:t>
      </w:r>
      <w:r w:rsidRPr="00AE141E">
        <w:rPr>
          <w:rFonts w:ascii="Times New Roman" w:hAnsi="Times New Roman" w:cs="Times New Roman"/>
          <w:sz w:val="24"/>
          <w:szCs w:val="24"/>
        </w:rPr>
        <w:t xml:space="preserve"> </w:t>
      </w:r>
      <w:r w:rsidR="00761075" w:rsidRPr="00AE141E">
        <w:rPr>
          <w:rFonts w:ascii="Times New Roman" w:hAnsi="Times New Roman" w:cs="Times New Roman"/>
          <w:sz w:val="24"/>
          <w:szCs w:val="24"/>
        </w:rPr>
        <w:t>s</w:t>
      </w:r>
      <w:r w:rsidRPr="00AE141E">
        <w:rPr>
          <w:rFonts w:ascii="Times New Roman" w:hAnsi="Times New Roman" w:cs="Times New Roman"/>
          <w:sz w:val="24"/>
          <w:szCs w:val="24"/>
        </w:rPr>
        <w:t xml:space="preserve">econdary </w:t>
      </w:r>
      <w:r w:rsidR="00761075" w:rsidRPr="00AE141E">
        <w:rPr>
          <w:rFonts w:ascii="Times New Roman" w:hAnsi="Times New Roman" w:cs="Times New Roman"/>
          <w:sz w:val="24"/>
          <w:szCs w:val="24"/>
        </w:rPr>
        <w:t>m</w:t>
      </w:r>
      <w:r w:rsidRPr="00AE141E">
        <w:rPr>
          <w:rFonts w:ascii="Times New Roman" w:hAnsi="Times New Roman" w:cs="Times New Roman"/>
          <w:sz w:val="24"/>
          <w:szCs w:val="24"/>
        </w:rPr>
        <w:t>odern</w:t>
      </w:r>
      <w:r w:rsidR="001D0AE4" w:rsidRPr="00AE141E">
        <w:rPr>
          <w:rFonts w:ascii="Times New Roman" w:hAnsi="Times New Roman" w:cs="Times New Roman"/>
          <w:sz w:val="24"/>
          <w:szCs w:val="24"/>
        </w:rPr>
        <w:t xml:space="preserve"> schools</w:t>
      </w:r>
      <w:r w:rsidR="007E098A" w:rsidRPr="00AE141E">
        <w:rPr>
          <w:rFonts w:ascii="Times New Roman" w:hAnsi="Times New Roman" w:cs="Times New Roman"/>
          <w:sz w:val="24"/>
          <w:szCs w:val="24"/>
        </w:rPr>
        <w:t>, for which it was originally designed,</w:t>
      </w:r>
      <w:r w:rsidRPr="00AE141E">
        <w:rPr>
          <w:rFonts w:ascii="Times New Roman" w:hAnsi="Times New Roman" w:cs="Times New Roman"/>
          <w:sz w:val="24"/>
          <w:szCs w:val="24"/>
        </w:rPr>
        <w:t xml:space="preserve"> and </w:t>
      </w:r>
      <w:r w:rsidR="005B1A60" w:rsidRPr="00AE141E">
        <w:rPr>
          <w:rFonts w:ascii="Times New Roman" w:hAnsi="Times New Roman" w:cs="Times New Roman"/>
          <w:sz w:val="24"/>
          <w:szCs w:val="24"/>
        </w:rPr>
        <w:t>subsequently</w:t>
      </w:r>
      <w:r w:rsidR="007E098A" w:rsidRPr="00AE141E">
        <w:rPr>
          <w:rFonts w:ascii="Times New Roman" w:hAnsi="Times New Roman" w:cs="Times New Roman"/>
          <w:sz w:val="24"/>
          <w:szCs w:val="24"/>
        </w:rPr>
        <w:t xml:space="preserve"> </w:t>
      </w:r>
      <w:r w:rsidR="00B60230" w:rsidRPr="00AE141E">
        <w:rPr>
          <w:rFonts w:ascii="Times New Roman" w:hAnsi="Times New Roman" w:cs="Times New Roman"/>
          <w:sz w:val="24"/>
          <w:szCs w:val="24"/>
        </w:rPr>
        <w:t>the lower streams of</w:t>
      </w:r>
      <w:r w:rsidR="007E098A" w:rsidRPr="00AE141E">
        <w:rPr>
          <w:rFonts w:ascii="Times New Roman" w:hAnsi="Times New Roman" w:cs="Times New Roman"/>
          <w:sz w:val="24"/>
          <w:szCs w:val="24"/>
        </w:rPr>
        <w:t xml:space="preserve"> </w:t>
      </w:r>
      <w:r w:rsidR="004D4C5A">
        <w:rPr>
          <w:rFonts w:ascii="Times New Roman" w:hAnsi="Times New Roman" w:cs="Times New Roman"/>
          <w:sz w:val="24"/>
          <w:szCs w:val="24"/>
        </w:rPr>
        <w:t>c</w:t>
      </w:r>
      <w:r w:rsidRPr="00AE141E">
        <w:rPr>
          <w:rFonts w:ascii="Times New Roman" w:hAnsi="Times New Roman" w:cs="Times New Roman"/>
          <w:sz w:val="24"/>
          <w:szCs w:val="24"/>
        </w:rPr>
        <w:t>omprehensiv</w:t>
      </w:r>
      <w:r w:rsidR="008C078E" w:rsidRPr="00AE141E">
        <w:rPr>
          <w:rFonts w:ascii="Times New Roman" w:hAnsi="Times New Roman" w:cs="Times New Roman"/>
          <w:sz w:val="24"/>
          <w:szCs w:val="24"/>
        </w:rPr>
        <w:t>es</w:t>
      </w:r>
      <w:r w:rsidRPr="00AE141E">
        <w:rPr>
          <w:rFonts w:ascii="Times New Roman" w:hAnsi="Times New Roman" w:cs="Times New Roman"/>
          <w:sz w:val="24"/>
          <w:szCs w:val="24"/>
        </w:rPr>
        <w:t xml:space="preserve">. </w:t>
      </w:r>
      <w:r w:rsidR="007B0597" w:rsidRPr="00AE141E">
        <w:rPr>
          <w:rFonts w:ascii="Times New Roman" w:hAnsi="Times New Roman" w:cs="Times New Roman"/>
          <w:sz w:val="24"/>
          <w:szCs w:val="24"/>
        </w:rPr>
        <w:t xml:space="preserve">The </w:t>
      </w:r>
      <w:r w:rsidR="00A14C35" w:rsidRPr="00AE141E">
        <w:rPr>
          <w:rFonts w:ascii="Times New Roman" w:hAnsi="Times New Roman" w:cs="Times New Roman"/>
          <w:sz w:val="24"/>
          <w:szCs w:val="24"/>
        </w:rPr>
        <w:t xml:space="preserve">connection </w:t>
      </w:r>
      <w:r w:rsidR="007D3C87" w:rsidRPr="00AE141E">
        <w:rPr>
          <w:rFonts w:ascii="Times New Roman" w:hAnsi="Times New Roman" w:cs="Times New Roman"/>
          <w:sz w:val="24"/>
          <w:szCs w:val="24"/>
        </w:rPr>
        <w:t xml:space="preserve">formulated in the Newsom Report between </w:t>
      </w:r>
      <w:r w:rsidR="00360D15" w:rsidRPr="00AE141E">
        <w:rPr>
          <w:rFonts w:ascii="Times New Roman" w:hAnsi="Times New Roman" w:cs="Times New Roman"/>
          <w:sz w:val="24"/>
          <w:szCs w:val="24"/>
        </w:rPr>
        <w:t>world</w:t>
      </w:r>
      <w:r w:rsidR="007D3C87" w:rsidRPr="00AE141E">
        <w:rPr>
          <w:rFonts w:ascii="Times New Roman" w:hAnsi="Times New Roman" w:cs="Times New Roman"/>
          <w:sz w:val="24"/>
          <w:szCs w:val="24"/>
        </w:rPr>
        <w:t xml:space="preserve"> history and the teaching of</w:t>
      </w:r>
      <w:r w:rsidR="009F39B5" w:rsidRPr="00AE141E">
        <w:rPr>
          <w:rFonts w:ascii="Times New Roman" w:hAnsi="Times New Roman" w:cs="Times New Roman"/>
          <w:sz w:val="24"/>
          <w:szCs w:val="24"/>
        </w:rPr>
        <w:t xml:space="preserve"> pupils of ‘average and less than average ability’ was born</w:t>
      </w:r>
      <w:r w:rsidR="008E68D4">
        <w:rPr>
          <w:rFonts w:ascii="Times New Roman" w:hAnsi="Times New Roman" w:cs="Times New Roman"/>
          <w:sz w:val="24"/>
          <w:szCs w:val="24"/>
        </w:rPr>
        <w:t>e</w:t>
      </w:r>
      <w:r w:rsidR="009F39B5" w:rsidRPr="00AE141E">
        <w:rPr>
          <w:rFonts w:ascii="Times New Roman" w:hAnsi="Times New Roman" w:cs="Times New Roman"/>
          <w:sz w:val="24"/>
          <w:szCs w:val="24"/>
        </w:rPr>
        <w:t xml:space="preserve"> out in the new exam</w:t>
      </w:r>
      <w:r w:rsidR="007C74CC" w:rsidRPr="00AE141E">
        <w:rPr>
          <w:rFonts w:ascii="Times New Roman" w:hAnsi="Times New Roman" w:cs="Times New Roman"/>
          <w:sz w:val="24"/>
          <w:szCs w:val="24"/>
        </w:rPr>
        <w:t>ination</w:t>
      </w:r>
      <w:r w:rsidR="009F39B5" w:rsidRPr="00AE141E">
        <w:rPr>
          <w:rFonts w:ascii="Times New Roman" w:hAnsi="Times New Roman" w:cs="Times New Roman"/>
          <w:sz w:val="24"/>
          <w:szCs w:val="24"/>
        </w:rPr>
        <w:t xml:space="preserve"> syllabi.</w:t>
      </w:r>
      <w:r w:rsidR="007D3C87" w:rsidRPr="00AE141E">
        <w:rPr>
          <w:rFonts w:ascii="Times New Roman" w:hAnsi="Times New Roman" w:cs="Times New Roman"/>
          <w:sz w:val="24"/>
          <w:szCs w:val="24"/>
        </w:rPr>
        <w:t xml:space="preserve"> </w:t>
      </w:r>
      <w:r w:rsidR="009D7974" w:rsidRPr="00AE141E">
        <w:rPr>
          <w:rFonts w:ascii="Times New Roman" w:hAnsi="Times New Roman" w:cs="Times New Roman"/>
          <w:sz w:val="24"/>
          <w:szCs w:val="24"/>
        </w:rPr>
        <w:t>The teaching of world history had previously been disincentivised by limitations on resources</w:t>
      </w:r>
      <w:r w:rsidR="0033280B" w:rsidRPr="00AE141E">
        <w:rPr>
          <w:rFonts w:ascii="Times New Roman" w:hAnsi="Times New Roman" w:cs="Times New Roman"/>
          <w:sz w:val="24"/>
          <w:szCs w:val="24"/>
        </w:rPr>
        <w:t>: s</w:t>
      </w:r>
      <w:r w:rsidR="002E13F1" w:rsidRPr="00AE141E">
        <w:rPr>
          <w:rFonts w:ascii="Times New Roman" w:hAnsi="Times New Roman" w:cs="Times New Roman"/>
          <w:sz w:val="24"/>
          <w:szCs w:val="24"/>
        </w:rPr>
        <w:t>chools lacked the funds to invest in new textbooks,</w:t>
      </w:r>
      <w:r w:rsidR="00C86654" w:rsidRPr="00AE141E">
        <w:rPr>
          <w:rFonts w:ascii="Times New Roman" w:hAnsi="Times New Roman" w:cs="Times New Roman"/>
          <w:sz w:val="24"/>
          <w:szCs w:val="24"/>
        </w:rPr>
        <w:t xml:space="preserve"> </w:t>
      </w:r>
      <w:r w:rsidR="00942B07" w:rsidRPr="00AE141E">
        <w:rPr>
          <w:rFonts w:ascii="Times New Roman" w:hAnsi="Times New Roman" w:cs="Times New Roman"/>
          <w:sz w:val="24"/>
          <w:szCs w:val="24"/>
        </w:rPr>
        <w:t>while</w:t>
      </w:r>
      <w:r w:rsidR="00C86654" w:rsidRPr="00AE141E">
        <w:rPr>
          <w:rFonts w:ascii="Times New Roman" w:hAnsi="Times New Roman" w:cs="Times New Roman"/>
          <w:sz w:val="24"/>
          <w:szCs w:val="24"/>
        </w:rPr>
        <w:t xml:space="preserve"> age-appropriate materials on world history </w:t>
      </w:r>
      <w:r w:rsidR="00942B07" w:rsidRPr="00AE141E">
        <w:rPr>
          <w:rFonts w:ascii="Times New Roman" w:hAnsi="Times New Roman" w:cs="Times New Roman"/>
          <w:sz w:val="24"/>
          <w:szCs w:val="24"/>
        </w:rPr>
        <w:t>were few and far between.</w:t>
      </w:r>
      <w:r w:rsidR="00884BEC" w:rsidRPr="00AE141E">
        <w:rPr>
          <w:rFonts w:ascii="Times New Roman" w:hAnsi="Times New Roman" w:cs="Times New Roman"/>
          <w:sz w:val="24"/>
          <w:szCs w:val="24"/>
        </w:rPr>
        <w:t xml:space="preserve"> </w:t>
      </w:r>
      <w:r w:rsidR="00C266C8" w:rsidRPr="00AE141E">
        <w:rPr>
          <w:rFonts w:ascii="Times New Roman" w:hAnsi="Times New Roman" w:cs="Times New Roman"/>
          <w:sz w:val="24"/>
          <w:szCs w:val="24"/>
        </w:rPr>
        <w:t>The introduction of</w:t>
      </w:r>
      <w:r w:rsidR="00CE440B" w:rsidRPr="00AE141E">
        <w:rPr>
          <w:rFonts w:ascii="Times New Roman" w:hAnsi="Times New Roman" w:cs="Times New Roman"/>
          <w:sz w:val="24"/>
          <w:szCs w:val="24"/>
        </w:rPr>
        <w:t xml:space="preserve"> the</w:t>
      </w:r>
      <w:r w:rsidR="00C266C8" w:rsidRPr="00AE141E">
        <w:rPr>
          <w:rFonts w:ascii="Times New Roman" w:hAnsi="Times New Roman" w:cs="Times New Roman"/>
          <w:sz w:val="24"/>
          <w:szCs w:val="24"/>
        </w:rPr>
        <w:t xml:space="preserve"> CSE created a </w:t>
      </w:r>
      <w:r w:rsidR="00EF3B2D" w:rsidRPr="00AE141E">
        <w:rPr>
          <w:rFonts w:ascii="Times New Roman" w:hAnsi="Times New Roman" w:cs="Times New Roman"/>
          <w:sz w:val="24"/>
          <w:szCs w:val="24"/>
        </w:rPr>
        <w:t>new market in learning resources, providing teachers with a</w:t>
      </w:r>
      <w:r w:rsidR="00E61FF8" w:rsidRPr="00AE141E">
        <w:rPr>
          <w:rFonts w:ascii="Times New Roman" w:hAnsi="Times New Roman" w:cs="Times New Roman"/>
          <w:sz w:val="24"/>
          <w:szCs w:val="24"/>
        </w:rPr>
        <w:t xml:space="preserve"> rare justification to </w:t>
      </w:r>
      <w:r w:rsidR="009B6F39" w:rsidRPr="00AE141E">
        <w:rPr>
          <w:rFonts w:ascii="Times New Roman" w:hAnsi="Times New Roman" w:cs="Times New Roman"/>
          <w:sz w:val="24"/>
          <w:szCs w:val="24"/>
        </w:rPr>
        <w:t>supplement their shelve</w:t>
      </w:r>
      <w:r w:rsidR="005B69EF" w:rsidRPr="00AE141E">
        <w:rPr>
          <w:rFonts w:ascii="Times New Roman" w:hAnsi="Times New Roman" w:cs="Times New Roman"/>
          <w:sz w:val="24"/>
          <w:szCs w:val="24"/>
        </w:rPr>
        <w:t>s and vary their courses.</w:t>
      </w:r>
      <w:r w:rsidR="005B69EF" w:rsidRPr="00AE141E">
        <w:rPr>
          <w:rStyle w:val="FootnoteReference"/>
          <w:rFonts w:ascii="Times New Roman" w:hAnsi="Times New Roman" w:cs="Times New Roman"/>
          <w:sz w:val="24"/>
          <w:szCs w:val="24"/>
        </w:rPr>
        <w:footnoteReference w:id="279"/>
      </w:r>
    </w:p>
    <w:p w14:paraId="557A59D7" w14:textId="4779B205" w:rsidR="004C1CCE" w:rsidRPr="00AE141E" w:rsidRDefault="004C1CC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Most regional boards introduced at least an optional paper on world history at CSE level, which generally met with a rapid increase in uptake. In East Anglia a world history syllabus (‘British, European and World History 1870-Present Day’) was first examined in 1966, attracting just 144 entries.</w:t>
      </w:r>
      <w:r w:rsidRPr="00AE141E">
        <w:rPr>
          <w:rStyle w:val="FootnoteReference"/>
          <w:rFonts w:ascii="Times New Roman" w:hAnsi="Times New Roman" w:cs="Times New Roman"/>
          <w:sz w:val="24"/>
          <w:szCs w:val="24"/>
        </w:rPr>
        <w:footnoteReference w:id="280"/>
      </w:r>
      <w:r w:rsidRPr="00AE141E">
        <w:rPr>
          <w:rFonts w:ascii="Times New Roman" w:hAnsi="Times New Roman" w:cs="Times New Roman"/>
          <w:sz w:val="24"/>
          <w:szCs w:val="24"/>
        </w:rPr>
        <w:t xml:space="preserve"> By 1971, the total number of entrants had reached 1,167, just 49 shy of the </w:t>
      </w:r>
      <w:r w:rsidR="000B7712" w:rsidRPr="00AE141E">
        <w:rPr>
          <w:rFonts w:ascii="Times New Roman" w:hAnsi="Times New Roman" w:cs="Times New Roman"/>
          <w:sz w:val="24"/>
          <w:szCs w:val="24"/>
        </w:rPr>
        <w:t>B</w:t>
      </w:r>
      <w:r w:rsidRPr="00AE141E">
        <w:rPr>
          <w:rFonts w:ascii="Times New Roman" w:hAnsi="Times New Roman" w:cs="Times New Roman"/>
          <w:sz w:val="24"/>
          <w:szCs w:val="24"/>
        </w:rPr>
        <w:t>oard’s most popular paper (‘[British] Economic and Social History 1640-Present Day’).</w:t>
      </w:r>
      <w:r w:rsidR="0045002D" w:rsidRPr="00AE141E">
        <w:rPr>
          <w:rFonts w:ascii="Times New Roman" w:hAnsi="Times New Roman" w:cs="Times New Roman"/>
          <w:sz w:val="24"/>
          <w:szCs w:val="24"/>
        </w:rPr>
        <w:t xml:space="preserve"> </w:t>
      </w:r>
      <w:r w:rsidRPr="00AE141E">
        <w:rPr>
          <w:rFonts w:ascii="Times New Roman" w:hAnsi="Times New Roman" w:cs="Times New Roman"/>
          <w:sz w:val="24"/>
          <w:szCs w:val="24"/>
        </w:rPr>
        <w:t>These statistics display world history’s potential to rival and even surpass traditional, British history syllabi in popularity within just half a decade of teaching.</w:t>
      </w:r>
      <w:r w:rsidR="00CD5D5E" w:rsidRPr="00AE141E">
        <w:rPr>
          <w:rFonts w:ascii="Times New Roman" w:hAnsi="Times New Roman" w:cs="Times New Roman"/>
          <w:sz w:val="24"/>
          <w:szCs w:val="24"/>
        </w:rPr>
        <w:t xml:space="preserve"> </w:t>
      </w:r>
      <w:r w:rsidRPr="00AE141E">
        <w:rPr>
          <w:rFonts w:ascii="Times New Roman" w:hAnsi="Times New Roman" w:cs="Times New Roman"/>
          <w:sz w:val="24"/>
          <w:szCs w:val="24"/>
        </w:rPr>
        <w:t>East Anglia was fairly typical of regional examining boards; others showed slower or faster speeds of increase in uptake, but the general trend was towards the growing prominence of world history.</w:t>
      </w:r>
      <w:r w:rsidRPr="00AE141E">
        <w:rPr>
          <w:rStyle w:val="FootnoteReference"/>
          <w:rFonts w:ascii="Times New Roman" w:hAnsi="Times New Roman" w:cs="Times New Roman"/>
          <w:sz w:val="24"/>
          <w:szCs w:val="24"/>
        </w:rPr>
        <w:footnoteReference w:id="281"/>
      </w:r>
      <w:r w:rsidRPr="00AE141E">
        <w:rPr>
          <w:rFonts w:ascii="Times New Roman" w:hAnsi="Times New Roman" w:cs="Times New Roman"/>
          <w:sz w:val="24"/>
          <w:szCs w:val="24"/>
        </w:rPr>
        <w:t xml:space="preserve"> R</w:t>
      </w:r>
      <w:r w:rsidR="005469A5" w:rsidRPr="00AE141E">
        <w:rPr>
          <w:rFonts w:ascii="Times New Roman" w:hAnsi="Times New Roman" w:cs="Times New Roman"/>
          <w:sz w:val="24"/>
          <w:szCs w:val="24"/>
        </w:rPr>
        <w:t>oger</w:t>
      </w:r>
      <w:r w:rsidRPr="00AE141E">
        <w:rPr>
          <w:rFonts w:ascii="Times New Roman" w:hAnsi="Times New Roman" w:cs="Times New Roman"/>
          <w:sz w:val="24"/>
          <w:szCs w:val="24"/>
        </w:rPr>
        <w:t xml:space="preserve"> Longden’s 1972 survey of the introduction of world history into English secondary schools reveals that this trend was particularly marked in regions in which advocates for the field sat on syllabus-development panels.</w:t>
      </w:r>
      <w:r w:rsidRPr="00AE141E">
        <w:rPr>
          <w:rStyle w:val="FootnoteReference"/>
          <w:rFonts w:ascii="Times New Roman" w:hAnsi="Times New Roman" w:cs="Times New Roman"/>
          <w:sz w:val="24"/>
          <w:szCs w:val="24"/>
        </w:rPr>
        <w:footnoteReference w:id="282"/>
      </w:r>
      <w:r w:rsidRPr="00AE141E">
        <w:rPr>
          <w:rFonts w:ascii="Times New Roman" w:hAnsi="Times New Roman" w:cs="Times New Roman"/>
          <w:sz w:val="24"/>
          <w:szCs w:val="24"/>
        </w:rPr>
        <w:t xml:space="preserve"> An especially strong concentration of such teachers on the East Midlands Regional History Panel resulted</w:t>
      </w:r>
      <w:r w:rsidR="00C413A2" w:rsidRPr="00AE141E">
        <w:rPr>
          <w:rFonts w:ascii="Times New Roman" w:hAnsi="Times New Roman" w:cs="Times New Roman"/>
          <w:sz w:val="24"/>
          <w:szCs w:val="24"/>
        </w:rPr>
        <w:t xml:space="preserve"> in</w:t>
      </w:r>
      <w:r w:rsidRPr="00AE141E">
        <w:rPr>
          <w:rFonts w:ascii="Times New Roman" w:hAnsi="Times New Roman" w:cs="Times New Roman"/>
          <w:sz w:val="24"/>
          <w:szCs w:val="24"/>
        </w:rPr>
        <w:t xml:space="preserve"> the creation of world history as a compulsory subject for examination classes. All candidates sitting for the region’s Mode I history exam (a qualification based on an externally mandated syllabus and examination) were obliged to offer a one-hour General Paper on ‘Britain and World Affairs </w:t>
      </w:r>
      <w:r w:rsidRPr="00AE141E">
        <w:rPr>
          <w:rFonts w:ascii="Times New Roman" w:hAnsi="Times New Roman" w:cs="Times New Roman"/>
          <w:sz w:val="24"/>
          <w:szCs w:val="24"/>
        </w:rPr>
        <w:lastRenderedPageBreak/>
        <w:t>in the Twentieth Century’, comprising 30% of the available marks.</w:t>
      </w:r>
      <w:r w:rsidRPr="00AE141E">
        <w:rPr>
          <w:rStyle w:val="FootnoteReference"/>
          <w:rFonts w:ascii="Times New Roman" w:hAnsi="Times New Roman" w:cs="Times New Roman"/>
          <w:sz w:val="24"/>
          <w:szCs w:val="24"/>
        </w:rPr>
        <w:footnoteReference w:id="283"/>
      </w:r>
      <w:r w:rsidRPr="00AE141E">
        <w:rPr>
          <w:rFonts w:ascii="Times New Roman" w:hAnsi="Times New Roman" w:cs="Times New Roman"/>
          <w:sz w:val="24"/>
          <w:szCs w:val="24"/>
        </w:rPr>
        <w:t xml:space="preserve"> A total of 436 students sat for the paper in its first year, increasing to 1819 in 1968.</w:t>
      </w:r>
    </w:p>
    <w:p w14:paraId="51D56D9D" w14:textId="1FDE8A65" w:rsidR="004C1CCE" w:rsidRPr="00AE141E" w:rsidRDefault="004C1CC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There were early indications of resistance to this mandate within </w:t>
      </w:r>
      <w:r w:rsidR="00630F05" w:rsidRPr="00AE141E">
        <w:rPr>
          <w:rFonts w:ascii="Times New Roman" w:hAnsi="Times New Roman" w:cs="Times New Roman"/>
          <w:sz w:val="24"/>
          <w:szCs w:val="24"/>
        </w:rPr>
        <w:t xml:space="preserve">individual </w:t>
      </w:r>
      <w:r w:rsidRPr="00AE141E">
        <w:rPr>
          <w:rFonts w:ascii="Times New Roman" w:hAnsi="Times New Roman" w:cs="Times New Roman"/>
          <w:sz w:val="24"/>
          <w:szCs w:val="24"/>
        </w:rPr>
        <w:t>schools. Longden explains that the years 1965-1968 witnessed a ‘steady rise in the number of submissions’ from schools offering CSE Mode II (under which an internally devised curriculum was subject to external examination) and Mode III (under which an internally devised and assessed curriculum was externally moderated).</w:t>
      </w:r>
      <w:r w:rsidRPr="00AE141E">
        <w:rPr>
          <w:rStyle w:val="FootnoteReference"/>
          <w:rFonts w:ascii="Times New Roman" w:hAnsi="Times New Roman" w:cs="Times New Roman"/>
          <w:sz w:val="24"/>
          <w:szCs w:val="24"/>
        </w:rPr>
        <w:footnoteReference w:id="284"/>
      </w:r>
      <w:r w:rsidRPr="00AE141E">
        <w:rPr>
          <w:rFonts w:ascii="Times New Roman" w:hAnsi="Times New Roman" w:cs="Times New Roman"/>
          <w:sz w:val="24"/>
          <w:szCs w:val="24"/>
        </w:rPr>
        <w:t xml:space="preserve"> The curricula proposed by schools following Modes II and III often concentrated upon British social and economic history.</w:t>
      </w:r>
      <w:r w:rsidR="00BD4D07" w:rsidRPr="00AE141E">
        <w:rPr>
          <w:rStyle w:val="FootnoteReference"/>
          <w:rFonts w:ascii="Times New Roman" w:hAnsi="Times New Roman" w:cs="Times New Roman"/>
          <w:sz w:val="24"/>
          <w:szCs w:val="24"/>
        </w:rPr>
        <w:footnoteReference w:id="285"/>
      </w:r>
      <w:r w:rsidRPr="00AE141E">
        <w:rPr>
          <w:rFonts w:ascii="Times New Roman" w:hAnsi="Times New Roman" w:cs="Times New Roman"/>
          <w:sz w:val="24"/>
          <w:szCs w:val="24"/>
        </w:rPr>
        <w:t xml:space="preserve"> In the face of mounting backlash, the </w:t>
      </w:r>
      <w:r w:rsidR="006A5C44" w:rsidRPr="00AE141E">
        <w:rPr>
          <w:rFonts w:ascii="Times New Roman" w:hAnsi="Times New Roman" w:cs="Times New Roman"/>
          <w:sz w:val="24"/>
          <w:szCs w:val="24"/>
        </w:rPr>
        <w:t xml:space="preserve">East Midlands </w:t>
      </w:r>
      <w:r w:rsidRPr="00AE141E">
        <w:rPr>
          <w:rFonts w:ascii="Times New Roman" w:hAnsi="Times New Roman" w:cs="Times New Roman"/>
          <w:sz w:val="24"/>
          <w:szCs w:val="24"/>
        </w:rPr>
        <w:t>Regional History Panel rescinded the Mode I requirement for the study of world history in 1968. Nevertheless, world history remained on the curriculum as an optional module, and by 1969 was still attracting more than three times the candidature of any other paper.</w:t>
      </w:r>
    </w:p>
    <w:p w14:paraId="03DAF814" w14:textId="6CFD376B" w:rsidR="004C1CCE" w:rsidRPr="00AE141E" w:rsidRDefault="004C1CC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Regional variation was even more important as a determinant of the availability of world history for GCE students. In general, O Level exam boards were much slower to incorporate world history than their CSE equivalents.</w:t>
      </w:r>
      <w:r w:rsidRPr="00AE141E">
        <w:rPr>
          <w:rStyle w:val="FootnoteReference"/>
          <w:rFonts w:ascii="Times New Roman" w:hAnsi="Times New Roman" w:cs="Times New Roman"/>
          <w:sz w:val="24"/>
          <w:szCs w:val="24"/>
        </w:rPr>
        <w:footnoteReference w:id="286"/>
      </w:r>
      <w:r w:rsidRPr="00AE141E">
        <w:rPr>
          <w:rFonts w:ascii="Times New Roman" w:hAnsi="Times New Roman" w:cs="Times New Roman"/>
          <w:sz w:val="24"/>
          <w:szCs w:val="24"/>
        </w:rPr>
        <w:t xml:space="preserve"> Boards </w:t>
      </w:r>
      <w:r w:rsidR="007417B7" w:rsidRPr="00AE141E">
        <w:rPr>
          <w:rFonts w:ascii="Times New Roman" w:hAnsi="Times New Roman" w:cs="Times New Roman"/>
          <w:sz w:val="24"/>
          <w:szCs w:val="24"/>
        </w:rPr>
        <w:t>that</w:t>
      </w:r>
      <w:r w:rsidRPr="00AE141E">
        <w:rPr>
          <w:rFonts w:ascii="Times New Roman" w:hAnsi="Times New Roman" w:cs="Times New Roman"/>
          <w:sz w:val="24"/>
          <w:szCs w:val="24"/>
        </w:rPr>
        <w:t xml:space="preserve"> did</w:t>
      </w:r>
      <w:r w:rsidR="002E3125" w:rsidRPr="00AE141E">
        <w:rPr>
          <w:rFonts w:ascii="Times New Roman" w:hAnsi="Times New Roman" w:cs="Times New Roman"/>
          <w:sz w:val="24"/>
          <w:szCs w:val="24"/>
        </w:rPr>
        <w:t xml:space="preserve"> try to</w:t>
      </w:r>
      <w:r w:rsidRPr="00AE141E">
        <w:rPr>
          <w:rFonts w:ascii="Times New Roman" w:hAnsi="Times New Roman" w:cs="Times New Roman"/>
          <w:sz w:val="24"/>
          <w:szCs w:val="24"/>
        </w:rPr>
        <w:t xml:space="preserve"> branch out by in</w:t>
      </w:r>
      <w:r w:rsidR="00B53E83" w:rsidRPr="00AE141E">
        <w:rPr>
          <w:rFonts w:ascii="Times New Roman" w:hAnsi="Times New Roman" w:cs="Times New Roman"/>
          <w:sz w:val="24"/>
          <w:szCs w:val="24"/>
        </w:rPr>
        <w:t>c</w:t>
      </w:r>
      <w:r w:rsidRPr="00AE141E">
        <w:rPr>
          <w:rFonts w:ascii="Times New Roman" w:hAnsi="Times New Roman" w:cs="Times New Roman"/>
          <w:sz w:val="24"/>
          <w:szCs w:val="24"/>
        </w:rPr>
        <w:t xml:space="preserve">luding world history papers experienced a more limited uptake of the new syllabi. </w:t>
      </w:r>
      <w:r w:rsidR="008E0E9D" w:rsidRPr="00AE141E">
        <w:rPr>
          <w:rFonts w:ascii="Times New Roman" w:hAnsi="Times New Roman" w:cs="Times New Roman"/>
          <w:sz w:val="24"/>
          <w:szCs w:val="24"/>
        </w:rPr>
        <w:t>The</w:t>
      </w:r>
      <w:r w:rsidR="00CA2FB3" w:rsidRPr="00AE141E">
        <w:rPr>
          <w:rFonts w:ascii="Times New Roman" w:hAnsi="Times New Roman" w:cs="Times New Roman"/>
          <w:sz w:val="24"/>
          <w:szCs w:val="24"/>
        </w:rPr>
        <w:t xml:space="preserve"> University of London</w:t>
      </w:r>
      <w:r w:rsidR="008E0E9D" w:rsidRPr="00AE141E">
        <w:rPr>
          <w:rFonts w:ascii="Times New Roman" w:hAnsi="Times New Roman" w:cs="Times New Roman"/>
          <w:sz w:val="24"/>
          <w:szCs w:val="24"/>
        </w:rPr>
        <w:t xml:space="preserve"> </w:t>
      </w:r>
      <w:r w:rsidR="00CA2FB3" w:rsidRPr="00AE141E">
        <w:rPr>
          <w:rFonts w:ascii="Times New Roman" w:hAnsi="Times New Roman" w:cs="Times New Roman"/>
          <w:sz w:val="24"/>
          <w:szCs w:val="24"/>
        </w:rPr>
        <w:t>was amongst t</w:t>
      </w:r>
      <w:r w:rsidRPr="00AE141E">
        <w:rPr>
          <w:rFonts w:ascii="Times New Roman" w:hAnsi="Times New Roman" w:cs="Times New Roman"/>
          <w:sz w:val="24"/>
          <w:szCs w:val="24"/>
        </w:rPr>
        <w:t xml:space="preserve">he first O Level </w:t>
      </w:r>
      <w:r w:rsidR="000B7712" w:rsidRPr="00AE141E">
        <w:rPr>
          <w:rFonts w:ascii="Times New Roman" w:hAnsi="Times New Roman" w:cs="Times New Roman"/>
          <w:sz w:val="24"/>
          <w:szCs w:val="24"/>
        </w:rPr>
        <w:t>B</w:t>
      </w:r>
      <w:r w:rsidRPr="00AE141E">
        <w:rPr>
          <w:rFonts w:ascii="Times New Roman" w:hAnsi="Times New Roman" w:cs="Times New Roman"/>
          <w:sz w:val="24"/>
          <w:szCs w:val="24"/>
        </w:rPr>
        <w:t>oard</w:t>
      </w:r>
      <w:r w:rsidR="00CA2FB3" w:rsidRPr="00AE141E">
        <w:rPr>
          <w:rFonts w:ascii="Times New Roman" w:hAnsi="Times New Roman" w:cs="Times New Roman"/>
          <w:sz w:val="24"/>
          <w:szCs w:val="24"/>
        </w:rPr>
        <w:t xml:space="preserve">s </w:t>
      </w:r>
      <w:r w:rsidRPr="00AE141E">
        <w:rPr>
          <w:rFonts w:ascii="Times New Roman" w:hAnsi="Times New Roman" w:cs="Times New Roman"/>
          <w:sz w:val="24"/>
          <w:szCs w:val="24"/>
        </w:rPr>
        <w:t>to offer world history. This was the result of determined lobbying of Peter Teed and Charlotte Waterlow (the</w:t>
      </w:r>
      <w:r w:rsidR="00171938" w:rsidRPr="00AE141E">
        <w:rPr>
          <w:rFonts w:ascii="Times New Roman" w:hAnsi="Times New Roman" w:cs="Times New Roman"/>
          <w:sz w:val="24"/>
          <w:szCs w:val="24"/>
        </w:rPr>
        <w:t xml:space="preserve"> same</w:t>
      </w:r>
      <w:r w:rsidRPr="00AE141E">
        <w:rPr>
          <w:rFonts w:ascii="Times New Roman" w:hAnsi="Times New Roman" w:cs="Times New Roman"/>
          <w:sz w:val="24"/>
          <w:szCs w:val="24"/>
        </w:rPr>
        <w:t xml:space="preserve"> Surrey history teachers who</w:t>
      </w:r>
      <w:r w:rsidR="004772C7" w:rsidRPr="00AE141E">
        <w:rPr>
          <w:rFonts w:ascii="Times New Roman" w:hAnsi="Times New Roman" w:cs="Times New Roman"/>
          <w:sz w:val="24"/>
          <w:szCs w:val="24"/>
        </w:rPr>
        <w:t xml:space="preserve"> </w:t>
      </w:r>
      <w:r w:rsidRPr="00AE141E">
        <w:rPr>
          <w:rFonts w:ascii="Times New Roman" w:hAnsi="Times New Roman" w:cs="Times New Roman"/>
          <w:sz w:val="24"/>
          <w:szCs w:val="24"/>
        </w:rPr>
        <w:t>succeeded in attracting the praises of Geoffrey Barraclough).</w:t>
      </w:r>
      <w:r w:rsidR="00866C06" w:rsidRPr="00AE141E">
        <w:rPr>
          <w:rStyle w:val="FootnoteReference"/>
          <w:rFonts w:ascii="Times New Roman" w:hAnsi="Times New Roman" w:cs="Times New Roman"/>
          <w:sz w:val="24"/>
          <w:szCs w:val="24"/>
        </w:rPr>
        <w:footnoteReference w:id="287"/>
      </w:r>
      <w:r w:rsidRPr="00AE141E">
        <w:rPr>
          <w:rFonts w:ascii="Times New Roman" w:hAnsi="Times New Roman" w:cs="Times New Roman"/>
          <w:sz w:val="24"/>
          <w:szCs w:val="24"/>
        </w:rPr>
        <w:t xml:space="preserve"> Teed and Waterlow developed a course entitled ‘World Affairs 1919 to the Present Day’, which was adopted </w:t>
      </w:r>
      <w:r w:rsidR="009060B1" w:rsidRPr="00AE141E">
        <w:rPr>
          <w:rFonts w:ascii="Times New Roman" w:hAnsi="Times New Roman" w:cs="Times New Roman"/>
          <w:sz w:val="24"/>
          <w:szCs w:val="24"/>
        </w:rPr>
        <w:t xml:space="preserve">for the 1965 and </w:t>
      </w:r>
      <w:r w:rsidRPr="00AE141E">
        <w:rPr>
          <w:rFonts w:ascii="Times New Roman" w:hAnsi="Times New Roman" w:cs="Times New Roman"/>
          <w:sz w:val="24"/>
          <w:szCs w:val="24"/>
        </w:rPr>
        <w:t xml:space="preserve">1966 </w:t>
      </w:r>
      <w:r w:rsidR="009060B1" w:rsidRPr="00AE141E">
        <w:rPr>
          <w:rFonts w:ascii="Times New Roman" w:hAnsi="Times New Roman" w:cs="Times New Roman"/>
          <w:sz w:val="24"/>
          <w:szCs w:val="24"/>
        </w:rPr>
        <w:t xml:space="preserve">exam seasons </w:t>
      </w:r>
      <w:r w:rsidRPr="00AE141E">
        <w:rPr>
          <w:rFonts w:ascii="Times New Roman" w:hAnsi="Times New Roman" w:cs="Times New Roman"/>
          <w:sz w:val="24"/>
          <w:szCs w:val="24"/>
        </w:rPr>
        <w:t>as ‘a special paper for a small number of schools’.</w:t>
      </w:r>
      <w:r w:rsidR="00667AEA" w:rsidRPr="00AE141E">
        <w:rPr>
          <w:rStyle w:val="FootnoteReference"/>
          <w:rFonts w:ascii="Times New Roman" w:hAnsi="Times New Roman" w:cs="Times New Roman"/>
          <w:sz w:val="24"/>
          <w:szCs w:val="24"/>
        </w:rPr>
        <w:footnoteReference w:id="288"/>
      </w:r>
      <w:r w:rsidR="00667AEA"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It received 764 entries, while more than 22,000 candidates sat the </w:t>
      </w:r>
      <w:r w:rsidR="000B7712" w:rsidRPr="00AE141E">
        <w:rPr>
          <w:rFonts w:ascii="Times New Roman" w:hAnsi="Times New Roman" w:cs="Times New Roman"/>
          <w:sz w:val="24"/>
          <w:szCs w:val="24"/>
        </w:rPr>
        <w:t>B</w:t>
      </w:r>
      <w:r w:rsidRPr="00AE141E">
        <w:rPr>
          <w:rFonts w:ascii="Times New Roman" w:hAnsi="Times New Roman" w:cs="Times New Roman"/>
          <w:sz w:val="24"/>
          <w:szCs w:val="24"/>
        </w:rPr>
        <w:t xml:space="preserve">oard’s most popular paper </w:t>
      </w:r>
      <w:r w:rsidRPr="00AE141E">
        <w:rPr>
          <w:rFonts w:ascii="Times New Roman" w:hAnsi="Times New Roman" w:cs="Times New Roman"/>
          <w:sz w:val="24"/>
          <w:szCs w:val="24"/>
        </w:rPr>
        <w:lastRenderedPageBreak/>
        <w:t xml:space="preserve">(a two-part course consisting of ‘English History 871-1763’ and ‘European History 1517-1763’). </w:t>
      </w:r>
    </w:p>
    <w:p w14:paraId="7EC3305F" w14:textId="19455923" w:rsidR="004C1CCE" w:rsidRPr="00AE141E" w:rsidRDefault="004C1CC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following year, the University of London added an additional, modern and contemporary English and European history paper (‘English History 1763-1955’ and ‘European History 1763-1954’).</w:t>
      </w:r>
      <w:r w:rsidR="00E44E24" w:rsidRPr="00AE141E">
        <w:rPr>
          <w:rStyle w:val="FootnoteReference"/>
          <w:rFonts w:ascii="Times New Roman" w:hAnsi="Times New Roman" w:cs="Times New Roman"/>
          <w:sz w:val="24"/>
          <w:szCs w:val="24"/>
        </w:rPr>
        <w:footnoteReference w:id="289"/>
      </w:r>
      <w:r w:rsidRPr="00AE141E">
        <w:rPr>
          <w:rFonts w:ascii="Times New Roman" w:hAnsi="Times New Roman" w:cs="Times New Roman"/>
          <w:sz w:val="24"/>
          <w:szCs w:val="24"/>
        </w:rPr>
        <w:t xml:space="preserve"> Most students who had previously studied the medieval and early modern English and European paper switched across to the new module</w:t>
      </w:r>
      <w:r w:rsidR="00E44E24" w:rsidRPr="00AE141E">
        <w:rPr>
          <w:rFonts w:ascii="Times New Roman" w:hAnsi="Times New Roman" w:cs="Times New Roman"/>
          <w:sz w:val="24"/>
          <w:szCs w:val="24"/>
        </w:rPr>
        <w:t>, though s</w:t>
      </w:r>
      <w:r w:rsidRPr="00AE141E">
        <w:rPr>
          <w:rFonts w:ascii="Times New Roman" w:hAnsi="Times New Roman" w:cs="Times New Roman"/>
          <w:sz w:val="24"/>
          <w:szCs w:val="24"/>
        </w:rPr>
        <w:t>mall numbers may</w:t>
      </w:r>
      <w:r w:rsidR="00E44E24" w:rsidRPr="00AE141E">
        <w:rPr>
          <w:rFonts w:ascii="Times New Roman" w:hAnsi="Times New Roman" w:cs="Times New Roman"/>
          <w:sz w:val="24"/>
          <w:szCs w:val="24"/>
        </w:rPr>
        <w:t xml:space="preserve"> </w:t>
      </w:r>
      <w:r w:rsidRPr="00AE141E">
        <w:rPr>
          <w:rFonts w:ascii="Times New Roman" w:hAnsi="Times New Roman" w:cs="Times New Roman"/>
          <w:sz w:val="24"/>
          <w:szCs w:val="24"/>
        </w:rPr>
        <w:t>have transferred to the world history option. By 1971, 17,639 candidates were sitting the paper in modern and contemporary English and European history, the traditional medieval and early modern paper was attracting 2,162 students, and world history was taken by 3,017.</w:t>
      </w:r>
      <w:r w:rsidR="00240156"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These statistics indicate that there was a widespread belief in the need for curricular change amongst O Level history teachers. The choice of new syllabi, when set in the context of contemporary debates positing contemporary and world history as solutions to a ‘relevance’ crisis, suggest that these changes were motivated by </w:t>
      </w:r>
      <w:r w:rsidR="00B87775" w:rsidRPr="00AE141E">
        <w:rPr>
          <w:rFonts w:ascii="Times New Roman" w:hAnsi="Times New Roman" w:cs="Times New Roman"/>
          <w:sz w:val="24"/>
          <w:szCs w:val="24"/>
        </w:rPr>
        <w:t xml:space="preserve">the </w:t>
      </w:r>
      <w:r w:rsidRPr="00AE141E">
        <w:rPr>
          <w:rFonts w:ascii="Times New Roman" w:hAnsi="Times New Roman" w:cs="Times New Roman"/>
          <w:sz w:val="24"/>
          <w:szCs w:val="24"/>
        </w:rPr>
        <w:t xml:space="preserve">perception that traditional teaching lacked a meaningful connection to the changing world inhabited by pupils. Interestingly, it appears that most preferred to add ‘relevance’ to their teaching by moving to modern and contemporary English and European history, rather than </w:t>
      </w:r>
      <w:r w:rsidR="003E4171" w:rsidRPr="00AE141E">
        <w:rPr>
          <w:rFonts w:ascii="Times New Roman" w:hAnsi="Times New Roman" w:cs="Times New Roman"/>
          <w:sz w:val="24"/>
          <w:szCs w:val="24"/>
        </w:rPr>
        <w:t xml:space="preserve">their </w:t>
      </w:r>
      <w:r w:rsidRPr="00AE141E">
        <w:rPr>
          <w:rFonts w:ascii="Times New Roman" w:hAnsi="Times New Roman" w:cs="Times New Roman"/>
          <w:sz w:val="24"/>
          <w:szCs w:val="24"/>
        </w:rPr>
        <w:t xml:space="preserve">world </w:t>
      </w:r>
      <w:r w:rsidR="00F23969" w:rsidRPr="00AE141E">
        <w:rPr>
          <w:rFonts w:ascii="Times New Roman" w:hAnsi="Times New Roman" w:cs="Times New Roman"/>
          <w:sz w:val="24"/>
          <w:szCs w:val="24"/>
        </w:rPr>
        <w:t>equivalents</w:t>
      </w:r>
      <w:r w:rsidRPr="00AE141E">
        <w:rPr>
          <w:rFonts w:ascii="Times New Roman" w:hAnsi="Times New Roman" w:cs="Times New Roman"/>
          <w:sz w:val="24"/>
          <w:szCs w:val="24"/>
        </w:rPr>
        <w:t>.</w:t>
      </w:r>
      <w:r w:rsidR="00DE1C55" w:rsidRPr="00AE141E">
        <w:rPr>
          <w:rFonts w:ascii="Times New Roman" w:hAnsi="Times New Roman" w:cs="Times New Roman"/>
          <w:sz w:val="24"/>
          <w:szCs w:val="24"/>
        </w:rPr>
        <w:t xml:space="preserve"> </w:t>
      </w:r>
      <w:r w:rsidRPr="00AE141E">
        <w:rPr>
          <w:rFonts w:ascii="Times New Roman" w:hAnsi="Times New Roman" w:cs="Times New Roman"/>
          <w:sz w:val="24"/>
          <w:szCs w:val="24"/>
        </w:rPr>
        <w:t>However, the real loser</w:t>
      </w:r>
      <w:r w:rsidR="00630F05" w:rsidRPr="00AE141E">
        <w:rPr>
          <w:rFonts w:ascii="Times New Roman" w:hAnsi="Times New Roman" w:cs="Times New Roman"/>
          <w:sz w:val="24"/>
          <w:szCs w:val="24"/>
        </w:rPr>
        <w:t>s</w:t>
      </w:r>
      <w:r w:rsidRPr="00AE141E">
        <w:rPr>
          <w:rFonts w:ascii="Times New Roman" w:hAnsi="Times New Roman" w:cs="Times New Roman"/>
          <w:sz w:val="24"/>
          <w:szCs w:val="24"/>
        </w:rPr>
        <w:t xml:space="preserve"> in the competition for candidates </w:t>
      </w:r>
      <w:r w:rsidR="00630F05" w:rsidRPr="00AE141E">
        <w:rPr>
          <w:rFonts w:ascii="Times New Roman" w:hAnsi="Times New Roman" w:cs="Times New Roman"/>
          <w:sz w:val="24"/>
          <w:szCs w:val="24"/>
        </w:rPr>
        <w:t>were</w:t>
      </w:r>
      <w:r w:rsidRPr="00AE141E">
        <w:rPr>
          <w:rFonts w:ascii="Times New Roman" w:hAnsi="Times New Roman" w:cs="Times New Roman"/>
          <w:sz w:val="24"/>
          <w:szCs w:val="24"/>
        </w:rPr>
        <w:t xml:space="preserve"> medieval and early modern history.  </w:t>
      </w:r>
    </w:p>
    <w:p w14:paraId="334E896E" w14:textId="4E85DF71" w:rsidR="00B87528" w:rsidRPr="00AE141E" w:rsidRDefault="004C1CC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Entries to the various papers offered by other </w:t>
      </w:r>
      <w:r w:rsidR="00B87528" w:rsidRPr="00AE141E">
        <w:rPr>
          <w:rFonts w:ascii="Times New Roman" w:hAnsi="Times New Roman" w:cs="Times New Roman"/>
          <w:sz w:val="24"/>
          <w:szCs w:val="24"/>
        </w:rPr>
        <w:t>O Level</w:t>
      </w:r>
      <w:r w:rsidR="00934B7D" w:rsidRPr="00AE141E">
        <w:rPr>
          <w:rFonts w:ascii="Times New Roman" w:hAnsi="Times New Roman" w:cs="Times New Roman"/>
          <w:sz w:val="24"/>
          <w:szCs w:val="24"/>
        </w:rPr>
        <w:t xml:space="preserve"> </w:t>
      </w:r>
      <w:r w:rsidRPr="00AE141E">
        <w:rPr>
          <w:rFonts w:ascii="Times New Roman" w:hAnsi="Times New Roman" w:cs="Times New Roman"/>
          <w:sz w:val="24"/>
          <w:szCs w:val="24"/>
        </w:rPr>
        <w:t>exam boards display a similar pattern; where world history was introduced, it experienced a rapid increase in uptake, but not necessarily at the expense of existing papers with modern components. Thus, the Associated Examining Board’s</w:t>
      </w:r>
      <w:r w:rsidR="00934B7D" w:rsidRPr="00AE141E">
        <w:rPr>
          <w:rFonts w:ascii="Times New Roman" w:hAnsi="Times New Roman" w:cs="Times New Roman"/>
          <w:sz w:val="24"/>
          <w:szCs w:val="24"/>
        </w:rPr>
        <w:t xml:space="preserve"> O Level</w:t>
      </w:r>
      <w:r w:rsidRPr="00AE141E">
        <w:rPr>
          <w:rFonts w:ascii="Times New Roman" w:hAnsi="Times New Roman" w:cs="Times New Roman"/>
          <w:sz w:val="24"/>
          <w:szCs w:val="24"/>
        </w:rPr>
        <w:t xml:space="preserve"> world history paper (‘Britain and World Affairs’) climbed from 221 entries in 1966 to 1,910 in 1971.</w:t>
      </w:r>
      <w:r w:rsidR="003615D2" w:rsidRPr="00AE141E">
        <w:rPr>
          <w:rStyle w:val="FootnoteReference"/>
          <w:rFonts w:ascii="Times New Roman" w:hAnsi="Times New Roman" w:cs="Times New Roman"/>
          <w:sz w:val="24"/>
          <w:szCs w:val="24"/>
        </w:rPr>
        <w:footnoteReference w:id="290"/>
      </w:r>
      <w:r w:rsidRPr="00AE141E">
        <w:rPr>
          <w:rFonts w:ascii="Times New Roman" w:hAnsi="Times New Roman" w:cs="Times New Roman"/>
          <w:sz w:val="24"/>
          <w:szCs w:val="24"/>
        </w:rPr>
        <w:t xml:space="preserve"> Its rapidly growing popularity did not impact upon the </w:t>
      </w:r>
      <w:r w:rsidR="007417B7" w:rsidRPr="00AE141E">
        <w:rPr>
          <w:rFonts w:ascii="Times New Roman" w:hAnsi="Times New Roman" w:cs="Times New Roman"/>
          <w:sz w:val="24"/>
          <w:szCs w:val="24"/>
        </w:rPr>
        <w:t>B</w:t>
      </w:r>
      <w:r w:rsidRPr="00AE141E">
        <w:rPr>
          <w:rFonts w:ascii="Times New Roman" w:hAnsi="Times New Roman" w:cs="Times New Roman"/>
          <w:sz w:val="24"/>
          <w:szCs w:val="24"/>
        </w:rPr>
        <w:t>oard’s most popular syllabus (comprising ‘Periods of British History 55 B.C.-1951’ and ‘European [History] 1789-1951’) which increased its own uptake from 4,871 to 5,770, between 1964 and 1971.</w:t>
      </w:r>
    </w:p>
    <w:p w14:paraId="35C6BF33" w14:textId="731C8A0B" w:rsidR="006476CD" w:rsidRPr="00AE141E" w:rsidRDefault="0009248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It was a</w:t>
      </w:r>
      <w:r w:rsidR="00B87528" w:rsidRPr="00AE141E">
        <w:rPr>
          <w:rFonts w:ascii="Times New Roman" w:hAnsi="Times New Roman" w:cs="Times New Roman"/>
          <w:sz w:val="24"/>
          <w:szCs w:val="24"/>
        </w:rPr>
        <w:t xml:space="preserve">t </w:t>
      </w:r>
      <w:r w:rsidR="00CB5BEF" w:rsidRPr="00AE141E">
        <w:rPr>
          <w:rFonts w:ascii="Times New Roman" w:hAnsi="Times New Roman" w:cs="Times New Roman"/>
          <w:sz w:val="24"/>
          <w:szCs w:val="24"/>
        </w:rPr>
        <w:t xml:space="preserve">A </w:t>
      </w:r>
      <w:r w:rsidR="00AF2389" w:rsidRPr="00AE141E">
        <w:rPr>
          <w:rFonts w:ascii="Times New Roman" w:hAnsi="Times New Roman" w:cs="Times New Roman"/>
          <w:sz w:val="24"/>
          <w:szCs w:val="24"/>
        </w:rPr>
        <w:t>L</w:t>
      </w:r>
      <w:r w:rsidR="00CB5BEF" w:rsidRPr="00AE141E">
        <w:rPr>
          <w:rFonts w:ascii="Times New Roman" w:hAnsi="Times New Roman" w:cs="Times New Roman"/>
          <w:sz w:val="24"/>
          <w:szCs w:val="24"/>
        </w:rPr>
        <w:t>evel</w:t>
      </w:r>
      <w:r w:rsidRPr="00AE141E">
        <w:rPr>
          <w:rFonts w:ascii="Times New Roman" w:hAnsi="Times New Roman" w:cs="Times New Roman"/>
          <w:sz w:val="24"/>
          <w:szCs w:val="24"/>
        </w:rPr>
        <w:t xml:space="preserve"> that</w:t>
      </w:r>
      <w:r w:rsidR="0005526B"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world history had the least impact upon examination courses. </w:t>
      </w:r>
      <w:r w:rsidR="00FE64D0" w:rsidRPr="00AE141E">
        <w:rPr>
          <w:rFonts w:ascii="Times New Roman" w:hAnsi="Times New Roman" w:cs="Times New Roman"/>
          <w:sz w:val="24"/>
          <w:szCs w:val="24"/>
        </w:rPr>
        <w:t>At</w:t>
      </w:r>
      <w:r w:rsidR="00A322B9" w:rsidRPr="00AE141E">
        <w:rPr>
          <w:rFonts w:ascii="Times New Roman" w:hAnsi="Times New Roman" w:cs="Times New Roman"/>
          <w:sz w:val="24"/>
          <w:szCs w:val="24"/>
        </w:rPr>
        <w:t xml:space="preserve"> the beginning of the 1970s, </w:t>
      </w:r>
      <w:r w:rsidR="00FE64D0" w:rsidRPr="00AE141E">
        <w:rPr>
          <w:rFonts w:ascii="Times New Roman" w:hAnsi="Times New Roman" w:cs="Times New Roman"/>
          <w:sz w:val="24"/>
          <w:szCs w:val="24"/>
        </w:rPr>
        <w:t xml:space="preserve">three regional </w:t>
      </w:r>
      <w:r w:rsidR="007417B7" w:rsidRPr="00AE141E">
        <w:rPr>
          <w:rFonts w:ascii="Times New Roman" w:hAnsi="Times New Roman" w:cs="Times New Roman"/>
          <w:sz w:val="24"/>
          <w:szCs w:val="24"/>
        </w:rPr>
        <w:t>B</w:t>
      </w:r>
      <w:r w:rsidR="00FE64D0" w:rsidRPr="00AE141E">
        <w:rPr>
          <w:rFonts w:ascii="Times New Roman" w:hAnsi="Times New Roman" w:cs="Times New Roman"/>
          <w:sz w:val="24"/>
          <w:szCs w:val="24"/>
        </w:rPr>
        <w:t>oards (London, Oxford, and Cambridge)</w:t>
      </w:r>
      <w:r w:rsidR="00EC4F4A" w:rsidRPr="00AE141E">
        <w:rPr>
          <w:rFonts w:ascii="Times New Roman" w:hAnsi="Times New Roman" w:cs="Times New Roman"/>
          <w:sz w:val="24"/>
          <w:szCs w:val="24"/>
        </w:rPr>
        <w:t xml:space="preserve"> did not offer </w:t>
      </w:r>
      <w:r w:rsidR="00FA1B7E" w:rsidRPr="00AE141E">
        <w:rPr>
          <w:rFonts w:ascii="Times New Roman" w:hAnsi="Times New Roman" w:cs="Times New Roman"/>
          <w:sz w:val="24"/>
          <w:szCs w:val="24"/>
        </w:rPr>
        <w:lastRenderedPageBreak/>
        <w:t>a single A Level</w:t>
      </w:r>
      <w:r w:rsidR="00EC4F4A" w:rsidRPr="00AE141E">
        <w:rPr>
          <w:rFonts w:ascii="Times New Roman" w:hAnsi="Times New Roman" w:cs="Times New Roman"/>
          <w:sz w:val="24"/>
          <w:szCs w:val="24"/>
        </w:rPr>
        <w:t xml:space="preserve"> syllabus on world history</w:t>
      </w:r>
      <w:r w:rsidR="00D8635D" w:rsidRPr="00AE141E">
        <w:rPr>
          <w:rFonts w:ascii="Times New Roman" w:hAnsi="Times New Roman" w:cs="Times New Roman"/>
          <w:sz w:val="24"/>
          <w:szCs w:val="24"/>
        </w:rPr>
        <w:t>.</w:t>
      </w:r>
      <w:r w:rsidR="00750741" w:rsidRPr="00AE141E">
        <w:rPr>
          <w:rStyle w:val="FootnoteReference"/>
          <w:rFonts w:ascii="Times New Roman" w:hAnsi="Times New Roman" w:cs="Times New Roman"/>
          <w:sz w:val="24"/>
          <w:szCs w:val="24"/>
        </w:rPr>
        <w:footnoteReference w:id="291"/>
      </w:r>
      <w:r w:rsidR="00E31365">
        <w:rPr>
          <w:rFonts w:ascii="Times New Roman" w:hAnsi="Times New Roman" w:cs="Times New Roman"/>
          <w:sz w:val="24"/>
          <w:szCs w:val="24"/>
        </w:rPr>
        <w:t xml:space="preserve"> </w:t>
      </w:r>
      <w:r w:rsidR="00E31365" w:rsidRPr="00AE141E">
        <w:rPr>
          <w:rFonts w:ascii="Times New Roman" w:hAnsi="Times New Roman" w:cs="Times New Roman"/>
          <w:sz w:val="24"/>
          <w:szCs w:val="24"/>
        </w:rPr>
        <w:t>A third, Southern, offered only a modern and contemporary history course containing some world options, which it was considering withdrawing due to low candidate numbers.</w:t>
      </w:r>
      <w:r w:rsidR="00E31365">
        <w:rPr>
          <w:rFonts w:ascii="Times New Roman" w:hAnsi="Times New Roman" w:cs="Times New Roman"/>
          <w:sz w:val="24"/>
          <w:szCs w:val="24"/>
        </w:rPr>
        <w:t xml:space="preserve"> </w:t>
      </w:r>
      <w:r w:rsidR="00E342D1" w:rsidRPr="00AE141E">
        <w:rPr>
          <w:rFonts w:ascii="Times New Roman" w:hAnsi="Times New Roman" w:cs="Times New Roman"/>
          <w:sz w:val="24"/>
          <w:szCs w:val="24"/>
        </w:rPr>
        <w:t>At t</w:t>
      </w:r>
      <w:r w:rsidR="00DA00E0" w:rsidRPr="00AE141E">
        <w:rPr>
          <w:rFonts w:ascii="Times New Roman" w:hAnsi="Times New Roman" w:cs="Times New Roman"/>
          <w:sz w:val="24"/>
          <w:szCs w:val="24"/>
        </w:rPr>
        <w:t xml:space="preserve">he </w:t>
      </w:r>
      <w:r w:rsidR="006476CD" w:rsidRPr="00AE141E">
        <w:rPr>
          <w:rFonts w:ascii="Times New Roman" w:hAnsi="Times New Roman" w:cs="Times New Roman"/>
          <w:sz w:val="24"/>
          <w:szCs w:val="24"/>
        </w:rPr>
        <w:t>Associated Examining Board</w:t>
      </w:r>
      <w:r w:rsidR="00DA00E0" w:rsidRPr="00AE141E">
        <w:rPr>
          <w:rFonts w:ascii="Times New Roman" w:hAnsi="Times New Roman" w:cs="Times New Roman"/>
          <w:sz w:val="24"/>
          <w:szCs w:val="24"/>
        </w:rPr>
        <w:t xml:space="preserve">, </w:t>
      </w:r>
      <w:r w:rsidR="00170CFF" w:rsidRPr="00AE141E">
        <w:rPr>
          <w:rFonts w:ascii="Times New Roman" w:hAnsi="Times New Roman" w:cs="Times New Roman"/>
          <w:sz w:val="24"/>
          <w:szCs w:val="24"/>
        </w:rPr>
        <w:t>which did offer a genuine world history paper</w:t>
      </w:r>
      <w:r w:rsidR="00DA00E0" w:rsidRPr="00AE141E">
        <w:rPr>
          <w:rFonts w:ascii="Times New Roman" w:hAnsi="Times New Roman" w:cs="Times New Roman"/>
          <w:sz w:val="24"/>
          <w:szCs w:val="24"/>
        </w:rPr>
        <w:t xml:space="preserve">, </w:t>
      </w:r>
      <w:r w:rsidR="00170CFF" w:rsidRPr="00AE141E">
        <w:rPr>
          <w:rFonts w:ascii="Times New Roman" w:hAnsi="Times New Roman" w:cs="Times New Roman"/>
          <w:sz w:val="24"/>
          <w:szCs w:val="24"/>
        </w:rPr>
        <w:t xml:space="preserve">uptake was also low. </w:t>
      </w:r>
      <w:r w:rsidR="00327238" w:rsidRPr="00AE141E">
        <w:rPr>
          <w:rFonts w:ascii="Times New Roman" w:hAnsi="Times New Roman" w:cs="Times New Roman"/>
          <w:sz w:val="24"/>
          <w:szCs w:val="24"/>
        </w:rPr>
        <w:t xml:space="preserve">In 1964, </w:t>
      </w:r>
      <w:r w:rsidR="003C3EEB" w:rsidRPr="00AE141E">
        <w:rPr>
          <w:rFonts w:ascii="Times New Roman" w:hAnsi="Times New Roman" w:cs="Times New Roman"/>
          <w:sz w:val="24"/>
          <w:szCs w:val="24"/>
        </w:rPr>
        <w:t xml:space="preserve">just 39 candidates were entered for world history. By contrast, </w:t>
      </w:r>
      <w:r w:rsidR="006476CD" w:rsidRPr="00AE141E">
        <w:rPr>
          <w:rFonts w:ascii="Times New Roman" w:hAnsi="Times New Roman" w:cs="Times New Roman"/>
          <w:sz w:val="24"/>
          <w:szCs w:val="24"/>
        </w:rPr>
        <w:t xml:space="preserve">163 </w:t>
      </w:r>
      <w:r w:rsidR="00DC3ACE" w:rsidRPr="00AE141E">
        <w:rPr>
          <w:rFonts w:ascii="Times New Roman" w:hAnsi="Times New Roman" w:cs="Times New Roman"/>
          <w:sz w:val="24"/>
          <w:szCs w:val="24"/>
        </w:rPr>
        <w:t xml:space="preserve">were examined in </w:t>
      </w:r>
      <w:r w:rsidR="006476CD" w:rsidRPr="00AE141E">
        <w:rPr>
          <w:rFonts w:ascii="Times New Roman" w:hAnsi="Times New Roman" w:cs="Times New Roman"/>
          <w:sz w:val="24"/>
          <w:szCs w:val="24"/>
        </w:rPr>
        <w:t>English</w:t>
      </w:r>
      <w:r w:rsidR="00A56FA6" w:rsidRPr="00AE141E">
        <w:rPr>
          <w:rFonts w:ascii="Times New Roman" w:hAnsi="Times New Roman" w:cs="Times New Roman"/>
          <w:sz w:val="24"/>
          <w:szCs w:val="24"/>
        </w:rPr>
        <w:t xml:space="preserve"> h</w:t>
      </w:r>
      <w:r w:rsidR="006476CD" w:rsidRPr="00AE141E">
        <w:rPr>
          <w:rFonts w:ascii="Times New Roman" w:hAnsi="Times New Roman" w:cs="Times New Roman"/>
          <w:sz w:val="24"/>
          <w:szCs w:val="24"/>
        </w:rPr>
        <w:t xml:space="preserve">istory, and 110 in European </w:t>
      </w:r>
      <w:r w:rsidR="00DC3ACE" w:rsidRPr="00AE141E">
        <w:rPr>
          <w:rFonts w:ascii="Times New Roman" w:hAnsi="Times New Roman" w:cs="Times New Roman"/>
          <w:sz w:val="24"/>
          <w:szCs w:val="24"/>
        </w:rPr>
        <w:t>h</w:t>
      </w:r>
      <w:r w:rsidR="006476CD" w:rsidRPr="00AE141E">
        <w:rPr>
          <w:rFonts w:ascii="Times New Roman" w:hAnsi="Times New Roman" w:cs="Times New Roman"/>
          <w:sz w:val="24"/>
          <w:szCs w:val="24"/>
        </w:rPr>
        <w:t>istory</w:t>
      </w:r>
      <w:r w:rsidR="00DC3ACE" w:rsidRPr="00AE141E">
        <w:rPr>
          <w:rFonts w:ascii="Times New Roman" w:hAnsi="Times New Roman" w:cs="Times New Roman"/>
          <w:sz w:val="24"/>
          <w:szCs w:val="24"/>
        </w:rPr>
        <w:t xml:space="preserve"> </w:t>
      </w:r>
      <w:r w:rsidR="006476CD" w:rsidRPr="00AE141E">
        <w:rPr>
          <w:rFonts w:ascii="Times New Roman" w:hAnsi="Times New Roman" w:cs="Times New Roman"/>
          <w:sz w:val="24"/>
          <w:szCs w:val="24"/>
        </w:rPr>
        <w:t>(both covering a broad historical sweep from ancient history to the present day)</w:t>
      </w:r>
      <w:r w:rsidR="00DC3ACE" w:rsidRPr="00AE141E">
        <w:rPr>
          <w:rFonts w:ascii="Times New Roman" w:hAnsi="Times New Roman" w:cs="Times New Roman"/>
          <w:sz w:val="24"/>
          <w:szCs w:val="24"/>
        </w:rPr>
        <w:t>.</w:t>
      </w:r>
      <w:r w:rsidR="00FD3D1C" w:rsidRPr="00AE141E">
        <w:rPr>
          <w:rFonts w:ascii="Times New Roman" w:hAnsi="Times New Roman" w:cs="Times New Roman"/>
          <w:sz w:val="24"/>
          <w:szCs w:val="24"/>
        </w:rPr>
        <w:t xml:space="preserve"> </w:t>
      </w:r>
      <w:r w:rsidR="006476CD" w:rsidRPr="00AE141E">
        <w:rPr>
          <w:rFonts w:ascii="Times New Roman" w:hAnsi="Times New Roman" w:cs="Times New Roman"/>
          <w:sz w:val="24"/>
          <w:szCs w:val="24"/>
        </w:rPr>
        <w:t>All options experienced substantial growth in candidate numbers over a six</w:t>
      </w:r>
      <w:r w:rsidR="007B66F7" w:rsidRPr="00AE141E">
        <w:rPr>
          <w:rFonts w:ascii="Times New Roman" w:hAnsi="Times New Roman" w:cs="Times New Roman"/>
          <w:sz w:val="24"/>
          <w:szCs w:val="24"/>
        </w:rPr>
        <w:t>-</w:t>
      </w:r>
      <w:r w:rsidR="006476CD" w:rsidRPr="00AE141E">
        <w:rPr>
          <w:rFonts w:ascii="Times New Roman" w:hAnsi="Times New Roman" w:cs="Times New Roman"/>
          <w:sz w:val="24"/>
          <w:szCs w:val="24"/>
        </w:rPr>
        <w:t>year period, but this growth was unevenly distributed</w:t>
      </w:r>
      <w:r w:rsidR="007B66F7" w:rsidRPr="00AE141E">
        <w:rPr>
          <w:rFonts w:ascii="Times New Roman" w:hAnsi="Times New Roman" w:cs="Times New Roman"/>
          <w:sz w:val="24"/>
          <w:szCs w:val="24"/>
        </w:rPr>
        <w:t xml:space="preserve">: English history gained 1,074 </w:t>
      </w:r>
      <w:r w:rsidR="00C95EFC" w:rsidRPr="00AE141E">
        <w:rPr>
          <w:rFonts w:ascii="Times New Roman" w:hAnsi="Times New Roman" w:cs="Times New Roman"/>
          <w:sz w:val="24"/>
          <w:szCs w:val="24"/>
        </w:rPr>
        <w:t>entrants</w:t>
      </w:r>
      <w:r w:rsidR="007B66F7" w:rsidRPr="00AE141E">
        <w:rPr>
          <w:rFonts w:ascii="Times New Roman" w:hAnsi="Times New Roman" w:cs="Times New Roman"/>
          <w:sz w:val="24"/>
          <w:szCs w:val="24"/>
        </w:rPr>
        <w:t>, European</w:t>
      </w:r>
      <w:r w:rsidR="00C95EFC" w:rsidRPr="00AE141E">
        <w:rPr>
          <w:rFonts w:ascii="Times New Roman" w:hAnsi="Times New Roman" w:cs="Times New Roman"/>
          <w:sz w:val="24"/>
          <w:szCs w:val="24"/>
        </w:rPr>
        <w:t xml:space="preserve"> history</w:t>
      </w:r>
      <w:r w:rsidR="007B66F7" w:rsidRPr="00AE141E">
        <w:rPr>
          <w:rFonts w:ascii="Times New Roman" w:hAnsi="Times New Roman" w:cs="Times New Roman"/>
          <w:sz w:val="24"/>
          <w:szCs w:val="24"/>
        </w:rPr>
        <w:t xml:space="preserve"> 1,061, and </w:t>
      </w:r>
      <w:r w:rsidR="00C95EFC" w:rsidRPr="00AE141E">
        <w:rPr>
          <w:rFonts w:ascii="Times New Roman" w:hAnsi="Times New Roman" w:cs="Times New Roman"/>
          <w:sz w:val="24"/>
          <w:szCs w:val="24"/>
        </w:rPr>
        <w:t>w</w:t>
      </w:r>
      <w:r w:rsidR="007B66F7" w:rsidRPr="00AE141E">
        <w:rPr>
          <w:rFonts w:ascii="Times New Roman" w:hAnsi="Times New Roman" w:cs="Times New Roman"/>
          <w:sz w:val="24"/>
          <w:szCs w:val="24"/>
        </w:rPr>
        <w:t>orld</w:t>
      </w:r>
      <w:r w:rsidR="00C95EFC" w:rsidRPr="00AE141E">
        <w:rPr>
          <w:rFonts w:ascii="Times New Roman" w:hAnsi="Times New Roman" w:cs="Times New Roman"/>
          <w:sz w:val="24"/>
          <w:szCs w:val="24"/>
        </w:rPr>
        <w:t xml:space="preserve"> history</w:t>
      </w:r>
      <w:r w:rsidR="007B66F7" w:rsidRPr="00AE141E">
        <w:rPr>
          <w:rFonts w:ascii="Times New Roman" w:hAnsi="Times New Roman" w:cs="Times New Roman"/>
          <w:sz w:val="24"/>
          <w:szCs w:val="24"/>
        </w:rPr>
        <w:t xml:space="preserve"> </w:t>
      </w:r>
      <w:r w:rsidR="00C95EFC" w:rsidRPr="00AE141E">
        <w:rPr>
          <w:rFonts w:ascii="Times New Roman" w:hAnsi="Times New Roman" w:cs="Times New Roman"/>
          <w:sz w:val="24"/>
          <w:szCs w:val="24"/>
        </w:rPr>
        <w:t xml:space="preserve">just </w:t>
      </w:r>
      <w:r w:rsidR="007B66F7" w:rsidRPr="00AE141E">
        <w:rPr>
          <w:rFonts w:ascii="Times New Roman" w:hAnsi="Times New Roman" w:cs="Times New Roman"/>
          <w:sz w:val="24"/>
          <w:szCs w:val="24"/>
        </w:rPr>
        <w:t>329.</w:t>
      </w:r>
    </w:p>
    <w:p w14:paraId="6D8F54CB" w14:textId="5D520CB0" w:rsidR="004C1CCE" w:rsidRPr="00AE141E" w:rsidRDefault="00231B7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There are several plausible </w:t>
      </w:r>
      <w:r w:rsidR="006779A5" w:rsidRPr="00AE141E">
        <w:rPr>
          <w:rFonts w:ascii="Times New Roman" w:hAnsi="Times New Roman" w:cs="Times New Roman"/>
          <w:sz w:val="24"/>
          <w:szCs w:val="24"/>
        </w:rPr>
        <w:t xml:space="preserve">explanations for </w:t>
      </w:r>
      <w:r w:rsidR="0006125A" w:rsidRPr="00AE141E">
        <w:rPr>
          <w:rFonts w:ascii="Times New Roman" w:hAnsi="Times New Roman" w:cs="Times New Roman"/>
          <w:sz w:val="24"/>
          <w:szCs w:val="24"/>
        </w:rPr>
        <w:t>divergent influences of world h</w:t>
      </w:r>
      <w:r w:rsidR="00065208" w:rsidRPr="00AE141E">
        <w:rPr>
          <w:rFonts w:ascii="Times New Roman" w:hAnsi="Times New Roman" w:cs="Times New Roman"/>
          <w:sz w:val="24"/>
          <w:szCs w:val="24"/>
        </w:rPr>
        <w:t xml:space="preserve">istory </w:t>
      </w:r>
      <w:r w:rsidR="004F7BA6" w:rsidRPr="00AE141E">
        <w:rPr>
          <w:rFonts w:ascii="Times New Roman" w:hAnsi="Times New Roman" w:cs="Times New Roman"/>
          <w:sz w:val="24"/>
          <w:szCs w:val="24"/>
        </w:rPr>
        <w:t>on CSE and GCE history.</w:t>
      </w:r>
      <w:r w:rsidR="009B54BD" w:rsidRPr="00AE141E">
        <w:rPr>
          <w:rFonts w:ascii="Times New Roman" w:hAnsi="Times New Roman" w:cs="Times New Roman"/>
          <w:sz w:val="24"/>
          <w:szCs w:val="24"/>
        </w:rPr>
        <w:t xml:space="preserve"> </w:t>
      </w:r>
      <w:r w:rsidR="00B012DA" w:rsidRPr="00AE141E">
        <w:rPr>
          <w:rFonts w:ascii="Times New Roman" w:hAnsi="Times New Roman" w:cs="Times New Roman"/>
          <w:sz w:val="24"/>
          <w:szCs w:val="24"/>
        </w:rPr>
        <w:t xml:space="preserve">As Cannadine, Keating, and Sheldon </w:t>
      </w:r>
      <w:r w:rsidR="00642B16" w:rsidRPr="00AE141E">
        <w:rPr>
          <w:rFonts w:ascii="Times New Roman" w:hAnsi="Times New Roman" w:cs="Times New Roman"/>
          <w:sz w:val="24"/>
          <w:szCs w:val="24"/>
        </w:rPr>
        <w:t xml:space="preserve">have suggested, the </w:t>
      </w:r>
      <w:r w:rsidR="00C103DE" w:rsidRPr="00AE141E">
        <w:rPr>
          <w:rFonts w:ascii="Times New Roman" w:hAnsi="Times New Roman" w:cs="Times New Roman"/>
          <w:sz w:val="24"/>
          <w:szCs w:val="24"/>
        </w:rPr>
        <w:t>arrival of the CSE</w:t>
      </w:r>
      <w:r w:rsidR="003A5A02" w:rsidRPr="00AE141E">
        <w:rPr>
          <w:rFonts w:ascii="Times New Roman" w:hAnsi="Times New Roman" w:cs="Times New Roman"/>
          <w:sz w:val="24"/>
          <w:szCs w:val="24"/>
        </w:rPr>
        <w:t xml:space="preserve"> – especially within comprehensive classrooms </w:t>
      </w:r>
      <w:r w:rsidR="00955317" w:rsidRPr="00AE141E">
        <w:rPr>
          <w:rFonts w:ascii="Times New Roman" w:hAnsi="Times New Roman" w:cs="Times New Roman"/>
          <w:sz w:val="24"/>
          <w:szCs w:val="24"/>
        </w:rPr>
        <w:t>–</w:t>
      </w:r>
      <w:r w:rsidR="003A5A02" w:rsidRPr="00AE141E">
        <w:rPr>
          <w:rFonts w:ascii="Times New Roman" w:hAnsi="Times New Roman" w:cs="Times New Roman"/>
          <w:sz w:val="24"/>
          <w:szCs w:val="24"/>
        </w:rPr>
        <w:t xml:space="preserve"> </w:t>
      </w:r>
      <w:r w:rsidR="00955317" w:rsidRPr="00AE141E">
        <w:rPr>
          <w:rFonts w:ascii="Times New Roman" w:hAnsi="Times New Roman" w:cs="Times New Roman"/>
          <w:sz w:val="24"/>
          <w:szCs w:val="24"/>
        </w:rPr>
        <w:t>created a new need for history to ‘justify its place in the curriculum by appealing to children across a wide range of ability’.</w:t>
      </w:r>
      <w:r w:rsidR="00955317" w:rsidRPr="00AE141E">
        <w:rPr>
          <w:rStyle w:val="FootnoteReference"/>
          <w:rFonts w:ascii="Times New Roman" w:hAnsi="Times New Roman" w:cs="Times New Roman"/>
          <w:sz w:val="24"/>
          <w:szCs w:val="24"/>
        </w:rPr>
        <w:footnoteReference w:id="292"/>
      </w:r>
      <w:r w:rsidR="00C977F5" w:rsidRPr="00AE141E">
        <w:rPr>
          <w:rFonts w:ascii="Times New Roman" w:hAnsi="Times New Roman" w:cs="Times New Roman"/>
          <w:sz w:val="24"/>
          <w:szCs w:val="24"/>
        </w:rPr>
        <w:t xml:space="preserve"> </w:t>
      </w:r>
      <w:r w:rsidR="00E80FE0" w:rsidRPr="00AE141E">
        <w:rPr>
          <w:rFonts w:ascii="Times New Roman" w:hAnsi="Times New Roman" w:cs="Times New Roman"/>
          <w:sz w:val="24"/>
          <w:szCs w:val="24"/>
        </w:rPr>
        <w:t xml:space="preserve">World and contemporary history, with their </w:t>
      </w:r>
      <w:r w:rsidR="00646B6A" w:rsidRPr="00AE141E">
        <w:rPr>
          <w:rFonts w:ascii="Times New Roman" w:hAnsi="Times New Roman" w:cs="Times New Roman"/>
          <w:sz w:val="24"/>
          <w:szCs w:val="24"/>
        </w:rPr>
        <w:t xml:space="preserve">obvious claims to relevance, were seen as likely candidates to hold </w:t>
      </w:r>
      <w:r w:rsidR="001D6273" w:rsidRPr="00AE141E">
        <w:rPr>
          <w:rFonts w:ascii="Times New Roman" w:hAnsi="Times New Roman" w:cs="Times New Roman"/>
          <w:sz w:val="24"/>
          <w:szCs w:val="24"/>
        </w:rPr>
        <w:t xml:space="preserve">the attention of students in mixed-ability classrooms. </w:t>
      </w:r>
      <w:r w:rsidR="00B2417B" w:rsidRPr="00AE141E">
        <w:rPr>
          <w:rFonts w:ascii="Times New Roman" w:hAnsi="Times New Roman" w:cs="Times New Roman"/>
          <w:sz w:val="24"/>
          <w:szCs w:val="24"/>
        </w:rPr>
        <w:t xml:space="preserve">For teachers </w:t>
      </w:r>
      <w:r w:rsidR="007837AD" w:rsidRPr="00AE141E">
        <w:rPr>
          <w:rFonts w:ascii="Times New Roman" w:hAnsi="Times New Roman" w:cs="Times New Roman"/>
          <w:sz w:val="24"/>
          <w:szCs w:val="24"/>
        </w:rPr>
        <w:t>in</w:t>
      </w:r>
      <w:r w:rsidR="00B2417B" w:rsidRPr="00AE141E">
        <w:rPr>
          <w:rFonts w:ascii="Times New Roman" w:hAnsi="Times New Roman" w:cs="Times New Roman"/>
          <w:sz w:val="24"/>
          <w:szCs w:val="24"/>
        </w:rPr>
        <w:t xml:space="preserve"> grammar school</w:t>
      </w:r>
      <w:r w:rsidR="007837AD" w:rsidRPr="00AE141E">
        <w:rPr>
          <w:rFonts w:ascii="Times New Roman" w:hAnsi="Times New Roman" w:cs="Times New Roman"/>
          <w:sz w:val="24"/>
          <w:szCs w:val="24"/>
        </w:rPr>
        <w:t>s</w:t>
      </w:r>
      <w:r w:rsidR="00B2417B" w:rsidRPr="00AE141E">
        <w:rPr>
          <w:rFonts w:ascii="Times New Roman" w:hAnsi="Times New Roman" w:cs="Times New Roman"/>
          <w:sz w:val="24"/>
          <w:szCs w:val="24"/>
        </w:rPr>
        <w:t xml:space="preserve">, </w:t>
      </w:r>
      <w:r w:rsidR="007837AD" w:rsidRPr="00AE141E">
        <w:rPr>
          <w:rFonts w:ascii="Times New Roman" w:hAnsi="Times New Roman" w:cs="Times New Roman"/>
          <w:sz w:val="24"/>
          <w:szCs w:val="24"/>
        </w:rPr>
        <w:t>where</w:t>
      </w:r>
      <w:r w:rsidR="00B2417B" w:rsidRPr="00AE141E">
        <w:rPr>
          <w:rFonts w:ascii="Times New Roman" w:hAnsi="Times New Roman" w:cs="Times New Roman"/>
          <w:sz w:val="24"/>
          <w:szCs w:val="24"/>
        </w:rPr>
        <w:t xml:space="preserve"> the GCE dominated, the need for innovation was much less pressing</w:t>
      </w:r>
      <w:r w:rsidR="007837AD" w:rsidRPr="00AE141E">
        <w:rPr>
          <w:rFonts w:ascii="Times New Roman" w:hAnsi="Times New Roman" w:cs="Times New Roman"/>
          <w:sz w:val="24"/>
          <w:szCs w:val="24"/>
        </w:rPr>
        <w:t>.</w:t>
      </w:r>
      <w:r w:rsidR="00865D37" w:rsidRPr="00AE141E">
        <w:rPr>
          <w:rStyle w:val="FootnoteReference"/>
          <w:rFonts w:ascii="Times New Roman" w:hAnsi="Times New Roman" w:cs="Times New Roman"/>
          <w:sz w:val="24"/>
          <w:szCs w:val="24"/>
        </w:rPr>
        <w:footnoteReference w:id="293"/>
      </w:r>
      <w:r w:rsidR="001A2CFA" w:rsidRPr="00AE141E">
        <w:rPr>
          <w:rFonts w:ascii="Times New Roman" w:hAnsi="Times New Roman" w:cs="Times New Roman"/>
          <w:sz w:val="24"/>
          <w:szCs w:val="24"/>
        </w:rPr>
        <w:t xml:space="preserve"> </w:t>
      </w:r>
      <w:r w:rsidR="009B54BD" w:rsidRPr="00AE141E">
        <w:rPr>
          <w:rFonts w:ascii="Times New Roman" w:hAnsi="Times New Roman" w:cs="Times New Roman"/>
          <w:sz w:val="24"/>
          <w:szCs w:val="24"/>
        </w:rPr>
        <w:t>Resource</w:t>
      </w:r>
      <w:r w:rsidR="00462911" w:rsidRPr="00AE141E">
        <w:rPr>
          <w:rFonts w:ascii="Times New Roman" w:hAnsi="Times New Roman" w:cs="Times New Roman"/>
          <w:sz w:val="24"/>
          <w:szCs w:val="24"/>
        </w:rPr>
        <w:t xml:space="preserve"> limitations</w:t>
      </w:r>
      <w:r w:rsidR="009B54BD" w:rsidRPr="00AE141E">
        <w:rPr>
          <w:rFonts w:ascii="Times New Roman" w:hAnsi="Times New Roman" w:cs="Times New Roman"/>
          <w:sz w:val="24"/>
          <w:szCs w:val="24"/>
        </w:rPr>
        <w:t xml:space="preserve"> may </w:t>
      </w:r>
      <w:r w:rsidR="008C583D" w:rsidRPr="00AE141E">
        <w:rPr>
          <w:rFonts w:ascii="Times New Roman" w:hAnsi="Times New Roman" w:cs="Times New Roman"/>
          <w:sz w:val="24"/>
          <w:szCs w:val="24"/>
        </w:rPr>
        <w:t xml:space="preserve">have </w:t>
      </w:r>
      <w:r w:rsidR="002460EE" w:rsidRPr="00AE141E">
        <w:rPr>
          <w:rFonts w:ascii="Times New Roman" w:hAnsi="Times New Roman" w:cs="Times New Roman"/>
          <w:sz w:val="24"/>
          <w:szCs w:val="24"/>
        </w:rPr>
        <w:t>placed a further constraint on</w:t>
      </w:r>
      <w:r w:rsidR="009B54BD" w:rsidRPr="00AE141E">
        <w:rPr>
          <w:rFonts w:ascii="Times New Roman" w:hAnsi="Times New Roman" w:cs="Times New Roman"/>
          <w:sz w:val="24"/>
          <w:szCs w:val="24"/>
        </w:rPr>
        <w:t xml:space="preserve"> teachers of GCE courses. </w:t>
      </w:r>
      <w:r w:rsidR="00E003FA" w:rsidRPr="00AE141E">
        <w:rPr>
          <w:rFonts w:ascii="Times New Roman" w:hAnsi="Times New Roman" w:cs="Times New Roman"/>
          <w:sz w:val="24"/>
          <w:szCs w:val="24"/>
        </w:rPr>
        <w:t>T</w:t>
      </w:r>
      <w:r w:rsidR="009B54BD" w:rsidRPr="00AE141E">
        <w:rPr>
          <w:rFonts w:ascii="Times New Roman" w:hAnsi="Times New Roman" w:cs="Times New Roman"/>
          <w:sz w:val="24"/>
          <w:szCs w:val="24"/>
        </w:rPr>
        <w:t xml:space="preserve">he general rollout of the CSE </w:t>
      </w:r>
      <w:r w:rsidR="00E003FA" w:rsidRPr="00AE141E">
        <w:rPr>
          <w:rFonts w:ascii="Times New Roman" w:hAnsi="Times New Roman" w:cs="Times New Roman"/>
          <w:sz w:val="24"/>
          <w:szCs w:val="24"/>
        </w:rPr>
        <w:t xml:space="preserve">made investment in new </w:t>
      </w:r>
      <w:r w:rsidR="00F86C5C" w:rsidRPr="00AE141E">
        <w:rPr>
          <w:rFonts w:ascii="Times New Roman" w:hAnsi="Times New Roman" w:cs="Times New Roman"/>
          <w:sz w:val="24"/>
          <w:szCs w:val="24"/>
        </w:rPr>
        <w:t>materials</w:t>
      </w:r>
      <w:r w:rsidR="00E003FA" w:rsidRPr="00AE141E">
        <w:rPr>
          <w:rFonts w:ascii="Times New Roman" w:hAnsi="Times New Roman" w:cs="Times New Roman"/>
          <w:sz w:val="24"/>
          <w:szCs w:val="24"/>
        </w:rPr>
        <w:t xml:space="preserve"> non-negotiable for </w:t>
      </w:r>
      <w:r w:rsidR="00910088" w:rsidRPr="00AE141E">
        <w:rPr>
          <w:rFonts w:ascii="Times New Roman" w:hAnsi="Times New Roman" w:cs="Times New Roman"/>
          <w:sz w:val="24"/>
          <w:szCs w:val="24"/>
        </w:rPr>
        <w:t>schools teaching this option</w:t>
      </w:r>
      <w:r w:rsidR="00AA4C40" w:rsidRPr="00AE141E">
        <w:rPr>
          <w:rFonts w:ascii="Times New Roman" w:hAnsi="Times New Roman" w:cs="Times New Roman"/>
          <w:sz w:val="24"/>
          <w:szCs w:val="24"/>
        </w:rPr>
        <w:t>.</w:t>
      </w:r>
      <w:r w:rsidR="00F86C5C" w:rsidRPr="00AE141E">
        <w:rPr>
          <w:rFonts w:ascii="Times New Roman" w:hAnsi="Times New Roman" w:cs="Times New Roman"/>
          <w:sz w:val="24"/>
          <w:szCs w:val="24"/>
        </w:rPr>
        <w:t xml:space="preserve"> History teachers therefore </w:t>
      </w:r>
      <w:r w:rsidR="002460AC" w:rsidRPr="00AE141E">
        <w:rPr>
          <w:rFonts w:ascii="Times New Roman" w:hAnsi="Times New Roman" w:cs="Times New Roman"/>
          <w:sz w:val="24"/>
          <w:szCs w:val="24"/>
        </w:rPr>
        <w:t>enjoyed</w:t>
      </w:r>
      <w:r w:rsidR="00F86C5C" w:rsidRPr="00AE141E">
        <w:rPr>
          <w:rFonts w:ascii="Times New Roman" w:hAnsi="Times New Roman" w:cs="Times New Roman"/>
          <w:sz w:val="24"/>
          <w:szCs w:val="24"/>
        </w:rPr>
        <w:t xml:space="preserve"> a rare opportunity to </w:t>
      </w:r>
      <w:r w:rsidR="009A37DD" w:rsidRPr="00AE141E">
        <w:rPr>
          <w:rFonts w:ascii="Times New Roman" w:hAnsi="Times New Roman" w:cs="Times New Roman"/>
          <w:sz w:val="24"/>
          <w:szCs w:val="24"/>
        </w:rPr>
        <w:t>purchase substantial numbers of new textbooks and teaching aids</w:t>
      </w:r>
      <w:r w:rsidR="0049323A" w:rsidRPr="00AE141E">
        <w:rPr>
          <w:rFonts w:ascii="Times New Roman" w:hAnsi="Times New Roman" w:cs="Times New Roman"/>
          <w:sz w:val="24"/>
          <w:szCs w:val="24"/>
        </w:rPr>
        <w:t xml:space="preserve"> with a different focus to those previously in use. </w:t>
      </w:r>
      <w:r w:rsidR="00AA4C40" w:rsidRPr="00AE141E">
        <w:rPr>
          <w:rFonts w:ascii="Times New Roman" w:hAnsi="Times New Roman" w:cs="Times New Roman"/>
          <w:sz w:val="24"/>
          <w:szCs w:val="24"/>
        </w:rPr>
        <w:t>For teachers of GCE courses</w:t>
      </w:r>
      <w:r w:rsidR="00B16A59" w:rsidRPr="00AE141E">
        <w:rPr>
          <w:rFonts w:ascii="Times New Roman" w:hAnsi="Times New Roman" w:cs="Times New Roman"/>
          <w:sz w:val="24"/>
          <w:szCs w:val="24"/>
        </w:rPr>
        <w:t>, there was no such necessity</w:t>
      </w:r>
      <w:r w:rsidR="00DD3001" w:rsidRPr="00AE141E">
        <w:rPr>
          <w:rFonts w:ascii="Times New Roman" w:hAnsi="Times New Roman" w:cs="Times New Roman"/>
          <w:sz w:val="24"/>
          <w:szCs w:val="24"/>
        </w:rPr>
        <w:t>, and r</w:t>
      </w:r>
      <w:r w:rsidR="00C92D26" w:rsidRPr="00AE141E">
        <w:rPr>
          <w:rFonts w:ascii="Times New Roman" w:hAnsi="Times New Roman" w:cs="Times New Roman"/>
          <w:sz w:val="24"/>
          <w:szCs w:val="24"/>
        </w:rPr>
        <w:t xml:space="preserve">estricted budgets limited their capacity to </w:t>
      </w:r>
      <w:r w:rsidR="00DD3001" w:rsidRPr="00AE141E">
        <w:rPr>
          <w:rFonts w:ascii="Times New Roman" w:hAnsi="Times New Roman" w:cs="Times New Roman"/>
          <w:sz w:val="24"/>
          <w:szCs w:val="24"/>
        </w:rPr>
        <w:t>alter the content of syllabi in any meaningful way.</w:t>
      </w:r>
    </w:p>
    <w:p w14:paraId="30245B1E" w14:textId="0015E00A" w:rsidR="009B5658" w:rsidRPr="00AE141E" w:rsidRDefault="00E22ED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During this period</w:t>
      </w:r>
      <w:r w:rsidR="00A24CAA" w:rsidRPr="00AE141E">
        <w:rPr>
          <w:rFonts w:ascii="Times New Roman" w:hAnsi="Times New Roman" w:cs="Times New Roman"/>
          <w:sz w:val="24"/>
          <w:szCs w:val="24"/>
        </w:rPr>
        <w:t xml:space="preserve">, </w:t>
      </w:r>
      <w:r w:rsidR="00AB2A1E" w:rsidRPr="00AE141E">
        <w:rPr>
          <w:rFonts w:ascii="Times New Roman" w:hAnsi="Times New Roman" w:cs="Times New Roman"/>
          <w:sz w:val="24"/>
          <w:szCs w:val="24"/>
        </w:rPr>
        <w:t>responsibility for the curriculum ultimately rested on the shoulders of the individual teacher</w:t>
      </w:r>
      <w:r w:rsidR="00A24CAA" w:rsidRPr="00AE141E">
        <w:rPr>
          <w:rFonts w:ascii="Times New Roman" w:hAnsi="Times New Roman" w:cs="Times New Roman"/>
          <w:sz w:val="24"/>
          <w:szCs w:val="24"/>
        </w:rPr>
        <w:t>.</w:t>
      </w:r>
      <w:r w:rsidR="00615BBD" w:rsidRPr="00AE141E">
        <w:rPr>
          <w:rStyle w:val="FootnoteReference"/>
          <w:rFonts w:ascii="Times New Roman" w:hAnsi="Times New Roman" w:cs="Times New Roman"/>
          <w:sz w:val="24"/>
          <w:szCs w:val="24"/>
        </w:rPr>
        <w:footnoteReference w:id="294"/>
      </w:r>
      <w:r w:rsidR="00A24CAA" w:rsidRPr="00AE141E">
        <w:rPr>
          <w:rFonts w:ascii="Times New Roman" w:hAnsi="Times New Roman" w:cs="Times New Roman"/>
          <w:sz w:val="24"/>
          <w:szCs w:val="24"/>
        </w:rPr>
        <w:t xml:space="preserve"> </w:t>
      </w:r>
      <w:r w:rsidR="004073CA" w:rsidRPr="00AE141E">
        <w:rPr>
          <w:rFonts w:ascii="Times New Roman" w:hAnsi="Times New Roman" w:cs="Times New Roman"/>
          <w:sz w:val="24"/>
          <w:szCs w:val="24"/>
        </w:rPr>
        <w:t>Consequently,</w:t>
      </w:r>
      <w:r w:rsidR="00000B5E" w:rsidRPr="00AE141E">
        <w:rPr>
          <w:rFonts w:ascii="Times New Roman" w:hAnsi="Times New Roman" w:cs="Times New Roman"/>
          <w:sz w:val="24"/>
          <w:szCs w:val="24"/>
        </w:rPr>
        <w:t xml:space="preserve"> the particular interests of the teacher and the departmental culture </w:t>
      </w:r>
      <w:r w:rsidR="00FF72CB" w:rsidRPr="00AE141E">
        <w:rPr>
          <w:rFonts w:ascii="Times New Roman" w:hAnsi="Times New Roman" w:cs="Times New Roman"/>
          <w:sz w:val="24"/>
          <w:szCs w:val="24"/>
        </w:rPr>
        <w:t xml:space="preserve">in which they worked both exercised a determining influence over </w:t>
      </w:r>
      <w:r w:rsidR="001B56FA" w:rsidRPr="00AE141E">
        <w:rPr>
          <w:rFonts w:ascii="Times New Roman" w:hAnsi="Times New Roman" w:cs="Times New Roman"/>
          <w:sz w:val="24"/>
          <w:szCs w:val="24"/>
        </w:rPr>
        <w:t>taught</w:t>
      </w:r>
      <w:r w:rsidR="005D65D0" w:rsidRPr="00AE141E">
        <w:rPr>
          <w:rFonts w:ascii="Times New Roman" w:hAnsi="Times New Roman" w:cs="Times New Roman"/>
          <w:sz w:val="24"/>
          <w:szCs w:val="24"/>
        </w:rPr>
        <w:t xml:space="preserve"> content</w:t>
      </w:r>
      <w:r w:rsidR="001B56FA" w:rsidRPr="00AE141E">
        <w:rPr>
          <w:rFonts w:ascii="Times New Roman" w:hAnsi="Times New Roman" w:cs="Times New Roman"/>
          <w:sz w:val="24"/>
          <w:szCs w:val="24"/>
        </w:rPr>
        <w:t>. Contemporaries noted that</w:t>
      </w:r>
      <w:r w:rsidR="00863D05" w:rsidRPr="00AE141E">
        <w:rPr>
          <w:rFonts w:ascii="Times New Roman" w:hAnsi="Times New Roman" w:cs="Times New Roman"/>
          <w:sz w:val="24"/>
          <w:szCs w:val="24"/>
        </w:rPr>
        <w:t>, while</w:t>
      </w:r>
      <w:r w:rsidR="001B56FA" w:rsidRPr="00AE141E">
        <w:rPr>
          <w:rFonts w:ascii="Times New Roman" w:hAnsi="Times New Roman" w:cs="Times New Roman"/>
          <w:sz w:val="24"/>
          <w:szCs w:val="24"/>
        </w:rPr>
        <w:t xml:space="preserve"> the addition of a member o</w:t>
      </w:r>
      <w:r w:rsidR="00863D05" w:rsidRPr="00AE141E">
        <w:rPr>
          <w:rFonts w:ascii="Times New Roman" w:hAnsi="Times New Roman" w:cs="Times New Roman"/>
          <w:sz w:val="24"/>
          <w:szCs w:val="24"/>
        </w:rPr>
        <w:t xml:space="preserve">f staff </w:t>
      </w:r>
      <w:r w:rsidR="00A4179B" w:rsidRPr="00AE141E">
        <w:rPr>
          <w:rFonts w:ascii="Times New Roman" w:hAnsi="Times New Roman" w:cs="Times New Roman"/>
          <w:sz w:val="24"/>
          <w:szCs w:val="24"/>
        </w:rPr>
        <w:lastRenderedPageBreak/>
        <w:t>enthusiastic</w:t>
      </w:r>
      <w:r w:rsidR="00863D05" w:rsidRPr="00AE141E">
        <w:rPr>
          <w:rFonts w:ascii="Times New Roman" w:hAnsi="Times New Roman" w:cs="Times New Roman"/>
          <w:sz w:val="24"/>
          <w:szCs w:val="24"/>
        </w:rPr>
        <w:t xml:space="preserve"> about world history could </w:t>
      </w:r>
      <w:r w:rsidR="005840D5" w:rsidRPr="00AE141E">
        <w:rPr>
          <w:rFonts w:ascii="Times New Roman" w:hAnsi="Times New Roman" w:cs="Times New Roman"/>
          <w:sz w:val="24"/>
          <w:szCs w:val="24"/>
        </w:rPr>
        <w:t>affect</w:t>
      </w:r>
      <w:r w:rsidR="00863D05" w:rsidRPr="00AE141E">
        <w:rPr>
          <w:rFonts w:ascii="Times New Roman" w:hAnsi="Times New Roman" w:cs="Times New Roman"/>
          <w:sz w:val="24"/>
          <w:szCs w:val="24"/>
        </w:rPr>
        <w:t xml:space="preserve"> major </w:t>
      </w:r>
      <w:r w:rsidR="00FF7174" w:rsidRPr="00AE141E">
        <w:rPr>
          <w:rFonts w:ascii="Times New Roman" w:hAnsi="Times New Roman" w:cs="Times New Roman"/>
          <w:sz w:val="24"/>
          <w:szCs w:val="24"/>
        </w:rPr>
        <w:t>changes in the school curriculum, the loss of such pioneers could equally prove catastrophic.</w:t>
      </w:r>
      <w:r w:rsidR="008F7469" w:rsidRPr="00AE141E">
        <w:rPr>
          <w:rStyle w:val="FootnoteReference"/>
          <w:rFonts w:ascii="Times New Roman" w:hAnsi="Times New Roman" w:cs="Times New Roman"/>
          <w:sz w:val="24"/>
          <w:szCs w:val="24"/>
        </w:rPr>
        <w:footnoteReference w:id="295"/>
      </w:r>
      <w:r w:rsidR="001B56FA" w:rsidRPr="00AE141E">
        <w:rPr>
          <w:rFonts w:ascii="Times New Roman" w:hAnsi="Times New Roman" w:cs="Times New Roman"/>
          <w:sz w:val="24"/>
          <w:szCs w:val="24"/>
        </w:rPr>
        <w:t xml:space="preserve"> </w:t>
      </w:r>
      <w:r w:rsidR="00FA1391" w:rsidRPr="00AE141E">
        <w:rPr>
          <w:rFonts w:ascii="Times New Roman" w:hAnsi="Times New Roman" w:cs="Times New Roman"/>
          <w:sz w:val="24"/>
          <w:szCs w:val="24"/>
        </w:rPr>
        <w:t>Grammar schools, in which teachers of GCE students were disproportionat</w:t>
      </w:r>
      <w:r w:rsidR="00A56BB2" w:rsidRPr="00AE141E">
        <w:rPr>
          <w:rFonts w:ascii="Times New Roman" w:hAnsi="Times New Roman" w:cs="Times New Roman"/>
          <w:sz w:val="24"/>
          <w:szCs w:val="24"/>
        </w:rPr>
        <w:t>ely concentrated</w:t>
      </w:r>
      <w:r w:rsidR="00E51D35" w:rsidRPr="00AE141E">
        <w:rPr>
          <w:rFonts w:ascii="Times New Roman" w:hAnsi="Times New Roman" w:cs="Times New Roman"/>
          <w:sz w:val="24"/>
          <w:szCs w:val="24"/>
        </w:rPr>
        <w:t>,</w:t>
      </w:r>
      <w:r w:rsidR="00A56BB2" w:rsidRPr="00AE141E">
        <w:rPr>
          <w:rFonts w:ascii="Times New Roman" w:hAnsi="Times New Roman" w:cs="Times New Roman"/>
          <w:sz w:val="24"/>
          <w:szCs w:val="24"/>
        </w:rPr>
        <w:t xml:space="preserve"> </w:t>
      </w:r>
      <w:r w:rsidR="00ED052F" w:rsidRPr="00AE141E">
        <w:rPr>
          <w:rFonts w:ascii="Times New Roman" w:hAnsi="Times New Roman" w:cs="Times New Roman"/>
          <w:sz w:val="24"/>
          <w:szCs w:val="24"/>
        </w:rPr>
        <w:t xml:space="preserve">were </w:t>
      </w:r>
      <w:r w:rsidR="007E75BE" w:rsidRPr="00AE141E">
        <w:rPr>
          <w:rFonts w:ascii="Times New Roman" w:hAnsi="Times New Roman" w:cs="Times New Roman"/>
          <w:sz w:val="24"/>
          <w:szCs w:val="24"/>
        </w:rPr>
        <w:t xml:space="preserve">often </w:t>
      </w:r>
      <w:r w:rsidR="00ED052F" w:rsidRPr="00AE141E">
        <w:rPr>
          <w:rFonts w:ascii="Times New Roman" w:hAnsi="Times New Roman" w:cs="Times New Roman"/>
          <w:sz w:val="24"/>
          <w:szCs w:val="24"/>
        </w:rPr>
        <w:t>notable for</w:t>
      </w:r>
      <w:r w:rsidR="005226F6" w:rsidRPr="00AE141E">
        <w:rPr>
          <w:rFonts w:ascii="Times New Roman" w:hAnsi="Times New Roman" w:cs="Times New Roman"/>
          <w:sz w:val="24"/>
          <w:szCs w:val="24"/>
        </w:rPr>
        <w:t xml:space="preserve"> their conservative institutional culture</w:t>
      </w:r>
      <w:r w:rsidR="00A61248" w:rsidRPr="00AE141E">
        <w:rPr>
          <w:rFonts w:ascii="Times New Roman" w:hAnsi="Times New Roman" w:cs="Times New Roman"/>
          <w:sz w:val="24"/>
          <w:szCs w:val="24"/>
        </w:rPr>
        <w:t>.</w:t>
      </w:r>
      <w:r w:rsidR="00221402" w:rsidRPr="00AE141E">
        <w:rPr>
          <w:rStyle w:val="FootnoteReference"/>
          <w:rFonts w:ascii="Times New Roman" w:hAnsi="Times New Roman" w:cs="Times New Roman"/>
          <w:sz w:val="24"/>
          <w:szCs w:val="24"/>
        </w:rPr>
        <w:footnoteReference w:id="296"/>
      </w:r>
      <w:r w:rsidR="00A61248" w:rsidRPr="00AE141E">
        <w:rPr>
          <w:rFonts w:ascii="Times New Roman" w:hAnsi="Times New Roman" w:cs="Times New Roman"/>
          <w:sz w:val="24"/>
          <w:szCs w:val="24"/>
        </w:rPr>
        <w:t xml:space="preserve"> </w:t>
      </w:r>
      <w:r w:rsidR="00854305" w:rsidRPr="00AE141E">
        <w:rPr>
          <w:rFonts w:ascii="Times New Roman" w:hAnsi="Times New Roman" w:cs="Times New Roman"/>
          <w:sz w:val="24"/>
          <w:szCs w:val="24"/>
        </w:rPr>
        <w:t>Grammar</w:t>
      </w:r>
      <w:r w:rsidR="00E51D35" w:rsidRPr="00AE141E">
        <w:rPr>
          <w:rFonts w:ascii="Times New Roman" w:hAnsi="Times New Roman" w:cs="Times New Roman"/>
          <w:sz w:val="24"/>
          <w:szCs w:val="24"/>
        </w:rPr>
        <w:t xml:space="preserve">s </w:t>
      </w:r>
      <w:r w:rsidR="00DC60CC" w:rsidRPr="00AE141E">
        <w:rPr>
          <w:rFonts w:ascii="Times New Roman" w:hAnsi="Times New Roman" w:cs="Times New Roman"/>
          <w:sz w:val="24"/>
          <w:szCs w:val="24"/>
        </w:rPr>
        <w:t>figured (and perhaps continue to figure) in the political imagination</w:t>
      </w:r>
      <w:r w:rsidR="00F67F59" w:rsidRPr="00AE141E">
        <w:rPr>
          <w:rFonts w:ascii="Times New Roman" w:hAnsi="Times New Roman" w:cs="Times New Roman"/>
          <w:sz w:val="24"/>
          <w:szCs w:val="24"/>
        </w:rPr>
        <w:t xml:space="preserve"> either</w:t>
      </w:r>
      <w:r w:rsidR="00DC60CC" w:rsidRPr="00AE141E">
        <w:rPr>
          <w:rFonts w:ascii="Times New Roman" w:hAnsi="Times New Roman" w:cs="Times New Roman"/>
          <w:sz w:val="24"/>
          <w:szCs w:val="24"/>
        </w:rPr>
        <w:t xml:space="preserve"> as representations of the meritocratic basis </w:t>
      </w:r>
      <w:r w:rsidR="00AE126F" w:rsidRPr="00AE141E">
        <w:rPr>
          <w:rFonts w:ascii="Times New Roman" w:hAnsi="Times New Roman" w:cs="Times New Roman"/>
          <w:sz w:val="24"/>
          <w:szCs w:val="24"/>
        </w:rPr>
        <w:t>of post-war British society, in which social advance was tied to raw intell</w:t>
      </w:r>
      <w:r w:rsidR="0043583C" w:rsidRPr="00AE141E">
        <w:rPr>
          <w:rFonts w:ascii="Times New Roman" w:hAnsi="Times New Roman" w:cs="Times New Roman"/>
          <w:sz w:val="24"/>
          <w:szCs w:val="24"/>
        </w:rPr>
        <w:t xml:space="preserve">igence and </w:t>
      </w:r>
      <w:r w:rsidR="00F67F59" w:rsidRPr="00AE141E">
        <w:rPr>
          <w:rFonts w:ascii="Times New Roman" w:hAnsi="Times New Roman" w:cs="Times New Roman"/>
          <w:sz w:val="24"/>
          <w:szCs w:val="24"/>
        </w:rPr>
        <w:t>hard work, or as the mask behind which elite self-preservation and self-reproduction operated.</w:t>
      </w:r>
      <w:r w:rsidR="00531B88" w:rsidRPr="00AE141E">
        <w:rPr>
          <w:rStyle w:val="FootnoteReference"/>
          <w:rFonts w:ascii="Times New Roman" w:hAnsi="Times New Roman" w:cs="Times New Roman"/>
          <w:sz w:val="24"/>
          <w:szCs w:val="24"/>
        </w:rPr>
        <w:footnoteReference w:id="297"/>
      </w:r>
      <w:r w:rsidR="00CA6888" w:rsidRPr="00AE141E">
        <w:rPr>
          <w:rFonts w:ascii="Times New Roman" w:hAnsi="Times New Roman" w:cs="Times New Roman"/>
          <w:sz w:val="24"/>
          <w:szCs w:val="24"/>
        </w:rPr>
        <w:t xml:space="preserve"> As such, </w:t>
      </w:r>
      <w:r w:rsidR="005D7998" w:rsidRPr="00AE141E">
        <w:rPr>
          <w:rFonts w:ascii="Times New Roman" w:hAnsi="Times New Roman" w:cs="Times New Roman"/>
          <w:sz w:val="24"/>
          <w:szCs w:val="24"/>
        </w:rPr>
        <w:t xml:space="preserve">grammar </w:t>
      </w:r>
      <w:r w:rsidR="000310CE" w:rsidRPr="00AE141E">
        <w:rPr>
          <w:rFonts w:ascii="Times New Roman" w:hAnsi="Times New Roman" w:cs="Times New Roman"/>
          <w:sz w:val="24"/>
          <w:szCs w:val="24"/>
        </w:rPr>
        <w:t>education</w:t>
      </w:r>
      <w:r w:rsidR="005D7998" w:rsidRPr="00AE141E">
        <w:rPr>
          <w:rFonts w:ascii="Times New Roman" w:hAnsi="Times New Roman" w:cs="Times New Roman"/>
          <w:sz w:val="24"/>
          <w:szCs w:val="24"/>
        </w:rPr>
        <w:t xml:space="preserve"> ha</w:t>
      </w:r>
      <w:r w:rsidR="000310CE" w:rsidRPr="00AE141E">
        <w:rPr>
          <w:rFonts w:ascii="Times New Roman" w:hAnsi="Times New Roman" w:cs="Times New Roman"/>
          <w:sz w:val="24"/>
          <w:szCs w:val="24"/>
        </w:rPr>
        <w:t>s</w:t>
      </w:r>
      <w:r w:rsidR="005D7998" w:rsidRPr="00AE141E">
        <w:rPr>
          <w:rFonts w:ascii="Times New Roman" w:hAnsi="Times New Roman" w:cs="Times New Roman"/>
          <w:sz w:val="24"/>
          <w:szCs w:val="24"/>
        </w:rPr>
        <w:t xml:space="preserve"> been</w:t>
      </w:r>
      <w:r w:rsidR="000310CE" w:rsidRPr="00AE141E">
        <w:rPr>
          <w:rFonts w:ascii="Times New Roman" w:hAnsi="Times New Roman" w:cs="Times New Roman"/>
          <w:sz w:val="24"/>
          <w:szCs w:val="24"/>
        </w:rPr>
        <w:t xml:space="preserve"> an ideal around which conservatives have rallied since at least the late 1960s</w:t>
      </w:r>
      <w:r w:rsidR="001A47D9" w:rsidRPr="00AE141E">
        <w:rPr>
          <w:rFonts w:ascii="Times New Roman" w:hAnsi="Times New Roman" w:cs="Times New Roman"/>
          <w:sz w:val="24"/>
          <w:szCs w:val="24"/>
        </w:rPr>
        <w:t>; a</w:t>
      </w:r>
      <w:r w:rsidR="000310CE" w:rsidRPr="00AE141E">
        <w:rPr>
          <w:rFonts w:ascii="Times New Roman" w:hAnsi="Times New Roman" w:cs="Times New Roman"/>
          <w:sz w:val="24"/>
          <w:szCs w:val="24"/>
        </w:rPr>
        <w:t xml:space="preserve">ny attempt to </w:t>
      </w:r>
      <w:r w:rsidR="0035031C" w:rsidRPr="00AE141E">
        <w:rPr>
          <w:rFonts w:ascii="Times New Roman" w:hAnsi="Times New Roman" w:cs="Times New Roman"/>
          <w:sz w:val="24"/>
          <w:szCs w:val="24"/>
        </w:rPr>
        <w:t xml:space="preserve">dismantle </w:t>
      </w:r>
      <w:r w:rsidR="00DD181C" w:rsidRPr="00AE141E">
        <w:rPr>
          <w:rFonts w:ascii="Times New Roman" w:hAnsi="Times New Roman" w:cs="Times New Roman"/>
          <w:sz w:val="24"/>
          <w:szCs w:val="24"/>
        </w:rPr>
        <w:t xml:space="preserve">the grammar system </w:t>
      </w:r>
      <w:r w:rsidR="001A47D9" w:rsidRPr="00AE141E">
        <w:rPr>
          <w:rFonts w:ascii="Times New Roman" w:hAnsi="Times New Roman" w:cs="Times New Roman"/>
          <w:sz w:val="24"/>
          <w:szCs w:val="24"/>
        </w:rPr>
        <w:t>has</w:t>
      </w:r>
      <w:r w:rsidR="002F2AE9" w:rsidRPr="00AE141E">
        <w:rPr>
          <w:rFonts w:ascii="Times New Roman" w:hAnsi="Times New Roman" w:cs="Times New Roman"/>
          <w:sz w:val="24"/>
          <w:szCs w:val="24"/>
        </w:rPr>
        <w:t xml:space="preserve"> since</w:t>
      </w:r>
      <w:r w:rsidR="001A47D9" w:rsidRPr="00AE141E">
        <w:rPr>
          <w:rFonts w:ascii="Times New Roman" w:hAnsi="Times New Roman" w:cs="Times New Roman"/>
          <w:sz w:val="24"/>
          <w:szCs w:val="24"/>
        </w:rPr>
        <w:t xml:space="preserve"> been</w:t>
      </w:r>
      <w:r w:rsidR="00DD181C" w:rsidRPr="00AE141E">
        <w:rPr>
          <w:rFonts w:ascii="Times New Roman" w:hAnsi="Times New Roman" w:cs="Times New Roman"/>
          <w:sz w:val="24"/>
          <w:szCs w:val="24"/>
        </w:rPr>
        <w:t xml:space="preserve"> interpreted as a</w:t>
      </w:r>
      <w:r w:rsidR="009A1443" w:rsidRPr="00AE141E">
        <w:rPr>
          <w:rFonts w:ascii="Times New Roman" w:hAnsi="Times New Roman" w:cs="Times New Roman"/>
          <w:sz w:val="24"/>
          <w:szCs w:val="24"/>
        </w:rPr>
        <w:t xml:space="preserve">n attack on </w:t>
      </w:r>
      <w:r w:rsidR="001A47D9" w:rsidRPr="00AE141E">
        <w:rPr>
          <w:rFonts w:ascii="Times New Roman" w:hAnsi="Times New Roman" w:cs="Times New Roman"/>
          <w:sz w:val="24"/>
          <w:szCs w:val="24"/>
        </w:rPr>
        <w:t xml:space="preserve">the </w:t>
      </w:r>
      <w:r w:rsidR="00A432FA" w:rsidRPr="00AE141E">
        <w:rPr>
          <w:rFonts w:ascii="Times New Roman" w:hAnsi="Times New Roman" w:cs="Times New Roman"/>
          <w:sz w:val="24"/>
          <w:szCs w:val="24"/>
        </w:rPr>
        <w:t>very</w:t>
      </w:r>
      <w:r w:rsidR="002F2AE9" w:rsidRPr="00AE141E">
        <w:rPr>
          <w:rFonts w:ascii="Times New Roman" w:hAnsi="Times New Roman" w:cs="Times New Roman"/>
          <w:sz w:val="24"/>
          <w:szCs w:val="24"/>
        </w:rPr>
        <w:t xml:space="preserve"> foundations of</w:t>
      </w:r>
      <w:r w:rsidR="001A47D9" w:rsidRPr="00AE141E">
        <w:rPr>
          <w:rFonts w:ascii="Times New Roman" w:hAnsi="Times New Roman" w:cs="Times New Roman"/>
          <w:sz w:val="24"/>
          <w:szCs w:val="24"/>
        </w:rPr>
        <w:t xml:space="preserve"> English</w:t>
      </w:r>
      <w:r w:rsidR="002F2AE9" w:rsidRPr="00AE141E">
        <w:rPr>
          <w:rFonts w:ascii="Times New Roman" w:hAnsi="Times New Roman" w:cs="Times New Roman"/>
          <w:sz w:val="24"/>
          <w:szCs w:val="24"/>
        </w:rPr>
        <w:t xml:space="preserve"> society and, by extension, of English nationhood.</w:t>
      </w:r>
      <w:r w:rsidR="006F4EAC" w:rsidRPr="00AE141E">
        <w:rPr>
          <w:rStyle w:val="FootnoteReference"/>
          <w:rFonts w:ascii="Times New Roman" w:hAnsi="Times New Roman" w:cs="Times New Roman"/>
          <w:sz w:val="24"/>
          <w:szCs w:val="24"/>
        </w:rPr>
        <w:footnoteReference w:id="298"/>
      </w:r>
      <w:r w:rsidR="00E51D35" w:rsidRPr="00AE141E">
        <w:rPr>
          <w:rFonts w:ascii="Times New Roman" w:hAnsi="Times New Roman" w:cs="Times New Roman"/>
          <w:sz w:val="24"/>
          <w:szCs w:val="24"/>
        </w:rPr>
        <w:t xml:space="preserve"> The </w:t>
      </w:r>
      <w:r w:rsidR="00A432FA" w:rsidRPr="00AE141E">
        <w:rPr>
          <w:rFonts w:ascii="Times New Roman" w:hAnsi="Times New Roman" w:cs="Times New Roman"/>
          <w:sz w:val="24"/>
          <w:szCs w:val="24"/>
        </w:rPr>
        <w:t xml:space="preserve">equation of grammar schools with the defence of tradition has had a concrete effect on teaching practice. As Laura Tisdall notes, </w:t>
      </w:r>
      <w:r w:rsidR="00F3661F" w:rsidRPr="00AE141E">
        <w:rPr>
          <w:rFonts w:ascii="Times New Roman" w:hAnsi="Times New Roman" w:cs="Times New Roman"/>
          <w:sz w:val="24"/>
          <w:szCs w:val="24"/>
        </w:rPr>
        <w:t>grammar</w:t>
      </w:r>
      <w:r w:rsidR="001E5FDC" w:rsidRPr="00AE141E">
        <w:rPr>
          <w:rFonts w:ascii="Times New Roman" w:hAnsi="Times New Roman" w:cs="Times New Roman"/>
          <w:sz w:val="24"/>
          <w:szCs w:val="24"/>
        </w:rPr>
        <w:t xml:space="preserve"> schools</w:t>
      </w:r>
      <w:r w:rsidR="00F3661F" w:rsidRPr="00AE141E">
        <w:rPr>
          <w:rFonts w:ascii="Times New Roman" w:hAnsi="Times New Roman" w:cs="Times New Roman"/>
          <w:sz w:val="24"/>
          <w:szCs w:val="24"/>
        </w:rPr>
        <w:t xml:space="preserve"> proved reluctant to </w:t>
      </w:r>
      <w:r w:rsidR="004631BA" w:rsidRPr="00AE141E">
        <w:rPr>
          <w:rFonts w:ascii="Times New Roman" w:hAnsi="Times New Roman" w:cs="Times New Roman"/>
          <w:sz w:val="24"/>
          <w:szCs w:val="24"/>
        </w:rPr>
        <w:t>teach according to the new values of child-</w:t>
      </w:r>
      <w:r w:rsidR="002C0006" w:rsidRPr="00AE141E">
        <w:rPr>
          <w:rFonts w:ascii="Times New Roman" w:hAnsi="Times New Roman" w:cs="Times New Roman"/>
          <w:sz w:val="24"/>
          <w:szCs w:val="24"/>
        </w:rPr>
        <w:t>centred</w:t>
      </w:r>
      <w:r w:rsidR="004631BA" w:rsidRPr="00AE141E">
        <w:rPr>
          <w:rFonts w:ascii="Times New Roman" w:hAnsi="Times New Roman" w:cs="Times New Roman"/>
          <w:sz w:val="24"/>
          <w:szCs w:val="24"/>
        </w:rPr>
        <w:t xml:space="preserve"> education</w:t>
      </w:r>
      <w:r w:rsidR="006D5DAC" w:rsidRPr="00AE141E">
        <w:rPr>
          <w:rFonts w:ascii="Times New Roman" w:hAnsi="Times New Roman" w:cs="Times New Roman"/>
          <w:sz w:val="24"/>
          <w:szCs w:val="24"/>
        </w:rPr>
        <w:t>, in contrast to the innovative and experimental approaches taken by secondary modern</w:t>
      </w:r>
      <w:r w:rsidR="001E5FDC" w:rsidRPr="00AE141E">
        <w:rPr>
          <w:rFonts w:ascii="Times New Roman" w:hAnsi="Times New Roman" w:cs="Times New Roman"/>
          <w:sz w:val="24"/>
          <w:szCs w:val="24"/>
        </w:rPr>
        <w:t xml:space="preserve"> schools.</w:t>
      </w:r>
      <w:r w:rsidR="001E5FDC" w:rsidRPr="00AE141E">
        <w:rPr>
          <w:rStyle w:val="FootnoteReference"/>
          <w:rFonts w:ascii="Times New Roman" w:hAnsi="Times New Roman" w:cs="Times New Roman"/>
          <w:sz w:val="24"/>
          <w:szCs w:val="24"/>
        </w:rPr>
        <w:footnoteReference w:id="299"/>
      </w:r>
      <w:r w:rsidR="008F05DE" w:rsidRPr="00AE141E">
        <w:rPr>
          <w:rFonts w:ascii="Times New Roman" w:hAnsi="Times New Roman" w:cs="Times New Roman"/>
          <w:sz w:val="24"/>
          <w:szCs w:val="24"/>
        </w:rPr>
        <w:t xml:space="preserve"> It might be suggested that </w:t>
      </w:r>
      <w:r w:rsidR="00467573" w:rsidRPr="00AE141E">
        <w:rPr>
          <w:rFonts w:ascii="Times New Roman" w:hAnsi="Times New Roman" w:cs="Times New Roman"/>
          <w:sz w:val="24"/>
          <w:szCs w:val="24"/>
        </w:rPr>
        <w:t xml:space="preserve">a similar process was at play in the </w:t>
      </w:r>
      <w:r w:rsidR="00541DF6" w:rsidRPr="00AE141E">
        <w:rPr>
          <w:rFonts w:ascii="Times New Roman" w:hAnsi="Times New Roman" w:cs="Times New Roman"/>
          <w:sz w:val="24"/>
          <w:szCs w:val="24"/>
        </w:rPr>
        <w:t>vastly divergent</w:t>
      </w:r>
      <w:r w:rsidR="00467573" w:rsidRPr="00AE141E">
        <w:rPr>
          <w:rFonts w:ascii="Times New Roman" w:hAnsi="Times New Roman" w:cs="Times New Roman"/>
          <w:sz w:val="24"/>
          <w:szCs w:val="24"/>
        </w:rPr>
        <w:t xml:space="preserve"> </w:t>
      </w:r>
      <w:r w:rsidR="00541DF6" w:rsidRPr="00AE141E">
        <w:rPr>
          <w:rFonts w:ascii="Times New Roman" w:hAnsi="Times New Roman" w:cs="Times New Roman"/>
          <w:sz w:val="24"/>
          <w:szCs w:val="24"/>
        </w:rPr>
        <w:t>uptake of world history examination courses in grammars and secondary moderns.</w:t>
      </w:r>
      <w:r w:rsidR="00ED7364" w:rsidRPr="00AE141E">
        <w:rPr>
          <w:rFonts w:ascii="Times New Roman" w:hAnsi="Times New Roman" w:cs="Times New Roman"/>
          <w:sz w:val="24"/>
          <w:szCs w:val="24"/>
        </w:rPr>
        <w:t xml:space="preserve"> </w:t>
      </w:r>
    </w:p>
    <w:p w14:paraId="023F5787" w14:textId="7923EA22" w:rsidR="0002043C" w:rsidRPr="00AE141E" w:rsidRDefault="00ED736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This would certainly seem to tally wit</w:t>
      </w:r>
      <w:r w:rsidR="002D1238" w:rsidRPr="00AE141E">
        <w:rPr>
          <w:rFonts w:ascii="Times New Roman" w:hAnsi="Times New Roman" w:cs="Times New Roman"/>
          <w:sz w:val="24"/>
          <w:szCs w:val="24"/>
        </w:rPr>
        <w:t>h curricular changes in the</w:t>
      </w:r>
      <w:r w:rsidR="00A12F0E" w:rsidRPr="00AE141E">
        <w:rPr>
          <w:rFonts w:ascii="Times New Roman" w:hAnsi="Times New Roman" w:cs="Times New Roman"/>
          <w:sz w:val="24"/>
          <w:szCs w:val="24"/>
        </w:rPr>
        <w:t xml:space="preserve"> compulsory</w:t>
      </w:r>
      <w:r w:rsidR="002D1238" w:rsidRPr="00AE141E">
        <w:rPr>
          <w:rFonts w:ascii="Times New Roman" w:hAnsi="Times New Roman" w:cs="Times New Roman"/>
          <w:sz w:val="24"/>
          <w:szCs w:val="24"/>
        </w:rPr>
        <w:t xml:space="preserve"> </w:t>
      </w:r>
      <w:r w:rsidR="0041495B" w:rsidRPr="00AE141E">
        <w:rPr>
          <w:rFonts w:ascii="Times New Roman" w:hAnsi="Times New Roman" w:cs="Times New Roman"/>
          <w:sz w:val="24"/>
          <w:szCs w:val="24"/>
        </w:rPr>
        <w:t xml:space="preserve">first three years of </w:t>
      </w:r>
      <w:r w:rsidR="00A12F0E" w:rsidRPr="00AE141E">
        <w:rPr>
          <w:rFonts w:ascii="Times New Roman" w:hAnsi="Times New Roman" w:cs="Times New Roman"/>
          <w:sz w:val="24"/>
          <w:szCs w:val="24"/>
        </w:rPr>
        <w:t xml:space="preserve">history at </w:t>
      </w:r>
      <w:r w:rsidR="0041495B" w:rsidRPr="00AE141E">
        <w:rPr>
          <w:rFonts w:ascii="Times New Roman" w:hAnsi="Times New Roman" w:cs="Times New Roman"/>
          <w:sz w:val="24"/>
          <w:szCs w:val="24"/>
        </w:rPr>
        <w:t xml:space="preserve">secondary </w:t>
      </w:r>
      <w:r w:rsidR="00A12F0E" w:rsidRPr="00AE141E">
        <w:rPr>
          <w:rFonts w:ascii="Times New Roman" w:hAnsi="Times New Roman" w:cs="Times New Roman"/>
          <w:sz w:val="24"/>
          <w:szCs w:val="24"/>
        </w:rPr>
        <w:t>level</w:t>
      </w:r>
      <w:r w:rsidR="0073076E" w:rsidRPr="00AE141E">
        <w:rPr>
          <w:rFonts w:ascii="Times New Roman" w:hAnsi="Times New Roman" w:cs="Times New Roman"/>
          <w:sz w:val="24"/>
          <w:szCs w:val="24"/>
        </w:rPr>
        <w:t xml:space="preserve">. </w:t>
      </w:r>
      <w:r w:rsidR="002A7424" w:rsidRPr="00AE141E">
        <w:rPr>
          <w:rFonts w:ascii="Times New Roman" w:hAnsi="Times New Roman" w:cs="Times New Roman"/>
          <w:sz w:val="24"/>
          <w:szCs w:val="24"/>
        </w:rPr>
        <w:t xml:space="preserve">Curricula in these years were designed to prepare students seeking to continue with </w:t>
      </w:r>
      <w:r w:rsidR="00DD18F5" w:rsidRPr="00AE141E">
        <w:rPr>
          <w:rFonts w:ascii="Times New Roman" w:hAnsi="Times New Roman" w:cs="Times New Roman"/>
          <w:sz w:val="24"/>
          <w:szCs w:val="24"/>
        </w:rPr>
        <w:t xml:space="preserve">history into </w:t>
      </w:r>
      <w:r w:rsidR="00364223" w:rsidRPr="00AE141E">
        <w:rPr>
          <w:rFonts w:ascii="Times New Roman" w:hAnsi="Times New Roman" w:cs="Times New Roman"/>
          <w:sz w:val="24"/>
          <w:szCs w:val="24"/>
        </w:rPr>
        <w:t xml:space="preserve">the </w:t>
      </w:r>
      <w:r w:rsidR="00DD18F5" w:rsidRPr="00AE141E">
        <w:rPr>
          <w:rFonts w:ascii="Times New Roman" w:hAnsi="Times New Roman" w:cs="Times New Roman"/>
          <w:sz w:val="24"/>
          <w:szCs w:val="24"/>
        </w:rPr>
        <w:t xml:space="preserve">examination </w:t>
      </w:r>
      <w:r w:rsidR="00364223" w:rsidRPr="00AE141E">
        <w:rPr>
          <w:rFonts w:ascii="Times New Roman" w:hAnsi="Times New Roman" w:cs="Times New Roman"/>
          <w:sz w:val="24"/>
          <w:szCs w:val="24"/>
        </w:rPr>
        <w:t>forms, but t</w:t>
      </w:r>
      <w:r w:rsidR="00D67BAD" w:rsidRPr="00AE141E">
        <w:rPr>
          <w:rFonts w:ascii="Times New Roman" w:hAnsi="Times New Roman" w:cs="Times New Roman"/>
          <w:sz w:val="24"/>
          <w:szCs w:val="24"/>
        </w:rPr>
        <w:t xml:space="preserve">he notion of ‘preparation’ was defined broadly. Teachers were conscious that, in many classes, a majority of pupils would </w:t>
      </w:r>
      <w:r w:rsidR="00A276FC" w:rsidRPr="00AE141E">
        <w:rPr>
          <w:rFonts w:ascii="Times New Roman" w:hAnsi="Times New Roman" w:cs="Times New Roman"/>
          <w:sz w:val="24"/>
          <w:szCs w:val="24"/>
        </w:rPr>
        <w:t>finish their historical education at the end of the</w:t>
      </w:r>
      <w:r w:rsidR="00842DD2" w:rsidRPr="00AE141E">
        <w:rPr>
          <w:rFonts w:ascii="Times New Roman" w:hAnsi="Times New Roman" w:cs="Times New Roman"/>
          <w:sz w:val="24"/>
          <w:szCs w:val="24"/>
        </w:rPr>
        <w:t xml:space="preserve">ir third </w:t>
      </w:r>
      <w:r w:rsidR="00A276FC" w:rsidRPr="00AE141E">
        <w:rPr>
          <w:rFonts w:ascii="Times New Roman" w:hAnsi="Times New Roman" w:cs="Times New Roman"/>
          <w:sz w:val="24"/>
          <w:szCs w:val="24"/>
        </w:rPr>
        <w:t xml:space="preserve">year, and </w:t>
      </w:r>
      <w:r w:rsidR="006B48E5" w:rsidRPr="00AE141E">
        <w:rPr>
          <w:rFonts w:ascii="Times New Roman" w:hAnsi="Times New Roman" w:cs="Times New Roman"/>
          <w:sz w:val="24"/>
          <w:szCs w:val="24"/>
        </w:rPr>
        <w:t>adapted their</w:t>
      </w:r>
      <w:r w:rsidR="00BF206A" w:rsidRPr="00AE141E">
        <w:rPr>
          <w:rFonts w:ascii="Times New Roman" w:hAnsi="Times New Roman" w:cs="Times New Roman"/>
          <w:sz w:val="24"/>
          <w:szCs w:val="24"/>
        </w:rPr>
        <w:t xml:space="preserve"> teaching accordingly</w:t>
      </w:r>
      <w:r w:rsidR="00E41F18" w:rsidRPr="00AE141E">
        <w:rPr>
          <w:rFonts w:ascii="Times New Roman" w:hAnsi="Times New Roman" w:cs="Times New Roman"/>
          <w:sz w:val="24"/>
          <w:szCs w:val="24"/>
        </w:rPr>
        <w:t xml:space="preserve"> (usually by stressing the methodological basis of historical study as a </w:t>
      </w:r>
      <w:r w:rsidR="00E41F18" w:rsidRPr="00AE141E">
        <w:rPr>
          <w:rFonts w:ascii="Times New Roman" w:hAnsi="Times New Roman" w:cs="Times New Roman"/>
          <w:sz w:val="24"/>
          <w:szCs w:val="24"/>
        </w:rPr>
        <w:lastRenderedPageBreak/>
        <w:t>transferable skill, or by covering a broad sweep of the past)</w:t>
      </w:r>
      <w:r w:rsidR="00842DD2" w:rsidRPr="00AE141E">
        <w:rPr>
          <w:rFonts w:ascii="Times New Roman" w:hAnsi="Times New Roman" w:cs="Times New Roman"/>
          <w:sz w:val="24"/>
          <w:szCs w:val="24"/>
        </w:rPr>
        <w:t>.</w:t>
      </w:r>
      <w:r w:rsidR="002B52EF" w:rsidRPr="00AE141E">
        <w:rPr>
          <w:rStyle w:val="FootnoteReference"/>
          <w:rFonts w:ascii="Times New Roman" w:hAnsi="Times New Roman" w:cs="Times New Roman"/>
          <w:sz w:val="24"/>
          <w:szCs w:val="24"/>
        </w:rPr>
        <w:footnoteReference w:id="300"/>
      </w:r>
      <w:r w:rsidR="00A276FC" w:rsidRPr="00AE141E">
        <w:rPr>
          <w:rFonts w:ascii="Times New Roman" w:hAnsi="Times New Roman" w:cs="Times New Roman"/>
          <w:sz w:val="24"/>
          <w:szCs w:val="24"/>
        </w:rPr>
        <w:t xml:space="preserve"> </w:t>
      </w:r>
      <w:r w:rsidR="00BD321D" w:rsidRPr="00AE141E">
        <w:rPr>
          <w:rFonts w:ascii="Times New Roman" w:hAnsi="Times New Roman" w:cs="Times New Roman"/>
          <w:sz w:val="24"/>
          <w:szCs w:val="24"/>
        </w:rPr>
        <w:t xml:space="preserve">As a result, there </w:t>
      </w:r>
      <w:r w:rsidR="00842DD2" w:rsidRPr="00AE141E">
        <w:rPr>
          <w:rFonts w:ascii="Times New Roman" w:hAnsi="Times New Roman" w:cs="Times New Roman"/>
          <w:sz w:val="24"/>
          <w:szCs w:val="24"/>
        </w:rPr>
        <w:t xml:space="preserve">was </w:t>
      </w:r>
      <w:r w:rsidR="00BD321D" w:rsidRPr="00AE141E">
        <w:rPr>
          <w:rFonts w:ascii="Times New Roman" w:hAnsi="Times New Roman" w:cs="Times New Roman"/>
          <w:sz w:val="24"/>
          <w:szCs w:val="24"/>
        </w:rPr>
        <w:t>often</w:t>
      </w:r>
      <w:r w:rsidR="00D74DA5" w:rsidRPr="00AE141E">
        <w:rPr>
          <w:rFonts w:ascii="Times New Roman" w:hAnsi="Times New Roman" w:cs="Times New Roman"/>
          <w:sz w:val="24"/>
          <w:szCs w:val="24"/>
        </w:rPr>
        <w:t xml:space="preserve"> little direct relation between the content of </w:t>
      </w:r>
      <w:r w:rsidR="00BD321D" w:rsidRPr="00AE141E">
        <w:rPr>
          <w:rFonts w:ascii="Times New Roman" w:hAnsi="Times New Roman" w:cs="Times New Roman"/>
          <w:sz w:val="24"/>
          <w:szCs w:val="24"/>
        </w:rPr>
        <w:t xml:space="preserve">history in </w:t>
      </w:r>
      <w:r w:rsidR="00297DCA" w:rsidRPr="00AE141E">
        <w:rPr>
          <w:rFonts w:ascii="Times New Roman" w:hAnsi="Times New Roman" w:cs="Times New Roman"/>
          <w:sz w:val="24"/>
          <w:szCs w:val="24"/>
        </w:rPr>
        <w:t>examination</w:t>
      </w:r>
      <w:r w:rsidR="00BD321D" w:rsidRPr="00AE141E">
        <w:rPr>
          <w:rFonts w:ascii="Times New Roman" w:hAnsi="Times New Roman" w:cs="Times New Roman"/>
          <w:sz w:val="24"/>
          <w:szCs w:val="24"/>
        </w:rPr>
        <w:t xml:space="preserve"> and </w:t>
      </w:r>
      <w:r w:rsidR="00297DCA" w:rsidRPr="00AE141E">
        <w:rPr>
          <w:rFonts w:ascii="Times New Roman" w:hAnsi="Times New Roman" w:cs="Times New Roman"/>
          <w:sz w:val="24"/>
          <w:szCs w:val="24"/>
        </w:rPr>
        <w:t>non-</w:t>
      </w:r>
      <w:r w:rsidR="00BD321D" w:rsidRPr="00AE141E">
        <w:rPr>
          <w:rFonts w:ascii="Times New Roman" w:hAnsi="Times New Roman" w:cs="Times New Roman"/>
          <w:sz w:val="24"/>
          <w:szCs w:val="24"/>
        </w:rPr>
        <w:t xml:space="preserve">examination classes – </w:t>
      </w:r>
      <w:r w:rsidR="0041495B" w:rsidRPr="00AE141E">
        <w:rPr>
          <w:rFonts w:ascii="Times New Roman" w:hAnsi="Times New Roman" w:cs="Times New Roman"/>
          <w:sz w:val="24"/>
          <w:szCs w:val="24"/>
        </w:rPr>
        <w:t>meaning</w:t>
      </w:r>
      <w:r w:rsidR="00BD321D" w:rsidRPr="00AE141E">
        <w:rPr>
          <w:rFonts w:ascii="Times New Roman" w:hAnsi="Times New Roman" w:cs="Times New Roman"/>
          <w:sz w:val="24"/>
          <w:szCs w:val="24"/>
        </w:rPr>
        <w:t xml:space="preserve"> </w:t>
      </w:r>
      <w:r w:rsidR="0041495B" w:rsidRPr="00AE141E">
        <w:rPr>
          <w:rFonts w:ascii="Times New Roman" w:hAnsi="Times New Roman" w:cs="Times New Roman"/>
          <w:sz w:val="24"/>
          <w:szCs w:val="24"/>
        </w:rPr>
        <w:t xml:space="preserve">that </w:t>
      </w:r>
      <w:r w:rsidR="00BE082C" w:rsidRPr="00AE141E">
        <w:rPr>
          <w:rFonts w:ascii="Times New Roman" w:hAnsi="Times New Roman" w:cs="Times New Roman"/>
          <w:sz w:val="24"/>
          <w:szCs w:val="24"/>
        </w:rPr>
        <w:t>the necessity of resourcing new assessments</w:t>
      </w:r>
      <w:r w:rsidR="00C43F19" w:rsidRPr="00AE141E">
        <w:rPr>
          <w:rFonts w:ascii="Times New Roman" w:hAnsi="Times New Roman" w:cs="Times New Roman"/>
          <w:sz w:val="24"/>
          <w:szCs w:val="24"/>
        </w:rPr>
        <w:t xml:space="preserve"> in the </w:t>
      </w:r>
      <w:r w:rsidR="00297DCA" w:rsidRPr="00AE141E">
        <w:rPr>
          <w:rFonts w:ascii="Times New Roman" w:hAnsi="Times New Roman" w:cs="Times New Roman"/>
          <w:sz w:val="24"/>
          <w:szCs w:val="24"/>
        </w:rPr>
        <w:t>former</w:t>
      </w:r>
      <w:r w:rsidR="00BE082C" w:rsidRPr="00AE141E">
        <w:rPr>
          <w:rFonts w:ascii="Times New Roman" w:hAnsi="Times New Roman" w:cs="Times New Roman"/>
          <w:sz w:val="24"/>
          <w:szCs w:val="24"/>
        </w:rPr>
        <w:t xml:space="preserve"> cannot be co</w:t>
      </w:r>
      <w:r w:rsidR="0084498D" w:rsidRPr="00AE141E">
        <w:rPr>
          <w:rFonts w:ascii="Times New Roman" w:hAnsi="Times New Roman" w:cs="Times New Roman"/>
          <w:sz w:val="24"/>
          <w:szCs w:val="24"/>
        </w:rPr>
        <w:t>nsidered to h</w:t>
      </w:r>
      <w:r w:rsidR="00BC4318" w:rsidRPr="00AE141E">
        <w:rPr>
          <w:rFonts w:ascii="Times New Roman" w:hAnsi="Times New Roman" w:cs="Times New Roman"/>
          <w:sz w:val="24"/>
          <w:szCs w:val="24"/>
        </w:rPr>
        <w:t xml:space="preserve">ave had </w:t>
      </w:r>
      <w:r w:rsidR="00364FA2" w:rsidRPr="00AE141E">
        <w:rPr>
          <w:rFonts w:ascii="Times New Roman" w:hAnsi="Times New Roman" w:cs="Times New Roman"/>
          <w:sz w:val="24"/>
          <w:szCs w:val="24"/>
        </w:rPr>
        <w:t>a clear</w:t>
      </w:r>
      <w:r w:rsidR="00BC4318" w:rsidRPr="00AE141E">
        <w:rPr>
          <w:rFonts w:ascii="Times New Roman" w:hAnsi="Times New Roman" w:cs="Times New Roman"/>
          <w:sz w:val="24"/>
          <w:szCs w:val="24"/>
        </w:rPr>
        <w:t xml:space="preserve"> impact on the</w:t>
      </w:r>
      <w:r w:rsidR="00297DCA" w:rsidRPr="00AE141E">
        <w:rPr>
          <w:rFonts w:ascii="Times New Roman" w:hAnsi="Times New Roman" w:cs="Times New Roman"/>
          <w:sz w:val="24"/>
          <w:szCs w:val="24"/>
        </w:rPr>
        <w:t xml:space="preserve"> latter’s curriculum</w:t>
      </w:r>
      <w:r w:rsidR="00BC4318" w:rsidRPr="00AE141E">
        <w:rPr>
          <w:rFonts w:ascii="Times New Roman" w:hAnsi="Times New Roman" w:cs="Times New Roman"/>
          <w:sz w:val="24"/>
          <w:szCs w:val="24"/>
        </w:rPr>
        <w:t>.</w:t>
      </w:r>
      <w:r w:rsidR="00CA512D" w:rsidRPr="00AE141E">
        <w:rPr>
          <w:rStyle w:val="FootnoteReference"/>
          <w:rFonts w:ascii="Times New Roman" w:hAnsi="Times New Roman" w:cs="Times New Roman"/>
          <w:sz w:val="24"/>
          <w:szCs w:val="24"/>
        </w:rPr>
        <w:footnoteReference w:id="301"/>
      </w:r>
      <w:r w:rsidR="00561839" w:rsidRPr="00AE141E">
        <w:rPr>
          <w:rFonts w:ascii="Times New Roman" w:hAnsi="Times New Roman" w:cs="Times New Roman"/>
          <w:sz w:val="24"/>
          <w:szCs w:val="24"/>
        </w:rPr>
        <w:t xml:space="preserve"> </w:t>
      </w:r>
      <w:r w:rsidR="00C94D18">
        <w:rPr>
          <w:rFonts w:ascii="Times New Roman" w:hAnsi="Times New Roman" w:cs="Times New Roman"/>
          <w:sz w:val="24"/>
          <w:szCs w:val="24"/>
        </w:rPr>
        <w:t>Indeed, a</w:t>
      </w:r>
      <w:r w:rsidR="0002043C" w:rsidRPr="00AE141E">
        <w:rPr>
          <w:rFonts w:ascii="Times New Roman" w:hAnsi="Times New Roman" w:cs="Times New Roman"/>
          <w:sz w:val="24"/>
          <w:szCs w:val="24"/>
        </w:rPr>
        <w:t xml:space="preserve"> 1970 survey into the teaching of history to the eleven to fourteen age group found that, out of 169 heads of department, a majority (88) considered their annual book allowance to be inadequate to their needs.</w:t>
      </w:r>
      <w:r w:rsidR="0002043C" w:rsidRPr="00AE141E">
        <w:rPr>
          <w:rStyle w:val="FootnoteReference"/>
          <w:rFonts w:ascii="Times New Roman" w:hAnsi="Times New Roman" w:cs="Times New Roman"/>
          <w:sz w:val="24"/>
          <w:szCs w:val="24"/>
        </w:rPr>
        <w:footnoteReference w:id="302"/>
      </w:r>
      <w:r w:rsidR="0002043C" w:rsidRPr="00AE141E">
        <w:rPr>
          <w:rFonts w:ascii="Times New Roman" w:hAnsi="Times New Roman" w:cs="Times New Roman"/>
          <w:sz w:val="24"/>
          <w:szCs w:val="24"/>
        </w:rPr>
        <w:t xml:space="preserve"> The same enquiry cited a grammar school in which the only resources for non-examination classes consisted of two sets of textbooks dating from 1936 and 1937, ‘both liberally sprinkled with inaccuracies’, as an unfortunate but not atypical example of the consequences of a chronic under-resourcing of history departments.</w:t>
      </w:r>
    </w:p>
    <w:p w14:paraId="5DC2B3F1" w14:textId="3D9D0F74" w:rsidR="00E769CC" w:rsidRPr="00AE141E" w:rsidRDefault="00A76D17" w:rsidP="00AE141E">
      <w:pPr>
        <w:spacing w:line="360" w:lineRule="auto"/>
        <w:rPr>
          <w:rFonts w:ascii="Times New Roman" w:hAnsi="Times New Roman" w:cs="Times New Roman"/>
          <w:sz w:val="24"/>
          <w:szCs w:val="24"/>
        </w:rPr>
      </w:pPr>
      <w:r>
        <w:rPr>
          <w:rFonts w:ascii="Times New Roman" w:hAnsi="Times New Roman" w:cs="Times New Roman"/>
          <w:sz w:val="24"/>
          <w:szCs w:val="24"/>
        </w:rPr>
        <w:t>Nevertheless, t</w:t>
      </w:r>
      <w:r w:rsidR="00561839" w:rsidRPr="00AE141E">
        <w:rPr>
          <w:rFonts w:ascii="Times New Roman" w:hAnsi="Times New Roman" w:cs="Times New Roman"/>
          <w:sz w:val="24"/>
          <w:szCs w:val="24"/>
        </w:rPr>
        <w:t>he</w:t>
      </w:r>
      <w:r w:rsidR="00241DFC" w:rsidRPr="00AE141E">
        <w:rPr>
          <w:rFonts w:ascii="Times New Roman" w:hAnsi="Times New Roman" w:cs="Times New Roman"/>
          <w:sz w:val="24"/>
          <w:szCs w:val="24"/>
        </w:rPr>
        <w:t xml:space="preserve"> curricula </w:t>
      </w:r>
      <w:r w:rsidR="00000614" w:rsidRPr="00AE141E">
        <w:rPr>
          <w:rFonts w:ascii="Times New Roman" w:hAnsi="Times New Roman" w:cs="Times New Roman"/>
          <w:sz w:val="24"/>
          <w:szCs w:val="24"/>
        </w:rPr>
        <w:t>adopted by history teachers in the</w:t>
      </w:r>
      <w:r w:rsidR="00561839" w:rsidRPr="00AE141E">
        <w:rPr>
          <w:rFonts w:ascii="Times New Roman" w:hAnsi="Times New Roman" w:cs="Times New Roman"/>
          <w:sz w:val="24"/>
          <w:szCs w:val="24"/>
        </w:rPr>
        <w:t xml:space="preserve"> first three years </w:t>
      </w:r>
      <w:r w:rsidR="0066176A" w:rsidRPr="00AE141E">
        <w:rPr>
          <w:rFonts w:ascii="Times New Roman" w:hAnsi="Times New Roman" w:cs="Times New Roman"/>
          <w:sz w:val="24"/>
          <w:szCs w:val="24"/>
        </w:rPr>
        <w:t xml:space="preserve">in </w:t>
      </w:r>
      <w:r w:rsidR="00561839" w:rsidRPr="00AE141E">
        <w:rPr>
          <w:rFonts w:ascii="Times New Roman" w:hAnsi="Times New Roman" w:cs="Times New Roman"/>
          <w:sz w:val="24"/>
          <w:szCs w:val="24"/>
        </w:rPr>
        <w:t>secondary modern and comprehe</w:t>
      </w:r>
      <w:r w:rsidR="0066176A" w:rsidRPr="00AE141E">
        <w:rPr>
          <w:rFonts w:ascii="Times New Roman" w:hAnsi="Times New Roman" w:cs="Times New Roman"/>
          <w:sz w:val="24"/>
          <w:szCs w:val="24"/>
        </w:rPr>
        <w:t>nsive schools demonstrate a much stronger t</w:t>
      </w:r>
      <w:r w:rsidR="004501DD" w:rsidRPr="00AE141E">
        <w:rPr>
          <w:rFonts w:ascii="Times New Roman" w:hAnsi="Times New Roman" w:cs="Times New Roman"/>
          <w:sz w:val="24"/>
          <w:szCs w:val="24"/>
        </w:rPr>
        <w:t xml:space="preserve">rend towards the introduction of world history </w:t>
      </w:r>
      <w:r w:rsidR="00241DFC" w:rsidRPr="00AE141E">
        <w:rPr>
          <w:rFonts w:ascii="Times New Roman" w:hAnsi="Times New Roman" w:cs="Times New Roman"/>
          <w:sz w:val="24"/>
          <w:szCs w:val="24"/>
        </w:rPr>
        <w:t xml:space="preserve">than </w:t>
      </w:r>
      <w:r w:rsidR="00000614" w:rsidRPr="00AE141E">
        <w:rPr>
          <w:rFonts w:ascii="Times New Roman" w:hAnsi="Times New Roman" w:cs="Times New Roman"/>
          <w:sz w:val="24"/>
          <w:szCs w:val="24"/>
        </w:rPr>
        <w:t xml:space="preserve">their </w:t>
      </w:r>
      <w:r w:rsidR="00FF711C" w:rsidRPr="00AE141E">
        <w:rPr>
          <w:rFonts w:ascii="Times New Roman" w:hAnsi="Times New Roman" w:cs="Times New Roman"/>
          <w:sz w:val="24"/>
          <w:szCs w:val="24"/>
        </w:rPr>
        <w:t>grammar school equivalents.</w:t>
      </w:r>
      <w:r w:rsidR="004A0C92" w:rsidRPr="00AE141E">
        <w:rPr>
          <w:rFonts w:ascii="Times New Roman" w:hAnsi="Times New Roman" w:cs="Times New Roman"/>
          <w:sz w:val="24"/>
          <w:szCs w:val="24"/>
        </w:rPr>
        <w:t xml:space="preserve"> </w:t>
      </w:r>
      <w:r>
        <w:rPr>
          <w:rFonts w:ascii="Times New Roman" w:hAnsi="Times New Roman" w:cs="Times New Roman"/>
          <w:sz w:val="24"/>
          <w:szCs w:val="24"/>
        </w:rPr>
        <w:t>The same 1970</w:t>
      </w:r>
      <w:r w:rsidR="00B02162" w:rsidRPr="00AE141E">
        <w:rPr>
          <w:rFonts w:ascii="Times New Roman" w:hAnsi="Times New Roman" w:cs="Times New Roman"/>
          <w:sz w:val="24"/>
          <w:szCs w:val="24"/>
        </w:rPr>
        <w:t xml:space="preserve"> study </w:t>
      </w:r>
      <w:r w:rsidR="00B31A4D">
        <w:rPr>
          <w:rFonts w:ascii="Times New Roman" w:hAnsi="Times New Roman" w:cs="Times New Roman"/>
          <w:sz w:val="24"/>
          <w:szCs w:val="24"/>
        </w:rPr>
        <w:t>quoted above</w:t>
      </w:r>
      <w:r w:rsidR="00821592" w:rsidRPr="00AE141E">
        <w:rPr>
          <w:rFonts w:ascii="Times New Roman" w:hAnsi="Times New Roman" w:cs="Times New Roman"/>
          <w:sz w:val="24"/>
          <w:szCs w:val="24"/>
        </w:rPr>
        <w:t xml:space="preserve"> found that, in grammar schools in the local</w:t>
      </w:r>
      <w:r w:rsidR="00B31A4D">
        <w:rPr>
          <w:rFonts w:ascii="Times New Roman" w:hAnsi="Times New Roman" w:cs="Times New Roman"/>
          <w:sz w:val="24"/>
          <w:szCs w:val="24"/>
        </w:rPr>
        <w:t xml:space="preserve"> (Cambridgeshire)</w:t>
      </w:r>
      <w:r w:rsidR="00821592" w:rsidRPr="00AE141E">
        <w:rPr>
          <w:rFonts w:ascii="Times New Roman" w:hAnsi="Times New Roman" w:cs="Times New Roman"/>
          <w:sz w:val="24"/>
          <w:szCs w:val="24"/>
        </w:rPr>
        <w:t xml:space="preserve"> region, ‘</w:t>
      </w:r>
      <w:r w:rsidR="004A0C92" w:rsidRPr="00AE141E">
        <w:rPr>
          <w:rFonts w:ascii="Times New Roman" w:hAnsi="Times New Roman" w:cs="Times New Roman"/>
          <w:sz w:val="24"/>
          <w:szCs w:val="24"/>
        </w:rPr>
        <w:t>the most common chronological period would extend from the ancient civilizations to the end of the Stuart period and in some cases proceed a little further into the 18</w:t>
      </w:r>
      <w:r w:rsidR="004A0C92" w:rsidRPr="00AE141E">
        <w:rPr>
          <w:rFonts w:ascii="Times New Roman" w:hAnsi="Times New Roman" w:cs="Times New Roman"/>
          <w:sz w:val="24"/>
          <w:szCs w:val="24"/>
          <w:vertAlign w:val="superscript"/>
        </w:rPr>
        <w:t>th</w:t>
      </w:r>
      <w:r w:rsidR="003A0FDC" w:rsidRPr="00AE141E">
        <w:rPr>
          <w:rFonts w:ascii="Times New Roman" w:hAnsi="Times New Roman" w:cs="Times New Roman"/>
          <w:sz w:val="24"/>
          <w:szCs w:val="24"/>
        </w:rPr>
        <w:t xml:space="preserve"> </w:t>
      </w:r>
      <w:r w:rsidR="004A0C92" w:rsidRPr="00AE141E">
        <w:rPr>
          <w:rFonts w:ascii="Times New Roman" w:hAnsi="Times New Roman" w:cs="Times New Roman"/>
          <w:sz w:val="24"/>
          <w:szCs w:val="24"/>
        </w:rPr>
        <w:t>century</w:t>
      </w:r>
      <w:r w:rsidR="00821592" w:rsidRPr="00AE141E">
        <w:rPr>
          <w:rFonts w:ascii="Times New Roman" w:hAnsi="Times New Roman" w:cs="Times New Roman"/>
          <w:sz w:val="24"/>
          <w:szCs w:val="24"/>
        </w:rPr>
        <w:t>’</w:t>
      </w:r>
      <w:r w:rsidR="004A0C92" w:rsidRPr="00AE141E">
        <w:rPr>
          <w:rFonts w:ascii="Times New Roman" w:hAnsi="Times New Roman" w:cs="Times New Roman"/>
          <w:sz w:val="24"/>
          <w:szCs w:val="24"/>
        </w:rPr>
        <w:t>.</w:t>
      </w:r>
      <w:r w:rsidR="00A940B7" w:rsidRPr="00AE141E">
        <w:rPr>
          <w:rStyle w:val="FootnoteReference"/>
          <w:rFonts w:ascii="Times New Roman" w:hAnsi="Times New Roman" w:cs="Times New Roman"/>
          <w:sz w:val="24"/>
          <w:szCs w:val="24"/>
        </w:rPr>
        <w:footnoteReference w:id="303"/>
      </w:r>
      <w:r w:rsidR="004A0C92" w:rsidRPr="00AE141E">
        <w:rPr>
          <w:rFonts w:ascii="Times New Roman" w:hAnsi="Times New Roman" w:cs="Times New Roman"/>
          <w:sz w:val="24"/>
          <w:szCs w:val="24"/>
        </w:rPr>
        <w:t xml:space="preserve"> </w:t>
      </w:r>
      <w:r w:rsidR="00D25E43" w:rsidRPr="00AE141E">
        <w:rPr>
          <w:rFonts w:ascii="Times New Roman" w:hAnsi="Times New Roman" w:cs="Times New Roman"/>
          <w:sz w:val="24"/>
          <w:szCs w:val="24"/>
        </w:rPr>
        <w:t>In practice, this meant that the first year covered ancient history and English history up to 1066</w:t>
      </w:r>
      <w:r w:rsidR="009D43DE" w:rsidRPr="00AE141E">
        <w:rPr>
          <w:rFonts w:ascii="Times New Roman" w:hAnsi="Times New Roman" w:cs="Times New Roman"/>
          <w:sz w:val="24"/>
          <w:szCs w:val="24"/>
        </w:rPr>
        <w:t>, the</w:t>
      </w:r>
      <w:r w:rsidR="004A0C92" w:rsidRPr="00AE141E">
        <w:rPr>
          <w:rFonts w:ascii="Times New Roman" w:hAnsi="Times New Roman" w:cs="Times New Roman"/>
          <w:sz w:val="24"/>
          <w:szCs w:val="24"/>
        </w:rPr>
        <w:t xml:space="preserve"> second year</w:t>
      </w:r>
      <w:r w:rsidR="009D43DE" w:rsidRPr="00AE141E">
        <w:rPr>
          <w:rFonts w:ascii="Times New Roman" w:hAnsi="Times New Roman" w:cs="Times New Roman"/>
          <w:sz w:val="24"/>
          <w:szCs w:val="24"/>
        </w:rPr>
        <w:t xml:space="preserve"> Norman England to </w:t>
      </w:r>
      <w:r w:rsidR="00266192" w:rsidRPr="00AE141E">
        <w:rPr>
          <w:rFonts w:ascii="Times New Roman" w:hAnsi="Times New Roman" w:cs="Times New Roman"/>
          <w:sz w:val="24"/>
          <w:szCs w:val="24"/>
        </w:rPr>
        <w:t xml:space="preserve">the end of the Wars of the Roses, and </w:t>
      </w:r>
      <w:r w:rsidR="004A0C92" w:rsidRPr="00AE141E">
        <w:rPr>
          <w:rFonts w:ascii="Times New Roman" w:hAnsi="Times New Roman" w:cs="Times New Roman"/>
          <w:sz w:val="24"/>
          <w:szCs w:val="24"/>
        </w:rPr>
        <w:t>the third year</w:t>
      </w:r>
      <w:r w:rsidR="00266192" w:rsidRPr="00AE141E">
        <w:rPr>
          <w:rFonts w:ascii="Times New Roman" w:hAnsi="Times New Roman" w:cs="Times New Roman"/>
          <w:sz w:val="24"/>
          <w:szCs w:val="24"/>
        </w:rPr>
        <w:t xml:space="preserve"> </w:t>
      </w:r>
      <w:r w:rsidR="004A0C92" w:rsidRPr="00AE141E">
        <w:rPr>
          <w:rFonts w:ascii="Times New Roman" w:hAnsi="Times New Roman" w:cs="Times New Roman"/>
          <w:sz w:val="24"/>
          <w:szCs w:val="24"/>
        </w:rPr>
        <w:t>the Tudor and Stuart period</w:t>
      </w:r>
      <w:r w:rsidR="00266192" w:rsidRPr="00AE141E">
        <w:rPr>
          <w:rFonts w:ascii="Times New Roman" w:hAnsi="Times New Roman" w:cs="Times New Roman"/>
          <w:sz w:val="24"/>
          <w:szCs w:val="24"/>
        </w:rPr>
        <w:t xml:space="preserve">. </w:t>
      </w:r>
      <w:r w:rsidR="00A62A43" w:rsidRPr="00AE141E">
        <w:rPr>
          <w:rFonts w:ascii="Times New Roman" w:hAnsi="Times New Roman" w:cs="Times New Roman"/>
          <w:sz w:val="24"/>
          <w:szCs w:val="24"/>
        </w:rPr>
        <w:t xml:space="preserve">In the latter, imperial expansion might be mentioned where it impinged upon domestic developments. By contrast, </w:t>
      </w:r>
      <w:r w:rsidR="0018375C" w:rsidRPr="00AE141E">
        <w:rPr>
          <w:rFonts w:ascii="Times New Roman" w:hAnsi="Times New Roman" w:cs="Times New Roman"/>
          <w:sz w:val="24"/>
          <w:szCs w:val="24"/>
        </w:rPr>
        <w:t xml:space="preserve">secondary modern schools </w:t>
      </w:r>
      <w:r w:rsidR="00A62A43" w:rsidRPr="00AE141E">
        <w:rPr>
          <w:rFonts w:ascii="Times New Roman" w:hAnsi="Times New Roman" w:cs="Times New Roman"/>
          <w:sz w:val="24"/>
          <w:szCs w:val="24"/>
        </w:rPr>
        <w:t>‘</w:t>
      </w:r>
      <w:r w:rsidR="0018375C" w:rsidRPr="00AE141E">
        <w:rPr>
          <w:rFonts w:ascii="Times New Roman" w:hAnsi="Times New Roman" w:cs="Times New Roman"/>
          <w:sz w:val="24"/>
          <w:szCs w:val="24"/>
        </w:rPr>
        <w:t>showed a tendency to cover a wider time span</w:t>
      </w:r>
      <w:r w:rsidR="00EC1A74" w:rsidRPr="00AE141E">
        <w:rPr>
          <w:rFonts w:ascii="Times New Roman" w:hAnsi="Times New Roman" w:cs="Times New Roman"/>
          <w:sz w:val="24"/>
          <w:szCs w:val="24"/>
        </w:rPr>
        <w:t>’</w:t>
      </w:r>
      <w:r w:rsidR="00D22498" w:rsidRPr="00AE141E">
        <w:rPr>
          <w:rFonts w:ascii="Times New Roman" w:hAnsi="Times New Roman" w:cs="Times New Roman"/>
          <w:sz w:val="24"/>
          <w:szCs w:val="24"/>
        </w:rPr>
        <w:t>, with courses extending to the late-nineteenth or even mid-twentieth century</w:t>
      </w:r>
      <w:r w:rsidR="0018375C" w:rsidRPr="00AE141E">
        <w:rPr>
          <w:rFonts w:ascii="Times New Roman" w:hAnsi="Times New Roman" w:cs="Times New Roman"/>
          <w:sz w:val="24"/>
          <w:szCs w:val="24"/>
        </w:rPr>
        <w:t>.</w:t>
      </w:r>
      <w:r w:rsidR="00AE2C50" w:rsidRPr="00AE141E">
        <w:rPr>
          <w:rFonts w:ascii="Times New Roman" w:hAnsi="Times New Roman" w:cs="Times New Roman"/>
          <w:sz w:val="24"/>
          <w:szCs w:val="24"/>
        </w:rPr>
        <w:t xml:space="preserve"> </w:t>
      </w:r>
      <w:r w:rsidR="00D22498" w:rsidRPr="00AE141E">
        <w:rPr>
          <w:rFonts w:ascii="Times New Roman" w:hAnsi="Times New Roman" w:cs="Times New Roman"/>
          <w:sz w:val="24"/>
          <w:szCs w:val="24"/>
        </w:rPr>
        <w:t>The</w:t>
      </w:r>
      <w:r w:rsidR="0018375C" w:rsidRPr="00AE141E">
        <w:rPr>
          <w:rFonts w:ascii="Times New Roman" w:hAnsi="Times New Roman" w:cs="Times New Roman"/>
          <w:sz w:val="24"/>
          <w:szCs w:val="24"/>
        </w:rPr>
        <w:t xml:space="preserve"> first year</w:t>
      </w:r>
      <w:r w:rsidR="00D22498" w:rsidRPr="00AE141E">
        <w:rPr>
          <w:rFonts w:ascii="Times New Roman" w:hAnsi="Times New Roman" w:cs="Times New Roman"/>
          <w:sz w:val="24"/>
          <w:szCs w:val="24"/>
        </w:rPr>
        <w:t xml:space="preserve"> would typically be occupied by</w:t>
      </w:r>
      <w:r w:rsidR="0018375C" w:rsidRPr="00AE141E">
        <w:rPr>
          <w:rFonts w:ascii="Times New Roman" w:hAnsi="Times New Roman" w:cs="Times New Roman"/>
          <w:sz w:val="24"/>
          <w:szCs w:val="24"/>
        </w:rPr>
        <w:t xml:space="preserve"> a </w:t>
      </w:r>
      <w:r w:rsidR="00D22498" w:rsidRPr="00AE141E">
        <w:rPr>
          <w:rFonts w:ascii="Times New Roman" w:hAnsi="Times New Roman" w:cs="Times New Roman"/>
          <w:sz w:val="24"/>
          <w:szCs w:val="24"/>
        </w:rPr>
        <w:t>broad</w:t>
      </w:r>
      <w:r w:rsidR="0018375C" w:rsidRPr="00AE141E">
        <w:rPr>
          <w:rFonts w:ascii="Times New Roman" w:hAnsi="Times New Roman" w:cs="Times New Roman"/>
          <w:sz w:val="24"/>
          <w:szCs w:val="24"/>
        </w:rPr>
        <w:t xml:space="preserve"> sweep up to 1485</w:t>
      </w:r>
      <w:r w:rsidR="00D22498" w:rsidRPr="00AE141E">
        <w:rPr>
          <w:rFonts w:ascii="Times New Roman" w:hAnsi="Times New Roman" w:cs="Times New Roman"/>
          <w:sz w:val="24"/>
          <w:szCs w:val="24"/>
        </w:rPr>
        <w:t xml:space="preserve">, the </w:t>
      </w:r>
      <w:r w:rsidR="0018375C" w:rsidRPr="00AE141E">
        <w:rPr>
          <w:rFonts w:ascii="Times New Roman" w:hAnsi="Times New Roman" w:cs="Times New Roman"/>
          <w:sz w:val="24"/>
          <w:szCs w:val="24"/>
        </w:rPr>
        <w:t xml:space="preserve">second </w:t>
      </w:r>
      <w:r w:rsidR="00D22498" w:rsidRPr="00AE141E">
        <w:rPr>
          <w:rFonts w:ascii="Times New Roman" w:hAnsi="Times New Roman" w:cs="Times New Roman"/>
          <w:sz w:val="24"/>
          <w:szCs w:val="24"/>
        </w:rPr>
        <w:t xml:space="preserve">with </w:t>
      </w:r>
      <w:r w:rsidR="0018375C" w:rsidRPr="00AE141E">
        <w:rPr>
          <w:rFonts w:ascii="Times New Roman" w:hAnsi="Times New Roman" w:cs="Times New Roman"/>
          <w:sz w:val="24"/>
          <w:szCs w:val="24"/>
        </w:rPr>
        <w:t xml:space="preserve">a </w:t>
      </w:r>
      <w:r w:rsidR="00D22498" w:rsidRPr="00AE141E">
        <w:rPr>
          <w:rFonts w:ascii="Times New Roman" w:hAnsi="Times New Roman" w:cs="Times New Roman"/>
          <w:sz w:val="24"/>
          <w:szCs w:val="24"/>
        </w:rPr>
        <w:t xml:space="preserve">detailed </w:t>
      </w:r>
      <w:r w:rsidR="0018375C" w:rsidRPr="00AE141E">
        <w:rPr>
          <w:rFonts w:ascii="Times New Roman" w:hAnsi="Times New Roman" w:cs="Times New Roman"/>
          <w:sz w:val="24"/>
          <w:szCs w:val="24"/>
        </w:rPr>
        <w:t>study of the Tudor</w:t>
      </w:r>
      <w:r w:rsidR="00597D76" w:rsidRPr="00AE141E">
        <w:rPr>
          <w:rFonts w:ascii="Times New Roman" w:hAnsi="Times New Roman" w:cs="Times New Roman"/>
          <w:sz w:val="24"/>
          <w:szCs w:val="24"/>
        </w:rPr>
        <w:t>s</w:t>
      </w:r>
      <w:r w:rsidR="0018375C" w:rsidRPr="00AE141E">
        <w:rPr>
          <w:rFonts w:ascii="Times New Roman" w:hAnsi="Times New Roman" w:cs="Times New Roman"/>
          <w:sz w:val="24"/>
          <w:szCs w:val="24"/>
        </w:rPr>
        <w:t xml:space="preserve"> and Stuart</w:t>
      </w:r>
      <w:r w:rsidR="00597D76" w:rsidRPr="00AE141E">
        <w:rPr>
          <w:rFonts w:ascii="Times New Roman" w:hAnsi="Times New Roman" w:cs="Times New Roman"/>
          <w:sz w:val="24"/>
          <w:szCs w:val="24"/>
        </w:rPr>
        <w:t>s</w:t>
      </w:r>
      <w:r w:rsidR="00D22498" w:rsidRPr="00AE141E">
        <w:rPr>
          <w:rFonts w:ascii="Times New Roman" w:hAnsi="Times New Roman" w:cs="Times New Roman"/>
          <w:sz w:val="24"/>
          <w:szCs w:val="24"/>
        </w:rPr>
        <w:t xml:space="preserve">, and </w:t>
      </w:r>
      <w:r w:rsidR="0018375C" w:rsidRPr="00AE141E">
        <w:rPr>
          <w:rFonts w:ascii="Times New Roman" w:hAnsi="Times New Roman" w:cs="Times New Roman"/>
          <w:sz w:val="24"/>
          <w:szCs w:val="24"/>
        </w:rPr>
        <w:t>the third year</w:t>
      </w:r>
      <w:r w:rsidR="00602A25" w:rsidRPr="00AE141E">
        <w:rPr>
          <w:rFonts w:ascii="Times New Roman" w:hAnsi="Times New Roman" w:cs="Times New Roman"/>
          <w:sz w:val="24"/>
          <w:szCs w:val="24"/>
        </w:rPr>
        <w:t xml:space="preserve"> with some </w:t>
      </w:r>
      <w:r w:rsidR="0061011B" w:rsidRPr="00AE141E">
        <w:rPr>
          <w:rFonts w:ascii="Times New Roman" w:hAnsi="Times New Roman" w:cs="Times New Roman"/>
          <w:sz w:val="24"/>
          <w:szCs w:val="24"/>
        </w:rPr>
        <w:t>aspect</w:t>
      </w:r>
      <w:r w:rsidR="00602A25" w:rsidRPr="00AE141E">
        <w:rPr>
          <w:rFonts w:ascii="Times New Roman" w:hAnsi="Times New Roman" w:cs="Times New Roman"/>
          <w:sz w:val="24"/>
          <w:szCs w:val="24"/>
        </w:rPr>
        <w:t xml:space="preserve"> of world history.</w:t>
      </w:r>
      <w:r w:rsidR="0086382D" w:rsidRPr="00AE141E">
        <w:rPr>
          <w:rFonts w:ascii="Times New Roman" w:hAnsi="Times New Roman" w:cs="Times New Roman"/>
          <w:sz w:val="24"/>
          <w:szCs w:val="24"/>
        </w:rPr>
        <w:t xml:space="preserve"> </w:t>
      </w:r>
      <w:r w:rsidR="00C00CBB" w:rsidRPr="00AE141E">
        <w:rPr>
          <w:rFonts w:ascii="Times New Roman" w:hAnsi="Times New Roman" w:cs="Times New Roman"/>
          <w:sz w:val="24"/>
          <w:szCs w:val="24"/>
        </w:rPr>
        <w:t>Although the ‘great tradition’</w:t>
      </w:r>
      <w:r w:rsidR="00806D35" w:rsidRPr="00AE141E">
        <w:rPr>
          <w:rFonts w:ascii="Times New Roman" w:hAnsi="Times New Roman" w:cs="Times New Roman"/>
          <w:sz w:val="24"/>
          <w:szCs w:val="24"/>
        </w:rPr>
        <w:t xml:space="preserve"> of the British chronological survey</w:t>
      </w:r>
      <w:r w:rsidR="00C00CBB" w:rsidRPr="00AE141E">
        <w:rPr>
          <w:rFonts w:ascii="Times New Roman" w:hAnsi="Times New Roman" w:cs="Times New Roman"/>
          <w:sz w:val="24"/>
          <w:szCs w:val="24"/>
        </w:rPr>
        <w:t xml:space="preserve"> remained broadly intact, </w:t>
      </w:r>
      <w:r w:rsidR="000B109D" w:rsidRPr="00AE141E">
        <w:rPr>
          <w:rFonts w:ascii="Times New Roman" w:hAnsi="Times New Roman" w:cs="Times New Roman"/>
          <w:sz w:val="24"/>
          <w:szCs w:val="24"/>
        </w:rPr>
        <w:t xml:space="preserve">in secondary moderns at least it was now interrupted </w:t>
      </w:r>
      <w:r w:rsidR="00A136DF" w:rsidRPr="00AE141E">
        <w:rPr>
          <w:rFonts w:ascii="Times New Roman" w:hAnsi="Times New Roman" w:cs="Times New Roman"/>
          <w:sz w:val="24"/>
          <w:szCs w:val="24"/>
        </w:rPr>
        <w:t xml:space="preserve">by a ‘world perspective’ – at the </w:t>
      </w:r>
      <w:r w:rsidR="003D3CCF" w:rsidRPr="00AE141E">
        <w:rPr>
          <w:rFonts w:ascii="Times New Roman" w:hAnsi="Times New Roman" w:cs="Times New Roman"/>
          <w:sz w:val="24"/>
          <w:szCs w:val="24"/>
        </w:rPr>
        <w:t>cumulative moment of the final year of compulsory education, no less.</w:t>
      </w:r>
    </w:p>
    <w:p w14:paraId="6BB711B1" w14:textId="41AD7228" w:rsidR="00016F53" w:rsidRPr="00AE141E" w:rsidRDefault="00FA3D5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Interestingly, the Cambridge study found that </w:t>
      </w:r>
      <w:r w:rsidR="001451B6" w:rsidRPr="00AE141E">
        <w:rPr>
          <w:rFonts w:ascii="Times New Roman" w:hAnsi="Times New Roman" w:cs="Times New Roman"/>
          <w:sz w:val="24"/>
          <w:szCs w:val="24"/>
        </w:rPr>
        <w:t xml:space="preserve">significantly more teachers in grammar </w:t>
      </w:r>
      <w:r w:rsidR="00BC05A0" w:rsidRPr="00AE141E">
        <w:rPr>
          <w:rFonts w:ascii="Times New Roman" w:hAnsi="Times New Roman" w:cs="Times New Roman"/>
          <w:sz w:val="24"/>
          <w:szCs w:val="24"/>
        </w:rPr>
        <w:t xml:space="preserve">schools </w:t>
      </w:r>
      <w:r w:rsidR="001451B6" w:rsidRPr="00AE141E">
        <w:rPr>
          <w:rFonts w:ascii="Times New Roman" w:hAnsi="Times New Roman" w:cs="Times New Roman"/>
          <w:sz w:val="24"/>
          <w:szCs w:val="24"/>
        </w:rPr>
        <w:t>(</w:t>
      </w:r>
      <w:r w:rsidR="00E14EB0" w:rsidRPr="00AE141E">
        <w:rPr>
          <w:rFonts w:ascii="Times New Roman" w:hAnsi="Times New Roman" w:cs="Times New Roman"/>
          <w:sz w:val="24"/>
          <w:szCs w:val="24"/>
        </w:rPr>
        <w:t>63 percent)</w:t>
      </w:r>
      <w:r w:rsidR="001451B6" w:rsidRPr="00AE141E">
        <w:rPr>
          <w:rFonts w:ascii="Times New Roman" w:hAnsi="Times New Roman" w:cs="Times New Roman"/>
          <w:sz w:val="24"/>
          <w:szCs w:val="24"/>
        </w:rPr>
        <w:t xml:space="preserve"> </w:t>
      </w:r>
      <w:r w:rsidR="00BC05A0" w:rsidRPr="00AE141E">
        <w:rPr>
          <w:rFonts w:ascii="Times New Roman" w:hAnsi="Times New Roman" w:cs="Times New Roman"/>
          <w:sz w:val="24"/>
          <w:szCs w:val="24"/>
        </w:rPr>
        <w:t xml:space="preserve">were ‘favourable to the demands for more world history’ than those in secondary </w:t>
      </w:r>
      <w:r w:rsidR="00BC05A0" w:rsidRPr="00AE141E">
        <w:rPr>
          <w:rFonts w:ascii="Times New Roman" w:hAnsi="Times New Roman" w:cs="Times New Roman"/>
          <w:sz w:val="24"/>
          <w:szCs w:val="24"/>
        </w:rPr>
        <w:lastRenderedPageBreak/>
        <w:t>moderns (52 percent).</w:t>
      </w:r>
      <w:r w:rsidR="00DD0DB3" w:rsidRPr="00AE141E">
        <w:rPr>
          <w:rStyle w:val="FootnoteReference"/>
          <w:rFonts w:ascii="Times New Roman" w:hAnsi="Times New Roman" w:cs="Times New Roman"/>
          <w:sz w:val="24"/>
          <w:szCs w:val="24"/>
        </w:rPr>
        <w:footnoteReference w:id="304"/>
      </w:r>
      <w:r w:rsidR="00BC05A0" w:rsidRPr="00AE141E">
        <w:rPr>
          <w:rFonts w:ascii="Times New Roman" w:hAnsi="Times New Roman" w:cs="Times New Roman"/>
          <w:sz w:val="24"/>
          <w:szCs w:val="24"/>
        </w:rPr>
        <w:t xml:space="preserve"> </w:t>
      </w:r>
      <w:r w:rsidR="00121451" w:rsidRPr="00AE141E">
        <w:rPr>
          <w:rFonts w:ascii="Times New Roman" w:hAnsi="Times New Roman" w:cs="Times New Roman"/>
          <w:sz w:val="24"/>
          <w:szCs w:val="24"/>
        </w:rPr>
        <w:t>This</w:t>
      </w:r>
      <w:r w:rsidR="00342371" w:rsidRPr="00AE141E">
        <w:rPr>
          <w:rFonts w:ascii="Times New Roman" w:hAnsi="Times New Roman" w:cs="Times New Roman"/>
          <w:sz w:val="24"/>
          <w:szCs w:val="24"/>
        </w:rPr>
        <w:t xml:space="preserve"> disparity</w:t>
      </w:r>
      <w:r w:rsidR="00121451" w:rsidRPr="00AE141E">
        <w:rPr>
          <w:rFonts w:ascii="Times New Roman" w:hAnsi="Times New Roman" w:cs="Times New Roman"/>
          <w:sz w:val="24"/>
          <w:szCs w:val="24"/>
        </w:rPr>
        <w:t xml:space="preserve"> might, however, be a function </w:t>
      </w:r>
      <w:r w:rsidR="00342371" w:rsidRPr="00AE141E">
        <w:rPr>
          <w:rFonts w:ascii="Times New Roman" w:hAnsi="Times New Roman" w:cs="Times New Roman"/>
          <w:sz w:val="24"/>
          <w:szCs w:val="24"/>
        </w:rPr>
        <w:t>of existing practi</w:t>
      </w:r>
      <w:r w:rsidR="00240E65" w:rsidRPr="00AE141E">
        <w:rPr>
          <w:rFonts w:ascii="Times New Roman" w:hAnsi="Times New Roman" w:cs="Times New Roman"/>
          <w:sz w:val="24"/>
          <w:szCs w:val="24"/>
        </w:rPr>
        <w:t>c</w:t>
      </w:r>
      <w:r w:rsidR="00342371" w:rsidRPr="00AE141E">
        <w:rPr>
          <w:rFonts w:ascii="Times New Roman" w:hAnsi="Times New Roman" w:cs="Times New Roman"/>
          <w:sz w:val="24"/>
          <w:szCs w:val="24"/>
        </w:rPr>
        <w:t>e; secondary modern teachers were already delivering a substantial quantity of world history</w:t>
      </w:r>
      <w:r w:rsidR="00373D30" w:rsidRPr="00AE141E">
        <w:rPr>
          <w:rFonts w:ascii="Times New Roman" w:hAnsi="Times New Roman" w:cs="Times New Roman"/>
          <w:sz w:val="24"/>
          <w:szCs w:val="24"/>
        </w:rPr>
        <w:t xml:space="preserve"> </w:t>
      </w:r>
      <w:r w:rsidR="00D2070E" w:rsidRPr="00AE141E">
        <w:rPr>
          <w:rFonts w:ascii="Times New Roman" w:hAnsi="Times New Roman" w:cs="Times New Roman"/>
          <w:sz w:val="24"/>
          <w:szCs w:val="24"/>
        </w:rPr>
        <w:t xml:space="preserve">and did not believe that </w:t>
      </w:r>
      <w:r w:rsidR="00373D30" w:rsidRPr="00AE141E">
        <w:rPr>
          <w:rFonts w:ascii="Times New Roman" w:hAnsi="Times New Roman" w:cs="Times New Roman"/>
          <w:sz w:val="24"/>
          <w:szCs w:val="24"/>
        </w:rPr>
        <w:t>further revision was necessary. More</w:t>
      </w:r>
      <w:r w:rsidR="000D6476" w:rsidRPr="00AE141E">
        <w:rPr>
          <w:rFonts w:ascii="Times New Roman" w:hAnsi="Times New Roman" w:cs="Times New Roman"/>
          <w:sz w:val="24"/>
          <w:szCs w:val="24"/>
        </w:rPr>
        <w:t xml:space="preserve"> significant, perhaps, is the survey’s discovery of a major gap in support on the basis of teachers’ age and experience. While </w:t>
      </w:r>
      <w:r w:rsidR="007576DC" w:rsidRPr="00AE141E">
        <w:rPr>
          <w:rFonts w:ascii="Times New Roman" w:hAnsi="Times New Roman" w:cs="Times New Roman"/>
          <w:sz w:val="24"/>
          <w:szCs w:val="24"/>
        </w:rPr>
        <w:t xml:space="preserve">53 percent of teachers with more than ten years of classroom experience were in favour of introducing more world history, </w:t>
      </w:r>
      <w:r w:rsidR="00947A36" w:rsidRPr="00AE141E">
        <w:rPr>
          <w:rFonts w:ascii="Times New Roman" w:hAnsi="Times New Roman" w:cs="Times New Roman"/>
          <w:sz w:val="24"/>
          <w:szCs w:val="24"/>
        </w:rPr>
        <w:t>approval</w:t>
      </w:r>
      <w:r w:rsidR="006B4959" w:rsidRPr="00AE141E">
        <w:rPr>
          <w:rFonts w:ascii="Times New Roman" w:hAnsi="Times New Roman" w:cs="Times New Roman"/>
          <w:sz w:val="24"/>
          <w:szCs w:val="24"/>
        </w:rPr>
        <w:t xml:space="preserve"> increased by </w:t>
      </w:r>
      <w:r w:rsidR="00947A36" w:rsidRPr="00AE141E">
        <w:rPr>
          <w:rFonts w:ascii="Times New Roman" w:hAnsi="Times New Roman" w:cs="Times New Roman"/>
          <w:sz w:val="24"/>
          <w:szCs w:val="24"/>
        </w:rPr>
        <w:t xml:space="preserve">seven percent for those teachers with </w:t>
      </w:r>
      <w:r w:rsidR="00071D1F" w:rsidRPr="00AE141E">
        <w:rPr>
          <w:rFonts w:ascii="Times New Roman" w:hAnsi="Times New Roman" w:cs="Times New Roman"/>
          <w:sz w:val="24"/>
          <w:szCs w:val="24"/>
        </w:rPr>
        <w:t xml:space="preserve">less than five years of experience. It </w:t>
      </w:r>
      <w:r w:rsidR="0064128E" w:rsidRPr="00AE141E">
        <w:rPr>
          <w:rFonts w:ascii="Times New Roman" w:hAnsi="Times New Roman" w:cs="Times New Roman"/>
          <w:sz w:val="24"/>
          <w:szCs w:val="24"/>
        </w:rPr>
        <w:t xml:space="preserve">appears that </w:t>
      </w:r>
      <w:r w:rsidR="00071D1F" w:rsidRPr="00AE141E">
        <w:rPr>
          <w:rFonts w:ascii="Times New Roman" w:hAnsi="Times New Roman" w:cs="Times New Roman"/>
          <w:sz w:val="24"/>
          <w:szCs w:val="24"/>
        </w:rPr>
        <w:t xml:space="preserve">the generational </w:t>
      </w:r>
      <w:r w:rsidR="00D80509" w:rsidRPr="00AE141E">
        <w:rPr>
          <w:rFonts w:ascii="Times New Roman" w:hAnsi="Times New Roman" w:cs="Times New Roman"/>
          <w:sz w:val="24"/>
          <w:szCs w:val="24"/>
        </w:rPr>
        <w:t>gap between teachers – influenced by what they</w:t>
      </w:r>
      <w:r w:rsidR="00776F8C" w:rsidRPr="00AE141E">
        <w:rPr>
          <w:rFonts w:ascii="Times New Roman" w:hAnsi="Times New Roman" w:cs="Times New Roman"/>
          <w:sz w:val="24"/>
          <w:szCs w:val="24"/>
        </w:rPr>
        <w:t xml:space="preserve"> themselves</w:t>
      </w:r>
      <w:r w:rsidR="00D80509" w:rsidRPr="00AE141E">
        <w:rPr>
          <w:rFonts w:ascii="Times New Roman" w:hAnsi="Times New Roman" w:cs="Times New Roman"/>
          <w:sz w:val="24"/>
          <w:szCs w:val="24"/>
        </w:rPr>
        <w:t xml:space="preserve"> had learnt at school and training college </w:t>
      </w:r>
      <w:r w:rsidR="00246A56" w:rsidRPr="00AE141E">
        <w:rPr>
          <w:rFonts w:ascii="Times New Roman" w:hAnsi="Times New Roman" w:cs="Times New Roman"/>
          <w:sz w:val="24"/>
          <w:szCs w:val="24"/>
        </w:rPr>
        <w:t>–</w:t>
      </w:r>
      <w:r w:rsidR="00D80509" w:rsidRPr="00AE141E">
        <w:rPr>
          <w:rFonts w:ascii="Times New Roman" w:hAnsi="Times New Roman" w:cs="Times New Roman"/>
          <w:sz w:val="24"/>
          <w:szCs w:val="24"/>
        </w:rPr>
        <w:t xml:space="preserve"> </w:t>
      </w:r>
      <w:r w:rsidR="00246A56" w:rsidRPr="00AE141E">
        <w:rPr>
          <w:rFonts w:ascii="Times New Roman" w:hAnsi="Times New Roman" w:cs="Times New Roman"/>
          <w:sz w:val="24"/>
          <w:szCs w:val="24"/>
        </w:rPr>
        <w:t xml:space="preserve">could </w:t>
      </w:r>
      <w:r w:rsidR="00776F8C" w:rsidRPr="00AE141E">
        <w:rPr>
          <w:rFonts w:ascii="Times New Roman" w:hAnsi="Times New Roman" w:cs="Times New Roman"/>
          <w:sz w:val="24"/>
          <w:szCs w:val="24"/>
        </w:rPr>
        <w:t>have some impact on the prospects for the introduction of world history within a given school.</w:t>
      </w:r>
    </w:p>
    <w:p w14:paraId="75B58B6B" w14:textId="5675B5E1" w:rsidR="00240156" w:rsidRPr="00AE141E" w:rsidRDefault="00FC4478" w:rsidP="00AE141E">
      <w:pPr>
        <w:spacing w:line="360" w:lineRule="auto"/>
        <w:rPr>
          <w:rFonts w:ascii="Times New Roman" w:hAnsi="Times New Roman" w:cs="Times New Roman"/>
          <w:b/>
          <w:bCs/>
          <w:sz w:val="24"/>
          <w:szCs w:val="24"/>
        </w:rPr>
      </w:pPr>
      <w:r>
        <w:rPr>
          <w:rFonts w:ascii="Times New Roman" w:hAnsi="Times New Roman" w:cs="Times New Roman"/>
          <w:b/>
          <w:bCs/>
          <w:sz w:val="24"/>
          <w:szCs w:val="24"/>
        </w:rPr>
        <w:t>Content of World History in Examination Forms</w:t>
      </w:r>
    </w:p>
    <w:p w14:paraId="51B1B55A" w14:textId="71471C9F" w:rsidR="006037AC" w:rsidRPr="00AE141E" w:rsidRDefault="00B74C7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Due to their prescriptive nature, examination syllabi </w:t>
      </w:r>
      <w:r w:rsidR="00827E0B" w:rsidRPr="00AE141E">
        <w:rPr>
          <w:rFonts w:ascii="Times New Roman" w:hAnsi="Times New Roman" w:cs="Times New Roman"/>
          <w:sz w:val="24"/>
          <w:szCs w:val="24"/>
        </w:rPr>
        <w:t xml:space="preserve">can </w:t>
      </w:r>
      <w:r w:rsidRPr="00AE141E">
        <w:rPr>
          <w:rFonts w:ascii="Times New Roman" w:hAnsi="Times New Roman" w:cs="Times New Roman"/>
          <w:sz w:val="24"/>
          <w:szCs w:val="24"/>
        </w:rPr>
        <w:t xml:space="preserve">provide some of the best </w:t>
      </w:r>
      <w:r w:rsidR="00827E0B" w:rsidRPr="00AE141E">
        <w:rPr>
          <w:rFonts w:ascii="Times New Roman" w:hAnsi="Times New Roman" w:cs="Times New Roman"/>
          <w:sz w:val="24"/>
          <w:szCs w:val="24"/>
        </w:rPr>
        <w:t>guides</w:t>
      </w:r>
      <w:r w:rsidRPr="00AE141E">
        <w:rPr>
          <w:rFonts w:ascii="Times New Roman" w:hAnsi="Times New Roman" w:cs="Times New Roman"/>
          <w:sz w:val="24"/>
          <w:szCs w:val="24"/>
        </w:rPr>
        <w:t xml:space="preserve"> </w:t>
      </w:r>
      <w:r w:rsidR="00827E0B" w:rsidRPr="00AE141E">
        <w:rPr>
          <w:rFonts w:ascii="Times New Roman" w:hAnsi="Times New Roman" w:cs="Times New Roman"/>
          <w:sz w:val="24"/>
          <w:szCs w:val="24"/>
        </w:rPr>
        <w:t>to</w:t>
      </w:r>
      <w:r w:rsidRPr="00AE141E">
        <w:rPr>
          <w:rFonts w:ascii="Times New Roman" w:hAnsi="Times New Roman" w:cs="Times New Roman"/>
          <w:sz w:val="24"/>
          <w:szCs w:val="24"/>
        </w:rPr>
        <w:t xml:space="preserve"> the</w:t>
      </w:r>
      <w:r w:rsidR="00CD7DCC" w:rsidRPr="00AE141E">
        <w:rPr>
          <w:rFonts w:ascii="Times New Roman" w:hAnsi="Times New Roman" w:cs="Times New Roman"/>
          <w:sz w:val="24"/>
          <w:szCs w:val="24"/>
        </w:rPr>
        <w:t xml:space="preserve"> </w:t>
      </w:r>
      <w:r w:rsidR="00827E0B" w:rsidRPr="00AE141E">
        <w:rPr>
          <w:rFonts w:ascii="Times New Roman" w:hAnsi="Times New Roman" w:cs="Times New Roman"/>
          <w:sz w:val="24"/>
          <w:szCs w:val="24"/>
        </w:rPr>
        <w:t xml:space="preserve">realities of </w:t>
      </w:r>
      <w:r w:rsidR="002404CB" w:rsidRPr="00AE141E">
        <w:rPr>
          <w:rFonts w:ascii="Times New Roman" w:hAnsi="Times New Roman" w:cs="Times New Roman"/>
          <w:sz w:val="24"/>
          <w:szCs w:val="24"/>
        </w:rPr>
        <w:t>education</w:t>
      </w:r>
      <w:r w:rsidR="00D852F6" w:rsidRPr="00AE141E">
        <w:rPr>
          <w:rFonts w:ascii="Times New Roman" w:hAnsi="Times New Roman" w:cs="Times New Roman"/>
          <w:sz w:val="24"/>
          <w:szCs w:val="24"/>
        </w:rPr>
        <w:t xml:space="preserve"> at a classroom level</w:t>
      </w:r>
      <w:r w:rsidR="00CD7DCC" w:rsidRPr="00AE141E">
        <w:rPr>
          <w:rFonts w:ascii="Times New Roman" w:hAnsi="Times New Roman" w:cs="Times New Roman"/>
          <w:sz w:val="24"/>
          <w:szCs w:val="24"/>
        </w:rPr>
        <w:t>.</w:t>
      </w:r>
      <w:r w:rsidRPr="00AE141E">
        <w:rPr>
          <w:rFonts w:ascii="Times New Roman" w:hAnsi="Times New Roman" w:cs="Times New Roman"/>
          <w:sz w:val="24"/>
          <w:szCs w:val="24"/>
        </w:rPr>
        <w:t xml:space="preserve"> </w:t>
      </w:r>
      <w:r w:rsidR="005A18A9" w:rsidRPr="00AE141E">
        <w:rPr>
          <w:rFonts w:ascii="Times New Roman" w:hAnsi="Times New Roman" w:cs="Times New Roman"/>
          <w:sz w:val="24"/>
          <w:szCs w:val="24"/>
        </w:rPr>
        <w:t xml:space="preserve">In 1971, a fellowship programme based at London’s School of Oriental and African Studies (SOAS) offered eight teachers the opportunity to conduct research into the teaching of world history in schools. Their report concluded that </w:t>
      </w:r>
      <w:r w:rsidR="000963FC" w:rsidRPr="00AE141E">
        <w:rPr>
          <w:rFonts w:ascii="Times New Roman" w:hAnsi="Times New Roman" w:cs="Times New Roman"/>
          <w:sz w:val="24"/>
          <w:szCs w:val="24"/>
        </w:rPr>
        <w:t>curricula in the examination years</w:t>
      </w:r>
      <w:r w:rsidR="00FC5841" w:rsidRPr="00AE141E">
        <w:rPr>
          <w:rFonts w:ascii="Times New Roman" w:hAnsi="Times New Roman" w:cs="Times New Roman"/>
          <w:sz w:val="24"/>
          <w:szCs w:val="24"/>
        </w:rPr>
        <w:t>, following the syllabi set out by</w:t>
      </w:r>
      <w:r w:rsidR="00A36FFA" w:rsidRPr="00AE141E">
        <w:rPr>
          <w:rFonts w:ascii="Times New Roman" w:hAnsi="Times New Roman" w:cs="Times New Roman"/>
          <w:sz w:val="24"/>
          <w:szCs w:val="24"/>
        </w:rPr>
        <w:t xml:space="preserve"> regional</w:t>
      </w:r>
      <w:r w:rsidR="00FC5841" w:rsidRPr="00AE141E">
        <w:rPr>
          <w:rFonts w:ascii="Times New Roman" w:hAnsi="Times New Roman" w:cs="Times New Roman"/>
          <w:sz w:val="24"/>
          <w:szCs w:val="24"/>
        </w:rPr>
        <w:t xml:space="preserve"> exam</w:t>
      </w:r>
      <w:r w:rsidR="00556756" w:rsidRPr="00AE141E">
        <w:rPr>
          <w:rFonts w:ascii="Times New Roman" w:hAnsi="Times New Roman" w:cs="Times New Roman"/>
          <w:sz w:val="24"/>
          <w:szCs w:val="24"/>
        </w:rPr>
        <w:t>ination</w:t>
      </w:r>
      <w:r w:rsidR="00473E0D" w:rsidRPr="00AE141E">
        <w:rPr>
          <w:rFonts w:ascii="Times New Roman" w:hAnsi="Times New Roman" w:cs="Times New Roman"/>
          <w:sz w:val="24"/>
          <w:szCs w:val="24"/>
        </w:rPr>
        <w:t xml:space="preserve"> boards,</w:t>
      </w:r>
      <w:r w:rsidR="005A18A9" w:rsidRPr="00AE141E">
        <w:rPr>
          <w:rFonts w:ascii="Times New Roman" w:hAnsi="Times New Roman" w:cs="Times New Roman"/>
          <w:sz w:val="24"/>
          <w:szCs w:val="24"/>
        </w:rPr>
        <w:t xml:space="preserve"> expressed a ‘disappointingly heavy bias towards the history of Europe, international relations and the twentieth century’.</w:t>
      </w:r>
      <w:r w:rsidR="005A18A9" w:rsidRPr="00AE141E">
        <w:rPr>
          <w:rStyle w:val="FootnoteReference"/>
          <w:rFonts w:ascii="Times New Roman" w:hAnsi="Times New Roman" w:cs="Times New Roman"/>
          <w:sz w:val="24"/>
          <w:szCs w:val="24"/>
        </w:rPr>
        <w:footnoteReference w:id="305"/>
      </w:r>
      <w:r w:rsidR="005A18A9" w:rsidRPr="00AE141E">
        <w:rPr>
          <w:rFonts w:ascii="Times New Roman" w:hAnsi="Times New Roman" w:cs="Times New Roman"/>
          <w:sz w:val="24"/>
          <w:szCs w:val="24"/>
        </w:rPr>
        <w:t xml:space="preserve"> In the limited cases where boards pushed past these limits, the result was ‘such a degree of variation in the scope and style of the questions as to suggest a great deal of uncertainty not only about what could be expected from candidates, but about what the examiners themselves wanted’.</w:t>
      </w:r>
    </w:p>
    <w:p w14:paraId="7ED19A30" w14:textId="6CAE713F" w:rsidR="007E1837" w:rsidRPr="00AE141E" w:rsidRDefault="0018491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Longden’s </w:t>
      </w:r>
      <w:r w:rsidR="003264A0" w:rsidRPr="00AE141E">
        <w:rPr>
          <w:rFonts w:ascii="Times New Roman" w:hAnsi="Times New Roman" w:cs="Times New Roman"/>
          <w:sz w:val="24"/>
          <w:szCs w:val="24"/>
        </w:rPr>
        <w:t>1972</w:t>
      </w:r>
      <w:r w:rsidR="00972CC7" w:rsidRPr="00AE141E">
        <w:rPr>
          <w:rFonts w:ascii="Times New Roman" w:hAnsi="Times New Roman" w:cs="Times New Roman"/>
          <w:sz w:val="24"/>
          <w:szCs w:val="24"/>
        </w:rPr>
        <w:t xml:space="preserve"> </w:t>
      </w:r>
      <w:r w:rsidR="003264A0" w:rsidRPr="00AE141E">
        <w:rPr>
          <w:rFonts w:ascii="Times New Roman" w:hAnsi="Times New Roman" w:cs="Times New Roman"/>
          <w:sz w:val="24"/>
          <w:szCs w:val="24"/>
        </w:rPr>
        <w:t xml:space="preserve">research </w:t>
      </w:r>
      <w:r w:rsidR="00972CC7" w:rsidRPr="00AE141E">
        <w:rPr>
          <w:rFonts w:ascii="Times New Roman" w:hAnsi="Times New Roman" w:cs="Times New Roman"/>
          <w:sz w:val="24"/>
          <w:szCs w:val="24"/>
        </w:rPr>
        <w:t xml:space="preserve">on </w:t>
      </w:r>
      <w:r w:rsidRPr="00AE141E">
        <w:rPr>
          <w:rFonts w:ascii="Times New Roman" w:hAnsi="Times New Roman" w:cs="Times New Roman"/>
          <w:sz w:val="24"/>
          <w:szCs w:val="24"/>
        </w:rPr>
        <w:t xml:space="preserve">world history examination syllabi </w:t>
      </w:r>
      <w:r w:rsidR="0012311B" w:rsidRPr="00AE141E">
        <w:rPr>
          <w:rFonts w:ascii="Times New Roman" w:hAnsi="Times New Roman" w:cs="Times New Roman"/>
          <w:sz w:val="24"/>
          <w:szCs w:val="24"/>
        </w:rPr>
        <w:t xml:space="preserve">largely </w:t>
      </w:r>
      <w:r w:rsidR="00713031" w:rsidRPr="00AE141E">
        <w:rPr>
          <w:rFonts w:ascii="Times New Roman" w:hAnsi="Times New Roman" w:cs="Times New Roman"/>
          <w:sz w:val="24"/>
          <w:szCs w:val="24"/>
        </w:rPr>
        <w:t>affirm</w:t>
      </w:r>
      <w:r w:rsidR="007C1E14" w:rsidRPr="00AE141E">
        <w:rPr>
          <w:rFonts w:ascii="Times New Roman" w:hAnsi="Times New Roman" w:cs="Times New Roman"/>
          <w:sz w:val="24"/>
          <w:szCs w:val="24"/>
        </w:rPr>
        <w:t>ed</w:t>
      </w:r>
      <w:r w:rsidR="00713031" w:rsidRPr="00AE141E">
        <w:rPr>
          <w:rFonts w:ascii="Times New Roman" w:hAnsi="Times New Roman" w:cs="Times New Roman"/>
          <w:sz w:val="24"/>
          <w:szCs w:val="24"/>
        </w:rPr>
        <w:t xml:space="preserve"> the findings of the report</w:t>
      </w:r>
      <w:r w:rsidR="006F5CEE" w:rsidRPr="00AE141E">
        <w:rPr>
          <w:rFonts w:ascii="Times New Roman" w:hAnsi="Times New Roman" w:cs="Times New Roman"/>
          <w:sz w:val="24"/>
          <w:szCs w:val="24"/>
        </w:rPr>
        <w:t xml:space="preserve">; </w:t>
      </w:r>
      <w:r w:rsidR="00066F00" w:rsidRPr="00AE141E">
        <w:rPr>
          <w:rFonts w:ascii="Times New Roman" w:hAnsi="Times New Roman" w:cs="Times New Roman"/>
          <w:sz w:val="24"/>
          <w:szCs w:val="24"/>
        </w:rPr>
        <w:t xml:space="preserve">its survey of contemporary </w:t>
      </w:r>
      <w:r w:rsidRPr="00AE141E">
        <w:rPr>
          <w:rFonts w:ascii="Times New Roman" w:hAnsi="Times New Roman" w:cs="Times New Roman"/>
          <w:sz w:val="24"/>
          <w:szCs w:val="24"/>
        </w:rPr>
        <w:t xml:space="preserve">CSE </w:t>
      </w:r>
      <w:r w:rsidR="00066F00" w:rsidRPr="00AE141E">
        <w:rPr>
          <w:rFonts w:ascii="Times New Roman" w:hAnsi="Times New Roman" w:cs="Times New Roman"/>
          <w:sz w:val="24"/>
          <w:szCs w:val="24"/>
        </w:rPr>
        <w:t>and</w:t>
      </w:r>
      <w:r w:rsidRPr="00AE141E">
        <w:rPr>
          <w:rFonts w:ascii="Times New Roman" w:hAnsi="Times New Roman" w:cs="Times New Roman"/>
          <w:sz w:val="24"/>
          <w:szCs w:val="24"/>
        </w:rPr>
        <w:t xml:space="preserve"> O Level papers</w:t>
      </w:r>
      <w:r w:rsidR="00066F00" w:rsidRPr="00AE141E">
        <w:rPr>
          <w:rFonts w:ascii="Times New Roman" w:hAnsi="Times New Roman" w:cs="Times New Roman"/>
          <w:sz w:val="24"/>
          <w:szCs w:val="24"/>
        </w:rPr>
        <w:t xml:space="preserve"> revealed that few</w:t>
      </w:r>
      <w:r w:rsidRPr="00AE141E">
        <w:rPr>
          <w:rFonts w:ascii="Times New Roman" w:hAnsi="Times New Roman" w:cs="Times New Roman"/>
          <w:sz w:val="24"/>
          <w:szCs w:val="24"/>
        </w:rPr>
        <w:t xml:space="preserve"> expected students to have covered material earlier than </w:t>
      </w:r>
      <w:r w:rsidR="00702833" w:rsidRPr="00AE141E">
        <w:rPr>
          <w:rFonts w:ascii="Times New Roman" w:hAnsi="Times New Roman" w:cs="Times New Roman"/>
          <w:sz w:val="24"/>
          <w:szCs w:val="24"/>
        </w:rPr>
        <w:t>the twentieth century</w:t>
      </w:r>
      <w:r w:rsidRPr="00AE141E">
        <w:rPr>
          <w:rFonts w:ascii="Times New Roman" w:hAnsi="Times New Roman" w:cs="Times New Roman"/>
          <w:sz w:val="24"/>
          <w:szCs w:val="24"/>
        </w:rPr>
        <w:t>.</w:t>
      </w:r>
      <w:r w:rsidRPr="00AE141E">
        <w:rPr>
          <w:rStyle w:val="FootnoteReference"/>
          <w:rFonts w:ascii="Times New Roman" w:hAnsi="Times New Roman" w:cs="Times New Roman"/>
          <w:sz w:val="24"/>
          <w:szCs w:val="24"/>
        </w:rPr>
        <w:footnoteReference w:id="306"/>
      </w:r>
      <w:r w:rsidRPr="00AE141E">
        <w:rPr>
          <w:rFonts w:ascii="Times New Roman" w:hAnsi="Times New Roman" w:cs="Times New Roman"/>
          <w:sz w:val="24"/>
          <w:szCs w:val="24"/>
        </w:rPr>
        <w:t xml:space="preserve"> World history was therefore identified with contemporary history in all but a few exceptional cases (the American War of Independence, the French Revolution, the Unification of Italy, and the Unification of Germany all appeared as topics of study in a small number of syllabi). Longden used phrases such as ‘the usual range of twentieth century topics’ and ‘the main political developments of the present century’ to refer to the material specified by world </w:t>
      </w:r>
      <w:r w:rsidRPr="00AE141E">
        <w:rPr>
          <w:rFonts w:ascii="Times New Roman" w:hAnsi="Times New Roman" w:cs="Times New Roman"/>
          <w:sz w:val="24"/>
          <w:szCs w:val="24"/>
        </w:rPr>
        <w:lastRenderedPageBreak/>
        <w:t>history courses.</w:t>
      </w:r>
      <w:r w:rsidR="003D78F2"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The implication </w:t>
      </w:r>
      <w:r w:rsidR="007C1E14" w:rsidRPr="00AE141E">
        <w:rPr>
          <w:rFonts w:ascii="Times New Roman" w:hAnsi="Times New Roman" w:cs="Times New Roman"/>
          <w:sz w:val="24"/>
          <w:szCs w:val="24"/>
        </w:rPr>
        <w:t>was</w:t>
      </w:r>
      <w:r w:rsidRPr="00AE141E">
        <w:rPr>
          <w:rFonts w:ascii="Times New Roman" w:hAnsi="Times New Roman" w:cs="Times New Roman"/>
          <w:sz w:val="24"/>
          <w:szCs w:val="24"/>
        </w:rPr>
        <w:t xml:space="preserve"> clear: topics </w:t>
      </w:r>
      <w:r w:rsidR="001C355A" w:rsidRPr="00AE141E">
        <w:rPr>
          <w:rFonts w:ascii="Times New Roman" w:hAnsi="Times New Roman" w:cs="Times New Roman"/>
          <w:sz w:val="24"/>
          <w:szCs w:val="24"/>
        </w:rPr>
        <w:t>had quickly become</w:t>
      </w:r>
      <w:r w:rsidRPr="00AE141E">
        <w:rPr>
          <w:rFonts w:ascii="Times New Roman" w:hAnsi="Times New Roman" w:cs="Times New Roman"/>
          <w:sz w:val="24"/>
          <w:szCs w:val="24"/>
        </w:rPr>
        <w:t xml:space="preserve"> so standardised and </w:t>
      </w:r>
      <w:r w:rsidR="00A21585" w:rsidRPr="00AE141E">
        <w:rPr>
          <w:rFonts w:ascii="Times New Roman" w:hAnsi="Times New Roman" w:cs="Times New Roman"/>
          <w:sz w:val="24"/>
          <w:szCs w:val="24"/>
        </w:rPr>
        <w:t>calcified</w:t>
      </w:r>
      <w:r w:rsidR="001C355A" w:rsidRPr="00AE141E">
        <w:rPr>
          <w:rFonts w:ascii="Times New Roman" w:hAnsi="Times New Roman" w:cs="Times New Roman"/>
          <w:sz w:val="24"/>
          <w:szCs w:val="24"/>
        </w:rPr>
        <w:t xml:space="preserve"> that</w:t>
      </w:r>
      <w:r w:rsidRPr="00AE141E">
        <w:rPr>
          <w:rFonts w:ascii="Times New Roman" w:hAnsi="Times New Roman" w:cs="Times New Roman"/>
          <w:sz w:val="24"/>
          <w:szCs w:val="24"/>
        </w:rPr>
        <w:t xml:space="preserve"> it was assumed that no further elaboration was required. It was as an afterthought, included in parentheses at the tail end of the relevant chapter, that </w:t>
      </w:r>
      <w:r w:rsidR="00A21585" w:rsidRPr="00AE141E">
        <w:rPr>
          <w:rFonts w:ascii="Times New Roman" w:hAnsi="Times New Roman" w:cs="Times New Roman"/>
          <w:sz w:val="24"/>
          <w:szCs w:val="24"/>
        </w:rPr>
        <w:t>he</w:t>
      </w:r>
      <w:r w:rsidRPr="00AE141E">
        <w:rPr>
          <w:rFonts w:ascii="Times New Roman" w:hAnsi="Times New Roman" w:cs="Times New Roman"/>
          <w:sz w:val="24"/>
          <w:szCs w:val="24"/>
        </w:rPr>
        <w:t xml:space="preserve"> defined ‘the </w:t>
      </w:r>
      <w:r w:rsidR="009B043F" w:rsidRPr="00AE141E">
        <w:rPr>
          <w:rFonts w:ascii="Times New Roman" w:hAnsi="Times New Roman" w:cs="Times New Roman"/>
          <w:sz w:val="24"/>
          <w:szCs w:val="24"/>
        </w:rPr>
        <w:t>principal</w:t>
      </w:r>
      <w:r w:rsidRPr="00AE141E">
        <w:rPr>
          <w:rFonts w:ascii="Times New Roman" w:hAnsi="Times New Roman" w:cs="Times New Roman"/>
          <w:sz w:val="24"/>
          <w:szCs w:val="24"/>
        </w:rPr>
        <w:t xml:space="preserve"> events in twentieth century world history’ as ‘the Russian Revolution, [the Treaty of] Versailles, the Great Depression, [and] the causes of the Second World War’.</w:t>
      </w:r>
    </w:p>
    <w:p w14:paraId="20C1EA2A" w14:textId="1AB1DE3F" w:rsidR="003F157C" w:rsidRPr="00AE141E" w:rsidRDefault="00AA0F1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All such topics had the potential to be read </w:t>
      </w:r>
      <w:r w:rsidR="001C5203" w:rsidRPr="00AE141E">
        <w:rPr>
          <w:rFonts w:ascii="Times New Roman" w:hAnsi="Times New Roman" w:cs="Times New Roman"/>
          <w:sz w:val="24"/>
          <w:szCs w:val="24"/>
        </w:rPr>
        <w:t>through a truly global lens</w:t>
      </w:r>
      <w:r w:rsidR="00E915B4" w:rsidRPr="00AE141E">
        <w:rPr>
          <w:rFonts w:ascii="Times New Roman" w:hAnsi="Times New Roman" w:cs="Times New Roman"/>
          <w:sz w:val="24"/>
          <w:szCs w:val="24"/>
        </w:rPr>
        <w:t xml:space="preserve">, but contemporary learning resources and assessment materials indicate that the emphasis </w:t>
      </w:r>
      <w:r w:rsidR="00802CEE" w:rsidRPr="00AE141E">
        <w:rPr>
          <w:rFonts w:ascii="Times New Roman" w:hAnsi="Times New Roman" w:cs="Times New Roman"/>
          <w:sz w:val="24"/>
          <w:szCs w:val="24"/>
        </w:rPr>
        <w:t>of study remained firmly on the ‘great powers’</w:t>
      </w:r>
      <w:r w:rsidR="007A3E8A" w:rsidRPr="00AE141E">
        <w:rPr>
          <w:rFonts w:ascii="Times New Roman" w:hAnsi="Times New Roman" w:cs="Times New Roman"/>
          <w:sz w:val="24"/>
          <w:szCs w:val="24"/>
        </w:rPr>
        <w:t xml:space="preserve"> – especially </w:t>
      </w:r>
      <w:r w:rsidR="00F73E6C" w:rsidRPr="00AE141E">
        <w:rPr>
          <w:rFonts w:ascii="Times New Roman" w:hAnsi="Times New Roman" w:cs="Times New Roman"/>
          <w:sz w:val="24"/>
          <w:szCs w:val="24"/>
        </w:rPr>
        <w:t>western European nations</w:t>
      </w:r>
      <w:r w:rsidR="007A3E8A" w:rsidRPr="00AE141E">
        <w:rPr>
          <w:rFonts w:ascii="Times New Roman" w:hAnsi="Times New Roman" w:cs="Times New Roman"/>
          <w:sz w:val="24"/>
          <w:szCs w:val="24"/>
        </w:rPr>
        <w:t>,</w:t>
      </w:r>
      <w:r w:rsidR="005F2576" w:rsidRPr="00AE141E">
        <w:rPr>
          <w:rFonts w:ascii="Times New Roman" w:hAnsi="Times New Roman" w:cs="Times New Roman"/>
          <w:sz w:val="24"/>
          <w:szCs w:val="24"/>
        </w:rPr>
        <w:t xml:space="preserve"> Germany,</w:t>
      </w:r>
      <w:r w:rsidR="007A3E8A" w:rsidRPr="00AE141E">
        <w:rPr>
          <w:rFonts w:ascii="Times New Roman" w:hAnsi="Times New Roman" w:cs="Times New Roman"/>
          <w:sz w:val="24"/>
          <w:szCs w:val="24"/>
        </w:rPr>
        <w:t xml:space="preserve"> the USA, the USSR</w:t>
      </w:r>
      <w:r w:rsidR="00F73E6C" w:rsidRPr="00AE141E">
        <w:rPr>
          <w:rFonts w:ascii="Times New Roman" w:hAnsi="Times New Roman" w:cs="Times New Roman"/>
          <w:sz w:val="24"/>
          <w:szCs w:val="24"/>
        </w:rPr>
        <w:t>, and sometimes China and Japan</w:t>
      </w:r>
      <w:r w:rsidR="00E97DD5" w:rsidRPr="00AE141E">
        <w:rPr>
          <w:rFonts w:ascii="Times New Roman" w:hAnsi="Times New Roman" w:cs="Times New Roman"/>
          <w:sz w:val="24"/>
          <w:szCs w:val="24"/>
        </w:rPr>
        <w:t>.</w:t>
      </w:r>
      <w:r w:rsidR="008026F1" w:rsidRPr="00AE141E">
        <w:rPr>
          <w:rStyle w:val="FootnoteReference"/>
          <w:rFonts w:ascii="Times New Roman" w:hAnsi="Times New Roman" w:cs="Times New Roman"/>
          <w:sz w:val="24"/>
          <w:szCs w:val="24"/>
        </w:rPr>
        <w:footnoteReference w:id="307"/>
      </w:r>
      <w:r w:rsidR="00244869" w:rsidRPr="00AE141E">
        <w:rPr>
          <w:rFonts w:ascii="Times New Roman" w:hAnsi="Times New Roman" w:cs="Times New Roman"/>
          <w:sz w:val="24"/>
          <w:szCs w:val="24"/>
        </w:rPr>
        <w:t xml:space="preserve"> The example of the study and examination of the Second World War is instructive.</w:t>
      </w:r>
      <w:r w:rsidR="00E97DD5" w:rsidRPr="00AE141E">
        <w:rPr>
          <w:rFonts w:ascii="Times New Roman" w:hAnsi="Times New Roman" w:cs="Times New Roman"/>
          <w:sz w:val="24"/>
          <w:szCs w:val="24"/>
        </w:rPr>
        <w:t xml:space="preserve"> </w:t>
      </w:r>
      <w:r w:rsidR="001227BE" w:rsidRPr="00AE141E">
        <w:rPr>
          <w:rFonts w:ascii="Times New Roman" w:hAnsi="Times New Roman" w:cs="Times New Roman"/>
          <w:sz w:val="24"/>
          <w:szCs w:val="24"/>
        </w:rPr>
        <w:t xml:space="preserve">The </w:t>
      </w:r>
      <w:r w:rsidR="00572071" w:rsidRPr="00AE141E">
        <w:rPr>
          <w:rFonts w:ascii="Times New Roman" w:hAnsi="Times New Roman" w:cs="Times New Roman"/>
          <w:sz w:val="24"/>
          <w:szCs w:val="24"/>
        </w:rPr>
        <w:t xml:space="preserve">Summer 1965 </w:t>
      </w:r>
      <w:r w:rsidR="00C95886" w:rsidRPr="00AE141E">
        <w:rPr>
          <w:rFonts w:ascii="Times New Roman" w:hAnsi="Times New Roman" w:cs="Times New Roman"/>
          <w:sz w:val="24"/>
          <w:szCs w:val="24"/>
        </w:rPr>
        <w:t xml:space="preserve">paper of the University of London’s special syllabus, ‘World Affairs 1919 to the Present Day’, included </w:t>
      </w:r>
      <w:r w:rsidR="00FF34A7" w:rsidRPr="00AE141E">
        <w:rPr>
          <w:rFonts w:ascii="Times New Roman" w:hAnsi="Times New Roman" w:cs="Times New Roman"/>
          <w:sz w:val="24"/>
          <w:szCs w:val="24"/>
        </w:rPr>
        <w:t>three</w:t>
      </w:r>
      <w:r w:rsidR="00C95886" w:rsidRPr="00AE141E">
        <w:rPr>
          <w:rFonts w:ascii="Times New Roman" w:hAnsi="Times New Roman" w:cs="Times New Roman"/>
          <w:sz w:val="24"/>
          <w:szCs w:val="24"/>
        </w:rPr>
        <w:t xml:space="preserve"> questions</w:t>
      </w:r>
      <w:r w:rsidR="00FF34A7" w:rsidRPr="00AE141E">
        <w:rPr>
          <w:rFonts w:ascii="Times New Roman" w:hAnsi="Times New Roman" w:cs="Times New Roman"/>
          <w:sz w:val="24"/>
          <w:szCs w:val="24"/>
        </w:rPr>
        <w:t xml:space="preserve"> connected to the Second World War.</w:t>
      </w:r>
      <w:r w:rsidR="00D22582" w:rsidRPr="00AE141E">
        <w:rPr>
          <w:rStyle w:val="FootnoteReference"/>
          <w:rFonts w:ascii="Times New Roman" w:hAnsi="Times New Roman" w:cs="Times New Roman"/>
          <w:sz w:val="24"/>
          <w:szCs w:val="24"/>
        </w:rPr>
        <w:footnoteReference w:id="308"/>
      </w:r>
      <w:r w:rsidR="00FF34A7" w:rsidRPr="00AE141E">
        <w:rPr>
          <w:rFonts w:ascii="Times New Roman" w:hAnsi="Times New Roman" w:cs="Times New Roman"/>
          <w:sz w:val="24"/>
          <w:szCs w:val="24"/>
        </w:rPr>
        <w:t xml:space="preserve"> </w:t>
      </w:r>
      <w:r w:rsidR="002A7E1D" w:rsidRPr="00AE141E">
        <w:rPr>
          <w:rFonts w:ascii="Times New Roman" w:hAnsi="Times New Roman" w:cs="Times New Roman"/>
          <w:sz w:val="24"/>
          <w:szCs w:val="24"/>
        </w:rPr>
        <w:t xml:space="preserve">The first invited candidates to consider connections between the Treaty of Versailles and German </w:t>
      </w:r>
      <w:r w:rsidR="00ED02B5" w:rsidRPr="00AE141E">
        <w:rPr>
          <w:rFonts w:ascii="Times New Roman" w:hAnsi="Times New Roman" w:cs="Times New Roman"/>
          <w:sz w:val="24"/>
          <w:szCs w:val="24"/>
        </w:rPr>
        <w:t>resentment: ‘“</w:t>
      </w:r>
      <w:r w:rsidR="0057155F" w:rsidRPr="00AE141E">
        <w:rPr>
          <w:rFonts w:ascii="Times New Roman" w:hAnsi="Times New Roman" w:cs="Times New Roman"/>
          <w:sz w:val="24"/>
          <w:szCs w:val="24"/>
        </w:rPr>
        <w:t>The peace settlement of 1919 made another European war almost certain.</w:t>
      </w:r>
      <w:r w:rsidR="00ED02B5" w:rsidRPr="00AE141E">
        <w:rPr>
          <w:rFonts w:ascii="Times New Roman" w:hAnsi="Times New Roman" w:cs="Times New Roman"/>
          <w:sz w:val="24"/>
          <w:szCs w:val="24"/>
        </w:rPr>
        <w:t xml:space="preserve">” </w:t>
      </w:r>
      <w:r w:rsidR="0057155F" w:rsidRPr="00AE141E">
        <w:rPr>
          <w:rFonts w:ascii="Times New Roman" w:hAnsi="Times New Roman" w:cs="Times New Roman"/>
          <w:sz w:val="24"/>
          <w:szCs w:val="24"/>
        </w:rPr>
        <w:t>What facts about the settlement might be said to justify this argument</w:t>
      </w:r>
      <w:r w:rsidR="007D7D9E" w:rsidRPr="00AE141E">
        <w:rPr>
          <w:rFonts w:ascii="Times New Roman" w:hAnsi="Times New Roman" w:cs="Times New Roman"/>
          <w:sz w:val="24"/>
          <w:szCs w:val="24"/>
        </w:rPr>
        <w:t>?</w:t>
      </w:r>
      <w:r w:rsidR="008A5C3F" w:rsidRPr="00AE141E">
        <w:rPr>
          <w:rFonts w:ascii="Times New Roman" w:hAnsi="Times New Roman" w:cs="Times New Roman"/>
          <w:sz w:val="24"/>
          <w:szCs w:val="24"/>
        </w:rPr>
        <w:t>’</w:t>
      </w:r>
      <w:r w:rsidR="003C5DEA" w:rsidRPr="00AE141E">
        <w:rPr>
          <w:rFonts w:ascii="Times New Roman" w:hAnsi="Times New Roman" w:cs="Times New Roman"/>
          <w:sz w:val="24"/>
          <w:szCs w:val="24"/>
        </w:rPr>
        <w:t>.</w:t>
      </w:r>
      <w:r w:rsidR="008A5C3F" w:rsidRPr="00AE141E">
        <w:rPr>
          <w:rFonts w:ascii="Times New Roman" w:hAnsi="Times New Roman" w:cs="Times New Roman"/>
          <w:sz w:val="24"/>
          <w:szCs w:val="24"/>
        </w:rPr>
        <w:t xml:space="preserve"> The second asked students to ‘trace the stages’ by which </w:t>
      </w:r>
      <w:r w:rsidR="00BA40E1" w:rsidRPr="00AE141E">
        <w:rPr>
          <w:rFonts w:ascii="Times New Roman" w:hAnsi="Times New Roman" w:cs="Times New Roman"/>
          <w:sz w:val="24"/>
          <w:szCs w:val="24"/>
        </w:rPr>
        <w:t>the conflict escalated from the German invasion of Poland to global conflict</w:t>
      </w:r>
      <w:r w:rsidR="007B545C" w:rsidRPr="00AE141E">
        <w:rPr>
          <w:rFonts w:ascii="Times New Roman" w:hAnsi="Times New Roman" w:cs="Times New Roman"/>
          <w:sz w:val="24"/>
          <w:szCs w:val="24"/>
        </w:rPr>
        <w:t>, while the third demanded consideration of ‘the merits and defects of Franklin D. Roosevelt as leader of the United States in peace and war’.</w:t>
      </w:r>
      <w:r w:rsidR="008F1A74" w:rsidRPr="00AE141E">
        <w:rPr>
          <w:rFonts w:ascii="Times New Roman" w:hAnsi="Times New Roman" w:cs="Times New Roman"/>
          <w:sz w:val="24"/>
          <w:szCs w:val="24"/>
        </w:rPr>
        <w:t xml:space="preserve"> </w:t>
      </w:r>
      <w:r w:rsidR="003E0757" w:rsidRPr="00AE141E">
        <w:rPr>
          <w:rFonts w:ascii="Times New Roman" w:hAnsi="Times New Roman" w:cs="Times New Roman"/>
          <w:sz w:val="24"/>
          <w:szCs w:val="24"/>
        </w:rPr>
        <w:t>Of these, only the second can be said to</w:t>
      </w:r>
      <w:r w:rsidR="004F3DBC" w:rsidRPr="00AE141E">
        <w:rPr>
          <w:rFonts w:ascii="Times New Roman" w:hAnsi="Times New Roman" w:cs="Times New Roman"/>
          <w:sz w:val="24"/>
          <w:szCs w:val="24"/>
        </w:rPr>
        <w:t xml:space="preserve"> have</w:t>
      </w:r>
      <w:r w:rsidR="003E0757" w:rsidRPr="00AE141E">
        <w:rPr>
          <w:rFonts w:ascii="Times New Roman" w:hAnsi="Times New Roman" w:cs="Times New Roman"/>
          <w:sz w:val="24"/>
          <w:szCs w:val="24"/>
        </w:rPr>
        <w:t xml:space="preserve"> </w:t>
      </w:r>
      <w:r w:rsidR="00C54C8A" w:rsidRPr="00AE141E">
        <w:rPr>
          <w:rFonts w:ascii="Times New Roman" w:hAnsi="Times New Roman" w:cs="Times New Roman"/>
          <w:sz w:val="24"/>
          <w:szCs w:val="24"/>
        </w:rPr>
        <w:t>consider</w:t>
      </w:r>
      <w:r w:rsidR="004F3DBC" w:rsidRPr="00AE141E">
        <w:rPr>
          <w:rFonts w:ascii="Times New Roman" w:hAnsi="Times New Roman" w:cs="Times New Roman"/>
          <w:sz w:val="24"/>
          <w:szCs w:val="24"/>
        </w:rPr>
        <w:t>ed</w:t>
      </w:r>
      <w:r w:rsidR="00C54C8A" w:rsidRPr="00AE141E">
        <w:rPr>
          <w:rFonts w:ascii="Times New Roman" w:hAnsi="Times New Roman" w:cs="Times New Roman"/>
          <w:sz w:val="24"/>
          <w:szCs w:val="24"/>
        </w:rPr>
        <w:t xml:space="preserve"> the </w:t>
      </w:r>
      <w:r w:rsidR="00A00685" w:rsidRPr="00AE141E">
        <w:rPr>
          <w:rFonts w:ascii="Times New Roman" w:hAnsi="Times New Roman" w:cs="Times New Roman"/>
          <w:sz w:val="24"/>
          <w:szCs w:val="24"/>
        </w:rPr>
        <w:t>global dimension of the war</w:t>
      </w:r>
      <w:r w:rsidR="001629AB" w:rsidRPr="00AE141E">
        <w:rPr>
          <w:rFonts w:ascii="Times New Roman" w:hAnsi="Times New Roman" w:cs="Times New Roman"/>
          <w:sz w:val="24"/>
          <w:szCs w:val="24"/>
        </w:rPr>
        <w:t xml:space="preserve">; even so, its </w:t>
      </w:r>
      <w:r w:rsidR="008661C3" w:rsidRPr="00AE141E">
        <w:rPr>
          <w:rFonts w:ascii="Times New Roman" w:hAnsi="Times New Roman" w:cs="Times New Roman"/>
          <w:sz w:val="24"/>
          <w:szCs w:val="24"/>
        </w:rPr>
        <w:t>grounding in</w:t>
      </w:r>
      <w:r w:rsidR="001629AB" w:rsidRPr="00AE141E">
        <w:rPr>
          <w:rFonts w:ascii="Times New Roman" w:hAnsi="Times New Roman" w:cs="Times New Roman"/>
          <w:sz w:val="24"/>
          <w:szCs w:val="24"/>
        </w:rPr>
        <w:t xml:space="preserve"> military </w:t>
      </w:r>
      <w:r w:rsidR="006B50DB" w:rsidRPr="00AE141E">
        <w:rPr>
          <w:rFonts w:ascii="Times New Roman" w:hAnsi="Times New Roman" w:cs="Times New Roman"/>
          <w:sz w:val="24"/>
          <w:szCs w:val="24"/>
        </w:rPr>
        <w:t>and diplomatic history</w:t>
      </w:r>
      <w:r w:rsidR="004F3DBC" w:rsidRPr="00AE141E">
        <w:rPr>
          <w:rFonts w:ascii="Times New Roman" w:hAnsi="Times New Roman" w:cs="Times New Roman"/>
          <w:sz w:val="24"/>
          <w:szCs w:val="24"/>
        </w:rPr>
        <w:t xml:space="preserve"> focused attention on the interactions between </w:t>
      </w:r>
      <w:r w:rsidR="008661C3" w:rsidRPr="00AE141E">
        <w:rPr>
          <w:rFonts w:ascii="Times New Roman" w:hAnsi="Times New Roman" w:cs="Times New Roman"/>
          <w:sz w:val="24"/>
          <w:szCs w:val="24"/>
        </w:rPr>
        <w:t>a limited range of ‘great powers’.</w:t>
      </w:r>
      <w:r w:rsidR="00E67ECE" w:rsidRPr="00AE141E">
        <w:rPr>
          <w:rFonts w:ascii="Times New Roman" w:hAnsi="Times New Roman" w:cs="Times New Roman"/>
          <w:sz w:val="24"/>
          <w:szCs w:val="24"/>
        </w:rPr>
        <w:t xml:space="preserve"> </w:t>
      </w:r>
      <w:r w:rsidR="00652D28" w:rsidRPr="00AE141E">
        <w:rPr>
          <w:rFonts w:ascii="Times New Roman" w:hAnsi="Times New Roman" w:cs="Times New Roman"/>
          <w:sz w:val="24"/>
          <w:szCs w:val="24"/>
        </w:rPr>
        <w:t xml:space="preserve">An emphasis on the ‘great powers’ – in this instance, </w:t>
      </w:r>
      <w:r w:rsidR="00046CA1" w:rsidRPr="00AE141E">
        <w:rPr>
          <w:rFonts w:ascii="Times New Roman" w:hAnsi="Times New Roman" w:cs="Times New Roman"/>
          <w:sz w:val="24"/>
          <w:szCs w:val="24"/>
        </w:rPr>
        <w:t xml:space="preserve">the </w:t>
      </w:r>
      <w:r w:rsidR="00E24659" w:rsidRPr="00AE141E">
        <w:rPr>
          <w:rFonts w:ascii="Times New Roman" w:hAnsi="Times New Roman" w:cs="Times New Roman"/>
          <w:sz w:val="24"/>
          <w:szCs w:val="24"/>
        </w:rPr>
        <w:t xml:space="preserve">USA and other </w:t>
      </w:r>
      <w:r w:rsidR="00046CA1" w:rsidRPr="00AE141E">
        <w:rPr>
          <w:rFonts w:ascii="Times New Roman" w:hAnsi="Times New Roman" w:cs="Times New Roman"/>
          <w:sz w:val="24"/>
          <w:szCs w:val="24"/>
        </w:rPr>
        <w:t xml:space="preserve">signatories of the Treaty of Versailles </w:t>
      </w:r>
      <w:r w:rsidR="00B15057" w:rsidRPr="00AE141E">
        <w:rPr>
          <w:rFonts w:ascii="Times New Roman" w:hAnsi="Times New Roman" w:cs="Times New Roman"/>
          <w:sz w:val="24"/>
          <w:szCs w:val="24"/>
        </w:rPr>
        <w:t>–</w:t>
      </w:r>
      <w:r w:rsidR="00E24659" w:rsidRPr="00AE141E">
        <w:rPr>
          <w:rFonts w:ascii="Times New Roman" w:hAnsi="Times New Roman" w:cs="Times New Roman"/>
          <w:sz w:val="24"/>
          <w:szCs w:val="24"/>
        </w:rPr>
        <w:t xml:space="preserve"> </w:t>
      </w:r>
      <w:r w:rsidR="00B15057" w:rsidRPr="00AE141E">
        <w:rPr>
          <w:rFonts w:ascii="Times New Roman" w:hAnsi="Times New Roman" w:cs="Times New Roman"/>
          <w:sz w:val="24"/>
          <w:szCs w:val="24"/>
        </w:rPr>
        <w:t>was reproduced in the other two questions.</w:t>
      </w:r>
      <w:r w:rsidR="00703F0B" w:rsidRPr="00AE141E">
        <w:rPr>
          <w:rFonts w:ascii="Times New Roman" w:hAnsi="Times New Roman" w:cs="Times New Roman"/>
          <w:sz w:val="24"/>
          <w:szCs w:val="24"/>
        </w:rPr>
        <w:t xml:space="preserve"> </w:t>
      </w:r>
    </w:p>
    <w:p w14:paraId="3AECC686" w14:textId="55B21001" w:rsidR="00EE41D6" w:rsidRPr="00AE141E" w:rsidRDefault="001D252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Similarly,</w:t>
      </w:r>
      <w:r w:rsidR="005851FF" w:rsidRPr="00AE141E">
        <w:rPr>
          <w:rFonts w:ascii="Times New Roman" w:hAnsi="Times New Roman" w:cs="Times New Roman"/>
          <w:sz w:val="24"/>
          <w:szCs w:val="24"/>
        </w:rPr>
        <w:t xml:space="preserve"> </w:t>
      </w:r>
      <w:r w:rsidR="008230F0" w:rsidRPr="00AE141E">
        <w:rPr>
          <w:rFonts w:ascii="Times New Roman" w:hAnsi="Times New Roman" w:cs="Times New Roman"/>
          <w:i/>
          <w:sz w:val="24"/>
          <w:szCs w:val="24"/>
        </w:rPr>
        <w:t>World Outlook, 1900-1965</w:t>
      </w:r>
      <w:r w:rsidR="0052394C" w:rsidRPr="00AE141E">
        <w:rPr>
          <w:rFonts w:ascii="Times New Roman" w:hAnsi="Times New Roman" w:cs="Times New Roman"/>
          <w:i/>
          <w:sz w:val="24"/>
          <w:szCs w:val="24"/>
        </w:rPr>
        <w:t>: A Study Series</w:t>
      </w:r>
      <w:r w:rsidR="008230F0" w:rsidRPr="00AE141E">
        <w:rPr>
          <w:rFonts w:ascii="Times New Roman" w:hAnsi="Times New Roman" w:cs="Times New Roman"/>
          <w:sz w:val="24"/>
          <w:szCs w:val="24"/>
        </w:rPr>
        <w:t>,</w:t>
      </w:r>
      <w:r w:rsidR="00CE7D04" w:rsidRPr="00AE141E">
        <w:rPr>
          <w:rFonts w:ascii="Times New Roman" w:hAnsi="Times New Roman" w:cs="Times New Roman"/>
          <w:sz w:val="24"/>
          <w:szCs w:val="24"/>
        </w:rPr>
        <w:t xml:space="preserve"> a</w:t>
      </w:r>
      <w:r w:rsidR="00E4466E" w:rsidRPr="00AE141E">
        <w:rPr>
          <w:rFonts w:ascii="Times New Roman" w:hAnsi="Times New Roman" w:cs="Times New Roman"/>
          <w:sz w:val="24"/>
          <w:szCs w:val="24"/>
        </w:rPr>
        <w:t xml:space="preserve"> 1968</w:t>
      </w:r>
      <w:r w:rsidR="00CE7D04" w:rsidRPr="00AE141E">
        <w:rPr>
          <w:rFonts w:ascii="Times New Roman" w:hAnsi="Times New Roman" w:cs="Times New Roman"/>
          <w:sz w:val="24"/>
          <w:szCs w:val="24"/>
        </w:rPr>
        <w:t xml:space="preserve"> world history </w:t>
      </w:r>
      <w:r w:rsidR="005A5337" w:rsidRPr="00AE141E">
        <w:rPr>
          <w:rFonts w:ascii="Times New Roman" w:hAnsi="Times New Roman" w:cs="Times New Roman"/>
          <w:sz w:val="24"/>
          <w:szCs w:val="24"/>
        </w:rPr>
        <w:t>course</w:t>
      </w:r>
      <w:r w:rsidR="008230F0" w:rsidRPr="00AE141E">
        <w:rPr>
          <w:rFonts w:ascii="Times New Roman" w:hAnsi="Times New Roman" w:cs="Times New Roman"/>
          <w:sz w:val="24"/>
          <w:szCs w:val="24"/>
        </w:rPr>
        <w:t xml:space="preserve"> designed for secondary school students</w:t>
      </w:r>
      <w:r w:rsidR="00D93FFC" w:rsidRPr="00AE141E">
        <w:rPr>
          <w:rFonts w:ascii="Times New Roman" w:hAnsi="Times New Roman" w:cs="Times New Roman"/>
          <w:sz w:val="24"/>
          <w:szCs w:val="24"/>
        </w:rPr>
        <w:t xml:space="preserve"> </w:t>
      </w:r>
      <w:r w:rsidR="002D671C" w:rsidRPr="00AE141E">
        <w:rPr>
          <w:rFonts w:ascii="Times New Roman" w:hAnsi="Times New Roman" w:cs="Times New Roman"/>
          <w:sz w:val="24"/>
          <w:szCs w:val="24"/>
        </w:rPr>
        <w:t>preparing for public examinations</w:t>
      </w:r>
      <w:r w:rsidR="000430AE" w:rsidRPr="00AE141E">
        <w:rPr>
          <w:rFonts w:ascii="Times New Roman" w:hAnsi="Times New Roman" w:cs="Times New Roman"/>
          <w:sz w:val="24"/>
          <w:szCs w:val="24"/>
        </w:rPr>
        <w:t xml:space="preserve">, </w:t>
      </w:r>
      <w:r w:rsidR="00A40DFC" w:rsidRPr="00AE141E">
        <w:rPr>
          <w:rFonts w:ascii="Times New Roman" w:hAnsi="Times New Roman" w:cs="Times New Roman"/>
          <w:sz w:val="24"/>
          <w:szCs w:val="24"/>
        </w:rPr>
        <w:t xml:space="preserve">viewed the Second World War exclusively through the prism </w:t>
      </w:r>
      <w:r w:rsidR="00C244BC" w:rsidRPr="00AE141E">
        <w:rPr>
          <w:rFonts w:ascii="Times New Roman" w:hAnsi="Times New Roman" w:cs="Times New Roman"/>
          <w:sz w:val="24"/>
          <w:szCs w:val="24"/>
        </w:rPr>
        <w:t>of</w:t>
      </w:r>
      <w:r w:rsidR="003F157C" w:rsidRPr="00AE141E">
        <w:rPr>
          <w:rFonts w:ascii="Times New Roman" w:hAnsi="Times New Roman" w:cs="Times New Roman"/>
          <w:sz w:val="24"/>
          <w:szCs w:val="24"/>
        </w:rPr>
        <w:t xml:space="preserve"> relations</w:t>
      </w:r>
      <w:r w:rsidR="00C244BC" w:rsidRPr="00AE141E">
        <w:rPr>
          <w:rFonts w:ascii="Times New Roman" w:hAnsi="Times New Roman" w:cs="Times New Roman"/>
          <w:sz w:val="24"/>
          <w:szCs w:val="24"/>
        </w:rPr>
        <w:t xml:space="preserve"> between the ‘world powers’</w:t>
      </w:r>
      <w:r w:rsidR="003F157C" w:rsidRPr="00AE141E">
        <w:rPr>
          <w:rFonts w:ascii="Times New Roman" w:hAnsi="Times New Roman" w:cs="Times New Roman"/>
          <w:sz w:val="24"/>
          <w:szCs w:val="24"/>
        </w:rPr>
        <w:t xml:space="preserve">, with an emphasis on Britain and Germany. Close identification with the war aims of </w:t>
      </w:r>
      <w:r w:rsidR="00B22912" w:rsidRPr="00AE141E">
        <w:rPr>
          <w:rFonts w:ascii="Times New Roman" w:hAnsi="Times New Roman" w:cs="Times New Roman"/>
          <w:sz w:val="24"/>
          <w:szCs w:val="24"/>
        </w:rPr>
        <w:t>the British state</w:t>
      </w:r>
      <w:r w:rsidR="003F157C" w:rsidRPr="00AE141E">
        <w:rPr>
          <w:rFonts w:ascii="Times New Roman" w:hAnsi="Times New Roman" w:cs="Times New Roman"/>
          <w:sz w:val="24"/>
          <w:szCs w:val="24"/>
        </w:rPr>
        <w:t xml:space="preserve"> was encouraged through the </w:t>
      </w:r>
      <w:r w:rsidR="005B14D7" w:rsidRPr="00AE141E">
        <w:rPr>
          <w:rFonts w:ascii="Times New Roman" w:hAnsi="Times New Roman" w:cs="Times New Roman"/>
          <w:sz w:val="24"/>
          <w:szCs w:val="24"/>
        </w:rPr>
        <w:t>calculated use of collective pronoun</w:t>
      </w:r>
      <w:r w:rsidR="009165EF" w:rsidRPr="00AE141E">
        <w:rPr>
          <w:rFonts w:ascii="Times New Roman" w:hAnsi="Times New Roman" w:cs="Times New Roman"/>
          <w:sz w:val="24"/>
          <w:szCs w:val="24"/>
        </w:rPr>
        <w:t xml:space="preserve">s. </w:t>
      </w:r>
      <w:r w:rsidR="0052055D" w:rsidRPr="00AE141E">
        <w:rPr>
          <w:rFonts w:ascii="Times New Roman" w:hAnsi="Times New Roman" w:cs="Times New Roman"/>
          <w:sz w:val="24"/>
          <w:szCs w:val="24"/>
        </w:rPr>
        <w:t>The</w:t>
      </w:r>
      <w:r w:rsidR="009165EF" w:rsidRPr="00AE141E">
        <w:rPr>
          <w:rFonts w:ascii="Times New Roman" w:hAnsi="Times New Roman" w:cs="Times New Roman"/>
          <w:sz w:val="24"/>
          <w:szCs w:val="24"/>
        </w:rPr>
        <w:t xml:space="preserve"> </w:t>
      </w:r>
      <w:r w:rsidR="0052055D" w:rsidRPr="00AE141E">
        <w:rPr>
          <w:rFonts w:ascii="Times New Roman" w:hAnsi="Times New Roman" w:cs="Times New Roman"/>
          <w:sz w:val="24"/>
          <w:szCs w:val="24"/>
        </w:rPr>
        <w:t>German invasion</w:t>
      </w:r>
      <w:r w:rsidR="009165EF" w:rsidRPr="00AE141E">
        <w:rPr>
          <w:rFonts w:ascii="Times New Roman" w:hAnsi="Times New Roman" w:cs="Times New Roman"/>
          <w:sz w:val="24"/>
          <w:szCs w:val="24"/>
        </w:rPr>
        <w:t xml:space="preserve"> of France was described as</w:t>
      </w:r>
      <w:r w:rsidR="0052055D" w:rsidRPr="00AE141E">
        <w:rPr>
          <w:rFonts w:ascii="Times New Roman" w:hAnsi="Times New Roman" w:cs="Times New Roman"/>
          <w:sz w:val="24"/>
          <w:szCs w:val="24"/>
        </w:rPr>
        <w:t xml:space="preserve"> inaugurating</w:t>
      </w:r>
      <w:r w:rsidR="009165EF" w:rsidRPr="00AE141E">
        <w:rPr>
          <w:rFonts w:ascii="Times New Roman" w:hAnsi="Times New Roman" w:cs="Times New Roman"/>
          <w:sz w:val="24"/>
          <w:szCs w:val="24"/>
        </w:rPr>
        <w:t xml:space="preserve"> ‘a grim and bleak time when Britain was alone’</w:t>
      </w:r>
      <w:r w:rsidR="00A20D20" w:rsidRPr="00AE141E">
        <w:rPr>
          <w:rFonts w:ascii="Times New Roman" w:hAnsi="Times New Roman" w:cs="Times New Roman"/>
          <w:sz w:val="24"/>
          <w:szCs w:val="24"/>
        </w:rPr>
        <w:t>.</w:t>
      </w:r>
      <w:r w:rsidR="00C71197" w:rsidRPr="00AE141E">
        <w:rPr>
          <w:rStyle w:val="FootnoteReference"/>
          <w:rFonts w:ascii="Times New Roman" w:hAnsi="Times New Roman" w:cs="Times New Roman"/>
          <w:sz w:val="24"/>
          <w:szCs w:val="24"/>
        </w:rPr>
        <w:footnoteReference w:id="309"/>
      </w:r>
      <w:r w:rsidR="00A20D20" w:rsidRPr="00AE141E">
        <w:rPr>
          <w:rFonts w:ascii="Times New Roman" w:hAnsi="Times New Roman" w:cs="Times New Roman"/>
          <w:sz w:val="24"/>
          <w:szCs w:val="24"/>
        </w:rPr>
        <w:t xml:space="preserve"> </w:t>
      </w:r>
      <w:r w:rsidR="00A20D20" w:rsidRPr="00AE141E">
        <w:rPr>
          <w:rFonts w:ascii="Times New Roman" w:hAnsi="Times New Roman" w:cs="Times New Roman"/>
          <w:sz w:val="24"/>
          <w:szCs w:val="24"/>
        </w:rPr>
        <w:lastRenderedPageBreak/>
        <w:t>Redemption, however, was quick to arrive: ‘fortunately for us’, students were informed, ‘Hitler was having trouble with his own allies’.</w:t>
      </w:r>
      <w:r w:rsidR="00A90610" w:rsidRPr="00AE141E">
        <w:rPr>
          <w:rFonts w:ascii="Times New Roman" w:hAnsi="Times New Roman" w:cs="Times New Roman"/>
          <w:sz w:val="24"/>
          <w:szCs w:val="24"/>
        </w:rPr>
        <w:t xml:space="preserve"> </w:t>
      </w:r>
      <w:r w:rsidR="00980B2C" w:rsidRPr="00AE141E">
        <w:rPr>
          <w:rFonts w:ascii="Times New Roman" w:hAnsi="Times New Roman" w:cs="Times New Roman"/>
          <w:sz w:val="24"/>
          <w:szCs w:val="24"/>
        </w:rPr>
        <w:t xml:space="preserve">Such statements </w:t>
      </w:r>
      <w:r w:rsidR="000F5D7D" w:rsidRPr="00AE141E">
        <w:rPr>
          <w:rFonts w:ascii="Times New Roman" w:hAnsi="Times New Roman" w:cs="Times New Roman"/>
          <w:sz w:val="24"/>
          <w:szCs w:val="24"/>
        </w:rPr>
        <w:t>encouraged</w:t>
      </w:r>
      <w:r w:rsidR="00980B2C" w:rsidRPr="00AE141E">
        <w:rPr>
          <w:rFonts w:ascii="Times New Roman" w:hAnsi="Times New Roman" w:cs="Times New Roman"/>
          <w:sz w:val="24"/>
          <w:szCs w:val="24"/>
        </w:rPr>
        <w:t xml:space="preserve"> readers </w:t>
      </w:r>
      <w:r w:rsidR="000F5D7D" w:rsidRPr="00AE141E">
        <w:rPr>
          <w:rFonts w:ascii="Times New Roman" w:hAnsi="Times New Roman" w:cs="Times New Roman"/>
          <w:sz w:val="24"/>
          <w:szCs w:val="24"/>
        </w:rPr>
        <w:t xml:space="preserve">to identify </w:t>
      </w:r>
      <w:r w:rsidR="002A22F5" w:rsidRPr="00AE141E">
        <w:rPr>
          <w:rFonts w:ascii="Times New Roman" w:hAnsi="Times New Roman" w:cs="Times New Roman"/>
          <w:sz w:val="24"/>
          <w:szCs w:val="24"/>
        </w:rPr>
        <w:t xml:space="preserve">themselves with a </w:t>
      </w:r>
      <w:r w:rsidR="00163037" w:rsidRPr="00AE141E">
        <w:rPr>
          <w:rFonts w:ascii="Times New Roman" w:hAnsi="Times New Roman" w:cs="Times New Roman"/>
          <w:sz w:val="24"/>
          <w:szCs w:val="24"/>
        </w:rPr>
        <w:t>narrowly defined, threatened national community (‘little England’).</w:t>
      </w:r>
      <w:r w:rsidR="000F5D7D" w:rsidRPr="00AE141E">
        <w:rPr>
          <w:rFonts w:ascii="Times New Roman" w:hAnsi="Times New Roman" w:cs="Times New Roman"/>
          <w:sz w:val="24"/>
          <w:szCs w:val="24"/>
        </w:rPr>
        <w:t xml:space="preserve"> </w:t>
      </w:r>
      <w:r w:rsidR="00163037" w:rsidRPr="00AE141E">
        <w:rPr>
          <w:rFonts w:ascii="Times New Roman" w:hAnsi="Times New Roman" w:cs="Times New Roman"/>
          <w:sz w:val="24"/>
          <w:szCs w:val="24"/>
        </w:rPr>
        <w:t xml:space="preserve">They also </w:t>
      </w:r>
      <w:r w:rsidR="008E2CF1" w:rsidRPr="00AE141E">
        <w:rPr>
          <w:rFonts w:ascii="Times New Roman" w:hAnsi="Times New Roman" w:cs="Times New Roman"/>
          <w:sz w:val="24"/>
          <w:szCs w:val="24"/>
        </w:rPr>
        <w:t>eras</w:t>
      </w:r>
      <w:r w:rsidR="00163037" w:rsidRPr="00AE141E">
        <w:rPr>
          <w:rFonts w:ascii="Times New Roman" w:hAnsi="Times New Roman" w:cs="Times New Roman"/>
          <w:sz w:val="24"/>
          <w:szCs w:val="24"/>
        </w:rPr>
        <w:t>ed</w:t>
      </w:r>
      <w:r w:rsidR="008E2CF1" w:rsidRPr="00AE141E">
        <w:rPr>
          <w:rFonts w:ascii="Times New Roman" w:hAnsi="Times New Roman" w:cs="Times New Roman"/>
          <w:sz w:val="24"/>
          <w:szCs w:val="24"/>
        </w:rPr>
        <w:t xml:space="preserve"> the</w:t>
      </w:r>
      <w:r w:rsidR="00175755" w:rsidRPr="00AE141E">
        <w:rPr>
          <w:rFonts w:ascii="Times New Roman" w:hAnsi="Times New Roman" w:cs="Times New Roman"/>
          <w:sz w:val="24"/>
          <w:szCs w:val="24"/>
        </w:rPr>
        <w:t xml:space="preserve"> contributions of the British empire</w:t>
      </w:r>
      <w:r w:rsidR="004218E9" w:rsidRPr="00AE141E">
        <w:rPr>
          <w:rFonts w:ascii="Times New Roman" w:hAnsi="Times New Roman" w:cs="Times New Roman"/>
          <w:sz w:val="24"/>
          <w:szCs w:val="24"/>
        </w:rPr>
        <w:t xml:space="preserve"> </w:t>
      </w:r>
      <w:r w:rsidR="00175755" w:rsidRPr="00AE141E">
        <w:rPr>
          <w:rFonts w:ascii="Times New Roman" w:hAnsi="Times New Roman" w:cs="Times New Roman"/>
          <w:sz w:val="24"/>
          <w:szCs w:val="24"/>
        </w:rPr>
        <w:t>and the imperial dimensions of the conflict itself</w:t>
      </w:r>
      <w:r w:rsidR="00EA42EA" w:rsidRPr="00AE141E">
        <w:rPr>
          <w:rFonts w:ascii="Times New Roman" w:hAnsi="Times New Roman" w:cs="Times New Roman"/>
          <w:sz w:val="24"/>
          <w:szCs w:val="24"/>
        </w:rPr>
        <w:t>.</w:t>
      </w:r>
      <w:r w:rsidR="004218E9" w:rsidRPr="00AE141E">
        <w:rPr>
          <w:rStyle w:val="FootnoteReference"/>
          <w:rFonts w:ascii="Times New Roman" w:hAnsi="Times New Roman" w:cs="Times New Roman"/>
          <w:sz w:val="24"/>
          <w:szCs w:val="24"/>
        </w:rPr>
        <w:footnoteReference w:id="310"/>
      </w:r>
      <w:r w:rsidR="00980147" w:rsidRPr="00AE141E">
        <w:rPr>
          <w:rFonts w:ascii="Times New Roman" w:hAnsi="Times New Roman" w:cs="Times New Roman"/>
          <w:sz w:val="24"/>
          <w:szCs w:val="24"/>
        </w:rPr>
        <w:t xml:space="preserve"> In a section on ‘World Strategy’, </w:t>
      </w:r>
      <w:r w:rsidR="00104F8E" w:rsidRPr="00AE141E">
        <w:rPr>
          <w:rFonts w:ascii="Times New Roman" w:hAnsi="Times New Roman" w:cs="Times New Roman"/>
          <w:sz w:val="24"/>
          <w:szCs w:val="24"/>
        </w:rPr>
        <w:t xml:space="preserve">focus was broadened beyond the European theatre of war to acknowledge </w:t>
      </w:r>
      <w:r w:rsidR="005E2019" w:rsidRPr="00AE141E">
        <w:rPr>
          <w:rFonts w:ascii="Times New Roman" w:hAnsi="Times New Roman" w:cs="Times New Roman"/>
          <w:sz w:val="24"/>
          <w:szCs w:val="24"/>
        </w:rPr>
        <w:t>the impact upon Asia.</w:t>
      </w:r>
      <w:r w:rsidR="001669E4">
        <w:rPr>
          <w:rStyle w:val="FootnoteReference"/>
          <w:rFonts w:ascii="Times New Roman" w:hAnsi="Times New Roman" w:cs="Times New Roman"/>
          <w:sz w:val="24"/>
          <w:szCs w:val="24"/>
        </w:rPr>
        <w:footnoteReference w:id="311"/>
      </w:r>
      <w:r w:rsidR="005E2019" w:rsidRPr="00AE141E">
        <w:rPr>
          <w:rFonts w:ascii="Times New Roman" w:hAnsi="Times New Roman" w:cs="Times New Roman"/>
          <w:sz w:val="24"/>
          <w:szCs w:val="24"/>
        </w:rPr>
        <w:t xml:space="preserve"> </w:t>
      </w:r>
      <w:r w:rsidR="00BD429C" w:rsidRPr="00AE141E">
        <w:rPr>
          <w:rFonts w:ascii="Times New Roman" w:hAnsi="Times New Roman" w:cs="Times New Roman"/>
          <w:sz w:val="24"/>
          <w:szCs w:val="24"/>
        </w:rPr>
        <w:t>Nevertheless, this was narrated exclusively from the perspective</w:t>
      </w:r>
      <w:r w:rsidR="002D27D7" w:rsidRPr="00AE141E">
        <w:rPr>
          <w:rFonts w:ascii="Times New Roman" w:hAnsi="Times New Roman" w:cs="Times New Roman"/>
          <w:sz w:val="24"/>
          <w:szCs w:val="24"/>
        </w:rPr>
        <w:t xml:space="preserve"> of the USA, the USSR, and – most importantly – the United Kingdom.</w:t>
      </w:r>
      <w:r w:rsidR="00334328" w:rsidRPr="00AE141E">
        <w:rPr>
          <w:rFonts w:ascii="Times New Roman" w:hAnsi="Times New Roman" w:cs="Times New Roman"/>
          <w:sz w:val="24"/>
          <w:szCs w:val="24"/>
        </w:rPr>
        <w:t xml:space="preserve"> </w:t>
      </w:r>
      <w:r w:rsidR="00F41E9F" w:rsidRPr="00AE141E">
        <w:rPr>
          <w:rFonts w:ascii="Times New Roman" w:hAnsi="Times New Roman" w:cs="Times New Roman"/>
          <w:sz w:val="24"/>
          <w:szCs w:val="24"/>
        </w:rPr>
        <w:t xml:space="preserve">Rather than being seen as historical actors in their own right, Australia and India were presented as ‘threatened and </w:t>
      </w:r>
      <w:r w:rsidR="00BE27DF" w:rsidRPr="00AE141E">
        <w:rPr>
          <w:rFonts w:ascii="Times New Roman" w:hAnsi="Times New Roman" w:cs="Times New Roman"/>
          <w:sz w:val="24"/>
          <w:szCs w:val="24"/>
        </w:rPr>
        <w:t>defenceless</w:t>
      </w:r>
      <w:r w:rsidR="00F07EDA" w:rsidRPr="00AE141E">
        <w:rPr>
          <w:rFonts w:ascii="Times New Roman" w:hAnsi="Times New Roman" w:cs="Times New Roman"/>
          <w:sz w:val="24"/>
          <w:szCs w:val="24"/>
        </w:rPr>
        <w:t>’, awaiting Churchill’s decision to ‘save’ them</w:t>
      </w:r>
      <w:r w:rsidR="00BE27DF" w:rsidRPr="00AE141E">
        <w:rPr>
          <w:rFonts w:ascii="Times New Roman" w:hAnsi="Times New Roman" w:cs="Times New Roman"/>
          <w:sz w:val="24"/>
          <w:szCs w:val="24"/>
        </w:rPr>
        <w:t xml:space="preserve"> from the encroachments of the Japanese army.</w:t>
      </w:r>
    </w:p>
    <w:p w14:paraId="7F58098D" w14:textId="045B4804" w:rsidR="005F2E5E" w:rsidRPr="00AE141E" w:rsidRDefault="00D91C00" w:rsidP="00AE141E">
      <w:pPr>
        <w:spacing w:line="360" w:lineRule="auto"/>
        <w:rPr>
          <w:rFonts w:ascii="Times New Roman" w:hAnsi="Times New Roman" w:cs="Times New Roman"/>
          <w:i/>
          <w:iCs/>
          <w:sz w:val="24"/>
          <w:szCs w:val="24"/>
        </w:rPr>
      </w:pPr>
      <w:r w:rsidRPr="00AE141E">
        <w:rPr>
          <w:rFonts w:ascii="Times New Roman" w:hAnsi="Times New Roman" w:cs="Times New Roman"/>
          <w:sz w:val="24"/>
          <w:szCs w:val="24"/>
        </w:rPr>
        <w:t>Of countries which were not commonly considered ‘great powers’, Israel was unique in occupying its own section of the</w:t>
      </w:r>
      <w:r w:rsidR="00BB1698" w:rsidRPr="00AE141E">
        <w:rPr>
          <w:rFonts w:ascii="Times New Roman" w:hAnsi="Times New Roman" w:cs="Times New Roman"/>
          <w:sz w:val="24"/>
          <w:szCs w:val="24"/>
        </w:rPr>
        <w:t xml:space="preserve"> 1965 special</w:t>
      </w:r>
      <w:r w:rsidRPr="00AE141E">
        <w:rPr>
          <w:rFonts w:ascii="Times New Roman" w:hAnsi="Times New Roman" w:cs="Times New Roman"/>
          <w:sz w:val="24"/>
          <w:szCs w:val="24"/>
        </w:rPr>
        <w:t xml:space="preserve"> syllabus. This section, entitled ‘the Zionist movement and the emergence and development of Israel’, was perhaps included because of its pertinence to </w:t>
      </w:r>
      <w:r w:rsidR="00F3684F" w:rsidRPr="00AE141E">
        <w:rPr>
          <w:rFonts w:ascii="Times New Roman" w:hAnsi="Times New Roman" w:cs="Times New Roman"/>
          <w:sz w:val="24"/>
          <w:szCs w:val="24"/>
        </w:rPr>
        <w:t xml:space="preserve">contemporary </w:t>
      </w:r>
      <w:r w:rsidRPr="00AE141E">
        <w:rPr>
          <w:rFonts w:ascii="Times New Roman" w:hAnsi="Times New Roman" w:cs="Times New Roman"/>
          <w:sz w:val="24"/>
          <w:szCs w:val="24"/>
        </w:rPr>
        <w:t>international relations.</w:t>
      </w:r>
      <w:r w:rsidRPr="00AE141E">
        <w:rPr>
          <w:rStyle w:val="FootnoteReference"/>
          <w:rFonts w:ascii="Times New Roman" w:hAnsi="Times New Roman" w:cs="Times New Roman"/>
          <w:sz w:val="24"/>
          <w:szCs w:val="24"/>
        </w:rPr>
        <w:footnoteReference w:id="312"/>
      </w:r>
      <w:r w:rsidRPr="00AE141E">
        <w:rPr>
          <w:rFonts w:ascii="Times New Roman" w:hAnsi="Times New Roman" w:cs="Times New Roman"/>
          <w:sz w:val="24"/>
          <w:szCs w:val="24"/>
        </w:rPr>
        <w:t xml:space="preserve"> The voices of Palestinians were notably silent.</w:t>
      </w:r>
      <w:r w:rsidR="00CC02FE" w:rsidRPr="00AE141E">
        <w:rPr>
          <w:rStyle w:val="FootnoteReference"/>
          <w:rFonts w:ascii="Times New Roman" w:hAnsi="Times New Roman" w:cs="Times New Roman"/>
          <w:sz w:val="24"/>
          <w:szCs w:val="24"/>
        </w:rPr>
        <w:footnoteReference w:id="313"/>
      </w:r>
      <w:r w:rsidRPr="00AE141E">
        <w:rPr>
          <w:rFonts w:ascii="Times New Roman" w:hAnsi="Times New Roman" w:cs="Times New Roman"/>
          <w:sz w:val="24"/>
          <w:szCs w:val="24"/>
        </w:rPr>
        <w:t xml:space="preserve"> The syllabus </w:t>
      </w:r>
      <w:r w:rsidR="005F2E5E" w:rsidRPr="00AE141E">
        <w:rPr>
          <w:rFonts w:ascii="Times New Roman" w:hAnsi="Times New Roman" w:cs="Times New Roman"/>
          <w:sz w:val="24"/>
          <w:szCs w:val="24"/>
        </w:rPr>
        <w:t xml:space="preserve">also </w:t>
      </w:r>
      <w:r w:rsidRPr="00AE141E">
        <w:rPr>
          <w:rFonts w:ascii="Times New Roman" w:hAnsi="Times New Roman" w:cs="Times New Roman"/>
          <w:sz w:val="24"/>
          <w:szCs w:val="24"/>
        </w:rPr>
        <w:t xml:space="preserve">mandated the study of </w:t>
      </w:r>
    </w:p>
    <w:p w14:paraId="39CB4E4F" w14:textId="14584558" w:rsidR="005F2E5E" w:rsidRPr="00AE141E" w:rsidRDefault="00D91C00"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political economics and social problems and developments in Latin America </w:t>
      </w:r>
      <w:r w:rsidRPr="00AE141E">
        <w:rPr>
          <w:rFonts w:ascii="Times New Roman" w:hAnsi="Times New Roman" w:cs="Times New Roman"/>
          <w:i/>
          <w:sz w:val="24"/>
          <w:szCs w:val="24"/>
        </w:rPr>
        <w:t xml:space="preserve">or </w:t>
      </w:r>
      <w:r w:rsidRPr="00AE141E">
        <w:rPr>
          <w:rFonts w:ascii="Times New Roman" w:hAnsi="Times New Roman" w:cs="Times New Roman"/>
          <w:sz w:val="24"/>
          <w:szCs w:val="24"/>
        </w:rPr>
        <w:t xml:space="preserve">Africa </w:t>
      </w:r>
      <w:r w:rsidRPr="00AE141E">
        <w:rPr>
          <w:rFonts w:ascii="Times New Roman" w:hAnsi="Times New Roman" w:cs="Times New Roman"/>
          <w:i/>
          <w:sz w:val="24"/>
          <w:szCs w:val="24"/>
        </w:rPr>
        <w:t xml:space="preserve">or </w:t>
      </w:r>
      <w:r w:rsidRPr="00AE141E">
        <w:rPr>
          <w:rFonts w:ascii="Times New Roman" w:hAnsi="Times New Roman" w:cs="Times New Roman"/>
          <w:sz w:val="24"/>
          <w:szCs w:val="24"/>
        </w:rPr>
        <w:t xml:space="preserve">the Middle East </w:t>
      </w:r>
      <w:r w:rsidRPr="00AE141E">
        <w:rPr>
          <w:rFonts w:ascii="Times New Roman" w:hAnsi="Times New Roman" w:cs="Times New Roman"/>
          <w:i/>
          <w:sz w:val="24"/>
          <w:szCs w:val="24"/>
        </w:rPr>
        <w:t xml:space="preserve">or </w:t>
      </w:r>
      <w:r w:rsidRPr="00AE141E">
        <w:rPr>
          <w:rFonts w:ascii="Times New Roman" w:hAnsi="Times New Roman" w:cs="Times New Roman"/>
          <w:sz w:val="24"/>
          <w:szCs w:val="24"/>
        </w:rPr>
        <w:t xml:space="preserve">the Far East illustrated by particular reference to any one country or area (excluding Commonwealth and Ex-Commonwealth countries) </w:t>
      </w:r>
      <w:r w:rsidR="003741D5" w:rsidRPr="00AE141E">
        <w:rPr>
          <w:rFonts w:ascii="Times New Roman" w:hAnsi="Times New Roman" w:cs="Times New Roman"/>
          <w:sz w:val="24"/>
          <w:szCs w:val="24"/>
        </w:rPr>
        <w:t xml:space="preserve">studied in detail </w:t>
      </w:r>
      <w:r w:rsidRPr="00AE141E">
        <w:rPr>
          <w:rFonts w:ascii="Times New Roman" w:hAnsi="Times New Roman" w:cs="Times New Roman"/>
          <w:sz w:val="24"/>
          <w:szCs w:val="24"/>
        </w:rPr>
        <w:t>[emphasis in original].</w:t>
      </w:r>
      <w:r w:rsidRPr="00AE141E">
        <w:rPr>
          <w:rStyle w:val="FootnoteReference"/>
          <w:rFonts w:ascii="Times New Roman" w:hAnsi="Times New Roman" w:cs="Times New Roman"/>
          <w:sz w:val="24"/>
          <w:szCs w:val="24"/>
        </w:rPr>
        <w:footnoteReference w:id="314"/>
      </w:r>
      <w:r w:rsidRPr="00AE141E">
        <w:rPr>
          <w:rFonts w:ascii="Times New Roman" w:hAnsi="Times New Roman" w:cs="Times New Roman"/>
          <w:sz w:val="24"/>
          <w:szCs w:val="24"/>
        </w:rPr>
        <w:t xml:space="preserve">  </w:t>
      </w:r>
    </w:p>
    <w:p w14:paraId="05ABB8A7" w14:textId="6764AB91" w:rsidR="00C77BA2" w:rsidRPr="00AE141E" w:rsidRDefault="00857BA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By disallowing the study of ‘Commonwealth and Ex-Commonwealth countries’</w:t>
      </w:r>
      <w:r w:rsidR="003F792F" w:rsidRPr="00AE141E">
        <w:rPr>
          <w:rFonts w:ascii="Times New Roman" w:hAnsi="Times New Roman" w:cs="Times New Roman"/>
          <w:sz w:val="24"/>
          <w:szCs w:val="24"/>
        </w:rPr>
        <w:t>,</w:t>
      </w:r>
      <w:r w:rsidRPr="00AE141E">
        <w:rPr>
          <w:rFonts w:ascii="Times New Roman" w:hAnsi="Times New Roman" w:cs="Times New Roman"/>
          <w:sz w:val="24"/>
          <w:szCs w:val="24"/>
        </w:rPr>
        <w:t xml:space="preserve"> the </w:t>
      </w:r>
      <w:r w:rsidR="00031DC6" w:rsidRPr="00AE141E">
        <w:rPr>
          <w:rFonts w:ascii="Times New Roman" w:hAnsi="Times New Roman" w:cs="Times New Roman"/>
          <w:sz w:val="24"/>
          <w:szCs w:val="24"/>
        </w:rPr>
        <w:t>B</w:t>
      </w:r>
      <w:r w:rsidRPr="00AE141E">
        <w:rPr>
          <w:rFonts w:ascii="Times New Roman" w:hAnsi="Times New Roman" w:cs="Times New Roman"/>
          <w:sz w:val="24"/>
          <w:szCs w:val="24"/>
        </w:rPr>
        <w:t>oard discouraged</w:t>
      </w:r>
      <w:r w:rsidR="003F792F" w:rsidRPr="00AE141E">
        <w:rPr>
          <w:rFonts w:ascii="Times New Roman" w:hAnsi="Times New Roman" w:cs="Times New Roman"/>
          <w:sz w:val="24"/>
          <w:szCs w:val="24"/>
        </w:rPr>
        <w:t xml:space="preserve"> explicit acknowledgement of </w:t>
      </w:r>
      <w:r w:rsidR="008A0DAE" w:rsidRPr="00AE141E">
        <w:rPr>
          <w:rFonts w:ascii="Times New Roman" w:hAnsi="Times New Roman" w:cs="Times New Roman"/>
          <w:sz w:val="24"/>
          <w:szCs w:val="24"/>
        </w:rPr>
        <w:t>Britain’s colonial past</w:t>
      </w:r>
      <w:r w:rsidR="00995DDB" w:rsidRPr="00AE141E">
        <w:rPr>
          <w:rFonts w:ascii="Times New Roman" w:hAnsi="Times New Roman" w:cs="Times New Roman"/>
          <w:sz w:val="24"/>
          <w:szCs w:val="24"/>
        </w:rPr>
        <w:t xml:space="preserve"> under the rubric of world history</w:t>
      </w:r>
      <w:r w:rsidRPr="00AE141E">
        <w:rPr>
          <w:rFonts w:ascii="Times New Roman" w:hAnsi="Times New Roman" w:cs="Times New Roman"/>
          <w:sz w:val="24"/>
          <w:szCs w:val="24"/>
        </w:rPr>
        <w:t>.</w:t>
      </w:r>
      <w:r w:rsidR="00081E57" w:rsidRPr="00AE141E">
        <w:rPr>
          <w:rFonts w:ascii="Times New Roman" w:hAnsi="Times New Roman" w:cs="Times New Roman"/>
          <w:sz w:val="24"/>
          <w:szCs w:val="24"/>
        </w:rPr>
        <w:t xml:space="preserve"> </w:t>
      </w:r>
      <w:r w:rsidR="001D235A" w:rsidRPr="00AE141E">
        <w:rPr>
          <w:rFonts w:ascii="Times New Roman" w:hAnsi="Times New Roman" w:cs="Times New Roman"/>
          <w:sz w:val="24"/>
          <w:szCs w:val="24"/>
        </w:rPr>
        <w:t>The exclusion of</w:t>
      </w:r>
      <w:r w:rsidR="00D07BC2" w:rsidRPr="00AE141E">
        <w:rPr>
          <w:rFonts w:ascii="Times New Roman" w:hAnsi="Times New Roman" w:cs="Times New Roman"/>
          <w:sz w:val="24"/>
          <w:szCs w:val="24"/>
        </w:rPr>
        <w:t xml:space="preserve"> the </w:t>
      </w:r>
      <w:r w:rsidR="001D235A" w:rsidRPr="00AE141E">
        <w:rPr>
          <w:rFonts w:ascii="Times New Roman" w:hAnsi="Times New Roman" w:cs="Times New Roman"/>
          <w:sz w:val="24"/>
          <w:szCs w:val="24"/>
        </w:rPr>
        <w:t xml:space="preserve">colonial </w:t>
      </w:r>
      <w:r w:rsidR="00D07BC2" w:rsidRPr="00AE141E">
        <w:rPr>
          <w:rFonts w:ascii="Times New Roman" w:hAnsi="Times New Roman" w:cs="Times New Roman"/>
          <w:sz w:val="24"/>
          <w:szCs w:val="24"/>
        </w:rPr>
        <w:t>past</w:t>
      </w:r>
      <w:r w:rsidR="005044F6">
        <w:rPr>
          <w:rFonts w:ascii="Times New Roman" w:hAnsi="Times New Roman" w:cs="Times New Roman"/>
          <w:sz w:val="24"/>
          <w:szCs w:val="24"/>
        </w:rPr>
        <w:t xml:space="preserve"> was </w:t>
      </w:r>
      <w:r w:rsidR="002877CF" w:rsidRPr="00AE141E">
        <w:rPr>
          <w:rFonts w:ascii="Times New Roman" w:hAnsi="Times New Roman" w:cs="Times New Roman"/>
          <w:sz w:val="24"/>
          <w:szCs w:val="24"/>
        </w:rPr>
        <w:t xml:space="preserve">likely a product of </w:t>
      </w:r>
      <w:r w:rsidR="0073211D" w:rsidRPr="00AE141E">
        <w:rPr>
          <w:rFonts w:ascii="Times New Roman" w:hAnsi="Times New Roman" w:cs="Times New Roman"/>
          <w:sz w:val="24"/>
          <w:szCs w:val="24"/>
        </w:rPr>
        <w:t>the old system of including ‘imperial and Commonwealth’ history as a self-contained paper</w:t>
      </w:r>
      <w:r w:rsidR="00033F22">
        <w:rPr>
          <w:rFonts w:ascii="Times New Roman" w:hAnsi="Times New Roman" w:cs="Times New Roman"/>
          <w:sz w:val="24"/>
          <w:szCs w:val="24"/>
        </w:rPr>
        <w:t xml:space="preserve">. It may also have spoken to a </w:t>
      </w:r>
      <w:r w:rsidR="00033F22">
        <w:rPr>
          <w:rFonts w:ascii="Times New Roman" w:hAnsi="Times New Roman" w:cs="Times New Roman"/>
          <w:sz w:val="24"/>
          <w:szCs w:val="24"/>
        </w:rPr>
        <w:lastRenderedPageBreak/>
        <w:t>desire to</w:t>
      </w:r>
      <w:r w:rsidR="00983AAC">
        <w:rPr>
          <w:rFonts w:ascii="Times New Roman" w:hAnsi="Times New Roman" w:cs="Times New Roman"/>
          <w:sz w:val="24"/>
          <w:szCs w:val="24"/>
        </w:rPr>
        <w:t xml:space="preserve"> divest </w:t>
      </w:r>
      <w:r w:rsidR="00353F43">
        <w:rPr>
          <w:rFonts w:ascii="Times New Roman" w:hAnsi="Times New Roman" w:cs="Times New Roman"/>
          <w:sz w:val="24"/>
          <w:szCs w:val="24"/>
        </w:rPr>
        <w:t xml:space="preserve">world history – </w:t>
      </w:r>
      <w:r w:rsidR="00CF4222">
        <w:rPr>
          <w:rFonts w:ascii="Times New Roman" w:hAnsi="Times New Roman" w:cs="Times New Roman"/>
          <w:sz w:val="24"/>
          <w:szCs w:val="24"/>
        </w:rPr>
        <w:t>as an</w:t>
      </w:r>
      <w:r w:rsidR="00353F43">
        <w:rPr>
          <w:rFonts w:ascii="Times New Roman" w:hAnsi="Times New Roman" w:cs="Times New Roman"/>
          <w:sz w:val="24"/>
          <w:szCs w:val="24"/>
        </w:rPr>
        <w:t xml:space="preserve"> </w:t>
      </w:r>
      <w:r w:rsidR="00B92B86">
        <w:rPr>
          <w:rFonts w:ascii="Times New Roman" w:hAnsi="Times New Roman" w:cs="Times New Roman"/>
          <w:sz w:val="24"/>
          <w:szCs w:val="24"/>
        </w:rPr>
        <w:t>alternative and rival</w:t>
      </w:r>
      <w:r w:rsidR="00CF4222">
        <w:rPr>
          <w:rFonts w:ascii="Times New Roman" w:hAnsi="Times New Roman" w:cs="Times New Roman"/>
          <w:sz w:val="24"/>
          <w:szCs w:val="24"/>
        </w:rPr>
        <w:t xml:space="preserve"> to the </w:t>
      </w:r>
      <w:r w:rsidR="00CF4222" w:rsidRPr="00AE141E">
        <w:rPr>
          <w:rFonts w:ascii="Times New Roman" w:hAnsi="Times New Roman" w:cs="Times New Roman"/>
          <w:sz w:val="24"/>
          <w:szCs w:val="24"/>
        </w:rPr>
        <w:t xml:space="preserve">‘imperial and Commonwealth’ history </w:t>
      </w:r>
      <w:r w:rsidR="00CF4222">
        <w:rPr>
          <w:rFonts w:ascii="Times New Roman" w:hAnsi="Times New Roman" w:cs="Times New Roman"/>
          <w:sz w:val="24"/>
          <w:szCs w:val="24"/>
        </w:rPr>
        <w:t xml:space="preserve">paper </w:t>
      </w:r>
      <w:r w:rsidR="00B92B86">
        <w:rPr>
          <w:rFonts w:ascii="Times New Roman" w:hAnsi="Times New Roman" w:cs="Times New Roman"/>
          <w:sz w:val="24"/>
          <w:szCs w:val="24"/>
        </w:rPr>
        <w:t>– of the imperial</w:t>
      </w:r>
      <w:r w:rsidR="00B92B86" w:rsidRPr="00B92B86">
        <w:rPr>
          <w:rFonts w:ascii="Times New Roman" w:hAnsi="Times New Roman" w:cs="Times New Roman"/>
          <w:i/>
          <w:iCs/>
          <w:sz w:val="24"/>
          <w:szCs w:val="24"/>
        </w:rPr>
        <w:t>ist</w:t>
      </w:r>
      <w:r w:rsidR="00033F22">
        <w:rPr>
          <w:rFonts w:ascii="Times New Roman" w:hAnsi="Times New Roman" w:cs="Times New Roman"/>
          <w:sz w:val="24"/>
          <w:szCs w:val="24"/>
        </w:rPr>
        <w:t xml:space="preserve"> </w:t>
      </w:r>
      <w:r w:rsidR="007F0829">
        <w:rPr>
          <w:rFonts w:ascii="Times New Roman" w:hAnsi="Times New Roman" w:cs="Times New Roman"/>
          <w:sz w:val="24"/>
          <w:szCs w:val="24"/>
        </w:rPr>
        <w:t>associations</w:t>
      </w:r>
      <w:r w:rsidR="00B92B86">
        <w:rPr>
          <w:rFonts w:ascii="Times New Roman" w:hAnsi="Times New Roman" w:cs="Times New Roman"/>
          <w:sz w:val="24"/>
          <w:szCs w:val="24"/>
        </w:rPr>
        <w:t xml:space="preserve"> </w:t>
      </w:r>
      <w:r w:rsidR="007F0829">
        <w:rPr>
          <w:rFonts w:ascii="Times New Roman" w:hAnsi="Times New Roman" w:cs="Times New Roman"/>
          <w:sz w:val="24"/>
          <w:szCs w:val="24"/>
        </w:rPr>
        <w:t>o</w:t>
      </w:r>
      <w:r w:rsidR="00B92B86">
        <w:rPr>
          <w:rFonts w:ascii="Times New Roman" w:hAnsi="Times New Roman" w:cs="Times New Roman"/>
          <w:sz w:val="24"/>
          <w:szCs w:val="24"/>
        </w:rPr>
        <w:t xml:space="preserve">f </w:t>
      </w:r>
      <w:r w:rsidR="007F0829">
        <w:rPr>
          <w:rFonts w:ascii="Times New Roman" w:hAnsi="Times New Roman" w:cs="Times New Roman"/>
          <w:sz w:val="24"/>
          <w:szCs w:val="24"/>
        </w:rPr>
        <w:t xml:space="preserve">imperial history. </w:t>
      </w:r>
      <w:r w:rsidR="005044F6">
        <w:rPr>
          <w:rFonts w:ascii="Times New Roman" w:hAnsi="Times New Roman" w:cs="Times New Roman"/>
          <w:sz w:val="24"/>
          <w:szCs w:val="24"/>
        </w:rPr>
        <w:t>Gi</w:t>
      </w:r>
      <w:r w:rsidR="00F441EB" w:rsidRPr="00AE141E">
        <w:rPr>
          <w:rFonts w:ascii="Times New Roman" w:hAnsi="Times New Roman" w:cs="Times New Roman"/>
          <w:sz w:val="24"/>
          <w:szCs w:val="24"/>
        </w:rPr>
        <w:t>ven the</w:t>
      </w:r>
      <w:r w:rsidR="006E0C02" w:rsidRPr="00AE141E">
        <w:rPr>
          <w:rFonts w:ascii="Times New Roman" w:hAnsi="Times New Roman" w:cs="Times New Roman"/>
          <w:sz w:val="24"/>
          <w:szCs w:val="24"/>
        </w:rPr>
        <w:t xml:space="preserve"> terminal decline in candidate numbers </w:t>
      </w:r>
      <w:r w:rsidR="008C17D9" w:rsidRPr="00AE141E">
        <w:rPr>
          <w:rFonts w:ascii="Times New Roman" w:hAnsi="Times New Roman" w:cs="Times New Roman"/>
          <w:sz w:val="24"/>
          <w:szCs w:val="24"/>
        </w:rPr>
        <w:t>for courses in ‘imperial and Commonwealth’ history,</w:t>
      </w:r>
      <w:r w:rsidR="00EF0091" w:rsidRPr="00AE141E">
        <w:rPr>
          <w:rFonts w:ascii="Times New Roman" w:hAnsi="Times New Roman" w:cs="Times New Roman"/>
          <w:sz w:val="24"/>
          <w:szCs w:val="24"/>
        </w:rPr>
        <w:t xml:space="preserve"> </w:t>
      </w:r>
      <w:r w:rsidR="00FF40AA" w:rsidRPr="00AE141E">
        <w:rPr>
          <w:rFonts w:ascii="Times New Roman" w:hAnsi="Times New Roman" w:cs="Times New Roman"/>
          <w:sz w:val="24"/>
          <w:szCs w:val="24"/>
        </w:rPr>
        <w:t xml:space="preserve">the decision to exclude the study of empire from world history courses </w:t>
      </w:r>
      <w:r w:rsidR="00FF40AA" w:rsidRPr="007F0829">
        <w:rPr>
          <w:rFonts w:ascii="Times New Roman" w:hAnsi="Times New Roman" w:cs="Times New Roman"/>
          <w:iCs/>
          <w:sz w:val="24"/>
          <w:szCs w:val="24"/>
        </w:rPr>
        <w:t>amount</w:t>
      </w:r>
      <w:r w:rsidR="0078441A" w:rsidRPr="007F0829">
        <w:rPr>
          <w:rFonts w:ascii="Times New Roman" w:hAnsi="Times New Roman" w:cs="Times New Roman"/>
          <w:iCs/>
          <w:sz w:val="24"/>
          <w:szCs w:val="24"/>
        </w:rPr>
        <w:t>ed</w:t>
      </w:r>
      <w:r w:rsidR="00FF40AA" w:rsidRPr="007F0829">
        <w:rPr>
          <w:rFonts w:ascii="Times New Roman" w:hAnsi="Times New Roman" w:cs="Times New Roman"/>
          <w:iCs/>
          <w:sz w:val="24"/>
          <w:szCs w:val="24"/>
        </w:rPr>
        <w:t xml:space="preserve"> to</w:t>
      </w:r>
      <w:r w:rsidR="00FF40AA" w:rsidRPr="00AE141E">
        <w:rPr>
          <w:rFonts w:ascii="Times New Roman" w:hAnsi="Times New Roman" w:cs="Times New Roman"/>
          <w:sz w:val="24"/>
          <w:szCs w:val="24"/>
        </w:rPr>
        <w:t xml:space="preserve"> </w:t>
      </w:r>
      <w:r w:rsidR="002477BA" w:rsidRPr="00AE141E">
        <w:rPr>
          <w:rFonts w:ascii="Times New Roman" w:hAnsi="Times New Roman" w:cs="Times New Roman"/>
          <w:sz w:val="24"/>
          <w:szCs w:val="24"/>
        </w:rPr>
        <w:t>the erasure of such histor</w:t>
      </w:r>
      <w:r w:rsidR="001C66E8" w:rsidRPr="00AE141E">
        <w:rPr>
          <w:rFonts w:ascii="Times New Roman" w:hAnsi="Times New Roman" w:cs="Times New Roman"/>
          <w:sz w:val="24"/>
          <w:szCs w:val="24"/>
        </w:rPr>
        <w:t>y from the curricula in examination forms.</w:t>
      </w:r>
      <w:r w:rsidR="0019179B" w:rsidRPr="00AE141E">
        <w:rPr>
          <w:rFonts w:ascii="Times New Roman" w:hAnsi="Times New Roman" w:cs="Times New Roman"/>
          <w:sz w:val="24"/>
          <w:szCs w:val="24"/>
        </w:rPr>
        <w:t xml:space="preserve"> </w:t>
      </w:r>
    </w:p>
    <w:p w14:paraId="2AFC6C6A" w14:textId="1663E418" w:rsidR="00D91C00" w:rsidRPr="00AE141E" w:rsidRDefault="0019179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effacement of </w:t>
      </w:r>
      <w:r w:rsidR="00533BCB" w:rsidRPr="00AE141E">
        <w:rPr>
          <w:rFonts w:ascii="Times New Roman" w:hAnsi="Times New Roman" w:cs="Times New Roman"/>
          <w:sz w:val="24"/>
          <w:szCs w:val="24"/>
        </w:rPr>
        <w:t>British imperialism</w:t>
      </w:r>
      <w:r w:rsidRPr="00AE141E">
        <w:rPr>
          <w:rFonts w:ascii="Times New Roman" w:hAnsi="Times New Roman" w:cs="Times New Roman"/>
          <w:sz w:val="24"/>
          <w:szCs w:val="24"/>
        </w:rPr>
        <w:t xml:space="preserve"> is all t</w:t>
      </w:r>
      <w:r w:rsidR="00C77BA2" w:rsidRPr="00AE141E">
        <w:rPr>
          <w:rFonts w:ascii="Times New Roman" w:hAnsi="Times New Roman" w:cs="Times New Roman"/>
          <w:sz w:val="24"/>
          <w:szCs w:val="24"/>
        </w:rPr>
        <w:t xml:space="preserve">he more significant </w:t>
      </w:r>
      <w:r w:rsidR="00A84F82" w:rsidRPr="00AE141E">
        <w:rPr>
          <w:rFonts w:ascii="Times New Roman" w:hAnsi="Times New Roman" w:cs="Times New Roman"/>
          <w:sz w:val="24"/>
          <w:szCs w:val="24"/>
        </w:rPr>
        <w:t xml:space="preserve">when one considers the ways in which </w:t>
      </w:r>
      <w:r w:rsidR="00500FA6" w:rsidRPr="00AE141E">
        <w:rPr>
          <w:rFonts w:ascii="Times New Roman" w:hAnsi="Times New Roman" w:cs="Times New Roman"/>
          <w:sz w:val="24"/>
          <w:szCs w:val="24"/>
        </w:rPr>
        <w:t xml:space="preserve">history teaching </w:t>
      </w:r>
      <w:r w:rsidR="0071480F" w:rsidRPr="00AE141E">
        <w:rPr>
          <w:rFonts w:ascii="Times New Roman" w:hAnsi="Times New Roman" w:cs="Times New Roman"/>
          <w:sz w:val="24"/>
          <w:szCs w:val="24"/>
        </w:rPr>
        <w:t>was</w:t>
      </w:r>
      <w:r w:rsidR="00500FA6" w:rsidRPr="00AE141E">
        <w:rPr>
          <w:rFonts w:ascii="Times New Roman" w:hAnsi="Times New Roman" w:cs="Times New Roman"/>
          <w:sz w:val="24"/>
          <w:szCs w:val="24"/>
        </w:rPr>
        <w:t xml:space="preserve"> shaped by</w:t>
      </w:r>
      <w:r w:rsidR="0071480F" w:rsidRPr="00AE141E">
        <w:rPr>
          <w:rFonts w:ascii="Times New Roman" w:hAnsi="Times New Roman" w:cs="Times New Roman"/>
          <w:sz w:val="24"/>
          <w:szCs w:val="24"/>
        </w:rPr>
        <w:t xml:space="preserve"> </w:t>
      </w:r>
      <w:r w:rsidR="00566981" w:rsidRPr="00AE141E">
        <w:rPr>
          <w:rFonts w:ascii="Times New Roman" w:hAnsi="Times New Roman" w:cs="Times New Roman"/>
          <w:sz w:val="24"/>
          <w:szCs w:val="24"/>
        </w:rPr>
        <w:t>its</w:t>
      </w:r>
      <w:r w:rsidR="0071480F" w:rsidRPr="00AE141E">
        <w:rPr>
          <w:rFonts w:ascii="Times New Roman" w:hAnsi="Times New Roman" w:cs="Times New Roman"/>
          <w:sz w:val="24"/>
          <w:szCs w:val="24"/>
        </w:rPr>
        <w:t xml:space="preserve"> heritage.</w:t>
      </w:r>
      <w:r w:rsidR="008C17D9" w:rsidRPr="00AE141E">
        <w:rPr>
          <w:rFonts w:ascii="Times New Roman" w:hAnsi="Times New Roman" w:cs="Times New Roman"/>
          <w:sz w:val="24"/>
          <w:szCs w:val="24"/>
        </w:rPr>
        <w:t xml:space="preserve"> </w:t>
      </w:r>
      <w:r w:rsidR="00082C8C" w:rsidRPr="00AE141E">
        <w:rPr>
          <w:rFonts w:ascii="Times New Roman" w:hAnsi="Times New Roman" w:cs="Times New Roman"/>
          <w:sz w:val="24"/>
          <w:szCs w:val="24"/>
        </w:rPr>
        <w:t>T</w:t>
      </w:r>
      <w:r w:rsidR="00857BAE" w:rsidRPr="00AE141E">
        <w:rPr>
          <w:rFonts w:ascii="Times New Roman" w:hAnsi="Times New Roman" w:cs="Times New Roman"/>
          <w:sz w:val="24"/>
          <w:szCs w:val="24"/>
        </w:rPr>
        <w:t xml:space="preserve">he </w:t>
      </w:r>
      <w:r w:rsidR="00D91C00" w:rsidRPr="00AE141E">
        <w:rPr>
          <w:rFonts w:ascii="Times New Roman" w:hAnsi="Times New Roman" w:cs="Times New Roman"/>
          <w:sz w:val="24"/>
          <w:szCs w:val="24"/>
        </w:rPr>
        <w:t xml:space="preserve">colonial gaze looking outwards upon the world was implicit in </w:t>
      </w:r>
      <w:r w:rsidR="00082C8C" w:rsidRPr="00AE141E">
        <w:rPr>
          <w:rFonts w:ascii="Times New Roman" w:hAnsi="Times New Roman" w:cs="Times New Roman"/>
          <w:sz w:val="24"/>
          <w:szCs w:val="24"/>
        </w:rPr>
        <w:t>the syllabus’</w:t>
      </w:r>
      <w:r w:rsidR="00D91C00" w:rsidRPr="00AE141E">
        <w:rPr>
          <w:rFonts w:ascii="Times New Roman" w:hAnsi="Times New Roman" w:cs="Times New Roman"/>
          <w:sz w:val="24"/>
          <w:szCs w:val="24"/>
        </w:rPr>
        <w:t xml:space="preserve"> terminology: descriptors including ‘the Middle East’ and ‘the Far East’ assumed European (especially western European) understandings </w:t>
      </w:r>
      <w:r w:rsidR="00A61744" w:rsidRPr="00AE141E">
        <w:rPr>
          <w:rFonts w:ascii="Times New Roman" w:hAnsi="Times New Roman" w:cs="Times New Roman"/>
          <w:sz w:val="24"/>
          <w:szCs w:val="24"/>
        </w:rPr>
        <w:t>to be</w:t>
      </w:r>
      <w:r w:rsidR="00D91C00" w:rsidRPr="00AE141E">
        <w:rPr>
          <w:rFonts w:ascii="Times New Roman" w:hAnsi="Times New Roman" w:cs="Times New Roman"/>
          <w:sz w:val="24"/>
          <w:szCs w:val="24"/>
        </w:rPr>
        <w:t xml:space="preserve"> normative.</w:t>
      </w:r>
      <w:r w:rsidR="00CC3965" w:rsidRPr="00AE141E">
        <w:rPr>
          <w:rStyle w:val="FootnoteReference"/>
          <w:rFonts w:ascii="Times New Roman" w:hAnsi="Times New Roman" w:cs="Times New Roman"/>
          <w:sz w:val="24"/>
          <w:szCs w:val="24"/>
        </w:rPr>
        <w:footnoteReference w:id="315"/>
      </w:r>
      <w:r w:rsidR="00D91C00" w:rsidRPr="00AE141E">
        <w:rPr>
          <w:rFonts w:ascii="Times New Roman" w:hAnsi="Times New Roman" w:cs="Times New Roman"/>
          <w:sz w:val="24"/>
          <w:szCs w:val="24"/>
        </w:rPr>
        <w:t xml:space="preserve"> This perspective was reinforced in the choice</w:t>
      </w:r>
      <w:r w:rsidR="00E37766" w:rsidRPr="00AE141E">
        <w:rPr>
          <w:rFonts w:ascii="Times New Roman" w:hAnsi="Times New Roman" w:cs="Times New Roman"/>
          <w:sz w:val="24"/>
          <w:szCs w:val="24"/>
        </w:rPr>
        <w:t xml:space="preserve"> </w:t>
      </w:r>
      <w:r w:rsidR="00D91C00" w:rsidRPr="00AE141E">
        <w:rPr>
          <w:rFonts w:ascii="Times New Roman" w:hAnsi="Times New Roman" w:cs="Times New Roman"/>
          <w:sz w:val="24"/>
          <w:szCs w:val="24"/>
        </w:rPr>
        <w:t>given to teachers</w:t>
      </w:r>
      <w:r w:rsidR="00E37766" w:rsidRPr="00AE141E">
        <w:rPr>
          <w:rFonts w:ascii="Times New Roman" w:hAnsi="Times New Roman" w:cs="Times New Roman"/>
          <w:sz w:val="24"/>
          <w:szCs w:val="24"/>
        </w:rPr>
        <w:t>, who were permitted to select Latin America</w:t>
      </w:r>
      <w:r w:rsidR="00BF7331" w:rsidRPr="00AE141E">
        <w:rPr>
          <w:rFonts w:ascii="Times New Roman" w:hAnsi="Times New Roman" w:cs="Times New Roman"/>
          <w:sz w:val="24"/>
          <w:szCs w:val="24"/>
        </w:rPr>
        <w:t xml:space="preserve">, </w:t>
      </w:r>
      <w:r w:rsidR="00E37766" w:rsidRPr="00AE141E">
        <w:rPr>
          <w:rFonts w:ascii="Times New Roman" w:hAnsi="Times New Roman" w:cs="Times New Roman"/>
          <w:sz w:val="24"/>
          <w:szCs w:val="24"/>
        </w:rPr>
        <w:t>Africa</w:t>
      </w:r>
      <w:r w:rsidR="00BF7331" w:rsidRPr="00AE141E">
        <w:rPr>
          <w:rFonts w:ascii="Times New Roman" w:hAnsi="Times New Roman" w:cs="Times New Roman"/>
          <w:sz w:val="24"/>
          <w:szCs w:val="24"/>
        </w:rPr>
        <w:t xml:space="preserve">, </w:t>
      </w:r>
      <w:r w:rsidR="00E37766" w:rsidRPr="00AE141E">
        <w:rPr>
          <w:rFonts w:ascii="Times New Roman" w:hAnsi="Times New Roman" w:cs="Times New Roman"/>
          <w:sz w:val="24"/>
          <w:szCs w:val="24"/>
        </w:rPr>
        <w:t>the Middle East</w:t>
      </w:r>
      <w:r w:rsidR="00BF7331" w:rsidRPr="00AE141E">
        <w:rPr>
          <w:rFonts w:ascii="Times New Roman" w:hAnsi="Times New Roman" w:cs="Times New Roman"/>
          <w:sz w:val="24"/>
          <w:szCs w:val="24"/>
        </w:rPr>
        <w:t xml:space="preserve">, or </w:t>
      </w:r>
      <w:r w:rsidR="00E37766" w:rsidRPr="00AE141E">
        <w:rPr>
          <w:rFonts w:ascii="Times New Roman" w:hAnsi="Times New Roman" w:cs="Times New Roman"/>
          <w:sz w:val="24"/>
          <w:szCs w:val="24"/>
        </w:rPr>
        <w:t>the Far East</w:t>
      </w:r>
      <w:r w:rsidR="00801BCE" w:rsidRPr="00AE141E">
        <w:rPr>
          <w:rFonts w:ascii="Times New Roman" w:hAnsi="Times New Roman" w:cs="Times New Roman"/>
          <w:sz w:val="24"/>
          <w:szCs w:val="24"/>
        </w:rPr>
        <w:t xml:space="preserve">. The effect was </w:t>
      </w:r>
      <w:r w:rsidR="00B50C08" w:rsidRPr="00AE141E">
        <w:rPr>
          <w:rFonts w:ascii="Times New Roman" w:hAnsi="Times New Roman" w:cs="Times New Roman"/>
          <w:sz w:val="24"/>
          <w:szCs w:val="24"/>
        </w:rPr>
        <w:t>both homogenising and tokenising. V</w:t>
      </w:r>
      <w:r w:rsidR="00D91C00" w:rsidRPr="00AE141E">
        <w:rPr>
          <w:rFonts w:ascii="Times New Roman" w:hAnsi="Times New Roman" w:cs="Times New Roman"/>
          <w:sz w:val="24"/>
          <w:szCs w:val="24"/>
        </w:rPr>
        <w:t xml:space="preserve">ast regions in the Global South were presented as both educationally equivalent and internally consistent – capable of being exemplified by a single ‘country or area’. </w:t>
      </w:r>
      <w:r w:rsidR="00455A5C" w:rsidRPr="00AE141E">
        <w:rPr>
          <w:rFonts w:ascii="Times New Roman" w:hAnsi="Times New Roman" w:cs="Times New Roman"/>
          <w:sz w:val="24"/>
          <w:szCs w:val="24"/>
        </w:rPr>
        <w:t>Hence</w:t>
      </w:r>
      <w:r w:rsidR="00F5212A" w:rsidRPr="00AE141E">
        <w:rPr>
          <w:rFonts w:ascii="Times New Roman" w:hAnsi="Times New Roman" w:cs="Times New Roman"/>
          <w:sz w:val="24"/>
          <w:szCs w:val="24"/>
        </w:rPr>
        <w:t>, i</w:t>
      </w:r>
      <w:r w:rsidR="009746C4" w:rsidRPr="00AE141E">
        <w:rPr>
          <w:rFonts w:ascii="Times New Roman" w:hAnsi="Times New Roman" w:cs="Times New Roman"/>
          <w:sz w:val="24"/>
          <w:szCs w:val="24"/>
        </w:rPr>
        <w:t xml:space="preserve">mperial ideology and imperial </w:t>
      </w:r>
      <w:r w:rsidR="00F651C6" w:rsidRPr="00AE141E">
        <w:rPr>
          <w:rFonts w:ascii="Times New Roman" w:hAnsi="Times New Roman" w:cs="Times New Roman"/>
          <w:sz w:val="24"/>
          <w:szCs w:val="24"/>
        </w:rPr>
        <w:t>forgetting</w:t>
      </w:r>
      <w:r w:rsidR="009746C4" w:rsidRPr="00AE141E">
        <w:rPr>
          <w:rFonts w:ascii="Times New Roman" w:hAnsi="Times New Roman" w:cs="Times New Roman"/>
          <w:sz w:val="24"/>
          <w:szCs w:val="24"/>
        </w:rPr>
        <w:t xml:space="preserve"> co-existed in a single syllabus</w:t>
      </w:r>
      <w:r w:rsidR="00F5212A" w:rsidRPr="00AE141E">
        <w:rPr>
          <w:rFonts w:ascii="Times New Roman" w:hAnsi="Times New Roman" w:cs="Times New Roman"/>
          <w:sz w:val="24"/>
          <w:szCs w:val="24"/>
        </w:rPr>
        <w:t xml:space="preserve">. They may, in fact, have been mutually reinforcing: </w:t>
      </w:r>
      <w:r w:rsidR="00F13DF4" w:rsidRPr="00AE141E">
        <w:rPr>
          <w:rFonts w:ascii="Times New Roman" w:hAnsi="Times New Roman" w:cs="Times New Roman"/>
          <w:sz w:val="24"/>
          <w:szCs w:val="24"/>
        </w:rPr>
        <w:t xml:space="preserve">in foregoing </w:t>
      </w:r>
      <w:r w:rsidR="00A330F4" w:rsidRPr="00AE141E">
        <w:rPr>
          <w:rFonts w:ascii="Times New Roman" w:hAnsi="Times New Roman" w:cs="Times New Roman"/>
          <w:sz w:val="24"/>
          <w:szCs w:val="24"/>
        </w:rPr>
        <w:t xml:space="preserve">study of colonialism, </w:t>
      </w:r>
      <w:r w:rsidR="00166248" w:rsidRPr="00AE141E">
        <w:rPr>
          <w:rFonts w:ascii="Times New Roman" w:hAnsi="Times New Roman" w:cs="Times New Roman"/>
          <w:sz w:val="24"/>
          <w:szCs w:val="24"/>
        </w:rPr>
        <w:t xml:space="preserve">the </w:t>
      </w:r>
      <w:r w:rsidR="00031DC6" w:rsidRPr="00AE141E">
        <w:rPr>
          <w:rFonts w:ascii="Times New Roman" w:hAnsi="Times New Roman" w:cs="Times New Roman"/>
          <w:sz w:val="24"/>
          <w:szCs w:val="24"/>
        </w:rPr>
        <w:t>B</w:t>
      </w:r>
      <w:r w:rsidR="00166248" w:rsidRPr="00AE141E">
        <w:rPr>
          <w:rFonts w:ascii="Times New Roman" w:hAnsi="Times New Roman" w:cs="Times New Roman"/>
          <w:sz w:val="24"/>
          <w:szCs w:val="24"/>
        </w:rPr>
        <w:t xml:space="preserve">oard </w:t>
      </w:r>
      <w:r w:rsidR="00627BC5" w:rsidRPr="00AE141E">
        <w:rPr>
          <w:rFonts w:ascii="Times New Roman" w:hAnsi="Times New Roman" w:cs="Times New Roman"/>
          <w:sz w:val="24"/>
          <w:szCs w:val="24"/>
        </w:rPr>
        <w:t xml:space="preserve">relinquished </w:t>
      </w:r>
      <w:r w:rsidR="00CE7B8B" w:rsidRPr="00AE141E">
        <w:rPr>
          <w:rFonts w:ascii="Times New Roman" w:hAnsi="Times New Roman" w:cs="Times New Roman"/>
          <w:sz w:val="24"/>
          <w:szCs w:val="24"/>
        </w:rPr>
        <w:t xml:space="preserve">any opportunity to encourage the critical study of </w:t>
      </w:r>
      <w:r w:rsidR="00A84F82" w:rsidRPr="00AE141E">
        <w:rPr>
          <w:rFonts w:ascii="Times New Roman" w:hAnsi="Times New Roman" w:cs="Times New Roman"/>
          <w:sz w:val="24"/>
          <w:szCs w:val="24"/>
        </w:rPr>
        <w:t>its legacies.</w:t>
      </w:r>
    </w:p>
    <w:p w14:paraId="30D7DDE6" w14:textId="6C64BB4D" w:rsidR="00D91C00" w:rsidRPr="00AE141E" w:rsidRDefault="00D91C0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By providing teachers with absolute discretion </w:t>
      </w:r>
      <w:r w:rsidR="00E955EE" w:rsidRPr="00AE141E">
        <w:rPr>
          <w:rFonts w:ascii="Times New Roman" w:hAnsi="Times New Roman" w:cs="Times New Roman"/>
          <w:sz w:val="24"/>
          <w:szCs w:val="24"/>
        </w:rPr>
        <w:t>over</w:t>
      </w:r>
      <w:r w:rsidRPr="00AE141E">
        <w:rPr>
          <w:rFonts w:ascii="Times New Roman" w:hAnsi="Times New Roman" w:cs="Times New Roman"/>
          <w:sz w:val="24"/>
          <w:szCs w:val="24"/>
        </w:rPr>
        <w:t xml:space="preserve"> the country or area to be studied</w:t>
      </w:r>
      <w:r w:rsidR="00E955EE"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and offering such a broad range of </w:t>
      </w:r>
      <w:r w:rsidR="00FA59CE" w:rsidRPr="00AE141E">
        <w:rPr>
          <w:rFonts w:ascii="Times New Roman" w:hAnsi="Times New Roman" w:cs="Times New Roman"/>
          <w:sz w:val="24"/>
          <w:szCs w:val="24"/>
        </w:rPr>
        <w:t>options</w:t>
      </w:r>
      <w:r w:rsidRPr="00AE141E">
        <w:rPr>
          <w:rFonts w:ascii="Times New Roman" w:hAnsi="Times New Roman" w:cs="Times New Roman"/>
          <w:sz w:val="24"/>
          <w:szCs w:val="24"/>
        </w:rPr>
        <w:t xml:space="preserve"> under one umbrella, the </w:t>
      </w:r>
      <w:r w:rsidR="00031DC6" w:rsidRPr="00AE141E">
        <w:rPr>
          <w:rFonts w:ascii="Times New Roman" w:hAnsi="Times New Roman" w:cs="Times New Roman"/>
          <w:sz w:val="24"/>
          <w:szCs w:val="24"/>
        </w:rPr>
        <w:t>B</w:t>
      </w:r>
      <w:r w:rsidRPr="00AE141E">
        <w:rPr>
          <w:rFonts w:ascii="Times New Roman" w:hAnsi="Times New Roman" w:cs="Times New Roman"/>
          <w:sz w:val="24"/>
          <w:szCs w:val="24"/>
        </w:rPr>
        <w:t xml:space="preserve">oard virtually guaranteed that exam questions would be inconsistent and unpredictable. In the paper set in the Summer of 1965, </w:t>
      </w:r>
      <w:r w:rsidR="006D0199" w:rsidRPr="00AE141E">
        <w:rPr>
          <w:rFonts w:ascii="Times New Roman" w:hAnsi="Times New Roman" w:cs="Times New Roman"/>
          <w:sz w:val="24"/>
          <w:szCs w:val="24"/>
        </w:rPr>
        <w:t xml:space="preserve">only </w:t>
      </w:r>
      <w:r w:rsidRPr="00AE141E">
        <w:rPr>
          <w:rFonts w:ascii="Times New Roman" w:hAnsi="Times New Roman" w:cs="Times New Roman"/>
          <w:sz w:val="24"/>
          <w:szCs w:val="24"/>
        </w:rPr>
        <w:t xml:space="preserve">question ten referred to </w:t>
      </w:r>
      <w:r w:rsidR="00FE6D76" w:rsidRPr="00AE141E">
        <w:rPr>
          <w:rFonts w:ascii="Times New Roman" w:hAnsi="Times New Roman" w:cs="Times New Roman"/>
          <w:sz w:val="24"/>
          <w:szCs w:val="24"/>
        </w:rPr>
        <w:t>the syllabus option on Latin America, Africa, the Middle East, and the Far East</w:t>
      </w:r>
      <w:r w:rsidRPr="00AE141E">
        <w:rPr>
          <w:rFonts w:ascii="Times New Roman" w:hAnsi="Times New Roman" w:cs="Times New Roman"/>
          <w:sz w:val="24"/>
          <w:szCs w:val="24"/>
        </w:rPr>
        <w:t>.</w:t>
      </w:r>
      <w:r w:rsidR="00D51699">
        <w:rPr>
          <w:rStyle w:val="FootnoteReference"/>
          <w:rFonts w:ascii="Times New Roman" w:hAnsi="Times New Roman" w:cs="Times New Roman"/>
          <w:sz w:val="24"/>
          <w:szCs w:val="24"/>
        </w:rPr>
        <w:footnoteReference w:id="316"/>
      </w:r>
      <w:r w:rsidRPr="00AE141E">
        <w:rPr>
          <w:rFonts w:ascii="Times New Roman" w:hAnsi="Times New Roman" w:cs="Times New Roman"/>
          <w:sz w:val="24"/>
          <w:szCs w:val="24"/>
        </w:rPr>
        <w:t xml:space="preserve"> Candidates were given a choice: either they could, ‘give an outline of the main problems which have faced </w:t>
      </w:r>
      <w:r w:rsidRPr="00AE141E">
        <w:rPr>
          <w:rFonts w:ascii="Times New Roman" w:hAnsi="Times New Roman" w:cs="Times New Roman"/>
          <w:i/>
          <w:sz w:val="24"/>
          <w:szCs w:val="24"/>
        </w:rPr>
        <w:t xml:space="preserve">one </w:t>
      </w:r>
      <w:r w:rsidRPr="00AE141E">
        <w:rPr>
          <w:rFonts w:ascii="Times New Roman" w:hAnsi="Times New Roman" w:cs="Times New Roman"/>
          <w:sz w:val="24"/>
          <w:szCs w:val="24"/>
        </w:rPr>
        <w:t>of the following since 1919: Mexico; Cuba; Brazil; Argentina [emphasis in original]’, or they could ‘trace the history of French North Africa from 1940’.</w:t>
      </w:r>
      <w:r w:rsidR="00DA7354"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Students whose teachers had opted for detailed study of Chile, Vietnam, Angola, or Iran – to cite just a few examples from the world of possibilities offered by the syllabus – would have had no opportunity to display their knowledge, and would have been forced to rely on other questions. </w:t>
      </w:r>
      <w:r w:rsidR="006829C5" w:rsidRPr="00AE141E">
        <w:rPr>
          <w:rFonts w:ascii="Times New Roman" w:hAnsi="Times New Roman" w:cs="Times New Roman"/>
          <w:sz w:val="24"/>
          <w:szCs w:val="24"/>
        </w:rPr>
        <w:t xml:space="preserve">As such, the topic </w:t>
      </w:r>
      <w:r w:rsidR="00F632E9" w:rsidRPr="00AE141E">
        <w:rPr>
          <w:rFonts w:ascii="Times New Roman" w:hAnsi="Times New Roman" w:cs="Times New Roman"/>
          <w:sz w:val="24"/>
          <w:szCs w:val="24"/>
        </w:rPr>
        <w:t>was a</w:t>
      </w:r>
      <w:r w:rsidR="006829C5" w:rsidRPr="00AE141E">
        <w:rPr>
          <w:rFonts w:ascii="Times New Roman" w:hAnsi="Times New Roman" w:cs="Times New Roman"/>
          <w:sz w:val="24"/>
          <w:szCs w:val="24"/>
        </w:rPr>
        <w:t xml:space="preserve"> high-risk </w:t>
      </w:r>
      <w:r w:rsidR="00F632E9" w:rsidRPr="00AE141E">
        <w:rPr>
          <w:rFonts w:ascii="Times New Roman" w:hAnsi="Times New Roman" w:cs="Times New Roman"/>
          <w:sz w:val="24"/>
          <w:szCs w:val="24"/>
        </w:rPr>
        <w:t xml:space="preserve">area of focus for those teaching for examination success. It is likely that teachers would have been </w:t>
      </w:r>
      <w:r w:rsidR="000A7ECD" w:rsidRPr="00AE141E">
        <w:rPr>
          <w:rFonts w:ascii="Times New Roman" w:hAnsi="Times New Roman" w:cs="Times New Roman"/>
          <w:sz w:val="24"/>
          <w:szCs w:val="24"/>
        </w:rPr>
        <w:t>discourag</w:t>
      </w:r>
      <w:r w:rsidR="00F632E9" w:rsidRPr="00AE141E">
        <w:rPr>
          <w:rFonts w:ascii="Times New Roman" w:hAnsi="Times New Roman" w:cs="Times New Roman"/>
          <w:sz w:val="24"/>
          <w:szCs w:val="24"/>
        </w:rPr>
        <w:t>ed</w:t>
      </w:r>
      <w:r w:rsidR="000A7ECD" w:rsidRPr="00AE141E">
        <w:rPr>
          <w:rFonts w:ascii="Times New Roman" w:hAnsi="Times New Roman" w:cs="Times New Roman"/>
          <w:sz w:val="24"/>
          <w:szCs w:val="24"/>
        </w:rPr>
        <w:t xml:space="preserve"> from pursuing it with the same level of commitment as other points on the syllabus.</w:t>
      </w:r>
    </w:p>
    <w:p w14:paraId="2FDC355A" w14:textId="2D34D698" w:rsidR="00A3585B" w:rsidRPr="00AE141E" w:rsidRDefault="00FF366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The criticisms levelled by the </w:t>
      </w:r>
      <w:r w:rsidR="00FE0760" w:rsidRPr="00AE141E">
        <w:rPr>
          <w:rFonts w:ascii="Times New Roman" w:hAnsi="Times New Roman" w:cs="Times New Roman"/>
          <w:sz w:val="24"/>
          <w:szCs w:val="24"/>
        </w:rPr>
        <w:t>SOAS teachers’ fellowship programme – that world history syllabi</w:t>
      </w:r>
      <w:r w:rsidR="00F1003E" w:rsidRPr="00AE141E">
        <w:rPr>
          <w:rFonts w:ascii="Times New Roman" w:hAnsi="Times New Roman" w:cs="Times New Roman"/>
          <w:sz w:val="24"/>
          <w:szCs w:val="24"/>
        </w:rPr>
        <w:t xml:space="preserve"> overemphasised the histories of Europe, international relations, and the twentieth century </w:t>
      </w:r>
      <w:r w:rsidR="00E17EC9" w:rsidRPr="00AE141E">
        <w:rPr>
          <w:rFonts w:ascii="Times New Roman" w:hAnsi="Times New Roman" w:cs="Times New Roman"/>
          <w:sz w:val="24"/>
          <w:szCs w:val="24"/>
        </w:rPr>
        <w:t>–</w:t>
      </w:r>
      <w:r w:rsidR="00F1003E" w:rsidRPr="00AE141E">
        <w:rPr>
          <w:rFonts w:ascii="Times New Roman" w:hAnsi="Times New Roman" w:cs="Times New Roman"/>
          <w:sz w:val="24"/>
          <w:szCs w:val="24"/>
        </w:rPr>
        <w:t xml:space="preserve"> </w:t>
      </w:r>
      <w:r w:rsidR="00E17EC9" w:rsidRPr="00AE141E">
        <w:rPr>
          <w:rFonts w:ascii="Times New Roman" w:hAnsi="Times New Roman" w:cs="Times New Roman"/>
          <w:sz w:val="24"/>
          <w:szCs w:val="24"/>
        </w:rPr>
        <w:t xml:space="preserve">applied equally at </w:t>
      </w:r>
      <w:r w:rsidR="00CB5BEF" w:rsidRPr="00AE141E">
        <w:rPr>
          <w:rFonts w:ascii="Times New Roman" w:hAnsi="Times New Roman" w:cs="Times New Roman"/>
          <w:sz w:val="24"/>
          <w:szCs w:val="24"/>
        </w:rPr>
        <w:t xml:space="preserve">A </w:t>
      </w:r>
      <w:r w:rsidR="00AF2389" w:rsidRPr="00AE141E">
        <w:rPr>
          <w:rFonts w:ascii="Times New Roman" w:hAnsi="Times New Roman" w:cs="Times New Roman"/>
          <w:sz w:val="24"/>
          <w:szCs w:val="24"/>
        </w:rPr>
        <w:t>L</w:t>
      </w:r>
      <w:r w:rsidR="00CB5BEF" w:rsidRPr="00AE141E">
        <w:rPr>
          <w:rFonts w:ascii="Times New Roman" w:hAnsi="Times New Roman" w:cs="Times New Roman"/>
          <w:sz w:val="24"/>
          <w:szCs w:val="24"/>
        </w:rPr>
        <w:t>evel</w:t>
      </w:r>
      <w:r w:rsidR="00E17EC9" w:rsidRPr="00AE141E">
        <w:rPr>
          <w:rFonts w:ascii="Times New Roman" w:hAnsi="Times New Roman" w:cs="Times New Roman"/>
          <w:sz w:val="24"/>
          <w:szCs w:val="24"/>
        </w:rPr>
        <w:t xml:space="preserve">. The </w:t>
      </w:r>
      <w:r w:rsidR="00DC0619" w:rsidRPr="00AE141E">
        <w:rPr>
          <w:rFonts w:ascii="Times New Roman" w:hAnsi="Times New Roman" w:cs="Times New Roman"/>
          <w:sz w:val="24"/>
          <w:szCs w:val="24"/>
        </w:rPr>
        <w:t xml:space="preserve">University of Cambridge Local Examinations Syndicate (hereafter ‘UCLES’) </w:t>
      </w:r>
      <w:r w:rsidR="00CB5BEF" w:rsidRPr="00AE141E">
        <w:rPr>
          <w:rFonts w:ascii="Times New Roman" w:hAnsi="Times New Roman" w:cs="Times New Roman"/>
          <w:sz w:val="24"/>
          <w:szCs w:val="24"/>
        </w:rPr>
        <w:t xml:space="preserve">A </w:t>
      </w:r>
      <w:r w:rsidR="00AF2389" w:rsidRPr="00AE141E">
        <w:rPr>
          <w:rFonts w:ascii="Times New Roman" w:hAnsi="Times New Roman" w:cs="Times New Roman"/>
          <w:sz w:val="24"/>
          <w:szCs w:val="24"/>
        </w:rPr>
        <w:t>L</w:t>
      </w:r>
      <w:r w:rsidR="00CB5BEF" w:rsidRPr="00AE141E">
        <w:rPr>
          <w:rFonts w:ascii="Times New Roman" w:hAnsi="Times New Roman" w:cs="Times New Roman"/>
          <w:sz w:val="24"/>
          <w:szCs w:val="24"/>
        </w:rPr>
        <w:t>evel</w:t>
      </w:r>
      <w:r w:rsidR="008D7B14" w:rsidRPr="00AE141E">
        <w:rPr>
          <w:rFonts w:ascii="Times New Roman" w:hAnsi="Times New Roman" w:cs="Times New Roman"/>
          <w:sz w:val="24"/>
          <w:szCs w:val="24"/>
        </w:rPr>
        <w:t xml:space="preserve"> in History</w:t>
      </w:r>
      <w:r w:rsidR="00985B91" w:rsidRPr="00AE141E">
        <w:rPr>
          <w:rFonts w:ascii="Times New Roman" w:hAnsi="Times New Roman" w:cs="Times New Roman"/>
          <w:sz w:val="24"/>
          <w:szCs w:val="24"/>
        </w:rPr>
        <w:t xml:space="preserve"> – which remained broadly consistent </w:t>
      </w:r>
      <w:r w:rsidR="009C78B6" w:rsidRPr="00AE141E">
        <w:rPr>
          <w:rFonts w:ascii="Times New Roman" w:hAnsi="Times New Roman" w:cs="Times New Roman"/>
          <w:sz w:val="24"/>
          <w:szCs w:val="24"/>
        </w:rPr>
        <w:t>from 1966 until</w:t>
      </w:r>
      <w:r w:rsidR="00985B91" w:rsidRPr="00AE141E">
        <w:rPr>
          <w:rFonts w:ascii="Times New Roman" w:hAnsi="Times New Roman" w:cs="Times New Roman"/>
          <w:sz w:val="24"/>
          <w:szCs w:val="24"/>
        </w:rPr>
        <w:t xml:space="preserve"> at least 197</w:t>
      </w:r>
      <w:r w:rsidR="00CF6C2D" w:rsidRPr="00AE141E">
        <w:rPr>
          <w:rFonts w:ascii="Times New Roman" w:hAnsi="Times New Roman" w:cs="Times New Roman"/>
          <w:sz w:val="24"/>
          <w:szCs w:val="24"/>
        </w:rPr>
        <w:t>4</w:t>
      </w:r>
      <w:r w:rsidR="00985B91" w:rsidRPr="00AE141E">
        <w:rPr>
          <w:rFonts w:ascii="Times New Roman" w:hAnsi="Times New Roman" w:cs="Times New Roman"/>
          <w:sz w:val="24"/>
          <w:szCs w:val="24"/>
        </w:rPr>
        <w:t xml:space="preserve"> </w:t>
      </w:r>
      <w:r w:rsidR="009C78B6" w:rsidRPr="00AE141E">
        <w:rPr>
          <w:rFonts w:ascii="Times New Roman" w:hAnsi="Times New Roman" w:cs="Times New Roman"/>
          <w:sz w:val="24"/>
          <w:szCs w:val="24"/>
        </w:rPr>
        <w:t>–</w:t>
      </w:r>
      <w:r w:rsidR="00985B91" w:rsidRPr="00AE141E">
        <w:rPr>
          <w:rFonts w:ascii="Times New Roman" w:hAnsi="Times New Roman" w:cs="Times New Roman"/>
          <w:sz w:val="24"/>
          <w:szCs w:val="24"/>
        </w:rPr>
        <w:t xml:space="preserve"> </w:t>
      </w:r>
      <w:r w:rsidR="009C78B6" w:rsidRPr="00AE141E">
        <w:rPr>
          <w:rFonts w:ascii="Times New Roman" w:hAnsi="Times New Roman" w:cs="Times New Roman"/>
          <w:sz w:val="24"/>
          <w:szCs w:val="24"/>
        </w:rPr>
        <w:t>is a case in point.</w:t>
      </w:r>
      <w:r w:rsidR="006A1C22" w:rsidRPr="00AE141E">
        <w:rPr>
          <w:rStyle w:val="FootnoteReference"/>
          <w:rFonts w:ascii="Times New Roman" w:hAnsi="Times New Roman" w:cs="Times New Roman"/>
          <w:sz w:val="24"/>
          <w:szCs w:val="24"/>
        </w:rPr>
        <w:footnoteReference w:id="317"/>
      </w:r>
      <w:r w:rsidR="00606D84" w:rsidRPr="00AE141E">
        <w:rPr>
          <w:rFonts w:ascii="Times New Roman" w:hAnsi="Times New Roman" w:cs="Times New Roman"/>
          <w:sz w:val="24"/>
          <w:szCs w:val="24"/>
        </w:rPr>
        <w:t xml:space="preserve"> </w:t>
      </w:r>
      <w:r w:rsidR="005C23E2" w:rsidRPr="00AE141E">
        <w:rPr>
          <w:rFonts w:ascii="Times New Roman" w:hAnsi="Times New Roman" w:cs="Times New Roman"/>
          <w:sz w:val="24"/>
          <w:szCs w:val="24"/>
        </w:rPr>
        <w:t xml:space="preserve">The </w:t>
      </w:r>
      <w:r w:rsidR="00031DC6" w:rsidRPr="00AE141E">
        <w:rPr>
          <w:rFonts w:ascii="Times New Roman" w:hAnsi="Times New Roman" w:cs="Times New Roman"/>
          <w:sz w:val="24"/>
          <w:szCs w:val="24"/>
        </w:rPr>
        <w:t>B</w:t>
      </w:r>
      <w:r w:rsidR="005C23E2" w:rsidRPr="00AE141E">
        <w:rPr>
          <w:rFonts w:ascii="Times New Roman" w:hAnsi="Times New Roman" w:cs="Times New Roman"/>
          <w:sz w:val="24"/>
          <w:szCs w:val="24"/>
        </w:rPr>
        <w:t xml:space="preserve">oard’s world history paper (‘World Affairs since 1939’) </w:t>
      </w:r>
      <w:r w:rsidR="003D08EB" w:rsidRPr="00AE141E">
        <w:rPr>
          <w:rFonts w:ascii="Times New Roman" w:hAnsi="Times New Roman" w:cs="Times New Roman"/>
          <w:sz w:val="24"/>
          <w:szCs w:val="24"/>
        </w:rPr>
        <w:t xml:space="preserve">represented one option amongst </w:t>
      </w:r>
      <w:r w:rsidR="007D1BE3" w:rsidRPr="00AE141E">
        <w:rPr>
          <w:rFonts w:ascii="Times New Roman" w:hAnsi="Times New Roman" w:cs="Times New Roman"/>
          <w:sz w:val="24"/>
          <w:szCs w:val="24"/>
        </w:rPr>
        <w:t>twenty-one</w:t>
      </w:r>
      <w:r w:rsidR="003D08EB" w:rsidRPr="00AE141E">
        <w:rPr>
          <w:rFonts w:ascii="Times New Roman" w:hAnsi="Times New Roman" w:cs="Times New Roman"/>
          <w:sz w:val="24"/>
          <w:szCs w:val="24"/>
        </w:rPr>
        <w:t xml:space="preserve"> on offer to candidates</w:t>
      </w:r>
      <w:r w:rsidR="006753BE" w:rsidRPr="00AE141E">
        <w:rPr>
          <w:rFonts w:ascii="Times New Roman" w:hAnsi="Times New Roman" w:cs="Times New Roman"/>
          <w:sz w:val="24"/>
          <w:szCs w:val="24"/>
        </w:rPr>
        <w:t xml:space="preserve">. </w:t>
      </w:r>
      <w:r w:rsidR="0030036C" w:rsidRPr="00AE141E">
        <w:rPr>
          <w:rFonts w:ascii="Times New Roman" w:hAnsi="Times New Roman" w:cs="Times New Roman"/>
          <w:sz w:val="24"/>
          <w:szCs w:val="24"/>
        </w:rPr>
        <w:t xml:space="preserve">The paper included </w:t>
      </w:r>
      <w:r w:rsidR="00CD5053" w:rsidRPr="00AE141E">
        <w:rPr>
          <w:rFonts w:ascii="Times New Roman" w:hAnsi="Times New Roman" w:cs="Times New Roman"/>
          <w:sz w:val="24"/>
          <w:szCs w:val="24"/>
        </w:rPr>
        <w:t>six discrete sections: regional studies of</w:t>
      </w:r>
      <w:r w:rsidR="00600DF3" w:rsidRPr="00AE141E">
        <w:rPr>
          <w:rFonts w:ascii="Times New Roman" w:hAnsi="Times New Roman" w:cs="Times New Roman"/>
          <w:sz w:val="24"/>
          <w:szCs w:val="24"/>
        </w:rPr>
        <w:t xml:space="preserve"> North America, the Soviet Union, Africa and the </w:t>
      </w:r>
      <w:r w:rsidR="009815A0" w:rsidRPr="00AE141E">
        <w:rPr>
          <w:rFonts w:ascii="Times New Roman" w:hAnsi="Times New Roman" w:cs="Times New Roman"/>
          <w:sz w:val="24"/>
          <w:szCs w:val="24"/>
        </w:rPr>
        <w:t>‘</w:t>
      </w:r>
      <w:r w:rsidR="00600DF3" w:rsidRPr="00AE141E">
        <w:rPr>
          <w:rFonts w:ascii="Times New Roman" w:hAnsi="Times New Roman" w:cs="Times New Roman"/>
          <w:sz w:val="24"/>
          <w:szCs w:val="24"/>
        </w:rPr>
        <w:t>Middle East</w:t>
      </w:r>
      <w:r w:rsidR="009815A0" w:rsidRPr="00AE141E">
        <w:rPr>
          <w:rFonts w:ascii="Times New Roman" w:hAnsi="Times New Roman" w:cs="Times New Roman"/>
          <w:sz w:val="24"/>
          <w:szCs w:val="24"/>
        </w:rPr>
        <w:t>’</w:t>
      </w:r>
      <w:r w:rsidR="00600DF3" w:rsidRPr="00AE141E">
        <w:rPr>
          <w:rFonts w:ascii="Times New Roman" w:hAnsi="Times New Roman" w:cs="Times New Roman"/>
          <w:sz w:val="24"/>
          <w:szCs w:val="24"/>
        </w:rPr>
        <w:t xml:space="preserve">, Southern Asia and the </w:t>
      </w:r>
      <w:r w:rsidR="009815A0" w:rsidRPr="00AE141E">
        <w:rPr>
          <w:rFonts w:ascii="Times New Roman" w:hAnsi="Times New Roman" w:cs="Times New Roman"/>
          <w:sz w:val="24"/>
          <w:szCs w:val="24"/>
        </w:rPr>
        <w:t>‘</w:t>
      </w:r>
      <w:r w:rsidR="00600DF3" w:rsidRPr="00AE141E">
        <w:rPr>
          <w:rFonts w:ascii="Times New Roman" w:hAnsi="Times New Roman" w:cs="Times New Roman"/>
          <w:sz w:val="24"/>
          <w:szCs w:val="24"/>
        </w:rPr>
        <w:t>Far East</w:t>
      </w:r>
      <w:r w:rsidR="009815A0" w:rsidRPr="00AE141E">
        <w:rPr>
          <w:rFonts w:ascii="Times New Roman" w:hAnsi="Times New Roman" w:cs="Times New Roman"/>
          <w:sz w:val="24"/>
          <w:szCs w:val="24"/>
        </w:rPr>
        <w:t>’</w:t>
      </w:r>
      <w:r w:rsidR="00600DF3" w:rsidRPr="00AE141E">
        <w:rPr>
          <w:rFonts w:ascii="Times New Roman" w:hAnsi="Times New Roman" w:cs="Times New Roman"/>
          <w:sz w:val="24"/>
          <w:szCs w:val="24"/>
        </w:rPr>
        <w:t>, [and] Europe</w:t>
      </w:r>
      <w:r w:rsidR="009815A0" w:rsidRPr="00AE141E">
        <w:rPr>
          <w:rFonts w:ascii="Times New Roman" w:hAnsi="Times New Roman" w:cs="Times New Roman"/>
          <w:sz w:val="24"/>
          <w:szCs w:val="24"/>
        </w:rPr>
        <w:t xml:space="preserve"> (excluding the USSR)</w:t>
      </w:r>
      <w:r w:rsidR="00852458" w:rsidRPr="00AE141E">
        <w:rPr>
          <w:rFonts w:ascii="Times New Roman" w:hAnsi="Times New Roman" w:cs="Times New Roman"/>
          <w:sz w:val="24"/>
          <w:szCs w:val="24"/>
        </w:rPr>
        <w:t>, which were complemented by a non-regionally specific thematic section covering ‘international organisations and developments in the economic, social and political fields that have world-wide significance’.</w:t>
      </w:r>
      <w:r w:rsidR="00600DF3" w:rsidRPr="00AE141E">
        <w:rPr>
          <w:rStyle w:val="FootnoteReference"/>
          <w:rFonts w:ascii="Times New Roman" w:hAnsi="Times New Roman" w:cs="Times New Roman"/>
          <w:sz w:val="24"/>
          <w:szCs w:val="24"/>
        </w:rPr>
        <w:footnoteReference w:id="318"/>
      </w:r>
      <w:r w:rsidR="001D4593" w:rsidRPr="00AE141E">
        <w:rPr>
          <w:rFonts w:ascii="Times New Roman" w:hAnsi="Times New Roman" w:cs="Times New Roman"/>
          <w:sz w:val="24"/>
          <w:szCs w:val="24"/>
        </w:rPr>
        <w:t xml:space="preserve"> In the examination, candidates were expected to answer four questions</w:t>
      </w:r>
      <w:r w:rsidR="00633D62" w:rsidRPr="00AE141E">
        <w:rPr>
          <w:rFonts w:ascii="Times New Roman" w:hAnsi="Times New Roman" w:cs="Times New Roman"/>
          <w:sz w:val="24"/>
          <w:szCs w:val="24"/>
        </w:rPr>
        <w:t xml:space="preserve">, of which no more than two were to be drawn from a single section of the syllabus. The minimum number of </w:t>
      </w:r>
      <w:r w:rsidR="00A3585B" w:rsidRPr="00AE141E">
        <w:rPr>
          <w:rFonts w:ascii="Times New Roman" w:hAnsi="Times New Roman" w:cs="Times New Roman"/>
          <w:sz w:val="24"/>
          <w:szCs w:val="24"/>
        </w:rPr>
        <w:t>sections to be studied was therefore two.</w:t>
      </w:r>
      <w:r w:rsidR="001D4593" w:rsidRPr="00AE141E">
        <w:rPr>
          <w:rFonts w:ascii="Times New Roman" w:hAnsi="Times New Roman" w:cs="Times New Roman"/>
          <w:sz w:val="24"/>
          <w:szCs w:val="24"/>
        </w:rPr>
        <w:t xml:space="preserve"> </w:t>
      </w:r>
    </w:p>
    <w:p w14:paraId="5C799C9E" w14:textId="63244D8B" w:rsidR="00600DF3" w:rsidRPr="00AE141E" w:rsidRDefault="005928A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t>
      </w:r>
      <w:r w:rsidR="00A3585B" w:rsidRPr="00AE141E">
        <w:rPr>
          <w:rFonts w:ascii="Times New Roman" w:hAnsi="Times New Roman" w:cs="Times New Roman"/>
          <w:sz w:val="24"/>
          <w:szCs w:val="24"/>
        </w:rPr>
        <w:t xml:space="preserve">syllabus’ </w:t>
      </w:r>
      <w:r w:rsidR="00594225" w:rsidRPr="00AE141E">
        <w:rPr>
          <w:rFonts w:ascii="Times New Roman" w:hAnsi="Times New Roman" w:cs="Times New Roman"/>
          <w:sz w:val="24"/>
          <w:szCs w:val="24"/>
        </w:rPr>
        <w:t xml:space="preserve">weighting </w:t>
      </w:r>
      <w:r w:rsidR="0057721D" w:rsidRPr="00AE141E">
        <w:rPr>
          <w:rFonts w:ascii="Times New Roman" w:hAnsi="Times New Roman" w:cs="Times New Roman"/>
          <w:sz w:val="24"/>
          <w:szCs w:val="24"/>
        </w:rPr>
        <w:t>gave</w:t>
      </w:r>
      <w:r w:rsidR="00594225" w:rsidRPr="00AE141E">
        <w:rPr>
          <w:rFonts w:ascii="Times New Roman" w:hAnsi="Times New Roman" w:cs="Times New Roman"/>
          <w:sz w:val="24"/>
          <w:szCs w:val="24"/>
        </w:rPr>
        <w:t xml:space="preserve"> some indication of the </w:t>
      </w:r>
      <w:r w:rsidR="00031DC6" w:rsidRPr="00AE141E">
        <w:rPr>
          <w:rFonts w:ascii="Times New Roman" w:hAnsi="Times New Roman" w:cs="Times New Roman"/>
          <w:sz w:val="24"/>
          <w:szCs w:val="24"/>
        </w:rPr>
        <w:t>B</w:t>
      </w:r>
      <w:r w:rsidR="00594225" w:rsidRPr="00AE141E">
        <w:rPr>
          <w:rFonts w:ascii="Times New Roman" w:hAnsi="Times New Roman" w:cs="Times New Roman"/>
          <w:sz w:val="24"/>
          <w:szCs w:val="24"/>
        </w:rPr>
        <w:t xml:space="preserve">oard’s priorities – leaving aside the </w:t>
      </w:r>
      <w:r w:rsidR="00EA7C5D" w:rsidRPr="00AE141E">
        <w:rPr>
          <w:rFonts w:ascii="Times New Roman" w:hAnsi="Times New Roman" w:cs="Times New Roman"/>
          <w:sz w:val="24"/>
          <w:szCs w:val="24"/>
        </w:rPr>
        <w:t xml:space="preserve">final section on international cooperation, Europe and North America </w:t>
      </w:r>
      <w:r w:rsidR="00360FD9" w:rsidRPr="00AE141E">
        <w:rPr>
          <w:rFonts w:ascii="Times New Roman" w:hAnsi="Times New Roman" w:cs="Times New Roman"/>
          <w:sz w:val="24"/>
          <w:szCs w:val="24"/>
        </w:rPr>
        <w:t xml:space="preserve">occupied more space on the syllabus than </w:t>
      </w:r>
      <w:r w:rsidR="00F231BC" w:rsidRPr="00AE141E">
        <w:rPr>
          <w:rFonts w:ascii="Times New Roman" w:hAnsi="Times New Roman" w:cs="Times New Roman"/>
          <w:sz w:val="24"/>
          <w:szCs w:val="24"/>
        </w:rPr>
        <w:t>the whole</w:t>
      </w:r>
      <w:r w:rsidR="0057721D" w:rsidRPr="00AE141E">
        <w:rPr>
          <w:rFonts w:ascii="Times New Roman" w:hAnsi="Times New Roman" w:cs="Times New Roman"/>
          <w:sz w:val="24"/>
          <w:szCs w:val="24"/>
        </w:rPr>
        <w:t xml:space="preserve"> </w:t>
      </w:r>
      <w:r w:rsidR="00F231BC" w:rsidRPr="00AE141E">
        <w:rPr>
          <w:rFonts w:ascii="Times New Roman" w:hAnsi="Times New Roman" w:cs="Times New Roman"/>
          <w:sz w:val="24"/>
          <w:szCs w:val="24"/>
        </w:rPr>
        <w:t>remainder of the globe.</w:t>
      </w:r>
      <w:r w:rsidR="003F6C9F">
        <w:rPr>
          <w:rStyle w:val="FootnoteReference"/>
          <w:rFonts w:ascii="Times New Roman" w:hAnsi="Times New Roman" w:cs="Times New Roman"/>
          <w:sz w:val="24"/>
          <w:szCs w:val="24"/>
        </w:rPr>
        <w:footnoteReference w:id="319"/>
      </w:r>
      <w:r w:rsidR="008576DD" w:rsidRPr="00AE141E">
        <w:rPr>
          <w:rFonts w:ascii="Times New Roman" w:hAnsi="Times New Roman" w:cs="Times New Roman"/>
          <w:sz w:val="24"/>
          <w:szCs w:val="24"/>
        </w:rPr>
        <w:t xml:space="preserve"> </w:t>
      </w:r>
      <w:r w:rsidR="00EE770A" w:rsidRPr="00AE141E">
        <w:rPr>
          <w:rFonts w:ascii="Times New Roman" w:hAnsi="Times New Roman" w:cs="Times New Roman"/>
          <w:sz w:val="24"/>
          <w:szCs w:val="24"/>
        </w:rPr>
        <w:t xml:space="preserve">Of the European and North American states, the USA and the USSR attracted most attention: </w:t>
      </w:r>
      <w:r w:rsidR="00490681" w:rsidRPr="00AE141E">
        <w:rPr>
          <w:rFonts w:ascii="Times New Roman" w:hAnsi="Times New Roman" w:cs="Times New Roman"/>
          <w:sz w:val="24"/>
          <w:szCs w:val="24"/>
        </w:rPr>
        <w:t xml:space="preserve">the syllabus devoted just three short bullet points to the study of Canada </w:t>
      </w:r>
      <w:r w:rsidR="0063517F" w:rsidRPr="00AE141E">
        <w:rPr>
          <w:rFonts w:ascii="Times New Roman" w:hAnsi="Times New Roman" w:cs="Times New Roman"/>
          <w:sz w:val="24"/>
          <w:szCs w:val="24"/>
        </w:rPr>
        <w:t>under the rubric of</w:t>
      </w:r>
      <w:r w:rsidR="00490681" w:rsidRPr="00AE141E">
        <w:rPr>
          <w:rFonts w:ascii="Times New Roman" w:hAnsi="Times New Roman" w:cs="Times New Roman"/>
          <w:sz w:val="24"/>
          <w:szCs w:val="24"/>
        </w:rPr>
        <w:t xml:space="preserve"> North America, </w:t>
      </w:r>
      <w:r w:rsidR="0063517F" w:rsidRPr="00AE141E">
        <w:rPr>
          <w:rFonts w:ascii="Times New Roman" w:hAnsi="Times New Roman" w:cs="Times New Roman"/>
          <w:sz w:val="24"/>
          <w:szCs w:val="24"/>
        </w:rPr>
        <w:t>compared to the eight</w:t>
      </w:r>
      <w:r w:rsidR="000D1152" w:rsidRPr="00AE141E">
        <w:rPr>
          <w:rFonts w:ascii="Times New Roman" w:hAnsi="Times New Roman" w:cs="Times New Roman"/>
          <w:sz w:val="24"/>
          <w:szCs w:val="24"/>
        </w:rPr>
        <w:t xml:space="preserve"> detailed points given to the USA, while the USSR received its </w:t>
      </w:r>
      <w:r w:rsidR="004D7C9C" w:rsidRPr="00AE141E">
        <w:rPr>
          <w:rFonts w:ascii="Times New Roman" w:hAnsi="Times New Roman" w:cs="Times New Roman"/>
          <w:sz w:val="24"/>
          <w:szCs w:val="24"/>
        </w:rPr>
        <w:t>own section.</w:t>
      </w:r>
      <w:r w:rsidR="00490681" w:rsidRPr="00AE141E">
        <w:rPr>
          <w:rFonts w:ascii="Times New Roman" w:hAnsi="Times New Roman" w:cs="Times New Roman"/>
          <w:sz w:val="24"/>
          <w:szCs w:val="24"/>
        </w:rPr>
        <w:t xml:space="preserve"> </w:t>
      </w:r>
      <w:r w:rsidR="00134C79" w:rsidRPr="00AE141E">
        <w:rPr>
          <w:rFonts w:ascii="Times New Roman" w:hAnsi="Times New Roman" w:cs="Times New Roman"/>
          <w:sz w:val="24"/>
          <w:szCs w:val="24"/>
        </w:rPr>
        <w:t>All other</w:t>
      </w:r>
      <w:r w:rsidR="005F1FA2" w:rsidRPr="00AE141E">
        <w:rPr>
          <w:rFonts w:ascii="Times New Roman" w:hAnsi="Times New Roman" w:cs="Times New Roman"/>
          <w:sz w:val="24"/>
          <w:szCs w:val="24"/>
        </w:rPr>
        <w:t xml:space="preserve"> (</w:t>
      </w:r>
      <w:r w:rsidR="0094289D" w:rsidRPr="00AE141E">
        <w:rPr>
          <w:rFonts w:ascii="Times New Roman" w:hAnsi="Times New Roman" w:cs="Times New Roman"/>
          <w:sz w:val="24"/>
          <w:szCs w:val="24"/>
        </w:rPr>
        <w:t>regionally focused</w:t>
      </w:r>
      <w:r w:rsidR="005F1FA2" w:rsidRPr="00AE141E">
        <w:rPr>
          <w:rFonts w:ascii="Times New Roman" w:hAnsi="Times New Roman" w:cs="Times New Roman"/>
          <w:sz w:val="24"/>
          <w:szCs w:val="24"/>
        </w:rPr>
        <w:t>)</w:t>
      </w:r>
      <w:r w:rsidR="00134C79" w:rsidRPr="00AE141E">
        <w:rPr>
          <w:rFonts w:ascii="Times New Roman" w:hAnsi="Times New Roman" w:cs="Times New Roman"/>
          <w:sz w:val="24"/>
          <w:szCs w:val="24"/>
        </w:rPr>
        <w:t xml:space="preserve"> sections of the syllabus included at least one </w:t>
      </w:r>
      <w:r w:rsidR="007966DA" w:rsidRPr="00AE141E">
        <w:rPr>
          <w:rFonts w:ascii="Times New Roman" w:hAnsi="Times New Roman" w:cs="Times New Roman"/>
          <w:sz w:val="24"/>
          <w:szCs w:val="24"/>
        </w:rPr>
        <w:t xml:space="preserve">bullet point covering </w:t>
      </w:r>
      <w:r w:rsidR="005F1FA2" w:rsidRPr="00AE141E">
        <w:rPr>
          <w:rFonts w:ascii="Times New Roman" w:hAnsi="Times New Roman" w:cs="Times New Roman"/>
          <w:sz w:val="24"/>
          <w:szCs w:val="24"/>
        </w:rPr>
        <w:t xml:space="preserve">the relationships of the USA or the USSR with that region. </w:t>
      </w:r>
      <w:r w:rsidR="00F147D0" w:rsidRPr="00AE141E">
        <w:rPr>
          <w:rFonts w:ascii="Times New Roman" w:hAnsi="Times New Roman" w:cs="Times New Roman"/>
          <w:sz w:val="24"/>
          <w:szCs w:val="24"/>
        </w:rPr>
        <w:t xml:space="preserve">It was therefore possible, and perhaps even likely, that candidates </w:t>
      </w:r>
      <w:r w:rsidR="00FB489F" w:rsidRPr="00AE141E">
        <w:rPr>
          <w:rFonts w:ascii="Times New Roman" w:hAnsi="Times New Roman" w:cs="Times New Roman"/>
          <w:sz w:val="24"/>
          <w:szCs w:val="24"/>
        </w:rPr>
        <w:t>c</w:t>
      </w:r>
      <w:r w:rsidR="00F147D0" w:rsidRPr="00AE141E">
        <w:rPr>
          <w:rFonts w:ascii="Times New Roman" w:hAnsi="Times New Roman" w:cs="Times New Roman"/>
          <w:sz w:val="24"/>
          <w:szCs w:val="24"/>
        </w:rPr>
        <w:t xml:space="preserve">ould </w:t>
      </w:r>
      <w:r w:rsidR="00FB489F" w:rsidRPr="00AE141E">
        <w:rPr>
          <w:rFonts w:ascii="Times New Roman" w:hAnsi="Times New Roman" w:cs="Times New Roman"/>
          <w:sz w:val="24"/>
          <w:szCs w:val="24"/>
        </w:rPr>
        <w:t>choose to be examined excl</w:t>
      </w:r>
      <w:r w:rsidR="00D21AB6" w:rsidRPr="00AE141E">
        <w:rPr>
          <w:rFonts w:ascii="Times New Roman" w:hAnsi="Times New Roman" w:cs="Times New Roman"/>
          <w:sz w:val="24"/>
          <w:szCs w:val="24"/>
        </w:rPr>
        <w:t>usively upon their knowledge of the internal histories and external policies of the Cold War ‘superpowers’.</w:t>
      </w:r>
    </w:p>
    <w:p w14:paraId="5A38E1C4" w14:textId="56B25CEF" w:rsidR="005E6436" w:rsidRPr="00AE141E" w:rsidRDefault="005C2E0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Those who did decide to teach or study the histories of ‘Africa and the Middle East’, or ‘Southern Asia and the Far East’, </w:t>
      </w:r>
      <w:r w:rsidR="00E4050E" w:rsidRPr="00AE141E">
        <w:rPr>
          <w:rFonts w:ascii="Times New Roman" w:hAnsi="Times New Roman" w:cs="Times New Roman"/>
          <w:sz w:val="24"/>
          <w:szCs w:val="24"/>
        </w:rPr>
        <w:t>were directed towards a distinct</w:t>
      </w:r>
      <w:r w:rsidR="0007000A" w:rsidRPr="00AE141E">
        <w:rPr>
          <w:rFonts w:ascii="Times New Roman" w:hAnsi="Times New Roman" w:cs="Times New Roman"/>
          <w:sz w:val="24"/>
          <w:szCs w:val="24"/>
        </w:rPr>
        <w:t>ly colon</w:t>
      </w:r>
      <w:r w:rsidR="00F3234A" w:rsidRPr="00AE141E">
        <w:rPr>
          <w:rFonts w:ascii="Times New Roman" w:hAnsi="Times New Roman" w:cs="Times New Roman"/>
          <w:sz w:val="24"/>
          <w:szCs w:val="24"/>
        </w:rPr>
        <w:t xml:space="preserve">ial understanding by the </w:t>
      </w:r>
      <w:r w:rsidR="00031DC6" w:rsidRPr="00AE141E">
        <w:rPr>
          <w:rFonts w:ascii="Times New Roman" w:hAnsi="Times New Roman" w:cs="Times New Roman"/>
          <w:sz w:val="24"/>
          <w:szCs w:val="24"/>
        </w:rPr>
        <w:t>B</w:t>
      </w:r>
      <w:r w:rsidR="00F3234A" w:rsidRPr="00AE141E">
        <w:rPr>
          <w:rFonts w:ascii="Times New Roman" w:hAnsi="Times New Roman" w:cs="Times New Roman"/>
          <w:sz w:val="24"/>
          <w:szCs w:val="24"/>
        </w:rPr>
        <w:t>oard</w:t>
      </w:r>
      <w:r w:rsidR="00C8073C" w:rsidRPr="00AE141E">
        <w:rPr>
          <w:rFonts w:ascii="Times New Roman" w:hAnsi="Times New Roman" w:cs="Times New Roman"/>
          <w:sz w:val="24"/>
          <w:szCs w:val="24"/>
        </w:rPr>
        <w:t>’s guidelines</w:t>
      </w:r>
      <w:r w:rsidR="00F3234A" w:rsidRPr="00AE141E">
        <w:rPr>
          <w:rFonts w:ascii="Times New Roman" w:hAnsi="Times New Roman" w:cs="Times New Roman"/>
          <w:sz w:val="24"/>
          <w:szCs w:val="24"/>
        </w:rPr>
        <w:t xml:space="preserve">. </w:t>
      </w:r>
      <w:r w:rsidR="00E56EDB" w:rsidRPr="00AE141E">
        <w:rPr>
          <w:rFonts w:ascii="Times New Roman" w:hAnsi="Times New Roman" w:cs="Times New Roman"/>
          <w:sz w:val="24"/>
          <w:szCs w:val="24"/>
        </w:rPr>
        <w:t xml:space="preserve">The syllabus on </w:t>
      </w:r>
      <w:r w:rsidR="00B55D66" w:rsidRPr="00AE141E">
        <w:rPr>
          <w:rFonts w:ascii="Times New Roman" w:hAnsi="Times New Roman" w:cs="Times New Roman"/>
          <w:sz w:val="24"/>
          <w:szCs w:val="24"/>
        </w:rPr>
        <w:t>Africa (itself a</w:t>
      </w:r>
      <w:r w:rsidR="00476492" w:rsidRPr="00AE141E">
        <w:rPr>
          <w:rFonts w:ascii="Times New Roman" w:hAnsi="Times New Roman" w:cs="Times New Roman"/>
          <w:sz w:val="24"/>
          <w:szCs w:val="24"/>
        </w:rPr>
        <w:t xml:space="preserve">n insultingly homogenising category of analysis) was bookended by </w:t>
      </w:r>
      <w:r w:rsidR="00697332" w:rsidRPr="00AE141E">
        <w:rPr>
          <w:rFonts w:ascii="Times New Roman" w:hAnsi="Times New Roman" w:cs="Times New Roman"/>
          <w:sz w:val="24"/>
          <w:szCs w:val="24"/>
        </w:rPr>
        <w:t xml:space="preserve">points concerning foreign intervention in the </w:t>
      </w:r>
      <w:r w:rsidR="00697332" w:rsidRPr="00AE141E">
        <w:rPr>
          <w:rFonts w:ascii="Times New Roman" w:hAnsi="Times New Roman" w:cs="Times New Roman"/>
          <w:sz w:val="24"/>
          <w:szCs w:val="24"/>
        </w:rPr>
        <w:lastRenderedPageBreak/>
        <w:t xml:space="preserve">continent </w:t>
      </w:r>
      <w:r w:rsidR="000A45CD" w:rsidRPr="00AE141E">
        <w:rPr>
          <w:rFonts w:ascii="Times New Roman" w:hAnsi="Times New Roman" w:cs="Times New Roman"/>
          <w:sz w:val="24"/>
          <w:szCs w:val="24"/>
        </w:rPr>
        <w:t>(</w:t>
      </w:r>
      <w:r w:rsidR="00697332" w:rsidRPr="00AE141E">
        <w:rPr>
          <w:rFonts w:ascii="Times New Roman" w:hAnsi="Times New Roman" w:cs="Times New Roman"/>
          <w:sz w:val="24"/>
          <w:szCs w:val="24"/>
        </w:rPr>
        <w:t>‘</w:t>
      </w:r>
      <w:r w:rsidR="000A45CD" w:rsidRPr="00AE141E">
        <w:rPr>
          <w:rFonts w:ascii="Times New Roman" w:hAnsi="Times New Roman" w:cs="Times New Roman"/>
          <w:sz w:val="24"/>
          <w:szCs w:val="24"/>
        </w:rPr>
        <w:t>t</w:t>
      </w:r>
      <w:r w:rsidR="00B30986" w:rsidRPr="00AE141E">
        <w:rPr>
          <w:rFonts w:ascii="Times New Roman" w:hAnsi="Times New Roman" w:cs="Times New Roman"/>
          <w:sz w:val="24"/>
          <w:szCs w:val="24"/>
        </w:rPr>
        <w:t xml:space="preserve">he transfer of power since 1945 and its problems’, </w:t>
      </w:r>
      <w:r w:rsidR="000A45CD" w:rsidRPr="00AE141E">
        <w:rPr>
          <w:rFonts w:ascii="Times New Roman" w:hAnsi="Times New Roman" w:cs="Times New Roman"/>
          <w:sz w:val="24"/>
          <w:szCs w:val="24"/>
        </w:rPr>
        <w:t>and ‘Africa and Europe’).</w:t>
      </w:r>
      <w:r w:rsidR="00727C5A" w:rsidRPr="00AE141E">
        <w:rPr>
          <w:rStyle w:val="FootnoteReference"/>
          <w:rFonts w:ascii="Times New Roman" w:hAnsi="Times New Roman" w:cs="Times New Roman"/>
          <w:sz w:val="24"/>
          <w:szCs w:val="24"/>
        </w:rPr>
        <w:footnoteReference w:id="320"/>
      </w:r>
      <w:r w:rsidR="000A45CD" w:rsidRPr="00AE141E">
        <w:rPr>
          <w:rFonts w:ascii="Times New Roman" w:hAnsi="Times New Roman" w:cs="Times New Roman"/>
          <w:sz w:val="24"/>
          <w:szCs w:val="24"/>
        </w:rPr>
        <w:t xml:space="preserve"> </w:t>
      </w:r>
      <w:r w:rsidR="00727C5A" w:rsidRPr="00AE141E">
        <w:rPr>
          <w:rFonts w:ascii="Times New Roman" w:hAnsi="Times New Roman" w:cs="Times New Roman"/>
          <w:sz w:val="24"/>
          <w:szCs w:val="24"/>
        </w:rPr>
        <w:t>This</w:t>
      </w:r>
      <w:r w:rsidR="000A45CD" w:rsidRPr="00AE141E">
        <w:rPr>
          <w:rFonts w:ascii="Times New Roman" w:hAnsi="Times New Roman" w:cs="Times New Roman"/>
          <w:sz w:val="24"/>
          <w:szCs w:val="24"/>
        </w:rPr>
        <w:t xml:space="preserve"> accounted for one quarter of the </w:t>
      </w:r>
      <w:r w:rsidR="00976CFD" w:rsidRPr="00AE141E">
        <w:rPr>
          <w:rFonts w:ascii="Times New Roman" w:hAnsi="Times New Roman" w:cs="Times New Roman"/>
          <w:sz w:val="24"/>
          <w:szCs w:val="24"/>
        </w:rPr>
        <w:t xml:space="preserve">specified topics. </w:t>
      </w:r>
      <w:r w:rsidR="00A5590D" w:rsidRPr="00AE141E">
        <w:rPr>
          <w:rFonts w:ascii="Times New Roman" w:hAnsi="Times New Roman" w:cs="Times New Roman"/>
          <w:sz w:val="24"/>
          <w:szCs w:val="24"/>
        </w:rPr>
        <w:t>The remainder of the topics on the list</w:t>
      </w:r>
      <w:r w:rsidR="007978BF" w:rsidRPr="00AE141E">
        <w:rPr>
          <w:rFonts w:ascii="Times New Roman" w:hAnsi="Times New Roman" w:cs="Times New Roman"/>
          <w:sz w:val="24"/>
          <w:szCs w:val="24"/>
        </w:rPr>
        <w:t xml:space="preserve"> were narrated primarily through </w:t>
      </w:r>
      <w:r w:rsidR="00E127D5" w:rsidRPr="00AE141E">
        <w:rPr>
          <w:rFonts w:ascii="Times New Roman" w:hAnsi="Times New Roman" w:cs="Times New Roman"/>
          <w:sz w:val="24"/>
          <w:szCs w:val="24"/>
        </w:rPr>
        <w:t>the lens of post</w:t>
      </w:r>
      <w:r w:rsidR="003C4B8A" w:rsidRPr="00AE141E">
        <w:rPr>
          <w:rFonts w:ascii="Times New Roman" w:hAnsi="Times New Roman" w:cs="Times New Roman"/>
          <w:sz w:val="24"/>
          <w:szCs w:val="24"/>
        </w:rPr>
        <w:t>-independence ‘problems’.</w:t>
      </w:r>
      <w:r w:rsidR="00526A32" w:rsidRPr="00AE141E">
        <w:rPr>
          <w:rFonts w:ascii="Times New Roman" w:hAnsi="Times New Roman" w:cs="Times New Roman"/>
          <w:sz w:val="24"/>
          <w:szCs w:val="24"/>
        </w:rPr>
        <w:t xml:space="preserve"> </w:t>
      </w:r>
      <w:r w:rsidR="00FD5969" w:rsidRPr="00AE141E">
        <w:rPr>
          <w:rFonts w:ascii="Times New Roman" w:hAnsi="Times New Roman" w:cs="Times New Roman"/>
          <w:sz w:val="24"/>
          <w:szCs w:val="24"/>
        </w:rPr>
        <w:t>Bullet points directing candidates to study</w:t>
      </w:r>
      <w:r w:rsidR="00FA2FBA" w:rsidRPr="00AE141E">
        <w:rPr>
          <w:rFonts w:ascii="Times New Roman" w:hAnsi="Times New Roman" w:cs="Times New Roman"/>
          <w:sz w:val="24"/>
          <w:szCs w:val="24"/>
        </w:rPr>
        <w:t xml:space="preserve"> the ‘e</w:t>
      </w:r>
      <w:r w:rsidR="007534ED" w:rsidRPr="00AE141E">
        <w:rPr>
          <w:rFonts w:ascii="Times New Roman" w:hAnsi="Times New Roman" w:cs="Times New Roman"/>
          <w:sz w:val="24"/>
          <w:szCs w:val="24"/>
        </w:rPr>
        <w:t xml:space="preserve">conomic and social problems of newly </w:t>
      </w:r>
      <w:r w:rsidR="00FA2FBA" w:rsidRPr="00AE141E">
        <w:rPr>
          <w:rFonts w:ascii="Times New Roman" w:hAnsi="Times New Roman" w:cs="Times New Roman"/>
          <w:sz w:val="24"/>
          <w:szCs w:val="24"/>
        </w:rPr>
        <w:t>e</w:t>
      </w:r>
      <w:r w:rsidR="007534ED" w:rsidRPr="00AE141E">
        <w:rPr>
          <w:rFonts w:ascii="Times New Roman" w:hAnsi="Times New Roman" w:cs="Times New Roman"/>
          <w:sz w:val="24"/>
          <w:szCs w:val="24"/>
        </w:rPr>
        <w:t>merging African states</w:t>
      </w:r>
      <w:r w:rsidR="00FA2FBA" w:rsidRPr="00AE141E">
        <w:rPr>
          <w:rFonts w:ascii="Times New Roman" w:hAnsi="Times New Roman" w:cs="Times New Roman"/>
          <w:sz w:val="24"/>
          <w:szCs w:val="24"/>
        </w:rPr>
        <w:t xml:space="preserve">’, </w:t>
      </w:r>
      <w:r w:rsidR="00136525" w:rsidRPr="00AE141E">
        <w:rPr>
          <w:rFonts w:ascii="Times New Roman" w:hAnsi="Times New Roman" w:cs="Times New Roman"/>
          <w:sz w:val="24"/>
          <w:szCs w:val="24"/>
        </w:rPr>
        <w:t>‘p</w:t>
      </w:r>
      <w:r w:rsidR="007534ED" w:rsidRPr="00AE141E">
        <w:rPr>
          <w:rFonts w:ascii="Times New Roman" w:hAnsi="Times New Roman" w:cs="Times New Roman"/>
          <w:sz w:val="24"/>
          <w:szCs w:val="24"/>
        </w:rPr>
        <w:t>roblems of plural societies</w:t>
      </w:r>
      <w:r w:rsidR="00021003" w:rsidRPr="00AE141E">
        <w:rPr>
          <w:rFonts w:ascii="Times New Roman" w:hAnsi="Times New Roman" w:cs="Times New Roman"/>
          <w:sz w:val="24"/>
          <w:szCs w:val="24"/>
        </w:rPr>
        <w:t>’, ‘t</w:t>
      </w:r>
      <w:r w:rsidR="007534ED" w:rsidRPr="00AE141E">
        <w:rPr>
          <w:rFonts w:ascii="Times New Roman" w:hAnsi="Times New Roman" w:cs="Times New Roman"/>
          <w:sz w:val="24"/>
          <w:szCs w:val="24"/>
        </w:rPr>
        <w:t>he Republic of South Africa and its race problems</w:t>
      </w:r>
      <w:r w:rsidR="00021003" w:rsidRPr="00AE141E">
        <w:rPr>
          <w:rFonts w:ascii="Times New Roman" w:hAnsi="Times New Roman" w:cs="Times New Roman"/>
          <w:sz w:val="24"/>
          <w:szCs w:val="24"/>
        </w:rPr>
        <w:t>’</w:t>
      </w:r>
      <w:r w:rsidR="005E1DAA" w:rsidRPr="00AE141E">
        <w:rPr>
          <w:rFonts w:ascii="Times New Roman" w:hAnsi="Times New Roman" w:cs="Times New Roman"/>
          <w:sz w:val="24"/>
          <w:szCs w:val="24"/>
        </w:rPr>
        <w:t xml:space="preserve"> revealed a p</w:t>
      </w:r>
      <w:r w:rsidR="000A25D1" w:rsidRPr="00AE141E">
        <w:rPr>
          <w:rFonts w:ascii="Times New Roman" w:hAnsi="Times New Roman" w:cs="Times New Roman"/>
          <w:sz w:val="24"/>
          <w:szCs w:val="24"/>
        </w:rPr>
        <w:t>atronising attitude which pathologized the continent as a space of permanent, inveterate conflict. No attempt was made to link these conflicts to the legacies of colonial and neo-colonial foreign involvement.</w:t>
      </w:r>
    </w:p>
    <w:p w14:paraId="43C2FAA0" w14:textId="4869B4CF" w:rsidR="00BC4F57" w:rsidRPr="00AE141E" w:rsidRDefault="004F777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Even w</w:t>
      </w:r>
      <w:r w:rsidR="00600DF3" w:rsidRPr="00AE141E">
        <w:rPr>
          <w:rFonts w:ascii="Times New Roman" w:hAnsi="Times New Roman" w:cs="Times New Roman"/>
          <w:sz w:val="24"/>
          <w:szCs w:val="24"/>
        </w:rPr>
        <w:t xml:space="preserve">hen presented with </w:t>
      </w:r>
      <w:r w:rsidR="00423298" w:rsidRPr="00AE141E">
        <w:rPr>
          <w:rFonts w:ascii="Times New Roman" w:hAnsi="Times New Roman" w:cs="Times New Roman"/>
          <w:sz w:val="24"/>
          <w:szCs w:val="24"/>
        </w:rPr>
        <w:t>a</w:t>
      </w:r>
      <w:r w:rsidR="00600DF3" w:rsidRPr="00AE141E">
        <w:rPr>
          <w:rFonts w:ascii="Times New Roman" w:hAnsi="Times New Roman" w:cs="Times New Roman"/>
          <w:sz w:val="24"/>
          <w:szCs w:val="24"/>
        </w:rPr>
        <w:t xml:space="preserve"> choice,</w:t>
      </w:r>
      <w:r w:rsidR="00423298" w:rsidRPr="00AE141E">
        <w:rPr>
          <w:rFonts w:ascii="Times New Roman" w:hAnsi="Times New Roman" w:cs="Times New Roman"/>
          <w:sz w:val="24"/>
          <w:szCs w:val="24"/>
        </w:rPr>
        <w:t xml:space="preserve"> </w:t>
      </w:r>
      <w:r w:rsidR="00600DF3" w:rsidRPr="00AE141E">
        <w:rPr>
          <w:rFonts w:ascii="Times New Roman" w:hAnsi="Times New Roman" w:cs="Times New Roman"/>
          <w:sz w:val="24"/>
          <w:szCs w:val="24"/>
        </w:rPr>
        <w:t xml:space="preserve">teachers and students would often opt for topics </w:t>
      </w:r>
      <w:r w:rsidRPr="00AE141E">
        <w:rPr>
          <w:rFonts w:ascii="Times New Roman" w:hAnsi="Times New Roman" w:cs="Times New Roman"/>
          <w:sz w:val="24"/>
          <w:szCs w:val="24"/>
        </w:rPr>
        <w:t>with</w:t>
      </w:r>
      <w:r w:rsidR="00165B0B" w:rsidRPr="00AE141E">
        <w:rPr>
          <w:rFonts w:ascii="Times New Roman" w:hAnsi="Times New Roman" w:cs="Times New Roman"/>
          <w:sz w:val="24"/>
          <w:szCs w:val="24"/>
        </w:rPr>
        <w:t xml:space="preserve"> an emphasis on the actions and impact of the ‘great powers’ and ‘superpowers’.</w:t>
      </w:r>
      <w:r w:rsidR="00600DF3" w:rsidRPr="00AE141E">
        <w:rPr>
          <w:rFonts w:ascii="Times New Roman" w:hAnsi="Times New Roman" w:cs="Times New Roman"/>
          <w:sz w:val="24"/>
          <w:szCs w:val="24"/>
        </w:rPr>
        <w:t xml:space="preserve"> In 1971, the Associated Examining Board required </w:t>
      </w:r>
      <w:r w:rsidR="00CB5BEF" w:rsidRPr="00AE141E">
        <w:rPr>
          <w:rFonts w:ascii="Times New Roman" w:hAnsi="Times New Roman" w:cs="Times New Roman"/>
          <w:sz w:val="24"/>
          <w:szCs w:val="24"/>
        </w:rPr>
        <w:t xml:space="preserve">A </w:t>
      </w:r>
      <w:r w:rsidR="00AF2389" w:rsidRPr="00AE141E">
        <w:rPr>
          <w:rFonts w:ascii="Times New Roman" w:hAnsi="Times New Roman" w:cs="Times New Roman"/>
          <w:sz w:val="24"/>
          <w:szCs w:val="24"/>
        </w:rPr>
        <w:t>L</w:t>
      </w:r>
      <w:r w:rsidR="00CB5BEF" w:rsidRPr="00AE141E">
        <w:rPr>
          <w:rFonts w:ascii="Times New Roman" w:hAnsi="Times New Roman" w:cs="Times New Roman"/>
          <w:sz w:val="24"/>
          <w:szCs w:val="24"/>
        </w:rPr>
        <w:t>evel</w:t>
      </w:r>
      <w:r w:rsidR="00600DF3" w:rsidRPr="00AE141E">
        <w:rPr>
          <w:rFonts w:ascii="Times New Roman" w:hAnsi="Times New Roman" w:cs="Times New Roman"/>
          <w:sz w:val="24"/>
          <w:szCs w:val="24"/>
        </w:rPr>
        <w:t xml:space="preserve"> candidates to choose two papers from a set of four encompassing English history, European history, a series of special subjects (monasticism; English trade and its European background; the ‘Age of Discovery’; the English Revolution; English working-class movements in the nineteenth century; the Russian Revolution; and ‘Africa South of the Sahara’), and options on the USA, the British empire, and ‘Britain and World Affairs 1870-1945’.</w:t>
      </w:r>
      <w:r w:rsidR="00600DF3" w:rsidRPr="00AE141E">
        <w:rPr>
          <w:rStyle w:val="FootnoteReference"/>
          <w:rFonts w:ascii="Times New Roman" w:hAnsi="Times New Roman" w:cs="Times New Roman"/>
          <w:sz w:val="24"/>
          <w:szCs w:val="24"/>
        </w:rPr>
        <w:footnoteReference w:id="321"/>
      </w:r>
      <w:r w:rsidR="00600DF3" w:rsidRPr="00AE141E">
        <w:rPr>
          <w:rFonts w:ascii="Times New Roman" w:hAnsi="Times New Roman" w:cs="Times New Roman"/>
          <w:sz w:val="24"/>
          <w:szCs w:val="24"/>
        </w:rPr>
        <w:t xml:space="preserve"> The latter was primarily focused on the political history of diplomacy and international relations. </w:t>
      </w:r>
    </w:p>
    <w:p w14:paraId="4E43FF1B" w14:textId="5E9F0A05" w:rsidR="00600DF3" w:rsidRPr="00AE141E" w:rsidRDefault="00600DF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There </w:t>
      </w:r>
      <w:r w:rsidR="002B3190" w:rsidRPr="00AE141E">
        <w:rPr>
          <w:rFonts w:ascii="Times New Roman" w:hAnsi="Times New Roman" w:cs="Times New Roman"/>
          <w:sz w:val="24"/>
          <w:szCs w:val="24"/>
        </w:rPr>
        <w:t>were</w:t>
      </w:r>
      <w:r w:rsidRPr="00AE141E">
        <w:rPr>
          <w:rFonts w:ascii="Times New Roman" w:hAnsi="Times New Roman" w:cs="Times New Roman"/>
          <w:sz w:val="24"/>
          <w:szCs w:val="24"/>
        </w:rPr>
        <w:t xml:space="preserve"> 2,610 entries for the English and</w:t>
      </w:r>
      <w:r w:rsidR="002B3190"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European history papers, which together </w:t>
      </w:r>
      <w:r w:rsidR="001713F6" w:rsidRPr="00AE141E">
        <w:rPr>
          <w:rFonts w:ascii="Times New Roman" w:hAnsi="Times New Roman" w:cs="Times New Roman"/>
          <w:sz w:val="24"/>
          <w:szCs w:val="24"/>
        </w:rPr>
        <w:t>represented</w:t>
      </w:r>
      <w:r w:rsidRPr="00AE141E">
        <w:rPr>
          <w:rFonts w:ascii="Times New Roman" w:hAnsi="Times New Roman" w:cs="Times New Roman"/>
          <w:sz w:val="24"/>
          <w:szCs w:val="24"/>
        </w:rPr>
        <w:t xml:space="preserve"> the bulk of the candidates.</w:t>
      </w:r>
      <w:r w:rsidRPr="00AE141E">
        <w:rPr>
          <w:rStyle w:val="FootnoteReference"/>
          <w:rFonts w:ascii="Times New Roman" w:hAnsi="Times New Roman" w:cs="Times New Roman"/>
          <w:sz w:val="24"/>
          <w:szCs w:val="24"/>
        </w:rPr>
        <w:footnoteReference w:id="322"/>
      </w:r>
      <w:r w:rsidRPr="00AE141E">
        <w:rPr>
          <w:rFonts w:ascii="Times New Roman" w:hAnsi="Times New Roman" w:cs="Times New Roman"/>
          <w:sz w:val="24"/>
          <w:szCs w:val="24"/>
        </w:rPr>
        <w:t xml:space="preserve"> Other papers with an exclusively English focus (monasticism, the English Revolution, English working-class movements) gained 437 entries. Of the remaining papers, the most and least popular were, in descending order: Britain and world affairs (183 entries); the USA (155); the Russian Revolution (99); the ‘Age of Discovery’ (48); the British empire (29); ‘Africa South of the Sahara’ (7).</w:t>
      </w:r>
      <w:r w:rsidR="00BA1D52" w:rsidRPr="00AE141E">
        <w:rPr>
          <w:rFonts w:ascii="Times New Roman" w:hAnsi="Times New Roman" w:cs="Times New Roman"/>
          <w:sz w:val="24"/>
          <w:szCs w:val="24"/>
        </w:rPr>
        <w:t xml:space="preserve"> </w:t>
      </w:r>
      <w:r w:rsidRPr="00AE141E">
        <w:rPr>
          <w:rFonts w:ascii="Times New Roman" w:hAnsi="Times New Roman" w:cs="Times New Roman"/>
          <w:sz w:val="24"/>
          <w:szCs w:val="24"/>
        </w:rPr>
        <w:t>Teachers and students expressed a clear preference for the safety of international relations, North American, and European topics; tellingly, the most genuinely innovative of the options presented – ‘Africa South of the Sahara’ – attracted by some way the lowest number of entries.</w:t>
      </w:r>
    </w:p>
    <w:p w14:paraId="00B33315" w14:textId="06431EDA" w:rsidR="007646C9" w:rsidRPr="00AE141E" w:rsidRDefault="00BA458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The powerful trend towards </w:t>
      </w:r>
      <w:r w:rsidR="008B78E5" w:rsidRPr="00AE141E">
        <w:rPr>
          <w:rFonts w:ascii="Times New Roman" w:hAnsi="Times New Roman" w:cs="Times New Roman"/>
          <w:sz w:val="24"/>
          <w:szCs w:val="24"/>
        </w:rPr>
        <w:t>specific</w:t>
      </w:r>
      <w:r w:rsidR="00A860D3" w:rsidRPr="00AE141E">
        <w:rPr>
          <w:rFonts w:ascii="Times New Roman" w:hAnsi="Times New Roman" w:cs="Times New Roman"/>
          <w:sz w:val="24"/>
          <w:szCs w:val="24"/>
        </w:rPr>
        <w:t xml:space="preserve"> themes and topics in the study of world history for examination classes was not arbitrary – rather, it was born out of a particular understanding of the twentieth century world and of Britain’s place within it. </w:t>
      </w:r>
      <w:r w:rsidR="00544BEB" w:rsidRPr="00AE141E">
        <w:rPr>
          <w:rFonts w:ascii="Times New Roman" w:hAnsi="Times New Roman" w:cs="Times New Roman"/>
          <w:sz w:val="24"/>
          <w:szCs w:val="24"/>
        </w:rPr>
        <w:t>C</w:t>
      </w:r>
      <w:r w:rsidR="00547924" w:rsidRPr="00AE141E">
        <w:rPr>
          <w:rFonts w:ascii="Times New Roman" w:hAnsi="Times New Roman" w:cs="Times New Roman"/>
          <w:sz w:val="24"/>
          <w:szCs w:val="24"/>
        </w:rPr>
        <w:t>ann</w:t>
      </w:r>
      <w:r w:rsidR="00951EA4" w:rsidRPr="00AE141E">
        <w:rPr>
          <w:rFonts w:ascii="Times New Roman" w:hAnsi="Times New Roman" w:cs="Times New Roman"/>
          <w:sz w:val="24"/>
          <w:szCs w:val="24"/>
        </w:rPr>
        <w:t>a</w:t>
      </w:r>
      <w:r w:rsidR="00547924" w:rsidRPr="00AE141E">
        <w:rPr>
          <w:rFonts w:ascii="Times New Roman" w:hAnsi="Times New Roman" w:cs="Times New Roman"/>
          <w:sz w:val="24"/>
          <w:szCs w:val="24"/>
        </w:rPr>
        <w:t xml:space="preserve">dine, Keating, and Sheldon </w:t>
      </w:r>
      <w:r w:rsidR="00021C93" w:rsidRPr="00AE141E">
        <w:rPr>
          <w:rFonts w:ascii="Times New Roman" w:hAnsi="Times New Roman" w:cs="Times New Roman"/>
          <w:sz w:val="24"/>
          <w:szCs w:val="24"/>
        </w:rPr>
        <w:t>have stressed the inadequacy of the old narrative of the national past, ‘</w:t>
      </w:r>
      <w:r w:rsidR="00EF5CAE" w:rsidRPr="00AE141E">
        <w:rPr>
          <w:rFonts w:ascii="Times New Roman" w:hAnsi="Times New Roman" w:cs="Times New Roman"/>
          <w:sz w:val="24"/>
          <w:szCs w:val="24"/>
        </w:rPr>
        <w:t>which had previously culminated in the nineteenth century era of global greatness</w:t>
      </w:r>
      <w:r w:rsidR="00021C93" w:rsidRPr="00AE141E">
        <w:rPr>
          <w:rFonts w:ascii="Times New Roman" w:hAnsi="Times New Roman" w:cs="Times New Roman"/>
          <w:sz w:val="24"/>
          <w:szCs w:val="24"/>
        </w:rPr>
        <w:t>’ to an era when those supremacies had apparently vanished.</w:t>
      </w:r>
      <w:r w:rsidR="00130426" w:rsidRPr="00AE141E">
        <w:rPr>
          <w:rStyle w:val="FootnoteReference"/>
          <w:rFonts w:ascii="Times New Roman" w:hAnsi="Times New Roman" w:cs="Times New Roman"/>
          <w:sz w:val="24"/>
          <w:szCs w:val="24"/>
        </w:rPr>
        <w:footnoteReference w:id="323"/>
      </w:r>
      <w:r w:rsidR="006A0F70" w:rsidRPr="00AE141E">
        <w:rPr>
          <w:rFonts w:ascii="Times New Roman" w:hAnsi="Times New Roman" w:cs="Times New Roman"/>
          <w:sz w:val="24"/>
          <w:szCs w:val="24"/>
        </w:rPr>
        <w:t xml:space="preserve"> The introduction of world history into school classrooms and its focus upon </w:t>
      </w:r>
      <w:r w:rsidR="00350287" w:rsidRPr="00AE141E">
        <w:rPr>
          <w:rFonts w:ascii="Times New Roman" w:hAnsi="Times New Roman" w:cs="Times New Roman"/>
          <w:sz w:val="24"/>
          <w:szCs w:val="24"/>
        </w:rPr>
        <w:t>the</w:t>
      </w:r>
      <w:r w:rsidR="00EE07E6" w:rsidRPr="00AE141E">
        <w:rPr>
          <w:rFonts w:ascii="Times New Roman" w:hAnsi="Times New Roman" w:cs="Times New Roman"/>
          <w:sz w:val="24"/>
          <w:szCs w:val="24"/>
        </w:rPr>
        <w:t xml:space="preserve"> </w:t>
      </w:r>
      <w:r w:rsidR="00350287" w:rsidRPr="00AE141E">
        <w:rPr>
          <w:rFonts w:ascii="Times New Roman" w:hAnsi="Times New Roman" w:cs="Times New Roman"/>
          <w:sz w:val="24"/>
          <w:szCs w:val="24"/>
        </w:rPr>
        <w:t>categor</w:t>
      </w:r>
      <w:r w:rsidR="00A04638" w:rsidRPr="00AE141E">
        <w:rPr>
          <w:rFonts w:ascii="Times New Roman" w:hAnsi="Times New Roman" w:cs="Times New Roman"/>
          <w:sz w:val="24"/>
          <w:szCs w:val="24"/>
        </w:rPr>
        <w:t>y</w:t>
      </w:r>
      <w:r w:rsidR="00350287" w:rsidRPr="00AE141E">
        <w:rPr>
          <w:rFonts w:ascii="Times New Roman" w:hAnsi="Times New Roman" w:cs="Times New Roman"/>
          <w:sz w:val="24"/>
          <w:szCs w:val="24"/>
        </w:rPr>
        <w:t xml:space="preserve"> of</w:t>
      </w:r>
      <w:r w:rsidR="00DF32C2" w:rsidRPr="00AE141E">
        <w:rPr>
          <w:rFonts w:ascii="Times New Roman" w:hAnsi="Times New Roman" w:cs="Times New Roman"/>
          <w:sz w:val="24"/>
          <w:szCs w:val="24"/>
        </w:rPr>
        <w:t xml:space="preserve"> ‘great power’ and ‘superpower’ was on</w:t>
      </w:r>
      <w:r w:rsidR="004D28AE" w:rsidRPr="00AE141E">
        <w:rPr>
          <w:rFonts w:ascii="Times New Roman" w:hAnsi="Times New Roman" w:cs="Times New Roman"/>
          <w:sz w:val="24"/>
          <w:szCs w:val="24"/>
        </w:rPr>
        <w:t>e</w:t>
      </w:r>
      <w:r w:rsidR="00DF32C2" w:rsidRPr="00AE141E">
        <w:rPr>
          <w:rFonts w:ascii="Times New Roman" w:hAnsi="Times New Roman" w:cs="Times New Roman"/>
          <w:sz w:val="24"/>
          <w:szCs w:val="24"/>
        </w:rPr>
        <w:t xml:space="preserve"> answer to this predicament. </w:t>
      </w:r>
      <w:r w:rsidR="008B78E5" w:rsidRPr="00AE141E">
        <w:rPr>
          <w:rFonts w:ascii="Times New Roman" w:hAnsi="Times New Roman" w:cs="Times New Roman"/>
          <w:sz w:val="24"/>
          <w:szCs w:val="24"/>
        </w:rPr>
        <w:t>In particular, the</w:t>
      </w:r>
      <w:r w:rsidR="00EB4106" w:rsidRPr="00AE141E">
        <w:rPr>
          <w:rFonts w:ascii="Times New Roman" w:hAnsi="Times New Roman" w:cs="Times New Roman"/>
          <w:sz w:val="24"/>
          <w:szCs w:val="24"/>
        </w:rPr>
        <w:t xml:space="preserve"> dominance of the USA and the USSR within </w:t>
      </w:r>
      <w:r w:rsidR="008B78E5" w:rsidRPr="00AE141E">
        <w:rPr>
          <w:rFonts w:ascii="Times New Roman" w:hAnsi="Times New Roman" w:cs="Times New Roman"/>
          <w:sz w:val="24"/>
          <w:szCs w:val="24"/>
        </w:rPr>
        <w:t xml:space="preserve">examination syllabi pointed to </w:t>
      </w:r>
      <w:r w:rsidR="00900191" w:rsidRPr="00AE141E">
        <w:rPr>
          <w:rFonts w:ascii="Times New Roman" w:hAnsi="Times New Roman" w:cs="Times New Roman"/>
          <w:sz w:val="24"/>
          <w:szCs w:val="24"/>
        </w:rPr>
        <w:t>a shifting sense of historical gravity</w:t>
      </w:r>
      <w:r w:rsidR="00253410" w:rsidRPr="00AE141E">
        <w:rPr>
          <w:rFonts w:ascii="Times New Roman" w:hAnsi="Times New Roman" w:cs="Times New Roman"/>
          <w:sz w:val="24"/>
          <w:szCs w:val="24"/>
        </w:rPr>
        <w:t xml:space="preserve"> – the</w:t>
      </w:r>
      <w:r w:rsidR="00A71B68" w:rsidRPr="00AE141E">
        <w:rPr>
          <w:rFonts w:ascii="Times New Roman" w:hAnsi="Times New Roman" w:cs="Times New Roman"/>
          <w:sz w:val="24"/>
          <w:szCs w:val="24"/>
        </w:rPr>
        <w:t xml:space="preserve"> exceptional</w:t>
      </w:r>
      <w:r w:rsidR="00253410" w:rsidRPr="00AE141E">
        <w:rPr>
          <w:rFonts w:ascii="Times New Roman" w:hAnsi="Times New Roman" w:cs="Times New Roman"/>
          <w:sz w:val="24"/>
          <w:szCs w:val="24"/>
        </w:rPr>
        <w:t xml:space="preserve"> global influence of these two states</w:t>
      </w:r>
      <w:r w:rsidR="00A71B68" w:rsidRPr="00AE141E">
        <w:rPr>
          <w:rFonts w:ascii="Times New Roman" w:hAnsi="Times New Roman" w:cs="Times New Roman"/>
          <w:sz w:val="24"/>
          <w:szCs w:val="24"/>
        </w:rPr>
        <w:t xml:space="preserve"> was deemed to merit </w:t>
      </w:r>
      <w:r w:rsidR="00351650" w:rsidRPr="00AE141E">
        <w:rPr>
          <w:rFonts w:ascii="Times New Roman" w:hAnsi="Times New Roman" w:cs="Times New Roman"/>
          <w:sz w:val="24"/>
          <w:szCs w:val="24"/>
        </w:rPr>
        <w:t>detailed study</w:t>
      </w:r>
      <w:r w:rsidR="00E96969" w:rsidRPr="00AE141E">
        <w:rPr>
          <w:rFonts w:ascii="Times New Roman" w:hAnsi="Times New Roman" w:cs="Times New Roman"/>
          <w:sz w:val="24"/>
          <w:szCs w:val="24"/>
        </w:rPr>
        <w:t xml:space="preserve">. </w:t>
      </w:r>
      <w:r w:rsidR="00671911" w:rsidRPr="00AE141E">
        <w:rPr>
          <w:rFonts w:ascii="Times New Roman" w:hAnsi="Times New Roman" w:cs="Times New Roman"/>
          <w:sz w:val="24"/>
          <w:szCs w:val="24"/>
        </w:rPr>
        <w:t xml:space="preserve">As Athena Syriatou </w:t>
      </w:r>
      <w:r w:rsidR="00196548" w:rsidRPr="00AE141E">
        <w:rPr>
          <w:rFonts w:ascii="Times New Roman" w:hAnsi="Times New Roman" w:cs="Times New Roman"/>
          <w:sz w:val="24"/>
          <w:szCs w:val="24"/>
        </w:rPr>
        <w:t>highlights in her study of</w:t>
      </w:r>
      <w:r w:rsidR="008C4108" w:rsidRPr="00AE141E">
        <w:rPr>
          <w:rFonts w:ascii="Times New Roman" w:hAnsi="Times New Roman" w:cs="Times New Roman"/>
          <w:sz w:val="24"/>
          <w:szCs w:val="24"/>
        </w:rPr>
        <w:t xml:space="preserve"> the teaching of</w:t>
      </w:r>
      <w:r w:rsidR="00196548" w:rsidRPr="00AE141E">
        <w:rPr>
          <w:rFonts w:ascii="Times New Roman" w:hAnsi="Times New Roman" w:cs="Times New Roman"/>
          <w:sz w:val="24"/>
          <w:szCs w:val="24"/>
        </w:rPr>
        <w:t xml:space="preserve"> </w:t>
      </w:r>
      <w:r w:rsidR="0086425D" w:rsidRPr="00AE141E">
        <w:rPr>
          <w:rFonts w:ascii="Times New Roman" w:hAnsi="Times New Roman" w:cs="Times New Roman"/>
          <w:sz w:val="24"/>
          <w:szCs w:val="24"/>
        </w:rPr>
        <w:t xml:space="preserve">such histories in English secondary schools, </w:t>
      </w:r>
      <w:r w:rsidR="00537977" w:rsidRPr="00AE141E">
        <w:rPr>
          <w:rFonts w:ascii="Times New Roman" w:hAnsi="Times New Roman" w:cs="Times New Roman"/>
          <w:sz w:val="24"/>
          <w:szCs w:val="24"/>
        </w:rPr>
        <w:t xml:space="preserve">the notion of Europe as ‘an area in decline’ was baked into </w:t>
      </w:r>
      <w:r w:rsidR="000E50E7" w:rsidRPr="00AE141E">
        <w:rPr>
          <w:rFonts w:ascii="Times New Roman" w:hAnsi="Times New Roman" w:cs="Times New Roman"/>
          <w:sz w:val="24"/>
          <w:szCs w:val="24"/>
        </w:rPr>
        <w:t>syllabi in the early 1970s</w:t>
      </w:r>
      <w:r w:rsidR="0015183F" w:rsidRPr="00AE141E">
        <w:rPr>
          <w:rFonts w:ascii="Times New Roman" w:hAnsi="Times New Roman" w:cs="Times New Roman"/>
          <w:sz w:val="24"/>
          <w:szCs w:val="24"/>
        </w:rPr>
        <w:t xml:space="preserve">, </w:t>
      </w:r>
      <w:r w:rsidR="005339D2" w:rsidRPr="00AE141E">
        <w:rPr>
          <w:rFonts w:ascii="Times New Roman" w:hAnsi="Times New Roman" w:cs="Times New Roman"/>
          <w:sz w:val="24"/>
          <w:szCs w:val="24"/>
        </w:rPr>
        <w:t xml:space="preserve">reflecting a loss of confidence linked to </w:t>
      </w:r>
      <w:r w:rsidR="0065006B" w:rsidRPr="00AE141E">
        <w:rPr>
          <w:rFonts w:ascii="Times New Roman" w:hAnsi="Times New Roman" w:cs="Times New Roman"/>
          <w:sz w:val="24"/>
          <w:szCs w:val="24"/>
        </w:rPr>
        <w:t>decolonisation and perceived economic crises</w:t>
      </w:r>
      <w:r w:rsidR="00582732" w:rsidRPr="00AE141E">
        <w:rPr>
          <w:rFonts w:ascii="Times New Roman" w:hAnsi="Times New Roman" w:cs="Times New Roman"/>
          <w:sz w:val="24"/>
          <w:szCs w:val="24"/>
        </w:rPr>
        <w:t>.</w:t>
      </w:r>
      <w:r w:rsidR="00582732" w:rsidRPr="00AE141E">
        <w:rPr>
          <w:rStyle w:val="FootnoteReference"/>
          <w:rFonts w:ascii="Times New Roman" w:hAnsi="Times New Roman" w:cs="Times New Roman"/>
          <w:sz w:val="24"/>
          <w:szCs w:val="24"/>
        </w:rPr>
        <w:footnoteReference w:id="324"/>
      </w:r>
    </w:p>
    <w:p w14:paraId="1D81E94D" w14:textId="4F561CB2" w:rsidR="00C92FF0" w:rsidRPr="00AE141E" w:rsidRDefault="005D152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According to Syriatou, </w:t>
      </w:r>
      <w:r w:rsidR="00D73ECE" w:rsidRPr="00AE141E">
        <w:rPr>
          <w:rFonts w:ascii="Times New Roman" w:hAnsi="Times New Roman" w:cs="Times New Roman"/>
          <w:sz w:val="24"/>
          <w:szCs w:val="24"/>
        </w:rPr>
        <w:t>a</w:t>
      </w:r>
      <w:r w:rsidRPr="00AE141E">
        <w:rPr>
          <w:rFonts w:ascii="Times New Roman" w:hAnsi="Times New Roman" w:cs="Times New Roman"/>
          <w:sz w:val="24"/>
          <w:szCs w:val="24"/>
        </w:rPr>
        <w:t xml:space="preserve"> </w:t>
      </w:r>
      <w:r w:rsidR="00D73ECE" w:rsidRPr="00AE141E">
        <w:rPr>
          <w:rFonts w:ascii="Times New Roman" w:hAnsi="Times New Roman" w:cs="Times New Roman"/>
          <w:sz w:val="24"/>
          <w:szCs w:val="24"/>
        </w:rPr>
        <w:t>sense</w:t>
      </w:r>
      <w:r w:rsidR="00875638" w:rsidRPr="00AE141E">
        <w:rPr>
          <w:rFonts w:ascii="Times New Roman" w:hAnsi="Times New Roman" w:cs="Times New Roman"/>
          <w:sz w:val="24"/>
          <w:szCs w:val="24"/>
        </w:rPr>
        <w:t xml:space="preserve"> of </w:t>
      </w:r>
      <w:r w:rsidR="00D73ECE" w:rsidRPr="00AE141E">
        <w:rPr>
          <w:rFonts w:ascii="Times New Roman" w:hAnsi="Times New Roman" w:cs="Times New Roman"/>
          <w:sz w:val="24"/>
          <w:szCs w:val="24"/>
        </w:rPr>
        <w:t xml:space="preserve">western European </w:t>
      </w:r>
      <w:r w:rsidR="00875638" w:rsidRPr="00AE141E">
        <w:rPr>
          <w:rFonts w:ascii="Times New Roman" w:hAnsi="Times New Roman" w:cs="Times New Roman"/>
          <w:sz w:val="24"/>
          <w:szCs w:val="24"/>
        </w:rPr>
        <w:t xml:space="preserve">decline filtered into </w:t>
      </w:r>
      <w:r w:rsidR="00A54B90" w:rsidRPr="00AE141E">
        <w:rPr>
          <w:rFonts w:ascii="Times New Roman" w:hAnsi="Times New Roman" w:cs="Times New Roman"/>
          <w:sz w:val="24"/>
          <w:szCs w:val="24"/>
        </w:rPr>
        <w:t>world history syllabi’s discussion of international cooperation and transnational organisations.</w:t>
      </w:r>
      <w:r w:rsidR="000044CE" w:rsidRPr="00AE141E">
        <w:rPr>
          <w:rStyle w:val="FootnoteReference"/>
          <w:rFonts w:ascii="Times New Roman" w:hAnsi="Times New Roman" w:cs="Times New Roman"/>
          <w:sz w:val="24"/>
          <w:szCs w:val="24"/>
        </w:rPr>
        <w:footnoteReference w:id="325"/>
      </w:r>
      <w:r w:rsidR="00A54B90" w:rsidRPr="00AE141E">
        <w:rPr>
          <w:rFonts w:ascii="Times New Roman" w:hAnsi="Times New Roman" w:cs="Times New Roman"/>
          <w:sz w:val="24"/>
          <w:szCs w:val="24"/>
        </w:rPr>
        <w:t xml:space="preserve"> </w:t>
      </w:r>
      <w:r w:rsidR="00AC2A97" w:rsidRPr="00AE141E">
        <w:rPr>
          <w:rFonts w:ascii="Times New Roman" w:hAnsi="Times New Roman" w:cs="Times New Roman"/>
          <w:sz w:val="24"/>
          <w:szCs w:val="24"/>
        </w:rPr>
        <w:t xml:space="preserve">In 1972, the </w:t>
      </w:r>
      <w:r w:rsidR="00A81E9E" w:rsidRPr="00AE141E">
        <w:rPr>
          <w:rFonts w:ascii="Times New Roman" w:hAnsi="Times New Roman" w:cs="Times New Roman"/>
          <w:sz w:val="24"/>
          <w:szCs w:val="24"/>
        </w:rPr>
        <w:t>University Entrance and School Examination Council</w:t>
      </w:r>
      <w:r w:rsidR="00885069" w:rsidRPr="00AE141E">
        <w:rPr>
          <w:rFonts w:ascii="Times New Roman" w:hAnsi="Times New Roman" w:cs="Times New Roman"/>
          <w:sz w:val="24"/>
          <w:szCs w:val="24"/>
        </w:rPr>
        <w:t>’s</w:t>
      </w:r>
      <w:r w:rsidR="00E876BB" w:rsidRPr="00AE141E">
        <w:rPr>
          <w:rFonts w:ascii="Times New Roman" w:hAnsi="Times New Roman" w:cs="Times New Roman"/>
          <w:sz w:val="24"/>
          <w:szCs w:val="24"/>
        </w:rPr>
        <w:t xml:space="preserve"> O </w:t>
      </w:r>
      <w:r w:rsidR="00CE4BA5">
        <w:rPr>
          <w:rFonts w:ascii="Times New Roman" w:hAnsi="Times New Roman" w:cs="Times New Roman"/>
          <w:sz w:val="24"/>
          <w:szCs w:val="24"/>
        </w:rPr>
        <w:t>L</w:t>
      </w:r>
      <w:r w:rsidR="00E876BB" w:rsidRPr="00AE141E">
        <w:rPr>
          <w:rFonts w:ascii="Times New Roman" w:hAnsi="Times New Roman" w:cs="Times New Roman"/>
          <w:sz w:val="24"/>
          <w:szCs w:val="24"/>
        </w:rPr>
        <w:t>evel Syllabus D</w:t>
      </w:r>
      <w:r w:rsidR="00AC2A97" w:rsidRPr="00AE141E">
        <w:rPr>
          <w:rFonts w:ascii="Times New Roman" w:hAnsi="Times New Roman" w:cs="Times New Roman"/>
          <w:sz w:val="24"/>
          <w:szCs w:val="24"/>
        </w:rPr>
        <w:t xml:space="preserve"> </w:t>
      </w:r>
      <w:r w:rsidR="001B3612" w:rsidRPr="00AE141E">
        <w:rPr>
          <w:rFonts w:ascii="Times New Roman" w:hAnsi="Times New Roman" w:cs="Times New Roman"/>
          <w:sz w:val="24"/>
          <w:szCs w:val="24"/>
        </w:rPr>
        <w:t>mandated</w:t>
      </w:r>
      <w:r w:rsidR="00FD3B6C" w:rsidRPr="00AE141E">
        <w:rPr>
          <w:rFonts w:ascii="Times New Roman" w:hAnsi="Times New Roman" w:cs="Times New Roman"/>
          <w:sz w:val="24"/>
          <w:szCs w:val="24"/>
        </w:rPr>
        <w:t xml:space="preserve"> the study of</w:t>
      </w:r>
      <w:r w:rsidR="001B3612" w:rsidRPr="00AE141E">
        <w:rPr>
          <w:rFonts w:ascii="Times New Roman" w:hAnsi="Times New Roman" w:cs="Times New Roman"/>
          <w:sz w:val="24"/>
          <w:szCs w:val="24"/>
        </w:rPr>
        <w:t xml:space="preserve"> topics including ‘the failure of collective security in the 1930s’ and ‘the causes of war in 1939</w:t>
      </w:r>
      <w:r w:rsidR="00C27C98" w:rsidRPr="00AE141E">
        <w:rPr>
          <w:rFonts w:ascii="Times New Roman" w:hAnsi="Times New Roman" w:cs="Times New Roman"/>
          <w:sz w:val="24"/>
          <w:szCs w:val="24"/>
        </w:rPr>
        <w:t xml:space="preserve"> and the collapse of Europe, 1939-41’ </w:t>
      </w:r>
      <w:r w:rsidR="00C53176" w:rsidRPr="00AE141E">
        <w:rPr>
          <w:rFonts w:ascii="Times New Roman" w:hAnsi="Times New Roman" w:cs="Times New Roman"/>
          <w:sz w:val="24"/>
          <w:szCs w:val="24"/>
        </w:rPr>
        <w:t xml:space="preserve">under the rubric of </w:t>
      </w:r>
      <w:r w:rsidR="00FD3B6C" w:rsidRPr="00AE141E">
        <w:rPr>
          <w:rFonts w:ascii="Times New Roman" w:hAnsi="Times New Roman" w:cs="Times New Roman"/>
          <w:sz w:val="24"/>
          <w:szCs w:val="24"/>
        </w:rPr>
        <w:t xml:space="preserve">‘International Problems </w:t>
      </w:r>
      <w:r w:rsidR="00AD0B83" w:rsidRPr="00AE141E">
        <w:rPr>
          <w:rFonts w:ascii="Times New Roman" w:hAnsi="Times New Roman" w:cs="Times New Roman"/>
          <w:sz w:val="24"/>
          <w:szCs w:val="24"/>
        </w:rPr>
        <w:t xml:space="preserve">since 1931’. </w:t>
      </w:r>
      <w:r w:rsidR="00D50148" w:rsidRPr="00AE141E">
        <w:rPr>
          <w:rFonts w:ascii="Times New Roman" w:hAnsi="Times New Roman" w:cs="Times New Roman"/>
          <w:sz w:val="24"/>
          <w:szCs w:val="24"/>
        </w:rPr>
        <w:t xml:space="preserve">This, Syriatou argues, reflected a </w:t>
      </w:r>
      <w:r w:rsidR="0082077E" w:rsidRPr="00AE141E">
        <w:rPr>
          <w:rFonts w:ascii="Times New Roman" w:hAnsi="Times New Roman" w:cs="Times New Roman"/>
          <w:sz w:val="24"/>
          <w:szCs w:val="24"/>
        </w:rPr>
        <w:t>‘new way of seeing Europe’</w:t>
      </w:r>
      <w:r w:rsidR="000244BB" w:rsidRPr="00AE141E">
        <w:rPr>
          <w:rFonts w:ascii="Times New Roman" w:hAnsi="Times New Roman" w:cs="Times New Roman"/>
          <w:sz w:val="24"/>
          <w:szCs w:val="24"/>
        </w:rPr>
        <w:t>. The European past was framed</w:t>
      </w:r>
      <w:r w:rsidR="00B97B21" w:rsidRPr="00AE141E">
        <w:rPr>
          <w:rFonts w:ascii="Times New Roman" w:hAnsi="Times New Roman" w:cs="Times New Roman"/>
          <w:sz w:val="24"/>
          <w:szCs w:val="24"/>
        </w:rPr>
        <w:t xml:space="preserve"> by the </w:t>
      </w:r>
      <w:r w:rsidR="00E337AF" w:rsidRPr="00AE141E">
        <w:rPr>
          <w:rFonts w:ascii="Times New Roman" w:hAnsi="Times New Roman" w:cs="Times New Roman"/>
          <w:sz w:val="24"/>
          <w:szCs w:val="24"/>
        </w:rPr>
        <w:t>spectacular defeat of</w:t>
      </w:r>
      <w:r w:rsidR="008955A1" w:rsidRPr="00AE141E">
        <w:rPr>
          <w:rFonts w:ascii="Times New Roman" w:hAnsi="Times New Roman" w:cs="Times New Roman"/>
          <w:sz w:val="24"/>
          <w:szCs w:val="24"/>
        </w:rPr>
        <w:t xml:space="preserve"> </w:t>
      </w:r>
      <w:r w:rsidR="00F25FE6" w:rsidRPr="00AE141E">
        <w:rPr>
          <w:rFonts w:ascii="Times New Roman" w:hAnsi="Times New Roman" w:cs="Times New Roman"/>
          <w:sz w:val="24"/>
          <w:szCs w:val="24"/>
        </w:rPr>
        <w:t xml:space="preserve">aspirations </w:t>
      </w:r>
      <w:r w:rsidR="009759E6" w:rsidRPr="00AE141E">
        <w:rPr>
          <w:rFonts w:ascii="Times New Roman" w:hAnsi="Times New Roman" w:cs="Times New Roman"/>
          <w:sz w:val="24"/>
          <w:szCs w:val="24"/>
        </w:rPr>
        <w:t>for</w:t>
      </w:r>
      <w:r w:rsidR="00F25FE6" w:rsidRPr="00AE141E">
        <w:rPr>
          <w:rFonts w:ascii="Times New Roman" w:hAnsi="Times New Roman" w:cs="Times New Roman"/>
          <w:sz w:val="24"/>
          <w:szCs w:val="24"/>
        </w:rPr>
        <w:t xml:space="preserve"> unity</w:t>
      </w:r>
      <w:r w:rsidR="001A069B" w:rsidRPr="00AE141E">
        <w:rPr>
          <w:rFonts w:ascii="Times New Roman" w:hAnsi="Times New Roman" w:cs="Times New Roman"/>
          <w:sz w:val="24"/>
          <w:szCs w:val="24"/>
        </w:rPr>
        <w:t xml:space="preserve"> and com</w:t>
      </w:r>
      <w:r w:rsidR="006A0C64" w:rsidRPr="00AE141E">
        <w:rPr>
          <w:rFonts w:ascii="Times New Roman" w:hAnsi="Times New Roman" w:cs="Times New Roman"/>
          <w:sz w:val="24"/>
          <w:szCs w:val="24"/>
        </w:rPr>
        <w:t>mon identity brought about by the Second World War</w:t>
      </w:r>
      <w:r w:rsidR="00CB530D" w:rsidRPr="00AE141E">
        <w:rPr>
          <w:rFonts w:ascii="Times New Roman" w:hAnsi="Times New Roman" w:cs="Times New Roman"/>
          <w:sz w:val="24"/>
          <w:szCs w:val="24"/>
        </w:rPr>
        <w:t>.</w:t>
      </w:r>
      <w:r w:rsidR="000044CE" w:rsidRPr="00AE141E">
        <w:rPr>
          <w:rFonts w:ascii="Times New Roman" w:hAnsi="Times New Roman" w:cs="Times New Roman"/>
          <w:sz w:val="24"/>
          <w:szCs w:val="24"/>
        </w:rPr>
        <w:t xml:space="preserve"> </w:t>
      </w:r>
      <w:r w:rsidR="00FC3C92" w:rsidRPr="00AE141E">
        <w:rPr>
          <w:rFonts w:ascii="Times New Roman" w:hAnsi="Times New Roman" w:cs="Times New Roman"/>
          <w:sz w:val="24"/>
          <w:szCs w:val="24"/>
        </w:rPr>
        <w:t xml:space="preserve">However, her analysis </w:t>
      </w:r>
      <w:r w:rsidR="00885B92" w:rsidRPr="00AE141E">
        <w:rPr>
          <w:rFonts w:ascii="Times New Roman" w:hAnsi="Times New Roman" w:cs="Times New Roman"/>
          <w:sz w:val="24"/>
          <w:szCs w:val="24"/>
        </w:rPr>
        <w:t xml:space="preserve">does not </w:t>
      </w:r>
      <w:r w:rsidR="00FC3C92" w:rsidRPr="00AE141E">
        <w:rPr>
          <w:rFonts w:ascii="Times New Roman" w:hAnsi="Times New Roman" w:cs="Times New Roman"/>
          <w:sz w:val="24"/>
          <w:szCs w:val="24"/>
        </w:rPr>
        <w:t>account for the</w:t>
      </w:r>
      <w:r w:rsidR="00AA603C" w:rsidRPr="00AE141E">
        <w:rPr>
          <w:rFonts w:ascii="Times New Roman" w:hAnsi="Times New Roman" w:cs="Times New Roman"/>
          <w:sz w:val="24"/>
          <w:szCs w:val="24"/>
        </w:rPr>
        <w:t xml:space="preserve"> narrativisation of the </w:t>
      </w:r>
      <w:r w:rsidR="00AA603C" w:rsidRPr="00AE141E">
        <w:rPr>
          <w:rFonts w:ascii="Times New Roman" w:hAnsi="Times New Roman" w:cs="Times New Roman"/>
          <w:i/>
          <w:sz w:val="24"/>
          <w:szCs w:val="24"/>
        </w:rPr>
        <w:t xml:space="preserve">post-war </w:t>
      </w:r>
      <w:r w:rsidR="00AA603C" w:rsidRPr="00AE141E">
        <w:rPr>
          <w:rFonts w:ascii="Times New Roman" w:hAnsi="Times New Roman" w:cs="Times New Roman"/>
          <w:sz w:val="24"/>
          <w:szCs w:val="24"/>
        </w:rPr>
        <w:t xml:space="preserve">period </w:t>
      </w:r>
      <w:r w:rsidR="00F44C68" w:rsidRPr="00AE141E">
        <w:rPr>
          <w:rFonts w:ascii="Times New Roman" w:hAnsi="Times New Roman" w:cs="Times New Roman"/>
          <w:sz w:val="24"/>
          <w:szCs w:val="24"/>
        </w:rPr>
        <w:t>in history syllabi</w:t>
      </w:r>
      <w:r w:rsidR="00CF475E" w:rsidRPr="00AE141E">
        <w:rPr>
          <w:rFonts w:ascii="Times New Roman" w:hAnsi="Times New Roman" w:cs="Times New Roman"/>
          <w:sz w:val="24"/>
          <w:szCs w:val="24"/>
        </w:rPr>
        <w:t xml:space="preserve">. </w:t>
      </w:r>
      <w:r w:rsidR="009B193D" w:rsidRPr="00AE141E">
        <w:rPr>
          <w:rFonts w:ascii="Times New Roman" w:hAnsi="Times New Roman" w:cs="Times New Roman"/>
          <w:sz w:val="24"/>
          <w:szCs w:val="24"/>
        </w:rPr>
        <w:t xml:space="preserve">Examination courses typically presented </w:t>
      </w:r>
      <w:r w:rsidR="002A12E7" w:rsidRPr="00AE141E">
        <w:rPr>
          <w:rFonts w:ascii="Times New Roman" w:hAnsi="Times New Roman" w:cs="Times New Roman"/>
          <w:sz w:val="24"/>
          <w:szCs w:val="24"/>
        </w:rPr>
        <w:t xml:space="preserve">the </w:t>
      </w:r>
      <w:r w:rsidR="009B193D" w:rsidRPr="00AE141E">
        <w:rPr>
          <w:rFonts w:ascii="Times New Roman" w:hAnsi="Times New Roman" w:cs="Times New Roman"/>
          <w:sz w:val="24"/>
          <w:szCs w:val="24"/>
        </w:rPr>
        <w:t>Second World War as</w:t>
      </w:r>
      <w:r w:rsidR="008D64B7" w:rsidRPr="00AE141E">
        <w:rPr>
          <w:rFonts w:ascii="Times New Roman" w:hAnsi="Times New Roman" w:cs="Times New Roman"/>
          <w:sz w:val="24"/>
          <w:szCs w:val="24"/>
        </w:rPr>
        <w:t xml:space="preserve"> a</w:t>
      </w:r>
      <w:r w:rsidR="00F2544B" w:rsidRPr="00AE141E">
        <w:rPr>
          <w:rFonts w:ascii="Times New Roman" w:hAnsi="Times New Roman" w:cs="Times New Roman"/>
          <w:sz w:val="24"/>
          <w:szCs w:val="24"/>
        </w:rPr>
        <w:t xml:space="preserve"> moment of learning</w:t>
      </w:r>
      <w:r w:rsidR="008F767C" w:rsidRPr="00AE141E">
        <w:rPr>
          <w:rFonts w:ascii="Times New Roman" w:hAnsi="Times New Roman" w:cs="Times New Roman"/>
          <w:sz w:val="24"/>
          <w:szCs w:val="24"/>
        </w:rPr>
        <w:t>, generating a recalibration of international relations. Its horrors were at least partially redee</w:t>
      </w:r>
      <w:r w:rsidR="00A6594D" w:rsidRPr="00AE141E">
        <w:rPr>
          <w:rFonts w:ascii="Times New Roman" w:hAnsi="Times New Roman" w:cs="Times New Roman"/>
          <w:sz w:val="24"/>
          <w:szCs w:val="24"/>
        </w:rPr>
        <w:t xml:space="preserve">med by the new era of peace and collective security </w:t>
      </w:r>
      <w:r w:rsidR="004B17CC" w:rsidRPr="00AE141E">
        <w:rPr>
          <w:rFonts w:ascii="Times New Roman" w:hAnsi="Times New Roman" w:cs="Times New Roman"/>
          <w:sz w:val="24"/>
          <w:szCs w:val="24"/>
        </w:rPr>
        <w:t xml:space="preserve">which they had birthed. </w:t>
      </w:r>
    </w:p>
    <w:p w14:paraId="3199D9E5" w14:textId="6E71DFEF" w:rsidR="00530CAC" w:rsidRPr="00AE141E" w:rsidRDefault="00A22B7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widespread emphasis on diplomatic history and the history of international relations, common to </w:t>
      </w:r>
      <w:r w:rsidR="00343C35" w:rsidRPr="00AE141E">
        <w:rPr>
          <w:rFonts w:ascii="Times New Roman" w:hAnsi="Times New Roman" w:cs="Times New Roman"/>
          <w:sz w:val="24"/>
          <w:szCs w:val="24"/>
        </w:rPr>
        <w:t xml:space="preserve">CSE, O Level, and </w:t>
      </w:r>
      <w:r w:rsidR="00CB5BEF" w:rsidRPr="00AE141E">
        <w:rPr>
          <w:rFonts w:ascii="Times New Roman" w:hAnsi="Times New Roman" w:cs="Times New Roman"/>
          <w:sz w:val="24"/>
          <w:szCs w:val="24"/>
        </w:rPr>
        <w:t xml:space="preserve">A </w:t>
      </w:r>
      <w:r w:rsidR="00AF2389" w:rsidRPr="00AE141E">
        <w:rPr>
          <w:rFonts w:ascii="Times New Roman" w:hAnsi="Times New Roman" w:cs="Times New Roman"/>
          <w:sz w:val="24"/>
          <w:szCs w:val="24"/>
        </w:rPr>
        <w:t>L</w:t>
      </w:r>
      <w:r w:rsidR="00CB5BEF" w:rsidRPr="00AE141E">
        <w:rPr>
          <w:rFonts w:ascii="Times New Roman" w:hAnsi="Times New Roman" w:cs="Times New Roman"/>
          <w:sz w:val="24"/>
          <w:szCs w:val="24"/>
        </w:rPr>
        <w:t>evel</w:t>
      </w:r>
      <w:r w:rsidR="00343C35" w:rsidRPr="00AE141E">
        <w:rPr>
          <w:rFonts w:ascii="Times New Roman" w:hAnsi="Times New Roman" w:cs="Times New Roman"/>
          <w:sz w:val="24"/>
          <w:szCs w:val="24"/>
        </w:rPr>
        <w:t xml:space="preserve"> syllabi alike, was </w:t>
      </w:r>
      <w:r w:rsidR="00BC6542" w:rsidRPr="00AE141E">
        <w:rPr>
          <w:rFonts w:ascii="Times New Roman" w:hAnsi="Times New Roman" w:cs="Times New Roman"/>
          <w:sz w:val="24"/>
          <w:szCs w:val="24"/>
        </w:rPr>
        <w:t xml:space="preserve">crucial to the construction of this </w:t>
      </w:r>
      <w:r w:rsidR="00BC6542" w:rsidRPr="00AE141E">
        <w:rPr>
          <w:rFonts w:ascii="Times New Roman" w:hAnsi="Times New Roman" w:cs="Times New Roman"/>
          <w:sz w:val="24"/>
          <w:szCs w:val="24"/>
        </w:rPr>
        <w:lastRenderedPageBreak/>
        <w:t xml:space="preserve">narrative. </w:t>
      </w:r>
      <w:r w:rsidR="005525C9" w:rsidRPr="00AE141E">
        <w:rPr>
          <w:rFonts w:ascii="Times New Roman" w:hAnsi="Times New Roman" w:cs="Times New Roman"/>
          <w:sz w:val="24"/>
          <w:szCs w:val="24"/>
        </w:rPr>
        <w:t>Course specifications</w:t>
      </w:r>
      <w:r w:rsidR="00606374" w:rsidRPr="00AE141E">
        <w:rPr>
          <w:rFonts w:ascii="Times New Roman" w:hAnsi="Times New Roman" w:cs="Times New Roman"/>
          <w:sz w:val="24"/>
          <w:szCs w:val="24"/>
        </w:rPr>
        <w:t xml:space="preserve"> </w:t>
      </w:r>
      <w:r w:rsidR="004241C4" w:rsidRPr="00AE141E">
        <w:rPr>
          <w:rFonts w:ascii="Times New Roman" w:hAnsi="Times New Roman" w:cs="Times New Roman"/>
          <w:sz w:val="24"/>
          <w:szCs w:val="24"/>
        </w:rPr>
        <w:t>would frequently move</w:t>
      </w:r>
      <w:r w:rsidR="00002D71" w:rsidRPr="00AE141E">
        <w:rPr>
          <w:rFonts w:ascii="Times New Roman" w:hAnsi="Times New Roman" w:cs="Times New Roman"/>
          <w:sz w:val="24"/>
          <w:szCs w:val="24"/>
        </w:rPr>
        <w:t xml:space="preserve"> straight</w:t>
      </w:r>
      <w:r w:rsidR="004241C4" w:rsidRPr="00AE141E">
        <w:rPr>
          <w:rFonts w:ascii="Times New Roman" w:hAnsi="Times New Roman" w:cs="Times New Roman"/>
          <w:sz w:val="24"/>
          <w:szCs w:val="24"/>
        </w:rPr>
        <w:t xml:space="preserve"> from discussion of the failure of the League of Nations and the </w:t>
      </w:r>
      <w:r w:rsidR="00583E12" w:rsidRPr="00AE141E">
        <w:rPr>
          <w:rFonts w:ascii="Times New Roman" w:hAnsi="Times New Roman" w:cs="Times New Roman"/>
          <w:sz w:val="24"/>
          <w:szCs w:val="24"/>
        </w:rPr>
        <w:t>emergence of the</w:t>
      </w:r>
      <w:r w:rsidR="004241C4" w:rsidRPr="00AE141E">
        <w:rPr>
          <w:rFonts w:ascii="Times New Roman" w:hAnsi="Times New Roman" w:cs="Times New Roman"/>
          <w:sz w:val="24"/>
          <w:szCs w:val="24"/>
        </w:rPr>
        <w:t xml:space="preserve"> Second World War</w:t>
      </w:r>
      <w:r w:rsidR="00002D71" w:rsidRPr="00AE141E">
        <w:rPr>
          <w:rFonts w:ascii="Times New Roman" w:hAnsi="Times New Roman" w:cs="Times New Roman"/>
          <w:sz w:val="24"/>
          <w:szCs w:val="24"/>
        </w:rPr>
        <w:t xml:space="preserve"> to</w:t>
      </w:r>
      <w:r w:rsidR="00606374" w:rsidRPr="00AE141E">
        <w:rPr>
          <w:rFonts w:ascii="Times New Roman" w:hAnsi="Times New Roman" w:cs="Times New Roman"/>
          <w:sz w:val="24"/>
          <w:szCs w:val="24"/>
        </w:rPr>
        <w:t xml:space="preserve"> – </w:t>
      </w:r>
      <w:r w:rsidR="00A16C07" w:rsidRPr="00AE141E">
        <w:rPr>
          <w:rFonts w:ascii="Times New Roman" w:hAnsi="Times New Roman" w:cs="Times New Roman"/>
          <w:sz w:val="24"/>
          <w:szCs w:val="24"/>
        </w:rPr>
        <w:t>in</w:t>
      </w:r>
      <w:r w:rsidR="00606374" w:rsidRPr="00AE141E">
        <w:rPr>
          <w:rFonts w:ascii="Times New Roman" w:hAnsi="Times New Roman" w:cs="Times New Roman"/>
          <w:sz w:val="24"/>
          <w:szCs w:val="24"/>
        </w:rPr>
        <w:t xml:space="preserve"> </w:t>
      </w:r>
      <w:r w:rsidR="00A16C07" w:rsidRPr="00AE141E">
        <w:rPr>
          <w:rFonts w:ascii="Times New Roman" w:hAnsi="Times New Roman" w:cs="Times New Roman"/>
          <w:sz w:val="24"/>
          <w:szCs w:val="24"/>
        </w:rPr>
        <w:t>the words of the North</w:t>
      </w:r>
      <w:r w:rsidR="0093340E" w:rsidRPr="00AE141E">
        <w:rPr>
          <w:rFonts w:ascii="Times New Roman" w:hAnsi="Times New Roman" w:cs="Times New Roman"/>
          <w:sz w:val="24"/>
          <w:szCs w:val="24"/>
        </w:rPr>
        <w:t xml:space="preserve"> </w:t>
      </w:r>
      <w:r w:rsidR="00A16C07" w:rsidRPr="00AE141E">
        <w:rPr>
          <w:rFonts w:ascii="Times New Roman" w:hAnsi="Times New Roman" w:cs="Times New Roman"/>
          <w:sz w:val="24"/>
          <w:szCs w:val="24"/>
        </w:rPr>
        <w:t>West</w:t>
      </w:r>
      <w:r w:rsidR="00234D10">
        <w:rPr>
          <w:rFonts w:ascii="Times New Roman" w:hAnsi="Times New Roman" w:cs="Times New Roman"/>
          <w:sz w:val="24"/>
          <w:szCs w:val="24"/>
        </w:rPr>
        <w:t>ern</w:t>
      </w:r>
      <w:r w:rsidR="00A16C07" w:rsidRPr="00AE141E">
        <w:rPr>
          <w:rFonts w:ascii="Times New Roman" w:hAnsi="Times New Roman" w:cs="Times New Roman"/>
          <w:sz w:val="24"/>
          <w:szCs w:val="24"/>
        </w:rPr>
        <w:t xml:space="preserve"> </w:t>
      </w:r>
      <w:r w:rsidR="006E5623" w:rsidRPr="00AE141E">
        <w:rPr>
          <w:rFonts w:ascii="Times New Roman" w:hAnsi="Times New Roman" w:cs="Times New Roman"/>
          <w:sz w:val="24"/>
          <w:szCs w:val="24"/>
        </w:rPr>
        <w:t>Secondary School</w:t>
      </w:r>
      <w:r w:rsidR="003A5709">
        <w:rPr>
          <w:rFonts w:ascii="Times New Roman" w:hAnsi="Times New Roman" w:cs="Times New Roman"/>
          <w:sz w:val="24"/>
          <w:szCs w:val="24"/>
        </w:rPr>
        <w:t>s</w:t>
      </w:r>
      <w:r w:rsidR="006E5623" w:rsidRPr="00AE141E">
        <w:rPr>
          <w:rFonts w:ascii="Times New Roman" w:hAnsi="Times New Roman" w:cs="Times New Roman"/>
          <w:sz w:val="24"/>
          <w:szCs w:val="24"/>
        </w:rPr>
        <w:t xml:space="preserve"> Examination</w:t>
      </w:r>
      <w:r w:rsidR="00A16C07" w:rsidRPr="00AE141E">
        <w:rPr>
          <w:rFonts w:ascii="Times New Roman" w:hAnsi="Times New Roman" w:cs="Times New Roman"/>
          <w:sz w:val="24"/>
          <w:szCs w:val="24"/>
        </w:rPr>
        <w:t xml:space="preserve"> Board’s</w:t>
      </w:r>
      <w:r w:rsidR="0061261C" w:rsidRPr="00AE141E">
        <w:rPr>
          <w:rFonts w:ascii="Times New Roman" w:hAnsi="Times New Roman" w:cs="Times New Roman"/>
          <w:sz w:val="24"/>
          <w:szCs w:val="24"/>
        </w:rPr>
        <w:t xml:space="preserve"> (hereafter ‘NWSSEB’)</w:t>
      </w:r>
      <w:r w:rsidR="00A16C07" w:rsidRPr="00AE141E">
        <w:rPr>
          <w:rFonts w:ascii="Times New Roman" w:hAnsi="Times New Roman" w:cs="Times New Roman"/>
          <w:sz w:val="24"/>
          <w:szCs w:val="24"/>
        </w:rPr>
        <w:t xml:space="preserve"> CSE syllabus</w:t>
      </w:r>
      <w:r w:rsidR="00606374" w:rsidRPr="00AE141E">
        <w:rPr>
          <w:rFonts w:ascii="Times New Roman" w:hAnsi="Times New Roman" w:cs="Times New Roman"/>
          <w:sz w:val="24"/>
          <w:szCs w:val="24"/>
        </w:rPr>
        <w:t xml:space="preserve"> – </w:t>
      </w:r>
      <w:r w:rsidR="00F2679A" w:rsidRPr="00AE141E">
        <w:rPr>
          <w:rFonts w:ascii="Times New Roman" w:hAnsi="Times New Roman" w:cs="Times New Roman"/>
          <w:sz w:val="24"/>
          <w:szCs w:val="24"/>
        </w:rPr>
        <w:t xml:space="preserve">the </w:t>
      </w:r>
      <w:r w:rsidR="00A16C07" w:rsidRPr="00AE141E">
        <w:rPr>
          <w:rFonts w:ascii="Times New Roman" w:hAnsi="Times New Roman" w:cs="Times New Roman"/>
          <w:sz w:val="24"/>
          <w:szCs w:val="24"/>
        </w:rPr>
        <w:t>rise</w:t>
      </w:r>
      <w:r w:rsidR="00606374" w:rsidRPr="00AE141E">
        <w:rPr>
          <w:rFonts w:ascii="Times New Roman" w:hAnsi="Times New Roman" w:cs="Times New Roman"/>
          <w:sz w:val="24"/>
          <w:szCs w:val="24"/>
        </w:rPr>
        <w:t xml:space="preserve"> </w:t>
      </w:r>
      <w:r w:rsidR="00A16C07" w:rsidRPr="00AE141E">
        <w:rPr>
          <w:rFonts w:ascii="Times New Roman" w:hAnsi="Times New Roman" w:cs="Times New Roman"/>
          <w:sz w:val="24"/>
          <w:szCs w:val="24"/>
        </w:rPr>
        <w:t xml:space="preserve">of </w:t>
      </w:r>
      <w:r w:rsidR="000A2ED1" w:rsidRPr="00AE141E">
        <w:rPr>
          <w:rFonts w:ascii="Times New Roman" w:hAnsi="Times New Roman" w:cs="Times New Roman"/>
          <w:sz w:val="24"/>
          <w:szCs w:val="24"/>
        </w:rPr>
        <w:t xml:space="preserve">global ‘interdependence’ and </w:t>
      </w:r>
      <w:r w:rsidR="00025EF8" w:rsidRPr="00AE141E">
        <w:rPr>
          <w:rFonts w:ascii="Times New Roman" w:hAnsi="Times New Roman" w:cs="Times New Roman"/>
          <w:sz w:val="24"/>
          <w:szCs w:val="24"/>
        </w:rPr>
        <w:t>‘</w:t>
      </w:r>
      <w:r w:rsidR="00A16C07" w:rsidRPr="00AE141E">
        <w:rPr>
          <w:rFonts w:ascii="Times New Roman" w:hAnsi="Times New Roman" w:cs="Times New Roman"/>
          <w:sz w:val="24"/>
          <w:szCs w:val="24"/>
        </w:rPr>
        <w:t>international cooperation</w:t>
      </w:r>
      <w:r w:rsidR="000A2ED1" w:rsidRPr="00AE141E">
        <w:rPr>
          <w:rFonts w:ascii="Times New Roman" w:hAnsi="Times New Roman" w:cs="Times New Roman"/>
          <w:sz w:val="24"/>
          <w:szCs w:val="24"/>
        </w:rPr>
        <w:t>’</w:t>
      </w:r>
      <w:r w:rsidR="00A16C07" w:rsidRPr="00AE141E">
        <w:rPr>
          <w:rFonts w:ascii="Times New Roman" w:hAnsi="Times New Roman" w:cs="Times New Roman"/>
          <w:sz w:val="24"/>
          <w:szCs w:val="24"/>
        </w:rPr>
        <w:t>.</w:t>
      </w:r>
      <w:r w:rsidR="00E14A17" w:rsidRPr="00AE141E">
        <w:rPr>
          <w:rStyle w:val="FootnoteReference"/>
          <w:rFonts w:ascii="Times New Roman" w:hAnsi="Times New Roman" w:cs="Times New Roman"/>
          <w:sz w:val="24"/>
          <w:szCs w:val="24"/>
        </w:rPr>
        <w:footnoteReference w:id="326"/>
      </w:r>
      <w:r w:rsidR="009F6350" w:rsidRPr="00AE141E">
        <w:rPr>
          <w:rFonts w:ascii="Times New Roman" w:hAnsi="Times New Roman" w:cs="Times New Roman"/>
          <w:sz w:val="24"/>
          <w:szCs w:val="24"/>
        </w:rPr>
        <w:t xml:space="preserve"> The Oxford Local Examinations O Level course, by comparison, </w:t>
      </w:r>
      <w:r w:rsidR="00766A6D" w:rsidRPr="00AE141E">
        <w:rPr>
          <w:rFonts w:ascii="Times New Roman" w:hAnsi="Times New Roman" w:cs="Times New Roman"/>
          <w:sz w:val="24"/>
          <w:szCs w:val="24"/>
        </w:rPr>
        <w:t xml:space="preserve">invited candidates to investigate the growth of international cooperation through the medium of case studies </w:t>
      </w:r>
      <w:r w:rsidR="006A1E7E" w:rsidRPr="00AE141E">
        <w:rPr>
          <w:rFonts w:ascii="Times New Roman" w:hAnsi="Times New Roman" w:cs="Times New Roman"/>
          <w:sz w:val="24"/>
          <w:szCs w:val="24"/>
        </w:rPr>
        <w:t>on the ‘Red Cross, Universal Post</w:t>
      </w:r>
      <w:r w:rsidR="00D05AD2" w:rsidRPr="00AE141E">
        <w:rPr>
          <w:rFonts w:ascii="Times New Roman" w:hAnsi="Times New Roman" w:cs="Times New Roman"/>
          <w:sz w:val="24"/>
          <w:szCs w:val="24"/>
        </w:rPr>
        <w:t>al</w:t>
      </w:r>
      <w:r w:rsidR="006A1E7E" w:rsidRPr="00AE141E">
        <w:rPr>
          <w:rFonts w:ascii="Times New Roman" w:hAnsi="Times New Roman" w:cs="Times New Roman"/>
          <w:sz w:val="24"/>
          <w:szCs w:val="24"/>
        </w:rPr>
        <w:t xml:space="preserve"> Union, the Hague and Geneva Conventions, ILO [International Labour Organisation], [and] disarmament conferences’.</w:t>
      </w:r>
      <w:r w:rsidR="00D936FE" w:rsidRPr="00AE141E">
        <w:rPr>
          <w:rFonts w:ascii="Times New Roman" w:hAnsi="Times New Roman" w:cs="Times New Roman"/>
          <w:sz w:val="24"/>
          <w:szCs w:val="24"/>
        </w:rPr>
        <w:t xml:space="preserve"> </w:t>
      </w:r>
      <w:r w:rsidR="00937635" w:rsidRPr="00AE141E">
        <w:rPr>
          <w:rFonts w:ascii="Times New Roman" w:hAnsi="Times New Roman" w:cs="Times New Roman"/>
          <w:sz w:val="24"/>
          <w:szCs w:val="24"/>
        </w:rPr>
        <w:t>The</w:t>
      </w:r>
      <w:r w:rsidR="002202E9" w:rsidRPr="00AE141E">
        <w:rPr>
          <w:rFonts w:ascii="Times New Roman" w:hAnsi="Times New Roman" w:cs="Times New Roman"/>
          <w:sz w:val="24"/>
          <w:szCs w:val="24"/>
        </w:rPr>
        <w:t xml:space="preserve"> selection and placement of </w:t>
      </w:r>
      <w:r w:rsidR="00937635" w:rsidRPr="00AE141E">
        <w:rPr>
          <w:rFonts w:ascii="Times New Roman" w:hAnsi="Times New Roman" w:cs="Times New Roman"/>
          <w:sz w:val="24"/>
          <w:szCs w:val="24"/>
        </w:rPr>
        <w:t xml:space="preserve">such </w:t>
      </w:r>
      <w:r w:rsidR="002202E9" w:rsidRPr="00AE141E">
        <w:rPr>
          <w:rFonts w:ascii="Times New Roman" w:hAnsi="Times New Roman" w:cs="Times New Roman"/>
          <w:sz w:val="24"/>
          <w:szCs w:val="24"/>
        </w:rPr>
        <w:t>content</w:t>
      </w:r>
      <w:r w:rsidR="00D95891" w:rsidRPr="00AE141E">
        <w:rPr>
          <w:rFonts w:ascii="Times New Roman" w:hAnsi="Times New Roman" w:cs="Times New Roman"/>
          <w:sz w:val="24"/>
          <w:szCs w:val="24"/>
        </w:rPr>
        <w:t xml:space="preserve"> told a story of </w:t>
      </w:r>
      <w:r w:rsidR="00CE7446" w:rsidRPr="00AE141E">
        <w:rPr>
          <w:rFonts w:ascii="Times New Roman" w:hAnsi="Times New Roman" w:cs="Times New Roman"/>
          <w:sz w:val="24"/>
          <w:szCs w:val="24"/>
        </w:rPr>
        <w:t xml:space="preserve">a new era of peace </w:t>
      </w:r>
      <w:r w:rsidR="00197D2D" w:rsidRPr="00AE141E">
        <w:rPr>
          <w:rFonts w:ascii="Times New Roman" w:hAnsi="Times New Roman" w:cs="Times New Roman"/>
          <w:sz w:val="24"/>
          <w:szCs w:val="24"/>
        </w:rPr>
        <w:t>rising from the ashes of the Second World War.</w:t>
      </w:r>
      <w:r w:rsidR="00E15C6C" w:rsidRPr="00AE141E">
        <w:rPr>
          <w:rFonts w:ascii="Times New Roman" w:hAnsi="Times New Roman" w:cs="Times New Roman"/>
          <w:sz w:val="24"/>
          <w:szCs w:val="24"/>
        </w:rPr>
        <w:t xml:space="preserve"> </w:t>
      </w:r>
    </w:p>
    <w:p w14:paraId="208D11F7" w14:textId="00DCED84" w:rsidR="006E72E8" w:rsidRPr="00AE141E" w:rsidRDefault="00824C9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Even the </w:t>
      </w:r>
      <w:r w:rsidR="0058566D" w:rsidRPr="00AE141E">
        <w:rPr>
          <w:rFonts w:ascii="Times New Roman" w:hAnsi="Times New Roman" w:cs="Times New Roman"/>
          <w:sz w:val="24"/>
          <w:szCs w:val="24"/>
        </w:rPr>
        <w:t>rise of the nuclear age could</w:t>
      </w:r>
      <w:r w:rsidR="00EC6144" w:rsidRPr="00AE141E">
        <w:rPr>
          <w:rFonts w:ascii="Times New Roman" w:hAnsi="Times New Roman" w:cs="Times New Roman"/>
          <w:sz w:val="24"/>
          <w:szCs w:val="24"/>
        </w:rPr>
        <w:t xml:space="preserve">, with obvious underlying tension, be integrated into this analysis. </w:t>
      </w:r>
      <w:r w:rsidR="007E03DF" w:rsidRPr="00AE141E">
        <w:rPr>
          <w:rFonts w:ascii="Times New Roman" w:hAnsi="Times New Roman" w:cs="Times New Roman"/>
          <w:sz w:val="24"/>
          <w:szCs w:val="24"/>
        </w:rPr>
        <w:t xml:space="preserve">In the Oxford syllabus, </w:t>
      </w:r>
      <w:r w:rsidR="009B26FD" w:rsidRPr="00AE141E">
        <w:rPr>
          <w:rFonts w:ascii="Times New Roman" w:hAnsi="Times New Roman" w:cs="Times New Roman"/>
          <w:sz w:val="24"/>
          <w:szCs w:val="24"/>
        </w:rPr>
        <w:t>nuclear science</w:t>
      </w:r>
      <w:r w:rsidR="00143CBB" w:rsidRPr="00AE141E">
        <w:rPr>
          <w:rFonts w:ascii="Times New Roman" w:hAnsi="Times New Roman" w:cs="Times New Roman"/>
          <w:sz w:val="24"/>
          <w:szCs w:val="24"/>
        </w:rPr>
        <w:t xml:space="preserve"> was transmuted into an improbable symbol of </w:t>
      </w:r>
      <w:r w:rsidR="009B26FD" w:rsidRPr="00AE141E">
        <w:rPr>
          <w:rFonts w:ascii="Times New Roman" w:hAnsi="Times New Roman" w:cs="Times New Roman"/>
          <w:sz w:val="24"/>
          <w:szCs w:val="24"/>
        </w:rPr>
        <w:t xml:space="preserve">technological and diplomatic progress; it featured exclusively under the categories of </w:t>
      </w:r>
      <w:r w:rsidR="008F5A80" w:rsidRPr="00AE141E">
        <w:rPr>
          <w:rFonts w:ascii="Times New Roman" w:hAnsi="Times New Roman" w:cs="Times New Roman"/>
          <w:sz w:val="24"/>
          <w:szCs w:val="24"/>
        </w:rPr>
        <w:t>‘disarmament conferences’ and ‘developments in […] fuel and power’.</w:t>
      </w:r>
      <w:r w:rsidR="00530CAC" w:rsidRPr="00AE141E">
        <w:rPr>
          <w:rStyle w:val="FootnoteReference"/>
          <w:rFonts w:ascii="Times New Roman" w:hAnsi="Times New Roman" w:cs="Times New Roman"/>
          <w:sz w:val="24"/>
          <w:szCs w:val="24"/>
        </w:rPr>
        <w:footnoteReference w:id="327"/>
      </w:r>
      <w:r w:rsidR="008F5A80" w:rsidRPr="00AE141E">
        <w:rPr>
          <w:rFonts w:ascii="Times New Roman" w:hAnsi="Times New Roman" w:cs="Times New Roman"/>
          <w:sz w:val="24"/>
          <w:szCs w:val="24"/>
        </w:rPr>
        <w:t xml:space="preserve"> </w:t>
      </w:r>
      <w:r w:rsidR="0061261C" w:rsidRPr="00AE141E">
        <w:rPr>
          <w:rFonts w:ascii="Times New Roman" w:hAnsi="Times New Roman" w:cs="Times New Roman"/>
          <w:sz w:val="24"/>
          <w:szCs w:val="24"/>
        </w:rPr>
        <w:t>NWSSEB</w:t>
      </w:r>
      <w:r w:rsidR="008026E4" w:rsidRPr="00AE141E">
        <w:rPr>
          <w:rFonts w:ascii="Times New Roman" w:hAnsi="Times New Roman" w:cs="Times New Roman"/>
          <w:sz w:val="24"/>
          <w:szCs w:val="24"/>
        </w:rPr>
        <w:t>’s section on the Cold War</w:t>
      </w:r>
      <w:r w:rsidR="00530CAC" w:rsidRPr="00AE141E">
        <w:rPr>
          <w:rFonts w:ascii="Times New Roman" w:hAnsi="Times New Roman" w:cs="Times New Roman"/>
          <w:sz w:val="24"/>
          <w:szCs w:val="24"/>
        </w:rPr>
        <w:t xml:space="preserve"> and nuclear weapons stressed the doctrine of ‘peaceful co-existence’. </w:t>
      </w:r>
      <w:r w:rsidR="00D44FE7" w:rsidRPr="00AE141E">
        <w:rPr>
          <w:rFonts w:ascii="Times New Roman" w:hAnsi="Times New Roman" w:cs="Times New Roman"/>
          <w:sz w:val="24"/>
          <w:szCs w:val="24"/>
        </w:rPr>
        <w:t xml:space="preserve">In both cases, the </w:t>
      </w:r>
      <w:r w:rsidR="00031DC6" w:rsidRPr="00AE141E">
        <w:rPr>
          <w:rFonts w:ascii="Times New Roman" w:hAnsi="Times New Roman" w:cs="Times New Roman"/>
          <w:sz w:val="24"/>
          <w:szCs w:val="24"/>
        </w:rPr>
        <w:t>B</w:t>
      </w:r>
      <w:r w:rsidR="00D44FE7" w:rsidRPr="00AE141E">
        <w:rPr>
          <w:rFonts w:ascii="Times New Roman" w:hAnsi="Times New Roman" w:cs="Times New Roman"/>
          <w:sz w:val="24"/>
          <w:szCs w:val="24"/>
        </w:rPr>
        <w:t xml:space="preserve">oards demonstrated </w:t>
      </w:r>
      <w:r w:rsidR="006A2D23" w:rsidRPr="00AE141E">
        <w:rPr>
          <w:rFonts w:ascii="Times New Roman" w:hAnsi="Times New Roman" w:cs="Times New Roman"/>
          <w:sz w:val="24"/>
          <w:szCs w:val="24"/>
        </w:rPr>
        <w:t>a</w:t>
      </w:r>
      <w:r w:rsidR="00E4040C" w:rsidRPr="00AE141E">
        <w:rPr>
          <w:rFonts w:ascii="Times New Roman" w:hAnsi="Times New Roman" w:cs="Times New Roman"/>
          <w:sz w:val="24"/>
          <w:szCs w:val="24"/>
        </w:rPr>
        <w:t xml:space="preserve">n </w:t>
      </w:r>
      <w:r w:rsidR="0021673E" w:rsidRPr="00AE141E">
        <w:rPr>
          <w:rFonts w:ascii="Times New Roman" w:hAnsi="Times New Roman" w:cs="Times New Roman"/>
          <w:sz w:val="24"/>
          <w:szCs w:val="24"/>
        </w:rPr>
        <w:t>understanding of history</w:t>
      </w:r>
      <w:r w:rsidR="00E4040C" w:rsidRPr="00AE141E">
        <w:rPr>
          <w:rFonts w:ascii="Times New Roman" w:hAnsi="Times New Roman" w:cs="Times New Roman"/>
          <w:sz w:val="24"/>
          <w:szCs w:val="24"/>
        </w:rPr>
        <w:t xml:space="preserve"> as </w:t>
      </w:r>
      <w:r w:rsidR="0010757F" w:rsidRPr="00AE141E">
        <w:rPr>
          <w:rFonts w:ascii="Times New Roman" w:hAnsi="Times New Roman" w:cs="Times New Roman"/>
          <w:sz w:val="24"/>
          <w:szCs w:val="24"/>
        </w:rPr>
        <w:t>teleological</w:t>
      </w:r>
      <w:r w:rsidR="00D05ED5" w:rsidRPr="00AE141E">
        <w:rPr>
          <w:rFonts w:ascii="Times New Roman" w:hAnsi="Times New Roman" w:cs="Times New Roman"/>
          <w:sz w:val="24"/>
          <w:szCs w:val="24"/>
        </w:rPr>
        <w:t xml:space="preserve"> development</w:t>
      </w:r>
      <w:r w:rsidR="006F2302" w:rsidRPr="00AE141E">
        <w:rPr>
          <w:rFonts w:ascii="Times New Roman" w:hAnsi="Times New Roman" w:cs="Times New Roman"/>
          <w:sz w:val="24"/>
          <w:szCs w:val="24"/>
        </w:rPr>
        <w:t>.</w:t>
      </w:r>
      <w:r w:rsidR="00D936FE" w:rsidRPr="00D936FE">
        <w:rPr>
          <w:rFonts w:ascii="Times New Roman" w:hAnsi="Times New Roman" w:cs="Times New Roman"/>
          <w:sz w:val="24"/>
          <w:szCs w:val="24"/>
        </w:rPr>
        <w:t xml:space="preserve"> </w:t>
      </w:r>
      <w:r w:rsidR="00D936FE" w:rsidRPr="00AE141E">
        <w:rPr>
          <w:rFonts w:ascii="Times New Roman" w:hAnsi="Times New Roman" w:cs="Times New Roman"/>
          <w:sz w:val="24"/>
          <w:szCs w:val="24"/>
        </w:rPr>
        <w:t>The historiographical framework of liberal imperialism was revived and reinvented for the new world. By investing the march of history with powers of redemption and exculpation, this narrative could alleviate any residual guilt experienced by English people when confronted with the more violent aspects of their past (and present).</w:t>
      </w:r>
      <w:r w:rsidR="00894BAC" w:rsidRPr="00AE141E">
        <w:rPr>
          <w:rStyle w:val="FootnoteReference"/>
          <w:rFonts w:ascii="Times New Roman" w:hAnsi="Times New Roman" w:cs="Times New Roman"/>
          <w:sz w:val="24"/>
          <w:szCs w:val="24"/>
        </w:rPr>
        <w:footnoteReference w:id="328"/>
      </w:r>
      <w:r w:rsidR="00E74252" w:rsidRPr="00AE141E">
        <w:rPr>
          <w:rFonts w:ascii="Times New Roman" w:hAnsi="Times New Roman" w:cs="Times New Roman"/>
          <w:sz w:val="24"/>
          <w:szCs w:val="24"/>
        </w:rPr>
        <w:t xml:space="preserve"> </w:t>
      </w:r>
    </w:p>
    <w:p w14:paraId="1EE00266" w14:textId="71E4E333" w:rsidR="006E72E8" w:rsidRPr="00AE141E" w:rsidRDefault="009C3174"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The Schools Council History Project: World History and New Approaches</w:t>
      </w:r>
    </w:p>
    <w:p w14:paraId="0B1ED5D0" w14:textId="16BEFB03" w:rsidR="00EC5C3A" w:rsidRPr="00AE141E" w:rsidRDefault="00C4441B" w:rsidP="00AE141E">
      <w:pPr>
        <w:spacing w:line="360" w:lineRule="auto"/>
        <w:rPr>
          <w:rFonts w:ascii="Times New Roman" w:hAnsi="Times New Roman" w:cs="Times New Roman"/>
          <w:b/>
          <w:bCs/>
          <w:sz w:val="24"/>
          <w:szCs w:val="24"/>
        </w:rPr>
      </w:pPr>
      <w:r w:rsidRPr="00AE141E">
        <w:rPr>
          <w:rFonts w:ascii="Times New Roman" w:hAnsi="Times New Roman" w:cs="Times New Roman"/>
          <w:sz w:val="24"/>
          <w:szCs w:val="24"/>
        </w:rPr>
        <w:t xml:space="preserve">The SCHP module on world history, available to students pursuing both CSE and O </w:t>
      </w:r>
      <w:r w:rsidR="00CE4BA5">
        <w:rPr>
          <w:rFonts w:ascii="Times New Roman" w:hAnsi="Times New Roman" w:cs="Times New Roman"/>
          <w:sz w:val="24"/>
          <w:szCs w:val="24"/>
        </w:rPr>
        <w:t>L</w:t>
      </w:r>
      <w:r w:rsidRPr="00AE141E">
        <w:rPr>
          <w:rFonts w:ascii="Times New Roman" w:hAnsi="Times New Roman" w:cs="Times New Roman"/>
          <w:sz w:val="24"/>
          <w:szCs w:val="24"/>
        </w:rPr>
        <w:t>evel, invited schools to choose two of four ‘Modern World Studies’</w:t>
      </w:r>
      <w:r w:rsidR="00014CB2" w:rsidRPr="00AE141E">
        <w:rPr>
          <w:rFonts w:ascii="Times New Roman" w:hAnsi="Times New Roman" w:cs="Times New Roman"/>
          <w:sz w:val="24"/>
          <w:szCs w:val="24"/>
        </w:rPr>
        <w:t xml:space="preserve"> (MWS)</w:t>
      </w:r>
      <w:r w:rsidRPr="00AE141E">
        <w:rPr>
          <w:rFonts w:ascii="Times New Roman" w:hAnsi="Times New Roman" w:cs="Times New Roman"/>
          <w:sz w:val="24"/>
          <w:szCs w:val="24"/>
        </w:rPr>
        <w:t>: ‘The Rise of Communist China’; ‘The Move to European Unity’; ‘The Arab-Israeli Conflict’; and ‘The Irish Question’</w:t>
      </w:r>
      <w:r w:rsidR="00E735D1" w:rsidRPr="00AE141E">
        <w:rPr>
          <w:rFonts w:ascii="Times New Roman" w:hAnsi="Times New Roman" w:cs="Times New Roman"/>
          <w:sz w:val="24"/>
          <w:szCs w:val="24"/>
        </w:rPr>
        <w:t xml:space="preserve">. </w:t>
      </w:r>
      <w:r w:rsidR="00AD32E9" w:rsidRPr="00AE141E">
        <w:rPr>
          <w:rFonts w:ascii="Times New Roman" w:hAnsi="Times New Roman" w:cs="Times New Roman"/>
          <w:sz w:val="24"/>
          <w:szCs w:val="24"/>
        </w:rPr>
        <w:t xml:space="preserve">Laura Carter has characterised </w:t>
      </w:r>
      <w:r w:rsidR="00014CB2" w:rsidRPr="00AE141E">
        <w:rPr>
          <w:rFonts w:ascii="Times New Roman" w:hAnsi="Times New Roman" w:cs="Times New Roman"/>
          <w:sz w:val="24"/>
          <w:szCs w:val="24"/>
        </w:rPr>
        <w:t>MWS</w:t>
      </w:r>
      <w:r w:rsidR="002C67B9" w:rsidRPr="00AE141E">
        <w:rPr>
          <w:rFonts w:ascii="Times New Roman" w:hAnsi="Times New Roman" w:cs="Times New Roman"/>
          <w:sz w:val="24"/>
          <w:szCs w:val="24"/>
        </w:rPr>
        <w:t xml:space="preserve"> as a dramatic </w:t>
      </w:r>
      <w:r w:rsidR="002D4AF9" w:rsidRPr="00AE141E">
        <w:rPr>
          <w:rFonts w:ascii="Times New Roman" w:hAnsi="Times New Roman" w:cs="Times New Roman"/>
          <w:sz w:val="24"/>
          <w:szCs w:val="24"/>
        </w:rPr>
        <w:t>break from the dominant mode of world history teaching.</w:t>
      </w:r>
      <w:r w:rsidR="00FE3265" w:rsidRPr="00AE141E">
        <w:rPr>
          <w:rStyle w:val="FootnoteReference"/>
          <w:rFonts w:ascii="Times New Roman" w:hAnsi="Times New Roman" w:cs="Times New Roman"/>
          <w:sz w:val="24"/>
          <w:szCs w:val="24"/>
        </w:rPr>
        <w:footnoteReference w:id="329"/>
      </w:r>
      <w:r w:rsidR="002D4AF9" w:rsidRPr="00AE141E">
        <w:rPr>
          <w:rFonts w:ascii="Times New Roman" w:hAnsi="Times New Roman" w:cs="Times New Roman"/>
          <w:sz w:val="24"/>
          <w:szCs w:val="24"/>
        </w:rPr>
        <w:t xml:space="preserve"> </w:t>
      </w:r>
      <w:r w:rsidR="00A00909" w:rsidRPr="00AE141E">
        <w:rPr>
          <w:rFonts w:ascii="Times New Roman" w:hAnsi="Times New Roman" w:cs="Times New Roman"/>
          <w:sz w:val="24"/>
          <w:szCs w:val="24"/>
        </w:rPr>
        <w:t xml:space="preserve">SCHP certainly deserves credit for its </w:t>
      </w:r>
      <w:r w:rsidR="00812DF9" w:rsidRPr="00AE141E">
        <w:rPr>
          <w:rFonts w:ascii="Times New Roman" w:hAnsi="Times New Roman" w:cs="Times New Roman"/>
          <w:sz w:val="24"/>
          <w:szCs w:val="24"/>
        </w:rPr>
        <w:t xml:space="preserve">courage in raising </w:t>
      </w:r>
      <w:r w:rsidR="00660C9C" w:rsidRPr="00AE141E">
        <w:rPr>
          <w:rFonts w:ascii="Times New Roman" w:hAnsi="Times New Roman" w:cs="Times New Roman"/>
          <w:sz w:val="24"/>
          <w:szCs w:val="24"/>
        </w:rPr>
        <w:t>potentially divisive topics with</w:t>
      </w:r>
      <w:r w:rsidR="0050337B" w:rsidRPr="00AE141E">
        <w:rPr>
          <w:rFonts w:ascii="Times New Roman" w:hAnsi="Times New Roman" w:cs="Times New Roman"/>
          <w:sz w:val="24"/>
          <w:szCs w:val="24"/>
        </w:rPr>
        <w:t xml:space="preserve"> strong</w:t>
      </w:r>
      <w:r w:rsidR="00660C9C" w:rsidRPr="00AE141E">
        <w:rPr>
          <w:rFonts w:ascii="Times New Roman" w:hAnsi="Times New Roman" w:cs="Times New Roman"/>
          <w:sz w:val="24"/>
          <w:szCs w:val="24"/>
        </w:rPr>
        <w:t xml:space="preserve"> contemporary resonance into the </w:t>
      </w:r>
      <w:r w:rsidR="00FB42CA" w:rsidRPr="00AE141E">
        <w:rPr>
          <w:rFonts w:ascii="Times New Roman" w:hAnsi="Times New Roman" w:cs="Times New Roman"/>
          <w:sz w:val="24"/>
          <w:szCs w:val="24"/>
        </w:rPr>
        <w:t>spotlight</w:t>
      </w:r>
      <w:r w:rsidR="00BA69A2" w:rsidRPr="00AE141E">
        <w:rPr>
          <w:rFonts w:ascii="Times New Roman" w:hAnsi="Times New Roman" w:cs="Times New Roman"/>
          <w:sz w:val="24"/>
          <w:szCs w:val="24"/>
        </w:rPr>
        <w:t>.</w:t>
      </w:r>
      <w:r w:rsidR="00146A37" w:rsidRPr="00AE141E">
        <w:rPr>
          <w:rFonts w:ascii="Times New Roman" w:hAnsi="Times New Roman" w:cs="Times New Roman"/>
          <w:sz w:val="24"/>
          <w:szCs w:val="24"/>
        </w:rPr>
        <w:t xml:space="preserve"> </w:t>
      </w:r>
      <w:r w:rsidR="0050337B" w:rsidRPr="00AE141E">
        <w:rPr>
          <w:rFonts w:ascii="Times New Roman" w:hAnsi="Times New Roman" w:cs="Times New Roman"/>
          <w:sz w:val="24"/>
          <w:szCs w:val="24"/>
        </w:rPr>
        <w:t xml:space="preserve">As Carter points out, MWS ‘honed in thematically’, in contrast to the diplomatic and </w:t>
      </w:r>
      <w:r w:rsidR="007808F2" w:rsidRPr="00AE141E">
        <w:rPr>
          <w:rFonts w:ascii="Times New Roman" w:hAnsi="Times New Roman" w:cs="Times New Roman"/>
          <w:sz w:val="24"/>
          <w:szCs w:val="24"/>
        </w:rPr>
        <w:t>political</w:t>
      </w:r>
      <w:r w:rsidR="0050337B" w:rsidRPr="00AE141E">
        <w:rPr>
          <w:rFonts w:ascii="Times New Roman" w:hAnsi="Times New Roman" w:cs="Times New Roman"/>
          <w:sz w:val="24"/>
          <w:szCs w:val="24"/>
        </w:rPr>
        <w:t xml:space="preserve"> focus of many existing world history syllabi. Only one of the four modular options (‘The Move to </w:t>
      </w:r>
      <w:r w:rsidR="0050337B" w:rsidRPr="00AE141E">
        <w:rPr>
          <w:rFonts w:ascii="Times New Roman" w:hAnsi="Times New Roman" w:cs="Times New Roman"/>
          <w:sz w:val="24"/>
          <w:szCs w:val="24"/>
        </w:rPr>
        <w:lastRenderedPageBreak/>
        <w:t>European Unity’) conceded to this emphasis</w:t>
      </w:r>
      <w:r w:rsidR="00014CB2" w:rsidRPr="00AE141E">
        <w:rPr>
          <w:rFonts w:ascii="Times New Roman" w:hAnsi="Times New Roman" w:cs="Times New Roman"/>
          <w:sz w:val="24"/>
          <w:szCs w:val="24"/>
        </w:rPr>
        <w:t xml:space="preserve">. </w:t>
      </w:r>
      <w:r w:rsidR="00146A37" w:rsidRPr="00AE141E">
        <w:rPr>
          <w:rFonts w:ascii="Times New Roman" w:hAnsi="Times New Roman" w:cs="Times New Roman"/>
          <w:sz w:val="24"/>
          <w:szCs w:val="24"/>
        </w:rPr>
        <w:t xml:space="preserve">However, </w:t>
      </w:r>
      <w:r w:rsidR="0018793A" w:rsidRPr="00AE141E">
        <w:rPr>
          <w:rFonts w:ascii="Times New Roman" w:hAnsi="Times New Roman" w:cs="Times New Roman"/>
          <w:sz w:val="24"/>
          <w:szCs w:val="24"/>
        </w:rPr>
        <w:t xml:space="preserve">the </w:t>
      </w:r>
      <w:r w:rsidR="00A114C7" w:rsidRPr="00AE141E">
        <w:rPr>
          <w:rFonts w:ascii="Times New Roman" w:hAnsi="Times New Roman" w:cs="Times New Roman"/>
          <w:sz w:val="24"/>
          <w:szCs w:val="24"/>
        </w:rPr>
        <w:t xml:space="preserve">MWS’ treatment of imperial history was broadly comparable to </w:t>
      </w:r>
      <w:r w:rsidR="00786B21" w:rsidRPr="00AE141E">
        <w:rPr>
          <w:rFonts w:ascii="Times New Roman" w:hAnsi="Times New Roman" w:cs="Times New Roman"/>
          <w:sz w:val="24"/>
          <w:szCs w:val="24"/>
        </w:rPr>
        <w:t>that of other world history syllabi of the time.</w:t>
      </w:r>
    </w:p>
    <w:p w14:paraId="4760906A" w14:textId="52EC624D" w:rsidR="008C14EE" w:rsidRPr="00AE141E" w:rsidRDefault="00C1496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Move to European Unity’ </w:t>
      </w:r>
      <w:r w:rsidR="00180A21" w:rsidRPr="00AE141E">
        <w:rPr>
          <w:rFonts w:ascii="Times New Roman" w:hAnsi="Times New Roman" w:cs="Times New Roman"/>
          <w:sz w:val="24"/>
          <w:szCs w:val="24"/>
        </w:rPr>
        <w:t>shared the</w:t>
      </w:r>
      <w:r w:rsidRPr="00AE141E">
        <w:rPr>
          <w:rFonts w:ascii="Times New Roman" w:hAnsi="Times New Roman" w:cs="Times New Roman"/>
          <w:sz w:val="24"/>
          <w:szCs w:val="24"/>
        </w:rPr>
        <w:t xml:space="preserve"> diplomatic </w:t>
      </w:r>
      <w:r w:rsidR="005A586A" w:rsidRPr="00AE141E">
        <w:rPr>
          <w:rFonts w:ascii="Times New Roman" w:hAnsi="Times New Roman" w:cs="Times New Roman"/>
          <w:sz w:val="24"/>
          <w:szCs w:val="24"/>
        </w:rPr>
        <w:t>emphasis</w:t>
      </w:r>
      <w:r w:rsidR="00CA7C8A" w:rsidRPr="00AE141E">
        <w:rPr>
          <w:rFonts w:ascii="Times New Roman" w:hAnsi="Times New Roman" w:cs="Times New Roman"/>
          <w:sz w:val="24"/>
          <w:szCs w:val="24"/>
        </w:rPr>
        <w:t xml:space="preserve"> and</w:t>
      </w:r>
      <w:r w:rsidR="0017119B" w:rsidRPr="00AE141E">
        <w:rPr>
          <w:rFonts w:ascii="Times New Roman" w:hAnsi="Times New Roman" w:cs="Times New Roman"/>
          <w:sz w:val="24"/>
          <w:szCs w:val="24"/>
        </w:rPr>
        <w:t xml:space="preserve"> teleological narrative framework</w:t>
      </w:r>
      <w:r w:rsidR="009A4D6E" w:rsidRPr="00AE141E">
        <w:rPr>
          <w:rFonts w:ascii="Times New Roman" w:hAnsi="Times New Roman" w:cs="Times New Roman"/>
          <w:sz w:val="24"/>
          <w:szCs w:val="24"/>
        </w:rPr>
        <w:t xml:space="preserve"> outlined above</w:t>
      </w:r>
      <w:r w:rsidR="0017119B" w:rsidRPr="00AE141E">
        <w:rPr>
          <w:rFonts w:ascii="Times New Roman" w:hAnsi="Times New Roman" w:cs="Times New Roman"/>
          <w:sz w:val="24"/>
          <w:szCs w:val="24"/>
        </w:rPr>
        <w:t xml:space="preserve">. The official textbook </w:t>
      </w:r>
      <w:r w:rsidR="008C14EE" w:rsidRPr="00AE141E">
        <w:rPr>
          <w:rFonts w:ascii="Times New Roman" w:hAnsi="Times New Roman" w:cs="Times New Roman"/>
          <w:sz w:val="24"/>
          <w:szCs w:val="24"/>
        </w:rPr>
        <w:t xml:space="preserve">interpreted the British orientation towards Europe as symptomatic of </w:t>
      </w:r>
      <w:r w:rsidR="002A2BF7" w:rsidRPr="00AE141E">
        <w:rPr>
          <w:rFonts w:ascii="Times New Roman" w:hAnsi="Times New Roman" w:cs="Times New Roman"/>
          <w:sz w:val="24"/>
          <w:szCs w:val="24"/>
        </w:rPr>
        <w:t>imperial</w:t>
      </w:r>
      <w:r w:rsidR="008C14EE" w:rsidRPr="00AE141E">
        <w:rPr>
          <w:rFonts w:ascii="Times New Roman" w:hAnsi="Times New Roman" w:cs="Times New Roman"/>
          <w:sz w:val="24"/>
          <w:szCs w:val="24"/>
        </w:rPr>
        <w:t xml:space="preserve"> </w:t>
      </w:r>
      <w:r w:rsidR="002A2BF7" w:rsidRPr="00AE141E">
        <w:rPr>
          <w:rFonts w:ascii="Times New Roman" w:hAnsi="Times New Roman" w:cs="Times New Roman"/>
          <w:sz w:val="24"/>
          <w:szCs w:val="24"/>
        </w:rPr>
        <w:t>decline</w:t>
      </w:r>
      <w:r w:rsidR="008C14EE" w:rsidRPr="00AE141E">
        <w:rPr>
          <w:rFonts w:ascii="Times New Roman" w:hAnsi="Times New Roman" w:cs="Times New Roman"/>
          <w:sz w:val="24"/>
          <w:szCs w:val="24"/>
        </w:rPr>
        <w:t>. The authors were strident in their criticism of British Prime Minister Anthony Eden’s failure to face up to the shifting balance of power in the post-war world; ‘blinded by his belief in the Commonwealth and the illusion of Britain’s Great Power status’, Eden had grossly underestimated the economic value of European unity.</w:t>
      </w:r>
      <w:r w:rsidR="007516E1" w:rsidRPr="00AE141E">
        <w:rPr>
          <w:rStyle w:val="FootnoteReference"/>
          <w:rFonts w:ascii="Times New Roman" w:hAnsi="Times New Roman" w:cs="Times New Roman"/>
          <w:sz w:val="24"/>
          <w:szCs w:val="24"/>
        </w:rPr>
        <w:footnoteReference w:id="330"/>
      </w:r>
      <w:r w:rsidR="00394E4B" w:rsidRPr="00AE141E">
        <w:rPr>
          <w:rFonts w:ascii="Times New Roman" w:hAnsi="Times New Roman" w:cs="Times New Roman"/>
          <w:sz w:val="24"/>
          <w:szCs w:val="24"/>
        </w:rPr>
        <w:t xml:space="preserve"> </w:t>
      </w:r>
      <w:r w:rsidR="008C14EE" w:rsidRPr="00AE141E">
        <w:rPr>
          <w:rFonts w:ascii="Times New Roman" w:hAnsi="Times New Roman" w:cs="Times New Roman"/>
          <w:sz w:val="24"/>
          <w:szCs w:val="24"/>
        </w:rPr>
        <w:t>‘</w:t>
      </w:r>
      <w:r w:rsidR="00394E4B" w:rsidRPr="00AE141E">
        <w:rPr>
          <w:rFonts w:ascii="Times New Roman" w:hAnsi="Times New Roman" w:cs="Times New Roman"/>
          <w:sz w:val="24"/>
          <w:szCs w:val="24"/>
        </w:rPr>
        <w:t>T</w:t>
      </w:r>
      <w:r w:rsidR="008C14EE" w:rsidRPr="00AE141E">
        <w:rPr>
          <w:rFonts w:ascii="Times New Roman" w:hAnsi="Times New Roman" w:cs="Times New Roman"/>
          <w:sz w:val="24"/>
          <w:szCs w:val="24"/>
        </w:rPr>
        <w:t>his same blindness</w:t>
      </w:r>
      <w:r w:rsidR="00394E4B" w:rsidRPr="00AE141E">
        <w:rPr>
          <w:rFonts w:ascii="Times New Roman" w:hAnsi="Times New Roman" w:cs="Times New Roman"/>
          <w:sz w:val="24"/>
          <w:szCs w:val="24"/>
        </w:rPr>
        <w:t>’ was believed to have</w:t>
      </w:r>
      <w:r w:rsidR="008C14EE" w:rsidRPr="00AE141E">
        <w:rPr>
          <w:rFonts w:ascii="Times New Roman" w:hAnsi="Times New Roman" w:cs="Times New Roman"/>
          <w:sz w:val="24"/>
          <w:szCs w:val="24"/>
        </w:rPr>
        <w:t xml:space="preserve"> led </w:t>
      </w:r>
      <w:r w:rsidR="00394E4B" w:rsidRPr="00AE141E">
        <w:rPr>
          <w:rFonts w:ascii="Times New Roman" w:hAnsi="Times New Roman" w:cs="Times New Roman"/>
          <w:sz w:val="24"/>
          <w:szCs w:val="24"/>
        </w:rPr>
        <w:t>Eden</w:t>
      </w:r>
      <w:r w:rsidR="008C14EE" w:rsidRPr="00AE141E">
        <w:rPr>
          <w:rFonts w:ascii="Times New Roman" w:hAnsi="Times New Roman" w:cs="Times New Roman"/>
          <w:sz w:val="24"/>
          <w:szCs w:val="24"/>
        </w:rPr>
        <w:t xml:space="preserve"> to </w:t>
      </w:r>
      <w:r w:rsidR="00394E4B" w:rsidRPr="00AE141E">
        <w:rPr>
          <w:rFonts w:ascii="Times New Roman" w:hAnsi="Times New Roman" w:cs="Times New Roman"/>
          <w:sz w:val="24"/>
          <w:szCs w:val="24"/>
        </w:rPr>
        <w:t>‘</w:t>
      </w:r>
      <w:r w:rsidR="008C14EE" w:rsidRPr="00AE141E">
        <w:rPr>
          <w:rFonts w:ascii="Times New Roman" w:hAnsi="Times New Roman" w:cs="Times New Roman"/>
          <w:sz w:val="24"/>
          <w:szCs w:val="24"/>
        </w:rPr>
        <w:t>commit the greatest blunder of his career in the 1956 Suez Crisis’. The textbook identified Suez as a belated flowering of British imperial aspirations – and the moment at which these were revealed as bankrupt. In 1956, ‘Britain was still t</w:t>
      </w:r>
      <w:r w:rsidR="00DB63E7" w:rsidRPr="00AE141E">
        <w:rPr>
          <w:rFonts w:ascii="Times New Roman" w:hAnsi="Times New Roman" w:cs="Times New Roman"/>
          <w:sz w:val="24"/>
          <w:szCs w:val="24"/>
        </w:rPr>
        <w:t>r</w:t>
      </w:r>
      <w:r w:rsidR="008C14EE" w:rsidRPr="00AE141E">
        <w:rPr>
          <w:rFonts w:ascii="Times New Roman" w:hAnsi="Times New Roman" w:cs="Times New Roman"/>
          <w:sz w:val="24"/>
          <w:szCs w:val="24"/>
        </w:rPr>
        <w:t>ying to police the world’</w:t>
      </w:r>
      <w:r w:rsidR="00DB63E7" w:rsidRPr="00AE141E">
        <w:rPr>
          <w:rFonts w:ascii="Times New Roman" w:hAnsi="Times New Roman" w:cs="Times New Roman"/>
          <w:sz w:val="24"/>
          <w:szCs w:val="24"/>
        </w:rPr>
        <w:t xml:space="preserve">, </w:t>
      </w:r>
      <w:r w:rsidR="00CF7139" w:rsidRPr="00AE141E">
        <w:rPr>
          <w:rFonts w:ascii="Times New Roman" w:hAnsi="Times New Roman" w:cs="Times New Roman"/>
          <w:sz w:val="24"/>
          <w:szCs w:val="24"/>
        </w:rPr>
        <w:t xml:space="preserve">apparently </w:t>
      </w:r>
      <w:r w:rsidR="00DB63E7" w:rsidRPr="00AE141E">
        <w:rPr>
          <w:rFonts w:ascii="Times New Roman" w:hAnsi="Times New Roman" w:cs="Times New Roman"/>
          <w:sz w:val="24"/>
          <w:szCs w:val="24"/>
        </w:rPr>
        <w:t xml:space="preserve">unaware </w:t>
      </w:r>
      <w:r w:rsidR="00CF7139" w:rsidRPr="00AE141E">
        <w:rPr>
          <w:rFonts w:ascii="Times New Roman" w:hAnsi="Times New Roman" w:cs="Times New Roman"/>
          <w:sz w:val="24"/>
          <w:szCs w:val="24"/>
        </w:rPr>
        <w:t>of the illusory nature of</w:t>
      </w:r>
      <w:r w:rsidR="00DB63E7" w:rsidRPr="00AE141E">
        <w:rPr>
          <w:rFonts w:ascii="Times New Roman" w:hAnsi="Times New Roman" w:cs="Times New Roman"/>
          <w:sz w:val="24"/>
          <w:szCs w:val="24"/>
        </w:rPr>
        <w:t xml:space="preserve"> </w:t>
      </w:r>
      <w:r w:rsidR="006F2C3F" w:rsidRPr="00AE141E">
        <w:rPr>
          <w:rFonts w:ascii="Times New Roman" w:hAnsi="Times New Roman" w:cs="Times New Roman"/>
          <w:sz w:val="24"/>
          <w:szCs w:val="24"/>
        </w:rPr>
        <w:t>its power (as represented by the Commonwealth)</w:t>
      </w:r>
      <w:r w:rsidR="008C14EE" w:rsidRPr="00AE141E">
        <w:rPr>
          <w:rFonts w:ascii="Times New Roman" w:hAnsi="Times New Roman" w:cs="Times New Roman"/>
          <w:sz w:val="24"/>
          <w:szCs w:val="24"/>
        </w:rPr>
        <w:t xml:space="preserve">. The humiliation of retreat in deference to the United States taught the country a fundamental lesson: ‘if being a Great Power meant intervening in other countries’ affairs and getting away with it, then Britain was no longer a Great Power’. </w:t>
      </w:r>
    </w:p>
    <w:p w14:paraId="1FC0ED69" w14:textId="1C2332C4" w:rsidR="008C14EE" w:rsidRPr="00AE141E" w:rsidRDefault="00604F2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w:t>
      </w:r>
      <w:r w:rsidR="008C14EE" w:rsidRPr="00AE141E">
        <w:rPr>
          <w:rFonts w:ascii="Times New Roman" w:hAnsi="Times New Roman" w:cs="Times New Roman"/>
          <w:sz w:val="24"/>
          <w:szCs w:val="24"/>
        </w:rPr>
        <w:t xml:space="preserve">here was a powerful sense of historical inevitability which cut across the authors’ description of twentieth century geopolitics. Their critique of Eden contained an implicit criticism of the Commonwealth as an outdated barrier to the fulfilment of Britain’s </w:t>
      </w:r>
      <w:r w:rsidR="00867F40" w:rsidRPr="00AE141E">
        <w:rPr>
          <w:rFonts w:ascii="Times New Roman" w:hAnsi="Times New Roman" w:cs="Times New Roman"/>
          <w:sz w:val="24"/>
          <w:szCs w:val="24"/>
        </w:rPr>
        <w:t>European</w:t>
      </w:r>
      <w:r w:rsidR="008C14EE" w:rsidRPr="00AE141E">
        <w:rPr>
          <w:rFonts w:ascii="Times New Roman" w:hAnsi="Times New Roman" w:cs="Times New Roman"/>
          <w:sz w:val="24"/>
          <w:szCs w:val="24"/>
        </w:rPr>
        <w:t xml:space="preserve"> destiny. Politicians could be ‘blind’ to this destiny but could not ultimately avoid </w:t>
      </w:r>
      <w:r w:rsidR="00D137CB" w:rsidRPr="00AE141E">
        <w:rPr>
          <w:rFonts w:ascii="Times New Roman" w:hAnsi="Times New Roman" w:cs="Times New Roman"/>
          <w:sz w:val="24"/>
          <w:szCs w:val="24"/>
        </w:rPr>
        <w:t>the logic of progressive integration</w:t>
      </w:r>
      <w:r w:rsidR="008C14EE" w:rsidRPr="00AE141E">
        <w:rPr>
          <w:rFonts w:ascii="Times New Roman" w:hAnsi="Times New Roman" w:cs="Times New Roman"/>
          <w:sz w:val="24"/>
          <w:szCs w:val="24"/>
        </w:rPr>
        <w:t>.</w:t>
      </w:r>
      <w:r w:rsidR="00D936FE">
        <w:rPr>
          <w:rStyle w:val="FootnoteReference"/>
          <w:rFonts w:ascii="Times New Roman" w:hAnsi="Times New Roman" w:cs="Times New Roman"/>
          <w:sz w:val="24"/>
          <w:szCs w:val="24"/>
        </w:rPr>
        <w:footnoteReference w:id="331"/>
      </w:r>
      <w:r w:rsidR="008C14EE" w:rsidRPr="00AE141E">
        <w:rPr>
          <w:rFonts w:ascii="Times New Roman" w:hAnsi="Times New Roman" w:cs="Times New Roman"/>
          <w:sz w:val="24"/>
          <w:szCs w:val="24"/>
        </w:rPr>
        <w:t xml:space="preserve"> The same teleology governed the ‘disappearance’ of Britain’s empire (a term which sublimates the violent processes of conquest and liberation) and the ‘natural’ transferal of the ‘powerful position Britain had once enjoyed’ to its US ally. The textbook’s narrative was undoubtedly shaped by a need to cater to students of mixed ability (those taking CSEs and those taking O </w:t>
      </w:r>
      <w:r w:rsidR="00CE4BA5">
        <w:rPr>
          <w:rFonts w:ascii="Times New Roman" w:hAnsi="Times New Roman" w:cs="Times New Roman"/>
          <w:sz w:val="24"/>
          <w:szCs w:val="24"/>
        </w:rPr>
        <w:t>L</w:t>
      </w:r>
      <w:r w:rsidR="008C14EE" w:rsidRPr="00AE141E">
        <w:rPr>
          <w:rFonts w:ascii="Times New Roman" w:hAnsi="Times New Roman" w:cs="Times New Roman"/>
          <w:sz w:val="24"/>
          <w:szCs w:val="24"/>
        </w:rPr>
        <w:t>evels). This might account for some (over)simplification of the historical process. Regardless, the effect was the same: students were given a sense of the past as an inevitable march towards the present. The story here was of national decline redeemed by European integration.</w:t>
      </w:r>
      <w:r w:rsidR="00804C47" w:rsidRPr="00AE141E">
        <w:rPr>
          <w:rFonts w:ascii="Times New Roman" w:hAnsi="Times New Roman" w:cs="Times New Roman"/>
          <w:sz w:val="24"/>
          <w:szCs w:val="24"/>
        </w:rPr>
        <w:t xml:space="preserve"> To enter the European future, it was necessary to forget the imperial past.</w:t>
      </w:r>
    </w:p>
    <w:p w14:paraId="158190D8" w14:textId="4E471D91" w:rsidR="001F16A0" w:rsidRPr="00AE141E" w:rsidRDefault="00CD5C8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The desire to </w:t>
      </w:r>
      <w:r w:rsidR="00B8442D" w:rsidRPr="00AE141E">
        <w:rPr>
          <w:rFonts w:ascii="Times New Roman" w:hAnsi="Times New Roman" w:cs="Times New Roman"/>
          <w:sz w:val="24"/>
          <w:szCs w:val="24"/>
        </w:rPr>
        <w:t xml:space="preserve">discard </w:t>
      </w:r>
      <w:r w:rsidR="007C0E6C" w:rsidRPr="00AE141E">
        <w:rPr>
          <w:rFonts w:ascii="Times New Roman" w:hAnsi="Times New Roman" w:cs="Times New Roman"/>
          <w:sz w:val="24"/>
          <w:szCs w:val="24"/>
        </w:rPr>
        <w:t xml:space="preserve">and transcend </w:t>
      </w:r>
      <w:r w:rsidR="00B8442D" w:rsidRPr="00AE141E">
        <w:rPr>
          <w:rFonts w:ascii="Times New Roman" w:hAnsi="Times New Roman" w:cs="Times New Roman"/>
          <w:sz w:val="24"/>
          <w:szCs w:val="24"/>
        </w:rPr>
        <w:t xml:space="preserve">the </w:t>
      </w:r>
      <w:r w:rsidR="006E6523" w:rsidRPr="00AE141E">
        <w:rPr>
          <w:rFonts w:ascii="Times New Roman" w:hAnsi="Times New Roman" w:cs="Times New Roman"/>
          <w:sz w:val="24"/>
          <w:szCs w:val="24"/>
        </w:rPr>
        <w:t>era of empire</w:t>
      </w:r>
      <w:r w:rsidR="00B8442D" w:rsidRPr="00AE141E">
        <w:rPr>
          <w:rFonts w:ascii="Times New Roman" w:hAnsi="Times New Roman" w:cs="Times New Roman"/>
          <w:sz w:val="24"/>
          <w:szCs w:val="24"/>
        </w:rPr>
        <w:t xml:space="preserve"> may account </w:t>
      </w:r>
      <w:r w:rsidR="00172171" w:rsidRPr="00AE141E">
        <w:rPr>
          <w:rFonts w:ascii="Times New Roman" w:hAnsi="Times New Roman" w:cs="Times New Roman"/>
          <w:sz w:val="24"/>
          <w:szCs w:val="24"/>
        </w:rPr>
        <w:t xml:space="preserve">for </w:t>
      </w:r>
      <w:r w:rsidR="00AF42F0" w:rsidRPr="00AE141E">
        <w:rPr>
          <w:rFonts w:ascii="Times New Roman" w:hAnsi="Times New Roman" w:cs="Times New Roman"/>
          <w:sz w:val="24"/>
          <w:szCs w:val="24"/>
        </w:rPr>
        <w:t>the</w:t>
      </w:r>
      <w:r w:rsidR="00172171" w:rsidRPr="00AE141E">
        <w:rPr>
          <w:rFonts w:ascii="Times New Roman" w:hAnsi="Times New Roman" w:cs="Times New Roman"/>
          <w:sz w:val="24"/>
          <w:szCs w:val="24"/>
        </w:rPr>
        <w:t xml:space="preserve"> marginalisation</w:t>
      </w:r>
      <w:r w:rsidR="00AF42F0" w:rsidRPr="00AE141E">
        <w:rPr>
          <w:rFonts w:ascii="Times New Roman" w:hAnsi="Times New Roman" w:cs="Times New Roman"/>
          <w:sz w:val="24"/>
          <w:szCs w:val="24"/>
        </w:rPr>
        <w:t xml:space="preserve"> of </w:t>
      </w:r>
      <w:r w:rsidR="00CA3772" w:rsidRPr="00AE141E">
        <w:rPr>
          <w:rFonts w:ascii="Times New Roman" w:hAnsi="Times New Roman" w:cs="Times New Roman"/>
          <w:sz w:val="24"/>
          <w:szCs w:val="24"/>
        </w:rPr>
        <w:t>this</w:t>
      </w:r>
      <w:r w:rsidR="00AF42F0" w:rsidRPr="00AE141E">
        <w:rPr>
          <w:rFonts w:ascii="Times New Roman" w:hAnsi="Times New Roman" w:cs="Times New Roman"/>
          <w:sz w:val="24"/>
          <w:szCs w:val="24"/>
        </w:rPr>
        <w:t xml:space="preserve"> history </w:t>
      </w:r>
      <w:r w:rsidR="00172171" w:rsidRPr="00AE141E">
        <w:rPr>
          <w:rFonts w:ascii="Times New Roman" w:hAnsi="Times New Roman" w:cs="Times New Roman"/>
          <w:sz w:val="24"/>
          <w:szCs w:val="24"/>
        </w:rPr>
        <w:t>within th</w:t>
      </w:r>
      <w:r w:rsidR="00D12775" w:rsidRPr="00AE141E">
        <w:rPr>
          <w:rFonts w:ascii="Times New Roman" w:hAnsi="Times New Roman" w:cs="Times New Roman"/>
          <w:sz w:val="24"/>
          <w:szCs w:val="24"/>
        </w:rPr>
        <w:t>e other M</w:t>
      </w:r>
      <w:r w:rsidR="00EF77FD" w:rsidRPr="00AE141E">
        <w:rPr>
          <w:rFonts w:ascii="Times New Roman" w:hAnsi="Times New Roman" w:cs="Times New Roman"/>
          <w:sz w:val="24"/>
          <w:szCs w:val="24"/>
        </w:rPr>
        <w:t>WS options</w:t>
      </w:r>
      <w:r w:rsidR="001F16A0" w:rsidRPr="00AE141E">
        <w:rPr>
          <w:rFonts w:ascii="Times New Roman" w:hAnsi="Times New Roman" w:cs="Times New Roman"/>
          <w:sz w:val="24"/>
          <w:szCs w:val="24"/>
        </w:rPr>
        <w:t xml:space="preserve">, despite </w:t>
      </w:r>
      <w:r w:rsidR="00CA3772" w:rsidRPr="00AE141E">
        <w:rPr>
          <w:rFonts w:ascii="Times New Roman" w:hAnsi="Times New Roman" w:cs="Times New Roman"/>
          <w:sz w:val="24"/>
          <w:szCs w:val="24"/>
        </w:rPr>
        <w:t>its</w:t>
      </w:r>
      <w:r w:rsidR="001F16A0" w:rsidRPr="00AE141E">
        <w:rPr>
          <w:rFonts w:ascii="Times New Roman" w:hAnsi="Times New Roman" w:cs="Times New Roman"/>
          <w:sz w:val="24"/>
          <w:szCs w:val="24"/>
        </w:rPr>
        <w:t xml:space="preserve"> </w:t>
      </w:r>
      <w:r w:rsidR="00A47B02" w:rsidRPr="00AE141E">
        <w:rPr>
          <w:rFonts w:ascii="Times New Roman" w:hAnsi="Times New Roman" w:cs="Times New Roman"/>
          <w:sz w:val="24"/>
          <w:szCs w:val="24"/>
        </w:rPr>
        <w:t>undoubted</w:t>
      </w:r>
      <w:r w:rsidR="001F16A0" w:rsidRPr="00AE141E">
        <w:rPr>
          <w:rFonts w:ascii="Times New Roman" w:hAnsi="Times New Roman" w:cs="Times New Roman"/>
          <w:sz w:val="24"/>
          <w:szCs w:val="24"/>
        </w:rPr>
        <w:t xml:space="preserve"> relevance.</w:t>
      </w:r>
      <w:r w:rsidR="00A47B02" w:rsidRPr="00AE141E">
        <w:rPr>
          <w:rStyle w:val="FootnoteReference"/>
          <w:rFonts w:ascii="Times New Roman" w:hAnsi="Times New Roman" w:cs="Times New Roman"/>
          <w:sz w:val="24"/>
          <w:szCs w:val="24"/>
        </w:rPr>
        <w:footnoteReference w:id="332"/>
      </w:r>
      <w:r w:rsidR="00DE56D8" w:rsidRPr="00AE141E">
        <w:rPr>
          <w:rFonts w:ascii="Times New Roman" w:hAnsi="Times New Roman" w:cs="Times New Roman"/>
          <w:sz w:val="24"/>
          <w:szCs w:val="24"/>
        </w:rPr>
        <w:t xml:space="preserve"> </w:t>
      </w:r>
      <w:r w:rsidR="001F16A0" w:rsidRPr="00AE141E">
        <w:rPr>
          <w:rFonts w:ascii="Times New Roman" w:hAnsi="Times New Roman" w:cs="Times New Roman"/>
          <w:sz w:val="24"/>
          <w:szCs w:val="24"/>
        </w:rPr>
        <w:t xml:space="preserve">SCHP </w:t>
      </w:r>
      <w:r w:rsidR="00741015" w:rsidRPr="00AE141E">
        <w:rPr>
          <w:rFonts w:ascii="Times New Roman" w:hAnsi="Times New Roman" w:cs="Times New Roman"/>
          <w:sz w:val="24"/>
          <w:szCs w:val="24"/>
        </w:rPr>
        <w:t>resources</w:t>
      </w:r>
      <w:r w:rsidR="001F16A0" w:rsidRPr="00AE141E">
        <w:rPr>
          <w:rFonts w:ascii="Times New Roman" w:hAnsi="Times New Roman" w:cs="Times New Roman"/>
          <w:sz w:val="24"/>
          <w:szCs w:val="24"/>
        </w:rPr>
        <w:t xml:space="preserve"> on the ‘The Irish Question’</w:t>
      </w:r>
      <w:r w:rsidR="00C6610F" w:rsidRPr="00AE141E">
        <w:rPr>
          <w:rFonts w:ascii="Times New Roman" w:hAnsi="Times New Roman" w:cs="Times New Roman"/>
          <w:sz w:val="24"/>
          <w:szCs w:val="24"/>
        </w:rPr>
        <w:t xml:space="preserve"> displayed a reluctance to speak of Ireland as a colony, or of its domination and subsequent incorporation into Great Britain as a process of colonisation. Instead, the teachers’ guide referred obliquely to England’s </w:t>
      </w:r>
      <w:r w:rsidR="00475687" w:rsidRPr="00AE141E">
        <w:rPr>
          <w:rFonts w:ascii="Times New Roman" w:hAnsi="Times New Roman" w:cs="Times New Roman"/>
          <w:sz w:val="24"/>
          <w:szCs w:val="24"/>
        </w:rPr>
        <w:t>‘</w:t>
      </w:r>
      <w:r w:rsidR="00C6610F" w:rsidRPr="00AE141E">
        <w:rPr>
          <w:rFonts w:ascii="Times New Roman" w:hAnsi="Times New Roman" w:cs="Times New Roman"/>
          <w:sz w:val="24"/>
          <w:szCs w:val="24"/>
        </w:rPr>
        <w:t>relationship</w:t>
      </w:r>
      <w:r w:rsidR="00432156" w:rsidRPr="00AE141E">
        <w:rPr>
          <w:rFonts w:ascii="Times New Roman" w:hAnsi="Times New Roman" w:cs="Times New Roman"/>
          <w:sz w:val="24"/>
          <w:szCs w:val="24"/>
        </w:rPr>
        <w:t>’</w:t>
      </w:r>
      <w:r w:rsidR="00475687" w:rsidRPr="00AE141E">
        <w:rPr>
          <w:rFonts w:ascii="Times New Roman" w:hAnsi="Times New Roman" w:cs="Times New Roman"/>
          <w:sz w:val="24"/>
          <w:szCs w:val="24"/>
        </w:rPr>
        <w:t xml:space="preserve"> or ‘involvement’</w:t>
      </w:r>
      <w:r w:rsidR="005975AC" w:rsidRPr="00AE141E">
        <w:rPr>
          <w:rFonts w:ascii="Times New Roman" w:hAnsi="Times New Roman" w:cs="Times New Roman"/>
          <w:sz w:val="24"/>
          <w:szCs w:val="24"/>
        </w:rPr>
        <w:t xml:space="preserve"> with</w:t>
      </w:r>
      <w:r w:rsidR="00475687" w:rsidRPr="00AE141E">
        <w:rPr>
          <w:rFonts w:ascii="Times New Roman" w:hAnsi="Times New Roman" w:cs="Times New Roman"/>
          <w:sz w:val="24"/>
          <w:szCs w:val="24"/>
        </w:rPr>
        <w:t xml:space="preserve"> </w:t>
      </w:r>
      <w:r w:rsidR="00C6610F" w:rsidRPr="00AE141E">
        <w:rPr>
          <w:rFonts w:ascii="Times New Roman" w:hAnsi="Times New Roman" w:cs="Times New Roman"/>
          <w:sz w:val="24"/>
          <w:szCs w:val="24"/>
        </w:rPr>
        <w:t>Ireland.</w:t>
      </w:r>
      <w:r w:rsidR="00A236B6" w:rsidRPr="00AE141E">
        <w:rPr>
          <w:rStyle w:val="FootnoteReference"/>
          <w:rFonts w:ascii="Times New Roman" w:hAnsi="Times New Roman" w:cs="Times New Roman"/>
          <w:sz w:val="24"/>
          <w:szCs w:val="24"/>
        </w:rPr>
        <w:footnoteReference w:id="333"/>
      </w:r>
      <w:r w:rsidR="00EF1F82" w:rsidRPr="00AE141E">
        <w:rPr>
          <w:rFonts w:ascii="Times New Roman" w:hAnsi="Times New Roman" w:cs="Times New Roman"/>
          <w:sz w:val="24"/>
          <w:szCs w:val="24"/>
        </w:rPr>
        <w:t xml:space="preserve"> </w:t>
      </w:r>
      <w:r w:rsidR="001F16A0" w:rsidRPr="00AE141E">
        <w:rPr>
          <w:rFonts w:ascii="Times New Roman" w:hAnsi="Times New Roman" w:cs="Times New Roman"/>
          <w:sz w:val="24"/>
          <w:szCs w:val="24"/>
        </w:rPr>
        <w:t>Likewise, the textbook claimed that the suffering and depopulation of the Great Hunger ‘did more than anything else to embitter Irish attitudes towards England’. Nevertheless, it stopped short of locating the origins of the famine in colonial policy.</w:t>
      </w:r>
      <w:r w:rsidR="003D739E" w:rsidRPr="00AE141E">
        <w:rPr>
          <w:rStyle w:val="FootnoteReference"/>
          <w:rFonts w:ascii="Times New Roman" w:hAnsi="Times New Roman" w:cs="Times New Roman"/>
          <w:sz w:val="24"/>
          <w:szCs w:val="24"/>
        </w:rPr>
        <w:footnoteReference w:id="334"/>
      </w:r>
      <w:r w:rsidR="001F16A0" w:rsidRPr="00AE141E">
        <w:rPr>
          <w:rFonts w:ascii="Times New Roman" w:hAnsi="Times New Roman" w:cs="Times New Roman"/>
          <w:sz w:val="24"/>
          <w:szCs w:val="24"/>
        </w:rPr>
        <w:t xml:space="preserve"> In this account, the British government was guilty only of an ‘inefficient and ineffective’ </w:t>
      </w:r>
      <w:r w:rsidR="001F16A0" w:rsidRPr="00AE141E">
        <w:rPr>
          <w:rFonts w:ascii="Times New Roman" w:hAnsi="Times New Roman" w:cs="Times New Roman"/>
          <w:i/>
          <w:sz w:val="24"/>
          <w:szCs w:val="24"/>
        </w:rPr>
        <w:t>response</w:t>
      </w:r>
      <w:r w:rsidR="001F16A0" w:rsidRPr="00AE141E">
        <w:rPr>
          <w:rFonts w:ascii="Times New Roman" w:hAnsi="Times New Roman" w:cs="Times New Roman"/>
          <w:sz w:val="24"/>
          <w:szCs w:val="24"/>
        </w:rPr>
        <w:t xml:space="preserve">. </w:t>
      </w:r>
      <w:r w:rsidR="00B63AC1" w:rsidRPr="00AE141E">
        <w:rPr>
          <w:rFonts w:ascii="Times New Roman" w:hAnsi="Times New Roman" w:cs="Times New Roman"/>
          <w:sz w:val="24"/>
          <w:szCs w:val="24"/>
        </w:rPr>
        <w:t>The British empire here featured as what might best be described as an ‘absent presence’.</w:t>
      </w:r>
    </w:p>
    <w:p w14:paraId="026DDB15" w14:textId="03FCB29D" w:rsidR="001757E6" w:rsidRPr="00AE141E" w:rsidRDefault="00B63AC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Imperial history </w:t>
      </w:r>
      <w:r w:rsidR="00DD1296" w:rsidRPr="00AE141E">
        <w:rPr>
          <w:rFonts w:ascii="Times New Roman" w:hAnsi="Times New Roman" w:cs="Times New Roman"/>
          <w:sz w:val="24"/>
          <w:szCs w:val="24"/>
        </w:rPr>
        <w:t>held a similar place</w:t>
      </w:r>
      <w:r w:rsidR="00CE5940" w:rsidRPr="00AE141E">
        <w:rPr>
          <w:rFonts w:ascii="Times New Roman" w:hAnsi="Times New Roman" w:cs="Times New Roman"/>
          <w:sz w:val="24"/>
          <w:szCs w:val="24"/>
        </w:rPr>
        <w:t xml:space="preserve"> </w:t>
      </w:r>
      <w:r w:rsidR="00DD1296" w:rsidRPr="00AE141E">
        <w:rPr>
          <w:rFonts w:ascii="Times New Roman" w:hAnsi="Times New Roman" w:cs="Times New Roman"/>
          <w:sz w:val="24"/>
          <w:szCs w:val="24"/>
        </w:rPr>
        <w:t>i</w:t>
      </w:r>
      <w:r w:rsidR="00CE5940" w:rsidRPr="00AE141E">
        <w:rPr>
          <w:rFonts w:ascii="Times New Roman" w:hAnsi="Times New Roman" w:cs="Times New Roman"/>
          <w:sz w:val="24"/>
          <w:szCs w:val="24"/>
        </w:rPr>
        <w:t xml:space="preserve">n </w:t>
      </w:r>
      <w:r w:rsidR="00DD1296" w:rsidRPr="00AE141E">
        <w:rPr>
          <w:rFonts w:ascii="Times New Roman" w:hAnsi="Times New Roman" w:cs="Times New Roman"/>
          <w:sz w:val="24"/>
          <w:szCs w:val="24"/>
        </w:rPr>
        <w:t xml:space="preserve">the SCHP-produced textbook on </w:t>
      </w:r>
      <w:r w:rsidR="00CE5940" w:rsidRPr="00AE141E">
        <w:rPr>
          <w:rFonts w:ascii="Times New Roman" w:hAnsi="Times New Roman" w:cs="Times New Roman"/>
          <w:sz w:val="24"/>
          <w:szCs w:val="24"/>
        </w:rPr>
        <w:t>‘The Arab-Israeli Conflict’</w:t>
      </w:r>
      <w:r w:rsidR="00DD1296" w:rsidRPr="00AE141E">
        <w:rPr>
          <w:rFonts w:ascii="Times New Roman" w:hAnsi="Times New Roman" w:cs="Times New Roman"/>
          <w:sz w:val="24"/>
          <w:szCs w:val="24"/>
        </w:rPr>
        <w:t xml:space="preserve">. </w:t>
      </w:r>
      <w:r w:rsidR="006D3E09">
        <w:rPr>
          <w:rFonts w:ascii="Times New Roman" w:hAnsi="Times New Roman" w:cs="Times New Roman"/>
          <w:sz w:val="24"/>
          <w:szCs w:val="24"/>
        </w:rPr>
        <w:t>In this case, t</w:t>
      </w:r>
      <w:r w:rsidR="004F16E8" w:rsidRPr="00AE141E">
        <w:rPr>
          <w:rFonts w:ascii="Times New Roman" w:hAnsi="Times New Roman" w:cs="Times New Roman"/>
          <w:sz w:val="24"/>
          <w:szCs w:val="24"/>
        </w:rPr>
        <w:t xml:space="preserve">he </w:t>
      </w:r>
      <w:r w:rsidR="00CA55FC" w:rsidRPr="00AE141E">
        <w:rPr>
          <w:rFonts w:ascii="Times New Roman" w:hAnsi="Times New Roman" w:cs="Times New Roman"/>
          <w:sz w:val="24"/>
          <w:szCs w:val="24"/>
        </w:rPr>
        <w:t>text</w:t>
      </w:r>
      <w:r w:rsidR="00860F9F" w:rsidRPr="00AE141E">
        <w:rPr>
          <w:rFonts w:ascii="Times New Roman" w:hAnsi="Times New Roman" w:cs="Times New Roman"/>
          <w:sz w:val="24"/>
          <w:szCs w:val="24"/>
        </w:rPr>
        <w:t xml:space="preserve"> did not shy away from detailing the contribution of British policy to present day violence.</w:t>
      </w:r>
      <w:r w:rsidR="00323259" w:rsidRPr="00AE141E">
        <w:rPr>
          <w:rStyle w:val="FootnoteReference"/>
          <w:rFonts w:ascii="Times New Roman" w:hAnsi="Times New Roman" w:cs="Times New Roman"/>
          <w:sz w:val="24"/>
          <w:szCs w:val="24"/>
        </w:rPr>
        <w:footnoteReference w:id="335"/>
      </w:r>
      <w:r w:rsidR="00860F9F" w:rsidRPr="00AE141E">
        <w:rPr>
          <w:rFonts w:ascii="Times New Roman" w:hAnsi="Times New Roman" w:cs="Times New Roman"/>
          <w:sz w:val="24"/>
          <w:szCs w:val="24"/>
        </w:rPr>
        <w:t xml:space="preserve"> However, </w:t>
      </w:r>
      <w:r w:rsidR="00B23E08" w:rsidRPr="00AE141E">
        <w:rPr>
          <w:rFonts w:ascii="Times New Roman" w:hAnsi="Times New Roman" w:cs="Times New Roman"/>
          <w:sz w:val="24"/>
          <w:szCs w:val="24"/>
        </w:rPr>
        <w:t xml:space="preserve">it once again eschewed </w:t>
      </w:r>
      <w:r w:rsidR="00323259" w:rsidRPr="00AE141E">
        <w:rPr>
          <w:rFonts w:ascii="Times New Roman" w:hAnsi="Times New Roman" w:cs="Times New Roman"/>
          <w:sz w:val="24"/>
          <w:szCs w:val="24"/>
        </w:rPr>
        <w:t>explicit mention of empire, imperialism, or colonisation</w:t>
      </w:r>
      <w:r w:rsidR="00B23E08" w:rsidRPr="00AE141E">
        <w:rPr>
          <w:rFonts w:ascii="Times New Roman" w:hAnsi="Times New Roman" w:cs="Times New Roman"/>
          <w:sz w:val="24"/>
          <w:szCs w:val="24"/>
        </w:rPr>
        <w:t xml:space="preserve">. </w:t>
      </w:r>
      <w:r w:rsidR="00D26329" w:rsidRPr="00AE141E">
        <w:rPr>
          <w:rFonts w:ascii="Times New Roman" w:hAnsi="Times New Roman" w:cs="Times New Roman"/>
          <w:sz w:val="24"/>
          <w:szCs w:val="24"/>
        </w:rPr>
        <w:t>A</w:t>
      </w:r>
      <w:r w:rsidR="00B23E08" w:rsidRPr="00AE141E">
        <w:rPr>
          <w:rFonts w:ascii="Times New Roman" w:hAnsi="Times New Roman" w:cs="Times New Roman"/>
          <w:sz w:val="24"/>
          <w:szCs w:val="24"/>
        </w:rPr>
        <w:t>uthorial commentary</w:t>
      </w:r>
      <w:r w:rsidR="00CE5940" w:rsidRPr="00AE141E">
        <w:rPr>
          <w:rFonts w:ascii="Times New Roman" w:hAnsi="Times New Roman" w:cs="Times New Roman"/>
          <w:sz w:val="24"/>
          <w:szCs w:val="24"/>
        </w:rPr>
        <w:t xml:space="preserve"> habitually reproduced the wording of primary source materials, especially those representing the views of British and French diplomats and politicians (perhaps because such documentation is more readily available to authors </w:t>
      </w:r>
      <w:r w:rsidR="00DD1296" w:rsidRPr="00AE141E">
        <w:rPr>
          <w:rFonts w:ascii="Times New Roman" w:hAnsi="Times New Roman" w:cs="Times New Roman"/>
          <w:sz w:val="24"/>
          <w:szCs w:val="24"/>
        </w:rPr>
        <w:t>based in the United Kingdom</w:t>
      </w:r>
      <w:r w:rsidR="00CE5940" w:rsidRPr="00AE141E">
        <w:rPr>
          <w:rFonts w:ascii="Times New Roman" w:hAnsi="Times New Roman" w:cs="Times New Roman"/>
          <w:sz w:val="24"/>
          <w:szCs w:val="24"/>
        </w:rPr>
        <w:t>). In practice, this entailed a concession to the logic of colonial diplomacy and the rationale for imperial government. The partition of much of south-west Asia was described as a process by which former Ottoman territories were ‘entrusted’ to Britain and France until such a time as ‘its people were ready to govern themselves’.</w:t>
      </w:r>
      <w:r w:rsidR="00DD1296" w:rsidRPr="00AE141E">
        <w:rPr>
          <w:rStyle w:val="FootnoteReference"/>
          <w:rFonts w:ascii="Times New Roman" w:hAnsi="Times New Roman" w:cs="Times New Roman"/>
          <w:sz w:val="24"/>
          <w:szCs w:val="24"/>
        </w:rPr>
        <w:footnoteReference w:id="336"/>
      </w:r>
      <w:r w:rsidR="00CE5940" w:rsidRPr="00AE141E">
        <w:rPr>
          <w:rFonts w:ascii="Times New Roman" w:hAnsi="Times New Roman" w:cs="Times New Roman"/>
          <w:sz w:val="24"/>
          <w:szCs w:val="24"/>
        </w:rPr>
        <w:t xml:space="preserve"> </w:t>
      </w:r>
      <w:r w:rsidR="001757E6" w:rsidRPr="00AE141E">
        <w:rPr>
          <w:rFonts w:ascii="Times New Roman" w:hAnsi="Times New Roman" w:cs="Times New Roman"/>
          <w:sz w:val="24"/>
          <w:szCs w:val="24"/>
        </w:rPr>
        <w:t xml:space="preserve">The textbook’s authors took at face value British and French claims to responsible trusteeship; the </w:t>
      </w:r>
      <w:r w:rsidR="001757E6" w:rsidRPr="00AE141E">
        <w:rPr>
          <w:rFonts w:ascii="Times New Roman" w:hAnsi="Times New Roman" w:cs="Times New Roman"/>
          <w:i/>
          <w:sz w:val="24"/>
          <w:szCs w:val="24"/>
        </w:rPr>
        <w:t>exercise</w:t>
      </w:r>
      <w:r w:rsidR="001757E6" w:rsidRPr="00AE141E">
        <w:rPr>
          <w:rFonts w:ascii="Times New Roman" w:hAnsi="Times New Roman" w:cs="Times New Roman"/>
          <w:sz w:val="24"/>
          <w:szCs w:val="24"/>
        </w:rPr>
        <w:t xml:space="preserve"> of such powers was called into question, but their fundamental legitimacy </w:t>
      </w:r>
      <w:r w:rsidR="004C3285" w:rsidRPr="00AE141E">
        <w:rPr>
          <w:rFonts w:ascii="Times New Roman" w:hAnsi="Times New Roman" w:cs="Times New Roman"/>
          <w:sz w:val="24"/>
          <w:szCs w:val="24"/>
        </w:rPr>
        <w:t xml:space="preserve">remained </w:t>
      </w:r>
      <w:r w:rsidR="001757E6" w:rsidRPr="00AE141E">
        <w:rPr>
          <w:rFonts w:ascii="Times New Roman" w:hAnsi="Times New Roman" w:cs="Times New Roman"/>
          <w:sz w:val="24"/>
          <w:szCs w:val="24"/>
        </w:rPr>
        <w:t>uncontested. </w:t>
      </w:r>
    </w:p>
    <w:p w14:paraId="4300EA6A" w14:textId="4B7A6316" w:rsidR="00CE5940" w:rsidRPr="00AE141E" w:rsidRDefault="00D77FE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It is worth noting that M</w:t>
      </w:r>
      <w:r w:rsidR="004606EC" w:rsidRPr="00AE141E">
        <w:rPr>
          <w:rFonts w:ascii="Times New Roman" w:hAnsi="Times New Roman" w:cs="Times New Roman"/>
          <w:sz w:val="24"/>
          <w:szCs w:val="24"/>
        </w:rPr>
        <w:t xml:space="preserve">odern </w:t>
      </w:r>
      <w:r w:rsidRPr="00AE141E">
        <w:rPr>
          <w:rFonts w:ascii="Times New Roman" w:hAnsi="Times New Roman" w:cs="Times New Roman"/>
          <w:sz w:val="24"/>
          <w:szCs w:val="24"/>
        </w:rPr>
        <w:t>W</w:t>
      </w:r>
      <w:r w:rsidR="004606EC" w:rsidRPr="00AE141E">
        <w:rPr>
          <w:rFonts w:ascii="Times New Roman" w:hAnsi="Times New Roman" w:cs="Times New Roman"/>
          <w:sz w:val="24"/>
          <w:szCs w:val="24"/>
        </w:rPr>
        <w:t xml:space="preserve">orld </w:t>
      </w:r>
      <w:r w:rsidRPr="00AE141E">
        <w:rPr>
          <w:rFonts w:ascii="Times New Roman" w:hAnsi="Times New Roman" w:cs="Times New Roman"/>
          <w:sz w:val="24"/>
          <w:szCs w:val="24"/>
        </w:rPr>
        <w:t>S</w:t>
      </w:r>
      <w:r w:rsidR="004606EC" w:rsidRPr="00AE141E">
        <w:rPr>
          <w:rFonts w:ascii="Times New Roman" w:hAnsi="Times New Roman" w:cs="Times New Roman"/>
          <w:sz w:val="24"/>
          <w:szCs w:val="24"/>
        </w:rPr>
        <w:t>tudies</w:t>
      </w:r>
      <w:r w:rsidRPr="00AE141E">
        <w:rPr>
          <w:rFonts w:ascii="Times New Roman" w:hAnsi="Times New Roman" w:cs="Times New Roman"/>
          <w:sz w:val="24"/>
          <w:szCs w:val="24"/>
        </w:rPr>
        <w:t xml:space="preserve"> was widely regarded as the ‘most problematic’ section of the SCHP course.</w:t>
      </w:r>
      <w:r w:rsidR="00A94C0C" w:rsidRPr="00AE141E">
        <w:rPr>
          <w:rStyle w:val="FootnoteReference"/>
          <w:rFonts w:ascii="Times New Roman" w:hAnsi="Times New Roman" w:cs="Times New Roman"/>
          <w:sz w:val="24"/>
          <w:szCs w:val="24"/>
        </w:rPr>
        <w:footnoteReference w:id="337"/>
      </w:r>
      <w:r w:rsidRPr="00AE141E">
        <w:rPr>
          <w:rFonts w:ascii="Times New Roman" w:hAnsi="Times New Roman" w:cs="Times New Roman"/>
          <w:sz w:val="24"/>
          <w:szCs w:val="24"/>
        </w:rPr>
        <w:t xml:space="preserve"> Teachers tended to feel that insufficient time was allocated</w:t>
      </w:r>
      <w:r w:rsidR="0013704A" w:rsidRPr="00AE141E">
        <w:rPr>
          <w:rFonts w:ascii="Times New Roman" w:hAnsi="Times New Roman" w:cs="Times New Roman"/>
          <w:sz w:val="24"/>
          <w:szCs w:val="24"/>
        </w:rPr>
        <w:t xml:space="preserve"> to the module.</w:t>
      </w:r>
      <w:r w:rsidRPr="00AE141E">
        <w:rPr>
          <w:rFonts w:ascii="Times New Roman" w:hAnsi="Times New Roman" w:cs="Times New Roman"/>
          <w:sz w:val="24"/>
          <w:szCs w:val="24"/>
        </w:rPr>
        <w:t xml:space="preserve"> </w:t>
      </w:r>
      <w:r w:rsidR="0013704A" w:rsidRPr="00AE141E">
        <w:rPr>
          <w:rFonts w:ascii="Times New Roman" w:hAnsi="Times New Roman" w:cs="Times New Roman"/>
          <w:sz w:val="24"/>
          <w:szCs w:val="24"/>
        </w:rPr>
        <w:t>Consequently,</w:t>
      </w:r>
      <w:r w:rsidRPr="00AE141E">
        <w:rPr>
          <w:rFonts w:ascii="Times New Roman" w:hAnsi="Times New Roman" w:cs="Times New Roman"/>
          <w:sz w:val="24"/>
          <w:szCs w:val="24"/>
        </w:rPr>
        <w:t xml:space="preserve"> lessons </w:t>
      </w:r>
      <w:r w:rsidR="00B868DB" w:rsidRPr="00AE141E">
        <w:rPr>
          <w:rFonts w:ascii="Times New Roman" w:hAnsi="Times New Roman" w:cs="Times New Roman"/>
          <w:sz w:val="24"/>
          <w:szCs w:val="24"/>
        </w:rPr>
        <w:t>were forced to caricature</w:t>
      </w:r>
      <w:r w:rsidR="007C7027" w:rsidRPr="00AE141E">
        <w:rPr>
          <w:rFonts w:ascii="Times New Roman" w:hAnsi="Times New Roman" w:cs="Times New Roman"/>
          <w:sz w:val="24"/>
          <w:szCs w:val="24"/>
        </w:rPr>
        <w:t xml:space="preserve">, </w:t>
      </w:r>
      <w:r w:rsidR="00B868DB" w:rsidRPr="00AE141E">
        <w:rPr>
          <w:rFonts w:ascii="Times New Roman" w:hAnsi="Times New Roman" w:cs="Times New Roman"/>
          <w:sz w:val="24"/>
          <w:szCs w:val="24"/>
        </w:rPr>
        <w:t>oversimplify</w:t>
      </w:r>
      <w:r w:rsidR="007C7027" w:rsidRPr="00AE141E">
        <w:rPr>
          <w:rFonts w:ascii="Times New Roman" w:hAnsi="Times New Roman" w:cs="Times New Roman"/>
          <w:sz w:val="24"/>
          <w:szCs w:val="24"/>
        </w:rPr>
        <w:t xml:space="preserve">, and to sacrifice </w:t>
      </w:r>
      <w:r w:rsidR="00FA4A17" w:rsidRPr="00AE141E">
        <w:rPr>
          <w:rFonts w:ascii="Times New Roman" w:hAnsi="Times New Roman" w:cs="Times New Roman"/>
          <w:sz w:val="24"/>
          <w:szCs w:val="24"/>
        </w:rPr>
        <w:t xml:space="preserve">the </w:t>
      </w:r>
      <w:r w:rsidR="008F704D" w:rsidRPr="00AE141E">
        <w:rPr>
          <w:rFonts w:ascii="Times New Roman" w:hAnsi="Times New Roman" w:cs="Times New Roman"/>
          <w:sz w:val="24"/>
          <w:szCs w:val="24"/>
        </w:rPr>
        <w:t>critical source analysis which was supposed to be a hallmark of the SCHP approach</w:t>
      </w:r>
      <w:r w:rsidR="00B868DB" w:rsidRPr="00AE141E">
        <w:rPr>
          <w:rFonts w:ascii="Times New Roman" w:hAnsi="Times New Roman" w:cs="Times New Roman"/>
          <w:sz w:val="24"/>
          <w:szCs w:val="24"/>
        </w:rPr>
        <w:t xml:space="preserve">. Some teachers felt obliged to </w:t>
      </w:r>
      <w:r w:rsidRPr="00AE141E">
        <w:rPr>
          <w:rFonts w:ascii="Times New Roman" w:hAnsi="Times New Roman" w:cs="Times New Roman"/>
          <w:sz w:val="24"/>
          <w:szCs w:val="24"/>
        </w:rPr>
        <w:t>revert to a traditional</w:t>
      </w:r>
      <w:r w:rsidR="00B169D5" w:rsidRPr="00AE141E">
        <w:rPr>
          <w:rFonts w:ascii="Times New Roman" w:hAnsi="Times New Roman" w:cs="Times New Roman"/>
          <w:sz w:val="24"/>
          <w:szCs w:val="24"/>
        </w:rPr>
        <w:t>,</w:t>
      </w:r>
      <w:r w:rsidR="002A3FAA" w:rsidRPr="00AE141E">
        <w:rPr>
          <w:rFonts w:ascii="Times New Roman" w:hAnsi="Times New Roman" w:cs="Times New Roman"/>
          <w:sz w:val="24"/>
          <w:szCs w:val="24"/>
        </w:rPr>
        <w:t xml:space="preserve"> talk</w:t>
      </w:r>
      <w:r w:rsidR="00B169D5" w:rsidRPr="00AE141E">
        <w:rPr>
          <w:rFonts w:ascii="Times New Roman" w:hAnsi="Times New Roman" w:cs="Times New Roman"/>
          <w:sz w:val="24"/>
          <w:szCs w:val="24"/>
        </w:rPr>
        <w:t>-and-chalk</w:t>
      </w:r>
      <w:r w:rsidRPr="00AE141E">
        <w:rPr>
          <w:rFonts w:ascii="Times New Roman" w:hAnsi="Times New Roman" w:cs="Times New Roman"/>
          <w:sz w:val="24"/>
          <w:szCs w:val="24"/>
        </w:rPr>
        <w:t xml:space="preserve"> model</w:t>
      </w:r>
      <w:r w:rsidR="00B169D5" w:rsidRPr="00AE141E">
        <w:rPr>
          <w:rFonts w:ascii="Times New Roman" w:hAnsi="Times New Roman" w:cs="Times New Roman"/>
          <w:sz w:val="24"/>
          <w:szCs w:val="24"/>
        </w:rPr>
        <w:t>, summarised as</w:t>
      </w:r>
      <w:r w:rsidRPr="00AE141E">
        <w:rPr>
          <w:rFonts w:ascii="Times New Roman" w:hAnsi="Times New Roman" w:cs="Times New Roman"/>
          <w:sz w:val="24"/>
          <w:szCs w:val="24"/>
        </w:rPr>
        <w:t xml:space="preserve"> ‘here is the country, here are the facts’.</w:t>
      </w:r>
      <w:r w:rsidR="00343FD5" w:rsidRPr="00AE141E">
        <w:rPr>
          <w:rFonts w:ascii="Times New Roman" w:hAnsi="Times New Roman" w:cs="Times New Roman"/>
          <w:sz w:val="24"/>
          <w:szCs w:val="24"/>
        </w:rPr>
        <w:t xml:space="preserve"> </w:t>
      </w:r>
      <w:r w:rsidR="00B169D5" w:rsidRPr="00AE141E">
        <w:rPr>
          <w:rFonts w:ascii="Times New Roman" w:hAnsi="Times New Roman" w:cs="Times New Roman"/>
          <w:sz w:val="24"/>
          <w:szCs w:val="24"/>
        </w:rPr>
        <w:t>Others</w:t>
      </w:r>
      <w:r w:rsidR="00C121B5" w:rsidRPr="00AE141E">
        <w:rPr>
          <w:rFonts w:ascii="Times New Roman" w:hAnsi="Times New Roman" w:cs="Times New Roman"/>
          <w:sz w:val="24"/>
          <w:szCs w:val="24"/>
        </w:rPr>
        <w:t xml:space="preserve"> </w:t>
      </w:r>
      <w:r w:rsidR="001A3477" w:rsidRPr="00AE141E">
        <w:rPr>
          <w:rFonts w:ascii="Times New Roman" w:hAnsi="Times New Roman" w:cs="Times New Roman"/>
          <w:sz w:val="24"/>
          <w:szCs w:val="24"/>
        </w:rPr>
        <w:t>ado</w:t>
      </w:r>
      <w:r w:rsidR="00B65C72" w:rsidRPr="00AE141E">
        <w:rPr>
          <w:rFonts w:ascii="Times New Roman" w:hAnsi="Times New Roman" w:cs="Times New Roman"/>
          <w:sz w:val="24"/>
          <w:szCs w:val="24"/>
        </w:rPr>
        <w:t xml:space="preserve">pted </w:t>
      </w:r>
      <w:r w:rsidR="00E05E3D" w:rsidRPr="00AE141E">
        <w:rPr>
          <w:rFonts w:ascii="Times New Roman" w:hAnsi="Times New Roman" w:cs="Times New Roman"/>
          <w:sz w:val="24"/>
          <w:szCs w:val="24"/>
        </w:rPr>
        <w:t>a narrative, story-telling approach</w:t>
      </w:r>
      <w:r w:rsidR="00B65C72" w:rsidRPr="00AE141E">
        <w:rPr>
          <w:rFonts w:ascii="Times New Roman" w:hAnsi="Times New Roman" w:cs="Times New Roman"/>
          <w:sz w:val="24"/>
          <w:szCs w:val="24"/>
        </w:rPr>
        <w:t xml:space="preserve"> </w:t>
      </w:r>
      <w:r w:rsidR="00E82F2E" w:rsidRPr="00AE141E">
        <w:rPr>
          <w:rFonts w:ascii="Times New Roman" w:hAnsi="Times New Roman" w:cs="Times New Roman"/>
          <w:sz w:val="24"/>
          <w:szCs w:val="24"/>
        </w:rPr>
        <w:t>in order to convey the necessary information while retaining student engagement.</w:t>
      </w:r>
      <w:r w:rsidR="00BC67E9" w:rsidRPr="00AE141E">
        <w:rPr>
          <w:rFonts w:ascii="Times New Roman" w:hAnsi="Times New Roman" w:cs="Times New Roman"/>
          <w:sz w:val="24"/>
          <w:szCs w:val="24"/>
        </w:rPr>
        <w:t xml:space="preserve"> SCHP noted that </w:t>
      </w:r>
      <w:r w:rsidR="006012BB" w:rsidRPr="00AE141E">
        <w:rPr>
          <w:rFonts w:ascii="Times New Roman" w:hAnsi="Times New Roman" w:cs="Times New Roman"/>
          <w:sz w:val="24"/>
          <w:szCs w:val="24"/>
        </w:rPr>
        <w:t xml:space="preserve">the ‘derring-do and ample carnage’ of the </w:t>
      </w:r>
      <w:r w:rsidR="00BC67E9" w:rsidRPr="00AE141E">
        <w:rPr>
          <w:rFonts w:ascii="Times New Roman" w:hAnsi="Times New Roman" w:cs="Times New Roman"/>
          <w:sz w:val="24"/>
          <w:szCs w:val="24"/>
        </w:rPr>
        <w:t xml:space="preserve">‘The Arab-Israeli Conflict’ </w:t>
      </w:r>
      <w:r w:rsidR="00931E9A" w:rsidRPr="00AE141E">
        <w:rPr>
          <w:rFonts w:ascii="Times New Roman" w:hAnsi="Times New Roman" w:cs="Times New Roman"/>
          <w:sz w:val="24"/>
          <w:szCs w:val="24"/>
        </w:rPr>
        <w:t>contributed to its initial appeal amongst teachers – especially those working with ‘lower’ or ‘mixed-ability’ groups</w:t>
      </w:r>
      <w:r w:rsidR="006012BB" w:rsidRPr="00AE141E">
        <w:rPr>
          <w:rFonts w:ascii="Times New Roman" w:hAnsi="Times New Roman" w:cs="Times New Roman"/>
          <w:sz w:val="24"/>
          <w:szCs w:val="24"/>
        </w:rPr>
        <w:t>.</w:t>
      </w:r>
      <w:r w:rsidR="00931E9A" w:rsidRPr="00AE141E">
        <w:rPr>
          <w:rFonts w:ascii="Times New Roman" w:hAnsi="Times New Roman" w:cs="Times New Roman"/>
          <w:sz w:val="24"/>
          <w:szCs w:val="24"/>
        </w:rPr>
        <w:t xml:space="preserve"> Needless to say, </w:t>
      </w:r>
      <w:r w:rsidR="004F0944" w:rsidRPr="00AE141E">
        <w:rPr>
          <w:rFonts w:ascii="Times New Roman" w:hAnsi="Times New Roman" w:cs="Times New Roman"/>
          <w:sz w:val="24"/>
          <w:szCs w:val="24"/>
        </w:rPr>
        <w:t xml:space="preserve">by treating </w:t>
      </w:r>
      <w:r w:rsidR="0058121A" w:rsidRPr="00AE141E">
        <w:rPr>
          <w:rFonts w:ascii="Times New Roman" w:hAnsi="Times New Roman" w:cs="Times New Roman"/>
          <w:sz w:val="24"/>
          <w:szCs w:val="24"/>
        </w:rPr>
        <w:t>real people as characters in an adventure story, such teaching had a tendency to dehumanise and to distance.</w:t>
      </w:r>
      <w:r w:rsidR="006012BB" w:rsidRPr="00AE141E">
        <w:rPr>
          <w:rFonts w:ascii="Times New Roman" w:hAnsi="Times New Roman" w:cs="Times New Roman"/>
          <w:sz w:val="24"/>
          <w:szCs w:val="24"/>
        </w:rPr>
        <w:t xml:space="preserve"> </w:t>
      </w:r>
      <w:r w:rsidR="0058121A" w:rsidRPr="00AE141E">
        <w:rPr>
          <w:rFonts w:ascii="Times New Roman" w:hAnsi="Times New Roman" w:cs="Times New Roman"/>
          <w:sz w:val="24"/>
          <w:szCs w:val="24"/>
        </w:rPr>
        <w:t>In this context, o</w:t>
      </w:r>
      <w:r w:rsidRPr="00AE141E">
        <w:rPr>
          <w:rFonts w:ascii="Times New Roman" w:hAnsi="Times New Roman" w:cs="Times New Roman"/>
          <w:sz w:val="24"/>
          <w:szCs w:val="24"/>
        </w:rPr>
        <w:t xml:space="preserve">pportunities for sustained consideration of individual aspects of the topics – including their imperial dimension – were few and far between. The textbooks and teachers’ resources may well have reflected this compressed timeframe. </w:t>
      </w:r>
    </w:p>
    <w:p w14:paraId="186F22FF" w14:textId="116DE7AC" w:rsidR="00F60520" w:rsidRPr="00AE141E" w:rsidRDefault="008B757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Neither the </w:t>
      </w:r>
      <w:r w:rsidR="00C21B8E" w:rsidRPr="00AE141E">
        <w:rPr>
          <w:rFonts w:ascii="Times New Roman" w:hAnsi="Times New Roman" w:cs="Times New Roman"/>
          <w:sz w:val="24"/>
          <w:szCs w:val="24"/>
        </w:rPr>
        <w:t xml:space="preserve">formal resources produced to support MWS, nor </w:t>
      </w:r>
      <w:r w:rsidR="00B57F7F" w:rsidRPr="00AE141E">
        <w:rPr>
          <w:rFonts w:ascii="Times New Roman" w:hAnsi="Times New Roman" w:cs="Times New Roman"/>
          <w:sz w:val="24"/>
          <w:szCs w:val="24"/>
        </w:rPr>
        <w:t>classroom</w:t>
      </w:r>
      <w:r w:rsidR="006A5F21" w:rsidRPr="00AE141E">
        <w:rPr>
          <w:rFonts w:ascii="Times New Roman" w:hAnsi="Times New Roman" w:cs="Times New Roman"/>
          <w:sz w:val="24"/>
          <w:szCs w:val="24"/>
        </w:rPr>
        <w:t xml:space="preserve"> practice, seem to have diverged substantially </w:t>
      </w:r>
      <w:r w:rsidR="00415D89" w:rsidRPr="00AE141E">
        <w:rPr>
          <w:rFonts w:ascii="Times New Roman" w:hAnsi="Times New Roman" w:cs="Times New Roman"/>
          <w:sz w:val="24"/>
          <w:szCs w:val="24"/>
        </w:rPr>
        <w:t>from th</w:t>
      </w:r>
      <w:r w:rsidR="0016465D" w:rsidRPr="00AE141E">
        <w:rPr>
          <w:rFonts w:ascii="Times New Roman" w:hAnsi="Times New Roman" w:cs="Times New Roman"/>
          <w:sz w:val="24"/>
          <w:szCs w:val="24"/>
        </w:rPr>
        <w:t>e approach to imperial history displayed in other world studies courses.</w:t>
      </w:r>
      <w:r w:rsidR="005B45FC" w:rsidRPr="00AE141E">
        <w:rPr>
          <w:rFonts w:ascii="Times New Roman" w:hAnsi="Times New Roman" w:cs="Times New Roman"/>
          <w:sz w:val="24"/>
          <w:szCs w:val="24"/>
        </w:rPr>
        <w:t xml:space="preserve"> </w:t>
      </w:r>
      <w:r w:rsidR="002138B9" w:rsidRPr="00AE141E">
        <w:rPr>
          <w:rFonts w:ascii="Times New Roman" w:hAnsi="Times New Roman" w:cs="Times New Roman"/>
          <w:sz w:val="24"/>
          <w:szCs w:val="24"/>
        </w:rPr>
        <w:t xml:space="preserve">The </w:t>
      </w:r>
      <w:r w:rsidR="003148ED" w:rsidRPr="00AE141E">
        <w:rPr>
          <w:rFonts w:ascii="Times New Roman" w:hAnsi="Times New Roman" w:cs="Times New Roman"/>
          <w:sz w:val="24"/>
          <w:szCs w:val="24"/>
        </w:rPr>
        <w:t>MWS’</w:t>
      </w:r>
      <w:r w:rsidR="002138B9" w:rsidRPr="00AE141E">
        <w:rPr>
          <w:rFonts w:ascii="Times New Roman" w:hAnsi="Times New Roman" w:cs="Times New Roman"/>
          <w:sz w:val="24"/>
          <w:szCs w:val="24"/>
        </w:rPr>
        <w:t xml:space="preserve"> most direct references to </w:t>
      </w:r>
      <w:r w:rsidR="00F81CE1" w:rsidRPr="00AE141E">
        <w:rPr>
          <w:rFonts w:ascii="Times New Roman" w:hAnsi="Times New Roman" w:cs="Times New Roman"/>
          <w:sz w:val="24"/>
          <w:szCs w:val="24"/>
        </w:rPr>
        <w:t>the empire</w:t>
      </w:r>
      <w:r w:rsidR="002138B9" w:rsidRPr="00AE141E">
        <w:rPr>
          <w:rFonts w:ascii="Times New Roman" w:hAnsi="Times New Roman" w:cs="Times New Roman"/>
          <w:sz w:val="24"/>
          <w:szCs w:val="24"/>
        </w:rPr>
        <w:t xml:space="preserve"> tended to </w:t>
      </w:r>
      <w:r w:rsidR="00F81CE1" w:rsidRPr="00AE141E">
        <w:rPr>
          <w:rFonts w:ascii="Times New Roman" w:hAnsi="Times New Roman" w:cs="Times New Roman"/>
          <w:sz w:val="24"/>
          <w:szCs w:val="24"/>
        </w:rPr>
        <w:t xml:space="preserve">posit it as a barrier </w:t>
      </w:r>
      <w:r w:rsidR="00B92D25" w:rsidRPr="00AE141E">
        <w:rPr>
          <w:rFonts w:ascii="Times New Roman" w:hAnsi="Times New Roman" w:cs="Times New Roman"/>
          <w:sz w:val="24"/>
          <w:szCs w:val="24"/>
        </w:rPr>
        <w:t xml:space="preserve">to Britain’s </w:t>
      </w:r>
      <w:r w:rsidR="003148ED" w:rsidRPr="00AE141E">
        <w:rPr>
          <w:rFonts w:ascii="Times New Roman" w:hAnsi="Times New Roman" w:cs="Times New Roman"/>
          <w:sz w:val="24"/>
          <w:szCs w:val="24"/>
        </w:rPr>
        <w:t>historical destiny –</w:t>
      </w:r>
      <w:r w:rsidR="00283520" w:rsidRPr="00AE141E">
        <w:rPr>
          <w:rFonts w:ascii="Times New Roman" w:hAnsi="Times New Roman" w:cs="Times New Roman"/>
          <w:sz w:val="24"/>
          <w:szCs w:val="24"/>
        </w:rPr>
        <w:t xml:space="preserve"> best</w:t>
      </w:r>
      <w:r w:rsidR="003148ED" w:rsidRPr="00AE141E">
        <w:rPr>
          <w:rFonts w:ascii="Times New Roman" w:hAnsi="Times New Roman" w:cs="Times New Roman"/>
          <w:sz w:val="24"/>
          <w:szCs w:val="24"/>
        </w:rPr>
        <w:t xml:space="preserve"> </w:t>
      </w:r>
      <w:r w:rsidR="00283520" w:rsidRPr="00AE141E">
        <w:rPr>
          <w:rFonts w:ascii="Times New Roman" w:hAnsi="Times New Roman" w:cs="Times New Roman"/>
          <w:sz w:val="24"/>
          <w:szCs w:val="24"/>
        </w:rPr>
        <w:t>forgotten</w:t>
      </w:r>
      <w:r w:rsidR="003148ED" w:rsidRPr="00AE141E">
        <w:rPr>
          <w:rFonts w:ascii="Times New Roman" w:hAnsi="Times New Roman" w:cs="Times New Roman"/>
          <w:sz w:val="24"/>
          <w:szCs w:val="24"/>
        </w:rPr>
        <w:t xml:space="preserve"> or confined to the margins of history.</w:t>
      </w:r>
      <w:r w:rsidR="00303178" w:rsidRPr="00AE141E">
        <w:rPr>
          <w:rFonts w:ascii="Times New Roman" w:hAnsi="Times New Roman" w:cs="Times New Roman"/>
          <w:sz w:val="24"/>
          <w:szCs w:val="24"/>
        </w:rPr>
        <w:t xml:space="preserve"> </w:t>
      </w:r>
      <w:r w:rsidR="003333D5" w:rsidRPr="00AE141E">
        <w:rPr>
          <w:rFonts w:ascii="Times New Roman" w:hAnsi="Times New Roman" w:cs="Times New Roman"/>
          <w:sz w:val="24"/>
          <w:szCs w:val="24"/>
        </w:rPr>
        <w:t>Where MWS</w:t>
      </w:r>
      <w:r w:rsidR="00AC3372" w:rsidRPr="00AE141E">
        <w:rPr>
          <w:rFonts w:ascii="Times New Roman" w:hAnsi="Times New Roman" w:cs="Times New Roman"/>
          <w:sz w:val="24"/>
          <w:szCs w:val="24"/>
        </w:rPr>
        <w:t xml:space="preserve"> </w:t>
      </w:r>
      <w:r w:rsidR="00303178" w:rsidRPr="00AE141E">
        <w:rPr>
          <w:rFonts w:ascii="Times New Roman" w:hAnsi="Times New Roman" w:cs="Times New Roman"/>
          <w:sz w:val="24"/>
          <w:szCs w:val="24"/>
        </w:rPr>
        <w:t xml:space="preserve">truly </w:t>
      </w:r>
      <w:r w:rsidR="003333D5" w:rsidRPr="00AE141E">
        <w:rPr>
          <w:rFonts w:ascii="Times New Roman" w:hAnsi="Times New Roman" w:cs="Times New Roman"/>
          <w:sz w:val="24"/>
          <w:szCs w:val="24"/>
        </w:rPr>
        <w:t xml:space="preserve">broke new ground was in its </w:t>
      </w:r>
      <w:r w:rsidR="005741D8" w:rsidRPr="00AE141E">
        <w:rPr>
          <w:rFonts w:ascii="Times New Roman" w:hAnsi="Times New Roman" w:cs="Times New Roman"/>
          <w:sz w:val="24"/>
          <w:szCs w:val="24"/>
        </w:rPr>
        <w:t xml:space="preserve">application of SCHP’s </w:t>
      </w:r>
      <w:r w:rsidR="003333D5" w:rsidRPr="00AE141E">
        <w:rPr>
          <w:rFonts w:ascii="Times New Roman" w:hAnsi="Times New Roman" w:cs="Times New Roman"/>
          <w:sz w:val="24"/>
          <w:szCs w:val="24"/>
        </w:rPr>
        <w:t>methodological approach</w:t>
      </w:r>
      <w:r w:rsidR="005666D0" w:rsidRPr="00AE141E">
        <w:rPr>
          <w:rFonts w:ascii="Times New Roman" w:hAnsi="Times New Roman" w:cs="Times New Roman"/>
          <w:sz w:val="24"/>
          <w:szCs w:val="24"/>
        </w:rPr>
        <w:t xml:space="preserve"> to</w:t>
      </w:r>
      <w:r w:rsidR="005741D8" w:rsidRPr="00AE141E">
        <w:rPr>
          <w:rFonts w:ascii="Times New Roman" w:hAnsi="Times New Roman" w:cs="Times New Roman"/>
          <w:sz w:val="24"/>
          <w:szCs w:val="24"/>
        </w:rPr>
        <w:t xml:space="preserve"> </w:t>
      </w:r>
      <w:r w:rsidR="001B2819" w:rsidRPr="00AE141E">
        <w:rPr>
          <w:rFonts w:ascii="Times New Roman" w:hAnsi="Times New Roman" w:cs="Times New Roman"/>
          <w:sz w:val="24"/>
          <w:szCs w:val="24"/>
        </w:rPr>
        <w:t>the module’s coursework component</w:t>
      </w:r>
      <w:r w:rsidR="003333D5" w:rsidRPr="00AE141E">
        <w:rPr>
          <w:rFonts w:ascii="Times New Roman" w:hAnsi="Times New Roman" w:cs="Times New Roman"/>
          <w:sz w:val="24"/>
          <w:szCs w:val="24"/>
        </w:rPr>
        <w:t>.</w:t>
      </w:r>
      <w:r w:rsidR="00424FF1" w:rsidRPr="00AE141E">
        <w:rPr>
          <w:rFonts w:ascii="Times New Roman" w:hAnsi="Times New Roman" w:cs="Times New Roman"/>
          <w:sz w:val="24"/>
          <w:szCs w:val="24"/>
        </w:rPr>
        <w:t xml:space="preserve"> </w:t>
      </w:r>
      <w:r w:rsidR="00303178" w:rsidRPr="00AE141E">
        <w:rPr>
          <w:rFonts w:ascii="Times New Roman" w:hAnsi="Times New Roman" w:cs="Times New Roman"/>
          <w:sz w:val="24"/>
          <w:szCs w:val="24"/>
        </w:rPr>
        <w:t xml:space="preserve">SCHP </w:t>
      </w:r>
      <w:r w:rsidR="00B15BF8" w:rsidRPr="00AE141E">
        <w:rPr>
          <w:rFonts w:ascii="Times New Roman" w:hAnsi="Times New Roman" w:cs="Times New Roman"/>
          <w:sz w:val="24"/>
          <w:szCs w:val="24"/>
        </w:rPr>
        <w:t xml:space="preserve">valorised </w:t>
      </w:r>
      <w:r w:rsidR="00597A22" w:rsidRPr="00AE141E">
        <w:rPr>
          <w:rFonts w:ascii="Times New Roman" w:hAnsi="Times New Roman" w:cs="Times New Roman"/>
          <w:sz w:val="24"/>
          <w:szCs w:val="24"/>
        </w:rPr>
        <w:t>pupil</w:t>
      </w:r>
      <w:r w:rsidR="002658D0" w:rsidRPr="00AE141E">
        <w:rPr>
          <w:rFonts w:ascii="Times New Roman" w:hAnsi="Times New Roman" w:cs="Times New Roman"/>
          <w:sz w:val="24"/>
          <w:szCs w:val="24"/>
        </w:rPr>
        <w:t xml:space="preserve">-led, </w:t>
      </w:r>
      <w:r w:rsidR="00D15D90" w:rsidRPr="00AE141E">
        <w:rPr>
          <w:rFonts w:ascii="Times New Roman" w:hAnsi="Times New Roman" w:cs="Times New Roman"/>
          <w:sz w:val="24"/>
          <w:szCs w:val="24"/>
        </w:rPr>
        <w:t xml:space="preserve">evidence-based </w:t>
      </w:r>
      <w:r w:rsidR="00B15BF8" w:rsidRPr="00AE141E">
        <w:rPr>
          <w:rFonts w:ascii="Times New Roman" w:hAnsi="Times New Roman" w:cs="Times New Roman"/>
          <w:sz w:val="24"/>
          <w:szCs w:val="24"/>
        </w:rPr>
        <w:t>inquiry</w:t>
      </w:r>
      <w:r w:rsidR="00995409" w:rsidRPr="00AE141E">
        <w:rPr>
          <w:rFonts w:ascii="Times New Roman" w:hAnsi="Times New Roman" w:cs="Times New Roman"/>
          <w:sz w:val="24"/>
          <w:szCs w:val="24"/>
        </w:rPr>
        <w:t xml:space="preserve">. Independent thought </w:t>
      </w:r>
      <w:r w:rsidR="004739D6" w:rsidRPr="00AE141E">
        <w:rPr>
          <w:rFonts w:ascii="Times New Roman" w:hAnsi="Times New Roman" w:cs="Times New Roman"/>
          <w:sz w:val="24"/>
          <w:szCs w:val="24"/>
        </w:rPr>
        <w:t>was – in theory at least – to be commended rather than p</w:t>
      </w:r>
      <w:r w:rsidR="00A957FD" w:rsidRPr="00AE141E">
        <w:rPr>
          <w:rFonts w:ascii="Times New Roman" w:hAnsi="Times New Roman" w:cs="Times New Roman"/>
          <w:sz w:val="24"/>
          <w:szCs w:val="24"/>
        </w:rPr>
        <w:t xml:space="preserve">enalised. </w:t>
      </w:r>
      <w:r w:rsidR="00E200E0" w:rsidRPr="00AE141E">
        <w:rPr>
          <w:rFonts w:ascii="Times New Roman" w:hAnsi="Times New Roman" w:cs="Times New Roman"/>
          <w:sz w:val="24"/>
          <w:szCs w:val="24"/>
        </w:rPr>
        <w:t xml:space="preserve">As we have seen, </w:t>
      </w:r>
      <w:r w:rsidR="00A34DA8" w:rsidRPr="00AE141E">
        <w:rPr>
          <w:rFonts w:ascii="Times New Roman" w:hAnsi="Times New Roman" w:cs="Times New Roman"/>
          <w:sz w:val="24"/>
          <w:szCs w:val="24"/>
        </w:rPr>
        <w:t>SCHP’s distinctive methodological approach was only inconsistently applied to MWS in a classroom setting</w:t>
      </w:r>
      <w:r w:rsidR="00400D13" w:rsidRPr="00AE141E">
        <w:rPr>
          <w:rFonts w:ascii="Times New Roman" w:hAnsi="Times New Roman" w:cs="Times New Roman"/>
          <w:sz w:val="24"/>
          <w:szCs w:val="24"/>
        </w:rPr>
        <w:t xml:space="preserve">. </w:t>
      </w:r>
      <w:r w:rsidR="004C04D0" w:rsidRPr="00AE141E">
        <w:rPr>
          <w:rFonts w:ascii="Times New Roman" w:hAnsi="Times New Roman" w:cs="Times New Roman"/>
          <w:sz w:val="24"/>
          <w:szCs w:val="24"/>
        </w:rPr>
        <w:t>In coursework, however,</w:t>
      </w:r>
      <w:r w:rsidR="003F4415" w:rsidRPr="00AE141E">
        <w:rPr>
          <w:rFonts w:ascii="Times New Roman" w:hAnsi="Times New Roman" w:cs="Times New Roman"/>
          <w:sz w:val="24"/>
          <w:szCs w:val="24"/>
        </w:rPr>
        <w:t xml:space="preserve"> students were given the freedom to experiment. </w:t>
      </w:r>
      <w:r w:rsidR="00CA3B42" w:rsidRPr="00AE141E">
        <w:rPr>
          <w:rFonts w:ascii="Times New Roman" w:hAnsi="Times New Roman" w:cs="Times New Roman"/>
          <w:sz w:val="24"/>
          <w:szCs w:val="24"/>
        </w:rPr>
        <w:t xml:space="preserve">Both </w:t>
      </w:r>
      <w:r w:rsidR="00537DAD" w:rsidRPr="00AE141E">
        <w:rPr>
          <w:rFonts w:ascii="Times New Roman" w:hAnsi="Times New Roman" w:cs="Times New Roman"/>
          <w:sz w:val="24"/>
          <w:szCs w:val="24"/>
        </w:rPr>
        <w:t xml:space="preserve">CSE and </w:t>
      </w:r>
      <w:r w:rsidR="00CA3B42" w:rsidRPr="00AE141E">
        <w:rPr>
          <w:rFonts w:ascii="Times New Roman" w:hAnsi="Times New Roman" w:cs="Times New Roman"/>
          <w:sz w:val="24"/>
          <w:szCs w:val="24"/>
        </w:rPr>
        <w:t xml:space="preserve">(unusually) </w:t>
      </w:r>
      <w:r w:rsidR="00537DAD" w:rsidRPr="00AE141E">
        <w:rPr>
          <w:rFonts w:ascii="Times New Roman" w:hAnsi="Times New Roman" w:cs="Times New Roman"/>
          <w:sz w:val="24"/>
          <w:szCs w:val="24"/>
        </w:rPr>
        <w:t xml:space="preserve">O </w:t>
      </w:r>
      <w:r w:rsidR="00E73676">
        <w:rPr>
          <w:rFonts w:ascii="Times New Roman" w:hAnsi="Times New Roman" w:cs="Times New Roman"/>
          <w:sz w:val="24"/>
          <w:szCs w:val="24"/>
        </w:rPr>
        <w:t>L</w:t>
      </w:r>
      <w:r w:rsidR="00537DAD" w:rsidRPr="00AE141E">
        <w:rPr>
          <w:rFonts w:ascii="Times New Roman" w:hAnsi="Times New Roman" w:cs="Times New Roman"/>
          <w:sz w:val="24"/>
          <w:szCs w:val="24"/>
        </w:rPr>
        <w:t xml:space="preserve">evel </w:t>
      </w:r>
      <w:r w:rsidR="00CA3B42" w:rsidRPr="00AE141E">
        <w:rPr>
          <w:rFonts w:ascii="Times New Roman" w:hAnsi="Times New Roman" w:cs="Times New Roman"/>
          <w:sz w:val="24"/>
          <w:szCs w:val="24"/>
        </w:rPr>
        <w:t xml:space="preserve">examinations </w:t>
      </w:r>
      <w:r w:rsidR="007259F7" w:rsidRPr="00AE141E">
        <w:rPr>
          <w:rFonts w:ascii="Times New Roman" w:hAnsi="Times New Roman" w:cs="Times New Roman"/>
          <w:sz w:val="24"/>
          <w:szCs w:val="24"/>
        </w:rPr>
        <w:t>following</w:t>
      </w:r>
      <w:r w:rsidR="00CA3B42" w:rsidRPr="00AE141E">
        <w:rPr>
          <w:rFonts w:ascii="Times New Roman" w:hAnsi="Times New Roman" w:cs="Times New Roman"/>
          <w:sz w:val="24"/>
          <w:szCs w:val="24"/>
        </w:rPr>
        <w:t xml:space="preserve"> the SCHP </w:t>
      </w:r>
      <w:r w:rsidR="007259F7" w:rsidRPr="00AE141E">
        <w:rPr>
          <w:rFonts w:ascii="Times New Roman" w:hAnsi="Times New Roman" w:cs="Times New Roman"/>
          <w:sz w:val="24"/>
          <w:szCs w:val="24"/>
        </w:rPr>
        <w:t>syllabus</w:t>
      </w:r>
      <w:r w:rsidR="00CA3B42" w:rsidRPr="00AE141E">
        <w:rPr>
          <w:rFonts w:ascii="Times New Roman" w:hAnsi="Times New Roman" w:cs="Times New Roman"/>
          <w:sz w:val="24"/>
          <w:szCs w:val="24"/>
        </w:rPr>
        <w:t xml:space="preserve"> featured an innovative coursework component. </w:t>
      </w:r>
      <w:r w:rsidR="00246A49" w:rsidRPr="00AE141E">
        <w:rPr>
          <w:rFonts w:ascii="Times New Roman" w:hAnsi="Times New Roman" w:cs="Times New Roman"/>
          <w:sz w:val="24"/>
          <w:szCs w:val="24"/>
        </w:rPr>
        <w:t>C</w:t>
      </w:r>
      <w:r w:rsidR="00537DAD" w:rsidRPr="00AE141E">
        <w:rPr>
          <w:rFonts w:ascii="Times New Roman" w:hAnsi="Times New Roman" w:cs="Times New Roman"/>
          <w:sz w:val="24"/>
          <w:szCs w:val="24"/>
        </w:rPr>
        <w:t xml:space="preserve">andidates </w:t>
      </w:r>
      <w:r w:rsidR="00246A49" w:rsidRPr="00AE141E">
        <w:rPr>
          <w:rFonts w:ascii="Times New Roman" w:hAnsi="Times New Roman" w:cs="Times New Roman"/>
          <w:sz w:val="24"/>
          <w:szCs w:val="24"/>
        </w:rPr>
        <w:t xml:space="preserve">were expected to follow current events </w:t>
      </w:r>
      <w:r w:rsidR="000565EF" w:rsidRPr="00AE141E">
        <w:rPr>
          <w:rFonts w:ascii="Times New Roman" w:hAnsi="Times New Roman" w:cs="Times New Roman"/>
          <w:sz w:val="24"/>
          <w:szCs w:val="24"/>
        </w:rPr>
        <w:t>related to a single Modern World Study, and to apply techniques of critical source analysis to contemporary media coverage.</w:t>
      </w:r>
      <w:r w:rsidR="00CC0E66" w:rsidRPr="00AE141E">
        <w:rPr>
          <w:rStyle w:val="FootnoteReference"/>
          <w:rFonts w:ascii="Times New Roman" w:hAnsi="Times New Roman" w:cs="Times New Roman"/>
          <w:sz w:val="24"/>
          <w:szCs w:val="24"/>
        </w:rPr>
        <w:footnoteReference w:id="338"/>
      </w:r>
      <w:r w:rsidR="00EB6857" w:rsidRPr="00AE141E">
        <w:rPr>
          <w:rFonts w:ascii="Times New Roman" w:hAnsi="Times New Roman" w:cs="Times New Roman"/>
          <w:sz w:val="24"/>
          <w:szCs w:val="24"/>
        </w:rPr>
        <w:t xml:space="preserve"> Their observations were written up and submitted for examination in the form of a</w:t>
      </w:r>
      <w:r w:rsidR="00B15BF8" w:rsidRPr="00AE141E">
        <w:rPr>
          <w:rFonts w:ascii="Times New Roman" w:hAnsi="Times New Roman" w:cs="Times New Roman"/>
          <w:sz w:val="24"/>
          <w:szCs w:val="24"/>
        </w:rPr>
        <w:t xml:space="preserve"> ‘Modern World Studies Diary’</w:t>
      </w:r>
      <w:r w:rsidR="00EA02A3" w:rsidRPr="00AE141E">
        <w:rPr>
          <w:rFonts w:ascii="Times New Roman" w:hAnsi="Times New Roman" w:cs="Times New Roman"/>
          <w:sz w:val="24"/>
          <w:szCs w:val="24"/>
        </w:rPr>
        <w:t xml:space="preserve"> (MWSD)</w:t>
      </w:r>
      <w:r w:rsidR="00EB6857" w:rsidRPr="00AE141E">
        <w:rPr>
          <w:rFonts w:ascii="Times New Roman" w:hAnsi="Times New Roman" w:cs="Times New Roman"/>
          <w:sz w:val="24"/>
          <w:szCs w:val="24"/>
        </w:rPr>
        <w:t>.</w:t>
      </w:r>
      <w:r w:rsidR="007B74E0" w:rsidRPr="00AE141E">
        <w:rPr>
          <w:rFonts w:ascii="Times New Roman" w:hAnsi="Times New Roman" w:cs="Times New Roman"/>
          <w:sz w:val="24"/>
          <w:szCs w:val="24"/>
        </w:rPr>
        <w:t xml:space="preserve"> </w:t>
      </w:r>
    </w:p>
    <w:p w14:paraId="56B0F347" w14:textId="1F081020" w:rsidR="00B15BF8" w:rsidRDefault="00F6052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There is some evidence that candidates at O </w:t>
      </w:r>
      <w:r w:rsidR="00E73676">
        <w:rPr>
          <w:rFonts w:ascii="Times New Roman" w:hAnsi="Times New Roman" w:cs="Times New Roman"/>
          <w:sz w:val="24"/>
          <w:szCs w:val="24"/>
        </w:rPr>
        <w:t>L</w:t>
      </w:r>
      <w:r w:rsidRPr="00AE141E">
        <w:rPr>
          <w:rFonts w:ascii="Times New Roman" w:hAnsi="Times New Roman" w:cs="Times New Roman"/>
          <w:sz w:val="24"/>
          <w:szCs w:val="24"/>
        </w:rPr>
        <w:t xml:space="preserve">evel may have neglected the </w:t>
      </w:r>
      <w:r w:rsidR="00EA02A3" w:rsidRPr="00AE141E">
        <w:rPr>
          <w:rFonts w:ascii="Times New Roman" w:hAnsi="Times New Roman" w:cs="Times New Roman"/>
          <w:sz w:val="24"/>
          <w:szCs w:val="24"/>
        </w:rPr>
        <w:t>coursework</w:t>
      </w:r>
      <w:r w:rsidRPr="00AE141E">
        <w:rPr>
          <w:rFonts w:ascii="Times New Roman" w:hAnsi="Times New Roman" w:cs="Times New Roman"/>
          <w:sz w:val="24"/>
          <w:szCs w:val="24"/>
        </w:rPr>
        <w:t xml:space="preserve"> element of assessment, as it was perceived as </w:t>
      </w:r>
      <w:r w:rsidR="00157A8A" w:rsidRPr="00AE141E">
        <w:rPr>
          <w:rFonts w:ascii="Times New Roman" w:hAnsi="Times New Roman" w:cs="Times New Roman"/>
          <w:sz w:val="24"/>
          <w:szCs w:val="24"/>
        </w:rPr>
        <w:t xml:space="preserve">a </w:t>
      </w:r>
      <w:r w:rsidRPr="00AE141E">
        <w:rPr>
          <w:rFonts w:ascii="Times New Roman" w:hAnsi="Times New Roman" w:cs="Times New Roman"/>
          <w:sz w:val="24"/>
          <w:szCs w:val="24"/>
        </w:rPr>
        <w:t>‘monstrously difficult’ exercise unfairly weighted at a mere 2.5 per cent of the total grade.</w:t>
      </w:r>
      <w:r w:rsidR="00F94A5B" w:rsidRPr="00AE141E">
        <w:rPr>
          <w:rStyle w:val="FootnoteReference"/>
          <w:rFonts w:ascii="Times New Roman" w:hAnsi="Times New Roman" w:cs="Times New Roman"/>
          <w:sz w:val="24"/>
          <w:szCs w:val="24"/>
        </w:rPr>
        <w:footnoteReference w:id="339"/>
      </w:r>
      <w:r w:rsidR="00A61D53" w:rsidRPr="00AE141E">
        <w:rPr>
          <w:rFonts w:ascii="Times New Roman" w:hAnsi="Times New Roman" w:cs="Times New Roman"/>
          <w:sz w:val="24"/>
          <w:szCs w:val="24"/>
        </w:rPr>
        <w:t xml:space="preserve"> Nevertheless, </w:t>
      </w:r>
      <w:r w:rsidR="00DF32D1" w:rsidRPr="00AE141E">
        <w:rPr>
          <w:rFonts w:ascii="Times New Roman" w:hAnsi="Times New Roman" w:cs="Times New Roman"/>
          <w:sz w:val="24"/>
          <w:szCs w:val="24"/>
        </w:rPr>
        <w:t>teachers</w:t>
      </w:r>
      <w:r w:rsidR="00EA02A3" w:rsidRPr="00AE141E">
        <w:rPr>
          <w:rFonts w:ascii="Times New Roman" w:hAnsi="Times New Roman" w:cs="Times New Roman"/>
          <w:sz w:val="24"/>
          <w:szCs w:val="24"/>
        </w:rPr>
        <w:t xml:space="preserve"> who </w:t>
      </w:r>
      <w:r w:rsidR="0010023D" w:rsidRPr="00AE141E">
        <w:rPr>
          <w:rFonts w:ascii="Times New Roman" w:hAnsi="Times New Roman" w:cs="Times New Roman"/>
          <w:sz w:val="24"/>
          <w:szCs w:val="24"/>
        </w:rPr>
        <w:t xml:space="preserve">fostered a committed approach to the MWSD amongst their pupils </w:t>
      </w:r>
      <w:r w:rsidR="008A6279" w:rsidRPr="00AE141E">
        <w:rPr>
          <w:rFonts w:ascii="Times New Roman" w:hAnsi="Times New Roman" w:cs="Times New Roman"/>
          <w:sz w:val="24"/>
          <w:szCs w:val="24"/>
        </w:rPr>
        <w:t xml:space="preserve">seem to </w:t>
      </w:r>
      <w:r w:rsidR="00B45853" w:rsidRPr="00AE141E">
        <w:rPr>
          <w:rFonts w:ascii="Times New Roman" w:hAnsi="Times New Roman" w:cs="Times New Roman"/>
          <w:sz w:val="24"/>
          <w:szCs w:val="24"/>
        </w:rPr>
        <w:t>remember</w:t>
      </w:r>
      <w:r w:rsidR="008A6279" w:rsidRPr="00AE141E">
        <w:rPr>
          <w:rFonts w:ascii="Times New Roman" w:hAnsi="Times New Roman" w:cs="Times New Roman"/>
          <w:sz w:val="24"/>
          <w:szCs w:val="24"/>
        </w:rPr>
        <w:t xml:space="preserve"> </w:t>
      </w:r>
      <w:r w:rsidR="0010023D" w:rsidRPr="00AE141E">
        <w:rPr>
          <w:rFonts w:ascii="Times New Roman" w:hAnsi="Times New Roman" w:cs="Times New Roman"/>
          <w:sz w:val="24"/>
          <w:szCs w:val="24"/>
        </w:rPr>
        <w:t xml:space="preserve">it as a positive experience </w:t>
      </w:r>
      <w:r w:rsidR="00B15BF8" w:rsidRPr="00AE141E">
        <w:rPr>
          <w:rFonts w:ascii="Times New Roman" w:hAnsi="Times New Roman" w:cs="Times New Roman"/>
          <w:sz w:val="24"/>
          <w:szCs w:val="24"/>
        </w:rPr>
        <w:t xml:space="preserve">that </w:t>
      </w:r>
      <w:r w:rsidR="00D21633" w:rsidRPr="00AE141E">
        <w:rPr>
          <w:rFonts w:ascii="Times New Roman" w:hAnsi="Times New Roman" w:cs="Times New Roman"/>
          <w:sz w:val="24"/>
          <w:szCs w:val="24"/>
        </w:rPr>
        <w:t>produce</w:t>
      </w:r>
      <w:r w:rsidR="0010023D" w:rsidRPr="00AE141E">
        <w:rPr>
          <w:rFonts w:ascii="Times New Roman" w:hAnsi="Times New Roman" w:cs="Times New Roman"/>
          <w:sz w:val="24"/>
          <w:szCs w:val="24"/>
        </w:rPr>
        <w:t>d</w:t>
      </w:r>
      <w:r w:rsidR="00D21633" w:rsidRPr="00AE141E">
        <w:rPr>
          <w:rFonts w:ascii="Times New Roman" w:hAnsi="Times New Roman" w:cs="Times New Roman"/>
          <w:sz w:val="24"/>
          <w:szCs w:val="24"/>
        </w:rPr>
        <w:t xml:space="preserve"> an unparalleled </w:t>
      </w:r>
      <w:r w:rsidR="00187E5B" w:rsidRPr="00AE141E">
        <w:rPr>
          <w:rFonts w:ascii="Times New Roman" w:hAnsi="Times New Roman" w:cs="Times New Roman"/>
          <w:sz w:val="24"/>
          <w:szCs w:val="24"/>
        </w:rPr>
        <w:t>depth of historical understanding</w:t>
      </w:r>
      <w:r w:rsidR="00B15BF8" w:rsidRPr="00AE141E">
        <w:rPr>
          <w:rFonts w:ascii="Times New Roman" w:hAnsi="Times New Roman" w:cs="Times New Roman"/>
          <w:sz w:val="24"/>
          <w:szCs w:val="24"/>
        </w:rPr>
        <w:t xml:space="preserve">. </w:t>
      </w:r>
      <w:r w:rsidR="0010023D" w:rsidRPr="00AE141E">
        <w:rPr>
          <w:rFonts w:ascii="Times New Roman" w:hAnsi="Times New Roman" w:cs="Times New Roman"/>
          <w:sz w:val="24"/>
          <w:szCs w:val="24"/>
        </w:rPr>
        <w:t xml:space="preserve">Andy Reid, </w:t>
      </w:r>
      <w:r w:rsidR="00FF4552" w:rsidRPr="00AE141E">
        <w:rPr>
          <w:rFonts w:ascii="Times New Roman" w:hAnsi="Times New Roman" w:cs="Times New Roman"/>
          <w:sz w:val="24"/>
          <w:szCs w:val="24"/>
        </w:rPr>
        <w:t>who taught ‘The Arab-Israeli Conflict’</w:t>
      </w:r>
      <w:r w:rsidR="0010023D" w:rsidRPr="00AE141E">
        <w:rPr>
          <w:rFonts w:ascii="Times New Roman" w:hAnsi="Times New Roman" w:cs="Times New Roman"/>
          <w:sz w:val="24"/>
          <w:szCs w:val="24"/>
        </w:rPr>
        <w:t xml:space="preserve"> in a secondary modern school, </w:t>
      </w:r>
      <w:r w:rsidR="00B45853" w:rsidRPr="00AE141E">
        <w:rPr>
          <w:rFonts w:ascii="Times New Roman" w:hAnsi="Times New Roman" w:cs="Times New Roman"/>
          <w:sz w:val="24"/>
          <w:szCs w:val="24"/>
        </w:rPr>
        <w:t>recalled the ‘life</w:t>
      </w:r>
      <w:r w:rsidR="00E12D23" w:rsidRPr="00AE141E">
        <w:rPr>
          <w:rFonts w:ascii="Times New Roman" w:hAnsi="Times New Roman" w:cs="Times New Roman"/>
          <w:sz w:val="24"/>
          <w:szCs w:val="24"/>
        </w:rPr>
        <w:t xml:space="preserve"> </w:t>
      </w:r>
      <w:r w:rsidR="00B45853" w:rsidRPr="00AE141E">
        <w:rPr>
          <w:rFonts w:ascii="Times New Roman" w:hAnsi="Times New Roman" w:cs="Times New Roman"/>
          <w:sz w:val="24"/>
          <w:szCs w:val="24"/>
        </w:rPr>
        <w:t>changing’ effect</w:t>
      </w:r>
      <w:r w:rsidR="00FF4552" w:rsidRPr="00AE141E">
        <w:rPr>
          <w:rFonts w:ascii="Times New Roman" w:hAnsi="Times New Roman" w:cs="Times New Roman"/>
          <w:sz w:val="24"/>
          <w:szCs w:val="24"/>
        </w:rPr>
        <w:t xml:space="preserve"> on his pupils</w:t>
      </w:r>
      <w:r w:rsidR="00B45853" w:rsidRPr="00AE141E">
        <w:rPr>
          <w:rFonts w:ascii="Times New Roman" w:hAnsi="Times New Roman" w:cs="Times New Roman"/>
          <w:sz w:val="24"/>
          <w:szCs w:val="24"/>
        </w:rPr>
        <w:t xml:space="preserve"> </w:t>
      </w:r>
      <w:r w:rsidR="00AD4CB4" w:rsidRPr="00AE141E">
        <w:rPr>
          <w:rFonts w:ascii="Times New Roman" w:hAnsi="Times New Roman" w:cs="Times New Roman"/>
          <w:sz w:val="24"/>
          <w:szCs w:val="24"/>
        </w:rPr>
        <w:t>o</w:t>
      </w:r>
      <w:r w:rsidR="00C04D97" w:rsidRPr="00AE141E">
        <w:rPr>
          <w:rFonts w:ascii="Times New Roman" w:hAnsi="Times New Roman" w:cs="Times New Roman"/>
          <w:sz w:val="24"/>
          <w:szCs w:val="24"/>
        </w:rPr>
        <w:t>f MWSD</w:t>
      </w:r>
      <w:r w:rsidR="006A1B96" w:rsidRPr="00AE141E">
        <w:rPr>
          <w:rFonts w:ascii="Times New Roman" w:hAnsi="Times New Roman" w:cs="Times New Roman"/>
          <w:sz w:val="24"/>
          <w:szCs w:val="24"/>
        </w:rPr>
        <w:t xml:space="preserve">s </w:t>
      </w:r>
      <w:r w:rsidR="00C04D97" w:rsidRPr="00AE141E">
        <w:rPr>
          <w:rFonts w:ascii="Times New Roman" w:hAnsi="Times New Roman" w:cs="Times New Roman"/>
          <w:sz w:val="24"/>
          <w:szCs w:val="24"/>
        </w:rPr>
        <w:t xml:space="preserve">completed </w:t>
      </w:r>
      <w:r w:rsidR="00B15BF8" w:rsidRPr="00AE141E">
        <w:rPr>
          <w:rFonts w:ascii="Times New Roman" w:hAnsi="Times New Roman" w:cs="Times New Roman"/>
          <w:sz w:val="24"/>
          <w:szCs w:val="24"/>
        </w:rPr>
        <w:t>in the midst of the Israeli invasion of Lebanon.</w:t>
      </w:r>
      <w:r w:rsidR="00CE5A96" w:rsidRPr="00AE141E">
        <w:rPr>
          <w:rStyle w:val="FootnoteReference"/>
          <w:rFonts w:ascii="Times New Roman" w:hAnsi="Times New Roman" w:cs="Times New Roman"/>
          <w:sz w:val="24"/>
          <w:szCs w:val="24"/>
        </w:rPr>
        <w:footnoteReference w:id="340"/>
      </w:r>
      <w:r w:rsidR="00B15BF8" w:rsidRPr="00AE141E">
        <w:rPr>
          <w:rFonts w:ascii="Times New Roman" w:hAnsi="Times New Roman" w:cs="Times New Roman"/>
          <w:sz w:val="24"/>
          <w:szCs w:val="24"/>
        </w:rPr>
        <w:t xml:space="preserve"> </w:t>
      </w:r>
      <w:r w:rsidR="00E5396C" w:rsidRPr="00AE141E">
        <w:rPr>
          <w:rFonts w:ascii="Times New Roman" w:hAnsi="Times New Roman" w:cs="Times New Roman"/>
          <w:sz w:val="24"/>
          <w:szCs w:val="24"/>
        </w:rPr>
        <w:t>As another teacher put it,</w:t>
      </w:r>
      <w:r w:rsidR="00E14EBD" w:rsidRPr="00AE141E">
        <w:rPr>
          <w:rFonts w:ascii="Times New Roman" w:hAnsi="Times New Roman" w:cs="Times New Roman"/>
          <w:sz w:val="24"/>
          <w:szCs w:val="24"/>
        </w:rPr>
        <w:t xml:space="preserve"> students were unlikely to walk away from a MWS believing that history is ‘only about the past’</w:t>
      </w:r>
      <w:r w:rsidR="00BD0D48" w:rsidRPr="00AE141E">
        <w:rPr>
          <w:rFonts w:ascii="Times New Roman" w:hAnsi="Times New Roman" w:cs="Times New Roman"/>
          <w:sz w:val="24"/>
          <w:szCs w:val="24"/>
        </w:rPr>
        <w:t>.</w:t>
      </w:r>
      <w:r w:rsidR="0034175D" w:rsidRPr="00AE141E">
        <w:rPr>
          <w:rStyle w:val="FootnoteReference"/>
          <w:rFonts w:ascii="Times New Roman" w:hAnsi="Times New Roman" w:cs="Times New Roman"/>
          <w:sz w:val="24"/>
          <w:szCs w:val="24"/>
        </w:rPr>
        <w:footnoteReference w:id="341"/>
      </w:r>
      <w:r w:rsidR="00BD0D48" w:rsidRPr="00AE141E">
        <w:rPr>
          <w:rFonts w:ascii="Times New Roman" w:hAnsi="Times New Roman" w:cs="Times New Roman"/>
          <w:sz w:val="24"/>
          <w:szCs w:val="24"/>
        </w:rPr>
        <w:t xml:space="preserve"> Furthermore, </w:t>
      </w:r>
      <w:r w:rsidR="00B97144" w:rsidRPr="00AE141E">
        <w:rPr>
          <w:rFonts w:ascii="Times New Roman" w:hAnsi="Times New Roman" w:cs="Times New Roman"/>
          <w:sz w:val="24"/>
          <w:szCs w:val="24"/>
        </w:rPr>
        <w:t>the SCHP</w:t>
      </w:r>
      <w:r w:rsidR="00796E62" w:rsidRPr="00AE141E">
        <w:rPr>
          <w:rFonts w:ascii="Times New Roman" w:hAnsi="Times New Roman" w:cs="Times New Roman"/>
          <w:sz w:val="24"/>
          <w:szCs w:val="24"/>
        </w:rPr>
        <w:t>’s</w:t>
      </w:r>
      <w:r w:rsidR="00B97144" w:rsidRPr="00AE141E">
        <w:rPr>
          <w:rFonts w:ascii="Times New Roman" w:hAnsi="Times New Roman" w:cs="Times New Roman"/>
          <w:sz w:val="24"/>
          <w:szCs w:val="24"/>
        </w:rPr>
        <w:t xml:space="preserve"> methodological approach </w:t>
      </w:r>
      <w:r w:rsidR="007B12EE" w:rsidRPr="00AE141E">
        <w:rPr>
          <w:rFonts w:ascii="Times New Roman" w:hAnsi="Times New Roman" w:cs="Times New Roman"/>
          <w:sz w:val="24"/>
          <w:szCs w:val="24"/>
        </w:rPr>
        <w:t xml:space="preserve">encouraged students </w:t>
      </w:r>
      <w:r w:rsidR="00802638" w:rsidRPr="00AE141E">
        <w:rPr>
          <w:rFonts w:ascii="Times New Roman" w:hAnsi="Times New Roman" w:cs="Times New Roman"/>
          <w:sz w:val="24"/>
          <w:szCs w:val="24"/>
        </w:rPr>
        <w:t>to doubt claims to absolute truth</w:t>
      </w:r>
      <w:r w:rsidR="00291F25" w:rsidRPr="00AE141E">
        <w:rPr>
          <w:rFonts w:ascii="Times New Roman" w:hAnsi="Times New Roman" w:cs="Times New Roman"/>
          <w:sz w:val="24"/>
          <w:szCs w:val="24"/>
        </w:rPr>
        <w:t>, whether presented by</w:t>
      </w:r>
      <w:r w:rsidR="00EA2C16" w:rsidRPr="00AE141E">
        <w:rPr>
          <w:rFonts w:ascii="Times New Roman" w:hAnsi="Times New Roman" w:cs="Times New Roman"/>
          <w:sz w:val="24"/>
          <w:szCs w:val="24"/>
        </w:rPr>
        <w:t xml:space="preserve"> ‘history books or newspapers’</w:t>
      </w:r>
      <w:r w:rsidR="00291F25" w:rsidRPr="00AE141E">
        <w:rPr>
          <w:rFonts w:ascii="Times New Roman" w:hAnsi="Times New Roman" w:cs="Times New Roman"/>
          <w:sz w:val="24"/>
          <w:szCs w:val="24"/>
        </w:rPr>
        <w:t xml:space="preserve">. </w:t>
      </w:r>
      <w:r w:rsidR="00D71368" w:rsidRPr="00AE141E">
        <w:rPr>
          <w:rFonts w:ascii="Times New Roman" w:hAnsi="Times New Roman" w:cs="Times New Roman"/>
          <w:sz w:val="24"/>
          <w:szCs w:val="24"/>
        </w:rPr>
        <w:t>At its best, t</w:t>
      </w:r>
      <w:r w:rsidR="0030395A" w:rsidRPr="00AE141E">
        <w:rPr>
          <w:rFonts w:ascii="Times New Roman" w:hAnsi="Times New Roman" w:cs="Times New Roman"/>
          <w:sz w:val="24"/>
          <w:szCs w:val="24"/>
        </w:rPr>
        <w:t>he MWS</w:t>
      </w:r>
      <w:r w:rsidR="00D71368" w:rsidRPr="00AE141E">
        <w:rPr>
          <w:rFonts w:ascii="Times New Roman" w:hAnsi="Times New Roman" w:cs="Times New Roman"/>
          <w:sz w:val="24"/>
          <w:szCs w:val="24"/>
        </w:rPr>
        <w:t xml:space="preserve"> could</w:t>
      </w:r>
      <w:r w:rsidR="0030395A" w:rsidRPr="00AE141E">
        <w:rPr>
          <w:rFonts w:ascii="Times New Roman" w:hAnsi="Times New Roman" w:cs="Times New Roman"/>
          <w:sz w:val="24"/>
          <w:szCs w:val="24"/>
        </w:rPr>
        <w:t xml:space="preserve"> </w:t>
      </w:r>
      <w:r w:rsidR="00DC3586" w:rsidRPr="00AE141E">
        <w:rPr>
          <w:rFonts w:ascii="Times New Roman" w:hAnsi="Times New Roman" w:cs="Times New Roman"/>
          <w:sz w:val="24"/>
          <w:szCs w:val="24"/>
        </w:rPr>
        <w:t>empowe</w:t>
      </w:r>
      <w:r w:rsidR="00D71368" w:rsidRPr="00AE141E">
        <w:rPr>
          <w:rFonts w:ascii="Times New Roman" w:hAnsi="Times New Roman" w:cs="Times New Roman"/>
          <w:sz w:val="24"/>
          <w:szCs w:val="24"/>
        </w:rPr>
        <w:t>r</w:t>
      </w:r>
      <w:r w:rsidR="00DC3586" w:rsidRPr="00AE141E">
        <w:rPr>
          <w:rFonts w:ascii="Times New Roman" w:hAnsi="Times New Roman" w:cs="Times New Roman"/>
          <w:sz w:val="24"/>
          <w:szCs w:val="24"/>
        </w:rPr>
        <w:t xml:space="preserve"> students to </w:t>
      </w:r>
      <w:r w:rsidR="00D71368" w:rsidRPr="00AE141E">
        <w:rPr>
          <w:rFonts w:ascii="Times New Roman" w:hAnsi="Times New Roman" w:cs="Times New Roman"/>
          <w:sz w:val="24"/>
          <w:szCs w:val="24"/>
        </w:rPr>
        <w:t>critically appraise</w:t>
      </w:r>
      <w:r w:rsidR="0030395A" w:rsidRPr="00AE141E">
        <w:rPr>
          <w:rFonts w:ascii="Times New Roman" w:hAnsi="Times New Roman" w:cs="Times New Roman"/>
          <w:sz w:val="24"/>
          <w:szCs w:val="24"/>
        </w:rPr>
        <w:t xml:space="preserve"> </w:t>
      </w:r>
      <w:r w:rsidR="006C3E94" w:rsidRPr="00AE141E">
        <w:rPr>
          <w:rFonts w:ascii="Times New Roman" w:hAnsi="Times New Roman" w:cs="Times New Roman"/>
          <w:sz w:val="24"/>
          <w:szCs w:val="24"/>
        </w:rPr>
        <w:t>narratives presented in a classroom context</w:t>
      </w:r>
      <w:r w:rsidR="00B67AE6" w:rsidRPr="00AE141E">
        <w:rPr>
          <w:rFonts w:ascii="Times New Roman" w:hAnsi="Times New Roman" w:cs="Times New Roman"/>
          <w:sz w:val="24"/>
          <w:szCs w:val="24"/>
        </w:rPr>
        <w:t xml:space="preserve"> – including histories of the British empire, which SCHP seemed content to </w:t>
      </w:r>
      <w:r w:rsidR="008A299D" w:rsidRPr="00AE141E">
        <w:rPr>
          <w:rFonts w:ascii="Times New Roman" w:hAnsi="Times New Roman" w:cs="Times New Roman"/>
          <w:sz w:val="24"/>
          <w:szCs w:val="24"/>
        </w:rPr>
        <w:t>ignore or marginalise in the pursuit of futurity. The ideal of the pupil-as-historian would prove</w:t>
      </w:r>
      <w:r w:rsidR="008729B1" w:rsidRPr="00AE141E">
        <w:rPr>
          <w:rFonts w:ascii="Times New Roman" w:hAnsi="Times New Roman" w:cs="Times New Roman"/>
          <w:sz w:val="24"/>
          <w:szCs w:val="24"/>
        </w:rPr>
        <w:t xml:space="preserve"> to be the Project’s most enduring – and controversial – legacy, with an influence which spread far beyond the 20 to 25 per cent of candidates </w:t>
      </w:r>
      <w:r w:rsidR="00256E56" w:rsidRPr="00AE141E">
        <w:rPr>
          <w:rFonts w:ascii="Times New Roman" w:hAnsi="Times New Roman" w:cs="Times New Roman"/>
          <w:sz w:val="24"/>
          <w:szCs w:val="24"/>
        </w:rPr>
        <w:t>following an SCHP syllabus by the close of the 1980s.</w:t>
      </w:r>
      <w:r w:rsidR="003F18BE" w:rsidRPr="00AE141E">
        <w:rPr>
          <w:rStyle w:val="FootnoteReference"/>
          <w:rFonts w:ascii="Times New Roman" w:hAnsi="Times New Roman" w:cs="Times New Roman"/>
          <w:sz w:val="24"/>
          <w:szCs w:val="24"/>
        </w:rPr>
        <w:footnoteReference w:id="342"/>
      </w:r>
      <w:r w:rsidR="00256E56" w:rsidRPr="00AE141E">
        <w:rPr>
          <w:rFonts w:ascii="Times New Roman" w:hAnsi="Times New Roman" w:cs="Times New Roman"/>
          <w:sz w:val="24"/>
          <w:szCs w:val="24"/>
        </w:rPr>
        <w:t xml:space="preserve"> </w:t>
      </w:r>
      <w:r w:rsidR="007E58FB" w:rsidRPr="00AE141E">
        <w:rPr>
          <w:rFonts w:ascii="Times New Roman" w:hAnsi="Times New Roman" w:cs="Times New Roman"/>
          <w:sz w:val="24"/>
          <w:szCs w:val="24"/>
        </w:rPr>
        <w:t>The ‘new history</w:t>
      </w:r>
      <w:r w:rsidR="003F18BE" w:rsidRPr="00AE141E">
        <w:rPr>
          <w:rFonts w:ascii="Times New Roman" w:hAnsi="Times New Roman" w:cs="Times New Roman"/>
          <w:sz w:val="24"/>
          <w:szCs w:val="24"/>
        </w:rPr>
        <w:t>’</w:t>
      </w:r>
      <w:r w:rsidR="007E58FB" w:rsidRPr="00AE141E">
        <w:rPr>
          <w:rFonts w:ascii="Times New Roman" w:hAnsi="Times New Roman" w:cs="Times New Roman"/>
          <w:sz w:val="24"/>
          <w:szCs w:val="24"/>
        </w:rPr>
        <w:t>, as symbolised by SCHP,</w:t>
      </w:r>
      <w:r w:rsidR="00A61D53" w:rsidRPr="00AE141E">
        <w:rPr>
          <w:rFonts w:ascii="Times New Roman" w:hAnsi="Times New Roman" w:cs="Times New Roman"/>
          <w:sz w:val="24"/>
          <w:szCs w:val="24"/>
        </w:rPr>
        <w:t xml:space="preserve"> would attract </w:t>
      </w:r>
      <w:r w:rsidR="007E58FB" w:rsidRPr="00AE141E">
        <w:rPr>
          <w:rFonts w:ascii="Times New Roman" w:hAnsi="Times New Roman" w:cs="Times New Roman"/>
          <w:sz w:val="24"/>
          <w:szCs w:val="24"/>
        </w:rPr>
        <w:t>considerable</w:t>
      </w:r>
      <w:r w:rsidR="00A61D53" w:rsidRPr="00AE141E">
        <w:rPr>
          <w:rFonts w:ascii="Times New Roman" w:hAnsi="Times New Roman" w:cs="Times New Roman"/>
          <w:sz w:val="24"/>
          <w:szCs w:val="24"/>
        </w:rPr>
        <w:t xml:space="preserve"> backlash from those eager to redress the uncertainty of the present by restoring the </w:t>
      </w:r>
      <w:r w:rsidR="003B7CE1" w:rsidRPr="00AE141E">
        <w:rPr>
          <w:rFonts w:ascii="Times New Roman" w:hAnsi="Times New Roman" w:cs="Times New Roman"/>
          <w:sz w:val="24"/>
          <w:szCs w:val="24"/>
        </w:rPr>
        <w:t>singular, uncontested narrative</w:t>
      </w:r>
      <w:r w:rsidR="00A61D53" w:rsidRPr="00AE141E">
        <w:rPr>
          <w:rFonts w:ascii="Times New Roman" w:hAnsi="Times New Roman" w:cs="Times New Roman"/>
          <w:sz w:val="24"/>
          <w:szCs w:val="24"/>
        </w:rPr>
        <w:t xml:space="preserve"> of the great tradition.</w:t>
      </w:r>
    </w:p>
    <w:p w14:paraId="4907AC2C" w14:textId="5CAF9110" w:rsidR="00DA57D7" w:rsidRPr="00AE141E" w:rsidRDefault="00DA57D7"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World History for Younger Students</w:t>
      </w:r>
    </w:p>
    <w:p w14:paraId="627484E5" w14:textId="6578C812" w:rsidR="00F1506B" w:rsidRPr="00AE141E" w:rsidRDefault="004A7CF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first two (and sometimes three) years of secondary education were not driv</w:t>
      </w:r>
      <w:r w:rsidR="0002005C" w:rsidRPr="00AE141E">
        <w:rPr>
          <w:rFonts w:ascii="Times New Roman" w:hAnsi="Times New Roman" w:cs="Times New Roman"/>
          <w:sz w:val="24"/>
          <w:szCs w:val="24"/>
        </w:rPr>
        <w:t>en by the need to attain formal qualifications</w:t>
      </w:r>
      <w:r w:rsidR="00581EB5" w:rsidRPr="00AE141E">
        <w:rPr>
          <w:rFonts w:ascii="Times New Roman" w:hAnsi="Times New Roman" w:cs="Times New Roman"/>
          <w:sz w:val="24"/>
          <w:szCs w:val="24"/>
        </w:rPr>
        <w:t xml:space="preserve">. In the absence of set exam syllabi and assessment criteria, it is more difficult to reconstruct teaching </w:t>
      </w:r>
      <w:r w:rsidR="008C4005" w:rsidRPr="00AE141E">
        <w:rPr>
          <w:rFonts w:ascii="Times New Roman" w:hAnsi="Times New Roman" w:cs="Times New Roman"/>
          <w:sz w:val="24"/>
          <w:szCs w:val="24"/>
        </w:rPr>
        <w:t xml:space="preserve">and learning. Nevertheless, some initial conclusions can be drawn. </w:t>
      </w:r>
      <w:r w:rsidR="00715673" w:rsidRPr="00AE141E">
        <w:rPr>
          <w:rFonts w:ascii="Times New Roman" w:hAnsi="Times New Roman" w:cs="Times New Roman"/>
          <w:sz w:val="24"/>
          <w:szCs w:val="24"/>
        </w:rPr>
        <w:t>World history texts written for younger readers tended to stress the exotic o</w:t>
      </w:r>
      <w:r w:rsidR="00D62996">
        <w:rPr>
          <w:rFonts w:ascii="Times New Roman" w:hAnsi="Times New Roman" w:cs="Times New Roman"/>
          <w:sz w:val="24"/>
          <w:szCs w:val="24"/>
        </w:rPr>
        <w:t>r</w:t>
      </w:r>
      <w:r w:rsidR="00715673" w:rsidRPr="00AE141E">
        <w:rPr>
          <w:rFonts w:ascii="Times New Roman" w:hAnsi="Times New Roman" w:cs="Times New Roman"/>
          <w:sz w:val="24"/>
          <w:szCs w:val="24"/>
        </w:rPr>
        <w:t xml:space="preserve"> the ‘Other’.</w:t>
      </w:r>
      <w:r w:rsidR="00E15D93" w:rsidRPr="00AE141E">
        <w:rPr>
          <w:rFonts w:ascii="Times New Roman" w:hAnsi="Times New Roman" w:cs="Times New Roman"/>
          <w:sz w:val="24"/>
          <w:szCs w:val="24"/>
        </w:rPr>
        <w:t xml:space="preserve"> </w:t>
      </w:r>
      <w:r w:rsidR="00F17A2B" w:rsidRPr="00AE141E">
        <w:rPr>
          <w:rFonts w:ascii="Times New Roman" w:hAnsi="Times New Roman" w:cs="Times New Roman"/>
          <w:sz w:val="24"/>
          <w:szCs w:val="24"/>
        </w:rPr>
        <w:t>Contemporary observers commented on the</w:t>
      </w:r>
      <w:r w:rsidR="00672A16" w:rsidRPr="00AE141E">
        <w:rPr>
          <w:rFonts w:ascii="Times New Roman" w:hAnsi="Times New Roman" w:cs="Times New Roman"/>
          <w:sz w:val="24"/>
          <w:szCs w:val="24"/>
        </w:rPr>
        <w:t xml:space="preserve"> unfortunate</w:t>
      </w:r>
      <w:r w:rsidR="00F17A2B" w:rsidRPr="00AE141E">
        <w:rPr>
          <w:rFonts w:ascii="Times New Roman" w:hAnsi="Times New Roman" w:cs="Times New Roman"/>
          <w:sz w:val="24"/>
          <w:szCs w:val="24"/>
        </w:rPr>
        <w:t xml:space="preserve"> </w:t>
      </w:r>
      <w:r w:rsidR="002060E0" w:rsidRPr="00AE141E">
        <w:rPr>
          <w:rFonts w:ascii="Times New Roman" w:hAnsi="Times New Roman" w:cs="Times New Roman"/>
          <w:sz w:val="24"/>
          <w:szCs w:val="24"/>
        </w:rPr>
        <w:t>appeal of</w:t>
      </w:r>
      <w:r w:rsidR="00D86505" w:rsidRPr="00AE141E">
        <w:rPr>
          <w:rFonts w:ascii="Times New Roman" w:hAnsi="Times New Roman" w:cs="Times New Roman"/>
          <w:sz w:val="24"/>
          <w:szCs w:val="24"/>
        </w:rPr>
        <w:t xml:space="preserve"> a</w:t>
      </w:r>
      <w:r w:rsidR="002060E0" w:rsidRPr="00AE141E">
        <w:rPr>
          <w:rFonts w:ascii="Times New Roman" w:hAnsi="Times New Roman" w:cs="Times New Roman"/>
          <w:sz w:val="24"/>
          <w:szCs w:val="24"/>
        </w:rPr>
        <w:t xml:space="preserve"> ‘picturesque </w:t>
      </w:r>
      <w:r w:rsidR="002060E0" w:rsidRPr="00AE141E">
        <w:rPr>
          <w:rFonts w:ascii="Times New Roman" w:hAnsi="Times New Roman" w:cs="Times New Roman"/>
          <w:sz w:val="24"/>
          <w:szCs w:val="24"/>
        </w:rPr>
        <w:lastRenderedPageBreak/>
        <w:t xml:space="preserve">sentimentality’ </w:t>
      </w:r>
      <w:r w:rsidR="00286B94" w:rsidRPr="00AE141E">
        <w:rPr>
          <w:rFonts w:ascii="Times New Roman" w:hAnsi="Times New Roman" w:cs="Times New Roman"/>
          <w:sz w:val="24"/>
          <w:szCs w:val="24"/>
        </w:rPr>
        <w:t>amongst</w:t>
      </w:r>
      <w:r w:rsidR="00672A16" w:rsidRPr="00AE141E">
        <w:rPr>
          <w:rFonts w:ascii="Times New Roman" w:hAnsi="Times New Roman" w:cs="Times New Roman"/>
          <w:sz w:val="24"/>
          <w:szCs w:val="24"/>
        </w:rPr>
        <w:t xml:space="preserve"> primary school teachers eager to engage their </w:t>
      </w:r>
      <w:r w:rsidR="00D63555" w:rsidRPr="00AE141E">
        <w:rPr>
          <w:rFonts w:ascii="Times New Roman" w:hAnsi="Times New Roman" w:cs="Times New Roman"/>
          <w:sz w:val="24"/>
          <w:szCs w:val="24"/>
        </w:rPr>
        <w:t>students’ imaginations in a study of the world beyond the borders</w:t>
      </w:r>
      <w:r w:rsidR="00471CD1" w:rsidRPr="00AE141E">
        <w:rPr>
          <w:rFonts w:ascii="Times New Roman" w:hAnsi="Times New Roman" w:cs="Times New Roman"/>
          <w:sz w:val="24"/>
          <w:szCs w:val="24"/>
        </w:rPr>
        <w:t xml:space="preserve"> of the UK</w:t>
      </w:r>
      <w:r w:rsidR="00D63555" w:rsidRPr="00AE141E">
        <w:rPr>
          <w:rFonts w:ascii="Times New Roman" w:hAnsi="Times New Roman" w:cs="Times New Roman"/>
          <w:sz w:val="24"/>
          <w:szCs w:val="24"/>
        </w:rPr>
        <w:t>.</w:t>
      </w:r>
      <w:r w:rsidR="00F26E51" w:rsidRPr="00AE141E">
        <w:rPr>
          <w:rStyle w:val="FootnoteReference"/>
          <w:rFonts w:ascii="Times New Roman" w:hAnsi="Times New Roman" w:cs="Times New Roman"/>
          <w:sz w:val="24"/>
          <w:szCs w:val="24"/>
        </w:rPr>
        <w:footnoteReference w:id="343"/>
      </w:r>
      <w:r w:rsidR="002E51F0" w:rsidRPr="00AE141E">
        <w:rPr>
          <w:rFonts w:ascii="Times New Roman" w:hAnsi="Times New Roman" w:cs="Times New Roman"/>
          <w:sz w:val="24"/>
          <w:szCs w:val="24"/>
        </w:rPr>
        <w:t xml:space="preserve"> </w:t>
      </w:r>
    </w:p>
    <w:p w14:paraId="113162D4" w14:textId="0C091DF1" w:rsidR="0015530E" w:rsidRPr="00AE141E" w:rsidRDefault="00AF12F3" w:rsidP="00AE141E">
      <w:pPr>
        <w:tabs>
          <w:tab w:val="left" w:pos="6730"/>
        </w:tabs>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t>
      </w:r>
      <w:r w:rsidR="001F427E" w:rsidRPr="00AE141E">
        <w:rPr>
          <w:rFonts w:ascii="Times New Roman" w:hAnsi="Times New Roman" w:cs="Times New Roman"/>
          <w:sz w:val="24"/>
          <w:szCs w:val="24"/>
        </w:rPr>
        <w:t>1971 Institute of Race Relations</w:t>
      </w:r>
      <w:r w:rsidR="007B5680" w:rsidRPr="00AE141E">
        <w:rPr>
          <w:rFonts w:ascii="Times New Roman" w:hAnsi="Times New Roman" w:cs="Times New Roman"/>
          <w:sz w:val="24"/>
          <w:szCs w:val="24"/>
        </w:rPr>
        <w:t xml:space="preserve"> (hereafter ‘IRR’)</w:t>
      </w:r>
      <w:r w:rsidR="001F427E" w:rsidRPr="00AE141E">
        <w:rPr>
          <w:rFonts w:ascii="Times New Roman" w:hAnsi="Times New Roman" w:cs="Times New Roman"/>
          <w:sz w:val="24"/>
          <w:szCs w:val="24"/>
        </w:rPr>
        <w:t xml:space="preserve"> publication </w:t>
      </w:r>
      <w:r w:rsidR="00982C26" w:rsidRPr="00AE141E">
        <w:rPr>
          <w:rFonts w:ascii="Times New Roman" w:hAnsi="Times New Roman" w:cs="Times New Roman"/>
          <w:i/>
          <w:sz w:val="24"/>
          <w:szCs w:val="24"/>
        </w:rPr>
        <w:t>Books for Children: The Homelands of Immigrants in Britain</w:t>
      </w:r>
      <w:r w:rsidR="004734E0" w:rsidRPr="00AE141E">
        <w:rPr>
          <w:rFonts w:ascii="Times New Roman" w:hAnsi="Times New Roman" w:cs="Times New Roman"/>
          <w:i/>
          <w:sz w:val="24"/>
          <w:szCs w:val="24"/>
        </w:rPr>
        <w:t xml:space="preserve"> </w:t>
      </w:r>
      <w:r w:rsidR="004734E0" w:rsidRPr="00AE141E">
        <w:rPr>
          <w:rFonts w:ascii="Times New Roman" w:hAnsi="Times New Roman" w:cs="Times New Roman"/>
          <w:sz w:val="24"/>
          <w:szCs w:val="24"/>
        </w:rPr>
        <w:t xml:space="preserve">sought to </w:t>
      </w:r>
      <w:r w:rsidR="00555055" w:rsidRPr="00AE141E">
        <w:rPr>
          <w:rFonts w:ascii="Times New Roman" w:hAnsi="Times New Roman" w:cs="Times New Roman"/>
          <w:sz w:val="24"/>
          <w:szCs w:val="24"/>
        </w:rPr>
        <w:t xml:space="preserve">critique the ‘outdated colonial’ perspectives found in many </w:t>
      </w:r>
      <w:r w:rsidR="00CE7BE9" w:rsidRPr="00AE141E">
        <w:rPr>
          <w:rFonts w:ascii="Times New Roman" w:hAnsi="Times New Roman" w:cs="Times New Roman"/>
          <w:sz w:val="24"/>
          <w:szCs w:val="24"/>
        </w:rPr>
        <w:t xml:space="preserve">publications targeted at the </w:t>
      </w:r>
      <w:r w:rsidR="00675C2B" w:rsidRPr="00AE141E">
        <w:rPr>
          <w:rFonts w:ascii="Times New Roman" w:hAnsi="Times New Roman" w:cs="Times New Roman"/>
          <w:sz w:val="24"/>
          <w:szCs w:val="24"/>
        </w:rPr>
        <w:t>nine to twelve</w:t>
      </w:r>
      <w:r w:rsidR="00CE7BE9" w:rsidRPr="00AE141E">
        <w:rPr>
          <w:rFonts w:ascii="Times New Roman" w:hAnsi="Times New Roman" w:cs="Times New Roman"/>
          <w:sz w:val="24"/>
          <w:szCs w:val="24"/>
        </w:rPr>
        <w:t xml:space="preserve"> age group, spanning upper primary and lower secondary</w:t>
      </w:r>
      <w:r w:rsidR="00386FEB" w:rsidRPr="00AE141E">
        <w:rPr>
          <w:rFonts w:ascii="Times New Roman" w:hAnsi="Times New Roman" w:cs="Times New Roman"/>
          <w:sz w:val="24"/>
          <w:szCs w:val="24"/>
        </w:rPr>
        <w:t xml:space="preserve"> classes</w:t>
      </w:r>
      <w:r w:rsidR="0076358E" w:rsidRPr="00AE141E">
        <w:rPr>
          <w:rFonts w:ascii="Times New Roman" w:hAnsi="Times New Roman" w:cs="Times New Roman"/>
          <w:sz w:val="24"/>
          <w:szCs w:val="24"/>
        </w:rPr>
        <w:t>.</w:t>
      </w:r>
      <w:r w:rsidR="004734E0" w:rsidRPr="00AE141E">
        <w:rPr>
          <w:rStyle w:val="FootnoteReference"/>
          <w:rFonts w:ascii="Times New Roman" w:hAnsi="Times New Roman" w:cs="Times New Roman"/>
          <w:sz w:val="24"/>
          <w:szCs w:val="24"/>
        </w:rPr>
        <w:footnoteReference w:id="344"/>
      </w:r>
      <w:r w:rsidR="0076358E" w:rsidRPr="00AE141E">
        <w:rPr>
          <w:rFonts w:ascii="Times New Roman" w:hAnsi="Times New Roman" w:cs="Times New Roman"/>
          <w:sz w:val="24"/>
          <w:szCs w:val="24"/>
        </w:rPr>
        <w:t xml:space="preserve"> </w:t>
      </w:r>
      <w:r w:rsidR="000C6054" w:rsidRPr="00AE141E">
        <w:rPr>
          <w:rFonts w:ascii="Times New Roman" w:hAnsi="Times New Roman" w:cs="Times New Roman"/>
          <w:sz w:val="24"/>
          <w:szCs w:val="24"/>
        </w:rPr>
        <w:t xml:space="preserve">Tellingly, however, the </w:t>
      </w:r>
      <w:r w:rsidR="00E151BC" w:rsidRPr="00AE141E">
        <w:rPr>
          <w:rFonts w:ascii="Times New Roman" w:hAnsi="Times New Roman" w:cs="Times New Roman"/>
          <w:sz w:val="24"/>
          <w:szCs w:val="24"/>
        </w:rPr>
        <w:t>IRR itself structured some of its commentary on children’s books in accordance with these</w:t>
      </w:r>
      <w:r w:rsidR="009508E6" w:rsidRPr="00AE141E">
        <w:rPr>
          <w:rFonts w:ascii="Times New Roman" w:hAnsi="Times New Roman" w:cs="Times New Roman"/>
          <w:sz w:val="24"/>
          <w:szCs w:val="24"/>
        </w:rPr>
        <w:t xml:space="preserve"> stereotypes</w:t>
      </w:r>
      <w:r w:rsidR="00165D13" w:rsidRPr="00AE141E">
        <w:rPr>
          <w:rFonts w:ascii="Times New Roman" w:hAnsi="Times New Roman" w:cs="Times New Roman"/>
          <w:sz w:val="24"/>
          <w:szCs w:val="24"/>
        </w:rPr>
        <w:t xml:space="preserve">. </w:t>
      </w:r>
      <w:r w:rsidR="009A512E" w:rsidRPr="00AE141E">
        <w:rPr>
          <w:rFonts w:ascii="Times New Roman" w:hAnsi="Times New Roman" w:cs="Times New Roman"/>
          <w:sz w:val="24"/>
          <w:szCs w:val="24"/>
        </w:rPr>
        <w:t xml:space="preserve">A section on children’s books </w:t>
      </w:r>
      <w:r w:rsidR="00305C97" w:rsidRPr="00AE141E">
        <w:rPr>
          <w:rFonts w:ascii="Times New Roman" w:hAnsi="Times New Roman" w:cs="Times New Roman"/>
          <w:sz w:val="24"/>
          <w:szCs w:val="24"/>
        </w:rPr>
        <w:t xml:space="preserve">about the Indian subcontinent </w:t>
      </w:r>
      <w:r w:rsidR="00080C70" w:rsidRPr="00AE141E">
        <w:rPr>
          <w:rFonts w:ascii="Times New Roman" w:hAnsi="Times New Roman" w:cs="Times New Roman"/>
          <w:sz w:val="24"/>
          <w:szCs w:val="24"/>
        </w:rPr>
        <w:t xml:space="preserve">praised depictions of ‘the old, timeless way of life’ in Pakistan, and ‘primitive life in [rural] India’. </w:t>
      </w:r>
      <w:r w:rsidR="001754C5" w:rsidRPr="00AE141E">
        <w:rPr>
          <w:rFonts w:ascii="Times New Roman" w:hAnsi="Times New Roman" w:cs="Times New Roman"/>
          <w:sz w:val="24"/>
          <w:szCs w:val="24"/>
        </w:rPr>
        <w:t xml:space="preserve">Such descriptions </w:t>
      </w:r>
      <w:r w:rsidR="003F1B6D" w:rsidRPr="00AE141E">
        <w:rPr>
          <w:rFonts w:ascii="Times New Roman" w:hAnsi="Times New Roman" w:cs="Times New Roman"/>
          <w:sz w:val="24"/>
          <w:szCs w:val="24"/>
        </w:rPr>
        <w:t>had</w:t>
      </w:r>
      <w:r w:rsidR="00165D13" w:rsidRPr="00AE141E">
        <w:rPr>
          <w:rFonts w:ascii="Times New Roman" w:hAnsi="Times New Roman" w:cs="Times New Roman"/>
          <w:sz w:val="24"/>
          <w:szCs w:val="24"/>
        </w:rPr>
        <w:t xml:space="preserve"> </w:t>
      </w:r>
      <w:r w:rsidR="00DA7587" w:rsidRPr="00AE141E">
        <w:rPr>
          <w:rFonts w:ascii="Times New Roman" w:hAnsi="Times New Roman" w:cs="Times New Roman"/>
          <w:sz w:val="24"/>
          <w:szCs w:val="24"/>
        </w:rPr>
        <w:t>an essentialising</w:t>
      </w:r>
      <w:r w:rsidR="00165D13" w:rsidRPr="00AE141E">
        <w:rPr>
          <w:rFonts w:ascii="Times New Roman" w:hAnsi="Times New Roman" w:cs="Times New Roman"/>
          <w:sz w:val="24"/>
          <w:szCs w:val="24"/>
        </w:rPr>
        <w:t xml:space="preserve"> effect</w:t>
      </w:r>
      <w:r w:rsidR="00DA7587" w:rsidRPr="00AE141E">
        <w:rPr>
          <w:rFonts w:ascii="Times New Roman" w:hAnsi="Times New Roman" w:cs="Times New Roman"/>
          <w:sz w:val="24"/>
          <w:szCs w:val="24"/>
        </w:rPr>
        <w:t>, portraying</w:t>
      </w:r>
      <w:r w:rsidR="00165D13" w:rsidRPr="00AE141E">
        <w:rPr>
          <w:rFonts w:ascii="Times New Roman" w:hAnsi="Times New Roman" w:cs="Times New Roman"/>
          <w:sz w:val="24"/>
          <w:szCs w:val="24"/>
        </w:rPr>
        <w:t xml:space="preserve"> </w:t>
      </w:r>
      <w:r w:rsidR="00DA7587" w:rsidRPr="00AE141E">
        <w:rPr>
          <w:rFonts w:ascii="Times New Roman" w:hAnsi="Times New Roman" w:cs="Times New Roman"/>
          <w:sz w:val="24"/>
          <w:szCs w:val="24"/>
        </w:rPr>
        <w:t>Indian and Pakistani societies as ahistorical</w:t>
      </w:r>
      <w:r w:rsidR="008E6ACC" w:rsidRPr="00AE141E">
        <w:rPr>
          <w:rFonts w:ascii="Times New Roman" w:hAnsi="Times New Roman" w:cs="Times New Roman"/>
          <w:sz w:val="24"/>
          <w:szCs w:val="24"/>
        </w:rPr>
        <w:t xml:space="preserve">, immutable, and </w:t>
      </w:r>
      <w:r w:rsidR="00AD4890" w:rsidRPr="00AE141E">
        <w:rPr>
          <w:rFonts w:ascii="Times New Roman" w:hAnsi="Times New Roman" w:cs="Times New Roman"/>
          <w:sz w:val="24"/>
          <w:szCs w:val="24"/>
        </w:rPr>
        <w:t>failing to adhere to European notions of historical ‘development’.</w:t>
      </w:r>
      <w:r w:rsidR="004925F0" w:rsidRPr="00AE141E">
        <w:rPr>
          <w:rFonts w:ascii="Times New Roman" w:hAnsi="Times New Roman" w:cs="Times New Roman"/>
          <w:sz w:val="24"/>
          <w:szCs w:val="24"/>
        </w:rPr>
        <w:t xml:space="preserve"> </w:t>
      </w:r>
      <w:r w:rsidR="00912D83" w:rsidRPr="00AE141E">
        <w:rPr>
          <w:rFonts w:ascii="Times New Roman" w:hAnsi="Times New Roman" w:cs="Times New Roman"/>
          <w:sz w:val="24"/>
          <w:szCs w:val="24"/>
        </w:rPr>
        <w:t xml:space="preserve">Similarly, </w:t>
      </w:r>
      <w:r w:rsidR="00104C29" w:rsidRPr="00AE141E">
        <w:rPr>
          <w:rFonts w:ascii="Times New Roman" w:hAnsi="Times New Roman" w:cs="Times New Roman"/>
          <w:sz w:val="24"/>
          <w:szCs w:val="24"/>
        </w:rPr>
        <w:t>‘exotic names’ were</w:t>
      </w:r>
      <w:r w:rsidR="007E677D" w:rsidRPr="00AE141E">
        <w:rPr>
          <w:rFonts w:ascii="Times New Roman" w:hAnsi="Times New Roman" w:cs="Times New Roman"/>
          <w:sz w:val="24"/>
          <w:szCs w:val="24"/>
        </w:rPr>
        <w:t xml:space="preserve"> uncritically</w:t>
      </w:r>
      <w:r w:rsidR="00104C29" w:rsidRPr="00AE141E">
        <w:rPr>
          <w:rFonts w:ascii="Times New Roman" w:hAnsi="Times New Roman" w:cs="Times New Roman"/>
          <w:sz w:val="24"/>
          <w:szCs w:val="24"/>
        </w:rPr>
        <w:t xml:space="preserve"> cited as a</w:t>
      </w:r>
      <w:r w:rsidR="004C2337" w:rsidRPr="00AE141E">
        <w:rPr>
          <w:rFonts w:ascii="Times New Roman" w:hAnsi="Times New Roman" w:cs="Times New Roman"/>
          <w:sz w:val="24"/>
          <w:szCs w:val="24"/>
        </w:rPr>
        <w:t xml:space="preserve"> major </w:t>
      </w:r>
      <w:r w:rsidR="009A1CB1" w:rsidRPr="00AE141E">
        <w:rPr>
          <w:rFonts w:ascii="Times New Roman" w:hAnsi="Times New Roman" w:cs="Times New Roman"/>
          <w:sz w:val="24"/>
          <w:szCs w:val="24"/>
        </w:rPr>
        <w:t>source of the appeal of African mythologies amongst younger students</w:t>
      </w:r>
      <w:r w:rsidR="0015530E" w:rsidRPr="00AE141E">
        <w:rPr>
          <w:rFonts w:ascii="Times New Roman" w:hAnsi="Times New Roman" w:cs="Times New Roman"/>
          <w:sz w:val="24"/>
          <w:szCs w:val="24"/>
        </w:rPr>
        <w:t>.</w:t>
      </w:r>
      <w:r w:rsidR="001E6C7F" w:rsidRPr="00AE141E">
        <w:rPr>
          <w:rFonts w:ascii="Times New Roman" w:hAnsi="Times New Roman" w:cs="Times New Roman"/>
          <w:sz w:val="24"/>
          <w:szCs w:val="24"/>
        </w:rPr>
        <w:t xml:space="preserve"> </w:t>
      </w:r>
    </w:p>
    <w:p w14:paraId="0D77C1DA" w14:textId="4A919D69" w:rsidR="00801FDA" w:rsidRPr="00AE141E" w:rsidRDefault="00557A4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One of the very few </w:t>
      </w:r>
      <w:r w:rsidR="00540C44" w:rsidRPr="00AE141E">
        <w:rPr>
          <w:rFonts w:ascii="Times New Roman" w:hAnsi="Times New Roman" w:cs="Times New Roman"/>
          <w:sz w:val="24"/>
          <w:szCs w:val="24"/>
        </w:rPr>
        <w:t>developed schemes of work for lower secondary teachers attempting to integrate world history into the curriculum was the Inner London Education Authority’s World History</w:t>
      </w:r>
      <w:r w:rsidR="009C76E8" w:rsidRPr="00AE141E">
        <w:rPr>
          <w:rFonts w:ascii="Times New Roman" w:hAnsi="Times New Roman" w:cs="Times New Roman"/>
          <w:sz w:val="24"/>
          <w:szCs w:val="24"/>
        </w:rPr>
        <w:t xml:space="preserve"> Curriculum</w:t>
      </w:r>
      <w:r w:rsidR="00540C44" w:rsidRPr="00AE141E">
        <w:rPr>
          <w:rFonts w:ascii="Times New Roman" w:hAnsi="Times New Roman" w:cs="Times New Roman"/>
          <w:sz w:val="24"/>
          <w:szCs w:val="24"/>
        </w:rPr>
        <w:t xml:space="preserve"> Project</w:t>
      </w:r>
      <w:r w:rsidR="00EF5E60" w:rsidRPr="00AE141E">
        <w:rPr>
          <w:rFonts w:ascii="Times New Roman" w:hAnsi="Times New Roman" w:cs="Times New Roman"/>
          <w:sz w:val="24"/>
          <w:szCs w:val="24"/>
        </w:rPr>
        <w:t xml:space="preserve"> (hereafter ILEA and WHCP)</w:t>
      </w:r>
      <w:r w:rsidR="00540C44" w:rsidRPr="00AE141E">
        <w:rPr>
          <w:rFonts w:ascii="Times New Roman" w:hAnsi="Times New Roman" w:cs="Times New Roman"/>
          <w:sz w:val="24"/>
          <w:szCs w:val="24"/>
        </w:rPr>
        <w:t xml:space="preserve">, </w:t>
      </w:r>
      <w:r w:rsidR="00076DD1" w:rsidRPr="00AE141E">
        <w:rPr>
          <w:rFonts w:ascii="Times New Roman" w:hAnsi="Times New Roman" w:cs="Times New Roman"/>
          <w:sz w:val="24"/>
          <w:szCs w:val="24"/>
        </w:rPr>
        <w:t>which was p</w:t>
      </w:r>
      <w:r w:rsidR="009918F9" w:rsidRPr="00AE141E">
        <w:rPr>
          <w:rFonts w:ascii="Times New Roman" w:hAnsi="Times New Roman" w:cs="Times New Roman"/>
          <w:sz w:val="24"/>
          <w:szCs w:val="24"/>
        </w:rPr>
        <w:t>roduced in multiple instalments over the course of the 1970s.</w:t>
      </w:r>
      <w:r w:rsidR="00A2788E" w:rsidRPr="00AE141E">
        <w:rPr>
          <w:rFonts w:ascii="Times New Roman" w:hAnsi="Times New Roman" w:cs="Times New Roman"/>
          <w:sz w:val="24"/>
          <w:szCs w:val="24"/>
        </w:rPr>
        <w:t xml:space="preserve"> </w:t>
      </w:r>
      <w:r w:rsidR="00613AB8" w:rsidRPr="00AE141E">
        <w:rPr>
          <w:rFonts w:ascii="Times New Roman" w:hAnsi="Times New Roman" w:cs="Times New Roman"/>
          <w:sz w:val="24"/>
          <w:szCs w:val="24"/>
        </w:rPr>
        <w:t>The author of</w:t>
      </w:r>
      <w:r w:rsidR="0058345F" w:rsidRPr="00AE141E">
        <w:rPr>
          <w:rFonts w:ascii="Times New Roman" w:hAnsi="Times New Roman" w:cs="Times New Roman"/>
          <w:sz w:val="24"/>
          <w:szCs w:val="24"/>
        </w:rPr>
        <w:t xml:space="preserve"> </w:t>
      </w:r>
      <w:r w:rsidR="00364D50" w:rsidRPr="00AE141E">
        <w:rPr>
          <w:rFonts w:ascii="Times New Roman" w:hAnsi="Times New Roman" w:cs="Times New Roman"/>
          <w:sz w:val="24"/>
          <w:szCs w:val="24"/>
        </w:rPr>
        <w:t xml:space="preserve">a teachers’ </w:t>
      </w:r>
      <w:r w:rsidR="0053006D" w:rsidRPr="00AE141E">
        <w:rPr>
          <w:rFonts w:ascii="Times New Roman" w:hAnsi="Times New Roman" w:cs="Times New Roman"/>
          <w:sz w:val="24"/>
          <w:szCs w:val="24"/>
        </w:rPr>
        <w:t>guide</w:t>
      </w:r>
      <w:r w:rsidR="00364D50" w:rsidRPr="00AE141E">
        <w:rPr>
          <w:rFonts w:ascii="Times New Roman" w:hAnsi="Times New Roman" w:cs="Times New Roman"/>
          <w:sz w:val="24"/>
          <w:szCs w:val="24"/>
        </w:rPr>
        <w:t xml:space="preserve"> </w:t>
      </w:r>
      <w:r w:rsidR="003F0562" w:rsidRPr="00AE141E">
        <w:rPr>
          <w:rFonts w:ascii="Times New Roman" w:hAnsi="Times New Roman" w:cs="Times New Roman"/>
          <w:sz w:val="24"/>
          <w:szCs w:val="24"/>
        </w:rPr>
        <w:t xml:space="preserve">to </w:t>
      </w:r>
      <w:r w:rsidR="00163B3E" w:rsidRPr="00AE141E">
        <w:rPr>
          <w:rFonts w:ascii="Times New Roman" w:hAnsi="Times New Roman" w:cs="Times New Roman"/>
          <w:sz w:val="24"/>
          <w:szCs w:val="24"/>
        </w:rPr>
        <w:t xml:space="preserve">WHCP resources on </w:t>
      </w:r>
      <w:r w:rsidR="00364D50" w:rsidRPr="00AE141E">
        <w:rPr>
          <w:rFonts w:ascii="Times New Roman" w:hAnsi="Times New Roman" w:cs="Times New Roman"/>
          <w:sz w:val="24"/>
          <w:szCs w:val="24"/>
        </w:rPr>
        <w:t>Caribbean</w:t>
      </w:r>
      <w:r w:rsidR="00163B3E" w:rsidRPr="00AE141E">
        <w:rPr>
          <w:rFonts w:ascii="Times New Roman" w:hAnsi="Times New Roman" w:cs="Times New Roman"/>
          <w:sz w:val="24"/>
          <w:szCs w:val="24"/>
        </w:rPr>
        <w:t xml:space="preserve"> history</w:t>
      </w:r>
      <w:r w:rsidR="00364D50" w:rsidRPr="00AE141E">
        <w:rPr>
          <w:rFonts w:ascii="Times New Roman" w:hAnsi="Times New Roman" w:cs="Times New Roman"/>
          <w:sz w:val="24"/>
          <w:szCs w:val="24"/>
        </w:rPr>
        <w:t xml:space="preserve"> appeared conscious of the</w:t>
      </w:r>
      <w:r w:rsidR="0038681C" w:rsidRPr="00AE141E">
        <w:rPr>
          <w:rFonts w:ascii="Times New Roman" w:hAnsi="Times New Roman" w:cs="Times New Roman"/>
          <w:sz w:val="24"/>
          <w:szCs w:val="24"/>
        </w:rPr>
        <w:t xml:space="preserve"> need to guard against the distortions of Anglocentric or Eurocentric </w:t>
      </w:r>
      <w:r w:rsidR="00163B3E" w:rsidRPr="00AE141E">
        <w:rPr>
          <w:rFonts w:ascii="Times New Roman" w:hAnsi="Times New Roman" w:cs="Times New Roman"/>
          <w:sz w:val="24"/>
          <w:szCs w:val="24"/>
        </w:rPr>
        <w:t>framings</w:t>
      </w:r>
      <w:r w:rsidR="0038681C" w:rsidRPr="00AE141E">
        <w:rPr>
          <w:rFonts w:ascii="Times New Roman" w:hAnsi="Times New Roman" w:cs="Times New Roman"/>
          <w:sz w:val="24"/>
          <w:szCs w:val="24"/>
        </w:rPr>
        <w:t xml:space="preserve">. </w:t>
      </w:r>
      <w:r w:rsidR="00E66C3B" w:rsidRPr="00AE141E">
        <w:rPr>
          <w:rFonts w:ascii="Times New Roman" w:hAnsi="Times New Roman" w:cs="Times New Roman"/>
          <w:sz w:val="24"/>
          <w:szCs w:val="24"/>
        </w:rPr>
        <w:t>Its</w:t>
      </w:r>
      <w:r w:rsidR="0038681C" w:rsidRPr="00AE141E">
        <w:rPr>
          <w:rFonts w:ascii="Times New Roman" w:hAnsi="Times New Roman" w:cs="Times New Roman"/>
          <w:sz w:val="24"/>
          <w:szCs w:val="24"/>
        </w:rPr>
        <w:t xml:space="preserve"> ai</w:t>
      </w:r>
      <w:r w:rsidR="00C94BBC" w:rsidRPr="00AE141E">
        <w:rPr>
          <w:rFonts w:ascii="Times New Roman" w:hAnsi="Times New Roman" w:cs="Times New Roman"/>
          <w:sz w:val="24"/>
          <w:szCs w:val="24"/>
        </w:rPr>
        <w:t>m</w:t>
      </w:r>
      <w:r w:rsidR="00FE1C93" w:rsidRPr="00AE141E">
        <w:rPr>
          <w:rFonts w:ascii="Times New Roman" w:hAnsi="Times New Roman" w:cs="Times New Roman"/>
          <w:sz w:val="24"/>
          <w:szCs w:val="24"/>
        </w:rPr>
        <w:t xml:space="preserve"> was to </w:t>
      </w:r>
      <w:r w:rsidR="00A50F20" w:rsidRPr="00AE141E">
        <w:rPr>
          <w:rFonts w:ascii="Times New Roman" w:hAnsi="Times New Roman" w:cs="Times New Roman"/>
          <w:sz w:val="24"/>
          <w:szCs w:val="24"/>
        </w:rPr>
        <w:t>look ‘</w:t>
      </w:r>
      <w:r w:rsidR="00A2788E" w:rsidRPr="00AE141E">
        <w:rPr>
          <w:rFonts w:ascii="Times New Roman" w:hAnsi="Times New Roman" w:cs="Times New Roman"/>
          <w:sz w:val="24"/>
          <w:szCs w:val="24"/>
        </w:rPr>
        <w:t xml:space="preserve">at the history of the region </w:t>
      </w:r>
      <w:r w:rsidR="00B80FC1" w:rsidRPr="00AE141E">
        <w:rPr>
          <w:rFonts w:ascii="Times New Roman" w:hAnsi="Times New Roman" w:cs="Times New Roman"/>
          <w:sz w:val="24"/>
          <w:szCs w:val="24"/>
        </w:rPr>
        <w:t>[…] from the viewpoint of the region itself</w:t>
      </w:r>
      <w:r w:rsidR="00A50F20" w:rsidRPr="00AE141E">
        <w:rPr>
          <w:rFonts w:ascii="Times New Roman" w:hAnsi="Times New Roman" w:cs="Times New Roman"/>
          <w:sz w:val="24"/>
          <w:szCs w:val="24"/>
        </w:rPr>
        <w:t>’</w:t>
      </w:r>
      <w:r w:rsidR="003C71A2" w:rsidRPr="00AE141E">
        <w:rPr>
          <w:rFonts w:ascii="Times New Roman" w:hAnsi="Times New Roman" w:cs="Times New Roman"/>
          <w:sz w:val="24"/>
          <w:szCs w:val="24"/>
        </w:rPr>
        <w:t>; n</w:t>
      </w:r>
      <w:r w:rsidR="00A50F20" w:rsidRPr="00AE141E">
        <w:rPr>
          <w:rFonts w:ascii="Times New Roman" w:hAnsi="Times New Roman" w:cs="Times New Roman"/>
          <w:sz w:val="24"/>
          <w:szCs w:val="24"/>
        </w:rPr>
        <w:t>o</w:t>
      </w:r>
      <w:r w:rsidR="00B03591" w:rsidRPr="00AE141E">
        <w:rPr>
          <w:rFonts w:ascii="Times New Roman" w:hAnsi="Times New Roman" w:cs="Times New Roman"/>
          <w:sz w:val="24"/>
          <w:szCs w:val="24"/>
        </w:rPr>
        <w:t xml:space="preserve"> details of the </w:t>
      </w:r>
      <w:r w:rsidR="00A50F20" w:rsidRPr="00AE141E">
        <w:rPr>
          <w:rFonts w:ascii="Times New Roman" w:hAnsi="Times New Roman" w:cs="Times New Roman"/>
          <w:sz w:val="24"/>
          <w:szCs w:val="24"/>
        </w:rPr>
        <w:t>‘</w:t>
      </w:r>
      <w:r w:rsidR="00B03591" w:rsidRPr="00AE141E">
        <w:rPr>
          <w:rFonts w:ascii="Times New Roman" w:hAnsi="Times New Roman" w:cs="Times New Roman"/>
          <w:sz w:val="24"/>
          <w:szCs w:val="24"/>
        </w:rPr>
        <w:t>European background of the people or events</w:t>
      </w:r>
      <w:r w:rsidR="00A50F20" w:rsidRPr="00AE141E">
        <w:rPr>
          <w:rFonts w:ascii="Times New Roman" w:hAnsi="Times New Roman" w:cs="Times New Roman"/>
          <w:sz w:val="24"/>
          <w:szCs w:val="24"/>
        </w:rPr>
        <w:t xml:space="preserve">’ were </w:t>
      </w:r>
      <w:r w:rsidR="003C71A2" w:rsidRPr="00AE141E">
        <w:rPr>
          <w:rFonts w:ascii="Times New Roman" w:hAnsi="Times New Roman" w:cs="Times New Roman"/>
          <w:sz w:val="24"/>
          <w:szCs w:val="24"/>
        </w:rPr>
        <w:t>slated for inclusion.</w:t>
      </w:r>
      <w:r w:rsidR="00E66C3B" w:rsidRPr="00AE141E">
        <w:rPr>
          <w:rStyle w:val="FootnoteReference"/>
          <w:rFonts w:ascii="Times New Roman" w:hAnsi="Times New Roman" w:cs="Times New Roman"/>
          <w:sz w:val="24"/>
          <w:szCs w:val="24"/>
        </w:rPr>
        <w:footnoteReference w:id="345"/>
      </w:r>
      <w:r w:rsidR="00125CC2" w:rsidRPr="00AE141E">
        <w:rPr>
          <w:rFonts w:ascii="Times New Roman" w:hAnsi="Times New Roman" w:cs="Times New Roman"/>
          <w:sz w:val="24"/>
          <w:szCs w:val="24"/>
        </w:rPr>
        <w:t xml:space="preserve"> </w:t>
      </w:r>
      <w:r w:rsidR="00757699" w:rsidRPr="00AE141E">
        <w:rPr>
          <w:rFonts w:ascii="Times New Roman" w:hAnsi="Times New Roman" w:cs="Times New Roman"/>
          <w:sz w:val="24"/>
          <w:szCs w:val="24"/>
        </w:rPr>
        <w:t>It was precisely this perspective which attracted the scorn of Raph</w:t>
      </w:r>
      <w:r w:rsidR="00D567B8">
        <w:rPr>
          <w:rFonts w:ascii="Times New Roman" w:hAnsi="Times New Roman" w:cs="Times New Roman"/>
          <w:sz w:val="24"/>
          <w:szCs w:val="24"/>
        </w:rPr>
        <w:t>a</w:t>
      </w:r>
      <w:r w:rsidR="00757699" w:rsidRPr="00AE141E">
        <w:rPr>
          <w:rFonts w:ascii="Times New Roman" w:hAnsi="Times New Roman" w:cs="Times New Roman"/>
          <w:sz w:val="24"/>
          <w:szCs w:val="24"/>
        </w:rPr>
        <w:t>el Samuel</w:t>
      </w:r>
      <w:r w:rsidR="007D6A05" w:rsidRPr="00AE141E">
        <w:rPr>
          <w:rFonts w:ascii="Times New Roman" w:hAnsi="Times New Roman" w:cs="Times New Roman"/>
          <w:sz w:val="24"/>
          <w:szCs w:val="24"/>
        </w:rPr>
        <w:t xml:space="preserve">. Samuel contended that world history, seen through non-European eyes and symbolised by the widespread study </w:t>
      </w:r>
      <w:r w:rsidR="0072432E" w:rsidRPr="00AE141E">
        <w:rPr>
          <w:rFonts w:ascii="Times New Roman" w:hAnsi="Times New Roman" w:cs="Times New Roman"/>
          <w:sz w:val="24"/>
          <w:szCs w:val="24"/>
        </w:rPr>
        <w:t>o</w:t>
      </w:r>
      <w:r w:rsidR="007D6A05" w:rsidRPr="00AE141E">
        <w:rPr>
          <w:rFonts w:ascii="Times New Roman" w:hAnsi="Times New Roman" w:cs="Times New Roman"/>
          <w:sz w:val="24"/>
          <w:szCs w:val="24"/>
        </w:rPr>
        <w:t xml:space="preserve">f ‘pre-colonial civilizations’ (‘as in “Building an Arawak hut”’) offered an escape from the messy </w:t>
      </w:r>
      <w:r w:rsidR="0011747E" w:rsidRPr="00AE141E">
        <w:rPr>
          <w:rFonts w:ascii="Times New Roman" w:hAnsi="Times New Roman" w:cs="Times New Roman"/>
          <w:sz w:val="24"/>
          <w:szCs w:val="24"/>
        </w:rPr>
        <w:t xml:space="preserve">imbrication of empire </w:t>
      </w:r>
      <w:r w:rsidR="0011747E" w:rsidRPr="00AE141E">
        <w:rPr>
          <w:rFonts w:ascii="Times New Roman" w:hAnsi="Times New Roman" w:cs="Times New Roman"/>
          <w:sz w:val="24"/>
          <w:szCs w:val="24"/>
        </w:rPr>
        <w:lastRenderedPageBreak/>
        <w:t>and national identity.</w:t>
      </w:r>
      <w:r w:rsidR="001D20A0" w:rsidRPr="00AE141E">
        <w:rPr>
          <w:rStyle w:val="FootnoteReference"/>
          <w:rFonts w:ascii="Times New Roman" w:hAnsi="Times New Roman" w:cs="Times New Roman"/>
          <w:sz w:val="24"/>
          <w:szCs w:val="24"/>
        </w:rPr>
        <w:footnoteReference w:id="346"/>
      </w:r>
      <w:r w:rsidR="00355E81" w:rsidRPr="00AE141E">
        <w:rPr>
          <w:rFonts w:ascii="Times New Roman" w:hAnsi="Times New Roman" w:cs="Times New Roman"/>
          <w:sz w:val="24"/>
          <w:szCs w:val="24"/>
        </w:rPr>
        <w:t xml:space="preserve"> The concomitant turn towards ‘</w:t>
      </w:r>
      <w:r w:rsidR="008A6B33" w:rsidRPr="00AE141E">
        <w:rPr>
          <w:rFonts w:ascii="Times New Roman" w:hAnsi="Times New Roman" w:cs="Times New Roman"/>
          <w:sz w:val="24"/>
          <w:szCs w:val="24"/>
        </w:rPr>
        <w:t>intensely local’ history, shorn of its global resonance, provided an alternative means to evade the colonial legacy</w:t>
      </w:r>
      <w:r w:rsidR="00950904" w:rsidRPr="00AE141E">
        <w:rPr>
          <w:rFonts w:ascii="Times New Roman" w:hAnsi="Times New Roman" w:cs="Times New Roman"/>
          <w:sz w:val="24"/>
          <w:szCs w:val="24"/>
        </w:rPr>
        <w:t xml:space="preserve"> (a theme which will be developed in Chapter 3)</w:t>
      </w:r>
      <w:r w:rsidR="008A6B33" w:rsidRPr="00AE141E">
        <w:rPr>
          <w:rFonts w:ascii="Times New Roman" w:hAnsi="Times New Roman" w:cs="Times New Roman"/>
          <w:sz w:val="24"/>
          <w:szCs w:val="24"/>
        </w:rPr>
        <w:t xml:space="preserve">. </w:t>
      </w:r>
      <w:r w:rsidR="00D65FDF" w:rsidRPr="00AE141E">
        <w:rPr>
          <w:rFonts w:ascii="Times New Roman" w:hAnsi="Times New Roman" w:cs="Times New Roman"/>
          <w:sz w:val="24"/>
          <w:szCs w:val="24"/>
        </w:rPr>
        <w:t xml:space="preserve">In skirting </w:t>
      </w:r>
      <w:r w:rsidR="00263603" w:rsidRPr="00AE141E">
        <w:rPr>
          <w:rFonts w:ascii="Times New Roman" w:hAnsi="Times New Roman" w:cs="Times New Roman"/>
          <w:sz w:val="24"/>
          <w:szCs w:val="24"/>
        </w:rPr>
        <w:t>such histories</w:t>
      </w:r>
      <w:r w:rsidR="00D65FDF" w:rsidRPr="00AE141E">
        <w:rPr>
          <w:rFonts w:ascii="Times New Roman" w:hAnsi="Times New Roman" w:cs="Times New Roman"/>
          <w:sz w:val="24"/>
          <w:szCs w:val="24"/>
        </w:rPr>
        <w:t>, ‘Progressive’ educators believed th</w:t>
      </w:r>
      <w:r w:rsidR="00263603" w:rsidRPr="00AE141E">
        <w:rPr>
          <w:rFonts w:ascii="Times New Roman" w:hAnsi="Times New Roman" w:cs="Times New Roman"/>
          <w:sz w:val="24"/>
          <w:szCs w:val="24"/>
        </w:rPr>
        <w:t xml:space="preserve">emselves to be </w:t>
      </w:r>
      <w:r w:rsidR="001B0100" w:rsidRPr="00AE141E">
        <w:rPr>
          <w:rFonts w:ascii="Times New Roman" w:hAnsi="Times New Roman" w:cs="Times New Roman"/>
          <w:sz w:val="24"/>
          <w:szCs w:val="24"/>
        </w:rPr>
        <w:t>militating against the celebration of empire</w:t>
      </w:r>
      <w:r w:rsidR="00A13C10" w:rsidRPr="00AE141E">
        <w:rPr>
          <w:rFonts w:ascii="Times New Roman" w:hAnsi="Times New Roman" w:cs="Times New Roman"/>
          <w:sz w:val="24"/>
          <w:szCs w:val="24"/>
        </w:rPr>
        <w:t xml:space="preserve">, while also giving </w:t>
      </w:r>
      <w:r w:rsidR="003A3F71" w:rsidRPr="00AE141E">
        <w:rPr>
          <w:rFonts w:ascii="Times New Roman" w:hAnsi="Times New Roman" w:cs="Times New Roman"/>
          <w:sz w:val="24"/>
          <w:szCs w:val="24"/>
        </w:rPr>
        <w:t xml:space="preserve">space to </w:t>
      </w:r>
      <w:r w:rsidR="005255CF" w:rsidRPr="00AE141E">
        <w:rPr>
          <w:rFonts w:ascii="Times New Roman" w:hAnsi="Times New Roman" w:cs="Times New Roman"/>
          <w:sz w:val="24"/>
          <w:szCs w:val="24"/>
        </w:rPr>
        <w:t>hitherto marginalised</w:t>
      </w:r>
      <w:r w:rsidR="003A3F71" w:rsidRPr="00AE141E">
        <w:rPr>
          <w:rFonts w:ascii="Times New Roman" w:hAnsi="Times New Roman" w:cs="Times New Roman"/>
          <w:sz w:val="24"/>
          <w:szCs w:val="24"/>
        </w:rPr>
        <w:t xml:space="preserve"> voices.</w:t>
      </w:r>
      <w:r w:rsidR="004030EA" w:rsidRPr="00AE141E">
        <w:rPr>
          <w:rFonts w:ascii="Times New Roman" w:hAnsi="Times New Roman" w:cs="Times New Roman"/>
          <w:sz w:val="24"/>
          <w:szCs w:val="24"/>
        </w:rPr>
        <w:t xml:space="preserve"> </w:t>
      </w:r>
    </w:p>
    <w:p w14:paraId="7F4FC6D2" w14:textId="0E03CABC" w:rsidR="008A488D" w:rsidRPr="00AE141E" w:rsidRDefault="004030EA" w:rsidP="00515085">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Of course, colonisation </w:t>
      </w:r>
      <w:r w:rsidR="005255CF" w:rsidRPr="00AE141E">
        <w:rPr>
          <w:rFonts w:ascii="Times New Roman" w:hAnsi="Times New Roman" w:cs="Times New Roman"/>
          <w:sz w:val="24"/>
          <w:szCs w:val="24"/>
        </w:rPr>
        <w:t xml:space="preserve">was the </w:t>
      </w:r>
      <w:r w:rsidR="00AE7606" w:rsidRPr="00AE141E">
        <w:rPr>
          <w:rFonts w:ascii="Times New Roman" w:hAnsi="Times New Roman" w:cs="Times New Roman"/>
          <w:sz w:val="24"/>
          <w:szCs w:val="24"/>
        </w:rPr>
        <w:t>principal</w:t>
      </w:r>
      <w:r w:rsidR="005255CF" w:rsidRPr="00AE141E">
        <w:rPr>
          <w:rFonts w:ascii="Times New Roman" w:hAnsi="Times New Roman" w:cs="Times New Roman"/>
          <w:sz w:val="24"/>
          <w:szCs w:val="24"/>
        </w:rPr>
        <w:t xml:space="preserve"> means by which voices were </w:t>
      </w:r>
      <w:r w:rsidR="005255CF" w:rsidRPr="00AE141E">
        <w:rPr>
          <w:rFonts w:ascii="Times New Roman" w:hAnsi="Times New Roman" w:cs="Times New Roman"/>
          <w:i/>
          <w:sz w:val="24"/>
          <w:szCs w:val="24"/>
        </w:rPr>
        <w:t>made</w:t>
      </w:r>
      <w:r w:rsidR="005255CF" w:rsidRPr="00AE141E">
        <w:rPr>
          <w:rFonts w:ascii="Times New Roman" w:hAnsi="Times New Roman" w:cs="Times New Roman"/>
          <w:sz w:val="24"/>
          <w:szCs w:val="24"/>
        </w:rPr>
        <w:t xml:space="preserve"> </w:t>
      </w:r>
      <w:r w:rsidR="005255CF" w:rsidRPr="00AE141E">
        <w:rPr>
          <w:rFonts w:ascii="Times New Roman" w:hAnsi="Times New Roman" w:cs="Times New Roman"/>
          <w:i/>
          <w:sz w:val="24"/>
          <w:szCs w:val="24"/>
        </w:rPr>
        <w:t>subaltern</w:t>
      </w:r>
      <w:r w:rsidR="005255CF" w:rsidRPr="00AE141E">
        <w:rPr>
          <w:rFonts w:ascii="Times New Roman" w:hAnsi="Times New Roman" w:cs="Times New Roman"/>
          <w:sz w:val="24"/>
          <w:szCs w:val="24"/>
        </w:rPr>
        <w:t>. By ignoring imperial history</w:t>
      </w:r>
      <w:r w:rsidR="00C811D2" w:rsidRPr="00AE141E">
        <w:rPr>
          <w:rFonts w:ascii="Times New Roman" w:hAnsi="Times New Roman" w:cs="Times New Roman"/>
          <w:sz w:val="24"/>
          <w:szCs w:val="24"/>
        </w:rPr>
        <w:t>, educators stripped their subjects of</w:t>
      </w:r>
      <w:r w:rsidR="00611B5A" w:rsidRPr="00AE141E">
        <w:rPr>
          <w:rFonts w:ascii="Times New Roman" w:hAnsi="Times New Roman" w:cs="Times New Roman"/>
          <w:sz w:val="24"/>
          <w:szCs w:val="24"/>
        </w:rPr>
        <w:t xml:space="preserve"> essential context. As we have previously seen, this practice also </w:t>
      </w:r>
      <w:r w:rsidR="00D36997" w:rsidRPr="00AE141E">
        <w:rPr>
          <w:rFonts w:ascii="Times New Roman" w:hAnsi="Times New Roman" w:cs="Times New Roman"/>
          <w:sz w:val="24"/>
          <w:szCs w:val="24"/>
        </w:rPr>
        <w:t xml:space="preserve">removed the opportunity to critically examine the </w:t>
      </w:r>
      <w:r w:rsidR="00A81141" w:rsidRPr="00AE141E">
        <w:rPr>
          <w:rFonts w:ascii="Times New Roman" w:hAnsi="Times New Roman" w:cs="Times New Roman"/>
          <w:sz w:val="24"/>
          <w:szCs w:val="24"/>
        </w:rPr>
        <w:t>beliefs</w:t>
      </w:r>
      <w:r w:rsidR="00D36997" w:rsidRPr="00AE141E">
        <w:rPr>
          <w:rFonts w:ascii="Times New Roman" w:hAnsi="Times New Roman" w:cs="Times New Roman"/>
          <w:sz w:val="24"/>
          <w:szCs w:val="24"/>
        </w:rPr>
        <w:t xml:space="preserve"> of the colonisers. Thus</w:t>
      </w:r>
      <w:r w:rsidR="00154B15" w:rsidRPr="00AE141E">
        <w:rPr>
          <w:rFonts w:ascii="Times New Roman" w:hAnsi="Times New Roman" w:cs="Times New Roman"/>
          <w:sz w:val="24"/>
          <w:szCs w:val="24"/>
        </w:rPr>
        <w:t xml:space="preserve">, </w:t>
      </w:r>
      <w:r w:rsidR="00302C3B" w:rsidRPr="00AE141E">
        <w:rPr>
          <w:rFonts w:ascii="Times New Roman" w:hAnsi="Times New Roman" w:cs="Times New Roman"/>
          <w:sz w:val="24"/>
          <w:szCs w:val="24"/>
        </w:rPr>
        <w:t>the narrative framing</w:t>
      </w:r>
      <w:r w:rsidR="00BB64F3" w:rsidRPr="00AE141E">
        <w:rPr>
          <w:rFonts w:ascii="Times New Roman" w:hAnsi="Times New Roman" w:cs="Times New Roman"/>
          <w:sz w:val="24"/>
          <w:szCs w:val="24"/>
        </w:rPr>
        <w:t xml:space="preserve"> </w:t>
      </w:r>
      <w:r w:rsidR="00D36997" w:rsidRPr="00AE141E">
        <w:rPr>
          <w:rFonts w:ascii="Times New Roman" w:hAnsi="Times New Roman" w:cs="Times New Roman"/>
          <w:sz w:val="24"/>
          <w:szCs w:val="24"/>
        </w:rPr>
        <w:t xml:space="preserve">of the WHCP resources on Caribbean history </w:t>
      </w:r>
      <w:r w:rsidR="00A81141" w:rsidRPr="00AE141E">
        <w:rPr>
          <w:rFonts w:ascii="Times New Roman" w:hAnsi="Times New Roman" w:cs="Times New Roman"/>
          <w:sz w:val="24"/>
          <w:szCs w:val="24"/>
        </w:rPr>
        <w:t>carried an</w:t>
      </w:r>
      <w:r w:rsidR="00E36BE6" w:rsidRPr="00AE141E">
        <w:rPr>
          <w:rFonts w:ascii="Times New Roman" w:hAnsi="Times New Roman" w:cs="Times New Roman"/>
          <w:sz w:val="24"/>
          <w:szCs w:val="24"/>
        </w:rPr>
        <w:t xml:space="preserve"> unchecked</w:t>
      </w:r>
      <w:r w:rsidR="00A81141" w:rsidRPr="00AE141E">
        <w:rPr>
          <w:rFonts w:ascii="Times New Roman" w:hAnsi="Times New Roman" w:cs="Times New Roman"/>
          <w:sz w:val="24"/>
          <w:szCs w:val="24"/>
        </w:rPr>
        <w:t>, unexamined</w:t>
      </w:r>
      <w:r w:rsidR="00302C3B" w:rsidRPr="00AE141E">
        <w:rPr>
          <w:rFonts w:ascii="Times New Roman" w:hAnsi="Times New Roman" w:cs="Times New Roman"/>
          <w:sz w:val="24"/>
          <w:szCs w:val="24"/>
        </w:rPr>
        <w:t xml:space="preserve"> </w:t>
      </w:r>
      <w:r w:rsidR="00BB64F3" w:rsidRPr="00AE141E">
        <w:rPr>
          <w:rFonts w:ascii="Times New Roman" w:hAnsi="Times New Roman" w:cs="Times New Roman"/>
          <w:sz w:val="24"/>
          <w:szCs w:val="24"/>
        </w:rPr>
        <w:t>colonial perspective.</w:t>
      </w:r>
      <w:r w:rsidR="001D65DC" w:rsidRPr="00AE141E">
        <w:rPr>
          <w:rFonts w:ascii="Times New Roman" w:hAnsi="Times New Roman" w:cs="Times New Roman"/>
          <w:sz w:val="24"/>
          <w:szCs w:val="24"/>
        </w:rPr>
        <w:t xml:space="preserve"> </w:t>
      </w:r>
      <w:r w:rsidR="00D2093B" w:rsidRPr="00AE141E">
        <w:rPr>
          <w:rFonts w:ascii="Times New Roman" w:hAnsi="Times New Roman" w:cs="Times New Roman"/>
          <w:sz w:val="24"/>
          <w:szCs w:val="24"/>
        </w:rPr>
        <w:t>T</w:t>
      </w:r>
      <w:r w:rsidR="0035704E" w:rsidRPr="00AE141E">
        <w:rPr>
          <w:rFonts w:ascii="Times New Roman" w:hAnsi="Times New Roman" w:cs="Times New Roman"/>
          <w:sz w:val="24"/>
          <w:szCs w:val="24"/>
        </w:rPr>
        <w:t>he notion</w:t>
      </w:r>
      <w:r w:rsidR="001D0885" w:rsidRPr="00AE141E">
        <w:rPr>
          <w:rFonts w:ascii="Times New Roman" w:hAnsi="Times New Roman" w:cs="Times New Roman"/>
          <w:sz w:val="24"/>
          <w:szCs w:val="24"/>
        </w:rPr>
        <w:t xml:space="preserve"> </w:t>
      </w:r>
      <w:r w:rsidR="00537EE6" w:rsidRPr="00AE141E">
        <w:rPr>
          <w:rFonts w:ascii="Times New Roman" w:hAnsi="Times New Roman" w:cs="Times New Roman"/>
          <w:sz w:val="24"/>
          <w:szCs w:val="24"/>
        </w:rPr>
        <w:t>of</w:t>
      </w:r>
      <w:r w:rsidR="008A1C0F" w:rsidRPr="00AE141E">
        <w:rPr>
          <w:rFonts w:ascii="Times New Roman" w:hAnsi="Times New Roman" w:cs="Times New Roman"/>
          <w:sz w:val="24"/>
          <w:szCs w:val="24"/>
        </w:rPr>
        <w:t xml:space="preserve"> linear</w:t>
      </w:r>
      <w:r w:rsidR="00537EE6" w:rsidRPr="00AE141E">
        <w:rPr>
          <w:rFonts w:ascii="Times New Roman" w:hAnsi="Times New Roman" w:cs="Times New Roman"/>
          <w:sz w:val="24"/>
          <w:szCs w:val="24"/>
        </w:rPr>
        <w:t xml:space="preserve"> </w:t>
      </w:r>
      <w:r w:rsidR="004E0E4C" w:rsidRPr="00AE141E">
        <w:rPr>
          <w:rFonts w:ascii="Times New Roman" w:hAnsi="Times New Roman" w:cs="Times New Roman"/>
          <w:sz w:val="24"/>
          <w:szCs w:val="24"/>
        </w:rPr>
        <w:t>historical movement between fixed</w:t>
      </w:r>
      <w:r w:rsidR="00B20ECF" w:rsidRPr="00AE141E">
        <w:rPr>
          <w:rFonts w:ascii="Times New Roman" w:hAnsi="Times New Roman" w:cs="Times New Roman"/>
          <w:sz w:val="24"/>
          <w:szCs w:val="24"/>
        </w:rPr>
        <w:t xml:space="preserve"> ‘stage[s] of development</w:t>
      </w:r>
      <w:r w:rsidR="004E0E4C" w:rsidRPr="00AE141E">
        <w:rPr>
          <w:rFonts w:ascii="Times New Roman" w:hAnsi="Times New Roman" w:cs="Times New Roman"/>
          <w:sz w:val="24"/>
          <w:szCs w:val="24"/>
        </w:rPr>
        <w:t>’</w:t>
      </w:r>
      <w:r w:rsidR="0035704E" w:rsidRPr="00AE141E">
        <w:rPr>
          <w:rFonts w:ascii="Times New Roman" w:hAnsi="Times New Roman" w:cs="Times New Roman"/>
          <w:sz w:val="24"/>
          <w:szCs w:val="24"/>
        </w:rPr>
        <w:t xml:space="preserve"> exerted an iron grip on </w:t>
      </w:r>
      <w:r w:rsidR="00F57D20" w:rsidRPr="00AE141E">
        <w:rPr>
          <w:rFonts w:ascii="Times New Roman" w:hAnsi="Times New Roman" w:cs="Times New Roman"/>
          <w:sz w:val="24"/>
          <w:szCs w:val="24"/>
        </w:rPr>
        <w:t xml:space="preserve">the </w:t>
      </w:r>
      <w:r w:rsidR="00C158EF" w:rsidRPr="00AE141E">
        <w:rPr>
          <w:rFonts w:ascii="Times New Roman" w:hAnsi="Times New Roman" w:cs="Times New Roman"/>
          <w:sz w:val="24"/>
          <w:szCs w:val="24"/>
        </w:rPr>
        <w:t>structure of the writin</w:t>
      </w:r>
      <w:r w:rsidR="008A1C0F" w:rsidRPr="00AE141E">
        <w:rPr>
          <w:rFonts w:ascii="Times New Roman" w:hAnsi="Times New Roman" w:cs="Times New Roman"/>
          <w:sz w:val="24"/>
          <w:szCs w:val="24"/>
        </w:rPr>
        <w:t>g</w:t>
      </w:r>
      <w:r w:rsidR="0035704E" w:rsidRPr="00AE141E">
        <w:rPr>
          <w:rFonts w:ascii="Times New Roman" w:hAnsi="Times New Roman" w:cs="Times New Roman"/>
          <w:sz w:val="24"/>
          <w:szCs w:val="24"/>
        </w:rPr>
        <w:t>. Th</w:t>
      </w:r>
      <w:r w:rsidR="00C158EF" w:rsidRPr="00AE141E">
        <w:rPr>
          <w:rFonts w:ascii="Times New Roman" w:hAnsi="Times New Roman" w:cs="Times New Roman"/>
          <w:sz w:val="24"/>
          <w:szCs w:val="24"/>
        </w:rPr>
        <w:t>is</w:t>
      </w:r>
      <w:r w:rsidR="004E0E4C" w:rsidRPr="00AE141E">
        <w:rPr>
          <w:rFonts w:ascii="Times New Roman" w:hAnsi="Times New Roman" w:cs="Times New Roman"/>
          <w:sz w:val="24"/>
          <w:szCs w:val="24"/>
        </w:rPr>
        <w:t xml:space="preserve"> </w:t>
      </w:r>
      <w:r w:rsidR="00334F12" w:rsidRPr="00AE141E">
        <w:rPr>
          <w:rFonts w:ascii="Times New Roman" w:hAnsi="Times New Roman" w:cs="Times New Roman"/>
          <w:sz w:val="24"/>
          <w:szCs w:val="24"/>
        </w:rPr>
        <w:t>drew directly upon the colonial language of ‘primitive’ and ‘advanced’ societies</w:t>
      </w:r>
      <w:r w:rsidR="00E56ABF" w:rsidRPr="00AE141E">
        <w:rPr>
          <w:rFonts w:ascii="Times New Roman" w:hAnsi="Times New Roman" w:cs="Times New Roman"/>
          <w:sz w:val="24"/>
          <w:szCs w:val="24"/>
        </w:rPr>
        <w:t>.</w:t>
      </w:r>
      <w:r w:rsidR="001476C3" w:rsidRPr="00AE141E">
        <w:rPr>
          <w:rStyle w:val="FootnoteReference"/>
          <w:rFonts w:ascii="Times New Roman" w:hAnsi="Times New Roman" w:cs="Times New Roman"/>
          <w:sz w:val="24"/>
          <w:szCs w:val="24"/>
        </w:rPr>
        <w:footnoteReference w:id="347"/>
      </w:r>
      <w:r w:rsidR="005D47B9" w:rsidRPr="00AE141E">
        <w:rPr>
          <w:rFonts w:ascii="Times New Roman" w:hAnsi="Times New Roman" w:cs="Times New Roman"/>
          <w:sz w:val="24"/>
          <w:szCs w:val="24"/>
        </w:rPr>
        <w:t xml:space="preserve"> </w:t>
      </w:r>
      <w:r w:rsidR="00515085" w:rsidRPr="00515085">
        <w:rPr>
          <w:rFonts w:ascii="Times New Roman" w:hAnsi="Times New Roman" w:cs="Times New Roman"/>
          <w:sz w:val="24"/>
          <w:szCs w:val="24"/>
        </w:rPr>
        <w:t>Homogeneous</w:t>
      </w:r>
      <w:r w:rsidR="00515085">
        <w:rPr>
          <w:rFonts w:ascii="Times New Roman" w:hAnsi="Times New Roman" w:cs="Times New Roman"/>
          <w:sz w:val="24"/>
          <w:szCs w:val="24"/>
        </w:rPr>
        <w:t xml:space="preserve"> </w:t>
      </w:r>
      <w:r w:rsidR="00242168" w:rsidRPr="00AE141E">
        <w:rPr>
          <w:rFonts w:ascii="Times New Roman" w:hAnsi="Times New Roman" w:cs="Times New Roman"/>
          <w:sz w:val="24"/>
          <w:szCs w:val="24"/>
        </w:rPr>
        <w:t xml:space="preserve">racial categories often formed the basis of descriptions of such societies; </w:t>
      </w:r>
      <w:r w:rsidR="00FF132F" w:rsidRPr="00AE141E">
        <w:rPr>
          <w:rFonts w:ascii="Times New Roman" w:hAnsi="Times New Roman" w:cs="Times New Roman"/>
          <w:sz w:val="24"/>
          <w:szCs w:val="24"/>
        </w:rPr>
        <w:t>the</w:t>
      </w:r>
      <w:r w:rsidR="00AF505F" w:rsidRPr="00AE141E">
        <w:rPr>
          <w:rFonts w:ascii="Times New Roman" w:hAnsi="Times New Roman" w:cs="Times New Roman"/>
          <w:sz w:val="24"/>
          <w:szCs w:val="24"/>
        </w:rPr>
        <w:t xml:space="preserve"> Caribs were des</w:t>
      </w:r>
      <w:r w:rsidR="00F2435D" w:rsidRPr="00AE141E">
        <w:rPr>
          <w:rFonts w:ascii="Times New Roman" w:hAnsi="Times New Roman" w:cs="Times New Roman"/>
          <w:sz w:val="24"/>
          <w:szCs w:val="24"/>
        </w:rPr>
        <w:t>cribed as ‘warlike Indians’</w:t>
      </w:r>
      <w:r w:rsidR="00950904" w:rsidRPr="00AE141E">
        <w:rPr>
          <w:rFonts w:ascii="Times New Roman" w:hAnsi="Times New Roman" w:cs="Times New Roman"/>
          <w:sz w:val="24"/>
          <w:szCs w:val="24"/>
        </w:rPr>
        <w:t xml:space="preserve"> </w:t>
      </w:r>
      <w:r w:rsidR="00F2435D" w:rsidRPr="00AE141E">
        <w:rPr>
          <w:rFonts w:ascii="Times New Roman" w:hAnsi="Times New Roman" w:cs="Times New Roman"/>
          <w:sz w:val="24"/>
          <w:szCs w:val="24"/>
        </w:rPr>
        <w:t>and unfavourably contrasted with the supposedly ‘docile’</w:t>
      </w:r>
      <w:r w:rsidR="00FF132F" w:rsidRPr="00AE141E">
        <w:rPr>
          <w:rFonts w:ascii="Times New Roman" w:hAnsi="Times New Roman" w:cs="Times New Roman"/>
          <w:sz w:val="24"/>
          <w:szCs w:val="24"/>
        </w:rPr>
        <w:t xml:space="preserve"> Arawaks</w:t>
      </w:r>
      <w:r w:rsidR="00F2435D" w:rsidRPr="00AE141E">
        <w:rPr>
          <w:rFonts w:ascii="Times New Roman" w:hAnsi="Times New Roman" w:cs="Times New Roman"/>
          <w:sz w:val="24"/>
          <w:szCs w:val="24"/>
        </w:rPr>
        <w:t>.</w:t>
      </w:r>
      <w:r w:rsidR="002001FB" w:rsidRPr="00AE141E">
        <w:rPr>
          <w:rStyle w:val="FootnoteReference"/>
          <w:rFonts w:ascii="Times New Roman" w:hAnsi="Times New Roman" w:cs="Times New Roman"/>
          <w:sz w:val="24"/>
          <w:szCs w:val="24"/>
        </w:rPr>
        <w:footnoteReference w:id="348"/>
      </w:r>
      <w:r w:rsidR="00F2435D" w:rsidRPr="00AE141E">
        <w:rPr>
          <w:rFonts w:ascii="Times New Roman" w:hAnsi="Times New Roman" w:cs="Times New Roman"/>
          <w:sz w:val="24"/>
          <w:szCs w:val="24"/>
        </w:rPr>
        <w:t xml:space="preserve"> T</w:t>
      </w:r>
      <w:r w:rsidR="00E52D4D" w:rsidRPr="00AE141E">
        <w:rPr>
          <w:rFonts w:ascii="Times New Roman" w:hAnsi="Times New Roman" w:cs="Times New Roman"/>
          <w:sz w:val="24"/>
          <w:szCs w:val="24"/>
        </w:rPr>
        <w:t>he planters’ understanding that ‘certain tribes [sic.</w:t>
      </w:r>
      <w:r w:rsidR="00965886" w:rsidRPr="00AE141E">
        <w:rPr>
          <w:rFonts w:ascii="Times New Roman" w:hAnsi="Times New Roman" w:cs="Times New Roman"/>
          <w:sz w:val="24"/>
          <w:szCs w:val="24"/>
        </w:rPr>
        <w:t>]’ proved ‘more willing workers’ was presented uncritically.</w:t>
      </w:r>
      <w:r w:rsidR="002001FB" w:rsidRPr="00AE141E">
        <w:rPr>
          <w:rStyle w:val="FootnoteReference"/>
          <w:rFonts w:ascii="Times New Roman" w:hAnsi="Times New Roman" w:cs="Times New Roman"/>
          <w:sz w:val="24"/>
          <w:szCs w:val="24"/>
        </w:rPr>
        <w:footnoteReference w:id="349"/>
      </w:r>
      <w:r w:rsidR="00E84F49" w:rsidRPr="00AE141E">
        <w:rPr>
          <w:rFonts w:ascii="Times New Roman" w:hAnsi="Times New Roman" w:cs="Times New Roman"/>
          <w:sz w:val="24"/>
          <w:szCs w:val="24"/>
        </w:rPr>
        <w:t xml:space="preserve"> </w:t>
      </w:r>
    </w:p>
    <w:p w14:paraId="7443DAA5" w14:textId="56049EA8" w:rsidR="00F919DC" w:rsidRPr="00AE141E" w:rsidRDefault="00EB17C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w:t>
      </w:r>
      <w:r w:rsidR="00326DDC" w:rsidRPr="00AE141E">
        <w:rPr>
          <w:rFonts w:ascii="Times New Roman" w:hAnsi="Times New Roman" w:cs="Times New Roman"/>
          <w:sz w:val="24"/>
          <w:szCs w:val="24"/>
        </w:rPr>
        <w:t xml:space="preserve"> Othering </w:t>
      </w:r>
      <w:r w:rsidR="00C12802" w:rsidRPr="00AE141E">
        <w:rPr>
          <w:rFonts w:ascii="Times New Roman" w:hAnsi="Times New Roman" w:cs="Times New Roman"/>
          <w:sz w:val="24"/>
          <w:szCs w:val="24"/>
        </w:rPr>
        <w:t>judgement contained in the application of the word ‘warlike’ to whole societies</w:t>
      </w:r>
      <w:r w:rsidR="0028713E" w:rsidRPr="00AE141E">
        <w:rPr>
          <w:rFonts w:ascii="Times New Roman" w:hAnsi="Times New Roman" w:cs="Times New Roman"/>
          <w:sz w:val="24"/>
          <w:szCs w:val="24"/>
        </w:rPr>
        <w:t xml:space="preserve"> (never, crucially, th</w:t>
      </w:r>
      <w:r w:rsidR="001B2308" w:rsidRPr="00AE141E">
        <w:rPr>
          <w:rFonts w:ascii="Times New Roman" w:hAnsi="Times New Roman" w:cs="Times New Roman"/>
          <w:sz w:val="24"/>
          <w:szCs w:val="24"/>
        </w:rPr>
        <w:t>ose of Europe)</w:t>
      </w:r>
      <w:r w:rsidR="00326DDC" w:rsidRPr="00AE141E">
        <w:rPr>
          <w:rFonts w:ascii="Times New Roman" w:hAnsi="Times New Roman" w:cs="Times New Roman"/>
          <w:sz w:val="24"/>
          <w:szCs w:val="24"/>
        </w:rPr>
        <w:t xml:space="preserve">, and the </w:t>
      </w:r>
      <w:r w:rsidR="001B2308" w:rsidRPr="00AE141E">
        <w:rPr>
          <w:rFonts w:ascii="Times New Roman" w:hAnsi="Times New Roman" w:cs="Times New Roman"/>
          <w:sz w:val="24"/>
          <w:szCs w:val="24"/>
        </w:rPr>
        <w:t xml:space="preserve">authors’ </w:t>
      </w:r>
      <w:r w:rsidR="0028713E" w:rsidRPr="00AE141E">
        <w:rPr>
          <w:rFonts w:ascii="Times New Roman" w:hAnsi="Times New Roman" w:cs="Times New Roman"/>
          <w:sz w:val="24"/>
          <w:szCs w:val="24"/>
        </w:rPr>
        <w:t>apparent preference for ‘docility’, may go som</w:t>
      </w:r>
      <w:r w:rsidR="001B2308" w:rsidRPr="00AE141E">
        <w:rPr>
          <w:rFonts w:ascii="Times New Roman" w:hAnsi="Times New Roman" w:cs="Times New Roman"/>
          <w:sz w:val="24"/>
          <w:szCs w:val="24"/>
        </w:rPr>
        <w:t>e</w:t>
      </w:r>
      <w:r w:rsidR="00125CC2" w:rsidRPr="00AE141E">
        <w:rPr>
          <w:rFonts w:ascii="Times New Roman" w:hAnsi="Times New Roman" w:cs="Times New Roman"/>
          <w:sz w:val="24"/>
          <w:szCs w:val="24"/>
        </w:rPr>
        <w:t xml:space="preserve"> </w:t>
      </w:r>
      <w:r w:rsidR="001B2308" w:rsidRPr="00AE141E">
        <w:rPr>
          <w:rFonts w:ascii="Times New Roman" w:hAnsi="Times New Roman" w:cs="Times New Roman"/>
          <w:sz w:val="24"/>
          <w:szCs w:val="24"/>
        </w:rPr>
        <w:t>way to explaining their erasure of histories of resistance.</w:t>
      </w:r>
      <w:r w:rsidR="00786FBC" w:rsidRPr="00AE141E">
        <w:rPr>
          <w:rFonts w:ascii="Times New Roman" w:hAnsi="Times New Roman" w:cs="Times New Roman"/>
          <w:sz w:val="24"/>
          <w:szCs w:val="24"/>
        </w:rPr>
        <w:t xml:space="preserve"> The</w:t>
      </w:r>
      <w:r w:rsidR="004D32A2" w:rsidRPr="00AE141E">
        <w:rPr>
          <w:rFonts w:ascii="Times New Roman" w:hAnsi="Times New Roman" w:cs="Times New Roman"/>
          <w:sz w:val="24"/>
          <w:szCs w:val="24"/>
        </w:rPr>
        <w:t xml:space="preserve"> appropriate</w:t>
      </w:r>
      <w:r w:rsidR="00786FBC" w:rsidRPr="00AE141E">
        <w:rPr>
          <w:rFonts w:ascii="Times New Roman" w:hAnsi="Times New Roman" w:cs="Times New Roman"/>
          <w:sz w:val="24"/>
          <w:szCs w:val="24"/>
        </w:rPr>
        <w:t xml:space="preserve"> colonised </w:t>
      </w:r>
      <w:r w:rsidR="00072F1C" w:rsidRPr="00AE141E">
        <w:rPr>
          <w:rFonts w:ascii="Times New Roman" w:hAnsi="Times New Roman" w:cs="Times New Roman"/>
          <w:sz w:val="24"/>
          <w:szCs w:val="24"/>
        </w:rPr>
        <w:t xml:space="preserve">and/or enslaved </w:t>
      </w:r>
      <w:r w:rsidR="009E5316" w:rsidRPr="00AE141E">
        <w:rPr>
          <w:rFonts w:ascii="Times New Roman" w:hAnsi="Times New Roman" w:cs="Times New Roman"/>
          <w:sz w:val="24"/>
          <w:szCs w:val="24"/>
        </w:rPr>
        <w:t xml:space="preserve">subject </w:t>
      </w:r>
      <w:r w:rsidR="004D32A2" w:rsidRPr="00AE141E">
        <w:rPr>
          <w:rFonts w:ascii="Times New Roman" w:hAnsi="Times New Roman" w:cs="Times New Roman"/>
          <w:sz w:val="24"/>
          <w:szCs w:val="24"/>
        </w:rPr>
        <w:t>was here created as</w:t>
      </w:r>
      <w:r w:rsidR="009E5316" w:rsidRPr="00AE141E">
        <w:rPr>
          <w:rFonts w:ascii="Times New Roman" w:hAnsi="Times New Roman" w:cs="Times New Roman"/>
          <w:sz w:val="24"/>
          <w:szCs w:val="24"/>
        </w:rPr>
        <w:t xml:space="preserve"> </w:t>
      </w:r>
      <w:r w:rsidR="004D32A2" w:rsidRPr="00AE141E">
        <w:rPr>
          <w:rFonts w:ascii="Times New Roman" w:hAnsi="Times New Roman" w:cs="Times New Roman"/>
          <w:sz w:val="24"/>
          <w:szCs w:val="24"/>
        </w:rPr>
        <w:t xml:space="preserve">a </w:t>
      </w:r>
      <w:r w:rsidR="009E5316" w:rsidRPr="00AE141E">
        <w:rPr>
          <w:rFonts w:ascii="Times New Roman" w:hAnsi="Times New Roman" w:cs="Times New Roman"/>
          <w:sz w:val="24"/>
          <w:szCs w:val="24"/>
        </w:rPr>
        <w:t>helpless and tragic victim</w:t>
      </w:r>
      <w:r w:rsidR="004D32A2" w:rsidRPr="00AE141E">
        <w:rPr>
          <w:rFonts w:ascii="Times New Roman" w:hAnsi="Times New Roman" w:cs="Times New Roman"/>
          <w:sz w:val="24"/>
          <w:szCs w:val="24"/>
        </w:rPr>
        <w:t xml:space="preserve"> – a far less challenging </w:t>
      </w:r>
      <w:r w:rsidR="003351B0" w:rsidRPr="00AE141E">
        <w:rPr>
          <w:rFonts w:ascii="Times New Roman" w:hAnsi="Times New Roman" w:cs="Times New Roman"/>
          <w:sz w:val="24"/>
          <w:szCs w:val="24"/>
        </w:rPr>
        <w:t>figure</w:t>
      </w:r>
      <w:r w:rsidR="007174FB" w:rsidRPr="00AE141E">
        <w:rPr>
          <w:rFonts w:ascii="Times New Roman" w:hAnsi="Times New Roman" w:cs="Times New Roman"/>
          <w:sz w:val="24"/>
          <w:szCs w:val="24"/>
        </w:rPr>
        <w:t xml:space="preserve"> than that of </w:t>
      </w:r>
      <w:r w:rsidR="008B21BA" w:rsidRPr="00AE141E">
        <w:rPr>
          <w:rFonts w:ascii="Times New Roman" w:hAnsi="Times New Roman" w:cs="Times New Roman"/>
          <w:sz w:val="24"/>
          <w:szCs w:val="24"/>
        </w:rPr>
        <w:t>the resistant</w:t>
      </w:r>
      <w:r w:rsidR="00E067D0" w:rsidRPr="00AE141E">
        <w:rPr>
          <w:rFonts w:ascii="Times New Roman" w:hAnsi="Times New Roman" w:cs="Times New Roman"/>
          <w:sz w:val="24"/>
          <w:szCs w:val="24"/>
        </w:rPr>
        <w:t xml:space="preserve"> agent</w:t>
      </w:r>
      <w:r w:rsidR="003351B0" w:rsidRPr="00AE141E">
        <w:rPr>
          <w:rFonts w:ascii="Times New Roman" w:hAnsi="Times New Roman" w:cs="Times New Roman"/>
          <w:sz w:val="24"/>
          <w:szCs w:val="24"/>
        </w:rPr>
        <w:t xml:space="preserve">, who expressed </w:t>
      </w:r>
      <w:r w:rsidR="00A31BCE" w:rsidRPr="00AE141E">
        <w:rPr>
          <w:rFonts w:ascii="Times New Roman" w:hAnsi="Times New Roman" w:cs="Times New Roman"/>
          <w:sz w:val="24"/>
          <w:szCs w:val="24"/>
        </w:rPr>
        <w:t xml:space="preserve">violent </w:t>
      </w:r>
      <w:r w:rsidR="00A75706" w:rsidRPr="00AE141E">
        <w:rPr>
          <w:rFonts w:ascii="Times New Roman" w:hAnsi="Times New Roman" w:cs="Times New Roman"/>
          <w:sz w:val="24"/>
          <w:szCs w:val="24"/>
        </w:rPr>
        <w:t>resistance</w:t>
      </w:r>
      <w:r w:rsidR="003351B0" w:rsidRPr="00AE141E">
        <w:rPr>
          <w:rFonts w:ascii="Times New Roman" w:hAnsi="Times New Roman" w:cs="Times New Roman"/>
          <w:sz w:val="24"/>
          <w:szCs w:val="24"/>
        </w:rPr>
        <w:t xml:space="preserve"> to </w:t>
      </w:r>
      <w:r w:rsidR="00A75706" w:rsidRPr="00AE141E">
        <w:rPr>
          <w:rFonts w:ascii="Times New Roman" w:hAnsi="Times New Roman" w:cs="Times New Roman"/>
          <w:sz w:val="24"/>
          <w:szCs w:val="24"/>
        </w:rPr>
        <w:t>European</w:t>
      </w:r>
      <w:r w:rsidR="00A31BCE" w:rsidRPr="00AE141E">
        <w:rPr>
          <w:rFonts w:ascii="Times New Roman" w:hAnsi="Times New Roman" w:cs="Times New Roman"/>
          <w:sz w:val="24"/>
          <w:szCs w:val="24"/>
        </w:rPr>
        <w:t xml:space="preserve"> </w:t>
      </w:r>
      <w:r w:rsidR="00B87948" w:rsidRPr="00AE141E">
        <w:rPr>
          <w:rFonts w:ascii="Times New Roman" w:hAnsi="Times New Roman" w:cs="Times New Roman"/>
          <w:sz w:val="24"/>
          <w:szCs w:val="24"/>
        </w:rPr>
        <w:t>colonialism</w:t>
      </w:r>
      <w:r w:rsidR="00A75706" w:rsidRPr="00AE141E">
        <w:rPr>
          <w:rFonts w:ascii="Times New Roman" w:hAnsi="Times New Roman" w:cs="Times New Roman"/>
          <w:sz w:val="24"/>
          <w:szCs w:val="24"/>
        </w:rPr>
        <w:t xml:space="preserve">. </w:t>
      </w:r>
      <w:r w:rsidR="00315CB8" w:rsidRPr="00AE141E">
        <w:rPr>
          <w:rFonts w:ascii="Times New Roman" w:hAnsi="Times New Roman" w:cs="Times New Roman"/>
          <w:sz w:val="24"/>
          <w:szCs w:val="24"/>
        </w:rPr>
        <w:t xml:space="preserve">The long history of </w:t>
      </w:r>
      <w:r w:rsidR="008C59F7" w:rsidRPr="00AE141E">
        <w:rPr>
          <w:rFonts w:ascii="Times New Roman" w:hAnsi="Times New Roman" w:cs="Times New Roman"/>
          <w:sz w:val="24"/>
          <w:szCs w:val="24"/>
        </w:rPr>
        <w:t>rebellions</w:t>
      </w:r>
      <w:r w:rsidR="005631DC" w:rsidRPr="00AE141E">
        <w:rPr>
          <w:rFonts w:ascii="Times New Roman" w:hAnsi="Times New Roman" w:cs="Times New Roman"/>
          <w:sz w:val="24"/>
          <w:szCs w:val="24"/>
        </w:rPr>
        <w:t xml:space="preserve"> by enslaved people</w:t>
      </w:r>
      <w:r w:rsidR="008C59F7" w:rsidRPr="00AE141E">
        <w:rPr>
          <w:rFonts w:ascii="Times New Roman" w:hAnsi="Times New Roman" w:cs="Times New Roman"/>
          <w:sz w:val="24"/>
          <w:szCs w:val="24"/>
        </w:rPr>
        <w:t xml:space="preserve"> and their </w:t>
      </w:r>
      <w:r w:rsidR="004D630E" w:rsidRPr="00AE141E">
        <w:rPr>
          <w:rFonts w:ascii="Times New Roman" w:hAnsi="Times New Roman" w:cs="Times New Roman"/>
          <w:sz w:val="24"/>
          <w:szCs w:val="24"/>
        </w:rPr>
        <w:t xml:space="preserve">crucial impact on the economic viability of the plantation system, and even the </w:t>
      </w:r>
      <w:r w:rsidR="00871CBB" w:rsidRPr="00AE141E">
        <w:rPr>
          <w:rFonts w:ascii="Times New Roman" w:hAnsi="Times New Roman" w:cs="Times New Roman"/>
          <w:sz w:val="24"/>
          <w:szCs w:val="24"/>
        </w:rPr>
        <w:t xml:space="preserve">history of White anti-slavery campaigns in the metropole, </w:t>
      </w:r>
      <w:r w:rsidR="003A0642" w:rsidRPr="00AE141E">
        <w:rPr>
          <w:rFonts w:ascii="Times New Roman" w:hAnsi="Times New Roman" w:cs="Times New Roman"/>
          <w:sz w:val="24"/>
          <w:szCs w:val="24"/>
        </w:rPr>
        <w:t>were</w:t>
      </w:r>
      <w:r w:rsidR="00871CBB" w:rsidRPr="00AE141E">
        <w:rPr>
          <w:rFonts w:ascii="Times New Roman" w:hAnsi="Times New Roman" w:cs="Times New Roman"/>
          <w:sz w:val="24"/>
          <w:szCs w:val="24"/>
        </w:rPr>
        <w:t xml:space="preserve"> </w:t>
      </w:r>
      <w:r w:rsidR="00940B2A" w:rsidRPr="00AE141E">
        <w:rPr>
          <w:rFonts w:ascii="Times New Roman" w:hAnsi="Times New Roman" w:cs="Times New Roman"/>
          <w:sz w:val="24"/>
          <w:szCs w:val="24"/>
        </w:rPr>
        <w:t>silenced by</w:t>
      </w:r>
      <w:r w:rsidR="00467477" w:rsidRPr="00AE141E">
        <w:rPr>
          <w:rFonts w:ascii="Times New Roman" w:hAnsi="Times New Roman" w:cs="Times New Roman"/>
          <w:sz w:val="24"/>
          <w:szCs w:val="24"/>
        </w:rPr>
        <w:t xml:space="preserve"> the</w:t>
      </w:r>
      <w:r w:rsidR="00102714" w:rsidRPr="00AE141E">
        <w:rPr>
          <w:rFonts w:ascii="Times New Roman" w:hAnsi="Times New Roman" w:cs="Times New Roman"/>
          <w:sz w:val="24"/>
          <w:szCs w:val="24"/>
        </w:rPr>
        <w:t xml:space="preserve"> student pack’s one-sentence </w:t>
      </w:r>
      <w:r w:rsidR="00102714" w:rsidRPr="00AE141E">
        <w:rPr>
          <w:rFonts w:ascii="Times New Roman" w:hAnsi="Times New Roman" w:cs="Times New Roman"/>
          <w:sz w:val="24"/>
          <w:szCs w:val="24"/>
        </w:rPr>
        <w:lastRenderedPageBreak/>
        <w:t xml:space="preserve">explanation for </w:t>
      </w:r>
      <w:r w:rsidR="00940B2A" w:rsidRPr="00AE141E">
        <w:rPr>
          <w:rFonts w:ascii="Times New Roman" w:hAnsi="Times New Roman" w:cs="Times New Roman"/>
          <w:sz w:val="24"/>
          <w:szCs w:val="24"/>
        </w:rPr>
        <w:t>abolition</w:t>
      </w:r>
      <w:r w:rsidR="00D6462E" w:rsidRPr="00AE141E">
        <w:rPr>
          <w:rFonts w:ascii="Times New Roman" w:hAnsi="Times New Roman" w:cs="Times New Roman"/>
          <w:sz w:val="24"/>
          <w:szCs w:val="24"/>
        </w:rPr>
        <w:t xml:space="preserve">: </w:t>
      </w:r>
      <w:r w:rsidR="00B67185" w:rsidRPr="00AE141E">
        <w:rPr>
          <w:rFonts w:ascii="Times New Roman" w:hAnsi="Times New Roman" w:cs="Times New Roman"/>
          <w:sz w:val="24"/>
          <w:szCs w:val="24"/>
        </w:rPr>
        <w:t>‘</w:t>
      </w:r>
      <w:r w:rsidR="00D6462E" w:rsidRPr="00AE141E">
        <w:rPr>
          <w:rFonts w:ascii="Times New Roman" w:hAnsi="Times New Roman" w:cs="Times New Roman"/>
          <w:sz w:val="24"/>
          <w:szCs w:val="24"/>
        </w:rPr>
        <w:t>t</w:t>
      </w:r>
      <w:r w:rsidR="00B67185" w:rsidRPr="00AE141E">
        <w:rPr>
          <w:rFonts w:ascii="Times New Roman" w:hAnsi="Times New Roman" w:cs="Times New Roman"/>
          <w:sz w:val="24"/>
          <w:szCs w:val="24"/>
        </w:rPr>
        <w:t xml:space="preserve">owards the end of the </w:t>
      </w:r>
      <w:r w:rsidR="00315CB8" w:rsidRPr="00AE141E">
        <w:rPr>
          <w:rFonts w:ascii="Times New Roman" w:hAnsi="Times New Roman" w:cs="Times New Roman"/>
          <w:sz w:val="24"/>
          <w:szCs w:val="24"/>
        </w:rPr>
        <w:t>eighteenth century</w:t>
      </w:r>
      <w:r w:rsidR="00940B2A" w:rsidRPr="00AE141E">
        <w:rPr>
          <w:rFonts w:ascii="Times New Roman" w:hAnsi="Times New Roman" w:cs="Times New Roman"/>
          <w:sz w:val="24"/>
          <w:szCs w:val="24"/>
        </w:rPr>
        <w:t xml:space="preserve"> people began to feel that the slave trade should be made illegal’.</w:t>
      </w:r>
      <w:r w:rsidR="00940B2A" w:rsidRPr="00AE141E">
        <w:rPr>
          <w:rStyle w:val="FootnoteReference"/>
          <w:rFonts w:ascii="Times New Roman" w:hAnsi="Times New Roman" w:cs="Times New Roman"/>
          <w:sz w:val="24"/>
          <w:szCs w:val="24"/>
        </w:rPr>
        <w:footnoteReference w:id="350"/>
      </w:r>
      <w:r w:rsidR="00733CD1" w:rsidRPr="00AE141E">
        <w:rPr>
          <w:rFonts w:ascii="Times New Roman" w:hAnsi="Times New Roman" w:cs="Times New Roman"/>
          <w:sz w:val="24"/>
          <w:szCs w:val="24"/>
        </w:rPr>
        <w:t xml:space="preserve"> </w:t>
      </w:r>
    </w:p>
    <w:p w14:paraId="10B5DEEC" w14:textId="393A1AD8" w:rsidR="005F34DA" w:rsidRPr="00AE141E" w:rsidRDefault="004F1A1A" w:rsidP="00AE141E">
      <w:pPr>
        <w:tabs>
          <w:tab w:val="left" w:pos="6730"/>
        </w:tabs>
        <w:spacing w:line="360" w:lineRule="auto"/>
        <w:rPr>
          <w:rFonts w:ascii="Times New Roman" w:hAnsi="Times New Roman" w:cs="Times New Roman"/>
          <w:sz w:val="24"/>
          <w:szCs w:val="24"/>
        </w:rPr>
      </w:pPr>
      <w:r w:rsidRPr="00AE141E">
        <w:rPr>
          <w:rFonts w:ascii="Times New Roman" w:hAnsi="Times New Roman" w:cs="Times New Roman"/>
          <w:sz w:val="24"/>
          <w:szCs w:val="24"/>
        </w:rPr>
        <w:t>By contrast</w:t>
      </w:r>
      <w:r w:rsidR="005F34DA" w:rsidRPr="00AE141E">
        <w:rPr>
          <w:rFonts w:ascii="Times New Roman" w:hAnsi="Times New Roman" w:cs="Times New Roman"/>
          <w:sz w:val="24"/>
          <w:szCs w:val="24"/>
        </w:rPr>
        <w:t>, WHCP</w:t>
      </w:r>
      <w:r w:rsidR="003313A4" w:rsidRPr="00AE141E">
        <w:rPr>
          <w:rFonts w:ascii="Times New Roman" w:hAnsi="Times New Roman" w:cs="Times New Roman"/>
          <w:sz w:val="24"/>
          <w:szCs w:val="24"/>
        </w:rPr>
        <w:t xml:space="preserve"> resources on India </w:t>
      </w:r>
      <w:r w:rsidR="00F45171" w:rsidRPr="00AE141E">
        <w:rPr>
          <w:rFonts w:ascii="Times New Roman" w:hAnsi="Times New Roman" w:cs="Times New Roman"/>
          <w:sz w:val="24"/>
          <w:szCs w:val="24"/>
        </w:rPr>
        <w:t>presented the country a</w:t>
      </w:r>
      <w:r w:rsidR="00BA4517" w:rsidRPr="00AE141E">
        <w:rPr>
          <w:rFonts w:ascii="Times New Roman" w:hAnsi="Times New Roman" w:cs="Times New Roman"/>
          <w:sz w:val="24"/>
          <w:szCs w:val="24"/>
        </w:rPr>
        <w:t xml:space="preserve">s a stage on which </w:t>
      </w:r>
      <w:r w:rsidR="009B466D" w:rsidRPr="00AE141E">
        <w:rPr>
          <w:rFonts w:ascii="Times New Roman" w:hAnsi="Times New Roman" w:cs="Times New Roman"/>
          <w:sz w:val="24"/>
          <w:szCs w:val="24"/>
        </w:rPr>
        <w:t xml:space="preserve">the British were the principal actors. The Project’s teaching packs </w:t>
      </w:r>
      <w:r w:rsidR="000E0F9A" w:rsidRPr="00AE141E">
        <w:rPr>
          <w:rFonts w:ascii="Times New Roman" w:hAnsi="Times New Roman" w:cs="Times New Roman"/>
          <w:sz w:val="24"/>
          <w:szCs w:val="24"/>
        </w:rPr>
        <w:t>examined India through the lens of colonial extraction</w:t>
      </w:r>
      <w:r w:rsidR="009831F2" w:rsidRPr="00AE141E">
        <w:rPr>
          <w:rFonts w:ascii="Times New Roman" w:hAnsi="Times New Roman" w:cs="Times New Roman"/>
          <w:sz w:val="24"/>
          <w:szCs w:val="24"/>
        </w:rPr>
        <w:t xml:space="preserve">, stressing the </w:t>
      </w:r>
      <w:r w:rsidR="006101A4" w:rsidRPr="00AE141E">
        <w:rPr>
          <w:rFonts w:ascii="Times New Roman" w:hAnsi="Times New Roman" w:cs="Times New Roman"/>
          <w:sz w:val="24"/>
          <w:szCs w:val="24"/>
        </w:rPr>
        <w:t xml:space="preserve">significance of Indian </w:t>
      </w:r>
      <w:r w:rsidR="00494B42" w:rsidRPr="00AE141E">
        <w:rPr>
          <w:rFonts w:ascii="Times New Roman" w:hAnsi="Times New Roman" w:cs="Times New Roman"/>
          <w:sz w:val="24"/>
          <w:szCs w:val="24"/>
        </w:rPr>
        <w:t xml:space="preserve">crops </w:t>
      </w:r>
      <w:r w:rsidR="003153AE" w:rsidRPr="00AE141E">
        <w:rPr>
          <w:rFonts w:ascii="Times New Roman" w:hAnsi="Times New Roman" w:cs="Times New Roman"/>
          <w:sz w:val="24"/>
          <w:szCs w:val="24"/>
        </w:rPr>
        <w:t xml:space="preserve">and labour to the British economy. </w:t>
      </w:r>
      <w:r w:rsidR="00CC5E24" w:rsidRPr="00AE141E">
        <w:rPr>
          <w:rFonts w:ascii="Times New Roman" w:hAnsi="Times New Roman" w:cs="Times New Roman"/>
          <w:sz w:val="24"/>
          <w:szCs w:val="24"/>
        </w:rPr>
        <w:t xml:space="preserve">The </w:t>
      </w:r>
      <w:r w:rsidR="00694DBD" w:rsidRPr="00AE141E">
        <w:rPr>
          <w:rFonts w:ascii="Times New Roman" w:hAnsi="Times New Roman" w:cs="Times New Roman"/>
          <w:sz w:val="24"/>
          <w:szCs w:val="24"/>
        </w:rPr>
        <w:t xml:space="preserve">apparent willingness of Indian labourers to ‘work for very low wages’ in the production of </w:t>
      </w:r>
      <w:r w:rsidR="00F12251" w:rsidRPr="00AE141E">
        <w:rPr>
          <w:rFonts w:ascii="Times New Roman" w:hAnsi="Times New Roman" w:cs="Times New Roman"/>
          <w:sz w:val="24"/>
          <w:szCs w:val="24"/>
        </w:rPr>
        <w:t xml:space="preserve">‘tea, jute, sugar and indigo’ was presented as a happy </w:t>
      </w:r>
      <w:r w:rsidR="002B5A3D" w:rsidRPr="00AE141E">
        <w:rPr>
          <w:rFonts w:ascii="Times New Roman" w:hAnsi="Times New Roman" w:cs="Times New Roman"/>
          <w:sz w:val="24"/>
          <w:szCs w:val="24"/>
        </w:rPr>
        <w:t>discovery</w:t>
      </w:r>
      <w:r w:rsidR="00056EDF" w:rsidRPr="00AE141E">
        <w:rPr>
          <w:rFonts w:ascii="Times New Roman" w:hAnsi="Times New Roman" w:cs="Times New Roman"/>
          <w:sz w:val="24"/>
          <w:szCs w:val="24"/>
        </w:rPr>
        <w:t xml:space="preserve"> </w:t>
      </w:r>
      <w:r w:rsidR="001C6B7E" w:rsidRPr="00AE141E">
        <w:rPr>
          <w:rFonts w:ascii="Times New Roman" w:hAnsi="Times New Roman" w:cs="Times New Roman"/>
          <w:sz w:val="24"/>
          <w:szCs w:val="24"/>
        </w:rPr>
        <w:t xml:space="preserve">made by British </w:t>
      </w:r>
      <w:r w:rsidR="002F4461" w:rsidRPr="00AE141E">
        <w:rPr>
          <w:rFonts w:ascii="Times New Roman" w:hAnsi="Times New Roman" w:cs="Times New Roman"/>
          <w:sz w:val="24"/>
          <w:szCs w:val="24"/>
        </w:rPr>
        <w:t>adventurers</w:t>
      </w:r>
      <w:r w:rsidR="00F12251" w:rsidRPr="00AE141E">
        <w:rPr>
          <w:rFonts w:ascii="Times New Roman" w:hAnsi="Times New Roman" w:cs="Times New Roman"/>
          <w:sz w:val="24"/>
          <w:szCs w:val="24"/>
        </w:rPr>
        <w:t>.</w:t>
      </w:r>
      <w:r w:rsidR="002F4461" w:rsidRPr="00AE141E">
        <w:rPr>
          <w:rStyle w:val="FootnoteReference"/>
          <w:rFonts w:ascii="Times New Roman" w:hAnsi="Times New Roman" w:cs="Times New Roman"/>
          <w:sz w:val="24"/>
          <w:szCs w:val="24"/>
        </w:rPr>
        <w:footnoteReference w:id="351"/>
      </w:r>
      <w:r w:rsidR="00F12251" w:rsidRPr="00AE141E">
        <w:rPr>
          <w:rFonts w:ascii="Times New Roman" w:hAnsi="Times New Roman" w:cs="Times New Roman"/>
          <w:sz w:val="24"/>
          <w:szCs w:val="24"/>
        </w:rPr>
        <w:t xml:space="preserve"> </w:t>
      </w:r>
      <w:r w:rsidR="0050222C" w:rsidRPr="00AE141E">
        <w:rPr>
          <w:rFonts w:ascii="Times New Roman" w:hAnsi="Times New Roman" w:cs="Times New Roman"/>
          <w:sz w:val="24"/>
          <w:szCs w:val="24"/>
        </w:rPr>
        <w:t>Any hint of coercion was absent from the text</w:t>
      </w:r>
      <w:r w:rsidR="000B44C6" w:rsidRPr="00AE141E">
        <w:rPr>
          <w:rFonts w:ascii="Times New Roman" w:hAnsi="Times New Roman" w:cs="Times New Roman"/>
          <w:sz w:val="24"/>
          <w:szCs w:val="24"/>
        </w:rPr>
        <w:t xml:space="preserve">. By </w:t>
      </w:r>
      <w:r w:rsidR="00C364CB" w:rsidRPr="00AE141E">
        <w:rPr>
          <w:rFonts w:ascii="Times New Roman" w:hAnsi="Times New Roman" w:cs="Times New Roman"/>
          <w:sz w:val="24"/>
          <w:szCs w:val="24"/>
        </w:rPr>
        <w:t>contrast</w:t>
      </w:r>
      <w:r w:rsidR="000B44C6" w:rsidRPr="00AE141E">
        <w:rPr>
          <w:rFonts w:ascii="Times New Roman" w:hAnsi="Times New Roman" w:cs="Times New Roman"/>
          <w:sz w:val="24"/>
          <w:szCs w:val="24"/>
        </w:rPr>
        <w:t xml:space="preserve">, </w:t>
      </w:r>
      <w:r w:rsidR="00556085" w:rsidRPr="00AE141E">
        <w:rPr>
          <w:rFonts w:ascii="Times New Roman" w:hAnsi="Times New Roman" w:cs="Times New Roman"/>
          <w:sz w:val="24"/>
          <w:szCs w:val="24"/>
        </w:rPr>
        <w:t xml:space="preserve">the </w:t>
      </w:r>
      <w:r w:rsidR="00A762F2" w:rsidRPr="00AE141E">
        <w:rPr>
          <w:rFonts w:ascii="Times New Roman" w:hAnsi="Times New Roman" w:cs="Times New Roman"/>
          <w:sz w:val="24"/>
          <w:szCs w:val="24"/>
        </w:rPr>
        <w:t>unpayable</w:t>
      </w:r>
      <w:r w:rsidR="00556085" w:rsidRPr="00AE141E">
        <w:rPr>
          <w:rFonts w:ascii="Times New Roman" w:hAnsi="Times New Roman" w:cs="Times New Roman"/>
          <w:sz w:val="24"/>
          <w:szCs w:val="24"/>
        </w:rPr>
        <w:t xml:space="preserve"> debts accrued by </w:t>
      </w:r>
      <w:r w:rsidR="00C364CB" w:rsidRPr="00AE141E">
        <w:rPr>
          <w:rFonts w:ascii="Times New Roman" w:hAnsi="Times New Roman" w:cs="Times New Roman"/>
          <w:sz w:val="24"/>
          <w:szCs w:val="24"/>
        </w:rPr>
        <w:t xml:space="preserve">peasants ‘persuade[d]’ by the British to grow indigo were </w:t>
      </w:r>
      <w:r w:rsidR="00C91F33" w:rsidRPr="00AE141E">
        <w:rPr>
          <w:rFonts w:ascii="Times New Roman" w:hAnsi="Times New Roman" w:cs="Times New Roman"/>
          <w:sz w:val="24"/>
          <w:szCs w:val="24"/>
        </w:rPr>
        <w:t xml:space="preserve">portrayed as an ‘unfortunate’ </w:t>
      </w:r>
      <w:r w:rsidR="003C76BE" w:rsidRPr="00AE141E">
        <w:rPr>
          <w:rFonts w:ascii="Times New Roman" w:hAnsi="Times New Roman" w:cs="Times New Roman"/>
          <w:sz w:val="24"/>
          <w:szCs w:val="24"/>
        </w:rPr>
        <w:t>accident</w:t>
      </w:r>
      <w:r w:rsidR="00286866" w:rsidRPr="00AE141E">
        <w:rPr>
          <w:rFonts w:ascii="Times New Roman" w:hAnsi="Times New Roman" w:cs="Times New Roman"/>
          <w:sz w:val="24"/>
          <w:szCs w:val="24"/>
        </w:rPr>
        <w:t>.</w:t>
      </w:r>
      <w:r w:rsidR="00963598" w:rsidRPr="00AE141E">
        <w:rPr>
          <w:rStyle w:val="FootnoteReference"/>
          <w:rFonts w:ascii="Times New Roman" w:hAnsi="Times New Roman" w:cs="Times New Roman"/>
          <w:sz w:val="24"/>
          <w:szCs w:val="24"/>
        </w:rPr>
        <w:footnoteReference w:id="352"/>
      </w:r>
      <w:r w:rsidR="000F124A" w:rsidRPr="00AE141E">
        <w:rPr>
          <w:rFonts w:ascii="Times New Roman" w:hAnsi="Times New Roman" w:cs="Times New Roman"/>
          <w:sz w:val="24"/>
          <w:szCs w:val="24"/>
        </w:rPr>
        <w:t xml:space="preserve"> </w:t>
      </w:r>
      <w:r w:rsidR="00B56888" w:rsidRPr="00AE141E">
        <w:rPr>
          <w:rFonts w:ascii="Times New Roman" w:hAnsi="Times New Roman" w:cs="Times New Roman"/>
          <w:sz w:val="24"/>
          <w:szCs w:val="24"/>
        </w:rPr>
        <w:t xml:space="preserve">The text </w:t>
      </w:r>
      <w:r w:rsidR="00A8402C" w:rsidRPr="00AE141E">
        <w:rPr>
          <w:rFonts w:ascii="Times New Roman" w:hAnsi="Times New Roman" w:cs="Times New Roman"/>
          <w:sz w:val="24"/>
          <w:szCs w:val="24"/>
        </w:rPr>
        <w:t xml:space="preserve">lauded the qualities of </w:t>
      </w:r>
      <w:r w:rsidR="00710B16" w:rsidRPr="00AE141E">
        <w:rPr>
          <w:rFonts w:ascii="Times New Roman" w:hAnsi="Times New Roman" w:cs="Times New Roman"/>
          <w:sz w:val="24"/>
          <w:szCs w:val="24"/>
        </w:rPr>
        <w:t>devotion</w:t>
      </w:r>
      <w:r w:rsidR="00A8402C" w:rsidRPr="00AE141E">
        <w:rPr>
          <w:rFonts w:ascii="Times New Roman" w:hAnsi="Times New Roman" w:cs="Times New Roman"/>
          <w:sz w:val="24"/>
          <w:szCs w:val="24"/>
        </w:rPr>
        <w:t xml:space="preserve"> and biddability amongst the colonised. </w:t>
      </w:r>
      <w:r w:rsidR="00404C49" w:rsidRPr="00AE141E">
        <w:rPr>
          <w:rFonts w:ascii="Times New Roman" w:hAnsi="Times New Roman" w:cs="Times New Roman"/>
          <w:sz w:val="24"/>
          <w:szCs w:val="24"/>
        </w:rPr>
        <w:t xml:space="preserve">The only mention of the </w:t>
      </w:r>
      <w:r w:rsidR="00AF0D76" w:rsidRPr="00AF0D76">
        <w:rPr>
          <w:rFonts w:ascii="Times New Roman" w:hAnsi="Times New Roman" w:cs="Times New Roman"/>
          <w:sz w:val="24"/>
          <w:szCs w:val="24"/>
        </w:rPr>
        <w:t xml:space="preserve">Indian Rebellion of 1857 </w:t>
      </w:r>
      <w:r w:rsidR="006F0493" w:rsidRPr="00AE141E">
        <w:rPr>
          <w:rFonts w:ascii="Times New Roman" w:hAnsi="Times New Roman" w:cs="Times New Roman"/>
          <w:sz w:val="24"/>
          <w:szCs w:val="24"/>
        </w:rPr>
        <w:t>(‘the Mutiny’) came in the form of a</w:t>
      </w:r>
      <w:r w:rsidR="00E12366" w:rsidRPr="00AE141E">
        <w:rPr>
          <w:rFonts w:ascii="Times New Roman" w:hAnsi="Times New Roman" w:cs="Times New Roman"/>
          <w:sz w:val="24"/>
          <w:szCs w:val="24"/>
        </w:rPr>
        <w:t xml:space="preserve"> short biography of the Indian soldier Sita Ram, who</w:t>
      </w:r>
      <w:r w:rsidR="00F216B4" w:rsidRPr="00AE141E">
        <w:rPr>
          <w:rFonts w:ascii="Times New Roman" w:hAnsi="Times New Roman" w:cs="Times New Roman"/>
          <w:sz w:val="24"/>
          <w:szCs w:val="24"/>
        </w:rPr>
        <w:t xml:space="preserve"> set himself apart from his peers by</w:t>
      </w:r>
      <w:r w:rsidR="00E12366" w:rsidRPr="00AE141E">
        <w:rPr>
          <w:rFonts w:ascii="Times New Roman" w:hAnsi="Times New Roman" w:cs="Times New Roman"/>
          <w:sz w:val="24"/>
          <w:szCs w:val="24"/>
        </w:rPr>
        <w:t xml:space="preserve"> ‘remain</w:t>
      </w:r>
      <w:r w:rsidR="00F216B4" w:rsidRPr="00AE141E">
        <w:rPr>
          <w:rFonts w:ascii="Times New Roman" w:hAnsi="Times New Roman" w:cs="Times New Roman"/>
          <w:sz w:val="24"/>
          <w:szCs w:val="24"/>
        </w:rPr>
        <w:t>[ing]</w:t>
      </w:r>
      <w:r w:rsidR="00E12366" w:rsidRPr="00AE141E">
        <w:rPr>
          <w:rFonts w:ascii="Times New Roman" w:hAnsi="Times New Roman" w:cs="Times New Roman"/>
          <w:sz w:val="24"/>
          <w:szCs w:val="24"/>
        </w:rPr>
        <w:t xml:space="preserve"> </w:t>
      </w:r>
      <w:r w:rsidR="00710B16" w:rsidRPr="00AE141E">
        <w:rPr>
          <w:rFonts w:ascii="Times New Roman" w:hAnsi="Times New Roman" w:cs="Times New Roman"/>
          <w:sz w:val="24"/>
          <w:szCs w:val="24"/>
        </w:rPr>
        <w:t xml:space="preserve">loyal to the </w:t>
      </w:r>
      <w:r w:rsidR="00E532A5" w:rsidRPr="00AE141E">
        <w:rPr>
          <w:rFonts w:ascii="Times New Roman" w:hAnsi="Times New Roman" w:cs="Times New Roman"/>
          <w:sz w:val="24"/>
          <w:szCs w:val="24"/>
        </w:rPr>
        <w:t xml:space="preserve">[East India] </w:t>
      </w:r>
      <w:r w:rsidR="00710B16" w:rsidRPr="00AE141E">
        <w:rPr>
          <w:rFonts w:ascii="Times New Roman" w:hAnsi="Times New Roman" w:cs="Times New Roman"/>
          <w:sz w:val="24"/>
          <w:szCs w:val="24"/>
        </w:rPr>
        <w:t>Company</w:t>
      </w:r>
      <w:r w:rsidR="00E532A5" w:rsidRPr="00AE141E">
        <w:rPr>
          <w:rFonts w:ascii="Times New Roman" w:hAnsi="Times New Roman" w:cs="Times New Roman"/>
          <w:sz w:val="24"/>
          <w:szCs w:val="24"/>
        </w:rPr>
        <w:t xml:space="preserve"> who had fed and employed him so long’.</w:t>
      </w:r>
      <w:r w:rsidR="00695071" w:rsidRPr="00AE141E">
        <w:rPr>
          <w:rStyle w:val="FootnoteReference"/>
          <w:rFonts w:ascii="Times New Roman" w:hAnsi="Times New Roman" w:cs="Times New Roman"/>
          <w:sz w:val="24"/>
          <w:szCs w:val="24"/>
        </w:rPr>
        <w:footnoteReference w:id="353"/>
      </w:r>
      <w:r w:rsidR="008D1034" w:rsidRPr="00AE141E">
        <w:rPr>
          <w:rFonts w:ascii="Times New Roman" w:hAnsi="Times New Roman" w:cs="Times New Roman"/>
          <w:sz w:val="24"/>
          <w:szCs w:val="24"/>
        </w:rPr>
        <w:t xml:space="preserve"> The use of the term ‘Mutiny’, common in British historical writing, </w:t>
      </w:r>
      <w:r w:rsidR="009C1758" w:rsidRPr="00AE141E">
        <w:rPr>
          <w:rFonts w:ascii="Times New Roman" w:hAnsi="Times New Roman" w:cs="Times New Roman"/>
          <w:sz w:val="24"/>
          <w:szCs w:val="24"/>
        </w:rPr>
        <w:t>was</w:t>
      </w:r>
      <w:r w:rsidR="008D1034" w:rsidRPr="00AE141E">
        <w:rPr>
          <w:rFonts w:ascii="Times New Roman" w:hAnsi="Times New Roman" w:cs="Times New Roman"/>
          <w:sz w:val="24"/>
          <w:szCs w:val="24"/>
        </w:rPr>
        <w:t xml:space="preserve"> of course laden with political meaning in and of itself. </w:t>
      </w:r>
      <w:r w:rsidR="002F5B73" w:rsidRPr="00AE141E">
        <w:rPr>
          <w:rFonts w:ascii="Times New Roman" w:hAnsi="Times New Roman" w:cs="Times New Roman"/>
          <w:sz w:val="24"/>
          <w:szCs w:val="24"/>
        </w:rPr>
        <w:t>To describe the events of</w:t>
      </w:r>
      <w:r w:rsidR="008A01AA" w:rsidRPr="00AE141E">
        <w:rPr>
          <w:rFonts w:ascii="Times New Roman" w:hAnsi="Times New Roman" w:cs="Times New Roman"/>
          <w:sz w:val="24"/>
          <w:szCs w:val="24"/>
        </w:rPr>
        <w:t xml:space="preserve"> 1857 </w:t>
      </w:r>
      <w:r w:rsidR="002F5B73" w:rsidRPr="00AE141E">
        <w:rPr>
          <w:rFonts w:ascii="Times New Roman" w:hAnsi="Times New Roman" w:cs="Times New Roman"/>
          <w:sz w:val="24"/>
          <w:szCs w:val="24"/>
        </w:rPr>
        <w:t xml:space="preserve">as a ‘mutiny’ is to present them </w:t>
      </w:r>
      <w:r w:rsidR="008A01AA" w:rsidRPr="00AE141E">
        <w:rPr>
          <w:rFonts w:ascii="Times New Roman" w:hAnsi="Times New Roman" w:cs="Times New Roman"/>
          <w:sz w:val="24"/>
          <w:szCs w:val="24"/>
        </w:rPr>
        <w:t>as</w:t>
      </w:r>
      <w:r w:rsidR="00E31606" w:rsidRPr="00AE141E">
        <w:rPr>
          <w:rFonts w:ascii="Times New Roman" w:hAnsi="Times New Roman" w:cs="Times New Roman"/>
          <w:sz w:val="24"/>
          <w:szCs w:val="24"/>
        </w:rPr>
        <w:t xml:space="preserve"> local and marginal in nature</w:t>
      </w:r>
      <w:r w:rsidR="002F5B73" w:rsidRPr="00AE141E">
        <w:rPr>
          <w:rFonts w:ascii="Times New Roman" w:hAnsi="Times New Roman" w:cs="Times New Roman"/>
          <w:sz w:val="24"/>
          <w:szCs w:val="24"/>
        </w:rPr>
        <w:t xml:space="preserve"> –</w:t>
      </w:r>
      <w:r w:rsidR="00E31606" w:rsidRPr="00AE141E">
        <w:rPr>
          <w:rFonts w:ascii="Times New Roman" w:hAnsi="Times New Roman" w:cs="Times New Roman"/>
          <w:sz w:val="24"/>
          <w:szCs w:val="24"/>
        </w:rPr>
        <w:t xml:space="preserve"> </w:t>
      </w:r>
      <w:r w:rsidR="008D1034" w:rsidRPr="00AE141E">
        <w:rPr>
          <w:rFonts w:ascii="Times New Roman" w:hAnsi="Times New Roman" w:cs="Times New Roman"/>
          <w:sz w:val="24"/>
          <w:szCs w:val="24"/>
        </w:rPr>
        <w:t>underplay</w:t>
      </w:r>
      <w:r w:rsidR="00E31606" w:rsidRPr="00AE141E">
        <w:rPr>
          <w:rFonts w:ascii="Times New Roman" w:hAnsi="Times New Roman" w:cs="Times New Roman"/>
          <w:sz w:val="24"/>
          <w:szCs w:val="24"/>
        </w:rPr>
        <w:t>ing</w:t>
      </w:r>
      <w:r w:rsidR="002F5B73" w:rsidRPr="00AE141E">
        <w:rPr>
          <w:rFonts w:ascii="Times New Roman" w:hAnsi="Times New Roman" w:cs="Times New Roman"/>
          <w:sz w:val="24"/>
          <w:szCs w:val="24"/>
        </w:rPr>
        <w:t xml:space="preserve"> </w:t>
      </w:r>
      <w:r w:rsidR="008D1034" w:rsidRPr="00AE141E">
        <w:rPr>
          <w:rFonts w:ascii="Times New Roman" w:hAnsi="Times New Roman" w:cs="Times New Roman"/>
          <w:sz w:val="24"/>
          <w:szCs w:val="24"/>
        </w:rPr>
        <w:t>the mass scale and organisation of rebellion against British rule</w:t>
      </w:r>
      <w:r w:rsidR="009C1758" w:rsidRPr="00AE141E">
        <w:rPr>
          <w:rFonts w:ascii="Times New Roman" w:hAnsi="Times New Roman" w:cs="Times New Roman"/>
          <w:sz w:val="24"/>
          <w:szCs w:val="24"/>
        </w:rPr>
        <w:t>.</w:t>
      </w:r>
      <w:r w:rsidR="003411F0" w:rsidRPr="00AE141E">
        <w:rPr>
          <w:rFonts w:ascii="Times New Roman" w:hAnsi="Times New Roman" w:cs="Times New Roman"/>
          <w:sz w:val="24"/>
          <w:szCs w:val="24"/>
        </w:rPr>
        <w:t xml:space="preserve"> Some contemporary texts </w:t>
      </w:r>
      <w:r w:rsidR="00A30052" w:rsidRPr="00AE141E">
        <w:rPr>
          <w:rFonts w:ascii="Times New Roman" w:hAnsi="Times New Roman" w:cs="Times New Roman"/>
          <w:sz w:val="24"/>
          <w:szCs w:val="24"/>
        </w:rPr>
        <w:t>recognised</w:t>
      </w:r>
      <w:r w:rsidR="003411F0" w:rsidRPr="00AE141E">
        <w:rPr>
          <w:rFonts w:ascii="Times New Roman" w:hAnsi="Times New Roman" w:cs="Times New Roman"/>
          <w:sz w:val="24"/>
          <w:szCs w:val="24"/>
        </w:rPr>
        <w:t xml:space="preserve"> the ideological work done by the term. Pamela Cardwell’s </w:t>
      </w:r>
      <w:r w:rsidR="003411F0" w:rsidRPr="00AE141E">
        <w:rPr>
          <w:rFonts w:ascii="Times New Roman" w:hAnsi="Times New Roman" w:cs="Times New Roman"/>
          <w:i/>
          <w:sz w:val="24"/>
          <w:szCs w:val="24"/>
        </w:rPr>
        <w:t>The Indian Mutiny</w:t>
      </w:r>
      <w:r w:rsidR="003411F0" w:rsidRPr="00AE141E">
        <w:rPr>
          <w:rFonts w:ascii="Times New Roman" w:hAnsi="Times New Roman" w:cs="Times New Roman"/>
          <w:sz w:val="24"/>
          <w:szCs w:val="24"/>
        </w:rPr>
        <w:t xml:space="preserve"> </w:t>
      </w:r>
      <w:r w:rsidR="00BC77B1" w:rsidRPr="00AE141E">
        <w:rPr>
          <w:rFonts w:ascii="Times New Roman" w:hAnsi="Times New Roman" w:cs="Times New Roman"/>
          <w:sz w:val="24"/>
          <w:szCs w:val="24"/>
        </w:rPr>
        <w:t>proffered</w:t>
      </w:r>
      <w:r w:rsidR="003411F0" w:rsidRPr="00AE141E">
        <w:rPr>
          <w:rFonts w:ascii="Times New Roman" w:hAnsi="Times New Roman" w:cs="Times New Roman"/>
          <w:sz w:val="24"/>
          <w:szCs w:val="24"/>
        </w:rPr>
        <w:t xml:space="preserve"> a liberal imperialist </w:t>
      </w:r>
      <w:r w:rsidR="00BC77B1" w:rsidRPr="00AE141E">
        <w:rPr>
          <w:rFonts w:ascii="Times New Roman" w:hAnsi="Times New Roman" w:cs="Times New Roman"/>
          <w:sz w:val="24"/>
          <w:szCs w:val="24"/>
        </w:rPr>
        <w:t xml:space="preserve">narrative in which the rebellion was presented as a </w:t>
      </w:r>
      <w:r w:rsidR="006719B7" w:rsidRPr="00AE141E">
        <w:rPr>
          <w:rFonts w:ascii="Times New Roman" w:hAnsi="Times New Roman" w:cs="Times New Roman"/>
          <w:sz w:val="24"/>
          <w:szCs w:val="24"/>
        </w:rPr>
        <w:t xml:space="preserve">bridge between the depredations of </w:t>
      </w:r>
      <w:r w:rsidR="003B36F3" w:rsidRPr="00AE141E">
        <w:rPr>
          <w:rFonts w:ascii="Times New Roman" w:hAnsi="Times New Roman" w:cs="Times New Roman"/>
          <w:sz w:val="24"/>
          <w:szCs w:val="24"/>
        </w:rPr>
        <w:t xml:space="preserve">‘John Company’ and the </w:t>
      </w:r>
      <w:r w:rsidR="005A3281" w:rsidRPr="00AE141E">
        <w:rPr>
          <w:rFonts w:ascii="Times New Roman" w:hAnsi="Times New Roman" w:cs="Times New Roman"/>
          <w:sz w:val="24"/>
          <w:szCs w:val="24"/>
        </w:rPr>
        <w:t>benevolent governance of the Raj.</w:t>
      </w:r>
      <w:r w:rsidR="00C36212" w:rsidRPr="00AE141E">
        <w:rPr>
          <w:rStyle w:val="FootnoteReference"/>
          <w:rFonts w:ascii="Times New Roman" w:hAnsi="Times New Roman" w:cs="Times New Roman"/>
          <w:sz w:val="24"/>
          <w:szCs w:val="24"/>
        </w:rPr>
        <w:footnoteReference w:id="354"/>
      </w:r>
      <w:r w:rsidR="005A3281" w:rsidRPr="00AE141E">
        <w:rPr>
          <w:rFonts w:ascii="Times New Roman" w:hAnsi="Times New Roman" w:cs="Times New Roman"/>
          <w:sz w:val="24"/>
          <w:szCs w:val="24"/>
        </w:rPr>
        <w:t xml:space="preserve"> She nevertheless </w:t>
      </w:r>
      <w:r w:rsidR="000E3331" w:rsidRPr="00AE141E">
        <w:rPr>
          <w:rFonts w:ascii="Times New Roman" w:hAnsi="Times New Roman" w:cs="Times New Roman"/>
          <w:sz w:val="24"/>
          <w:szCs w:val="24"/>
        </w:rPr>
        <w:t>acknowledged th</w:t>
      </w:r>
      <w:r w:rsidR="006F7D62" w:rsidRPr="00AE141E">
        <w:rPr>
          <w:rFonts w:ascii="Times New Roman" w:hAnsi="Times New Roman" w:cs="Times New Roman"/>
          <w:sz w:val="24"/>
          <w:szCs w:val="24"/>
        </w:rPr>
        <w:t>e dominant Indian historiographical perspective that these events</w:t>
      </w:r>
      <w:r w:rsidR="000E3331" w:rsidRPr="00AE141E">
        <w:rPr>
          <w:rFonts w:ascii="Times New Roman" w:hAnsi="Times New Roman" w:cs="Times New Roman"/>
          <w:sz w:val="24"/>
          <w:szCs w:val="24"/>
        </w:rPr>
        <w:t xml:space="preserve"> </w:t>
      </w:r>
      <w:r w:rsidR="006F7D62" w:rsidRPr="00AE141E">
        <w:rPr>
          <w:rFonts w:ascii="Times New Roman" w:hAnsi="Times New Roman" w:cs="Times New Roman"/>
          <w:sz w:val="24"/>
          <w:szCs w:val="24"/>
        </w:rPr>
        <w:t>‘</w:t>
      </w:r>
      <w:r w:rsidR="000E3331" w:rsidRPr="00AE141E">
        <w:rPr>
          <w:rFonts w:ascii="Times New Roman" w:hAnsi="Times New Roman" w:cs="Times New Roman"/>
          <w:sz w:val="24"/>
          <w:szCs w:val="24"/>
        </w:rPr>
        <w:t>did not represent a mutiny at all but were really part of India</w:t>
      </w:r>
      <w:r w:rsidR="005A6959">
        <w:rPr>
          <w:rFonts w:ascii="Times New Roman" w:hAnsi="Times New Roman" w:cs="Times New Roman"/>
          <w:sz w:val="24"/>
          <w:szCs w:val="24"/>
        </w:rPr>
        <w:t>’</w:t>
      </w:r>
      <w:r w:rsidR="000E3331" w:rsidRPr="00AE141E">
        <w:rPr>
          <w:rFonts w:ascii="Times New Roman" w:hAnsi="Times New Roman" w:cs="Times New Roman"/>
          <w:sz w:val="24"/>
          <w:szCs w:val="24"/>
        </w:rPr>
        <w:t>s struggle for independence</w:t>
      </w:r>
      <w:r w:rsidR="006F7D62" w:rsidRPr="00AE141E">
        <w:rPr>
          <w:rFonts w:ascii="Times New Roman" w:hAnsi="Times New Roman" w:cs="Times New Roman"/>
          <w:sz w:val="24"/>
          <w:szCs w:val="24"/>
        </w:rPr>
        <w:t>’</w:t>
      </w:r>
      <w:r w:rsidR="000E3331" w:rsidRPr="00AE141E">
        <w:rPr>
          <w:rFonts w:ascii="Times New Roman" w:hAnsi="Times New Roman" w:cs="Times New Roman"/>
          <w:sz w:val="24"/>
          <w:szCs w:val="24"/>
        </w:rPr>
        <w:t>.</w:t>
      </w:r>
    </w:p>
    <w:p w14:paraId="4396E770" w14:textId="1634401A" w:rsidR="00312977" w:rsidRPr="00AE141E" w:rsidRDefault="00B434B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w:t>
      </w:r>
      <w:r w:rsidR="00B724AF" w:rsidRPr="00AE141E">
        <w:rPr>
          <w:rFonts w:ascii="Times New Roman" w:hAnsi="Times New Roman" w:cs="Times New Roman"/>
          <w:sz w:val="24"/>
          <w:szCs w:val="24"/>
        </w:rPr>
        <w:t>he t</w:t>
      </w:r>
      <w:r w:rsidRPr="00AE141E">
        <w:rPr>
          <w:rFonts w:ascii="Times New Roman" w:hAnsi="Times New Roman" w:cs="Times New Roman"/>
          <w:sz w:val="24"/>
          <w:szCs w:val="24"/>
        </w:rPr>
        <w:t xml:space="preserve">reatment of </w:t>
      </w:r>
      <w:r w:rsidR="00F71C50" w:rsidRPr="00AE141E">
        <w:rPr>
          <w:rFonts w:ascii="Times New Roman" w:hAnsi="Times New Roman" w:cs="Times New Roman"/>
          <w:sz w:val="24"/>
          <w:szCs w:val="24"/>
        </w:rPr>
        <w:t>the colonised and of colonised landscapes</w:t>
      </w:r>
      <w:r w:rsidRPr="00AE141E">
        <w:rPr>
          <w:rFonts w:ascii="Times New Roman" w:hAnsi="Times New Roman" w:cs="Times New Roman"/>
          <w:sz w:val="24"/>
          <w:szCs w:val="24"/>
        </w:rPr>
        <w:t xml:space="preserve"> as objects</w:t>
      </w:r>
      <w:r w:rsidR="00D73C70" w:rsidRPr="00AE141E">
        <w:rPr>
          <w:rFonts w:ascii="Times New Roman" w:hAnsi="Times New Roman" w:cs="Times New Roman"/>
          <w:sz w:val="24"/>
          <w:szCs w:val="24"/>
        </w:rPr>
        <w:t xml:space="preserve">, </w:t>
      </w:r>
      <w:r w:rsidR="00F71C50" w:rsidRPr="00AE141E">
        <w:rPr>
          <w:rFonts w:ascii="Times New Roman" w:hAnsi="Times New Roman" w:cs="Times New Roman"/>
          <w:sz w:val="24"/>
          <w:szCs w:val="24"/>
        </w:rPr>
        <w:t xml:space="preserve">waiting </w:t>
      </w:r>
      <w:r w:rsidR="00D73C70" w:rsidRPr="00AE141E">
        <w:rPr>
          <w:rFonts w:ascii="Times New Roman" w:hAnsi="Times New Roman" w:cs="Times New Roman"/>
          <w:sz w:val="24"/>
          <w:szCs w:val="24"/>
        </w:rPr>
        <w:t>to be acted on by the British</w:t>
      </w:r>
      <w:r w:rsidR="00F71C50" w:rsidRPr="00AE141E">
        <w:rPr>
          <w:rFonts w:ascii="Times New Roman" w:hAnsi="Times New Roman" w:cs="Times New Roman"/>
          <w:sz w:val="24"/>
          <w:szCs w:val="24"/>
        </w:rPr>
        <w:t xml:space="preserve">, </w:t>
      </w:r>
      <w:r w:rsidR="006D50D5" w:rsidRPr="00AE141E">
        <w:rPr>
          <w:rFonts w:ascii="Times New Roman" w:hAnsi="Times New Roman" w:cs="Times New Roman"/>
          <w:sz w:val="24"/>
          <w:szCs w:val="24"/>
        </w:rPr>
        <w:t xml:space="preserve">was particularly prominent in the short exercises recommended to pupils pursuing the course. </w:t>
      </w:r>
      <w:r w:rsidR="00830B7D">
        <w:rPr>
          <w:rFonts w:ascii="Times New Roman" w:hAnsi="Times New Roman" w:cs="Times New Roman"/>
          <w:sz w:val="24"/>
          <w:szCs w:val="24"/>
        </w:rPr>
        <w:t>S</w:t>
      </w:r>
      <w:r w:rsidR="00F8055A" w:rsidRPr="00AE141E">
        <w:rPr>
          <w:rFonts w:ascii="Times New Roman" w:hAnsi="Times New Roman" w:cs="Times New Roman"/>
          <w:sz w:val="24"/>
          <w:szCs w:val="24"/>
        </w:rPr>
        <w:t>tudent</w:t>
      </w:r>
      <w:r w:rsidR="00830B7D">
        <w:rPr>
          <w:rFonts w:ascii="Times New Roman" w:hAnsi="Times New Roman" w:cs="Times New Roman"/>
          <w:sz w:val="24"/>
          <w:szCs w:val="24"/>
        </w:rPr>
        <w:t xml:space="preserve">s were invited </w:t>
      </w:r>
      <w:r w:rsidR="00F8055A" w:rsidRPr="00AE141E">
        <w:rPr>
          <w:rFonts w:ascii="Times New Roman" w:hAnsi="Times New Roman" w:cs="Times New Roman"/>
          <w:sz w:val="24"/>
          <w:szCs w:val="24"/>
        </w:rPr>
        <w:t>to</w:t>
      </w:r>
      <w:r w:rsidR="00E03126" w:rsidRPr="00AE141E">
        <w:rPr>
          <w:rFonts w:ascii="Times New Roman" w:hAnsi="Times New Roman" w:cs="Times New Roman"/>
          <w:sz w:val="24"/>
          <w:szCs w:val="24"/>
        </w:rPr>
        <w:t xml:space="preserve"> </w:t>
      </w:r>
      <w:r w:rsidR="00312977" w:rsidRPr="00AE141E">
        <w:rPr>
          <w:rFonts w:ascii="Times New Roman" w:hAnsi="Times New Roman" w:cs="Times New Roman"/>
          <w:sz w:val="24"/>
          <w:szCs w:val="24"/>
        </w:rPr>
        <w:t xml:space="preserve">draw a picture of an </w:t>
      </w:r>
      <w:r w:rsidR="0011416B">
        <w:rPr>
          <w:rFonts w:ascii="Times New Roman" w:hAnsi="Times New Roman" w:cs="Times New Roman"/>
          <w:sz w:val="24"/>
          <w:szCs w:val="24"/>
        </w:rPr>
        <w:t>eighteenth</w:t>
      </w:r>
      <w:r w:rsidR="00E03126" w:rsidRPr="00AE141E">
        <w:rPr>
          <w:rFonts w:ascii="Times New Roman" w:hAnsi="Times New Roman" w:cs="Times New Roman"/>
          <w:sz w:val="24"/>
          <w:szCs w:val="24"/>
        </w:rPr>
        <w:t xml:space="preserve"> </w:t>
      </w:r>
      <w:r w:rsidR="00312977" w:rsidRPr="00AE141E">
        <w:rPr>
          <w:rFonts w:ascii="Times New Roman" w:hAnsi="Times New Roman" w:cs="Times New Roman"/>
          <w:sz w:val="24"/>
          <w:szCs w:val="24"/>
        </w:rPr>
        <w:t>century</w:t>
      </w:r>
      <w:r w:rsidR="0011416B">
        <w:rPr>
          <w:rFonts w:ascii="Times New Roman" w:hAnsi="Times New Roman" w:cs="Times New Roman"/>
          <w:sz w:val="24"/>
          <w:szCs w:val="24"/>
        </w:rPr>
        <w:t xml:space="preserve"> ‘</w:t>
      </w:r>
      <w:r w:rsidR="00312977" w:rsidRPr="00AE141E">
        <w:rPr>
          <w:rFonts w:ascii="Times New Roman" w:hAnsi="Times New Roman" w:cs="Times New Roman"/>
          <w:sz w:val="24"/>
          <w:szCs w:val="24"/>
        </w:rPr>
        <w:t>gentleman</w:t>
      </w:r>
      <w:r w:rsidR="0011416B">
        <w:rPr>
          <w:rFonts w:ascii="Times New Roman" w:hAnsi="Times New Roman" w:cs="Times New Roman"/>
          <w:sz w:val="24"/>
          <w:szCs w:val="24"/>
        </w:rPr>
        <w:t>’</w:t>
      </w:r>
      <w:r w:rsidR="00186605">
        <w:rPr>
          <w:rFonts w:ascii="Times New Roman" w:hAnsi="Times New Roman" w:cs="Times New Roman"/>
          <w:sz w:val="24"/>
          <w:szCs w:val="24"/>
        </w:rPr>
        <w:t>, accompanied by a ‘</w:t>
      </w:r>
      <w:r w:rsidR="00312977" w:rsidRPr="00AE141E">
        <w:rPr>
          <w:rFonts w:ascii="Times New Roman" w:hAnsi="Times New Roman" w:cs="Times New Roman"/>
          <w:sz w:val="24"/>
          <w:szCs w:val="24"/>
        </w:rPr>
        <w:t>list of all the Indian servants he might have</w:t>
      </w:r>
      <w:r w:rsidR="00E03126" w:rsidRPr="00AE141E">
        <w:rPr>
          <w:rFonts w:ascii="Times New Roman" w:hAnsi="Times New Roman" w:cs="Times New Roman"/>
          <w:sz w:val="24"/>
          <w:szCs w:val="24"/>
        </w:rPr>
        <w:t>’</w:t>
      </w:r>
      <w:r w:rsidR="00871A82">
        <w:rPr>
          <w:rFonts w:ascii="Times New Roman" w:hAnsi="Times New Roman" w:cs="Times New Roman"/>
          <w:sz w:val="24"/>
          <w:szCs w:val="24"/>
        </w:rPr>
        <w:t xml:space="preserve">. </w:t>
      </w:r>
      <w:r w:rsidR="00942B1D">
        <w:rPr>
          <w:rFonts w:ascii="Times New Roman" w:hAnsi="Times New Roman" w:cs="Times New Roman"/>
          <w:sz w:val="24"/>
          <w:szCs w:val="24"/>
        </w:rPr>
        <w:t>They</w:t>
      </w:r>
      <w:r w:rsidR="00871A82">
        <w:rPr>
          <w:rFonts w:ascii="Times New Roman" w:hAnsi="Times New Roman" w:cs="Times New Roman"/>
          <w:sz w:val="24"/>
          <w:szCs w:val="24"/>
        </w:rPr>
        <w:t xml:space="preserve"> were also asked </w:t>
      </w:r>
      <w:r w:rsidR="0067018F" w:rsidRPr="00AE141E">
        <w:rPr>
          <w:rFonts w:ascii="Times New Roman" w:hAnsi="Times New Roman" w:cs="Times New Roman"/>
          <w:sz w:val="24"/>
          <w:szCs w:val="24"/>
        </w:rPr>
        <w:t>to consider whether they believed it ‘a good idea to keep people like the Caribs on a reserve’.</w:t>
      </w:r>
      <w:r w:rsidR="00E2057C" w:rsidRPr="00AE141E">
        <w:rPr>
          <w:rStyle w:val="FootnoteReference"/>
          <w:rFonts w:ascii="Times New Roman" w:hAnsi="Times New Roman" w:cs="Times New Roman"/>
          <w:sz w:val="24"/>
          <w:szCs w:val="24"/>
        </w:rPr>
        <w:footnoteReference w:id="355"/>
      </w:r>
      <w:r w:rsidR="0067018F" w:rsidRPr="00AE141E">
        <w:rPr>
          <w:rFonts w:ascii="Times New Roman" w:hAnsi="Times New Roman" w:cs="Times New Roman"/>
          <w:sz w:val="24"/>
          <w:szCs w:val="24"/>
        </w:rPr>
        <w:t xml:space="preserve"> </w:t>
      </w:r>
      <w:r w:rsidR="000A2560" w:rsidRPr="00AE141E">
        <w:rPr>
          <w:rFonts w:ascii="Times New Roman" w:hAnsi="Times New Roman" w:cs="Times New Roman"/>
          <w:sz w:val="24"/>
          <w:szCs w:val="24"/>
        </w:rPr>
        <w:t>Perhaps</w:t>
      </w:r>
      <w:r w:rsidR="00FE16BA" w:rsidRPr="00AE141E">
        <w:rPr>
          <w:rFonts w:ascii="Times New Roman" w:hAnsi="Times New Roman" w:cs="Times New Roman"/>
          <w:sz w:val="24"/>
          <w:szCs w:val="24"/>
        </w:rPr>
        <w:t xml:space="preserve"> more disturbingly, </w:t>
      </w:r>
      <w:r w:rsidR="000A2560" w:rsidRPr="00AE141E">
        <w:rPr>
          <w:rFonts w:ascii="Times New Roman" w:hAnsi="Times New Roman" w:cs="Times New Roman"/>
          <w:sz w:val="24"/>
          <w:szCs w:val="24"/>
        </w:rPr>
        <w:t>other</w:t>
      </w:r>
      <w:r w:rsidR="00942B1D">
        <w:rPr>
          <w:rFonts w:ascii="Times New Roman" w:hAnsi="Times New Roman" w:cs="Times New Roman"/>
          <w:sz w:val="24"/>
          <w:szCs w:val="24"/>
        </w:rPr>
        <w:t xml:space="preserve"> exercises</w:t>
      </w:r>
      <w:r w:rsidR="000A2560" w:rsidRPr="00AE141E">
        <w:rPr>
          <w:rFonts w:ascii="Times New Roman" w:hAnsi="Times New Roman" w:cs="Times New Roman"/>
          <w:sz w:val="24"/>
          <w:szCs w:val="24"/>
        </w:rPr>
        <w:t xml:space="preserve"> appeared</w:t>
      </w:r>
      <w:r w:rsidR="00FE16BA" w:rsidRPr="00AE141E">
        <w:rPr>
          <w:rFonts w:ascii="Times New Roman" w:hAnsi="Times New Roman" w:cs="Times New Roman"/>
          <w:sz w:val="24"/>
          <w:szCs w:val="24"/>
        </w:rPr>
        <w:t xml:space="preserve"> to transpose a similar approach onto the contemporary world. Students were asked to </w:t>
      </w:r>
      <w:r w:rsidR="00956F03" w:rsidRPr="00AE141E">
        <w:rPr>
          <w:rFonts w:ascii="Times New Roman" w:hAnsi="Times New Roman" w:cs="Times New Roman"/>
          <w:sz w:val="24"/>
          <w:szCs w:val="24"/>
        </w:rPr>
        <w:t>consider the prevalence of famine in India (a fact treated as a purely natural catastrophe, rather than one linked to the extraction o</w:t>
      </w:r>
      <w:r w:rsidR="00020F74" w:rsidRPr="00AE141E">
        <w:rPr>
          <w:rFonts w:ascii="Times New Roman" w:hAnsi="Times New Roman" w:cs="Times New Roman"/>
          <w:sz w:val="24"/>
          <w:szCs w:val="24"/>
        </w:rPr>
        <w:t xml:space="preserve">r export of staple foods) and to </w:t>
      </w:r>
      <w:r w:rsidR="006369C2" w:rsidRPr="00AE141E">
        <w:rPr>
          <w:rFonts w:ascii="Times New Roman" w:hAnsi="Times New Roman" w:cs="Times New Roman"/>
          <w:sz w:val="24"/>
          <w:szCs w:val="24"/>
        </w:rPr>
        <w:t>devise possible solutions</w:t>
      </w:r>
      <w:r w:rsidR="003C7453" w:rsidRPr="00AE141E">
        <w:rPr>
          <w:rFonts w:ascii="Times New Roman" w:hAnsi="Times New Roman" w:cs="Times New Roman"/>
          <w:sz w:val="24"/>
          <w:szCs w:val="24"/>
        </w:rPr>
        <w:t>, including the implementation of population control measures.</w:t>
      </w:r>
      <w:r w:rsidR="00A63E50" w:rsidRPr="00AE141E">
        <w:rPr>
          <w:rStyle w:val="FootnoteReference"/>
          <w:rFonts w:ascii="Times New Roman" w:hAnsi="Times New Roman" w:cs="Times New Roman"/>
          <w:sz w:val="24"/>
          <w:szCs w:val="24"/>
        </w:rPr>
        <w:footnoteReference w:id="356"/>
      </w:r>
      <w:r w:rsidR="00803711" w:rsidRPr="00AE141E">
        <w:rPr>
          <w:rFonts w:ascii="Times New Roman" w:hAnsi="Times New Roman" w:cs="Times New Roman"/>
          <w:sz w:val="24"/>
          <w:szCs w:val="24"/>
        </w:rPr>
        <w:t xml:space="preserve"> This neo-Malthusian approach to environmental politics </w:t>
      </w:r>
      <w:r w:rsidR="00AD6CD0" w:rsidRPr="00AE141E">
        <w:rPr>
          <w:rFonts w:ascii="Times New Roman" w:hAnsi="Times New Roman" w:cs="Times New Roman"/>
          <w:sz w:val="24"/>
          <w:szCs w:val="24"/>
        </w:rPr>
        <w:t>has been used to justify th</w:t>
      </w:r>
      <w:r w:rsidR="00A2559D" w:rsidRPr="00AE141E">
        <w:rPr>
          <w:rFonts w:ascii="Times New Roman" w:hAnsi="Times New Roman" w:cs="Times New Roman"/>
          <w:sz w:val="24"/>
          <w:szCs w:val="24"/>
        </w:rPr>
        <w:t>e violence of forced sterilisation campaigns from the Indian subcontinent to North America.</w:t>
      </w:r>
      <w:r w:rsidR="00C57952" w:rsidRPr="00AE141E">
        <w:rPr>
          <w:rStyle w:val="FootnoteReference"/>
          <w:rFonts w:ascii="Times New Roman" w:hAnsi="Times New Roman" w:cs="Times New Roman"/>
          <w:sz w:val="24"/>
          <w:szCs w:val="24"/>
        </w:rPr>
        <w:footnoteReference w:id="357"/>
      </w:r>
    </w:p>
    <w:p w14:paraId="40FF6837" w14:textId="2D5A3818" w:rsidR="00EC2CC6" w:rsidRPr="00AE141E" w:rsidRDefault="0090451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ILEA appears to have pitched these resources as an initiative well-suited to the needs </w:t>
      </w:r>
      <w:r w:rsidR="006A1781" w:rsidRPr="00AE141E">
        <w:rPr>
          <w:rFonts w:ascii="Times New Roman" w:hAnsi="Times New Roman" w:cs="Times New Roman"/>
          <w:sz w:val="24"/>
          <w:szCs w:val="24"/>
        </w:rPr>
        <w:t>of racially</w:t>
      </w:r>
      <w:r w:rsidR="000510F8" w:rsidRPr="00AE141E">
        <w:rPr>
          <w:rFonts w:ascii="Times New Roman" w:hAnsi="Times New Roman" w:cs="Times New Roman"/>
          <w:sz w:val="24"/>
          <w:szCs w:val="24"/>
        </w:rPr>
        <w:t xml:space="preserve"> and culturally </w:t>
      </w:r>
      <w:r w:rsidRPr="00AE141E">
        <w:rPr>
          <w:rFonts w:ascii="Times New Roman" w:hAnsi="Times New Roman" w:cs="Times New Roman"/>
          <w:sz w:val="24"/>
          <w:szCs w:val="24"/>
        </w:rPr>
        <w:t>diverse student bodies.</w:t>
      </w:r>
      <w:r w:rsidRPr="00AE141E">
        <w:rPr>
          <w:rStyle w:val="FootnoteReference"/>
          <w:rFonts w:ascii="Times New Roman" w:hAnsi="Times New Roman" w:cs="Times New Roman"/>
          <w:sz w:val="24"/>
          <w:szCs w:val="24"/>
        </w:rPr>
        <w:footnoteReference w:id="358"/>
      </w:r>
      <w:r w:rsidR="00D33647" w:rsidRPr="00AE141E">
        <w:rPr>
          <w:rFonts w:ascii="Times New Roman" w:hAnsi="Times New Roman" w:cs="Times New Roman"/>
          <w:sz w:val="24"/>
          <w:szCs w:val="24"/>
        </w:rPr>
        <w:t xml:space="preserve"> </w:t>
      </w:r>
      <w:r w:rsidR="00357173" w:rsidRPr="00AE141E">
        <w:rPr>
          <w:rFonts w:ascii="Times New Roman" w:hAnsi="Times New Roman" w:cs="Times New Roman"/>
          <w:i/>
          <w:sz w:val="24"/>
          <w:szCs w:val="24"/>
        </w:rPr>
        <w:t xml:space="preserve">Clio, </w:t>
      </w:r>
      <w:r w:rsidR="00357173" w:rsidRPr="00AE141E">
        <w:rPr>
          <w:rFonts w:ascii="Times New Roman" w:hAnsi="Times New Roman" w:cs="Times New Roman"/>
          <w:sz w:val="24"/>
          <w:szCs w:val="24"/>
        </w:rPr>
        <w:t>the official</w:t>
      </w:r>
      <w:r w:rsidR="00357173" w:rsidRPr="00AE141E">
        <w:rPr>
          <w:rFonts w:ascii="Times New Roman" w:hAnsi="Times New Roman" w:cs="Times New Roman"/>
          <w:i/>
          <w:sz w:val="24"/>
          <w:szCs w:val="24"/>
        </w:rPr>
        <w:t xml:space="preserve"> </w:t>
      </w:r>
      <w:r w:rsidR="00357173" w:rsidRPr="00AE141E">
        <w:rPr>
          <w:rFonts w:ascii="Times New Roman" w:hAnsi="Times New Roman" w:cs="Times New Roman"/>
          <w:sz w:val="24"/>
          <w:szCs w:val="24"/>
        </w:rPr>
        <w:t xml:space="preserve">newsletter of the ILEA History and Social Sciences Teachers’ Centre, </w:t>
      </w:r>
      <w:r w:rsidR="00423A71" w:rsidRPr="00AE141E">
        <w:rPr>
          <w:rFonts w:ascii="Times New Roman" w:hAnsi="Times New Roman" w:cs="Times New Roman"/>
          <w:sz w:val="24"/>
          <w:szCs w:val="24"/>
        </w:rPr>
        <w:t>appealed to teachers to recognise the practical realit</w:t>
      </w:r>
      <w:r w:rsidR="00712C1B" w:rsidRPr="00AE141E">
        <w:rPr>
          <w:rFonts w:ascii="Times New Roman" w:hAnsi="Times New Roman" w:cs="Times New Roman"/>
          <w:sz w:val="24"/>
          <w:szCs w:val="24"/>
        </w:rPr>
        <w:t xml:space="preserve">ies of London schooling in the 1970s: </w:t>
      </w:r>
      <w:r w:rsidR="001F3B1E" w:rsidRPr="00AE141E">
        <w:rPr>
          <w:rFonts w:ascii="Times New Roman" w:hAnsi="Times New Roman" w:cs="Times New Roman"/>
          <w:sz w:val="24"/>
          <w:szCs w:val="24"/>
        </w:rPr>
        <w:t>the world was shrinking, and indeed ‘</w:t>
      </w:r>
      <w:r w:rsidR="006A1781" w:rsidRPr="00AE141E">
        <w:rPr>
          <w:rFonts w:ascii="Times New Roman" w:hAnsi="Times New Roman" w:cs="Times New Roman"/>
          <w:sz w:val="24"/>
          <w:szCs w:val="24"/>
        </w:rPr>
        <w:t>has come into our classrooms and is sitting down facing us</w:t>
      </w:r>
      <w:r w:rsidR="001F3B1E" w:rsidRPr="00AE141E">
        <w:rPr>
          <w:rFonts w:ascii="Times New Roman" w:hAnsi="Times New Roman" w:cs="Times New Roman"/>
          <w:sz w:val="24"/>
          <w:szCs w:val="24"/>
        </w:rPr>
        <w:t>’.</w:t>
      </w:r>
      <w:r w:rsidR="0066553D" w:rsidRPr="00AE141E">
        <w:rPr>
          <w:rStyle w:val="FootnoteReference"/>
          <w:rFonts w:ascii="Times New Roman" w:hAnsi="Times New Roman" w:cs="Times New Roman"/>
          <w:sz w:val="24"/>
          <w:szCs w:val="24"/>
        </w:rPr>
        <w:footnoteReference w:id="359"/>
      </w:r>
      <w:r w:rsidR="00A85B16" w:rsidRPr="00AE141E">
        <w:rPr>
          <w:rFonts w:ascii="Times New Roman" w:hAnsi="Times New Roman" w:cs="Times New Roman"/>
          <w:sz w:val="24"/>
          <w:szCs w:val="24"/>
        </w:rPr>
        <w:t xml:space="preserve"> Thus,</w:t>
      </w:r>
      <w:r w:rsidR="006A1781" w:rsidRPr="00AE141E">
        <w:rPr>
          <w:rFonts w:ascii="Times New Roman" w:hAnsi="Times New Roman" w:cs="Times New Roman"/>
          <w:sz w:val="24"/>
          <w:szCs w:val="24"/>
        </w:rPr>
        <w:t xml:space="preserve"> it </w:t>
      </w:r>
      <w:r w:rsidR="00A85B16" w:rsidRPr="00AE141E">
        <w:rPr>
          <w:rFonts w:ascii="Times New Roman" w:hAnsi="Times New Roman" w:cs="Times New Roman"/>
          <w:sz w:val="24"/>
          <w:szCs w:val="24"/>
        </w:rPr>
        <w:t>was</w:t>
      </w:r>
      <w:r w:rsidR="006A1781" w:rsidRPr="00AE141E">
        <w:rPr>
          <w:rFonts w:ascii="Times New Roman" w:hAnsi="Times New Roman" w:cs="Times New Roman"/>
          <w:sz w:val="24"/>
          <w:szCs w:val="24"/>
        </w:rPr>
        <w:t xml:space="preserve"> reasonable to assume that </w:t>
      </w:r>
      <w:r w:rsidR="00A85B16" w:rsidRPr="00AE141E">
        <w:rPr>
          <w:rFonts w:ascii="Times New Roman" w:hAnsi="Times New Roman" w:cs="Times New Roman"/>
          <w:sz w:val="24"/>
          <w:szCs w:val="24"/>
        </w:rPr>
        <w:t>‘</w:t>
      </w:r>
      <w:r w:rsidR="006A1781" w:rsidRPr="00AE141E">
        <w:rPr>
          <w:rFonts w:ascii="Times New Roman" w:hAnsi="Times New Roman" w:cs="Times New Roman"/>
          <w:sz w:val="24"/>
          <w:szCs w:val="24"/>
        </w:rPr>
        <w:t>pupils will be introduced at some point in their school career to the history of sone non-European peoples and cultures</w:t>
      </w:r>
      <w:r w:rsidR="00A85B16" w:rsidRPr="00AE141E">
        <w:rPr>
          <w:rFonts w:ascii="Times New Roman" w:hAnsi="Times New Roman" w:cs="Times New Roman"/>
          <w:sz w:val="24"/>
          <w:szCs w:val="24"/>
        </w:rPr>
        <w:t>’</w:t>
      </w:r>
      <w:r w:rsidR="006A1781" w:rsidRPr="00AE141E">
        <w:rPr>
          <w:rFonts w:ascii="Times New Roman" w:hAnsi="Times New Roman" w:cs="Times New Roman"/>
          <w:sz w:val="24"/>
          <w:szCs w:val="24"/>
        </w:rPr>
        <w:t>.</w:t>
      </w:r>
      <w:r w:rsidR="00A85B16" w:rsidRPr="00AE141E">
        <w:rPr>
          <w:rFonts w:ascii="Times New Roman" w:hAnsi="Times New Roman" w:cs="Times New Roman"/>
          <w:sz w:val="24"/>
          <w:szCs w:val="24"/>
        </w:rPr>
        <w:t xml:space="preserve"> It was only logical that this education be formalised</w:t>
      </w:r>
      <w:r w:rsidR="00F75D46" w:rsidRPr="00AE141E">
        <w:rPr>
          <w:rFonts w:ascii="Times New Roman" w:hAnsi="Times New Roman" w:cs="Times New Roman"/>
          <w:sz w:val="24"/>
          <w:szCs w:val="24"/>
        </w:rPr>
        <w:t>.</w:t>
      </w:r>
      <w:r w:rsidR="00B80C7C" w:rsidRPr="00AE141E">
        <w:rPr>
          <w:rFonts w:ascii="Times New Roman" w:hAnsi="Times New Roman" w:cs="Times New Roman"/>
          <w:sz w:val="24"/>
          <w:szCs w:val="24"/>
        </w:rPr>
        <w:t xml:space="preserve"> </w:t>
      </w:r>
      <w:r w:rsidR="0053006D" w:rsidRPr="00AE141E">
        <w:rPr>
          <w:rFonts w:ascii="Times New Roman" w:hAnsi="Times New Roman" w:cs="Times New Roman"/>
          <w:sz w:val="24"/>
          <w:szCs w:val="24"/>
        </w:rPr>
        <w:t>The teachers’ guide accompanying the</w:t>
      </w:r>
      <w:r w:rsidR="00163B3E" w:rsidRPr="00AE141E">
        <w:rPr>
          <w:rFonts w:ascii="Times New Roman" w:hAnsi="Times New Roman" w:cs="Times New Roman"/>
          <w:sz w:val="24"/>
          <w:szCs w:val="24"/>
        </w:rPr>
        <w:t xml:space="preserve"> Caribbean </w:t>
      </w:r>
      <w:r w:rsidR="00141C30" w:rsidRPr="00AE141E">
        <w:rPr>
          <w:rFonts w:ascii="Times New Roman" w:hAnsi="Times New Roman" w:cs="Times New Roman"/>
          <w:sz w:val="24"/>
          <w:szCs w:val="24"/>
        </w:rPr>
        <w:t>teaching pack</w:t>
      </w:r>
      <w:r w:rsidR="00995428" w:rsidRPr="00AE141E">
        <w:rPr>
          <w:rFonts w:ascii="Times New Roman" w:hAnsi="Times New Roman" w:cs="Times New Roman"/>
          <w:sz w:val="24"/>
          <w:szCs w:val="24"/>
        </w:rPr>
        <w:t xml:space="preserve"> shows an apparent sensitivity to </w:t>
      </w:r>
      <w:r w:rsidR="00995428" w:rsidRPr="00AE141E">
        <w:rPr>
          <w:rFonts w:ascii="Times New Roman" w:hAnsi="Times New Roman" w:cs="Times New Roman"/>
          <w:sz w:val="24"/>
          <w:szCs w:val="24"/>
        </w:rPr>
        <w:lastRenderedPageBreak/>
        <w:t xml:space="preserve">the feelings of </w:t>
      </w:r>
      <w:r w:rsidR="00FA7FB4" w:rsidRPr="00AE141E">
        <w:rPr>
          <w:rFonts w:ascii="Times New Roman" w:hAnsi="Times New Roman" w:cs="Times New Roman"/>
          <w:sz w:val="24"/>
          <w:szCs w:val="24"/>
        </w:rPr>
        <w:t>young people</w:t>
      </w:r>
      <w:r w:rsidR="00805344" w:rsidRPr="00AE141E">
        <w:rPr>
          <w:rFonts w:ascii="Times New Roman" w:hAnsi="Times New Roman" w:cs="Times New Roman"/>
          <w:sz w:val="24"/>
          <w:szCs w:val="24"/>
        </w:rPr>
        <w:t xml:space="preserve"> of colour</w:t>
      </w:r>
      <w:r w:rsidR="00995428" w:rsidRPr="00AE141E">
        <w:rPr>
          <w:rFonts w:ascii="Times New Roman" w:hAnsi="Times New Roman" w:cs="Times New Roman"/>
          <w:sz w:val="24"/>
          <w:szCs w:val="24"/>
        </w:rPr>
        <w:t>. It</w:t>
      </w:r>
      <w:r w:rsidR="00163B3E" w:rsidRPr="00AE141E">
        <w:rPr>
          <w:rFonts w:ascii="Times New Roman" w:hAnsi="Times New Roman" w:cs="Times New Roman"/>
          <w:sz w:val="24"/>
          <w:szCs w:val="24"/>
        </w:rPr>
        <w:t xml:space="preserve"> cautioned educators that</w:t>
      </w:r>
      <w:r w:rsidR="00945694" w:rsidRPr="00AE141E">
        <w:rPr>
          <w:rFonts w:ascii="Times New Roman" w:hAnsi="Times New Roman" w:cs="Times New Roman"/>
          <w:sz w:val="24"/>
          <w:szCs w:val="24"/>
        </w:rPr>
        <w:t xml:space="preserve"> although</w:t>
      </w:r>
      <w:r w:rsidR="0053006D" w:rsidRPr="00AE141E">
        <w:rPr>
          <w:rFonts w:ascii="Times New Roman" w:hAnsi="Times New Roman" w:cs="Times New Roman"/>
          <w:sz w:val="24"/>
          <w:szCs w:val="24"/>
        </w:rPr>
        <w:t xml:space="preserve"> </w:t>
      </w:r>
      <w:r w:rsidR="00945694" w:rsidRPr="00AE141E">
        <w:rPr>
          <w:rFonts w:ascii="Times New Roman" w:hAnsi="Times New Roman" w:cs="Times New Roman"/>
          <w:sz w:val="24"/>
          <w:szCs w:val="24"/>
        </w:rPr>
        <w:t>‘</w:t>
      </w:r>
      <w:r w:rsidR="0053006D" w:rsidRPr="00AE141E">
        <w:rPr>
          <w:rFonts w:ascii="Times New Roman" w:hAnsi="Times New Roman" w:cs="Times New Roman"/>
          <w:sz w:val="24"/>
          <w:szCs w:val="24"/>
        </w:rPr>
        <w:t>some students may be happy to provide additional materials and information from their own or their parents</w:t>
      </w:r>
      <w:r w:rsidR="009C650C" w:rsidRPr="00AE141E">
        <w:rPr>
          <w:rFonts w:ascii="Times New Roman" w:hAnsi="Times New Roman" w:cs="Times New Roman"/>
          <w:sz w:val="24"/>
          <w:szCs w:val="24"/>
        </w:rPr>
        <w:t xml:space="preserve">’ </w:t>
      </w:r>
      <w:r w:rsidR="0053006D" w:rsidRPr="00AE141E">
        <w:rPr>
          <w:rFonts w:ascii="Times New Roman" w:hAnsi="Times New Roman" w:cs="Times New Roman"/>
          <w:sz w:val="24"/>
          <w:szCs w:val="24"/>
        </w:rPr>
        <w:t>knowledge of the Caribbean</w:t>
      </w:r>
      <w:r w:rsidR="00945694" w:rsidRPr="00AE141E">
        <w:rPr>
          <w:rFonts w:ascii="Times New Roman" w:hAnsi="Times New Roman" w:cs="Times New Roman"/>
          <w:sz w:val="24"/>
          <w:szCs w:val="24"/>
        </w:rPr>
        <w:t>’</w:t>
      </w:r>
      <w:r w:rsidR="0053006D" w:rsidRPr="00AE141E">
        <w:rPr>
          <w:rFonts w:ascii="Times New Roman" w:hAnsi="Times New Roman" w:cs="Times New Roman"/>
          <w:sz w:val="24"/>
          <w:szCs w:val="24"/>
        </w:rPr>
        <w:t xml:space="preserve">, </w:t>
      </w:r>
      <w:r w:rsidR="00945694" w:rsidRPr="00AE141E">
        <w:rPr>
          <w:rFonts w:ascii="Times New Roman" w:hAnsi="Times New Roman" w:cs="Times New Roman"/>
          <w:sz w:val="24"/>
          <w:szCs w:val="24"/>
        </w:rPr>
        <w:t>others may be more ‘sensitive’</w:t>
      </w:r>
      <w:r w:rsidR="0033029D" w:rsidRPr="00AE141E">
        <w:rPr>
          <w:rFonts w:ascii="Times New Roman" w:hAnsi="Times New Roman" w:cs="Times New Roman"/>
          <w:sz w:val="24"/>
          <w:szCs w:val="24"/>
        </w:rPr>
        <w:t xml:space="preserve"> – </w:t>
      </w:r>
      <w:r w:rsidR="00945694" w:rsidRPr="00AE141E">
        <w:rPr>
          <w:rFonts w:ascii="Times New Roman" w:hAnsi="Times New Roman" w:cs="Times New Roman"/>
          <w:sz w:val="24"/>
          <w:szCs w:val="24"/>
        </w:rPr>
        <w:t>active</w:t>
      </w:r>
      <w:r w:rsidR="0033029D" w:rsidRPr="00AE141E">
        <w:rPr>
          <w:rFonts w:ascii="Times New Roman" w:hAnsi="Times New Roman" w:cs="Times New Roman"/>
          <w:sz w:val="24"/>
          <w:szCs w:val="24"/>
        </w:rPr>
        <w:t xml:space="preserve"> </w:t>
      </w:r>
      <w:r w:rsidR="00945694" w:rsidRPr="00AE141E">
        <w:rPr>
          <w:rFonts w:ascii="Times New Roman" w:hAnsi="Times New Roman" w:cs="Times New Roman"/>
          <w:sz w:val="24"/>
          <w:szCs w:val="24"/>
        </w:rPr>
        <w:t xml:space="preserve">and </w:t>
      </w:r>
      <w:r w:rsidR="009F18B3" w:rsidRPr="00AE141E">
        <w:rPr>
          <w:rFonts w:ascii="Times New Roman" w:hAnsi="Times New Roman" w:cs="Times New Roman"/>
          <w:sz w:val="24"/>
          <w:szCs w:val="24"/>
        </w:rPr>
        <w:t>enthusiastic</w:t>
      </w:r>
      <w:r w:rsidR="00945694" w:rsidRPr="00AE141E">
        <w:rPr>
          <w:rFonts w:ascii="Times New Roman" w:hAnsi="Times New Roman" w:cs="Times New Roman"/>
          <w:sz w:val="24"/>
          <w:szCs w:val="24"/>
        </w:rPr>
        <w:t xml:space="preserve"> participation could not be assumed</w:t>
      </w:r>
      <w:r w:rsidR="0033029D" w:rsidRPr="00AE141E">
        <w:rPr>
          <w:rFonts w:ascii="Times New Roman" w:hAnsi="Times New Roman" w:cs="Times New Roman"/>
          <w:sz w:val="24"/>
          <w:szCs w:val="24"/>
        </w:rPr>
        <w:t xml:space="preserve">, and would depend on the </w:t>
      </w:r>
      <w:r w:rsidR="00A55497" w:rsidRPr="00AE141E">
        <w:rPr>
          <w:rFonts w:ascii="Times New Roman" w:hAnsi="Times New Roman" w:cs="Times New Roman"/>
          <w:sz w:val="24"/>
          <w:szCs w:val="24"/>
        </w:rPr>
        <w:t>individual circumstances and identity of the child</w:t>
      </w:r>
      <w:r w:rsidR="009F18B3" w:rsidRPr="00AE141E">
        <w:rPr>
          <w:rFonts w:ascii="Times New Roman" w:hAnsi="Times New Roman" w:cs="Times New Roman"/>
          <w:sz w:val="24"/>
          <w:szCs w:val="24"/>
        </w:rPr>
        <w:t>.</w:t>
      </w:r>
      <w:r w:rsidR="000E2C5D" w:rsidRPr="00AE141E">
        <w:rPr>
          <w:rStyle w:val="FootnoteReference"/>
          <w:rFonts w:ascii="Times New Roman" w:hAnsi="Times New Roman" w:cs="Times New Roman"/>
          <w:sz w:val="24"/>
          <w:szCs w:val="24"/>
        </w:rPr>
        <w:footnoteReference w:id="360"/>
      </w:r>
      <w:r w:rsidR="0053006D" w:rsidRPr="00AE141E">
        <w:rPr>
          <w:rFonts w:ascii="Times New Roman" w:hAnsi="Times New Roman" w:cs="Times New Roman"/>
          <w:sz w:val="24"/>
          <w:szCs w:val="24"/>
        </w:rPr>
        <w:t xml:space="preserve"> </w:t>
      </w:r>
      <w:r w:rsidR="009F18B3" w:rsidRPr="00AE141E">
        <w:rPr>
          <w:rFonts w:ascii="Times New Roman" w:hAnsi="Times New Roman" w:cs="Times New Roman"/>
          <w:sz w:val="24"/>
          <w:szCs w:val="24"/>
        </w:rPr>
        <w:t>It was hoped that they would</w:t>
      </w:r>
      <w:r w:rsidR="0053006D" w:rsidRPr="00AE141E">
        <w:rPr>
          <w:rFonts w:ascii="Times New Roman" w:hAnsi="Times New Roman" w:cs="Times New Roman"/>
          <w:sz w:val="24"/>
          <w:szCs w:val="24"/>
        </w:rPr>
        <w:t xml:space="preserve"> judge the situation</w:t>
      </w:r>
      <w:r w:rsidR="009C650C" w:rsidRPr="00AE141E">
        <w:rPr>
          <w:rFonts w:ascii="Times New Roman" w:hAnsi="Times New Roman" w:cs="Times New Roman"/>
          <w:sz w:val="24"/>
          <w:szCs w:val="24"/>
        </w:rPr>
        <w:t xml:space="preserve"> with care and caution,</w:t>
      </w:r>
      <w:r w:rsidR="009F18B3" w:rsidRPr="00AE141E">
        <w:rPr>
          <w:rFonts w:ascii="Times New Roman" w:hAnsi="Times New Roman" w:cs="Times New Roman"/>
          <w:sz w:val="24"/>
          <w:szCs w:val="24"/>
        </w:rPr>
        <w:t xml:space="preserve"> on a </w:t>
      </w:r>
      <w:r w:rsidR="00A55497" w:rsidRPr="00AE141E">
        <w:rPr>
          <w:rFonts w:ascii="Times New Roman" w:hAnsi="Times New Roman" w:cs="Times New Roman"/>
          <w:sz w:val="24"/>
          <w:szCs w:val="24"/>
        </w:rPr>
        <w:t>case-by-case</w:t>
      </w:r>
      <w:r w:rsidR="009F18B3" w:rsidRPr="00AE141E">
        <w:rPr>
          <w:rFonts w:ascii="Times New Roman" w:hAnsi="Times New Roman" w:cs="Times New Roman"/>
          <w:sz w:val="24"/>
          <w:szCs w:val="24"/>
        </w:rPr>
        <w:t xml:space="preserve"> basis</w:t>
      </w:r>
      <w:r w:rsidR="003E4BD9" w:rsidRPr="00AE141E">
        <w:rPr>
          <w:rFonts w:ascii="Times New Roman" w:hAnsi="Times New Roman" w:cs="Times New Roman"/>
          <w:sz w:val="24"/>
          <w:szCs w:val="24"/>
        </w:rPr>
        <w:t xml:space="preserve">. </w:t>
      </w:r>
    </w:p>
    <w:p w14:paraId="72DA10CB" w14:textId="4954C3EB" w:rsidR="001844A2" w:rsidRPr="00AE141E" w:rsidRDefault="004A114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Nevertheless, t</w:t>
      </w:r>
      <w:r w:rsidR="004307C6" w:rsidRPr="00AE141E">
        <w:rPr>
          <w:rFonts w:ascii="Times New Roman" w:hAnsi="Times New Roman" w:cs="Times New Roman"/>
          <w:sz w:val="24"/>
          <w:szCs w:val="24"/>
        </w:rPr>
        <w:t xml:space="preserve">he </w:t>
      </w:r>
      <w:r w:rsidR="000331B0" w:rsidRPr="00AE141E">
        <w:rPr>
          <w:rFonts w:ascii="Times New Roman" w:hAnsi="Times New Roman" w:cs="Times New Roman"/>
          <w:sz w:val="24"/>
          <w:szCs w:val="24"/>
        </w:rPr>
        <w:t>experience of</w:t>
      </w:r>
      <w:r w:rsidR="00A822A8" w:rsidRPr="00AE141E">
        <w:rPr>
          <w:rFonts w:ascii="Times New Roman" w:hAnsi="Times New Roman" w:cs="Times New Roman"/>
          <w:sz w:val="24"/>
          <w:szCs w:val="24"/>
        </w:rPr>
        <w:t xml:space="preserve"> </w:t>
      </w:r>
      <w:r w:rsidR="005C7DB3" w:rsidRPr="00AE141E">
        <w:rPr>
          <w:rFonts w:ascii="Times New Roman" w:hAnsi="Times New Roman" w:cs="Times New Roman"/>
          <w:sz w:val="24"/>
          <w:szCs w:val="24"/>
        </w:rPr>
        <w:t>minoritised</w:t>
      </w:r>
      <w:r w:rsidR="00A822A8" w:rsidRPr="00AE141E">
        <w:rPr>
          <w:rFonts w:ascii="Times New Roman" w:hAnsi="Times New Roman" w:cs="Times New Roman"/>
          <w:sz w:val="24"/>
          <w:szCs w:val="24"/>
        </w:rPr>
        <w:t xml:space="preserve"> students </w:t>
      </w:r>
      <w:r w:rsidR="00580052" w:rsidRPr="00AE141E">
        <w:rPr>
          <w:rFonts w:ascii="Times New Roman" w:hAnsi="Times New Roman" w:cs="Times New Roman"/>
          <w:sz w:val="24"/>
          <w:szCs w:val="24"/>
        </w:rPr>
        <w:t xml:space="preserve">asked to imaginatively position themselves as a </w:t>
      </w:r>
      <w:r w:rsidR="000E2C5D" w:rsidRPr="00AE141E">
        <w:rPr>
          <w:rFonts w:ascii="Times New Roman" w:hAnsi="Times New Roman" w:cs="Times New Roman"/>
          <w:sz w:val="24"/>
          <w:szCs w:val="24"/>
        </w:rPr>
        <w:t xml:space="preserve">settler </w:t>
      </w:r>
      <w:r w:rsidR="00580052" w:rsidRPr="00AE141E">
        <w:rPr>
          <w:rFonts w:ascii="Times New Roman" w:hAnsi="Times New Roman" w:cs="Times New Roman"/>
          <w:sz w:val="24"/>
          <w:szCs w:val="24"/>
        </w:rPr>
        <w:t>with flocks of Indian servants,</w:t>
      </w:r>
      <w:r w:rsidR="00D77417" w:rsidRPr="00AE141E">
        <w:rPr>
          <w:rFonts w:ascii="Times New Roman" w:hAnsi="Times New Roman" w:cs="Times New Roman"/>
          <w:sz w:val="24"/>
          <w:szCs w:val="24"/>
        </w:rPr>
        <w:t xml:space="preserve"> or</w:t>
      </w:r>
      <w:r w:rsidR="00580052" w:rsidRPr="00AE141E">
        <w:rPr>
          <w:rFonts w:ascii="Times New Roman" w:hAnsi="Times New Roman" w:cs="Times New Roman"/>
          <w:sz w:val="24"/>
          <w:szCs w:val="24"/>
        </w:rPr>
        <w:t xml:space="preserve"> as a colonial administrator </w:t>
      </w:r>
      <w:r w:rsidR="00786440" w:rsidRPr="00AE141E">
        <w:rPr>
          <w:rFonts w:ascii="Times New Roman" w:hAnsi="Times New Roman" w:cs="Times New Roman"/>
          <w:sz w:val="24"/>
          <w:szCs w:val="24"/>
        </w:rPr>
        <w:t xml:space="preserve">tasked with </w:t>
      </w:r>
      <w:r w:rsidR="001D6733" w:rsidRPr="00AE141E">
        <w:rPr>
          <w:rFonts w:ascii="Times New Roman" w:hAnsi="Times New Roman" w:cs="Times New Roman"/>
          <w:sz w:val="24"/>
          <w:szCs w:val="24"/>
        </w:rPr>
        <w:t xml:space="preserve">reducing the population </w:t>
      </w:r>
      <w:r w:rsidR="00D77417" w:rsidRPr="00AE141E">
        <w:rPr>
          <w:rFonts w:ascii="Times New Roman" w:hAnsi="Times New Roman" w:cs="Times New Roman"/>
          <w:sz w:val="24"/>
          <w:szCs w:val="24"/>
        </w:rPr>
        <w:t>and</w:t>
      </w:r>
      <w:r w:rsidR="001D6733" w:rsidRPr="00AE141E">
        <w:rPr>
          <w:rFonts w:ascii="Times New Roman" w:hAnsi="Times New Roman" w:cs="Times New Roman"/>
          <w:sz w:val="24"/>
          <w:szCs w:val="24"/>
        </w:rPr>
        <w:t xml:space="preserve"> confining </w:t>
      </w:r>
      <w:r w:rsidR="00D77417" w:rsidRPr="00AE141E">
        <w:rPr>
          <w:rFonts w:ascii="Times New Roman" w:hAnsi="Times New Roman" w:cs="Times New Roman"/>
          <w:sz w:val="24"/>
          <w:szCs w:val="24"/>
        </w:rPr>
        <w:t xml:space="preserve">communities to reservations, </w:t>
      </w:r>
      <w:r w:rsidR="00942B59" w:rsidRPr="00AE141E">
        <w:rPr>
          <w:rFonts w:ascii="Times New Roman" w:hAnsi="Times New Roman" w:cs="Times New Roman"/>
          <w:sz w:val="24"/>
          <w:szCs w:val="24"/>
        </w:rPr>
        <w:t>must have been one of substantial alienation</w:t>
      </w:r>
      <w:r w:rsidRPr="00AE141E">
        <w:rPr>
          <w:rFonts w:ascii="Times New Roman" w:hAnsi="Times New Roman" w:cs="Times New Roman"/>
          <w:sz w:val="24"/>
          <w:szCs w:val="24"/>
        </w:rPr>
        <w:t>.</w:t>
      </w:r>
      <w:r w:rsidR="0065231E" w:rsidRPr="00AE141E">
        <w:rPr>
          <w:rFonts w:ascii="Times New Roman" w:hAnsi="Times New Roman" w:cs="Times New Roman"/>
          <w:sz w:val="24"/>
          <w:szCs w:val="24"/>
        </w:rPr>
        <w:t xml:space="preserve"> </w:t>
      </w:r>
      <w:r w:rsidR="0072168A" w:rsidRPr="00AE141E">
        <w:rPr>
          <w:rFonts w:ascii="Times New Roman" w:hAnsi="Times New Roman" w:cs="Times New Roman"/>
          <w:sz w:val="24"/>
          <w:szCs w:val="24"/>
        </w:rPr>
        <w:t xml:space="preserve">The colonial gaze embedded in </w:t>
      </w:r>
      <w:r w:rsidR="003344B9" w:rsidRPr="00AE141E">
        <w:rPr>
          <w:rFonts w:ascii="Times New Roman" w:hAnsi="Times New Roman" w:cs="Times New Roman"/>
          <w:sz w:val="24"/>
          <w:szCs w:val="24"/>
        </w:rPr>
        <w:t xml:space="preserve">the </w:t>
      </w:r>
      <w:r w:rsidR="0072168A" w:rsidRPr="00AE141E">
        <w:rPr>
          <w:rFonts w:ascii="Times New Roman" w:hAnsi="Times New Roman" w:cs="Times New Roman"/>
          <w:sz w:val="24"/>
          <w:szCs w:val="24"/>
        </w:rPr>
        <w:t xml:space="preserve">WHCP </w:t>
      </w:r>
      <w:r w:rsidR="007B1C6C" w:rsidRPr="00AE141E">
        <w:rPr>
          <w:rFonts w:ascii="Times New Roman" w:hAnsi="Times New Roman" w:cs="Times New Roman"/>
          <w:sz w:val="24"/>
          <w:szCs w:val="24"/>
        </w:rPr>
        <w:t xml:space="preserve">was not simply a by-product of </w:t>
      </w:r>
      <w:r w:rsidR="006C2258" w:rsidRPr="00AE141E">
        <w:rPr>
          <w:rFonts w:ascii="Times New Roman" w:hAnsi="Times New Roman" w:cs="Times New Roman"/>
          <w:sz w:val="24"/>
          <w:szCs w:val="24"/>
        </w:rPr>
        <w:t xml:space="preserve">experimental but </w:t>
      </w:r>
      <w:r w:rsidR="007B1C6C" w:rsidRPr="00AE141E">
        <w:rPr>
          <w:rFonts w:ascii="Times New Roman" w:hAnsi="Times New Roman" w:cs="Times New Roman"/>
          <w:sz w:val="24"/>
          <w:szCs w:val="24"/>
        </w:rPr>
        <w:t>ill-conceived</w:t>
      </w:r>
      <w:r w:rsidR="00E07AC8" w:rsidRPr="00AE141E">
        <w:rPr>
          <w:rFonts w:ascii="Times New Roman" w:hAnsi="Times New Roman" w:cs="Times New Roman"/>
          <w:sz w:val="24"/>
          <w:szCs w:val="24"/>
        </w:rPr>
        <w:t xml:space="preserve"> </w:t>
      </w:r>
      <w:r w:rsidR="003344B9" w:rsidRPr="00AE141E">
        <w:rPr>
          <w:rFonts w:ascii="Times New Roman" w:hAnsi="Times New Roman" w:cs="Times New Roman"/>
          <w:sz w:val="24"/>
          <w:szCs w:val="24"/>
        </w:rPr>
        <w:t>materials</w:t>
      </w:r>
      <w:r w:rsidR="00E07AC8" w:rsidRPr="00AE141E">
        <w:rPr>
          <w:rFonts w:ascii="Times New Roman" w:hAnsi="Times New Roman" w:cs="Times New Roman"/>
          <w:sz w:val="24"/>
          <w:szCs w:val="24"/>
        </w:rPr>
        <w:t xml:space="preserve"> – it </w:t>
      </w:r>
      <w:r w:rsidR="003344B9" w:rsidRPr="00AE141E">
        <w:rPr>
          <w:rFonts w:ascii="Times New Roman" w:hAnsi="Times New Roman" w:cs="Times New Roman"/>
          <w:sz w:val="24"/>
          <w:szCs w:val="24"/>
        </w:rPr>
        <w:t>was</w:t>
      </w:r>
      <w:r w:rsidR="00E07AC8" w:rsidRPr="00AE141E">
        <w:rPr>
          <w:rFonts w:ascii="Times New Roman" w:hAnsi="Times New Roman" w:cs="Times New Roman"/>
          <w:sz w:val="24"/>
          <w:szCs w:val="24"/>
        </w:rPr>
        <w:t xml:space="preserve"> </w:t>
      </w:r>
      <w:r w:rsidR="003344B9" w:rsidRPr="00AE141E">
        <w:rPr>
          <w:rFonts w:ascii="Times New Roman" w:hAnsi="Times New Roman" w:cs="Times New Roman"/>
          <w:sz w:val="24"/>
          <w:szCs w:val="24"/>
        </w:rPr>
        <w:t>central to the project as a whole.</w:t>
      </w:r>
      <w:r w:rsidR="002C6AE7" w:rsidRPr="00AE141E">
        <w:rPr>
          <w:rFonts w:ascii="Times New Roman" w:hAnsi="Times New Roman" w:cs="Times New Roman"/>
          <w:sz w:val="24"/>
          <w:szCs w:val="24"/>
        </w:rPr>
        <w:t xml:space="preserve"> </w:t>
      </w:r>
      <w:r w:rsidR="0072411B" w:rsidRPr="00AE141E">
        <w:rPr>
          <w:rFonts w:ascii="Times New Roman" w:hAnsi="Times New Roman" w:cs="Times New Roman"/>
          <w:sz w:val="24"/>
          <w:szCs w:val="24"/>
        </w:rPr>
        <w:t xml:space="preserve">Alongside </w:t>
      </w:r>
      <w:r w:rsidR="00E63F26" w:rsidRPr="00AE141E">
        <w:rPr>
          <w:rFonts w:ascii="Times New Roman" w:hAnsi="Times New Roman" w:cs="Times New Roman"/>
          <w:sz w:val="24"/>
          <w:szCs w:val="24"/>
        </w:rPr>
        <w:t>‘</w:t>
      </w:r>
      <w:r w:rsidR="00B80C7C" w:rsidRPr="00AE141E">
        <w:rPr>
          <w:rFonts w:ascii="Times New Roman" w:hAnsi="Times New Roman" w:cs="Times New Roman"/>
          <w:sz w:val="24"/>
          <w:szCs w:val="24"/>
        </w:rPr>
        <w:t>the liberal aspects</w:t>
      </w:r>
      <w:r w:rsidR="00E63F26" w:rsidRPr="00AE141E">
        <w:rPr>
          <w:rFonts w:ascii="Times New Roman" w:hAnsi="Times New Roman" w:cs="Times New Roman"/>
          <w:sz w:val="24"/>
          <w:szCs w:val="24"/>
        </w:rPr>
        <w:t>’ of creating</w:t>
      </w:r>
      <w:r w:rsidR="00B80C7C" w:rsidRPr="00AE141E">
        <w:rPr>
          <w:rFonts w:ascii="Times New Roman" w:hAnsi="Times New Roman" w:cs="Times New Roman"/>
          <w:sz w:val="24"/>
          <w:szCs w:val="24"/>
        </w:rPr>
        <w:t xml:space="preserve"> informed citizens,</w:t>
      </w:r>
      <w:r w:rsidR="00E63F26" w:rsidRPr="00AE141E">
        <w:rPr>
          <w:rFonts w:ascii="Times New Roman" w:hAnsi="Times New Roman" w:cs="Times New Roman"/>
          <w:sz w:val="24"/>
          <w:szCs w:val="24"/>
        </w:rPr>
        <w:t xml:space="preserve"> </w:t>
      </w:r>
      <w:r w:rsidR="00E63F26" w:rsidRPr="00AE141E">
        <w:rPr>
          <w:rFonts w:ascii="Times New Roman" w:hAnsi="Times New Roman" w:cs="Times New Roman"/>
          <w:i/>
          <w:sz w:val="24"/>
          <w:szCs w:val="24"/>
        </w:rPr>
        <w:t xml:space="preserve">Clio </w:t>
      </w:r>
      <w:r w:rsidR="00E63F26" w:rsidRPr="00AE141E">
        <w:rPr>
          <w:rFonts w:ascii="Times New Roman" w:hAnsi="Times New Roman" w:cs="Times New Roman"/>
          <w:sz w:val="24"/>
          <w:szCs w:val="24"/>
        </w:rPr>
        <w:t xml:space="preserve">gave one further justification for the inclusion of </w:t>
      </w:r>
      <w:r w:rsidR="00BC5130" w:rsidRPr="00AE141E">
        <w:rPr>
          <w:rFonts w:ascii="Times New Roman" w:hAnsi="Times New Roman" w:cs="Times New Roman"/>
          <w:sz w:val="24"/>
          <w:szCs w:val="24"/>
        </w:rPr>
        <w:t>world history in school syllabi.</w:t>
      </w:r>
      <w:r w:rsidR="008A502E">
        <w:rPr>
          <w:rStyle w:val="FootnoteReference"/>
          <w:rFonts w:ascii="Times New Roman" w:hAnsi="Times New Roman" w:cs="Times New Roman"/>
          <w:sz w:val="24"/>
          <w:szCs w:val="24"/>
        </w:rPr>
        <w:footnoteReference w:id="361"/>
      </w:r>
      <w:r w:rsidR="006B3165" w:rsidRPr="00AE141E">
        <w:rPr>
          <w:rFonts w:ascii="Times New Roman" w:hAnsi="Times New Roman" w:cs="Times New Roman"/>
          <w:sz w:val="24"/>
          <w:szCs w:val="24"/>
        </w:rPr>
        <w:t xml:space="preserve"> The journal followed </w:t>
      </w:r>
      <w:r w:rsidR="00F67FCF" w:rsidRPr="00AE141E">
        <w:rPr>
          <w:rFonts w:ascii="Times New Roman" w:hAnsi="Times New Roman" w:cs="Times New Roman"/>
          <w:sz w:val="24"/>
          <w:szCs w:val="24"/>
        </w:rPr>
        <w:t>the poet of empire, Rudyard Kipling, in asking ‘</w:t>
      </w:r>
      <w:r w:rsidR="00B80C7C" w:rsidRPr="00AE141E">
        <w:rPr>
          <w:rFonts w:ascii="Times New Roman" w:hAnsi="Times New Roman" w:cs="Times New Roman"/>
          <w:sz w:val="24"/>
          <w:szCs w:val="24"/>
        </w:rPr>
        <w:t>what do they know of England who only England know?</w:t>
      </w:r>
      <w:r w:rsidR="00F67FCF" w:rsidRPr="00AE141E">
        <w:rPr>
          <w:rFonts w:ascii="Times New Roman" w:hAnsi="Times New Roman" w:cs="Times New Roman"/>
          <w:sz w:val="24"/>
          <w:szCs w:val="24"/>
        </w:rPr>
        <w:t>’</w:t>
      </w:r>
      <w:r w:rsidR="00D2093B" w:rsidRPr="00AE141E">
        <w:rPr>
          <w:rFonts w:ascii="Times New Roman" w:hAnsi="Times New Roman" w:cs="Times New Roman"/>
          <w:sz w:val="24"/>
          <w:szCs w:val="24"/>
        </w:rPr>
        <w:t xml:space="preserve"> </w:t>
      </w:r>
      <w:r w:rsidR="003C6BE1" w:rsidRPr="00AE141E">
        <w:rPr>
          <w:rFonts w:ascii="Times New Roman" w:hAnsi="Times New Roman" w:cs="Times New Roman"/>
          <w:sz w:val="24"/>
          <w:szCs w:val="24"/>
        </w:rPr>
        <w:t xml:space="preserve">The study of </w:t>
      </w:r>
      <w:r w:rsidR="007C66DD" w:rsidRPr="00AE141E">
        <w:rPr>
          <w:rFonts w:ascii="Times New Roman" w:hAnsi="Times New Roman" w:cs="Times New Roman"/>
          <w:sz w:val="24"/>
          <w:szCs w:val="24"/>
        </w:rPr>
        <w:t>world history</w:t>
      </w:r>
      <w:r w:rsidR="003C6BE1" w:rsidRPr="00AE141E">
        <w:rPr>
          <w:rFonts w:ascii="Times New Roman" w:hAnsi="Times New Roman" w:cs="Times New Roman"/>
          <w:sz w:val="24"/>
          <w:szCs w:val="24"/>
        </w:rPr>
        <w:t xml:space="preserve"> had the potenti</w:t>
      </w:r>
      <w:r w:rsidR="00853E44" w:rsidRPr="00AE141E">
        <w:rPr>
          <w:rFonts w:ascii="Times New Roman" w:hAnsi="Times New Roman" w:cs="Times New Roman"/>
          <w:sz w:val="24"/>
          <w:szCs w:val="24"/>
        </w:rPr>
        <w:t>al to open students’ eyes to</w:t>
      </w:r>
      <w:r w:rsidR="00B80C7C" w:rsidRPr="00AE141E">
        <w:rPr>
          <w:rFonts w:ascii="Times New Roman" w:hAnsi="Times New Roman" w:cs="Times New Roman"/>
          <w:sz w:val="24"/>
          <w:szCs w:val="24"/>
        </w:rPr>
        <w:t xml:space="preserve"> </w:t>
      </w:r>
      <w:r w:rsidR="00853E44" w:rsidRPr="00AE141E">
        <w:rPr>
          <w:rFonts w:ascii="Times New Roman" w:hAnsi="Times New Roman" w:cs="Times New Roman"/>
          <w:sz w:val="24"/>
          <w:szCs w:val="24"/>
        </w:rPr>
        <w:t>‘</w:t>
      </w:r>
      <w:r w:rsidR="00B80C7C" w:rsidRPr="00AE141E">
        <w:rPr>
          <w:rFonts w:ascii="Times New Roman" w:hAnsi="Times New Roman" w:cs="Times New Roman"/>
          <w:sz w:val="24"/>
          <w:szCs w:val="24"/>
        </w:rPr>
        <w:t>facets of our own history hitherto unidentified</w:t>
      </w:r>
      <w:r w:rsidR="00C0402D" w:rsidRPr="00AE141E">
        <w:rPr>
          <w:rFonts w:ascii="Times New Roman" w:hAnsi="Times New Roman" w:cs="Times New Roman"/>
          <w:sz w:val="24"/>
          <w:szCs w:val="24"/>
        </w:rPr>
        <w:t>’</w:t>
      </w:r>
      <w:r w:rsidR="00CE1A86" w:rsidRPr="00AE141E">
        <w:rPr>
          <w:rFonts w:ascii="Times New Roman" w:hAnsi="Times New Roman" w:cs="Times New Roman"/>
          <w:sz w:val="24"/>
          <w:szCs w:val="24"/>
        </w:rPr>
        <w:t xml:space="preserve"> and </w:t>
      </w:r>
      <w:r w:rsidR="00C0402D" w:rsidRPr="00AE141E">
        <w:rPr>
          <w:rFonts w:ascii="Times New Roman" w:hAnsi="Times New Roman" w:cs="Times New Roman"/>
          <w:sz w:val="24"/>
          <w:szCs w:val="24"/>
        </w:rPr>
        <w:t>convince the young to</w:t>
      </w:r>
      <w:r w:rsidR="00B80C7C" w:rsidRPr="00AE141E">
        <w:rPr>
          <w:rFonts w:ascii="Times New Roman" w:hAnsi="Times New Roman" w:cs="Times New Roman"/>
          <w:sz w:val="24"/>
          <w:szCs w:val="24"/>
        </w:rPr>
        <w:t xml:space="preserve"> </w:t>
      </w:r>
      <w:r w:rsidR="00CE1A86" w:rsidRPr="00AE141E">
        <w:rPr>
          <w:rFonts w:ascii="Times New Roman" w:hAnsi="Times New Roman" w:cs="Times New Roman"/>
          <w:sz w:val="24"/>
          <w:szCs w:val="24"/>
        </w:rPr>
        <w:t>‘</w:t>
      </w:r>
      <w:r w:rsidR="00B80C7C" w:rsidRPr="00AE141E">
        <w:rPr>
          <w:rFonts w:ascii="Times New Roman" w:hAnsi="Times New Roman" w:cs="Times New Roman"/>
          <w:sz w:val="24"/>
          <w:szCs w:val="24"/>
        </w:rPr>
        <w:t>accord more respect to traditions and institutions which, we discover, are superior to those found elsewhere</w:t>
      </w:r>
      <w:r w:rsidR="00CE1A86" w:rsidRPr="00AE141E">
        <w:rPr>
          <w:rFonts w:ascii="Times New Roman" w:hAnsi="Times New Roman" w:cs="Times New Roman"/>
          <w:sz w:val="24"/>
          <w:szCs w:val="24"/>
        </w:rPr>
        <w:t>’</w:t>
      </w:r>
      <w:r w:rsidR="00B80C7C" w:rsidRPr="00AE141E">
        <w:rPr>
          <w:rFonts w:ascii="Times New Roman" w:hAnsi="Times New Roman" w:cs="Times New Roman"/>
          <w:sz w:val="24"/>
          <w:szCs w:val="24"/>
        </w:rPr>
        <w:t>.</w:t>
      </w:r>
      <w:r w:rsidR="008B1BA7" w:rsidRPr="00AE141E">
        <w:rPr>
          <w:rFonts w:ascii="Times New Roman" w:hAnsi="Times New Roman" w:cs="Times New Roman"/>
          <w:sz w:val="24"/>
          <w:szCs w:val="24"/>
        </w:rPr>
        <w:t xml:space="preserve"> </w:t>
      </w:r>
    </w:p>
    <w:p w14:paraId="1B99078B" w14:textId="772DF982" w:rsidR="00CB0E27" w:rsidRPr="00AE141E" w:rsidRDefault="00E952F4" w:rsidP="00515085">
      <w:pPr>
        <w:spacing w:line="360" w:lineRule="auto"/>
        <w:rPr>
          <w:rFonts w:ascii="Times New Roman" w:hAnsi="Times New Roman" w:cs="Times New Roman"/>
          <w:sz w:val="24"/>
          <w:szCs w:val="24"/>
        </w:rPr>
      </w:pPr>
      <w:r w:rsidRPr="00AE141E">
        <w:rPr>
          <w:rFonts w:ascii="Times New Roman" w:hAnsi="Times New Roman" w:cs="Times New Roman"/>
          <w:i/>
          <w:sz w:val="24"/>
          <w:szCs w:val="24"/>
        </w:rPr>
        <w:t xml:space="preserve">Clio </w:t>
      </w:r>
      <w:r w:rsidRPr="00AE141E">
        <w:rPr>
          <w:rFonts w:ascii="Times New Roman" w:hAnsi="Times New Roman" w:cs="Times New Roman"/>
          <w:sz w:val="24"/>
          <w:szCs w:val="24"/>
        </w:rPr>
        <w:t xml:space="preserve">steadfastly denied that such judgements </w:t>
      </w:r>
      <w:r w:rsidR="00FF392E" w:rsidRPr="00AE141E">
        <w:rPr>
          <w:rFonts w:ascii="Times New Roman" w:hAnsi="Times New Roman" w:cs="Times New Roman"/>
          <w:sz w:val="24"/>
          <w:szCs w:val="24"/>
        </w:rPr>
        <w:t xml:space="preserve">were politically informed. </w:t>
      </w:r>
      <w:r w:rsidR="00C66419" w:rsidRPr="00AE141E">
        <w:rPr>
          <w:rFonts w:ascii="Times New Roman" w:hAnsi="Times New Roman" w:cs="Times New Roman"/>
          <w:sz w:val="24"/>
          <w:szCs w:val="24"/>
        </w:rPr>
        <w:t>Rather than an expression of jingoism, they were to be considered the logical products of objective, quasi-scientific ‘</w:t>
      </w:r>
      <w:r w:rsidR="00B80C7C" w:rsidRPr="00AE141E">
        <w:rPr>
          <w:rFonts w:ascii="Times New Roman" w:hAnsi="Times New Roman" w:cs="Times New Roman"/>
          <w:sz w:val="24"/>
          <w:szCs w:val="24"/>
        </w:rPr>
        <w:t>national self-appraisal</w:t>
      </w:r>
      <w:r w:rsidR="00C66419" w:rsidRPr="00AE141E">
        <w:rPr>
          <w:rFonts w:ascii="Times New Roman" w:hAnsi="Times New Roman" w:cs="Times New Roman"/>
          <w:sz w:val="24"/>
          <w:szCs w:val="24"/>
        </w:rPr>
        <w:t>’.</w:t>
      </w:r>
      <w:r w:rsidR="00930E82">
        <w:rPr>
          <w:rStyle w:val="FootnoteReference"/>
          <w:rFonts w:ascii="Times New Roman" w:hAnsi="Times New Roman" w:cs="Times New Roman"/>
          <w:sz w:val="24"/>
          <w:szCs w:val="24"/>
        </w:rPr>
        <w:footnoteReference w:id="362"/>
      </w:r>
      <w:r w:rsidR="00C66419" w:rsidRPr="00AE141E">
        <w:rPr>
          <w:rFonts w:ascii="Times New Roman" w:hAnsi="Times New Roman" w:cs="Times New Roman"/>
          <w:sz w:val="24"/>
          <w:szCs w:val="24"/>
        </w:rPr>
        <w:t xml:space="preserve"> </w:t>
      </w:r>
      <w:r w:rsidR="00304079" w:rsidRPr="00AE141E">
        <w:rPr>
          <w:rFonts w:ascii="Times New Roman" w:hAnsi="Times New Roman" w:cs="Times New Roman"/>
          <w:sz w:val="24"/>
          <w:szCs w:val="24"/>
        </w:rPr>
        <w:t xml:space="preserve">The </w:t>
      </w:r>
      <w:r w:rsidR="000454DC" w:rsidRPr="00AE141E">
        <w:rPr>
          <w:rFonts w:ascii="Times New Roman" w:hAnsi="Times New Roman" w:cs="Times New Roman"/>
          <w:sz w:val="24"/>
          <w:szCs w:val="24"/>
        </w:rPr>
        <w:t>notion</w:t>
      </w:r>
      <w:r w:rsidR="00304079" w:rsidRPr="00AE141E">
        <w:rPr>
          <w:rFonts w:ascii="Times New Roman" w:hAnsi="Times New Roman" w:cs="Times New Roman"/>
          <w:sz w:val="24"/>
          <w:szCs w:val="24"/>
        </w:rPr>
        <w:t xml:space="preserve"> of </w:t>
      </w:r>
      <w:r w:rsidR="000454DC" w:rsidRPr="00AE141E">
        <w:rPr>
          <w:rFonts w:ascii="Times New Roman" w:hAnsi="Times New Roman" w:cs="Times New Roman"/>
          <w:sz w:val="24"/>
          <w:szCs w:val="24"/>
        </w:rPr>
        <w:t xml:space="preserve">British </w:t>
      </w:r>
      <w:r w:rsidR="00304079" w:rsidRPr="00AE141E">
        <w:rPr>
          <w:rFonts w:ascii="Times New Roman" w:hAnsi="Times New Roman" w:cs="Times New Roman"/>
          <w:sz w:val="24"/>
          <w:szCs w:val="24"/>
        </w:rPr>
        <w:t>national superiority was thus</w:t>
      </w:r>
      <w:r w:rsidR="004454E3" w:rsidRPr="00AE141E">
        <w:rPr>
          <w:rFonts w:ascii="Times New Roman" w:hAnsi="Times New Roman" w:cs="Times New Roman"/>
          <w:sz w:val="24"/>
          <w:szCs w:val="24"/>
        </w:rPr>
        <w:t xml:space="preserve"> naturalised: only deviations from</w:t>
      </w:r>
      <w:r w:rsidR="00DA6598" w:rsidRPr="00AE141E">
        <w:rPr>
          <w:rFonts w:ascii="Times New Roman" w:hAnsi="Times New Roman" w:cs="Times New Roman"/>
          <w:sz w:val="24"/>
          <w:szCs w:val="24"/>
        </w:rPr>
        <w:t xml:space="preserve"> this normative judgement would be considered </w:t>
      </w:r>
      <w:r w:rsidR="00EF6EEF" w:rsidRPr="00AE141E">
        <w:rPr>
          <w:rFonts w:ascii="Times New Roman" w:hAnsi="Times New Roman" w:cs="Times New Roman"/>
          <w:sz w:val="24"/>
          <w:szCs w:val="24"/>
        </w:rPr>
        <w:t>as ideology or propaganda.</w:t>
      </w:r>
      <w:r w:rsidR="004A006C" w:rsidRPr="00AE141E">
        <w:rPr>
          <w:rFonts w:ascii="Times New Roman" w:hAnsi="Times New Roman" w:cs="Times New Roman"/>
          <w:sz w:val="24"/>
          <w:szCs w:val="24"/>
        </w:rPr>
        <w:t xml:space="preserve"> The </w:t>
      </w:r>
      <w:r w:rsidR="003D391A" w:rsidRPr="00AE141E">
        <w:rPr>
          <w:rFonts w:ascii="Times New Roman" w:hAnsi="Times New Roman" w:cs="Times New Roman"/>
          <w:sz w:val="24"/>
          <w:szCs w:val="24"/>
        </w:rPr>
        <w:t>continual use</w:t>
      </w:r>
      <w:r w:rsidR="004A006C" w:rsidRPr="00AE141E">
        <w:rPr>
          <w:rFonts w:ascii="Times New Roman" w:hAnsi="Times New Roman" w:cs="Times New Roman"/>
          <w:sz w:val="24"/>
          <w:szCs w:val="24"/>
        </w:rPr>
        <w:t xml:space="preserve"> of collective pronouns (‘we’, ‘us’) is also telling.</w:t>
      </w:r>
      <w:r w:rsidR="003D391A" w:rsidRPr="00AE141E">
        <w:rPr>
          <w:rFonts w:ascii="Times New Roman" w:hAnsi="Times New Roman" w:cs="Times New Roman"/>
          <w:sz w:val="24"/>
          <w:szCs w:val="24"/>
        </w:rPr>
        <w:t xml:space="preserve"> They contained within them an assumption of a </w:t>
      </w:r>
      <w:r w:rsidR="00515085" w:rsidRPr="00515085">
        <w:rPr>
          <w:rFonts w:ascii="Times New Roman" w:hAnsi="Times New Roman" w:cs="Times New Roman"/>
          <w:sz w:val="24"/>
          <w:szCs w:val="24"/>
        </w:rPr>
        <w:t>homogeneous</w:t>
      </w:r>
      <w:r w:rsidR="00D157B1">
        <w:rPr>
          <w:rFonts w:ascii="Times New Roman" w:hAnsi="Times New Roman" w:cs="Times New Roman"/>
          <w:sz w:val="24"/>
          <w:szCs w:val="24"/>
        </w:rPr>
        <w:t xml:space="preserve"> </w:t>
      </w:r>
      <w:r w:rsidR="00746C2C" w:rsidRPr="00AE141E">
        <w:rPr>
          <w:rFonts w:ascii="Times New Roman" w:hAnsi="Times New Roman" w:cs="Times New Roman"/>
          <w:sz w:val="24"/>
          <w:szCs w:val="24"/>
        </w:rPr>
        <w:t>national community</w:t>
      </w:r>
      <w:r w:rsidR="008D49C5" w:rsidRPr="00AE141E">
        <w:rPr>
          <w:rFonts w:ascii="Times New Roman" w:hAnsi="Times New Roman" w:cs="Times New Roman"/>
          <w:sz w:val="24"/>
          <w:szCs w:val="24"/>
        </w:rPr>
        <w:t xml:space="preserve">. </w:t>
      </w:r>
      <w:r w:rsidR="004454E3" w:rsidRPr="00AE141E">
        <w:rPr>
          <w:rFonts w:ascii="Times New Roman" w:hAnsi="Times New Roman" w:cs="Times New Roman"/>
          <w:sz w:val="24"/>
          <w:szCs w:val="24"/>
        </w:rPr>
        <w:t xml:space="preserve"> </w:t>
      </w:r>
      <w:r w:rsidR="008D49C5" w:rsidRPr="00AE141E">
        <w:rPr>
          <w:rFonts w:ascii="Times New Roman" w:hAnsi="Times New Roman" w:cs="Times New Roman"/>
          <w:sz w:val="24"/>
          <w:szCs w:val="24"/>
        </w:rPr>
        <w:t>‘</w:t>
      </w:r>
      <w:r w:rsidR="00433314" w:rsidRPr="00AE141E">
        <w:rPr>
          <w:rFonts w:ascii="Times New Roman" w:hAnsi="Times New Roman" w:cs="Times New Roman"/>
          <w:sz w:val="24"/>
          <w:szCs w:val="24"/>
        </w:rPr>
        <w:t>O</w:t>
      </w:r>
      <w:r w:rsidR="00B80C7C" w:rsidRPr="00AE141E">
        <w:rPr>
          <w:rFonts w:ascii="Times New Roman" w:hAnsi="Times New Roman" w:cs="Times New Roman"/>
          <w:sz w:val="24"/>
          <w:szCs w:val="24"/>
        </w:rPr>
        <w:t>ther people</w:t>
      </w:r>
      <w:r w:rsidR="008D49C5" w:rsidRPr="00AE141E">
        <w:rPr>
          <w:rFonts w:ascii="Times New Roman" w:hAnsi="Times New Roman" w:cs="Times New Roman"/>
          <w:sz w:val="24"/>
          <w:szCs w:val="24"/>
        </w:rPr>
        <w:t>’</w:t>
      </w:r>
      <w:r w:rsidR="00B80C7C" w:rsidRPr="00AE141E">
        <w:rPr>
          <w:rFonts w:ascii="Times New Roman" w:hAnsi="Times New Roman" w:cs="Times New Roman"/>
          <w:sz w:val="24"/>
          <w:szCs w:val="24"/>
        </w:rPr>
        <w:t>s traditions</w:t>
      </w:r>
      <w:r w:rsidR="008D49C5" w:rsidRPr="00AE141E">
        <w:rPr>
          <w:rFonts w:ascii="Times New Roman" w:hAnsi="Times New Roman" w:cs="Times New Roman"/>
          <w:sz w:val="24"/>
          <w:szCs w:val="24"/>
        </w:rPr>
        <w:t xml:space="preserve">’ </w:t>
      </w:r>
      <w:r w:rsidR="004E4F78" w:rsidRPr="00AE141E">
        <w:rPr>
          <w:rFonts w:ascii="Times New Roman" w:hAnsi="Times New Roman" w:cs="Times New Roman"/>
          <w:sz w:val="24"/>
          <w:szCs w:val="24"/>
        </w:rPr>
        <w:t xml:space="preserve">– including, presumably, the </w:t>
      </w:r>
      <w:r w:rsidR="008D36FB" w:rsidRPr="00AE141E">
        <w:rPr>
          <w:rFonts w:ascii="Times New Roman" w:hAnsi="Times New Roman" w:cs="Times New Roman"/>
          <w:sz w:val="24"/>
          <w:szCs w:val="24"/>
        </w:rPr>
        <w:t xml:space="preserve">perspectives offered by young people of colour – </w:t>
      </w:r>
      <w:r w:rsidR="004E4F78" w:rsidRPr="00AE141E">
        <w:rPr>
          <w:rFonts w:ascii="Times New Roman" w:hAnsi="Times New Roman" w:cs="Times New Roman"/>
          <w:sz w:val="24"/>
          <w:szCs w:val="24"/>
        </w:rPr>
        <w:t>were</w:t>
      </w:r>
      <w:r w:rsidR="008D36FB" w:rsidRPr="00AE141E">
        <w:rPr>
          <w:rFonts w:ascii="Times New Roman" w:hAnsi="Times New Roman" w:cs="Times New Roman"/>
          <w:sz w:val="24"/>
          <w:szCs w:val="24"/>
        </w:rPr>
        <w:t xml:space="preserve"> </w:t>
      </w:r>
      <w:r w:rsidR="004E4F78" w:rsidRPr="00AE141E">
        <w:rPr>
          <w:rFonts w:ascii="Times New Roman" w:hAnsi="Times New Roman" w:cs="Times New Roman"/>
          <w:sz w:val="24"/>
          <w:szCs w:val="24"/>
        </w:rPr>
        <w:t>to be praised for the</w:t>
      </w:r>
      <w:r w:rsidR="008D36FB" w:rsidRPr="00AE141E">
        <w:rPr>
          <w:rFonts w:ascii="Times New Roman" w:hAnsi="Times New Roman" w:cs="Times New Roman"/>
          <w:sz w:val="24"/>
          <w:szCs w:val="24"/>
        </w:rPr>
        <w:t>ir</w:t>
      </w:r>
      <w:r w:rsidR="004E4F78" w:rsidRPr="00AE141E">
        <w:rPr>
          <w:rFonts w:ascii="Times New Roman" w:hAnsi="Times New Roman" w:cs="Times New Roman"/>
          <w:sz w:val="24"/>
          <w:szCs w:val="24"/>
        </w:rPr>
        <w:t xml:space="preserve"> ‘</w:t>
      </w:r>
      <w:r w:rsidR="00B045C9" w:rsidRPr="00AE141E">
        <w:rPr>
          <w:rFonts w:ascii="Times New Roman" w:hAnsi="Times New Roman" w:cs="Times New Roman"/>
          <w:sz w:val="24"/>
          <w:szCs w:val="24"/>
        </w:rPr>
        <w:t>enriching contribution</w:t>
      </w:r>
      <w:r w:rsidR="008D36FB" w:rsidRPr="00AE141E">
        <w:rPr>
          <w:rFonts w:ascii="Times New Roman" w:hAnsi="Times New Roman" w:cs="Times New Roman"/>
          <w:sz w:val="24"/>
          <w:szCs w:val="24"/>
        </w:rPr>
        <w:t>’ to British national lif</w:t>
      </w:r>
      <w:r w:rsidR="001B46F4" w:rsidRPr="00AE141E">
        <w:rPr>
          <w:rFonts w:ascii="Times New Roman" w:hAnsi="Times New Roman" w:cs="Times New Roman"/>
          <w:sz w:val="24"/>
          <w:szCs w:val="24"/>
        </w:rPr>
        <w:t>e</w:t>
      </w:r>
      <w:r w:rsidR="00F80499" w:rsidRPr="00AE141E">
        <w:rPr>
          <w:rFonts w:ascii="Times New Roman" w:hAnsi="Times New Roman" w:cs="Times New Roman"/>
          <w:sz w:val="24"/>
          <w:szCs w:val="24"/>
        </w:rPr>
        <w:t>. But</w:t>
      </w:r>
      <w:r w:rsidR="001B46F4" w:rsidRPr="00AE141E">
        <w:rPr>
          <w:rFonts w:ascii="Times New Roman" w:hAnsi="Times New Roman" w:cs="Times New Roman"/>
          <w:sz w:val="24"/>
          <w:szCs w:val="24"/>
        </w:rPr>
        <w:t xml:space="preserve"> </w:t>
      </w:r>
      <w:r w:rsidR="00E251A7" w:rsidRPr="00AE141E">
        <w:rPr>
          <w:rFonts w:ascii="Times New Roman" w:hAnsi="Times New Roman" w:cs="Times New Roman"/>
          <w:sz w:val="24"/>
          <w:szCs w:val="24"/>
        </w:rPr>
        <w:t xml:space="preserve">it was precisely these cultural differences which doomed communities </w:t>
      </w:r>
      <w:r w:rsidR="003F1511" w:rsidRPr="00AE141E">
        <w:rPr>
          <w:rFonts w:ascii="Times New Roman" w:hAnsi="Times New Roman" w:cs="Times New Roman"/>
          <w:sz w:val="24"/>
          <w:szCs w:val="24"/>
        </w:rPr>
        <w:t>to remain ‘other people’ – external to the nation and to its mooted glory.</w:t>
      </w:r>
      <w:r w:rsidR="001844A2" w:rsidRPr="00AE141E">
        <w:rPr>
          <w:rFonts w:ascii="Times New Roman" w:hAnsi="Times New Roman" w:cs="Times New Roman"/>
          <w:sz w:val="24"/>
          <w:szCs w:val="24"/>
        </w:rPr>
        <w:t xml:space="preserve"> </w:t>
      </w:r>
    </w:p>
    <w:p w14:paraId="2C9541E9" w14:textId="56E5A635" w:rsidR="006E4E74" w:rsidRPr="00AE141E" w:rsidRDefault="00FC0D4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WHCP embodied some of the central flaws of the world history </w:t>
      </w:r>
      <w:r w:rsidR="00674D0E" w:rsidRPr="00AE141E">
        <w:rPr>
          <w:rFonts w:ascii="Times New Roman" w:hAnsi="Times New Roman" w:cs="Times New Roman"/>
          <w:sz w:val="24"/>
          <w:szCs w:val="24"/>
        </w:rPr>
        <w:t>project as a whole</w:t>
      </w:r>
      <w:r w:rsidR="0061079B" w:rsidRPr="00AE141E">
        <w:rPr>
          <w:rFonts w:ascii="Times New Roman" w:hAnsi="Times New Roman" w:cs="Times New Roman"/>
          <w:sz w:val="24"/>
          <w:szCs w:val="24"/>
        </w:rPr>
        <w:t>: for all its claims to revolutionise the content of histor</w:t>
      </w:r>
      <w:r w:rsidR="003D5EE6" w:rsidRPr="00AE141E">
        <w:rPr>
          <w:rFonts w:ascii="Times New Roman" w:hAnsi="Times New Roman" w:cs="Times New Roman"/>
          <w:sz w:val="24"/>
          <w:szCs w:val="24"/>
        </w:rPr>
        <w:t>y</w:t>
      </w:r>
      <w:r w:rsidR="0061079B" w:rsidRPr="00AE141E">
        <w:rPr>
          <w:rFonts w:ascii="Times New Roman" w:hAnsi="Times New Roman" w:cs="Times New Roman"/>
          <w:sz w:val="24"/>
          <w:szCs w:val="24"/>
        </w:rPr>
        <w:t xml:space="preserve"> teaching, the </w:t>
      </w:r>
      <w:r w:rsidR="00D2093B" w:rsidRPr="00AE141E">
        <w:rPr>
          <w:rFonts w:ascii="Times New Roman" w:hAnsi="Times New Roman" w:cs="Times New Roman"/>
          <w:sz w:val="24"/>
          <w:szCs w:val="24"/>
        </w:rPr>
        <w:t>core</w:t>
      </w:r>
      <w:r w:rsidR="0061079B" w:rsidRPr="00AE141E">
        <w:rPr>
          <w:rFonts w:ascii="Times New Roman" w:hAnsi="Times New Roman" w:cs="Times New Roman"/>
          <w:sz w:val="24"/>
          <w:szCs w:val="24"/>
        </w:rPr>
        <w:t xml:space="preserve"> of </w:t>
      </w:r>
      <w:r w:rsidR="007364ED" w:rsidRPr="00AE141E">
        <w:rPr>
          <w:rFonts w:ascii="Times New Roman" w:hAnsi="Times New Roman" w:cs="Times New Roman"/>
          <w:sz w:val="24"/>
          <w:szCs w:val="24"/>
        </w:rPr>
        <w:t xml:space="preserve">the historical narrative was </w:t>
      </w:r>
      <w:r w:rsidR="000D4625" w:rsidRPr="00AE141E">
        <w:rPr>
          <w:rFonts w:ascii="Times New Roman" w:hAnsi="Times New Roman" w:cs="Times New Roman"/>
          <w:sz w:val="24"/>
          <w:szCs w:val="24"/>
        </w:rPr>
        <w:lastRenderedPageBreak/>
        <w:t>retained largely intact</w:t>
      </w:r>
      <w:r w:rsidR="007364ED" w:rsidRPr="00AE141E">
        <w:rPr>
          <w:rFonts w:ascii="Times New Roman" w:hAnsi="Times New Roman" w:cs="Times New Roman"/>
          <w:sz w:val="24"/>
          <w:szCs w:val="24"/>
        </w:rPr>
        <w:t>. World history was ofte</w:t>
      </w:r>
      <w:r w:rsidR="003D5EE6" w:rsidRPr="00AE141E">
        <w:rPr>
          <w:rFonts w:ascii="Times New Roman" w:hAnsi="Times New Roman" w:cs="Times New Roman"/>
          <w:sz w:val="24"/>
          <w:szCs w:val="24"/>
        </w:rPr>
        <w:t>n national history, writ large</w:t>
      </w:r>
      <w:r w:rsidR="00217125" w:rsidRPr="00AE141E">
        <w:rPr>
          <w:rFonts w:ascii="Times New Roman" w:hAnsi="Times New Roman" w:cs="Times New Roman"/>
          <w:sz w:val="24"/>
          <w:szCs w:val="24"/>
        </w:rPr>
        <w:t xml:space="preserve"> and shorn of </w:t>
      </w:r>
      <w:r w:rsidR="00461ECD" w:rsidRPr="00AE141E">
        <w:rPr>
          <w:rFonts w:ascii="Times New Roman" w:hAnsi="Times New Roman" w:cs="Times New Roman"/>
          <w:sz w:val="24"/>
          <w:szCs w:val="24"/>
        </w:rPr>
        <w:t>imperial entanglement</w:t>
      </w:r>
      <w:r w:rsidR="003D5EE6" w:rsidRPr="00AE141E">
        <w:rPr>
          <w:rFonts w:ascii="Times New Roman" w:hAnsi="Times New Roman" w:cs="Times New Roman"/>
          <w:sz w:val="24"/>
          <w:szCs w:val="24"/>
        </w:rPr>
        <w:t>.</w:t>
      </w:r>
      <w:r w:rsidR="00A13187" w:rsidRPr="00AE141E">
        <w:rPr>
          <w:rFonts w:ascii="Times New Roman" w:hAnsi="Times New Roman" w:cs="Times New Roman"/>
          <w:sz w:val="24"/>
          <w:szCs w:val="24"/>
        </w:rPr>
        <w:t xml:space="preserve"> Alternatively, it coul</w:t>
      </w:r>
      <w:r w:rsidR="00B64048" w:rsidRPr="00AE141E">
        <w:rPr>
          <w:rFonts w:ascii="Times New Roman" w:hAnsi="Times New Roman" w:cs="Times New Roman"/>
          <w:sz w:val="24"/>
          <w:szCs w:val="24"/>
        </w:rPr>
        <w:t xml:space="preserve">d offer a caricatured </w:t>
      </w:r>
      <w:r w:rsidR="00345F07" w:rsidRPr="00AE141E">
        <w:rPr>
          <w:rFonts w:ascii="Times New Roman" w:hAnsi="Times New Roman" w:cs="Times New Roman"/>
          <w:sz w:val="24"/>
          <w:szCs w:val="24"/>
        </w:rPr>
        <w:t>foreign perspective</w:t>
      </w:r>
      <w:r w:rsidR="00A13187" w:rsidRPr="00AE141E">
        <w:rPr>
          <w:rFonts w:ascii="Times New Roman" w:hAnsi="Times New Roman" w:cs="Times New Roman"/>
          <w:sz w:val="24"/>
          <w:szCs w:val="24"/>
        </w:rPr>
        <w:t xml:space="preserve"> as</w:t>
      </w:r>
      <w:r w:rsidR="00461ECD" w:rsidRPr="00AE141E">
        <w:rPr>
          <w:rFonts w:ascii="Times New Roman" w:hAnsi="Times New Roman" w:cs="Times New Roman"/>
          <w:sz w:val="24"/>
          <w:szCs w:val="24"/>
        </w:rPr>
        <w:t xml:space="preserve"> </w:t>
      </w:r>
      <w:r w:rsidR="00E41C5C" w:rsidRPr="00AE141E">
        <w:rPr>
          <w:rFonts w:ascii="Times New Roman" w:hAnsi="Times New Roman" w:cs="Times New Roman"/>
          <w:sz w:val="24"/>
          <w:szCs w:val="24"/>
        </w:rPr>
        <w:t>an</w:t>
      </w:r>
      <w:r w:rsidR="00A13187" w:rsidRPr="00AE141E">
        <w:rPr>
          <w:rFonts w:ascii="Times New Roman" w:hAnsi="Times New Roman" w:cs="Times New Roman"/>
          <w:sz w:val="24"/>
          <w:szCs w:val="24"/>
        </w:rPr>
        <w:t xml:space="preserve"> escape from </w:t>
      </w:r>
      <w:r w:rsidR="00E41C5C" w:rsidRPr="00AE141E">
        <w:rPr>
          <w:rFonts w:ascii="Times New Roman" w:hAnsi="Times New Roman" w:cs="Times New Roman"/>
          <w:sz w:val="24"/>
          <w:szCs w:val="24"/>
        </w:rPr>
        <w:t>the examination of painful histories of empire (and its domestic impacts).</w:t>
      </w:r>
      <w:r w:rsidR="001838AD" w:rsidRPr="00AE141E">
        <w:rPr>
          <w:rFonts w:ascii="Times New Roman" w:hAnsi="Times New Roman" w:cs="Times New Roman"/>
          <w:sz w:val="24"/>
          <w:szCs w:val="24"/>
        </w:rPr>
        <w:t xml:space="preserve"> By erasing the history of empire, </w:t>
      </w:r>
      <w:r w:rsidR="002E08CF" w:rsidRPr="00AE141E">
        <w:rPr>
          <w:rFonts w:ascii="Times New Roman" w:hAnsi="Times New Roman" w:cs="Times New Roman"/>
          <w:sz w:val="24"/>
          <w:szCs w:val="24"/>
        </w:rPr>
        <w:t xml:space="preserve">world history removed opportunities for critical discussion. </w:t>
      </w:r>
      <w:r w:rsidR="00E87991" w:rsidRPr="00AE141E">
        <w:rPr>
          <w:rFonts w:ascii="Times New Roman" w:hAnsi="Times New Roman" w:cs="Times New Roman"/>
          <w:sz w:val="24"/>
          <w:szCs w:val="24"/>
        </w:rPr>
        <w:t xml:space="preserve">This may well have been reflected in </w:t>
      </w:r>
      <w:r w:rsidR="000D70D5" w:rsidRPr="00AE141E">
        <w:rPr>
          <w:rFonts w:ascii="Times New Roman" w:hAnsi="Times New Roman" w:cs="Times New Roman"/>
          <w:sz w:val="24"/>
          <w:szCs w:val="24"/>
        </w:rPr>
        <w:t>world history’s</w:t>
      </w:r>
      <w:r w:rsidR="00B33298" w:rsidRPr="00AE141E">
        <w:rPr>
          <w:rFonts w:ascii="Times New Roman" w:hAnsi="Times New Roman" w:cs="Times New Roman"/>
          <w:sz w:val="24"/>
          <w:szCs w:val="24"/>
        </w:rPr>
        <w:t xml:space="preserve"> reaffirmation of</w:t>
      </w:r>
      <w:r w:rsidR="00BD39CF" w:rsidRPr="00AE141E">
        <w:rPr>
          <w:rFonts w:ascii="Times New Roman" w:hAnsi="Times New Roman" w:cs="Times New Roman"/>
          <w:sz w:val="24"/>
          <w:szCs w:val="24"/>
        </w:rPr>
        <w:t xml:space="preserve"> imperial historiographical</w:t>
      </w:r>
      <w:r w:rsidR="00E87991" w:rsidRPr="00AE141E">
        <w:rPr>
          <w:rFonts w:ascii="Times New Roman" w:hAnsi="Times New Roman" w:cs="Times New Roman"/>
          <w:sz w:val="24"/>
          <w:szCs w:val="24"/>
        </w:rPr>
        <w:t xml:space="preserve"> </w:t>
      </w:r>
      <w:r w:rsidR="000D70D5" w:rsidRPr="00AE141E">
        <w:rPr>
          <w:rFonts w:ascii="Times New Roman" w:hAnsi="Times New Roman" w:cs="Times New Roman"/>
          <w:sz w:val="24"/>
          <w:szCs w:val="24"/>
        </w:rPr>
        <w:t xml:space="preserve">perspectives, albeit </w:t>
      </w:r>
      <w:r w:rsidR="00C06C73" w:rsidRPr="00AE141E">
        <w:rPr>
          <w:rFonts w:ascii="Times New Roman" w:hAnsi="Times New Roman" w:cs="Times New Roman"/>
          <w:sz w:val="24"/>
          <w:szCs w:val="24"/>
        </w:rPr>
        <w:t>on a different stage.</w:t>
      </w:r>
      <w:r w:rsidR="00BA5E3A" w:rsidRPr="00AE141E">
        <w:rPr>
          <w:rFonts w:ascii="Times New Roman" w:hAnsi="Times New Roman" w:cs="Times New Roman"/>
          <w:i/>
          <w:sz w:val="24"/>
          <w:szCs w:val="24"/>
        </w:rPr>
        <w:t xml:space="preserve"> </w:t>
      </w:r>
      <w:r w:rsidR="0065231E" w:rsidRPr="00AE141E">
        <w:rPr>
          <w:rFonts w:ascii="Times New Roman" w:hAnsi="Times New Roman" w:cs="Times New Roman"/>
          <w:sz w:val="24"/>
          <w:szCs w:val="24"/>
        </w:rPr>
        <w:t xml:space="preserve">Over the coming decade, </w:t>
      </w:r>
      <w:r w:rsidR="00CB0E27" w:rsidRPr="00AE141E">
        <w:rPr>
          <w:rFonts w:ascii="Times New Roman" w:hAnsi="Times New Roman" w:cs="Times New Roman"/>
          <w:sz w:val="24"/>
          <w:szCs w:val="24"/>
        </w:rPr>
        <w:t xml:space="preserve">some </w:t>
      </w:r>
      <w:r w:rsidR="008F2F63" w:rsidRPr="00AE141E">
        <w:rPr>
          <w:rFonts w:ascii="Times New Roman" w:hAnsi="Times New Roman" w:cs="Times New Roman"/>
          <w:sz w:val="24"/>
          <w:szCs w:val="24"/>
        </w:rPr>
        <w:t xml:space="preserve">history teachers would </w:t>
      </w:r>
      <w:r w:rsidR="004209B0" w:rsidRPr="00AE141E">
        <w:rPr>
          <w:rFonts w:ascii="Times New Roman" w:hAnsi="Times New Roman" w:cs="Times New Roman"/>
          <w:sz w:val="24"/>
          <w:szCs w:val="24"/>
        </w:rPr>
        <w:t xml:space="preserve">exhibit a </w:t>
      </w:r>
      <w:r w:rsidR="00FC27C8" w:rsidRPr="00AE141E">
        <w:rPr>
          <w:rFonts w:ascii="Times New Roman" w:hAnsi="Times New Roman" w:cs="Times New Roman"/>
          <w:sz w:val="24"/>
          <w:szCs w:val="24"/>
        </w:rPr>
        <w:t xml:space="preserve">more </w:t>
      </w:r>
      <w:r w:rsidR="004209B0" w:rsidRPr="00AE141E">
        <w:rPr>
          <w:rFonts w:ascii="Times New Roman" w:hAnsi="Times New Roman" w:cs="Times New Roman"/>
          <w:sz w:val="24"/>
          <w:szCs w:val="24"/>
        </w:rPr>
        <w:t xml:space="preserve">sustained engagement with </w:t>
      </w:r>
      <w:r w:rsidR="00452A10" w:rsidRPr="00AE141E">
        <w:rPr>
          <w:rFonts w:ascii="Times New Roman" w:hAnsi="Times New Roman" w:cs="Times New Roman"/>
          <w:sz w:val="24"/>
          <w:szCs w:val="24"/>
        </w:rPr>
        <w:t xml:space="preserve">the classroom experiences of </w:t>
      </w:r>
      <w:r w:rsidR="00024525" w:rsidRPr="00AE141E">
        <w:rPr>
          <w:rFonts w:ascii="Times New Roman" w:hAnsi="Times New Roman" w:cs="Times New Roman"/>
          <w:sz w:val="24"/>
          <w:szCs w:val="24"/>
        </w:rPr>
        <w:t xml:space="preserve">racially </w:t>
      </w:r>
      <w:r w:rsidR="00BD4C7C" w:rsidRPr="00AE141E">
        <w:rPr>
          <w:rFonts w:ascii="Times New Roman" w:hAnsi="Times New Roman" w:cs="Times New Roman"/>
          <w:sz w:val="24"/>
          <w:szCs w:val="24"/>
        </w:rPr>
        <w:t>O</w:t>
      </w:r>
      <w:r w:rsidR="00452A10" w:rsidRPr="00AE141E">
        <w:rPr>
          <w:rFonts w:ascii="Times New Roman" w:hAnsi="Times New Roman" w:cs="Times New Roman"/>
          <w:sz w:val="24"/>
          <w:szCs w:val="24"/>
        </w:rPr>
        <w:t>thered young people</w:t>
      </w:r>
      <w:r w:rsidR="00CB0E27" w:rsidRPr="00AE141E">
        <w:rPr>
          <w:rFonts w:ascii="Times New Roman" w:hAnsi="Times New Roman" w:cs="Times New Roman"/>
          <w:sz w:val="24"/>
          <w:szCs w:val="24"/>
        </w:rPr>
        <w:t xml:space="preserve">. They could seek to </w:t>
      </w:r>
      <w:r w:rsidR="00452A10" w:rsidRPr="00AE141E">
        <w:rPr>
          <w:rFonts w:ascii="Times New Roman" w:hAnsi="Times New Roman" w:cs="Times New Roman"/>
          <w:sz w:val="24"/>
          <w:szCs w:val="24"/>
        </w:rPr>
        <w:t>develop an educational paradigm which</w:t>
      </w:r>
      <w:r w:rsidR="00F72886" w:rsidRPr="00AE141E">
        <w:rPr>
          <w:rFonts w:ascii="Times New Roman" w:hAnsi="Times New Roman" w:cs="Times New Roman"/>
          <w:sz w:val="24"/>
          <w:szCs w:val="24"/>
        </w:rPr>
        <w:t xml:space="preserve"> valorised multiple cultural identities under a broad definition of nationhood</w:t>
      </w:r>
      <w:r w:rsidR="008A659E" w:rsidRPr="00AE141E">
        <w:rPr>
          <w:rFonts w:ascii="Times New Roman" w:hAnsi="Times New Roman" w:cs="Times New Roman"/>
          <w:sz w:val="24"/>
          <w:szCs w:val="24"/>
        </w:rPr>
        <w:t xml:space="preserve">, and to embed teaching practices </w:t>
      </w:r>
      <w:r w:rsidR="00A21E60" w:rsidRPr="00AE141E">
        <w:rPr>
          <w:rFonts w:ascii="Times New Roman" w:hAnsi="Times New Roman" w:cs="Times New Roman"/>
          <w:sz w:val="24"/>
          <w:szCs w:val="24"/>
        </w:rPr>
        <w:t>which</w:t>
      </w:r>
      <w:r w:rsidR="00452A10" w:rsidRPr="00AE141E">
        <w:rPr>
          <w:rFonts w:ascii="Times New Roman" w:hAnsi="Times New Roman" w:cs="Times New Roman"/>
          <w:sz w:val="24"/>
          <w:szCs w:val="24"/>
        </w:rPr>
        <w:t xml:space="preserve"> would avoid causing pain</w:t>
      </w:r>
      <w:r w:rsidR="00A21E60" w:rsidRPr="00AE141E">
        <w:rPr>
          <w:rFonts w:ascii="Times New Roman" w:hAnsi="Times New Roman" w:cs="Times New Roman"/>
          <w:sz w:val="24"/>
          <w:szCs w:val="24"/>
        </w:rPr>
        <w:t xml:space="preserve"> to </w:t>
      </w:r>
      <w:r w:rsidR="00245A31" w:rsidRPr="00AE141E">
        <w:rPr>
          <w:rFonts w:ascii="Times New Roman" w:hAnsi="Times New Roman" w:cs="Times New Roman"/>
          <w:sz w:val="24"/>
          <w:szCs w:val="24"/>
        </w:rPr>
        <w:t>racially minoritized young people</w:t>
      </w:r>
      <w:r w:rsidR="00452A10" w:rsidRPr="00AE141E">
        <w:rPr>
          <w:rFonts w:ascii="Times New Roman" w:hAnsi="Times New Roman" w:cs="Times New Roman"/>
          <w:sz w:val="24"/>
          <w:szCs w:val="24"/>
        </w:rPr>
        <w:t xml:space="preserve"> </w:t>
      </w:r>
      <w:r w:rsidR="00146EC2" w:rsidRPr="00AE141E">
        <w:rPr>
          <w:rFonts w:ascii="Times New Roman" w:hAnsi="Times New Roman" w:cs="Times New Roman"/>
          <w:sz w:val="24"/>
          <w:szCs w:val="24"/>
        </w:rPr>
        <w:t xml:space="preserve">– with </w:t>
      </w:r>
      <w:r w:rsidR="001B0F29" w:rsidRPr="00AE141E">
        <w:rPr>
          <w:rFonts w:ascii="Times New Roman" w:hAnsi="Times New Roman" w:cs="Times New Roman"/>
          <w:sz w:val="24"/>
          <w:szCs w:val="24"/>
        </w:rPr>
        <w:t>variable</w:t>
      </w:r>
      <w:r w:rsidR="00146EC2" w:rsidRPr="00AE141E">
        <w:rPr>
          <w:rFonts w:ascii="Times New Roman" w:hAnsi="Times New Roman" w:cs="Times New Roman"/>
          <w:sz w:val="24"/>
          <w:szCs w:val="24"/>
        </w:rPr>
        <w:t xml:space="preserve"> results</w:t>
      </w:r>
      <w:r w:rsidR="00E157D4" w:rsidRPr="00AE141E">
        <w:rPr>
          <w:rFonts w:ascii="Times New Roman" w:hAnsi="Times New Roman" w:cs="Times New Roman"/>
          <w:sz w:val="24"/>
          <w:szCs w:val="24"/>
        </w:rPr>
        <w:t>.</w:t>
      </w:r>
      <w:r w:rsidR="00FC27C8" w:rsidRPr="00AE141E">
        <w:rPr>
          <w:rStyle w:val="FootnoteReference"/>
          <w:rFonts w:ascii="Times New Roman" w:hAnsi="Times New Roman" w:cs="Times New Roman"/>
          <w:sz w:val="24"/>
          <w:szCs w:val="24"/>
        </w:rPr>
        <w:footnoteReference w:id="363"/>
      </w:r>
      <w:r w:rsidR="00E157D4" w:rsidRPr="00AE141E">
        <w:rPr>
          <w:rFonts w:ascii="Times New Roman" w:hAnsi="Times New Roman" w:cs="Times New Roman"/>
          <w:sz w:val="24"/>
          <w:szCs w:val="24"/>
        </w:rPr>
        <w:t xml:space="preserve"> </w:t>
      </w:r>
      <w:r w:rsidR="0012699C" w:rsidRPr="00AE141E">
        <w:rPr>
          <w:rFonts w:ascii="Times New Roman" w:hAnsi="Times New Roman" w:cs="Times New Roman"/>
          <w:sz w:val="24"/>
          <w:szCs w:val="24"/>
        </w:rPr>
        <w:t xml:space="preserve">The </w:t>
      </w:r>
      <w:r w:rsidR="00E30600" w:rsidRPr="00AE141E">
        <w:rPr>
          <w:rFonts w:ascii="Times New Roman" w:hAnsi="Times New Roman" w:cs="Times New Roman"/>
          <w:sz w:val="24"/>
          <w:szCs w:val="24"/>
        </w:rPr>
        <w:t>critique</w:t>
      </w:r>
      <w:r w:rsidR="003965BF" w:rsidRPr="00AE141E">
        <w:rPr>
          <w:rFonts w:ascii="Times New Roman" w:hAnsi="Times New Roman" w:cs="Times New Roman"/>
          <w:sz w:val="24"/>
          <w:szCs w:val="24"/>
        </w:rPr>
        <w:t xml:space="preserve"> of assimilationist discourses </w:t>
      </w:r>
      <w:r w:rsidR="00E30600" w:rsidRPr="00AE141E">
        <w:rPr>
          <w:rFonts w:ascii="Times New Roman" w:hAnsi="Times New Roman" w:cs="Times New Roman"/>
          <w:sz w:val="24"/>
          <w:szCs w:val="24"/>
        </w:rPr>
        <w:t>and their sometime disavowal in favour of a</w:t>
      </w:r>
      <w:r w:rsidR="00A903EE" w:rsidRPr="00AE141E">
        <w:rPr>
          <w:rFonts w:ascii="Times New Roman" w:hAnsi="Times New Roman" w:cs="Times New Roman"/>
          <w:sz w:val="24"/>
          <w:szCs w:val="24"/>
        </w:rPr>
        <w:t xml:space="preserve"> contested and controversial</w:t>
      </w:r>
      <w:r w:rsidR="00E30600" w:rsidRPr="00AE141E">
        <w:rPr>
          <w:rFonts w:ascii="Times New Roman" w:hAnsi="Times New Roman" w:cs="Times New Roman"/>
          <w:sz w:val="24"/>
          <w:szCs w:val="24"/>
        </w:rPr>
        <w:t xml:space="preserve"> ‘multicultural’ educational vision will be the subject of the </w:t>
      </w:r>
      <w:r w:rsidR="00BA5E3A" w:rsidRPr="00AE141E">
        <w:rPr>
          <w:rFonts w:ascii="Times New Roman" w:hAnsi="Times New Roman" w:cs="Times New Roman"/>
          <w:sz w:val="24"/>
          <w:szCs w:val="24"/>
        </w:rPr>
        <w:t>following chapter.</w:t>
      </w:r>
    </w:p>
    <w:p w14:paraId="7855B2F6" w14:textId="77777777" w:rsidR="007B4181" w:rsidRPr="00AE141E" w:rsidRDefault="007B418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br w:type="page"/>
      </w:r>
    </w:p>
    <w:p w14:paraId="4FC894DF" w14:textId="6EFDB404" w:rsidR="007D6EF0" w:rsidRPr="00DF0C4F" w:rsidRDefault="00586B83" w:rsidP="001A12F1">
      <w:pPr>
        <w:pStyle w:val="Heading1"/>
      </w:pPr>
      <w:bookmarkStart w:id="9" w:name="_Toc193726230"/>
      <w:r w:rsidRPr="00DF0C4F">
        <w:lastRenderedPageBreak/>
        <w:t>3</w:t>
      </w:r>
      <w:r w:rsidR="0046364B" w:rsidRPr="00DF0C4F">
        <w:t xml:space="preserve">. </w:t>
      </w:r>
      <w:r w:rsidR="000A545A" w:rsidRPr="00DF0C4F">
        <w:t>The Young Warriors:</w:t>
      </w:r>
      <w:r w:rsidR="000A545A" w:rsidRPr="00DF0C4F">
        <w:rPr>
          <w:i/>
        </w:rPr>
        <w:t xml:space="preserve"> </w:t>
      </w:r>
      <w:r w:rsidR="000A545A" w:rsidRPr="00DF0C4F">
        <w:t xml:space="preserve">Race and Resistance in </w:t>
      </w:r>
      <w:r w:rsidR="007D6EF0" w:rsidRPr="00DF0C4F">
        <w:t>Education</w:t>
      </w:r>
      <w:r w:rsidR="00E24AE4" w:rsidRPr="00DF0C4F">
        <w:t>, 196</w:t>
      </w:r>
      <w:r w:rsidR="00FC554E">
        <w:t>5</w:t>
      </w:r>
      <w:r w:rsidR="00E24AE4" w:rsidRPr="00DF0C4F">
        <w:t>-1985</w:t>
      </w:r>
      <w:bookmarkEnd w:id="9"/>
    </w:p>
    <w:p w14:paraId="73F053E4" w14:textId="77777777" w:rsidR="006D2FAC" w:rsidRPr="00AE141E" w:rsidRDefault="006D2FAC" w:rsidP="00AE141E">
      <w:pPr>
        <w:spacing w:line="360" w:lineRule="auto"/>
        <w:ind w:left="720"/>
        <w:rPr>
          <w:rFonts w:ascii="Times New Roman" w:hAnsi="Times New Roman" w:cs="Times New Roman"/>
          <w:sz w:val="24"/>
          <w:szCs w:val="24"/>
        </w:rPr>
      </w:pPr>
    </w:p>
    <w:p w14:paraId="53341E49" w14:textId="32BC114C" w:rsidR="009B00B2" w:rsidRPr="00AE141E" w:rsidRDefault="006D2FAC" w:rsidP="00AE141E">
      <w:pPr>
        <w:spacing w:line="360" w:lineRule="auto"/>
        <w:ind w:left="720"/>
        <w:rPr>
          <w:rFonts w:ascii="Times New Roman" w:hAnsi="Times New Roman" w:cs="Times New Roman"/>
          <w:b/>
          <w:bCs/>
          <w:sz w:val="24"/>
          <w:szCs w:val="24"/>
        </w:rPr>
      </w:pPr>
      <w:r w:rsidRPr="00AE141E">
        <w:rPr>
          <w:rFonts w:ascii="Times New Roman" w:hAnsi="Times New Roman" w:cs="Times New Roman"/>
          <w:i/>
          <w:sz w:val="24"/>
          <w:szCs w:val="24"/>
        </w:rPr>
        <w:t>It looks as if the old history syllabi are disappearing and a new generation of teachers has established itself, which is no longer prepared to grow grey in the service of the Tudors.</w:t>
      </w:r>
      <w:r w:rsidRPr="00AE141E">
        <w:rPr>
          <w:rStyle w:val="FootnoteReference"/>
          <w:rFonts w:ascii="Times New Roman" w:hAnsi="Times New Roman" w:cs="Times New Roman"/>
          <w:sz w:val="24"/>
          <w:szCs w:val="24"/>
        </w:rPr>
        <w:footnoteReference w:id="364"/>
      </w:r>
      <w:r w:rsidRPr="00AE141E">
        <w:rPr>
          <w:rFonts w:ascii="Times New Roman" w:hAnsi="Times New Roman" w:cs="Times New Roman"/>
          <w:sz w:val="24"/>
          <w:szCs w:val="24"/>
        </w:rPr>
        <w:t xml:space="preserve"> </w:t>
      </w:r>
      <w:r w:rsidRPr="00AE141E">
        <w:rPr>
          <w:rFonts w:ascii="Times New Roman" w:hAnsi="Times New Roman" w:cs="Times New Roman"/>
          <w:b/>
          <w:bCs/>
          <w:sz w:val="24"/>
          <w:szCs w:val="24"/>
        </w:rPr>
        <w:t>Charles Hannam, 1978.</w:t>
      </w:r>
    </w:p>
    <w:p w14:paraId="43F7A0F0" w14:textId="77777777" w:rsidR="001B1F00" w:rsidRPr="00AE141E" w:rsidRDefault="001B1F00" w:rsidP="00AE141E">
      <w:pPr>
        <w:spacing w:line="360" w:lineRule="auto"/>
        <w:ind w:left="720"/>
        <w:rPr>
          <w:rFonts w:ascii="Times New Roman" w:hAnsi="Times New Roman" w:cs="Times New Roman"/>
          <w:b/>
          <w:bCs/>
          <w:sz w:val="24"/>
          <w:szCs w:val="24"/>
        </w:rPr>
      </w:pPr>
    </w:p>
    <w:p w14:paraId="42190F58" w14:textId="473E4DF5" w:rsidR="003350BB" w:rsidRPr="00AE141E" w:rsidRDefault="003350BB" w:rsidP="00AE141E">
      <w:pPr>
        <w:spacing w:line="360" w:lineRule="auto"/>
        <w:ind w:left="720"/>
        <w:rPr>
          <w:rFonts w:ascii="Times New Roman" w:hAnsi="Times New Roman" w:cs="Times New Roman"/>
          <w:b/>
          <w:bCs/>
          <w:sz w:val="24"/>
          <w:szCs w:val="24"/>
        </w:rPr>
      </w:pPr>
      <w:r w:rsidRPr="00AE141E">
        <w:rPr>
          <w:rFonts w:ascii="Times New Roman" w:hAnsi="Times New Roman" w:cs="Times New Roman"/>
          <w:b/>
          <w:bCs/>
          <w:sz w:val="24"/>
          <w:szCs w:val="24"/>
        </w:rPr>
        <w:t>Chapter Summary</w:t>
      </w:r>
    </w:p>
    <w:p w14:paraId="5A8DA175" w14:textId="04224522" w:rsidR="00CC6F40" w:rsidRPr="00AE141E" w:rsidRDefault="0082610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The following chapter </w:t>
      </w:r>
      <w:r w:rsidR="00CC6F40" w:rsidRPr="00AE141E">
        <w:rPr>
          <w:rFonts w:ascii="Times New Roman" w:hAnsi="Times New Roman" w:cs="Times New Roman"/>
          <w:sz w:val="24"/>
          <w:szCs w:val="24"/>
        </w:rPr>
        <w:t>details the challenge presented to dominant narratives of empire by students from colonised backgrounds.</w:t>
      </w:r>
      <w:r w:rsidR="001061B7" w:rsidRPr="00AE141E">
        <w:rPr>
          <w:rFonts w:ascii="Times New Roman" w:hAnsi="Times New Roman" w:cs="Times New Roman"/>
          <w:sz w:val="24"/>
          <w:szCs w:val="24"/>
        </w:rPr>
        <w:t xml:space="preserve"> Downwardly racialised communities</w:t>
      </w:r>
      <w:r w:rsidR="00150552" w:rsidRPr="00AE141E">
        <w:rPr>
          <w:rFonts w:ascii="Times New Roman" w:hAnsi="Times New Roman" w:cs="Times New Roman"/>
          <w:sz w:val="24"/>
          <w:szCs w:val="24"/>
        </w:rPr>
        <w:t xml:space="preserve"> </w:t>
      </w:r>
      <w:r w:rsidR="00F7015C" w:rsidRPr="00AE141E">
        <w:rPr>
          <w:rFonts w:ascii="Times New Roman" w:hAnsi="Times New Roman" w:cs="Times New Roman"/>
          <w:sz w:val="24"/>
          <w:szCs w:val="24"/>
        </w:rPr>
        <w:t>viewed historical understanding as a key foundation of political identity and anti-racist resistance.</w:t>
      </w:r>
      <w:r w:rsidR="006D3C3F" w:rsidRPr="00AE141E">
        <w:rPr>
          <w:rFonts w:ascii="Times New Roman" w:hAnsi="Times New Roman" w:cs="Times New Roman"/>
          <w:sz w:val="24"/>
          <w:szCs w:val="24"/>
        </w:rPr>
        <w:t xml:space="preserve"> </w:t>
      </w:r>
      <w:r w:rsidR="0068495E" w:rsidRPr="00AE141E">
        <w:rPr>
          <w:rFonts w:ascii="Times New Roman" w:hAnsi="Times New Roman" w:cs="Times New Roman"/>
          <w:sz w:val="24"/>
          <w:szCs w:val="24"/>
        </w:rPr>
        <w:t xml:space="preserve">Young people of colour received a historical education outside of </w:t>
      </w:r>
      <w:r w:rsidR="00CB5DD3" w:rsidRPr="00AE141E">
        <w:rPr>
          <w:rFonts w:ascii="Times New Roman" w:hAnsi="Times New Roman" w:cs="Times New Roman"/>
          <w:sz w:val="24"/>
          <w:szCs w:val="24"/>
        </w:rPr>
        <w:t>the state</w:t>
      </w:r>
      <w:r w:rsidR="0068495E" w:rsidRPr="00AE141E">
        <w:rPr>
          <w:rFonts w:ascii="Times New Roman" w:hAnsi="Times New Roman" w:cs="Times New Roman"/>
          <w:sz w:val="24"/>
          <w:szCs w:val="24"/>
        </w:rPr>
        <w:t xml:space="preserve"> </w:t>
      </w:r>
      <w:r w:rsidR="00CB5DD3" w:rsidRPr="00AE141E">
        <w:rPr>
          <w:rFonts w:ascii="Times New Roman" w:hAnsi="Times New Roman" w:cs="Times New Roman"/>
          <w:sz w:val="24"/>
          <w:szCs w:val="24"/>
        </w:rPr>
        <w:t>education</w:t>
      </w:r>
      <w:r w:rsidR="0068495E" w:rsidRPr="00AE141E">
        <w:rPr>
          <w:rFonts w:ascii="Times New Roman" w:hAnsi="Times New Roman" w:cs="Times New Roman"/>
          <w:sz w:val="24"/>
          <w:szCs w:val="24"/>
        </w:rPr>
        <w:t xml:space="preserve"> </w:t>
      </w:r>
      <w:r w:rsidR="00CB5DD3" w:rsidRPr="00AE141E">
        <w:rPr>
          <w:rFonts w:ascii="Times New Roman" w:hAnsi="Times New Roman" w:cs="Times New Roman"/>
          <w:sz w:val="24"/>
          <w:szCs w:val="24"/>
        </w:rPr>
        <w:t>system</w:t>
      </w:r>
      <w:r w:rsidR="0068495E" w:rsidRPr="00AE141E">
        <w:rPr>
          <w:rFonts w:ascii="Times New Roman" w:hAnsi="Times New Roman" w:cs="Times New Roman"/>
          <w:sz w:val="24"/>
          <w:szCs w:val="24"/>
        </w:rPr>
        <w:t>, via community organisations and intergenerational conversation. This equipped them to challenge received knowledge within the formal</w:t>
      </w:r>
      <w:r w:rsidR="00CB5DD3" w:rsidRPr="00AE141E">
        <w:rPr>
          <w:rFonts w:ascii="Times New Roman" w:hAnsi="Times New Roman" w:cs="Times New Roman"/>
          <w:sz w:val="24"/>
          <w:szCs w:val="24"/>
        </w:rPr>
        <w:t xml:space="preserve"> classroom environment. </w:t>
      </w:r>
      <w:r w:rsidR="00CC6F40" w:rsidRPr="00AE141E">
        <w:rPr>
          <w:rFonts w:ascii="Times New Roman" w:hAnsi="Times New Roman" w:cs="Times New Roman"/>
          <w:sz w:val="24"/>
          <w:szCs w:val="24"/>
        </w:rPr>
        <w:t>In so doing, students</w:t>
      </w:r>
      <w:r w:rsidR="004E0B7B" w:rsidRPr="00AE141E">
        <w:rPr>
          <w:rFonts w:ascii="Times New Roman" w:hAnsi="Times New Roman" w:cs="Times New Roman"/>
          <w:sz w:val="24"/>
          <w:szCs w:val="24"/>
        </w:rPr>
        <w:t xml:space="preserve"> of colour</w:t>
      </w:r>
      <w:r w:rsidR="00CC6F40" w:rsidRPr="00AE141E">
        <w:rPr>
          <w:rFonts w:ascii="Times New Roman" w:hAnsi="Times New Roman" w:cs="Times New Roman"/>
          <w:sz w:val="24"/>
          <w:szCs w:val="24"/>
        </w:rPr>
        <w:t xml:space="preserve"> educated their peers. Depending on the setting, these interventions could be variously interpreted as helpful or disruptive.</w:t>
      </w:r>
      <w:r w:rsidR="00A63BB9" w:rsidRPr="00AE141E">
        <w:rPr>
          <w:rFonts w:ascii="Times New Roman" w:hAnsi="Times New Roman" w:cs="Times New Roman"/>
          <w:sz w:val="24"/>
          <w:szCs w:val="24"/>
        </w:rPr>
        <w:t xml:space="preserve"> </w:t>
      </w:r>
      <w:r w:rsidR="008A469D" w:rsidRPr="00AE141E">
        <w:rPr>
          <w:rFonts w:ascii="Times New Roman" w:hAnsi="Times New Roman" w:cs="Times New Roman"/>
          <w:sz w:val="24"/>
          <w:szCs w:val="24"/>
        </w:rPr>
        <w:t xml:space="preserve">Teachers </w:t>
      </w:r>
      <w:r w:rsidR="00E5579C" w:rsidRPr="00AE141E">
        <w:rPr>
          <w:rFonts w:ascii="Times New Roman" w:hAnsi="Times New Roman" w:cs="Times New Roman"/>
          <w:sz w:val="24"/>
          <w:szCs w:val="24"/>
        </w:rPr>
        <w:t xml:space="preserve">initially responded to the presence of students of colour with </w:t>
      </w:r>
      <w:r w:rsidR="00800F9A" w:rsidRPr="00AE141E">
        <w:rPr>
          <w:rFonts w:ascii="Times New Roman" w:hAnsi="Times New Roman" w:cs="Times New Roman"/>
          <w:sz w:val="24"/>
          <w:szCs w:val="24"/>
        </w:rPr>
        <w:t>an assimilationist policy. Over time, a number of other approaches (Black Studies, multiculturalism, anti-racism)</w:t>
      </w:r>
      <w:r w:rsidR="003A430F" w:rsidRPr="00AE141E">
        <w:rPr>
          <w:rFonts w:ascii="Times New Roman" w:hAnsi="Times New Roman" w:cs="Times New Roman"/>
          <w:sz w:val="24"/>
          <w:szCs w:val="24"/>
        </w:rPr>
        <w:t xml:space="preserve"> </w:t>
      </w:r>
      <w:r w:rsidR="00F47FB8" w:rsidRPr="00AE141E">
        <w:rPr>
          <w:rFonts w:ascii="Times New Roman" w:hAnsi="Times New Roman" w:cs="Times New Roman"/>
          <w:sz w:val="24"/>
          <w:szCs w:val="24"/>
        </w:rPr>
        <w:t>produced</w:t>
      </w:r>
      <w:r w:rsidR="003A430F" w:rsidRPr="00AE141E">
        <w:rPr>
          <w:rFonts w:ascii="Times New Roman" w:hAnsi="Times New Roman" w:cs="Times New Roman"/>
          <w:sz w:val="24"/>
          <w:szCs w:val="24"/>
        </w:rPr>
        <w:t xml:space="preserve"> curricular reform</w:t>
      </w:r>
      <w:r w:rsidR="004F122A" w:rsidRPr="00AE141E">
        <w:rPr>
          <w:rFonts w:ascii="Times New Roman" w:hAnsi="Times New Roman" w:cs="Times New Roman"/>
          <w:sz w:val="24"/>
          <w:szCs w:val="24"/>
        </w:rPr>
        <w:t>. In some cases, these responded to demands</w:t>
      </w:r>
      <w:r w:rsidR="00C76C70" w:rsidRPr="00AE141E">
        <w:rPr>
          <w:rFonts w:ascii="Times New Roman" w:hAnsi="Times New Roman" w:cs="Times New Roman"/>
          <w:sz w:val="24"/>
          <w:szCs w:val="24"/>
        </w:rPr>
        <w:t xml:space="preserve"> made by</w:t>
      </w:r>
      <w:r w:rsidR="004F122A" w:rsidRPr="00AE141E">
        <w:rPr>
          <w:rFonts w:ascii="Times New Roman" w:hAnsi="Times New Roman" w:cs="Times New Roman"/>
          <w:sz w:val="24"/>
          <w:szCs w:val="24"/>
        </w:rPr>
        <w:t xml:space="preserve"> people </w:t>
      </w:r>
      <w:r w:rsidR="00C76C70" w:rsidRPr="00AE141E">
        <w:rPr>
          <w:rFonts w:ascii="Times New Roman" w:hAnsi="Times New Roman" w:cs="Times New Roman"/>
          <w:sz w:val="24"/>
          <w:szCs w:val="24"/>
        </w:rPr>
        <w:t xml:space="preserve">of colour, in others, they were </w:t>
      </w:r>
      <w:r w:rsidR="0043411E" w:rsidRPr="00AE141E">
        <w:rPr>
          <w:rFonts w:ascii="Times New Roman" w:hAnsi="Times New Roman" w:cs="Times New Roman"/>
          <w:sz w:val="24"/>
          <w:szCs w:val="24"/>
        </w:rPr>
        <w:t xml:space="preserve">imposed as a strategy of containment. Once again, the traditional core of the English history curriculum remained intact during these years. However, </w:t>
      </w:r>
      <w:r w:rsidR="00F47FB8" w:rsidRPr="00AE141E">
        <w:rPr>
          <w:rFonts w:ascii="Times New Roman" w:hAnsi="Times New Roman" w:cs="Times New Roman"/>
          <w:sz w:val="24"/>
          <w:szCs w:val="24"/>
        </w:rPr>
        <w:t xml:space="preserve">some schools instituted genuinely radical modes of historical education which </w:t>
      </w:r>
      <w:r w:rsidR="00BE3870" w:rsidRPr="00AE141E">
        <w:rPr>
          <w:rFonts w:ascii="Times New Roman" w:hAnsi="Times New Roman" w:cs="Times New Roman"/>
          <w:sz w:val="24"/>
          <w:szCs w:val="24"/>
        </w:rPr>
        <w:t>brought empire under a critical analytical lens. The imposition of the National Curriculum must be read as a product of these experiments.</w:t>
      </w:r>
    </w:p>
    <w:p w14:paraId="021F1CA4" w14:textId="77777777" w:rsidR="0082610F" w:rsidRPr="00AE141E" w:rsidRDefault="0082610F" w:rsidP="00AE141E">
      <w:pPr>
        <w:spacing w:line="360" w:lineRule="auto"/>
        <w:rPr>
          <w:rFonts w:ascii="Times New Roman" w:hAnsi="Times New Roman" w:cs="Times New Roman"/>
          <w:sz w:val="24"/>
          <w:szCs w:val="24"/>
        </w:rPr>
      </w:pPr>
    </w:p>
    <w:p w14:paraId="101EC1C0" w14:textId="40509407" w:rsidR="00146EC2" w:rsidRPr="00AE141E" w:rsidRDefault="000510F8" w:rsidP="00AE141E">
      <w:pPr>
        <w:spacing w:line="360" w:lineRule="auto"/>
        <w:rPr>
          <w:rFonts w:ascii="Times New Roman" w:hAnsi="Times New Roman" w:cs="Times New Roman"/>
          <w:sz w:val="24"/>
          <w:szCs w:val="24"/>
        </w:rPr>
      </w:pPr>
      <w:bookmarkStart w:id="10" w:name="_Hlk169784254"/>
      <w:r w:rsidRPr="00AE141E">
        <w:rPr>
          <w:rFonts w:ascii="Times New Roman" w:hAnsi="Times New Roman" w:cs="Times New Roman"/>
          <w:sz w:val="24"/>
          <w:szCs w:val="24"/>
        </w:rPr>
        <w:t>As Tariq Modood and Stephen May have detailed,</w:t>
      </w:r>
      <w:r w:rsidR="007336AD" w:rsidRPr="00AE141E">
        <w:rPr>
          <w:rFonts w:ascii="Times New Roman" w:hAnsi="Times New Roman" w:cs="Times New Roman"/>
          <w:sz w:val="24"/>
          <w:szCs w:val="24"/>
        </w:rPr>
        <w:t xml:space="preserve"> the timeline of children’s migration must be considered to be distinct from that of adults.</w:t>
      </w:r>
      <w:r w:rsidR="007336AD" w:rsidRPr="00AE141E">
        <w:rPr>
          <w:rStyle w:val="FootnoteReference"/>
          <w:rFonts w:ascii="Times New Roman" w:hAnsi="Times New Roman" w:cs="Times New Roman"/>
          <w:sz w:val="24"/>
          <w:szCs w:val="24"/>
        </w:rPr>
        <w:footnoteReference w:id="365"/>
      </w:r>
      <w:r w:rsidR="007336AD"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Men of working age were usually the first in their families to migrate from Commonwealth countries to the UK. A pattern was </w:t>
      </w:r>
      <w:r w:rsidRPr="00AE141E">
        <w:rPr>
          <w:rFonts w:ascii="Times New Roman" w:hAnsi="Times New Roman" w:cs="Times New Roman"/>
          <w:sz w:val="24"/>
          <w:szCs w:val="24"/>
        </w:rPr>
        <w:lastRenderedPageBreak/>
        <w:t xml:space="preserve">established whereby a man would shoulder the burden of initial economic precarity in the new country, find work, and later encourage his spouse and children to join him under the family reunification conditions built into British immigration policy. </w:t>
      </w:r>
      <w:r w:rsidR="007336AD" w:rsidRPr="00AE141E">
        <w:rPr>
          <w:rFonts w:ascii="Times New Roman" w:hAnsi="Times New Roman" w:cs="Times New Roman"/>
          <w:sz w:val="24"/>
          <w:szCs w:val="24"/>
        </w:rPr>
        <w:t>Thus, the presence of a substantial minority of children of Afr</w:t>
      </w:r>
      <w:r w:rsidR="00AE21E6" w:rsidRPr="00AE141E">
        <w:rPr>
          <w:rFonts w:ascii="Times New Roman" w:hAnsi="Times New Roman" w:cs="Times New Roman"/>
          <w:sz w:val="24"/>
          <w:szCs w:val="24"/>
        </w:rPr>
        <w:t>ican</w:t>
      </w:r>
      <w:r w:rsidR="007336AD" w:rsidRPr="00AE141E">
        <w:rPr>
          <w:rFonts w:ascii="Times New Roman" w:hAnsi="Times New Roman" w:cs="Times New Roman"/>
          <w:sz w:val="24"/>
          <w:szCs w:val="24"/>
        </w:rPr>
        <w:t xml:space="preserve">-Caribbean and Asian </w:t>
      </w:r>
      <w:r w:rsidR="006D47AD" w:rsidRPr="00AE141E">
        <w:rPr>
          <w:rFonts w:ascii="Times New Roman" w:hAnsi="Times New Roman" w:cs="Times New Roman"/>
          <w:sz w:val="24"/>
          <w:szCs w:val="24"/>
        </w:rPr>
        <w:t>heritage</w:t>
      </w:r>
      <w:r w:rsidR="007336AD" w:rsidRPr="00AE141E">
        <w:rPr>
          <w:rFonts w:ascii="Times New Roman" w:hAnsi="Times New Roman" w:cs="Times New Roman"/>
          <w:sz w:val="24"/>
          <w:szCs w:val="24"/>
        </w:rPr>
        <w:t xml:space="preserve"> within British schools was only truly observable from the mid-1960s onwards</w:t>
      </w:r>
      <w:r w:rsidR="007808CF" w:rsidRPr="00AE141E">
        <w:rPr>
          <w:rFonts w:ascii="Times New Roman" w:hAnsi="Times New Roman" w:cs="Times New Roman"/>
          <w:sz w:val="24"/>
          <w:szCs w:val="24"/>
        </w:rPr>
        <w:t xml:space="preserve">, </w:t>
      </w:r>
      <w:r w:rsidR="00A542C7" w:rsidRPr="00AE141E">
        <w:rPr>
          <w:rFonts w:ascii="Times New Roman" w:hAnsi="Times New Roman" w:cs="Times New Roman"/>
          <w:sz w:val="24"/>
          <w:szCs w:val="24"/>
        </w:rPr>
        <w:t xml:space="preserve">with higher numbers in primary </w:t>
      </w:r>
      <w:r w:rsidR="00604AFC" w:rsidRPr="00AE141E">
        <w:rPr>
          <w:rFonts w:ascii="Times New Roman" w:hAnsi="Times New Roman" w:cs="Times New Roman"/>
          <w:sz w:val="24"/>
          <w:szCs w:val="24"/>
        </w:rPr>
        <w:t>than</w:t>
      </w:r>
      <w:r w:rsidR="00A542C7" w:rsidRPr="00AE141E">
        <w:rPr>
          <w:rFonts w:ascii="Times New Roman" w:hAnsi="Times New Roman" w:cs="Times New Roman"/>
          <w:sz w:val="24"/>
          <w:szCs w:val="24"/>
        </w:rPr>
        <w:t xml:space="preserve"> secondary </w:t>
      </w:r>
      <w:r w:rsidR="00604AFC" w:rsidRPr="00AE141E">
        <w:rPr>
          <w:rFonts w:ascii="Times New Roman" w:hAnsi="Times New Roman" w:cs="Times New Roman"/>
          <w:sz w:val="24"/>
          <w:szCs w:val="24"/>
        </w:rPr>
        <w:t>education</w:t>
      </w:r>
      <w:r w:rsidR="00A542C7" w:rsidRPr="00AE141E">
        <w:rPr>
          <w:rFonts w:ascii="Times New Roman" w:hAnsi="Times New Roman" w:cs="Times New Roman"/>
          <w:sz w:val="24"/>
          <w:szCs w:val="24"/>
        </w:rPr>
        <w:t>.</w:t>
      </w:r>
      <w:r w:rsidR="007336AD" w:rsidRPr="00AE141E">
        <w:rPr>
          <w:rStyle w:val="FootnoteReference"/>
          <w:rFonts w:ascii="Times New Roman" w:hAnsi="Times New Roman" w:cs="Times New Roman"/>
          <w:sz w:val="24"/>
          <w:szCs w:val="24"/>
        </w:rPr>
        <w:footnoteReference w:id="366"/>
      </w:r>
      <w:r w:rsidR="00C6257E" w:rsidRPr="00AE141E">
        <w:rPr>
          <w:rFonts w:ascii="Times New Roman" w:hAnsi="Times New Roman" w:cs="Times New Roman"/>
          <w:sz w:val="24"/>
          <w:szCs w:val="24"/>
        </w:rPr>
        <w:t xml:space="preserve"> </w:t>
      </w:r>
      <w:r w:rsidR="00B6579E" w:rsidRPr="00AE141E">
        <w:rPr>
          <w:rFonts w:ascii="Times New Roman" w:hAnsi="Times New Roman" w:cs="Times New Roman"/>
          <w:sz w:val="24"/>
          <w:szCs w:val="24"/>
        </w:rPr>
        <w:t>I</w:t>
      </w:r>
      <w:r w:rsidR="00C6257E" w:rsidRPr="00AE141E">
        <w:rPr>
          <w:rFonts w:ascii="Times New Roman" w:hAnsi="Times New Roman" w:cs="Times New Roman"/>
          <w:sz w:val="24"/>
          <w:szCs w:val="24"/>
        </w:rPr>
        <w:t>n 1961</w:t>
      </w:r>
      <w:r w:rsidR="007808CF" w:rsidRPr="00AE141E">
        <w:rPr>
          <w:rFonts w:ascii="Times New Roman" w:hAnsi="Times New Roman" w:cs="Times New Roman"/>
          <w:sz w:val="24"/>
          <w:szCs w:val="24"/>
        </w:rPr>
        <w:t xml:space="preserve">, there were </w:t>
      </w:r>
      <w:r w:rsidR="00604AFC" w:rsidRPr="00AE141E">
        <w:rPr>
          <w:rFonts w:ascii="Times New Roman" w:hAnsi="Times New Roman" w:cs="Times New Roman"/>
          <w:sz w:val="24"/>
          <w:szCs w:val="24"/>
        </w:rPr>
        <w:t xml:space="preserve">46,000 </w:t>
      </w:r>
      <w:r w:rsidR="002F6349">
        <w:rPr>
          <w:rFonts w:ascii="Times New Roman" w:hAnsi="Times New Roman" w:cs="Times New Roman"/>
          <w:sz w:val="24"/>
          <w:szCs w:val="24"/>
        </w:rPr>
        <w:t>‘</w:t>
      </w:r>
      <w:r w:rsidR="00604AFC" w:rsidRPr="00AE141E">
        <w:rPr>
          <w:rFonts w:ascii="Times New Roman" w:hAnsi="Times New Roman" w:cs="Times New Roman"/>
          <w:sz w:val="24"/>
          <w:szCs w:val="24"/>
        </w:rPr>
        <w:t>immigrant</w:t>
      </w:r>
      <w:r w:rsidR="002F6349">
        <w:rPr>
          <w:rFonts w:ascii="Times New Roman" w:hAnsi="Times New Roman" w:cs="Times New Roman"/>
          <w:sz w:val="24"/>
          <w:szCs w:val="24"/>
        </w:rPr>
        <w:t>’</w:t>
      </w:r>
      <w:r w:rsidR="00604AFC" w:rsidRPr="00AE141E">
        <w:rPr>
          <w:rFonts w:ascii="Times New Roman" w:hAnsi="Times New Roman" w:cs="Times New Roman"/>
          <w:sz w:val="24"/>
          <w:szCs w:val="24"/>
        </w:rPr>
        <w:t xml:space="preserve"> children in primary schools and just 33,000 in secondary schools.</w:t>
      </w:r>
      <w:r w:rsidR="00446C3A" w:rsidRPr="00AE141E">
        <w:rPr>
          <w:rFonts w:ascii="Times New Roman" w:hAnsi="Times New Roman" w:cs="Times New Roman"/>
          <w:sz w:val="24"/>
          <w:szCs w:val="24"/>
        </w:rPr>
        <w:t xml:space="preserve"> </w:t>
      </w:r>
      <w:r w:rsidR="003C6066" w:rsidRPr="00AE141E">
        <w:rPr>
          <w:rFonts w:ascii="Times New Roman" w:hAnsi="Times New Roman" w:cs="Times New Roman"/>
          <w:sz w:val="24"/>
          <w:szCs w:val="24"/>
        </w:rPr>
        <w:t>These numbers increased rapidly</w:t>
      </w:r>
      <w:r w:rsidR="00F9410F" w:rsidRPr="00AE141E">
        <w:rPr>
          <w:rFonts w:ascii="Times New Roman" w:hAnsi="Times New Roman" w:cs="Times New Roman"/>
          <w:sz w:val="24"/>
          <w:szCs w:val="24"/>
        </w:rPr>
        <w:t>; f</w:t>
      </w:r>
      <w:r w:rsidR="003C6066" w:rsidRPr="00AE141E">
        <w:rPr>
          <w:rFonts w:ascii="Times New Roman" w:hAnsi="Times New Roman" w:cs="Times New Roman"/>
          <w:sz w:val="24"/>
          <w:szCs w:val="24"/>
        </w:rPr>
        <w:t>ive years later, the equivalent numbers were 100,000</w:t>
      </w:r>
      <w:r w:rsidR="009458D6" w:rsidRPr="00AE141E">
        <w:rPr>
          <w:rFonts w:ascii="Times New Roman" w:hAnsi="Times New Roman" w:cs="Times New Roman"/>
          <w:sz w:val="24"/>
          <w:szCs w:val="24"/>
        </w:rPr>
        <w:t xml:space="preserve"> in primary</w:t>
      </w:r>
      <w:r w:rsidR="003C6066" w:rsidRPr="00AE141E">
        <w:rPr>
          <w:rFonts w:ascii="Times New Roman" w:hAnsi="Times New Roman" w:cs="Times New Roman"/>
          <w:sz w:val="24"/>
          <w:szCs w:val="24"/>
        </w:rPr>
        <w:t xml:space="preserve"> and 49,000</w:t>
      </w:r>
      <w:r w:rsidR="009458D6" w:rsidRPr="00AE141E">
        <w:rPr>
          <w:rFonts w:ascii="Times New Roman" w:hAnsi="Times New Roman" w:cs="Times New Roman"/>
          <w:sz w:val="24"/>
          <w:szCs w:val="24"/>
        </w:rPr>
        <w:t xml:space="preserve"> in secondar</w:t>
      </w:r>
      <w:r w:rsidR="007D2D73" w:rsidRPr="00AE141E">
        <w:rPr>
          <w:rFonts w:ascii="Times New Roman" w:hAnsi="Times New Roman" w:cs="Times New Roman"/>
          <w:sz w:val="24"/>
          <w:szCs w:val="24"/>
        </w:rPr>
        <w:t>y</w:t>
      </w:r>
      <w:r w:rsidR="009458D6" w:rsidRPr="00AE141E">
        <w:rPr>
          <w:rFonts w:ascii="Times New Roman" w:hAnsi="Times New Roman" w:cs="Times New Roman"/>
          <w:sz w:val="24"/>
          <w:szCs w:val="24"/>
        </w:rPr>
        <w:t xml:space="preserve"> education</w:t>
      </w:r>
      <w:bookmarkEnd w:id="10"/>
      <w:r w:rsidR="003C6066" w:rsidRPr="00AE141E">
        <w:rPr>
          <w:rFonts w:ascii="Times New Roman" w:hAnsi="Times New Roman" w:cs="Times New Roman"/>
          <w:sz w:val="24"/>
          <w:szCs w:val="24"/>
        </w:rPr>
        <w:t>.</w:t>
      </w:r>
      <w:r w:rsidR="004B336D" w:rsidRPr="00AE141E">
        <w:rPr>
          <w:rStyle w:val="FootnoteReference"/>
          <w:rFonts w:ascii="Times New Roman" w:hAnsi="Times New Roman" w:cs="Times New Roman"/>
          <w:sz w:val="24"/>
          <w:szCs w:val="24"/>
        </w:rPr>
        <w:footnoteReference w:id="367"/>
      </w:r>
      <w:r w:rsidR="008D177D" w:rsidRPr="00AE141E">
        <w:rPr>
          <w:rFonts w:ascii="Times New Roman" w:hAnsi="Times New Roman" w:cs="Times New Roman"/>
          <w:sz w:val="24"/>
          <w:szCs w:val="24"/>
        </w:rPr>
        <w:t xml:space="preserve"> </w:t>
      </w:r>
    </w:p>
    <w:p w14:paraId="5E8310E4" w14:textId="17BFAABD" w:rsidR="00914CFF" w:rsidRPr="00AE141E" w:rsidRDefault="00914CF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1989, Ambalavaner Sivanandan was asked to summarise the history of educational policies from the 1950s onwards, in relation to ‘Black people in Britain’</w:t>
      </w:r>
      <w:r w:rsidR="0053182F" w:rsidRPr="00AE141E">
        <w:rPr>
          <w:rFonts w:ascii="Times New Roman" w:hAnsi="Times New Roman" w:cs="Times New Roman"/>
          <w:sz w:val="24"/>
          <w:szCs w:val="24"/>
        </w:rPr>
        <w:t>.</w:t>
      </w:r>
      <w:r w:rsidR="000A18A8">
        <w:rPr>
          <w:rStyle w:val="FootnoteReference"/>
          <w:rFonts w:ascii="Times New Roman" w:hAnsi="Times New Roman" w:cs="Times New Roman"/>
          <w:sz w:val="24"/>
          <w:szCs w:val="24"/>
        </w:rPr>
        <w:footnoteReference w:id="368"/>
      </w:r>
      <w:r w:rsidR="0053182F"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Black </w:t>
      </w:r>
      <w:r w:rsidR="007D7531" w:rsidRPr="00AE141E">
        <w:rPr>
          <w:rFonts w:ascii="Times New Roman" w:hAnsi="Times New Roman" w:cs="Times New Roman"/>
          <w:sz w:val="24"/>
          <w:szCs w:val="24"/>
        </w:rPr>
        <w:t>was here used in its</w:t>
      </w:r>
      <w:r w:rsidR="00EB5BB5" w:rsidRPr="00AE141E">
        <w:rPr>
          <w:rFonts w:ascii="Times New Roman" w:hAnsi="Times New Roman" w:cs="Times New Roman"/>
          <w:sz w:val="24"/>
          <w:szCs w:val="24"/>
        </w:rPr>
        <w:t xml:space="preserve"> political sense; </w:t>
      </w:r>
      <w:r w:rsidR="007D7531" w:rsidRPr="00AE141E">
        <w:rPr>
          <w:rFonts w:ascii="Times New Roman" w:hAnsi="Times New Roman" w:cs="Times New Roman"/>
          <w:sz w:val="24"/>
          <w:szCs w:val="24"/>
        </w:rPr>
        <w:t>‘political blackness’</w:t>
      </w:r>
      <w:r w:rsidR="00EB5BB5" w:rsidRPr="00AE141E">
        <w:rPr>
          <w:rFonts w:ascii="Times New Roman" w:hAnsi="Times New Roman" w:cs="Times New Roman"/>
          <w:sz w:val="24"/>
          <w:szCs w:val="24"/>
        </w:rPr>
        <w:t xml:space="preserve"> </w:t>
      </w:r>
      <w:r w:rsidR="007D7531" w:rsidRPr="00AE141E">
        <w:rPr>
          <w:rFonts w:ascii="Times New Roman" w:hAnsi="Times New Roman" w:cs="Times New Roman"/>
          <w:sz w:val="24"/>
          <w:szCs w:val="24"/>
        </w:rPr>
        <w:t>sought to identify and build common cause between all those subject to racist discrimination (including, most commonly, British African-Caribbean and South Asian communities).</w:t>
      </w:r>
      <w:r w:rsidRPr="00AE141E">
        <w:rPr>
          <w:rFonts w:ascii="Times New Roman" w:hAnsi="Times New Roman" w:cs="Times New Roman"/>
          <w:sz w:val="24"/>
          <w:szCs w:val="24"/>
        </w:rPr>
        <w:t xml:space="preserve"> ‘Policies is too big a word’, Sivanandan answered.</w:t>
      </w:r>
      <w:r w:rsidR="000A18A8">
        <w:rPr>
          <w:rStyle w:val="FootnoteReference"/>
          <w:rFonts w:ascii="Times New Roman" w:hAnsi="Times New Roman" w:cs="Times New Roman"/>
          <w:sz w:val="24"/>
          <w:szCs w:val="24"/>
        </w:rPr>
        <w:footnoteReference w:id="369"/>
      </w:r>
      <w:r w:rsidRPr="00AE141E">
        <w:rPr>
          <w:rFonts w:ascii="Times New Roman" w:hAnsi="Times New Roman" w:cs="Times New Roman"/>
          <w:sz w:val="24"/>
          <w:szCs w:val="24"/>
        </w:rPr>
        <w:t xml:space="preserve"> In his experience, there was no ‘coherent, systematic body of thought’ concerning the education of Black children. As subsequent research has reflected, the response of the education system to the presence of ‘immigrant’ children in schools (so called regardless of actual immigration status) was piecemeal and</w:t>
      </w:r>
      <w:r w:rsidR="007E6629" w:rsidRPr="00AE141E">
        <w:rPr>
          <w:rFonts w:ascii="Times New Roman" w:hAnsi="Times New Roman" w:cs="Times New Roman"/>
          <w:i/>
          <w:sz w:val="24"/>
          <w:szCs w:val="24"/>
        </w:rPr>
        <w:t xml:space="preserve"> </w:t>
      </w:r>
      <w:r w:rsidR="007E6629" w:rsidRPr="00AE141E">
        <w:rPr>
          <w:rFonts w:ascii="Times New Roman" w:hAnsi="Times New Roman" w:cs="Times New Roman"/>
          <w:sz w:val="24"/>
          <w:szCs w:val="24"/>
        </w:rPr>
        <w:t>reactive</w:t>
      </w:r>
      <w:r w:rsidR="00E430B4" w:rsidRPr="00AE141E">
        <w:rPr>
          <w:rFonts w:ascii="Times New Roman" w:hAnsi="Times New Roman" w:cs="Times New Roman"/>
          <w:sz w:val="24"/>
          <w:szCs w:val="24"/>
        </w:rPr>
        <w:t xml:space="preserve"> – </w:t>
      </w:r>
      <w:r w:rsidRPr="00AE141E">
        <w:rPr>
          <w:rFonts w:ascii="Times New Roman" w:hAnsi="Times New Roman" w:cs="Times New Roman"/>
          <w:sz w:val="24"/>
          <w:szCs w:val="24"/>
        </w:rPr>
        <w:t>driven</w:t>
      </w:r>
      <w:r w:rsidR="00E430B4" w:rsidRPr="00AE141E">
        <w:rPr>
          <w:rFonts w:ascii="Times New Roman" w:hAnsi="Times New Roman" w:cs="Times New Roman"/>
          <w:sz w:val="24"/>
          <w:szCs w:val="24"/>
        </w:rPr>
        <w:t xml:space="preserve"> </w:t>
      </w:r>
      <w:r w:rsidRPr="00AE141E">
        <w:rPr>
          <w:rFonts w:ascii="Times New Roman" w:hAnsi="Times New Roman" w:cs="Times New Roman"/>
          <w:sz w:val="24"/>
          <w:szCs w:val="24"/>
        </w:rPr>
        <w:t>by prejudiced understandings of events in ‘individual localities in relatively small number</w:t>
      </w:r>
      <w:r w:rsidR="00F021E0" w:rsidRPr="00AE141E">
        <w:rPr>
          <w:rFonts w:ascii="Times New Roman" w:hAnsi="Times New Roman" w:cs="Times New Roman"/>
          <w:sz w:val="24"/>
          <w:szCs w:val="24"/>
        </w:rPr>
        <w:t>s</w:t>
      </w:r>
      <w:r w:rsidRPr="00AE141E">
        <w:rPr>
          <w:rFonts w:ascii="Times New Roman" w:hAnsi="Times New Roman" w:cs="Times New Roman"/>
          <w:sz w:val="24"/>
          <w:szCs w:val="24"/>
        </w:rPr>
        <w:t xml:space="preserve"> of schools’.</w:t>
      </w:r>
      <w:r w:rsidR="00AB6855" w:rsidRPr="00AE141E">
        <w:rPr>
          <w:rStyle w:val="FootnoteReference"/>
          <w:rFonts w:ascii="Times New Roman" w:hAnsi="Times New Roman" w:cs="Times New Roman"/>
          <w:sz w:val="24"/>
          <w:szCs w:val="24"/>
        </w:rPr>
        <w:footnoteReference w:id="370"/>
      </w:r>
      <w:r w:rsidR="00DA6B18" w:rsidRPr="00AE141E">
        <w:rPr>
          <w:rFonts w:ascii="Times New Roman" w:hAnsi="Times New Roman" w:cs="Times New Roman"/>
          <w:sz w:val="24"/>
          <w:szCs w:val="24"/>
        </w:rPr>
        <w:t xml:space="preserve"> </w:t>
      </w:r>
      <w:r w:rsidR="00DA6B18" w:rsidRPr="00AE141E">
        <w:rPr>
          <w:rFonts w:ascii="Times New Roman" w:hAnsi="Times New Roman" w:cs="Times New Roman"/>
          <w:sz w:val="24"/>
          <w:szCs w:val="24"/>
        </w:rPr>
        <w:lastRenderedPageBreak/>
        <w:t xml:space="preserve">In practice, this usually meant </w:t>
      </w:r>
      <w:r w:rsidR="00EE6FE7" w:rsidRPr="00AE141E">
        <w:rPr>
          <w:rFonts w:ascii="Times New Roman" w:hAnsi="Times New Roman" w:cs="Times New Roman"/>
          <w:sz w:val="24"/>
          <w:szCs w:val="24"/>
        </w:rPr>
        <w:t xml:space="preserve">localities within Britain’s largest urban areas </w:t>
      </w:r>
      <w:r w:rsidR="00471A26" w:rsidRPr="00AE141E">
        <w:rPr>
          <w:rFonts w:ascii="Times New Roman" w:hAnsi="Times New Roman" w:cs="Times New Roman"/>
          <w:sz w:val="24"/>
          <w:szCs w:val="24"/>
        </w:rPr>
        <w:t xml:space="preserve">- </w:t>
      </w:r>
      <w:r w:rsidR="002C0FED" w:rsidRPr="00AE141E">
        <w:rPr>
          <w:rFonts w:ascii="Times New Roman" w:hAnsi="Times New Roman" w:cs="Times New Roman"/>
          <w:sz w:val="24"/>
          <w:szCs w:val="24"/>
        </w:rPr>
        <w:t xml:space="preserve">especially London, which was then home to half of all </w:t>
      </w:r>
      <w:r w:rsidR="000465B6" w:rsidRPr="00AE141E">
        <w:rPr>
          <w:rFonts w:ascii="Times New Roman" w:hAnsi="Times New Roman" w:cs="Times New Roman"/>
          <w:sz w:val="24"/>
          <w:szCs w:val="24"/>
        </w:rPr>
        <w:t>‘immigrant’ children</w:t>
      </w:r>
      <w:r w:rsidR="002C0FED" w:rsidRPr="00AE141E">
        <w:rPr>
          <w:rFonts w:ascii="Times New Roman" w:hAnsi="Times New Roman" w:cs="Times New Roman"/>
          <w:sz w:val="24"/>
          <w:szCs w:val="24"/>
        </w:rPr>
        <w:t>.</w:t>
      </w:r>
      <w:r w:rsidR="002C0FED" w:rsidRPr="00AE141E">
        <w:rPr>
          <w:rStyle w:val="FootnoteReference"/>
          <w:rFonts w:ascii="Times New Roman" w:hAnsi="Times New Roman" w:cs="Times New Roman"/>
          <w:sz w:val="24"/>
          <w:szCs w:val="24"/>
        </w:rPr>
        <w:footnoteReference w:id="371"/>
      </w:r>
      <w:r w:rsidR="002C0FED" w:rsidRPr="00AE141E">
        <w:rPr>
          <w:rFonts w:ascii="Times New Roman" w:hAnsi="Times New Roman" w:cs="Times New Roman"/>
          <w:sz w:val="24"/>
          <w:szCs w:val="24"/>
        </w:rPr>
        <w:t xml:space="preserve"> </w:t>
      </w:r>
      <w:r w:rsidRPr="00AE141E">
        <w:rPr>
          <w:rFonts w:ascii="Times New Roman" w:hAnsi="Times New Roman" w:cs="Times New Roman"/>
          <w:sz w:val="24"/>
          <w:szCs w:val="24"/>
        </w:rPr>
        <w:t>Students of colour were problematised by the deficit model of education, which viewed them as lacking essential characteristics which made their White peers educable. Posited deficiencies included culture (especially family structure and behavioural norms), language, and intelligence (measured by intelligence quotient, or IQ). The fear of students defined ‘primarily in terms of underachievement</w:t>
      </w:r>
      <w:r w:rsidR="004D012D">
        <w:rPr>
          <w:rFonts w:ascii="Times New Roman" w:hAnsi="Times New Roman" w:cs="Times New Roman"/>
          <w:sz w:val="24"/>
          <w:szCs w:val="24"/>
        </w:rPr>
        <w:t>’</w:t>
      </w:r>
      <w:r w:rsidRPr="00AE141E">
        <w:rPr>
          <w:rFonts w:ascii="Times New Roman" w:hAnsi="Times New Roman" w:cs="Times New Roman"/>
          <w:sz w:val="24"/>
          <w:szCs w:val="24"/>
        </w:rPr>
        <w:t xml:space="preserve"> created a perceived need for dispersal and containment.</w:t>
      </w:r>
      <w:r w:rsidR="004825F0">
        <w:rPr>
          <w:rStyle w:val="FootnoteReference"/>
          <w:rFonts w:ascii="Times New Roman" w:hAnsi="Times New Roman" w:cs="Times New Roman"/>
          <w:sz w:val="24"/>
          <w:szCs w:val="24"/>
        </w:rPr>
        <w:footnoteReference w:id="372"/>
      </w:r>
    </w:p>
    <w:p w14:paraId="0491E1E7" w14:textId="2A43993E" w:rsidR="00377923" w:rsidRPr="00AE141E" w:rsidRDefault="0027257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According to </w:t>
      </w:r>
      <w:r w:rsidR="0059363B" w:rsidRPr="00AE141E">
        <w:rPr>
          <w:rFonts w:ascii="Times New Roman" w:hAnsi="Times New Roman" w:cs="Times New Roman"/>
          <w:sz w:val="24"/>
          <w:szCs w:val="24"/>
        </w:rPr>
        <w:t>Olivier Esteves</w:t>
      </w:r>
      <w:r w:rsidRPr="00AE141E">
        <w:rPr>
          <w:rFonts w:ascii="Times New Roman" w:hAnsi="Times New Roman" w:cs="Times New Roman"/>
          <w:sz w:val="24"/>
          <w:szCs w:val="24"/>
        </w:rPr>
        <w:t xml:space="preserve">, </w:t>
      </w:r>
      <w:r w:rsidR="00DD01E6" w:rsidRPr="00AE141E">
        <w:rPr>
          <w:rFonts w:ascii="Times New Roman" w:hAnsi="Times New Roman" w:cs="Times New Roman"/>
          <w:sz w:val="24"/>
          <w:szCs w:val="24"/>
        </w:rPr>
        <w:t>the</w:t>
      </w:r>
      <w:r w:rsidR="0059363B" w:rsidRPr="00AE141E">
        <w:rPr>
          <w:rFonts w:ascii="Times New Roman" w:hAnsi="Times New Roman" w:cs="Times New Roman"/>
          <w:sz w:val="24"/>
          <w:szCs w:val="24"/>
        </w:rPr>
        <w:t xml:space="preserve"> </w:t>
      </w:r>
      <w:r w:rsidR="00257138" w:rsidRPr="00AE141E">
        <w:rPr>
          <w:rFonts w:ascii="Times New Roman" w:hAnsi="Times New Roman" w:cs="Times New Roman"/>
          <w:sz w:val="24"/>
          <w:szCs w:val="24"/>
        </w:rPr>
        <w:t>integration</w:t>
      </w:r>
      <w:r w:rsidR="00D62858" w:rsidRPr="00AE141E">
        <w:rPr>
          <w:rFonts w:ascii="Times New Roman" w:hAnsi="Times New Roman" w:cs="Times New Roman"/>
          <w:sz w:val="24"/>
          <w:szCs w:val="24"/>
        </w:rPr>
        <w:t xml:space="preserve"> </w:t>
      </w:r>
      <w:r w:rsidR="00DD01E6" w:rsidRPr="00AE141E">
        <w:rPr>
          <w:rFonts w:ascii="Times New Roman" w:hAnsi="Times New Roman" w:cs="Times New Roman"/>
          <w:sz w:val="24"/>
          <w:szCs w:val="24"/>
        </w:rPr>
        <w:t>of immigrants</w:t>
      </w:r>
      <w:r w:rsidR="00BE4031" w:rsidRPr="00AE141E">
        <w:rPr>
          <w:rFonts w:ascii="Times New Roman" w:hAnsi="Times New Roman" w:cs="Times New Roman"/>
          <w:sz w:val="24"/>
          <w:szCs w:val="24"/>
        </w:rPr>
        <w:t xml:space="preserve"> into </w:t>
      </w:r>
      <w:r w:rsidR="00CF24ED" w:rsidRPr="00AE141E">
        <w:rPr>
          <w:rFonts w:ascii="Times New Roman" w:hAnsi="Times New Roman" w:cs="Times New Roman"/>
          <w:sz w:val="24"/>
          <w:szCs w:val="24"/>
        </w:rPr>
        <w:t xml:space="preserve">a </w:t>
      </w:r>
      <w:r w:rsidR="00847059" w:rsidRPr="00AE141E">
        <w:rPr>
          <w:rFonts w:ascii="Times New Roman" w:hAnsi="Times New Roman" w:cs="Times New Roman"/>
          <w:sz w:val="24"/>
          <w:szCs w:val="24"/>
        </w:rPr>
        <w:t>reified</w:t>
      </w:r>
      <w:r w:rsidR="00DD01E6" w:rsidRPr="00AE141E">
        <w:rPr>
          <w:rFonts w:ascii="Times New Roman" w:hAnsi="Times New Roman" w:cs="Times New Roman"/>
          <w:sz w:val="24"/>
          <w:szCs w:val="24"/>
        </w:rPr>
        <w:t xml:space="preserve"> </w:t>
      </w:r>
      <w:r w:rsidR="00C82188" w:rsidRPr="00AE141E">
        <w:rPr>
          <w:rFonts w:ascii="Times New Roman" w:hAnsi="Times New Roman" w:cs="Times New Roman"/>
          <w:sz w:val="24"/>
          <w:szCs w:val="24"/>
        </w:rPr>
        <w:t xml:space="preserve">national ‘way of life’ </w:t>
      </w:r>
      <w:r w:rsidR="00DD01E6" w:rsidRPr="00AE141E">
        <w:rPr>
          <w:rFonts w:ascii="Times New Roman" w:hAnsi="Times New Roman" w:cs="Times New Roman"/>
          <w:sz w:val="24"/>
          <w:szCs w:val="24"/>
        </w:rPr>
        <w:t xml:space="preserve">was </w:t>
      </w:r>
      <w:r w:rsidR="00434E9C" w:rsidRPr="00AE141E">
        <w:rPr>
          <w:rFonts w:ascii="Times New Roman" w:hAnsi="Times New Roman" w:cs="Times New Roman"/>
          <w:sz w:val="24"/>
          <w:szCs w:val="24"/>
        </w:rPr>
        <w:t>one of the defining political concerns of the 1960s</w:t>
      </w:r>
      <w:r w:rsidR="000245F2" w:rsidRPr="00AE141E">
        <w:rPr>
          <w:rFonts w:ascii="Times New Roman" w:hAnsi="Times New Roman" w:cs="Times New Roman"/>
          <w:sz w:val="24"/>
          <w:szCs w:val="24"/>
        </w:rPr>
        <w:t>, and t</w:t>
      </w:r>
      <w:r w:rsidR="00267757" w:rsidRPr="00AE141E">
        <w:rPr>
          <w:rFonts w:ascii="Times New Roman" w:hAnsi="Times New Roman" w:cs="Times New Roman"/>
          <w:sz w:val="24"/>
          <w:szCs w:val="24"/>
        </w:rPr>
        <w:t>he education system its front line.</w:t>
      </w:r>
      <w:r w:rsidR="00171EC8" w:rsidRPr="00AE141E">
        <w:rPr>
          <w:rStyle w:val="FootnoteReference"/>
          <w:rFonts w:ascii="Times New Roman" w:hAnsi="Times New Roman" w:cs="Times New Roman"/>
          <w:sz w:val="24"/>
          <w:szCs w:val="24"/>
        </w:rPr>
        <w:footnoteReference w:id="373"/>
      </w:r>
      <w:r w:rsidR="00267757" w:rsidRPr="00AE141E">
        <w:rPr>
          <w:rFonts w:ascii="Times New Roman" w:hAnsi="Times New Roman" w:cs="Times New Roman"/>
          <w:sz w:val="24"/>
          <w:szCs w:val="24"/>
        </w:rPr>
        <w:t xml:space="preserve"> </w:t>
      </w:r>
      <w:r w:rsidR="00D27395" w:rsidRPr="00AE141E">
        <w:rPr>
          <w:rFonts w:ascii="Times New Roman" w:hAnsi="Times New Roman" w:cs="Times New Roman"/>
          <w:sz w:val="24"/>
          <w:szCs w:val="24"/>
        </w:rPr>
        <w:t xml:space="preserve">Government directives </w:t>
      </w:r>
      <w:r w:rsidR="007D1B28">
        <w:rPr>
          <w:rFonts w:ascii="Times New Roman" w:hAnsi="Times New Roman" w:cs="Times New Roman"/>
          <w:sz w:val="24"/>
          <w:szCs w:val="24"/>
        </w:rPr>
        <w:t>encouraged teachers to</w:t>
      </w:r>
      <w:r w:rsidR="00905BE3" w:rsidRPr="00AE141E">
        <w:rPr>
          <w:rFonts w:ascii="Times New Roman" w:hAnsi="Times New Roman" w:cs="Times New Roman"/>
          <w:sz w:val="24"/>
          <w:szCs w:val="24"/>
        </w:rPr>
        <w:t xml:space="preserve"> assimilat</w:t>
      </w:r>
      <w:r w:rsidR="007D1B28">
        <w:rPr>
          <w:rFonts w:ascii="Times New Roman" w:hAnsi="Times New Roman" w:cs="Times New Roman"/>
          <w:sz w:val="24"/>
          <w:szCs w:val="24"/>
        </w:rPr>
        <w:t>e</w:t>
      </w:r>
      <w:r w:rsidR="00905BE3" w:rsidRPr="00AE141E">
        <w:rPr>
          <w:rFonts w:ascii="Times New Roman" w:hAnsi="Times New Roman" w:cs="Times New Roman"/>
          <w:sz w:val="24"/>
          <w:szCs w:val="24"/>
        </w:rPr>
        <w:t xml:space="preserve"> young immigrants </w:t>
      </w:r>
      <w:r w:rsidR="00960C14">
        <w:rPr>
          <w:rFonts w:ascii="Times New Roman" w:hAnsi="Times New Roman" w:cs="Times New Roman"/>
          <w:sz w:val="24"/>
          <w:szCs w:val="24"/>
        </w:rPr>
        <w:t>in</w:t>
      </w:r>
      <w:r w:rsidR="00905BE3" w:rsidRPr="00AE141E">
        <w:rPr>
          <w:rFonts w:ascii="Times New Roman" w:hAnsi="Times New Roman" w:cs="Times New Roman"/>
          <w:sz w:val="24"/>
          <w:szCs w:val="24"/>
        </w:rPr>
        <w:t>to a hegemonic understanding of Britishness/English</w:t>
      </w:r>
      <w:r w:rsidR="002A18FA" w:rsidRPr="00AE141E">
        <w:rPr>
          <w:rFonts w:ascii="Times New Roman" w:hAnsi="Times New Roman" w:cs="Times New Roman"/>
          <w:sz w:val="24"/>
          <w:szCs w:val="24"/>
        </w:rPr>
        <w:t>ness</w:t>
      </w:r>
      <w:r w:rsidR="00905BE3" w:rsidRPr="00AE141E">
        <w:rPr>
          <w:rFonts w:ascii="Times New Roman" w:hAnsi="Times New Roman" w:cs="Times New Roman"/>
          <w:sz w:val="24"/>
          <w:szCs w:val="24"/>
        </w:rPr>
        <w:t xml:space="preserve"> (</w:t>
      </w:r>
      <w:r w:rsidR="00066AC0" w:rsidRPr="00AE141E">
        <w:rPr>
          <w:rFonts w:ascii="Times New Roman" w:hAnsi="Times New Roman" w:cs="Times New Roman"/>
          <w:sz w:val="24"/>
          <w:szCs w:val="24"/>
        </w:rPr>
        <w:t>concepts which, as Esteves note</w:t>
      </w:r>
      <w:r w:rsidR="0067614D" w:rsidRPr="00AE141E">
        <w:rPr>
          <w:rFonts w:ascii="Times New Roman" w:hAnsi="Times New Roman" w:cs="Times New Roman"/>
          <w:sz w:val="24"/>
          <w:szCs w:val="24"/>
        </w:rPr>
        <w:t>s</w:t>
      </w:r>
      <w:r w:rsidR="00066AC0" w:rsidRPr="00AE141E">
        <w:rPr>
          <w:rFonts w:ascii="Times New Roman" w:hAnsi="Times New Roman" w:cs="Times New Roman"/>
          <w:sz w:val="24"/>
          <w:szCs w:val="24"/>
        </w:rPr>
        <w:t>, were ill-distinguished)</w:t>
      </w:r>
      <w:r w:rsidR="00540E4B" w:rsidRPr="00AE141E">
        <w:rPr>
          <w:rFonts w:ascii="Times New Roman" w:hAnsi="Times New Roman" w:cs="Times New Roman"/>
          <w:sz w:val="24"/>
          <w:szCs w:val="24"/>
        </w:rPr>
        <w:t>.</w:t>
      </w:r>
      <w:r w:rsidR="008C7691" w:rsidRPr="00AE141E">
        <w:rPr>
          <w:rStyle w:val="FootnoteReference"/>
          <w:rFonts w:ascii="Times New Roman" w:hAnsi="Times New Roman" w:cs="Times New Roman"/>
          <w:sz w:val="24"/>
          <w:szCs w:val="24"/>
        </w:rPr>
        <w:footnoteReference w:id="374"/>
      </w:r>
      <w:r w:rsidR="00540E4B" w:rsidRPr="00AE141E">
        <w:rPr>
          <w:rFonts w:ascii="Times New Roman" w:hAnsi="Times New Roman" w:cs="Times New Roman"/>
          <w:sz w:val="24"/>
          <w:szCs w:val="24"/>
        </w:rPr>
        <w:t xml:space="preserve"> </w:t>
      </w:r>
      <w:r w:rsidR="00E555EC" w:rsidRPr="00AE141E">
        <w:rPr>
          <w:rFonts w:ascii="Times New Roman" w:hAnsi="Times New Roman" w:cs="Times New Roman"/>
          <w:sz w:val="24"/>
          <w:szCs w:val="24"/>
        </w:rPr>
        <w:t xml:space="preserve">This policy was often couched in </w:t>
      </w:r>
      <w:r w:rsidR="00960C14">
        <w:rPr>
          <w:rFonts w:ascii="Times New Roman" w:hAnsi="Times New Roman" w:cs="Times New Roman"/>
          <w:sz w:val="24"/>
          <w:szCs w:val="24"/>
        </w:rPr>
        <w:t>a</w:t>
      </w:r>
      <w:r w:rsidR="0033517C" w:rsidRPr="00AE141E">
        <w:rPr>
          <w:rFonts w:ascii="Times New Roman" w:hAnsi="Times New Roman" w:cs="Times New Roman"/>
          <w:sz w:val="24"/>
          <w:szCs w:val="24"/>
        </w:rPr>
        <w:t xml:space="preserve"> language of benevolent, universalist paternalism</w:t>
      </w:r>
      <w:r w:rsidR="00751143" w:rsidRPr="00AE141E">
        <w:rPr>
          <w:rFonts w:ascii="Times New Roman" w:hAnsi="Times New Roman" w:cs="Times New Roman"/>
          <w:sz w:val="24"/>
          <w:szCs w:val="24"/>
        </w:rPr>
        <w:t xml:space="preserve">; the cultural and linguistic specificity of immigrant children was seen as contradicting </w:t>
      </w:r>
      <w:r w:rsidR="00BA56B3" w:rsidRPr="00AE141E">
        <w:rPr>
          <w:rFonts w:ascii="Times New Roman" w:hAnsi="Times New Roman" w:cs="Times New Roman"/>
          <w:sz w:val="24"/>
          <w:szCs w:val="24"/>
        </w:rPr>
        <w:t>or undermining a wider logic of integration played out ‘</w:t>
      </w:r>
      <w:r w:rsidR="00FB7AA6" w:rsidRPr="00AE141E">
        <w:rPr>
          <w:rFonts w:ascii="Times New Roman" w:hAnsi="Times New Roman" w:cs="Times New Roman"/>
          <w:sz w:val="24"/>
          <w:szCs w:val="24"/>
        </w:rPr>
        <w:t>through comprehensive schooling (social class integration) or co-educational schooling (gender integration)</w:t>
      </w:r>
      <w:r w:rsidR="00C31FBA" w:rsidRPr="00AE141E">
        <w:rPr>
          <w:rFonts w:ascii="Times New Roman" w:hAnsi="Times New Roman" w:cs="Times New Roman"/>
          <w:sz w:val="24"/>
          <w:szCs w:val="24"/>
        </w:rPr>
        <w:t>’.</w:t>
      </w:r>
      <w:r w:rsidR="0067614D" w:rsidRPr="00AE141E">
        <w:rPr>
          <w:rStyle w:val="FootnoteReference"/>
          <w:rFonts w:ascii="Times New Roman" w:hAnsi="Times New Roman" w:cs="Times New Roman"/>
          <w:sz w:val="24"/>
          <w:szCs w:val="24"/>
        </w:rPr>
        <w:footnoteReference w:id="375"/>
      </w:r>
      <w:r w:rsidR="00377923" w:rsidRPr="00AE141E">
        <w:rPr>
          <w:rFonts w:ascii="Times New Roman" w:hAnsi="Times New Roman" w:cs="Times New Roman"/>
          <w:sz w:val="24"/>
          <w:szCs w:val="24"/>
        </w:rPr>
        <w:t xml:space="preserve"> Thus, </w:t>
      </w:r>
      <w:r w:rsidR="00004639" w:rsidRPr="00AE141E">
        <w:rPr>
          <w:rFonts w:ascii="Times New Roman" w:hAnsi="Times New Roman" w:cs="Times New Roman"/>
          <w:sz w:val="24"/>
          <w:szCs w:val="24"/>
        </w:rPr>
        <w:t>Circular 7/65</w:t>
      </w:r>
      <w:r w:rsidR="005D7096" w:rsidRPr="00AE141E">
        <w:rPr>
          <w:rFonts w:ascii="Times New Roman" w:hAnsi="Times New Roman" w:cs="Times New Roman"/>
          <w:sz w:val="24"/>
          <w:szCs w:val="24"/>
        </w:rPr>
        <w:t xml:space="preserve">, a </w:t>
      </w:r>
      <w:r w:rsidR="00004639" w:rsidRPr="00AE141E">
        <w:rPr>
          <w:rFonts w:ascii="Times New Roman" w:hAnsi="Times New Roman" w:cs="Times New Roman"/>
          <w:sz w:val="24"/>
          <w:szCs w:val="24"/>
        </w:rPr>
        <w:t>1965</w:t>
      </w:r>
      <w:r w:rsidR="005D7096" w:rsidRPr="00AE141E">
        <w:rPr>
          <w:rFonts w:ascii="Times New Roman" w:hAnsi="Times New Roman" w:cs="Times New Roman"/>
          <w:sz w:val="24"/>
          <w:szCs w:val="24"/>
        </w:rPr>
        <w:t xml:space="preserve"> </w:t>
      </w:r>
      <w:r w:rsidR="00913ABA" w:rsidRPr="00AE141E">
        <w:rPr>
          <w:rFonts w:ascii="Times New Roman" w:hAnsi="Times New Roman" w:cs="Times New Roman"/>
          <w:sz w:val="24"/>
          <w:szCs w:val="24"/>
        </w:rPr>
        <w:t xml:space="preserve">DES </w:t>
      </w:r>
      <w:r w:rsidR="005D7096" w:rsidRPr="00AE141E">
        <w:rPr>
          <w:rFonts w:ascii="Times New Roman" w:hAnsi="Times New Roman" w:cs="Times New Roman"/>
          <w:sz w:val="24"/>
          <w:szCs w:val="24"/>
        </w:rPr>
        <w:t>directive on ‘The Education of Immigrants</w:t>
      </w:r>
      <w:r w:rsidR="00992A70" w:rsidRPr="00AE141E">
        <w:rPr>
          <w:rFonts w:ascii="Times New Roman" w:hAnsi="Times New Roman" w:cs="Times New Roman"/>
          <w:sz w:val="24"/>
          <w:szCs w:val="24"/>
        </w:rPr>
        <w:t>’</w:t>
      </w:r>
      <w:r w:rsidR="005D7096" w:rsidRPr="00AE141E">
        <w:rPr>
          <w:rFonts w:ascii="Times New Roman" w:hAnsi="Times New Roman" w:cs="Times New Roman"/>
          <w:sz w:val="24"/>
          <w:szCs w:val="24"/>
        </w:rPr>
        <w:t xml:space="preserve">, </w:t>
      </w:r>
      <w:r w:rsidR="00E82044" w:rsidRPr="00AE141E">
        <w:rPr>
          <w:rFonts w:ascii="Times New Roman" w:hAnsi="Times New Roman" w:cs="Times New Roman"/>
          <w:sz w:val="24"/>
          <w:szCs w:val="24"/>
        </w:rPr>
        <w:t>stressed that</w:t>
      </w:r>
      <w:r w:rsidR="00580064" w:rsidRPr="00AE141E">
        <w:rPr>
          <w:rFonts w:ascii="Times New Roman" w:hAnsi="Times New Roman" w:cs="Times New Roman"/>
          <w:sz w:val="24"/>
          <w:szCs w:val="24"/>
        </w:rPr>
        <w:t xml:space="preserve"> </w:t>
      </w:r>
      <w:r w:rsidR="000652DC">
        <w:rPr>
          <w:rFonts w:ascii="Times New Roman" w:hAnsi="Times New Roman" w:cs="Times New Roman"/>
          <w:sz w:val="24"/>
          <w:szCs w:val="24"/>
        </w:rPr>
        <w:t>education</w:t>
      </w:r>
      <w:r w:rsidR="00580064" w:rsidRPr="00AE141E">
        <w:rPr>
          <w:rFonts w:ascii="Times New Roman" w:hAnsi="Times New Roman" w:cs="Times New Roman"/>
          <w:sz w:val="24"/>
          <w:szCs w:val="24"/>
        </w:rPr>
        <w:t xml:space="preserve"> in ‘our way of life’ </w:t>
      </w:r>
      <w:r w:rsidR="00631A57" w:rsidRPr="00AE141E">
        <w:rPr>
          <w:rFonts w:ascii="Times New Roman" w:hAnsi="Times New Roman" w:cs="Times New Roman"/>
          <w:sz w:val="24"/>
          <w:szCs w:val="24"/>
        </w:rPr>
        <w:t>was the only means by which</w:t>
      </w:r>
      <w:r w:rsidR="00E82044" w:rsidRPr="00AE141E">
        <w:rPr>
          <w:rFonts w:ascii="Times New Roman" w:hAnsi="Times New Roman" w:cs="Times New Roman"/>
          <w:sz w:val="24"/>
          <w:szCs w:val="24"/>
        </w:rPr>
        <w:t xml:space="preserve"> immigrant children</w:t>
      </w:r>
      <w:r w:rsidR="00631A57" w:rsidRPr="00AE141E">
        <w:rPr>
          <w:rFonts w:ascii="Times New Roman" w:hAnsi="Times New Roman" w:cs="Times New Roman"/>
          <w:sz w:val="24"/>
          <w:szCs w:val="24"/>
        </w:rPr>
        <w:t xml:space="preserve"> could</w:t>
      </w:r>
      <w:r w:rsidR="00E82044" w:rsidRPr="00AE141E">
        <w:rPr>
          <w:rFonts w:ascii="Times New Roman" w:hAnsi="Times New Roman" w:cs="Times New Roman"/>
          <w:sz w:val="24"/>
          <w:szCs w:val="24"/>
        </w:rPr>
        <w:t xml:space="preserve"> </w:t>
      </w:r>
      <w:r w:rsidR="00631A57" w:rsidRPr="00AE141E">
        <w:rPr>
          <w:rFonts w:ascii="Times New Roman" w:hAnsi="Times New Roman" w:cs="Times New Roman"/>
          <w:sz w:val="24"/>
          <w:szCs w:val="24"/>
        </w:rPr>
        <w:t>‘</w:t>
      </w:r>
      <w:r w:rsidR="006E6C16" w:rsidRPr="00AE141E">
        <w:rPr>
          <w:rFonts w:ascii="Times New Roman" w:hAnsi="Times New Roman" w:cs="Times New Roman"/>
          <w:sz w:val="24"/>
          <w:szCs w:val="24"/>
        </w:rPr>
        <w:t>enjoy all the opportunities available</w:t>
      </w:r>
      <w:r w:rsidR="00811439" w:rsidRPr="00AE141E">
        <w:rPr>
          <w:rFonts w:ascii="Times New Roman" w:hAnsi="Times New Roman" w:cs="Times New Roman"/>
          <w:sz w:val="24"/>
          <w:szCs w:val="24"/>
        </w:rPr>
        <w:t>’</w:t>
      </w:r>
      <w:r w:rsidR="006E6C16" w:rsidRPr="00AE141E">
        <w:rPr>
          <w:rFonts w:ascii="Times New Roman" w:hAnsi="Times New Roman" w:cs="Times New Roman"/>
          <w:sz w:val="24"/>
          <w:szCs w:val="24"/>
        </w:rPr>
        <w:t xml:space="preserve"> to </w:t>
      </w:r>
      <w:r w:rsidR="00811439" w:rsidRPr="00AE141E">
        <w:rPr>
          <w:rFonts w:ascii="Times New Roman" w:hAnsi="Times New Roman" w:cs="Times New Roman"/>
          <w:sz w:val="24"/>
          <w:szCs w:val="24"/>
        </w:rPr>
        <w:t>the</w:t>
      </w:r>
      <w:r w:rsidR="00C565EC" w:rsidRPr="00AE141E">
        <w:rPr>
          <w:rFonts w:ascii="Times New Roman" w:hAnsi="Times New Roman" w:cs="Times New Roman"/>
          <w:sz w:val="24"/>
          <w:szCs w:val="24"/>
        </w:rPr>
        <w:t>ir peers.</w:t>
      </w:r>
      <w:r w:rsidR="008A21B3" w:rsidRPr="00AE141E">
        <w:rPr>
          <w:rStyle w:val="FootnoteReference"/>
          <w:rFonts w:ascii="Times New Roman" w:hAnsi="Times New Roman" w:cs="Times New Roman"/>
          <w:sz w:val="24"/>
          <w:szCs w:val="24"/>
        </w:rPr>
        <w:footnoteReference w:id="376"/>
      </w:r>
      <w:r w:rsidR="009243B1" w:rsidRPr="00AE141E">
        <w:rPr>
          <w:rFonts w:ascii="Times New Roman" w:hAnsi="Times New Roman" w:cs="Times New Roman"/>
          <w:sz w:val="24"/>
          <w:szCs w:val="24"/>
        </w:rPr>
        <w:t xml:space="preserve"> </w:t>
      </w:r>
      <w:r w:rsidR="00212D23" w:rsidRPr="00AE141E">
        <w:rPr>
          <w:rFonts w:ascii="Times New Roman" w:hAnsi="Times New Roman" w:cs="Times New Roman"/>
          <w:sz w:val="24"/>
          <w:szCs w:val="24"/>
        </w:rPr>
        <w:t xml:space="preserve">The logical extension of such </w:t>
      </w:r>
      <w:r w:rsidR="001C69D9" w:rsidRPr="00AE141E">
        <w:rPr>
          <w:rFonts w:ascii="Times New Roman" w:hAnsi="Times New Roman" w:cs="Times New Roman"/>
          <w:sz w:val="24"/>
          <w:szCs w:val="24"/>
        </w:rPr>
        <w:t xml:space="preserve">attitudes was bussing – the policy of </w:t>
      </w:r>
      <w:r w:rsidR="0096313B" w:rsidRPr="00AE141E">
        <w:rPr>
          <w:rFonts w:ascii="Times New Roman" w:hAnsi="Times New Roman" w:cs="Times New Roman"/>
          <w:sz w:val="24"/>
          <w:szCs w:val="24"/>
        </w:rPr>
        <w:t xml:space="preserve">dispersal of </w:t>
      </w:r>
      <w:r w:rsidR="00BF6E03" w:rsidRPr="00AE141E">
        <w:rPr>
          <w:rFonts w:ascii="Times New Roman" w:hAnsi="Times New Roman" w:cs="Times New Roman"/>
          <w:sz w:val="24"/>
          <w:szCs w:val="24"/>
        </w:rPr>
        <w:t>young people</w:t>
      </w:r>
      <w:r w:rsidR="00E0757D" w:rsidRPr="00AE141E">
        <w:rPr>
          <w:rFonts w:ascii="Times New Roman" w:hAnsi="Times New Roman" w:cs="Times New Roman"/>
          <w:sz w:val="24"/>
          <w:szCs w:val="24"/>
        </w:rPr>
        <w:t xml:space="preserve"> of colour, predominantly of South Asian descent,</w:t>
      </w:r>
      <w:r w:rsidR="00BF6E03" w:rsidRPr="00AE141E">
        <w:rPr>
          <w:rFonts w:ascii="Times New Roman" w:hAnsi="Times New Roman" w:cs="Times New Roman"/>
          <w:sz w:val="24"/>
          <w:szCs w:val="24"/>
        </w:rPr>
        <w:t xml:space="preserve"> across </w:t>
      </w:r>
      <w:r w:rsidR="0027684A" w:rsidRPr="00AE141E">
        <w:rPr>
          <w:rFonts w:ascii="Times New Roman" w:hAnsi="Times New Roman" w:cs="Times New Roman"/>
          <w:sz w:val="24"/>
          <w:szCs w:val="24"/>
        </w:rPr>
        <w:t xml:space="preserve">schools </w:t>
      </w:r>
      <w:r w:rsidR="003C6E6B" w:rsidRPr="00AE141E">
        <w:rPr>
          <w:rFonts w:ascii="Times New Roman" w:hAnsi="Times New Roman" w:cs="Times New Roman"/>
          <w:sz w:val="24"/>
          <w:szCs w:val="24"/>
        </w:rPr>
        <w:t>over a wide geographical area</w:t>
      </w:r>
      <w:r w:rsidR="000D35A1" w:rsidRPr="00AE141E">
        <w:rPr>
          <w:rFonts w:ascii="Times New Roman" w:hAnsi="Times New Roman" w:cs="Times New Roman"/>
          <w:sz w:val="24"/>
          <w:szCs w:val="24"/>
        </w:rPr>
        <w:t xml:space="preserve">, </w:t>
      </w:r>
      <w:r w:rsidR="00590F5F" w:rsidRPr="00AE141E">
        <w:rPr>
          <w:rFonts w:ascii="Times New Roman" w:hAnsi="Times New Roman" w:cs="Times New Roman"/>
          <w:sz w:val="24"/>
          <w:szCs w:val="24"/>
        </w:rPr>
        <w:t>in order to</w:t>
      </w:r>
      <w:r w:rsidR="004C4397" w:rsidRPr="00AE141E">
        <w:rPr>
          <w:rFonts w:ascii="Times New Roman" w:hAnsi="Times New Roman" w:cs="Times New Roman"/>
          <w:sz w:val="24"/>
          <w:szCs w:val="24"/>
        </w:rPr>
        <w:t xml:space="preserve"> dilute </w:t>
      </w:r>
      <w:r w:rsidR="008F3155" w:rsidRPr="00AE141E">
        <w:rPr>
          <w:rFonts w:ascii="Times New Roman" w:hAnsi="Times New Roman" w:cs="Times New Roman"/>
          <w:sz w:val="24"/>
          <w:szCs w:val="24"/>
        </w:rPr>
        <w:t>their presence in individual schools.</w:t>
      </w:r>
      <w:r w:rsidR="009A7F50" w:rsidRPr="00AE141E">
        <w:rPr>
          <w:rFonts w:ascii="Times New Roman" w:hAnsi="Times New Roman" w:cs="Times New Roman"/>
          <w:sz w:val="24"/>
          <w:szCs w:val="24"/>
        </w:rPr>
        <w:t xml:space="preserve"> ‘Banding’ (</w:t>
      </w:r>
      <w:r w:rsidR="00220EA6">
        <w:rPr>
          <w:rFonts w:ascii="Times New Roman" w:hAnsi="Times New Roman" w:cs="Times New Roman"/>
          <w:sz w:val="24"/>
          <w:szCs w:val="24"/>
        </w:rPr>
        <w:t xml:space="preserve">a system </w:t>
      </w:r>
      <w:r w:rsidR="006666C8">
        <w:rPr>
          <w:rFonts w:ascii="Times New Roman" w:hAnsi="Times New Roman" w:cs="Times New Roman"/>
          <w:sz w:val="24"/>
          <w:szCs w:val="24"/>
        </w:rPr>
        <w:t>designed to create ‘mixed-ability’ schools, which was accused of employing</w:t>
      </w:r>
      <w:r w:rsidR="009A7F50" w:rsidRPr="00AE141E">
        <w:rPr>
          <w:rFonts w:ascii="Times New Roman" w:hAnsi="Times New Roman" w:cs="Times New Roman"/>
          <w:sz w:val="24"/>
          <w:szCs w:val="24"/>
        </w:rPr>
        <w:t xml:space="preserve"> quotas drawing on racist categories of intelligence) and the confinement of pupils of African-Caribbean heritage to ‘Educationally Sub-normal’ (ESN) schools formed part of the same logic.</w:t>
      </w:r>
    </w:p>
    <w:p w14:paraId="1351AB27" w14:textId="5F9B59C7" w:rsidR="00A41EFB" w:rsidRPr="00AE141E" w:rsidRDefault="00BC09B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The category of the ‘immigrant’ was silently racialised. </w:t>
      </w:r>
      <w:r w:rsidR="001A49DA" w:rsidRPr="00AE141E">
        <w:rPr>
          <w:rFonts w:ascii="Times New Roman" w:hAnsi="Times New Roman" w:cs="Times New Roman"/>
          <w:sz w:val="24"/>
          <w:szCs w:val="24"/>
        </w:rPr>
        <w:t xml:space="preserve">Nicole M. Jackson has linked the policy of dispersal to </w:t>
      </w:r>
      <w:r w:rsidR="00860183" w:rsidRPr="00AE141E">
        <w:rPr>
          <w:rFonts w:ascii="Times New Roman" w:hAnsi="Times New Roman" w:cs="Times New Roman"/>
          <w:sz w:val="24"/>
          <w:szCs w:val="24"/>
        </w:rPr>
        <w:t xml:space="preserve">racial Othering, and to the construction of </w:t>
      </w:r>
      <w:r w:rsidR="000D5E1B">
        <w:rPr>
          <w:rFonts w:ascii="Times New Roman" w:hAnsi="Times New Roman" w:cs="Times New Roman"/>
          <w:sz w:val="24"/>
          <w:szCs w:val="24"/>
        </w:rPr>
        <w:t>downwardly racialised people</w:t>
      </w:r>
      <w:r w:rsidR="00860183" w:rsidRPr="00AE141E">
        <w:rPr>
          <w:rFonts w:ascii="Times New Roman" w:hAnsi="Times New Roman" w:cs="Times New Roman"/>
          <w:sz w:val="24"/>
          <w:szCs w:val="24"/>
        </w:rPr>
        <w:t xml:space="preserve"> as ‘perpetual “immigrants”’.</w:t>
      </w:r>
      <w:r w:rsidR="00BB39D6" w:rsidRPr="00AE141E">
        <w:rPr>
          <w:rStyle w:val="FootnoteReference"/>
          <w:rFonts w:ascii="Times New Roman" w:hAnsi="Times New Roman" w:cs="Times New Roman"/>
          <w:sz w:val="24"/>
          <w:szCs w:val="24"/>
        </w:rPr>
        <w:footnoteReference w:id="377"/>
      </w:r>
      <w:r w:rsidR="003B67DE" w:rsidRPr="00AE141E">
        <w:rPr>
          <w:rFonts w:ascii="Times New Roman" w:hAnsi="Times New Roman" w:cs="Times New Roman"/>
          <w:sz w:val="24"/>
          <w:szCs w:val="24"/>
        </w:rPr>
        <w:t xml:space="preserve"> Jackson noted that </w:t>
      </w:r>
      <w:r w:rsidR="005B44A8" w:rsidRPr="00AE141E">
        <w:rPr>
          <w:rFonts w:ascii="Times New Roman" w:hAnsi="Times New Roman" w:cs="Times New Roman"/>
          <w:sz w:val="24"/>
          <w:szCs w:val="24"/>
        </w:rPr>
        <w:t xml:space="preserve">immigrant White children, regardless of linguistic ability, were given automatic admittance to </w:t>
      </w:r>
      <w:r w:rsidR="00EB3909" w:rsidRPr="00AE141E">
        <w:rPr>
          <w:rFonts w:ascii="Times New Roman" w:hAnsi="Times New Roman" w:cs="Times New Roman"/>
          <w:sz w:val="24"/>
          <w:szCs w:val="24"/>
        </w:rPr>
        <w:t xml:space="preserve">neighbourhood schools in the same fashion as their British-born, White peers. </w:t>
      </w:r>
      <w:r w:rsidR="00EF51E0" w:rsidRPr="00AE141E">
        <w:rPr>
          <w:rFonts w:ascii="Times New Roman" w:hAnsi="Times New Roman" w:cs="Times New Roman"/>
          <w:sz w:val="24"/>
          <w:szCs w:val="24"/>
        </w:rPr>
        <w:t xml:space="preserve">In </w:t>
      </w:r>
      <w:r w:rsidR="001A5D16" w:rsidRPr="00AE141E">
        <w:rPr>
          <w:rFonts w:ascii="Times New Roman" w:hAnsi="Times New Roman" w:cs="Times New Roman"/>
          <w:sz w:val="24"/>
          <w:szCs w:val="24"/>
        </w:rPr>
        <w:t>practical</w:t>
      </w:r>
      <w:r w:rsidR="00EF51E0" w:rsidRPr="00AE141E">
        <w:rPr>
          <w:rFonts w:ascii="Times New Roman" w:hAnsi="Times New Roman" w:cs="Times New Roman"/>
          <w:sz w:val="24"/>
          <w:szCs w:val="24"/>
        </w:rPr>
        <w:t xml:space="preserve"> terms, and in defiance of the </w:t>
      </w:r>
      <w:r w:rsidR="00CA4757" w:rsidRPr="00AE141E">
        <w:rPr>
          <w:rFonts w:ascii="Times New Roman" w:hAnsi="Times New Roman" w:cs="Times New Roman"/>
          <w:sz w:val="24"/>
          <w:szCs w:val="24"/>
        </w:rPr>
        <w:t>explanation</w:t>
      </w:r>
      <w:r w:rsidR="00EF51E0" w:rsidRPr="00AE141E">
        <w:rPr>
          <w:rFonts w:ascii="Times New Roman" w:hAnsi="Times New Roman" w:cs="Times New Roman"/>
          <w:sz w:val="24"/>
          <w:szCs w:val="24"/>
        </w:rPr>
        <w:t xml:space="preserve"> of </w:t>
      </w:r>
      <w:r w:rsidR="00DC0C99" w:rsidRPr="00AE141E">
        <w:rPr>
          <w:rFonts w:ascii="Times New Roman" w:hAnsi="Times New Roman" w:cs="Times New Roman"/>
          <w:sz w:val="24"/>
          <w:szCs w:val="24"/>
        </w:rPr>
        <w:t xml:space="preserve">immigrant status issued by </w:t>
      </w:r>
      <w:r w:rsidR="0046464B" w:rsidRPr="00AE141E">
        <w:rPr>
          <w:rFonts w:ascii="Times New Roman" w:hAnsi="Times New Roman" w:cs="Times New Roman"/>
          <w:sz w:val="24"/>
          <w:szCs w:val="24"/>
        </w:rPr>
        <w:t>DES</w:t>
      </w:r>
      <w:r w:rsidR="00FA0C5C" w:rsidRPr="00AE141E">
        <w:rPr>
          <w:rFonts w:ascii="Times New Roman" w:hAnsi="Times New Roman" w:cs="Times New Roman"/>
          <w:sz w:val="24"/>
          <w:szCs w:val="24"/>
        </w:rPr>
        <w:t xml:space="preserve">, which </w:t>
      </w:r>
      <w:r w:rsidR="00CA4757" w:rsidRPr="00AE141E">
        <w:rPr>
          <w:rFonts w:ascii="Times New Roman" w:hAnsi="Times New Roman" w:cs="Times New Roman"/>
          <w:sz w:val="24"/>
          <w:szCs w:val="24"/>
        </w:rPr>
        <w:t xml:space="preserve">defined the ‘immigrant child’ as </w:t>
      </w:r>
      <w:r w:rsidR="004D022A" w:rsidRPr="00AE141E">
        <w:rPr>
          <w:rFonts w:ascii="Times New Roman" w:hAnsi="Times New Roman" w:cs="Times New Roman"/>
          <w:sz w:val="24"/>
          <w:szCs w:val="24"/>
        </w:rPr>
        <w:t xml:space="preserve">‘one born abroad or whose parents had lived in the United Kingdom for not more than ten years’, </w:t>
      </w:r>
      <w:r w:rsidR="00BA6DE7" w:rsidRPr="00AE141E">
        <w:rPr>
          <w:rFonts w:ascii="Times New Roman" w:hAnsi="Times New Roman" w:cs="Times New Roman"/>
          <w:i/>
          <w:sz w:val="24"/>
          <w:szCs w:val="24"/>
        </w:rPr>
        <w:t xml:space="preserve">all </w:t>
      </w:r>
      <w:r w:rsidR="00BA6DE7" w:rsidRPr="00AE141E">
        <w:rPr>
          <w:rFonts w:ascii="Times New Roman" w:hAnsi="Times New Roman" w:cs="Times New Roman"/>
          <w:sz w:val="24"/>
          <w:szCs w:val="24"/>
        </w:rPr>
        <w:t xml:space="preserve">White children were thus treated as </w:t>
      </w:r>
      <w:r w:rsidR="00227828" w:rsidRPr="00AE141E">
        <w:rPr>
          <w:rFonts w:ascii="Times New Roman" w:hAnsi="Times New Roman" w:cs="Times New Roman"/>
          <w:sz w:val="24"/>
          <w:szCs w:val="24"/>
        </w:rPr>
        <w:t>citizens.</w:t>
      </w:r>
      <w:r w:rsidR="003235D6" w:rsidRPr="00AE141E">
        <w:rPr>
          <w:rStyle w:val="FootnoteReference"/>
          <w:rFonts w:ascii="Times New Roman" w:hAnsi="Times New Roman" w:cs="Times New Roman"/>
          <w:sz w:val="24"/>
          <w:szCs w:val="24"/>
        </w:rPr>
        <w:footnoteReference w:id="378"/>
      </w:r>
      <w:r w:rsidR="00227828" w:rsidRPr="00AE141E">
        <w:rPr>
          <w:rFonts w:ascii="Times New Roman" w:hAnsi="Times New Roman" w:cs="Times New Roman"/>
          <w:sz w:val="24"/>
          <w:szCs w:val="24"/>
        </w:rPr>
        <w:t xml:space="preserve"> By contrast, </w:t>
      </w:r>
      <w:r w:rsidR="00FD4701" w:rsidRPr="00AE141E">
        <w:rPr>
          <w:rFonts w:ascii="Times New Roman" w:hAnsi="Times New Roman" w:cs="Times New Roman"/>
          <w:sz w:val="24"/>
          <w:szCs w:val="24"/>
        </w:rPr>
        <w:t>‘immigrant’ was often used as a catch-all designation for children of colour</w:t>
      </w:r>
      <w:r w:rsidR="00705468" w:rsidRPr="00AE141E">
        <w:rPr>
          <w:rFonts w:ascii="Times New Roman" w:hAnsi="Times New Roman" w:cs="Times New Roman"/>
          <w:sz w:val="24"/>
          <w:szCs w:val="24"/>
        </w:rPr>
        <w:t>, regardless of place of birth or citizenship status</w:t>
      </w:r>
      <w:r w:rsidR="002E327F" w:rsidRPr="00AE141E">
        <w:rPr>
          <w:rFonts w:ascii="Times New Roman" w:hAnsi="Times New Roman" w:cs="Times New Roman"/>
          <w:sz w:val="24"/>
          <w:szCs w:val="24"/>
        </w:rPr>
        <w:t>.</w:t>
      </w:r>
      <w:r w:rsidR="00F577D6" w:rsidRPr="00AE141E">
        <w:rPr>
          <w:rFonts w:ascii="Times New Roman" w:hAnsi="Times New Roman" w:cs="Times New Roman"/>
          <w:sz w:val="24"/>
          <w:szCs w:val="24"/>
        </w:rPr>
        <w:t xml:space="preserve"> </w:t>
      </w:r>
    </w:p>
    <w:p w14:paraId="54BD4B19" w14:textId="4CDAE8E9" w:rsidR="005310DA" w:rsidRPr="00AE141E" w:rsidRDefault="00071FC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truth, those who arrived </w:t>
      </w:r>
      <w:r w:rsidR="00976247" w:rsidRPr="00AE141E">
        <w:rPr>
          <w:rFonts w:ascii="Times New Roman" w:hAnsi="Times New Roman" w:cs="Times New Roman"/>
          <w:sz w:val="24"/>
          <w:szCs w:val="24"/>
        </w:rPr>
        <w:t>in</w:t>
      </w:r>
      <w:r w:rsidRPr="00AE141E">
        <w:rPr>
          <w:rFonts w:ascii="Times New Roman" w:hAnsi="Times New Roman" w:cs="Times New Roman"/>
          <w:sz w:val="24"/>
          <w:szCs w:val="24"/>
        </w:rPr>
        <w:t xml:space="preserve"> the United Kingdom from then-Commonwealth countries before 1971</w:t>
      </w:r>
      <w:r w:rsidR="006C700F" w:rsidRPr="00AE141E">
        <w:rPr>
          <w:rFonts w:ascii="Times New Roman" w:hAnsi="Times New Roman" w:cs="Times New Roman"/>
          <w:sz w:val="24"/>
          <w:szCs w:val="24"/>
        </w:rPr>
        <w:t xml:space="preserve"> </w:t>
      </w:r>
      <w:r w:rsidR="00296BC8" w:rsidRPr="00AE141E">
        <w:rPr>
          <w:rFonts w:ascii="Times New Roman" w:hAnsi="Times New Roman" w:cs="Times New Roman"/>
          <w:sz w:val="24"/>
          <w:szCs w:val="24"/>
        </w:rPr>
        <w:t xml:space="preserve">held the legal status of </w:t>
      </w:r>
      <w:r w:rsidR="00A654F7" w:rsidRPr="00AE141E">
        <w:rPr>
          <w:rFonts w:ascii="Times New Roman" w:hAnsi="Times New Roman" w:cs="Times New Roman"/>
          <w:sz w:val="24"/>
          <w:szCs w:val="24"/>
        </w:rPr>
        <w:t>British subjects</w:t>
      </w:r>
      <w:r w:rsidR="006C700F" w:rsidRPr="00AE141E">
        <w:rPr>
          <w:rFonts w:ascii="Times New Roman" w:hAnsi="Times New Roman" w:cs="Times New Roman"/>
          <w:sz w:val="24"/>
          <w:szCs w:val="24"/>
        </w:rPr>
        <w:t>, and often demonstrated an ambivalent identification</w:t>
      </w:r>
      <w:r w:rsidR="00976247" w:rsidRPr="00AE141E">
        <w:rPr>
          <w:rFonts w:ascii="Times New Roman" w:hAnsi="Times New Roman" w:cs="Times New Roman"/>
          <w:sz w:val="24"/>
          <w:szCs w:val="24"/>
        </w:rPr>
        <w:t xml:space="preserve"> with Britishness based on colonial ties.</w:t>
      </w:r>
      <w:r w:rsidR="00096006" w:rsidRPr="00AE141E">
        <w:rPr>
          <w:rStyle w:val="FootnoteReference"/>
          <w:rFonts w:ascii="Times New Roman" w:hAnsi="Times New Roman" w:cs="Times New Roman"/>
          <w:sz w:val="24"/>
          <w:szCs w:val="24"/>
        </w:rPr>
        <w:footnoteReference w:id="379"/>
      </w:r>
      <w:r w:rsidR="00A654F7" w:rsidRPr="00AE141E">
        <w:rPr>
          <w:rFonts w:ascii="Times New Roman" w:hAnsi="Times New Roman" w:cs="Times New Roman"/>
          <w:sz w:val="24"/>
          <w:szCs w:val="24"/>
        </w:rPr>
        <w:t xml:space="preserve"> </w:t>
      </w:r>
      <w:r w:rsidR="00975AF2" w:rsidRPr="00AE141E">
        <w:rPr>
          <w:rFonts w:ascii="Times New Roman" w:hAnsi="Times New Roman" w:cs="Times New Roman"/>
          <w:sz w:val="24"/>
          <w:szCs w:val="24"/>
        </w:rPr>
        <w:t xml:space="preserve">As </w:t>
      </w:r>
      <w:r w:rsidR="00E60281" w:rsidRPr="00AE141E">
        <w:rPr>
          <w:rFonts w:ascii="Times New Roman" w:hAnsi="Times New Roman" w:cs="Times New Roman"/>
          <w:sz w:val="24"/>
          <w:szCs w:val="24"/>
        </w:rPr>
        <w:t xml:space="preserve">successive governments </w:t>
      </w:r>
      <w:r w:rsidR="00E749AE">
        <w:rPr>
          <w:rFonts w:ascii="Times New Roman" w:hAnsi="Times New Roman" w:cs="Times New Roman"/>
          <w:sz w:val="24"/>
          <w:szCs w:val="24"/>
        </w:rPr>
        <w:t>imposed restrictions on</w:t>
      </w:r>
      <w:r w:rsidR="00C805E3" w:rsidRPr="00AE141E">
        <w:rPr>
          <w:rFonts w:ascii="Times New Roman" w:hAnsi="Times New Roman" w:cs="Times New Roman"/>
          <w:sz w:val="24"/>
          <w:szCs w:val="24"/>
        </w:rPr>
        <w:t xml:space="preserve"> </w:t>
      </w:r>
      <w:r w:rsidR="00215A9A" w:rsidRPr="00AE141E">
        <w:rPr>
          <w:rFonts w:ascii="Times New Roman" w:hAnsi="Times New Roman" w:cs="Times New Roman"/>
          <w:sz w:val="24"/>
          <w:szCs w:val="24"/>
        </w:rPr>
        <w:t>N</w:t>
      </w:r>
      <w:r w:rsidR="00310C52" w:rsidRPr="00AE141E">
        <w:rPr>
          <w:rFonts w:ascii="Times New Roman" w:hAnsi="Times New Roman" w:cs="Times New Roman"/>
          <w:sz w:val="24"/>
          <w:szCs w:val="24"/>
        </w:rPr>
        <w:t xml:space="preserve">ew </w:t>
      </w:r>
      <w:r w:rsidR="00C805E3" w:rsidRPr="00AE141E">
        <w:rPr>
          <w:rFonts w:ascii="Times New Roman" w:hAnsi="Times New Roman" w:cs="Times New Roman"/>
          <w:sz w:val="24"/>
          <w:szCs w:val="24"/>
        </w:rPr>
        <w:t>Commonwealth</w:t>
      </w:r>
      <w:r w:rsidR="00310C52" w:rsidRPr="00AE141E">
        <w:rPr>
          <w:rFonts w:ascii="Times New Roman" w:hAnsi="Times New Roman" w:cs="Times New Roman"/>
          <w:sz w:val="24"/>
          <w:szCs w:val="24"/>
        </w:rPr>
        <w:t xml:space="preserve"> migration to the United </w:t>
      </w:r>
      <w:r w:rsidR="00176173" w:rsidRPr="00AE141E">
        <w:rPr>
          <w:rFonts w:ascii="Times New Roman" w:hAnsi="Times New Roman" w:cs="Times New Roman"/>
          <w:sz w:val="24"/>
          <w:szCs w:val="24"/>
        </w:rPr>
        <w:t>Kingdom,</w:t>
      </w:r>
      <w:r w:rsidR="00152898" w:rsidRPr="00AE141E">
        <w:rPr>
          <w:rFonts w:ascii="Times New Roman" w:hAnsi="Times New Roman" w:cs="Times New Roman"/>
          <w:sz w:val="24"/>
          <w:szCs w:val="24"/>
        </w:rPr>
        <w:t xml:space="preserve"> these</w:t>
      </w:r>
      <w:r w:rsidR="00176173" w:rsidRPr="00AE141E">
        <w:rPr>
          <w:rFonts w:ascii="Times New Roman" w:hAnsi="Times New Roman" w:cs="Times New Roman"/>
          <w:sz w:val="24"/>
          <w:szCs w:val="24"/>
        </w:rPr>
        <w:t xml:space="preserve"> </w:t>
      </w:r>
      <w:r w:rsidR="00FD61D8" w:rsidRPr="00AE141E">
        <w:rPr>
          <w:rFonts w:ascii="Times New Roman" w:hAnsi="Times New Roman" w:cs="Times New Roman"/>
          <w:sz w:val="24"/>
          <w:szCs w:val="24"/>
        </w:rPr>
        <w:t xml:space="preserve">migrants found </w:t>
      </w:r>
      <w:r w:rsidR="00176173" w:rsidRPr="00AE141E">
        <w:rPr>
          <w:rFonts w:ascii="Times New Roman" w:hAnsi="Times New Roman" w:cs="Times New Roman"/>
          <w:sz w:val="24"/>
          <w:szCs w:val="24"/>
        </w:rPr>
        <w:t xml:space="preserve">themselves pushed towards an </w:t>
      </w:r>
      <w:r w:rsidR="00DF7628" w:rsidRPr="00AE141E">
        <w:rPr>
          <w:rFonts w:ascii="Times New Roman" w:hAnsi="Times New Roman" w:cs="Times New Roman"/>
          <w:sz w:val="24"/>
          <w:szCs w:val="24"/>
        </w:rPr>
        <w:t xml:space="preserve">(often </w:t>
      </w:r>
      <w:r w:rsidR="00176173" w:rsidRPr="00AE141E">
        <w:rPr>
          <w:rFonts w:ascii="Times New Roman" w:hAnsi="Times New Roman" w:cs="Times New Roman"/>
          <w:sz w:val="24"/>
          <w:szCs w:val="24"/>
        </w:rPr>
        <w:t>unanticipated</w:t>
      </w:r>
      <w:r w:rsidR="00DF7628" w:rsidRPr="00AE141E">
        <w:rPr>
          <w:rFonts w:ascii="Times New Roman" w:hAnsi="Times New Roman" w:cs="Times New Roman"/>
          <w:sz w:val="24"/>
          <w:szCs w:val="24"/>
        </w:rPr>
        <w:t>)</w:t>
      </w:r>
      <w:r w:rsidR="00176173" w:rsidRPr="00AE141E">
        <w:rPr>
          <w:rFonts w:ascii="Times New Roman" w:hAnsi="Times New Roman" w:cs="Times New Roman"/>
          <w:sz w:val="24"/>
          <w:szCs w:val="24"/>
        </w:rPr>
        <w:t xml:space="preserve"> </w:t>
      </w:r>
      <w:r w:rsidR="00B753F3" w:rsidRPr="00AE141E">
        <w:rPr>
          <w:rFonts w:ascii="Times New Roman" w:hAnsi="Times New Roman" w:cs="Times New Roman"/>
          <w:sz w:val="24"/>
          <w:szCs w:val="24"/>
        </w:rPr>
        <w:t>commitment to</w:t>
      </w:r>
      <w:r w:rsidR="005A097F" w:rsidRPr="00AE141E">
        <w:rPr>
          <w:rFonts w:ascii="Times New Roman" w:hAnsi="Times New Roman" w:cs="Times New Roman"/>
          <w:sz w:val="24"/>
          <w:szCs w:val="24"/>
        </w:rPr>
        <w:t xml:space="preserve"> permanent settlement</w:t>
      </w:r>
      <w:r w:rsidR="00DF7628" w:rsidRPr="00AE141E">
        <w:rPr>
          <w:rFonts w:ascii="Times New Roman" w:hAnsi="Times New Roman" w:cs="Times New Roman"/>
          <w:sz w:val="24"/>
          <w:szCs w:val="24"/>
        </w:rPr>
        <w:t>.</w:t>
      </w:r>
      <w:r w:rsidR="00466BCE" w:rsidRPr="00AE141E">
        <w:rPr>
          <w:rFonts w:ascii="Times New Roman" w:hAnsi="Times New Roman" w:cs="Times New Roman"/>
          <w:sz w:val="24"/>
          <w:szCs w:val="24"/>
        </w:rPr>
        <w:t xml:space="preserve"> </w:t>
      </w:r>
      <w:r w:rsidR="002935A2">
        <w:rPr>
          <w:rFonts w:ascii="Times New Roman" w:hAnsi="Times New Roman" w:cs="Times New Roman"/>
          <w:sz w:val="24"/>
          <w:szCs w:val="24"/>
        </w:rPr>
        <w:t>From the 1970s onwards, t</w:t>
      </w:r>
      <w:r w:rsidR="002504D7" w:rsidRPr="00AE141E">
        <w:rPr>
          <w:rFonts w:ascii="Times New Roman" w:hAnsi="Times New Roman" w:cs="Times New Roman"/>
          <w:sz w:val="24"/>
          <w:szCs w:val="24"/>
        </w:rPr>
        <w:t>he</w:t>
      </w:r>
      <w:r w:rsidR="001A329C" w:rsidRPr="00AE141E">
        <w:rPr>
          <w:rFonts w:ascii="Times New Roman" w:hAnsi="Times New Roman" w:cs="Times New Roman"/>
          <w:sz w:val="24"/>
          <w:szCs w:val="24"/>
        </w:rPr>
        <w:t xml:space="preserve"> comparatively</w:t>
      </w:r>
      <w:r w:rsidR="002504D7" w:rsidRPr="00AE141E">
        <w:rPr>
          <w:rFonts w:ascii="Times New Roman" w:hAnsi="Times New Roman" w:cs="Times New Roman"/>
          <w:sz w:val="24"/>
          <w:szCs w:val="24"/>
        </w:rPr>
        <w:t xml:space="preserve"> greater </w:t>
      </w:r>
      <w:r w:rsidR="001A329C" w:rsidRPr="00AE141E">
        <w:rPr>
          <w:rFonts w:ascii="Times New Roman" w:hAnsi="Times New Roman" w:cs="Times New Roman"/>
          <w:sz w:val="24"/>
          <w:szCs w:val="24"/>
        </w:rPr>
        <w:t>freedom of movement afforded to secondary immigrants (spouses;</w:t>
      </w:r>
      <w:r w:rsidR="00DA190D" w:rsidRPr="00AE141E">
        <w:rPr>
          <w:rFonts w:ascii="Times New Roman" w:hAnsi="Times New Roman" w:cs="Times New Roman"/>
          <w:sz w:val="24"/>
          <w:szCs w:val="24"/>
        </w:rPr>
        <w:t xml:space="preserve"> children; and other depend</w:t>
      </w:r>
      <w:r w:rsidR="00B57505">
        <w:rPr>
          <w:rFonts w:ascii="Times New Roman" w:hAnsi="Times New Roman" w:cs="Times New Roman"/>
          <w:sz w:val="24"/>
          <w:szCs w:val="24"/>
        </w:rPr>
        <w:t>a</w:t>
      </w:r>
      <w:r w:rsidR="00DA190D" w:rsidRPr="00AE141E">
        <w:rPr>
          <w:rFonts w:ascii="Times New Roman" w:hAnsi="Times New Roman" w:cs="Times New Roman"/>
          <w:sz w:val="24"/>
          <w:szCs w:val="24"/>
        </w:rPr>
        <w:t xml:space="preserve">nts) </w:t>
      </w:r>
      <w:r w:rsidR="003452AA" w:rsidRPr="00AE141E">
        <w:rPr>
          <w:rFonts w:ascii="Times New Roman" w:hAnsi="Times New Roman" w:cs="Times New Roman"/>
          <w:sz w:val="24"/>
          <w:szCs w:val="24"/>
        </w:rPr>
        <w:t>resulted in family reunification and a new generation of children</w:t>
      </w:r>
      <w:r w:rsidR="00582AF9">
        <w:rPr>
          <w:rFonts w:ascii="Times New Roman" w:hAnsi="Times New Roman" w:cs="Times New Roman"/>
          <w:sz w:val="24"/>
          <w:szCs w:val="24"/>
        </w:rPr>
        <w:t xml:space="preserve"> being </w:t>
      </w:r>
      <w:r w:rsidR="003452AA" w:rsidRPr="00AE141E">
        <w:rPr>
          <w:rFonts w:ascii="Times New Roman" w:hAnsi="Times New Roman" w:cs="Times New Roman"/>
          <w:sz w:val="24"/>
          <w:szCs w:val="24"/>
        </w:rPr>
        <w:t xml:space="preserve">born to </w:t>
      </w:r>
      <w:r w:rsidR="008960E4" w:rsidRPr="00AE141E">
        <w:rPr>
          <w:rFonts w:ascii="Times New Roman" w:hAnsi="Times New Roman" w:cs="Times New Roman"/>
          <w:sz w:val="24"/>
          <w:szCs w:val="24"/>
        </w:rPr>
        <w:t xml:space="preserve">migrant parents </w:t>
      </w:r>
      <w:r w:rsidR="00152898" w:rsidRPr="00AE141E">
        <w:rPr>
          <w:rFonts w:ascii="Times New Roman" w:hAnsi="Times New Roman" w:cs="Times New Roman"/>
          <w:sz w:val="24"/>
          <w:szCs w:val="24"/>
        </w:rPr>
        <w:t xml:space="preserve">in the </w:t>
      </w:r>
      <w:r w:rsidR="002935A2">
        <w:rPr>
          <w:rFonts w:ascii="Times New Roman" w:hAnsi="Times New Roman" w:cs="Times New Roman"/>
          <w:sz w:val="24"/>
          <w:szCs w:val="24"/>
        </w:rPr>
        <w:t>UK</w:t>
      </w:r>
      <w:r w:rsidR="00152898" w:rsidRPr="00AE141E">
        <w:rPr>
          <w:rFonts w:ascii="Times New Roman" w:hAnsi="Times New Roman" w:cs="Times New Roman"/>
          <w:sz w:val="24"/>
          <w:szCs w:val="24"/>
        </w:rPr>
        <w:t>.</w:t>
      </w:r>
      <w:r w:rsidR="00466BCE" w:rsidRPr="00AE141E">
        <w:rPr>
          <w:rStyle w:val="FootnoteReference"/>
          <w:rFonts w:ascii="Times New Roman" w:hAnsi="Times New Roman" w:cs="Times New Roman"/>
          <w:sz w:val="24"/>
          <w:szCs w:val="24"/>
        </w:rPr>
        <w:footnoteReference w:id="380"/>
      </w:r>
      <w:r w:rsidR="00466BCE" w:rsidRPr="00AE141E">
        <w:rPr>
          <w:rFonts w:ascii="Times New Roman" w:hAnsi="Times New Roman" w:cs="Times New Roman"/>
          <w:sz w:val="24"/>
          <w:szCs w:val="24"/>
        </w:rPr>
        <w:t xml:space="preserve"> </w:t>
      </w:r>
      <w:r w:rsidR="00027C4C" w:rsidRPr="00AE141E">
        <w:rPr>
          <w:rFonts w:ascii="Times New Roman" w:hAnsi="Times New Roman" w:cs="Times New Roman"/>
          <w:sz w:val="24"/>
          <w:szCs w:val="24"/>
        </w:rPr>
        <w:t>The</w:t>
      </w:r>
      <w:r w:rsidR="00325072" w:rsidRPr="00AE141E">
        <w:rPr>
          <w:rFonts w:ascii="Times New Roman" w:hAnsi="Times New Roman" w:cs="Times New Roman"/>
          <w:sz w:val="24"/>
          <w:szCs w:val="24"/>
        </w:rPr>
        <w:t>re was a contradiction here. If</w:t>
      </w:r>
      <w:r w:rsidR="007133A0" w:rsidRPr="00AE141E">
        <w:rPr>
          <w:rFonts w:ascii="Times New Roman" w:hAnsi="Times New Roman" w:cs="Times New Roman"/>
          <w:sz w:val="24"/>
          <w:szCs w:val="24"/>
        </w:rPr>
        <w:t xml:space="preserve"> young people of colour were identified as eternally</w:t>
      </w:r>
      <w:r w:rsidR="003462AF" w:rsidRPr="00AE141E">
        <w:rPr>
          <w:rFonts w:ascii="Times New Roman" w:hAnsi="Times New Roman" w:cs="Times New Roman"/>
          <w:sz w:val="24"/>
          <w:szCs w:val="24"/>
        </w:rPr>
        <w:t xml:space="preserve"> and essentially</w:t>
      </w:r>
      <w:r w:rsidR="006325DE" w:rsidRPr="00AE141E">
        <w:rPr>
          <w:rFonts w:ascii="Times New Roman" w:hAnsi="Times New Roman" w:cs="Times New Roman"/>
          <w:sz w:val="24"/>
          <w:szCs w:val="24"/>
        </w:rPr>
        <w:t xml:space="preserve"> external to the national community</w:t>
      </w:r>
      <w:r w:rsidR="009F7BD1">
        <w:rPr>
          <w:rFonts w:ascii="Times New Roman" w:hAnsi="Times New Roman" w:cs="Times New Roman"/>
          <w:sz w:val="24"/>
          <w:szCs w:val="24"/>
        </w:rPr>
        <w:t xml:space="preserve"> </w:t>
      </w:r>
      <w:r w:rsidR="006325DE" w:rsidRPr="00AE141E">
        <w:rPr>
          <w:rFonts w:ascii="Times New Roman" w:hAnsi="Times New Roman" w:cs="Times New Roman"/>
          <w:sz w:val="24"/>
          <w:szCs w:val="24"/>
        </w:rPr>
        <w:t xml:space="preserve">then </w:t>
      </w:r>
      <w:r w:rsidR="001B6BA6" w:rsidRPr="00AE141E">
        <w:rPr>
          <w:rFonts w:ascii="Times New Roman" w:hAnsi="Times New Roman" w:cs="Times New Roman"/>
          <w:sz w:val="24"/>
          <w:szCs w:val="24"/>
        </w:rPr>
        <w:t xml:space="preserve">assimilationism was doomed from the very beginning. In this light, </w:t>
      </w:r>
      <w:r w:rsidR="00F9242A" w:rsidRPr="00AE141E">
        <w:rPr>
          <w:rFonts w:ascii="Times New Roman" w:hAnsi="Times New Roman" w:cs="Times New Roman"/>
          <w:sz w:val="24"/>
          <w:szCs w:val="24"/>
        </w:rPr>
        <w:t xml:space="preserve">assimilation </w:t>
      </w:r>
      <w:r w:rsidR="009F7BD1">
        <w:rPr>
          <w:rFonts w:ascii="Times New Roman" w:hAnsi="Times New Roman" w:cs="Times New Roman"/>
          <w:sz w:val="24"/>
          <w:szCs w:val="24"/>
        </w:rPr>
        <w:t xml:space="preserve">seems to have </w:t>
      </w:r>
      <w:r w:rsidR="00163F9F" w:rsidRPr="00AE141E">
        <w:rPr>
          <w:rFonts w:ascii="Times New Roman" w:hAnsi="Times New Roman" w:cs="Times New Roman"/>
          <w:sz w:val="24"/>
          <w:szCs w:val="24"/>
        </w:rPr>
        <w:t>serve</w:t>
      </w:r>
      <w:r w:rsidR="009F7BD1">
        <w:rPr>
          <w:rFonts w:ascii="Times New Roman" w:hAnsi="Times New Roman" w:cs="Times New Roman"/>
          <w:sz w:val="24"/>
          <w:szCs w:val="24"/>
        </w:rPr>
        <w:t>d</w:t>
      </w:r>
      <w:r w:rsidR="00163F9F" w:rsidRPr="00AE141E">
        <w:rPr>
          <w:rFonts w:ascii="Times New Roman" w:hAnsi="Times New Roman" w:cs="Times New Roman"/>
          <w:sz w:val="24"/>
          <w:szCs w:val="24"/>
        </w:rPr>
        <w:t xml:space="preserve"> as a form</w:t>
      </w:r>
      <w:r w:rsidR="00F9242A" w:rsidRPr="00AE141E">
        <w:rPr>
          <w:rFonts w:ascii="Times New Roman" w:hAnsi="Times New Roman" w:cs="Times New Roman"/>
          <w:sz w:val="24"/>
          <w:szCs w:val="24"/>
        </w:rPr>
        <w:t xml:space="preserve"> of damage contro</w:t>
      </w:r>
      <w:r w:rsidR="00B846B0" w:rsidRPr="00AE141E">
        <w:rPr>
          <w:rFonts w:ascii="Times New Roman" w:hAnsi="Times New Roman" w:cs="Times New Roman"/>
          <w:sz w:val="24"/>
          <w:szCs w:val="24"/>
        </w:rPr>
        <w:t xml:space="preserve">l, intended to </w:t>
      </w:r>
      <w:r w:rsidR="003103A9" w:rsidRPr="00AE141E">
        <w:rPr>
          <w:rFonts w:ascii="Times New Roman" w:hAnsi="Times New Roman" w:cs="Times New Roman"/>
          <w:sz w:val="24"/>
          <w:szCs w:val="24"/>
        </w:rPr>
        <w:t xml:space="preserve">manage </w:t>
      </w:r>
      <w:r w:rsidR="0093445A" w:rsidRPr="00AE141E">
        <w:rPr>
          <w:rFonts w:ascii="Times New Roman" w:hAnsi="Times New Roman" w:cs="Times New Roman"/>
          <w:sz w:val="24"/>
          <w:szCs w:val="24"/>
        </w:rPr>
        <w:t xml:space="preserve">a </w:t>
      </w:r>
      <w:r w:rsidR="004D4A3B" w:rsidRPr="00AE141E">
        <w:rPr>
          <w:rFonts w:ascii="Times New Roman" w:hAnsi="Times New Roman" w:cs="Times New Roman"/>
          <w:sz w:val="24"/>
          <w:szCs w:val="24"/>
        </w:rPr>
        <w:t xml:space="preserve">‘problem’ </w:t>
      </w:r>
      <w:r w:rsidR="00245D5C" w:rsidRPr="00AE141E">
        <w:rPr>
          <w:rFonts w:ascii="Times New Roman" w:hAnsi="Times New Roman" w:cs="Times New Roman"/>
          <w:sz w:val="24"/>
          <w:szCs w:val="24"/>
        </w:rPr>
        <w:t>–</w:t>
      </w:r>
      <w:r w:rsidR="0093445A" w:rsidRPr="00AE141E">
        <w:rPr>
          <w:rFonts w:ascii="Times New Roman" w:hAnsi="Times New Roman" w:cs="Times New Roman"/>
          <w:sz w:val="24"/>
          <w:szCs w:val="24"/>
        </w:rPr>
        <w:t xml:space="preserve"> the</w:t>
      </w:r>
      <w:r w:rsidR="00245D5C" w:rsidRPr="00AE141E">
        <w:rPr>
          <w:rFonts w:ascii="Times New Roman" w:hAnsi="Times New Roman" w:cs="Times New Roman"/>
          <w:sz w:val="24"/>
          <w:szCs w:val="24"/>
        </w:rPr>
        <w:t xml:space="preserve"> </w:t>
      </w:r>
      <w:r w:rsidR="0093445A" w:rsidRPr="00AE141E">
        <w:rPr>
          <w:rFonts w:ascii="Times New Roman" w:hAnsi="Times New Roman" w:cs="Times New Roman"/>
          <w:sz w:val="24"/>
          <w:szCs w:val="24"/>
        </w:rPr>
        <w:t>presence of former colonial subjects in the imperial metropole – which was not</w:t>
      </w:r>
      <w:r w:rsidR="0072498E" w:rsidRPr="00AE141E">
        <w:rPr>
          <w:rFonts w:ascii="Times New Roman" w:hAnsi="Times New Roman" w:cs="Times New Roman"/>
          <w:sz w:val="24"/>
          <w:szCs w:val="24"/>
        </w:rPr>
        <w:t>, at first,</w:t>
      </w:r>
      <w:r w:rsidR="0093445A" w:rsidRPr="00AE141E">
        <w:rPr>
          <w:rFonts w:ascii="Times New Roman" w:hAnsi="Times New Roman" w:cs="Times New Roman"/>
          <w:sz w:val="24"/>
          <w:szCs w:val="24"/>
        </w:rPr>
        <w:t xml:space="preserve"> imagined to be permanent. The very existence of people of colour </w:t>
      </w:r>
      <w:r w:rsidR="008E6993" w:rsidRPr="00AE141E">
        <w:rPr>
          <w:rFonts w:ascii="Times New Roman" w:hAnsi="Times New Roman" w:cs="Times New Roman"/>
          <w:sz w:val="24"/>
          <w:szCs w:val="24"/>
        </w:rPr>
        <w:t>in the United Kingdom</w:t>
      </w:r>
      <w:r w:rsidR="0093445A" w:rsidRPr="00AE141E">
        <w:rPr>
          <w:rFonts w:ascii="Times New Roman" w:hAnsi="Times New Roman" w:cs="Times New Roman"/>
          <w:sz w:val="24"/>
          <w:szCs w:val="24"/>
        </w:rPr>
        <w:t xml:space="preserve"> was viewed </w:t>
      </w:r>
      <w:r w:rsidR="001201E3" w:rsidRPr="00AE141E">
        <w:rPr>
          <w:rFonts w:ascii="Times New Roman" w:hAnsi="Times New Roman" w:cs="Times New Roman"/>
          <w:sz w:val="24"/>
          <w:szCs w:val="24"/>
        </w:rPr>
        <w:t>with hostility</w:t>
      </w:r>
      <w:r w:rsidR="008E6993" w:rsidRPr="00AE141E">
        <w:rPr>
          <w:rFonts w:ascii="Times New Roman" w:hAnsi="Times New Roman" w:cs="Times New Roman"/>
          <w:sz w:val="24"/>
          <w:szCs w:val="24"/>
        </w:rPr>
        <w:t xml:space="preserve">, </w:t>
      </w:r>
      <w:r w:rsidR="0093445A" w:rsidRPr="00AE141E">
        <w:rPr>
          <w:rFonts w:ascii="Times New Roman" w:hAnsi="Times New Roman" w:cs="Times New Roman"/>
          <w:sz w:val="24"/>
          <w:szCs w:val="24"/>
        </w:rPr>
        <w:t>as</w:t>
      </w:r>
      <w:r w:rsidR="008E6993" w:rsidRPr="00AE141E">
        <w:rPr>
          <w:rFonts w:ascii="Times New Roman" w:hAnsi="Times New Roman" w:cs="Times New Roman"/>
          <w:sz w:val="24"/>
          <w:szCs w:val="24"/>
        </w:rPr>
        <w:t xml:space="preserve"> a</w:t>
      </w:r>
      <w:r w:rsidR="0093445A" w:rsidRPr="00AE141E">
        <w:rPr>
          <w:rFonts w:ascii="Times New Roman" w:hAnsi="Times New Roman" w:cs="Times New Roman"/>
          <w:sz w:val="24"/>
          <w:szCs w:val="24"/>
        </w:rPr>
        <w:t xml:space="preserve"> contingent and temporary</w:t>
      </w:r>
      <w:r w:rsidR="008E6993" w:rsidRPr="00AE141E">
        <w:rPr>
          <w:rFonts w:ascii="Times New Roman" w:hAnsi="Times New Roman" w:cs="Times New Roman"/>
          <w:sz w:val="24"/>
          <w:szCs w:val="24"/>
        </w:rPr>
        <w:t xml:space="preserve"> phenomenon</w:t>
      </w:r>
      <w:r w:rsidR="0093445A" w:rsidRPr="00AE141E">
        <w:rPr>
          <w:rFonts w:ascii="Times New Roman" w:hAnsi="Times New Roman" w:cs="Times New Roman"/>
          <w:sz w:val="24"/>
          <w:szCs w:val="24"/>
        </w:rPr>
        <w:t>.</w:t>
      </w:r>
      <w:r w:rsidR="008E15FB" w:rsidRPr="00AE141E">
        <w:rPr>
          <w:rFonts w:ascii="Times New Roman" w:hAnsi="Times New Roman" w:cs="Times New Roman"/>
          <w:sz w:val="24"/>
          <w:szCs w:val="24"/>
        </w:rPr>
        <w:t xml:space="preserve"> </w:t>
      </w:r>
    </w:p>
    <w:p w14:paraId="1DD6553F" w14:textId="43FC4393" w:rsidR="009243B1" w:rsidRPr="00AE141E" w:rsidRDefault="009243B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integrationist logic of </w:t>
      </w:r>
      <w:r w:rsidR="00164CD3" w:rsidRPr="00AE141E">
        <w:rPr>
          <w:rFonts w:ascii="Times New Roman" w:hAnsi="Times New Roman" w:cs="Times New Roman"/>
          <w:sz w:val="24"/>
          <w:szCs w:val="24"/>
        </w:rPr>
        <w:t xml:space="preserve">early </w:t>
      </w:r>
      <w:r w:rsidR="00451E35" w:rsidRPr="00AE141E">
        <w:rPr>
          <w:rFonts w:ascii="Times New Roman" w:hAnsi="Times New Roman" w:cs="Times New Roman"/>
          <w:sz w:val="24"/>
          <w:szCs w:val="24"/>
        </w:rPr>
        <w:t xml:space="preserve">government </w:t>
      </w:r>
      <w:r w:rsidR="00442575" w:rsidRPr="00AE141E">
        <w:rPr>
          <w:rFonts w:ascii="Times New Roman" w:hAnsi="Times New Roman" w:cs="Times New Roman"/>
          <w:sz w:val="24"/>
          <w:szCs w:val="24"/>
        </w:rPr>
        <w:t>directives</w:t>
      </w:r>
      <w:r w:rsidR="00BE4F32" w:rsidRPr="00AE141E">
        <w:rPr>
          <w:rFonts w:ascii="Times New Roman" w:hAnsi="Times New Roman" w:cs="Times New Roman"/>
          <w:sz w:val="24"/>
          <w:szCs w:val="24"/>
        </w:rPr>
        <w:t xml:space="preserve"> o</w:t>
      </w:r>
      <w:r w:rsidR="00442575" w:rsidRPr="00AE141E">
        <w:rPr>
          <w:rFonts w:ascii="Times New Roman" w:hAnsi="Times New Roman" w:cs="Times New Roman"/>
          <w:sz w:val="24"/>
          <w:szCs w:val="24"/>
        </w:rPr>
        <w:t>n</w:t>
      </w:r>
      <w:r w:rsidR="00BE4F32" w:rsidRPr="00AE141E">
        <w:rPr>
          <w:rFonts w:ascii="Times New Roman" w:hAnsi="Times New Roman" w:cs="Times New Roman"/>
          <w:sz w:val="24"/>
          <w:szCs w:val="24"/>
        </w:rPr>
        <w:t xml:space="preserve"> </w:t>
      </w:r>
      <w:r w:rsidR="003F65E8" w:rsidRPr="00AE141E">
        <w:rPr>
          <w:rFonts w:ascii="Times New Roman" w:hAnsi="Times New Roman" w:cs="Times New Roman"/>
          <w:sz w:val="24"/>
          <w:szCs w:val="24"/>
        </w:rPr>
        <w:t>‘</w:t>
      </w:r>
      <w:r w:rsidR="00BE4F32" w:rsidRPr="00AE141E">
        <w:rPr>
          <w:rFonts w:ascii="Times New Roman" w:hAnsi="Times New Roman" w:cs="Times New Roman"/>
          <w:sz w:val="24"/>
          <w:szCs w:val="24"/>
        </w:rPr>
        <w:t>immigrant</w:t>
      </w:r>
      <w:r w:rsidR="003F65E8" w:rsidRPr="00AE141E">
        <w:rPr>
          <w:rFonts w:ascii="Times New Roman" w:hAnsi="Times New Roman" w:cs="Times New Roman"/>
          <w:sz w:val="24"/>
          <w:szCs w:val="24"/>
        </w:rPr>
        <w:t>’</w:t>
      </w:r>
      <w:r w:rsidR="00BE4F32" w:rsidRPr="00AE141E">
        <w:rPr>
          <w:rFonts w:ascii="Times New Roman" w:hAnsi="Times New Roman" w:cs="Times New Roman"/>
          <w:sz w:val="24"/>
          <w:szCs w:val="24"/>
        </w:rPr>
        <w:t xml:space="preserve"> children balanced </w:t>
      </w:r>
      <w:r w:rsidR="00164CD3" w:rsidRPr="00AE141E">
        <w:rPr>
          <w:rFonts w:ascii="Times New Roman" w:hAnsi="Times New Roman" w:cs="Times New Roman"/>
          <w:sz w:val="24"/>
          <w:szCs w:val="24"/>
        </w:rPr>
        <w:t>a</w:t>
      </w:r>
      <w:r w:rsidR="002C67FA" w:rsidRPr="00AE141E">
        <w:rPr>
          <w:rFonts w:ascii="Times New Roman" w:hAnsi="Times New Roman" w:cs="Times New Roman"/>
          <w:sz w:val="24"/>
          <w:szCs w:val="24"/>
        </w:rPr>
        <w:t xml:space="preserve">n assertion of the supremacy of </w:t>
      </w:r>
      <w:r w:rsidR="00336FAF" w:rsidRPr="00AE141E">
        <w:rPr>
          <w:rFonts w:ascii="Times New Roman" w:hAnsi="Times New Roman" w:cs="Times New Roman"/>
          <w:sz w:val="24"/>
          <w:szCs w:val="24"/>
        </w:rPr>
        <w:t>British values and the national ‘way of life’ with a</w:t>
      </w:r>
      <w:r w:rsidR="00C6678C" w:rsidRPr="00AE141E">
        <w:rPr>
          <w:rFonts w:ascii="Times New Roman" w:hAnsi="Times New Roman" w:cs="Times New Roman"/>
          <w:sz w:val="24"/>
          <w:szCs w:val="24"/>
        </w:rPr>
        <w:t xml:space="preserve"> </w:t>
      </w:r>
      <w:r w:rsidR="00336FAF" w:rsidRPr="00AE141E">
        <w:rPr>
          <w:rFonts w:ascii="Times New Roman" w:hAnsi="Times New Roman" w:cs="Times New Roman"/>
          <w:sz w:val="24"/>
          <w:szCs w:val="24"/>
        </w:rPr>
        <w:t xml:space="preserve">recognition of </w:t>
      </w:r>
      <w:r w:rsidR="00A05013" w:rsidRPr="00AE141E">
        <w:rPr>
          <w:rFonts w:ascii="Times New Roman" w:hAnsi="Times New Roman" w:cs="Times New Roman"/>
          <w:sz w:val="24"/>
          <w:szCs w:val="24"/>
        </w:rPr>
        <w:t>young ‘immigrants’’</w:t>
      </w:r>
      <w:r w:rsidR="00336FAF" w:rsidRPr="00AE141E">
        <w:rPr>
          <w:rFonts w:ascii="Times New Roman" w:hAnsi="Times New Roman" w:cs="Times New Roman"/>
          <w:sz w:val="24"/>
          <w:szCs w:val="24"/>
        </w:rPr>
        <w:t xml:space="preserve"> </w:t>
      </w:r>
      <w:r w:rsidR="00A05013" w:rsidRPr="00AE141E">
        <w:rPr>
          <w:rFonts w:ascii="Times New Roman" w:hAnsi="Times New Roman" w:cs="Times New Roman"/>
          <w:sz w:val="24"/>
          <w:szCs w:val="24"/>
        </w:rPr>
        <w:t xml:space="preserve">potential </w:t>
      </w:r>
      <w:r w:rsidR="005A776A" w:rsidRPr="00AE141E">
        <w:rPr>
          <w:rFonts w:ascii="Times New Roman" w:hAnsi="Times New Roman" w:cs="Times New Roman"/>
          <w:sz w:val="24"/>
          <w:szCs w:val="24"/>
        </w:rPr>
        <w:t>pedagogical value</w:t>
      </w:r>
      <w:r w:rsidR="00427A96" w:rsidRPr="00AE141E">
        <w:rPr>
          <w:rFonts w:ascii="Times New Roman" w:hAnsi="Times New Roman" w:cs="Times New Roman"/>
          <w:sz w:val="24"/>
          <w:szCs w:val="24"/>
        </w:rPr>
        <w:t xml:space="preserve">. </w:t>
      </w:r>
      <w:r w:rsidR="00B57B46" w:rsidRPr="00AE141E">
        <w:rPr>
          <w:rFonts w:ascii="Times New Roman" w:hAnsi="Times New Roman" w:cs="Times New Roman"/>
          <w:sz w:val="24"/>
          <w:szCs w:val="24"/>
        </w:rPr>
        <w:t xml:space="preserve">Circular 7/65 </w:t>
      </w:r>
      <w:r w:rsidR="00AD1016" w:rsidRPr="00AE141E">
        <w:rPr>
          <w:rFonts w:ascii="Times New Roman" w:hAnsi="Times New Roman" w:cs="Times New Roman"/>
          <w:sz w:val="24"/>
          <w:szCs w:val="24"/>
        </w:rPr>
        <w:t xml:space="preserve">envisaged a future in </w:t>
      </w:r>
      <w:r w:rsidR="00AD1016" w:rsidRPr="00AE141E">
        <w:rPr>
          <w:rFonts w:ascii="Times New Roman" w:hAnsi="Times New Roman" w:cs="Times New Roman"/>
          <w:sz w:val="24"/>
          <w:szCs w:val="24"/>
        </w:rPr>
        <w:lastRenderedPageBreak/>
        <w:t>which teachers would have the knowledge and skills necessary to accomplish the</w:t>
      </w:r>
      <w:r w:rsidR="00797BA5" w:rsidRPr="00AE141E">
        <w:rPr>
          <w:rFonts w:ascii="Times New Roman" w:hAnsi="Times New Roman" w:cs="Times New Roman"/>
          <w:sz w:val="24"/>
          <w:szCs w:val="24"/>
        </w:rPr>
        <w:t xml:space="preserve"> ‘successful assimilation’ of immigrant children</w:t>
      </w:r>
      <w:r w:rsidR="005310DA" w:rsidRPr="00AE141E">
        <w:rPr>
          <w:rFonts w:ascii="Times New Roman" w:hAnsi="Times New Roman" w:cs="Times New Roman"/>
          <w:sz w:val="24"/>
          <w:szCs w:val="24"/>
        </w:rPr>
        <w:t xml:space="preserve"> </w:t>
      </w:r>
      <w:r w:rsidR="00AD1016" w:rsidRPr="00AE141E">
        <w:rPr>
          <w:rFonts w:ascii="Times New Roman" w:hAnsi="Times New Roman" w:cs="Times New Roman"/>
          <w:sz w:val="24"/>
          <w:szCs w:val="24"/>
        </w:rPr>
        <w:t>into the dominant culture. ‘At the same time’, it argued</w:t>
      </w:r>
      <w:r w:rsidR="00EC2844" w:rsidRPr="00AE141E">
        <w:rPr>
          <w:rFonts w:ascii="Times New Roman" w:hAnsi="Times New Roman" w:cs="Times New Roman"/>
          <w:sz w:val="24"/>
          <w:szCs w:val="24"/>
        </w:rPr>
        <w:t>,</w:t>
      </w:r>
    </w:p>
    <w:p w14:paraId="6CD5F085" w14:textId="7F22C973" w:rsidR="00E822CC" w:rsidRPr="00AE141E" w:rsidRDefault="00B57B46"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the presence of immigrant children in the school can be effectively used to encourage other children to learn more about the history and geography of the Commonwealth and other countries from which the immigrant children have come. The schools have much to gain, too, by encouraging children from overseas to take an active part in lessons which are concerned with their own countries.</w:t>
      </w:r>
      <w:r w:rsidR="00BD347B" w:rsidRPr="00AE141E">
        <w:rPr>
          <w:rStyle w:val="FootnoteReference"/>
          <w:rFonts w:ascii="Times New Roman" w:hAnsi="Times New Roman" w:cs="Times New Roman"/>
          <w:sz w:val="24"/>
          <w:szCs w:val="24"/>
        </w:rPr>
        <w:footnoteReference w:id="381"/>
      </w:r>
    </w:p>
    <w:p w14:paraId="207E4EF7" w14:textId="3AC9B1A8" w:rsidR="0002670D" w:rsidRPr="00AE141E" w:rsidRDefault="006F76B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Foreign c</w:t>
      </w:r>
      <w:r w:rsidR="00FF0127" w:rsidRPr="00AE141E">
        <w:rPr>
          <w:rFonts w:ascii="Times New Roman" w:hAnsi="Times New Roman" w:cs="Times New Roman"/>
          <w:sz w:val="24"/>
          <w:szCs w:val="24"/>
        </w:rPr>
        <w:t xml:space="preserve">ultures </w:t>
      </w:r>
      <w:r w:rsidR="008D3775" w:rsidRPr="00AE141E">
        <w:rPr>
          <w:rFonts w:ascii="Times New Roman" w:hAnsi="Times New Roman" w:cs="Times New Roman"/>
          <w:sz w:val="24"/>
          <w:szCs w:val="24"/>
        </w:rPr>
        <w:t>were</w:t>
      </w:r>
      <w:r w:rsidR="00731347" w:rsidRPr="00AE141E">
        <w:rPr>
          <w:rFonts w:ascii="Times New Roman" w:hAnsi="Times New Roman" w:cs="Times New Roman"/>
          <w:sz w:val="24"/>
          <w:szCs w:val="24"/>
        </w:rPr>
        <w:t xml:space="preserve"> </w:t>
      </w:r>
      <w:r w:rsidR="008D3775" w:rsidRPr="00AE141E">
        <w:rPr>
          <w:rFonts w:ascii="Times New Roman" w:hAnsi="Times New Roman" w:cs="Times New Roman"/>
          <w:sz w:val="24"/>
          <w:szCs w:val="24"/>
        </w:rPr>
        <w:t xml:space="preserve">valorised insofar as their representation might support the </w:t>
      </w:r>
      <w:r w:rsidR="00561659" w:rsidRPr="00AE141E">
        <w:rPr>
          <w:rFonts w:ascii="Times New Roman" w:hAnsi="Times New Roman" w:cs="Times New Roman"/>
          <w:sz w:val="24"/>
          <w:szCs w:val="24"/>
        </w:rPr>
        <w:t xml:space="preserve">education of White children. </w:t>
      </w:r>
      <w:r w:rsidR="001E795B" w:rsidRPr="00AE141E">
        <w:rPr>
          <w:rFonts w:ascii="Times New Roman" w:hAnsi="Times New Roman" w:cs="Times New Roman"/>
          <w:sz w:val="24"/>
          <w:szCs w:val="24"/>
        </w:rPr>
        <w:t xml:space="preserve">In presenting such cultures as lessons available for the consumption of White students, </w:t>
      </w:r>
      <w:r w:rsidR="007F2E0B" w:rsidRPr="00AE141E">
        <w:rPr>
          <w:rFonts w:ascii="Times New Roman" w:hAnsi="Times New Roman" w:cs="Times New Roman"/>
          <w:sz w:val="24"/>
          <w:szCs w:val="24"/>
        </w:rPr>
        <w:t xml:space="preserve">the text </w:t>
      </w:r>
      <w:r w:rsidR="006A6B07" w:rsidRPr="00AE141E">
        <w:rPr>
          <w:rFonts w:ascii="Times New Roman" w:hAnsi="Times New Roman" w:cs="Times New Roman"/>
          <w:sz w:val="24"/>
          <w:szCs w:val="24"/>
        </w:rPr>
        <w:t>initiated</w:t>
      </w:r>
      <w:r w:rsidR="007F2E0B" w:rsidRPr="00AE141E">
        <w:rPr>
          <w:rFonts w:ascii="Times New Roman" w:hAnsi="Times New Roman" w:cs="Times New Roman"/>
          <w:sz w:val="24"/>
          <w:szCs w:val="24"/>
        </w:rPr>
        <w:t xml:space="preserve"> a </w:t>
      </w:r>
      <w:r w:rsidR="006A6B07" w:rsidRPr="00AE141E">
        <w:rPr>
          <w:rFonts w:ascii="Times New Roman" w:hAnsi="Times New Roman" w:cs="Times New Roman"/>
          <w:sz w:val="24"/>
          <w:szCs w:val="24"/>
        </w:rPr>
        <w:t>process</w:t>
      </w:r>
      <w:r w:rsidR="007F2E0B" w:rsidRPr="00AE141E">
        <w:rPr>
          <w:rFonts w:ascii="Times New Roman" w:hAnsi="Times New Roman" w:cs="Times New Roman"/>
          <w:sz w:val="24"/>
          <w:szCs w:val="24"/>
        </w:rPr>
        <w:t xml:space="preserve"> of objectification</w:t>
      </w:r>
      <w:r w:rsidR="003C0F6F" w:rsidRPr="00AE141E">
        <w:rPr>
          <w:rFonts w:ascii="Times New Roman" w:hAnsi="Times New Roman" w:cs="Times New Roman"/>
          <w:sz w:val="24"/>
          <w:szCs w:val="24"/>
        </w:rPr>
        <w:t xml:space="preserve">; ‘culture’, far from representing the </w:t>
      </w:r>
      <w:r w:rsidR="008C2AD6" w:rsidRPr="00AE141E">
        <w:rPr>
          <w:rFonts w:ascii="Times New Roman" w:hAnsi="Times New Roman" w:cs="Times New Roman"/>
          <w:sz w:val="24"/>
          <w:szCs w:val="24"/>
        </w:rPr>
        <w:t xml:space="preserve">complex </w:t>
      </w:r>
      <w:r w:rsidR="003C0F6F" w:rsidRPr="00AE141E">
        <w:rPr>
          <w:rFonts w:ascii="Times New Roman" w:hAnsi="Times New Roman" w:cs="Times New Roman"/>
          <w:sz w:val="24"/>
          <w:szCs w:val="24"/>
        </w:rPr>
        <w:t xml:space="preserve">totality of lived experience of </w:t>
      </w:r>
      <w:r w:rsidR="008C2AD6" w:rsidRPr="00AE141E">
        <w:rPr>
          <w:rFonts w:ascii="Times New Roman" w:hAnsi="Times New Roman" w:cs="Times New Roman"/>
          <w:sz w:val="24"/>
          <w:szCs w:val="24"/>
        </w:rPr>
        <w:t>a child and their community, was reduced to a static</w:t>
      </w:r>
      <w:r w:rsidR="00892AFB" w:rsidRPr="00AE141E">
        <w:rPr>
          <w:rFonts w:ascii="Times New Roman" w:hAnsi="Times New Roman" w:cs="Times New Roman"/>
          <w:sz w:val="24"/>
          <w:szCs w:val="24"/>
        </w:rPr>
        <w:t xml:space="preserve">, essentialised </w:t>
      </w:r>
      <w:r w:rsidR="009414D0" w:rsidRPr="00AE141E">
        <w:rPr>
          <w:rFonts w:ascii="Times New Roman" w:hAnsi="Times New Roman" w:cs="Times New Roman"/>
          <w:sz w:val="24"/>
          <w:szCs w:val="24"/>
        </w:rPr>
        <w:t xml:space="preserve">entity, </w:t>
      </w:r>
      <w:r w:rsidR="00B838A3" w:rsidRPr="00AE141E">
        <w:rPr>
          <w:rFonts w:ascii="Times New Roman" w:hAnsi="Times New Roman" w:cs="Times New Roman"/>
          <w:sz w:val="24"/>
          <w:szCs w:val="24"/>
        </w:rPr>
        <w:t>to be</w:t>
      </w:r>
      <w:r w:rsidR="009414D0" w:rsidRPr="00AE141E">
        <w:rPr>
          <w:rFonts w:ascii="Times New Roman" w:hAnsi="Times New Roman" w:cs="Times New Roman"/>
          <w:sz w:val="24"/>
          <w:szCs w:val="24"/>
        </w:rPr>
        <w:t xml:space="preserve"> defined by the preconceptions and priorities of g</w:t>
      </w:r>
      <w:r w:rsidR="00D41860" w:rsidRPr="00AE141E">
        <w:rPr>
          <w:rFonts w:ascii="Times New Roman" w:hAnsi="Times New Roman" w:cs="Times New Roman"/>
          <w:sz w:val="24"/>
          <w:szCs w:val="24"/>
        </w:rPr>
        <w:t xml:space="preserve">overnment and/or teachers implementing their directives. </w:t>
      </w:r>
    </w:p>
    <w:p w14:paraId="733674BB" w14:textId="44308C12" w:rsidR="00FA59CA" w:rsidRPr="00AE141E" w:rsidRDefault="007A3F1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w:t>
      </w:r>
      <w:r w:rsidR="001A54BE" w:rsidRPr="00AE141E">
        <w:rPr>
          <w:rFonts w:ascii="Times New Roman" w:hAnsi="Times New Roman" w:cs="Times New Roman"/>
          <w:sz w:val="24"/>
          <w:szCs w:val="24"/>
        </w:rPr>
        <w:t xml:space="preserve">he </w:t>
      </w:r>
      <w:r w:rsidR="00B521CA" w:rsidRPr="00AE141E">
        <w:rPr>
          <w:rFonts w:ascii="Times New Roman" w:hAnsi="Times New Roman" w:cs="Times New Roman"/>
          <w:sz w:val="24"/>
          <w:szCs w:val="24"/>
        </w:rPr>
        <w:t xml:space="preserve">Central Advisory Council for Education’s 1967 </w:t>
      </w:r>
      <w:r w:rsidR="005D75AF" w:rsidRPr="00AE141E">
        <w:rPr>
          <w:rFonts w:ascii="Times New Roman" w:hAnsi="Times New Roman" w:cs="Times New Roman"/>
          <w:sz w:val="24"/>
          <w:szCs w:val="24"/>
        </w:rPr>
        <w:t xml:space="preserve">report on </w:t>
      </w:r>
      <w:r w:rsidR="00062F6C" w:rsidRPr="00AE141E">
        <w:rPr>
          <w:rFonts w:ascii="Times New Roman" w:hAnsi="Times New Roman" w:cs="Times New Roman"/>
          <w:i/>
          <w:sz w:val="24"/>
          <w:szCs w:val="24"/>
        </w:rPr>
        <w:t>Children and their Primary Schools</w:t>
      </w:r>
      <w:r w:rsidR="005D75AF" w:rsidRPr="00AE141E">
        <w:rPr>
          <w:rFonts w:ascii="Times New Roman" w:hAnsi="Times New Roman" w:cs="Times New Roman"/>
          <w:sz w:val="24"/>
          <w:szCs w:val="24"/>
        </w:rPr>
        <w:t xml:space="preserve"> (</w:t>
      </w:r>
      <w:r w:rsidR="00492207" w:rsidRPr="00AE141E">
        <w:rPr>
          <w:rFonts w:ascii="Times New Roman" w:hAnsi="Times New Roman" w:cs="Times New Roman"/>
          <w:sz w:val="24"/>
          <w:szCs w:val="24"/>
        </w:rPr>
        <w:t>the Plowden Report)</w:t>
      </w:r>
      <w:r w:rsidRPr="00AE141E">
        <w:rPr>
          <w:rFonts w:ascii="Times New Roman" w:hAnsi="Times New Roman" w:cs="Times New Roman"/>
          <w:sz w:val="24"/>
          <w:szCs w:val="24"/>
        </w:rPr>
        <w:t xml:space="preserve"> </w:t>
      </w:r>
      <w:r w:rsidR="009E63BA" w:rsidRPr="00AE141E">
        <w:rPr>
          <w:rFonts w:ascii="Times New Roman" w:hAnsi="Times New Roman" w:cs="Times New Roman"/>
          <w:sz w:val="24"/>
          <w:szCs w:val="24"/>
        </w:rPr>
        <w:t>reiterated the recommendation</w:t>
      </w:r>
      <w:r w:rsidR="00E04BC5" w:rsidRPr="00AE141E">
        <w:rPr>
          <w:rFonts w:ascii="Times New Roman" w:hAnsi="Times New Roman" w:cs="Times New Roman"/>
          <w:sz w:val="24"/>
          <w:szCs w:val="24"/>
        </w:rPr>
        <w:t xml:space="preserve"> that primary schools with a ‘substantial intake of immigrant children</w:t>
      </w:r>
      <w:r w:rsidR="008865E2" w:rsidRPr="00AE141E">
        <w:rPr>
          <w:rFonts w:ascii="Times New Roman" w:hAnsi="Times New Roman" w:cs="Times New Roman"/>
          <w:sz w:val="24"/>
          <w:szCs w:val="24"/>
        </w:rPr>
        <w:t>’</w:t>
      </w:r>
      <w:r w:rsidR="00E04BC5" w:rsidRPr="00AE141E">
        <w:rPr>
          <w:rFonts w:ascii="Times New Roman" w:hAnsi="Times New Roman" w:cs="Times New Roman"/>
          <w:sz w:val="24"/>
          <w:szCs w:val="24"/>
        </w:rPr>
        <w:t xml:space="preserve"> </w:t>
      </w:r>
      <w:r w:rsidR="008865E2" w:rsidRPr="00AE141E">
        <w:rPr>
          <w:rFonts w:ascii="Times New Roman" w:hAnsi="Times New Roman" w:cs="Times New Roman"/>
          <w:sz w:val="24"/>
          <w:szCs w:val="24"/>
        </w:rPr>
        <w:t xml:space="preserve">might </w:t>
      </w:r>
      <w:r w:rsidR="00850C45" w:rsidRPr="00AE141E">
        <w:rPr>
          <w:rFonts w:ascii="Times New Roman" w:hAnsi="Times New Roman" w:cs="Times New Roman"/>
          <w:sz w:val="24"/>
          <w:szCs w:val="24"/>
        </w:rPr>
        <w:t>use their cultural resources to</w:t>
      </w:r>
      <w:r w:rsidR="0095341A" w:rsidRPr="00AE141E">
        <w:rPr>
          <w:rFonts w:ascii="Times New Roman" w:hAnsi="Times New Roman" w:cs="Times New Roman"/>
          <w:sz w:val="24"/>
          <w:szCs w:val="24"/>
        </w:rPr>
        <w:t xml:space="preserve"> </w:t>
      </w:r>
      <w:r w:rsidR="00850C45" w:rsidRPr="00AE141E">
        <w:rPr>
          <w:rFonts w:ascii="Times New Roman" w:hAnsi="Times New Roman" w:cs="Times New Roman"/>
          <w:sz w:val="24"/>
          <w:szCs w:val="24"/>
        </w:rPr>
        <w:t>‘</w:t>
      </w:r>
      <w:r w:rsidR="0095341A" w:rsidRPr="00AE141E">
        <w:rPr>
          <w:rFonts w:ascii="Times New Roman" w:hAnsi="Times New Roman" w:cs="Times New Roman"/>
          <w:sz w:val="24"/>
          <w:szCs w:val="24"/>
        </w:rPr>
        <w:t>enrich the school</w:t>
      </w:r>
      <w:r w:rsidR="000040CD" w:rsidRPr="00AE141E">
        <w:rPr>
          <w:rFonts w:ascii="Times New Roman" w:hAnsi="Times New Roman" w:cs="Times New Roman"/>
          <w:sz w:val="24"/>
          <w:szCs w:val="24"/>
        </w:rPr>
        <w:t>’</w:t>
      </w:r>
      <w:r w:rsidR="0095341A" w:rsidRPr="00AE141E">
        <w:rPr>
          <w:rFonts w:ascii="Times New Roman" w:hAnsi="Times New Roman" w:cs="Times New Roman"/>
          <w:sz w:val="24"/>
          <w:szCs w:val="24"/>
        </w:rPr>
        <w:t>s geographical and historical studies</w:t>
      </w:r>
      <w:r w:rsidR="00850C45" w:rsidRPr="00AE141E">
        <w:rPr>
          <w:rFonts w:ascii="Times New Roman" w:hAnsi="Times New Roman" w:cs="Times New Roman"/>
          <w:sz w:val="24"/>
          <w:szCs w:val="24"/>
        </w:rPr>
        <w:t>’.</w:t>
      </w:r>
      <w:r w:rsidR="00B4211C" w:rsidRPr="00AE141E">
        <w:rPr>
          <w:rStyle w:val="FootnoteReference"/>
          <w:rFonts w:ascii="Times New Roman" w:hAnsi="Times New Roman" w:cs="Times New Roman"/>
          <w:sz w:val="24"/>
          <w:szCs w:val="24"/>
        </w:rPr>
        <w:footnoteReference w:id="382"/>
      </w:r>
      <w:r w:rsidR="00E75366" w:rsidRPr="00AE141E">
        <w:rPr>
          <w:rFonts w:ascii="Times New Roman" w:hAnsi="Times New Roman" w:cs="Times New Roman"/>
          <w:sz w:val="24"/>
          <w:szCs w:val="24"/>
        </w:rPr>
        <w:t xml:space="preserve"> Plowden differed from previous directives by </w:t>
      </w:r>
      <w:r w:rsidR="000B670A" w:rsidRPr="00AE141E">
        <w:rPr>
          <w:rFonts w:ascii="Times New Roman" w:hAnsi="Times New Roman" w:cs="Times New Roman"/>
          <w:sz w:val="24"/>
          <w:szCs w:val="24"/>
        </w:rPr>
        <w:t xml:space="preserve">emphasising that sensitive representations of foreign cultures might improve classroom race relations and </w:t>
      </w:r>
      <w:r w:rsidR="00BA179A" w:rsidRPr="00AE141E">
        <w:rPr>
          <w:rFonts w:ascii="Times New Roman" w:hAnsi="Times New Roman" w:cs="Times New Roman"/>
          <w:sz w:val="24"/>
          <w:szCs w:val="24"/>
        </w:rPr>
        <w:t xml:space="preserve">develop immigrant children’s </w:t>
      </w:r>
      <w:r w:rsidR="00521E73" w:rsidRPr="00AE141E">
        <w:rPr>
          <w:rFonts w:ascii="Times New Roman" w:hAnsi="Times New Roman" w:cs="Times New Roman"/>
          <w:sz w:val="24"/>
          <w:szCs w:val="24"/>
        </w:rPr>
        <w:t>sense of self-worth</w:t>
      </w:r>
      <w:r w:rsidR="00FB7456" w:rsidRPr="00AE141E">
        <w:rPr>
          <w:rFonts w:ascii="Times New Roman" w:hAnsi="Times New Roman" w:cs="Times New Roman"/>
          <w:sz w:val="24"/>
          <w:szCs w:val="24"/>
        </w:rPr>
        <w:t>.</w:t>
      </w:r>
      <w:r w:rsidR="00A11832" w:rsidRPr="00AE141E">
        <w:rPr>
          <w:rFonts w:ascii="Times New Roman" w:hAnsi="Times New Roman" w:cs="Times New Roman"/>
          <w:sz w:val="24"/>
          <w:szCs w:val="24"/>
        </w:rPr>
        <w:t xml:space="preserve"> However, </w:t>
      </w:r>
      <w:r w:rsidR="006D7D4C" w:rsidRPr="00AE141E">
        <w:rPr>
          <w:rFonts w:ascii="Times New Roman" w:hAnsi="Times New Roman" w:cs="Times New Roman"/>
          <w:sz w:val="24"/>
          <w:szCs w:val="24"/>
        </w:rPr>
        <w:t>its logic remained firmly integrationist</w:t>
      </w:r>
      <w:r w:rsidR="00646479" w:rsidRPr="00AE141E">
        <w:rPr>
          <w:rFonts w:ascii="Times New Roman" w:hAnsi="Times New Roman" w:cs="Times New Roman"/>
          <w:sz w:val="24"/>
          <w:szCs w:val="24"/>
        </w:rPr>
        <w:t>;</w:t>
      </w:r>
      <w:r w:rsidR="001157DB" w:rsidRPr="00AE141E">
        <w:rPr>
          <w:rFonts w:ascii="Times New Roman" w:hAnsi="Times New Roman" w:cs="Times New Roman"/>
          <w:sz w:val="24"/>
          <w:szCs w:val="24"/>
        </w:rPr>
        <w:t xml:space="preserve"> </w:t>
      </w:r>
      <w:r w:rsidR="00646479" w:rsidRPr="00AE141E">
        <w:rPr>
          <w:rFonts w:ascii="Times New Roman" w:hAnsi="Times New Roman" w:cs="Times New Roman"/>
          <w:sz w:val="24"/>
          <w:szCs w:val="24"/>
        </w:rPr>
        <w:t>a teacher’s knowledge of, and respect for, a child’s ‘</w:t>
      </w:r>
      <w:r w:rsidR="006D7D4C" w:rsidRPr="00AE141E">
        <w:rPr>
          <w:rFonts w:ascii="Times New Roman" w:hAnsi="Times New Roman" w:cs="Times New Roman"/>
          <w:sz w:val="24"/>
          <w:szCs w:val="24"/>
        </w:rPr>
        <w:t>previous environment</w:t>
      </w:r>
      <w:r w:rsidR="00646479" w:rsidRPr="00AE141E">
        <w:rPr>
          <w:rFonts w:ascii="Times New Roman" w:hAnsi="Times New Roman" w:cs="Times New Roman"/>
          <w:sz w:val="24"/>
          <w:szCs w:val="24"/>
        </w:rPr>
        <w:t>’</w:t>
      </w:r>
      <w:r w:rsidR="006D7D4C" w:rsidRPr="00AE141E">
        <w:rPr>
          <w:rFonts w:ascii="Times New Roman" w:hAnsi="Times New Roman" w:cs="Times New Roman"/>
          <w:sz w:val="24"/>
          <w:szCs w:val="24"/>
        </w:rPr>
        <w:t xml:space="preserve">, </w:t>
      </w:r>
      <w:r w:rsidR="008B39E8" w:rsidRPr="00AE141E">
        <w:rPr>
          <w:rFonts w:ascii="Times New Roman" w:hAnsi="Times New Roman" w:cs="Times New Roman"/>
          <w:sz w:val="24"/>
          <w:szCs w:val="24"/>
        </w:rPr>
        <w:t xml:space="preserve">was </w:t>
      </w:r>
      <w:r w:rsidR="00C77FB6" w:rsidRPr="00AE141E">
        <w:rPr>
          <w:rFonts w:ascii="Times New Roman" w:hAnsi="Times New Roman" w:cs="Times New Roman"/>
          <w:sz w:val="24"/>
          <w:szCs w:val="24"/>
        </w:rPr>
        <w:t xml:space="preserve">presented as an instrument </w:t>
      </w:r>
      <w:r w:rsidR="00A63989" w:rsidRPr="00AE141E">
        <w:rPr>
          <w:rFonts w:ascii="Times New Roman" w:hAnsi="Times New Roman" w:cs="Times New Roman"/>
          <w:sz w:val="24"/>
          <w:szCs w:val="24"/>
        </w:rPr>
        <w:t xml:space="preserve">necessary to build </w:t>
      </w:r>
      <w:r w:rsidR="008A4A59" w:rsidRPr="00AE141E">
        <w:rPr>
          <w:rFonts w:ascii="Times New Roman" w:hAnsi="Times New Roman" w:cs="Times New Roman"/>
          <w:sz w:val="24"/>
          <w:szCs w:val="24"/>
        </w:rPr>
        <w:t>the trust required to ‘</w:t>
      </w:r>
      <w:r w:rsidR="006D7D4C" w:rsidRPr="00AE141E">
        <w:rPr>
          <w:rFonts w:ascii="Times New Roman" w:hAnsi="Times New Roman" w:cs="Times New Roman"/>
          <w:sz w:val="24"/>
          <w:szCs w:val="24"/>
        </w:rPr>
        <w:t>prepare them for life in a different one</w:t>
      </w:r>
      <w:r w:rsidR="008A4A59" w:rsidRPr="00AE141E">
        <w:rPr>
          <w:rFonts w:ascii="Times New Roman" w:hAnsi="Times New Roman" w:cs="Times New Roman"/>
          <w:sz w:val="24"/>
          <w:szCs w:val="24"/>
        </w:rPr>
        <w:t>’.</w:t>
      </w:r>
      <w:r w:rsidR="00CB75C3" w:rsidRPr="00AE141E">
        <w:rPr>
          <w:rFonts w:ascii="Times New Roman" w:hAnsi="Times New Roman" w:cs="Times New Roman"/>
          <w:sz w:val="24"/>
          <w:szCs w:val="24"/>
        </w:rPr>
        <w:t xml:space="preserve"> </w:t>
      </w:r>
      <w:r w:rsidR="004F2B8A" w:rsidRPr="00AE141E">
        <w:rPr>
          <w:rFonts w:ascii="Times New Roman" w:hAnsi="Times New Roman" w:cs="Times New Roman"/>
          <w:sz w:val="24"/>
          <w:szCs w:val="24"/>
        </w:rPr>
        <w:t>Once again,</w:t>
      </w:r>
      <w:r w:rsidR="00CB75C3" w:rsidRPr="00AE141E">
        <w:rPr>
          <w:rFonts w:ascii="Times New Roman" w:hAnsi="Times New Roman" w:cs="Times New Roman"/>
          <w:sz w:val="24"/>
          <w:szCs w:val="24"/>
        </w:rPr>
        <w:t xml:space="preserve"> cultural differe</w:t>
      </w:r>
      <w:r w:rsidR="00870FA8" w:rsidRPr="00AE141E">
        <w:rPr>
          <w:rFonts w:ascii="Times New Roman" w:hAnsi="Times New Roman" w:cs="Times New Roman"/>
          <w:sz w:val="24"/>
          <w:szCs w:val="24"/>
        </w:rPr>
        <w:t>nce</w:t>
      </w:r>
      <w:r w:rsidR="000921EC" w:rsidRPr="00AE141E">
        <w:rPr>
          <w:rFonts w:ascii="Times New Roman" w:hAnsi="Times New Roman" w:cs="Times New Roman"/>
          <w:sz w:val="24"/>
          <w:szCs w:val="24"/>
        </w:rPr>
        <w:t>s</w:t>
      </w:r>
      <w:r w:rsidR="00870FA8" w:rsidRPr="00AE141E">
        <w:rPr>
          <w:rFonts w:ascii="Times New Roman" w:hAnsi="Times New Roman" w:cs="Times New Roman"/>
          <w:sz w:val="24"/>
          <w:szCs w:val="24"/>
        </w:rPr>
        <w:t xml:space="preserve"> </w:t>
      </w:r>
      <w:r w:rsidR="0038360F" w:rsidRPr="00AE141E">
        <w:rPr>
          <w:rFonts w:ascii="Times New Roman" w:hAnsi="Times New Roman" w:cs="Times New Roman"/>
          <w:sz w:val="24"/>
          <w:szCs w:val="24"/>
        </w:rPr>
        <w:t>would</w:t>
      </w:r>
      <w:r w:rsidR="000921EC" w:rsidRPr="00AE141E">
        <w:rPr>
          <w:rFonts w:ascii="Times New Roman" w:hAnsi="Times New Roman" w:cs="Times New Roman"/>
          <w:sz w:val="24"/>
          <w:szCs w:val="24"/>
        </w:rPr>
        <w:t xml:space="preserve"> be</w:t>
      </w:r>
      <w:r w:rsidR="00870FA8" w:rsidRPr="00AE141E">
        <w:rPr>
          <w:rFonts w:ascii="Times New Roman" w:hAnsi="Times New Roman" w:cs="Times New Roman"/>
          <w:sz w:val="24"/>
          <w:szCs w:val="24"/>
        </w:rPr>
        <w:t xml:space="preserve"> valorised </w:t>
      </w:r>
      <w:r w:rsidR="004F2B8A" w:rsidRPr="00AE141E">
        <w:rPr>
          <w:rFonts w:ascii="Times New Roman" w:hAnsi="Times New Roman" w:cs="Times New Roman"/>
          <w:sz w:val="24"/>
          <w:szCs w:val="24"/>
        </w:rPr>
        <w:t>only insofar as they</w:t>
      </w:r>
      <w:r w:rsidR="0038360F" w:rsidRPr="00AE141E">
        <w:rPr>
          <w:rFonts w:ascii="Times New Roman" w:hAnsi="Times New Roman" w:cs="Times New Roman"/>
          <w:sz w:val="24"/>
          <w:szCs w:val="24"/>
        </w:rPr>
        <w:t xml:space="preserve"> could be</w:t>
      </w:r>
      <w:r w:rsidR="00D52DFF" w:rsidRPr="00AE141E">
        <w:rPr>
          <w:rFonts w:ascii="Times New Roman" w:hAnsi="Times New Roman" w:cs="Times New Roman"/>
          <w:sz w:val="24"/>
          <w:szCs w:val="24"/>
        </w:rPr>
        <w:t xml:space="preserve"> confined to the past</w:t>
      </w:r>
      <w:r w:rsidR="00C146FA" w:rsidRPr="00AE141E">
        <w:rPr>
          <w:rFonts w:ascii="Times New Roman" w:hAnsi="Times New Roman" w:cs="Times New Roman"/>
          <w:sz w:val="24"/>
          <w:szCs w:val="24"/>
        </w:rPr>
        <w:t xml:space="preserve"> (history)</w:t>
      </w:r>
      <w:r w:rsidR="00D52DFF" w:rsidRPr="00AE141E">
        <w:rPr>
          <w:rFonts w:ascii="Times New Roman" w:hAnsi="Times New Roman" w:cs="Times New Roman"/>
          <w:sz w:val="24"/>
          <w:szCs w:val="24"/>
        </w:rPr>
        <w:t xml:space="preserve"> or to distant lands</w:t>
      </w:r>
      <w:r w:rsidR="00C146FA" w:rsidRPr="00AE141E">
        <w:rPr>
          <w:rFonts w:ascii="Times New Roman" w:hAnsi="Times New Roman" w:cs="Times New Roman"/>
          <w:sz w:val="24"/>
          <w:szCs w:val="24"/>
        </w:rPr>
        <w:t xml:space="preserve"> (</w:t>
      </w:r>
      <w:r w:rsidR="00695AD8" w:rsidRPr="00AE141E">
        <w:rPr>
          <w:rFonts w:ascii="Times New Roman" w:hAnsi="Times New Roman" w:cs="Times New Roman"/>
          <w:sz w:val="24"/>
          <w:szCs w:val="24"/>
        </w:rPr>
        <w:t>geography</w:t>
      </w:r>
      <w:r w:rsidR="00C146FA" w:rsidRPr="00AE141E">
        <w:rPr>
          <w:rFonts w:ascii="Times New Roman" w:hAnsi="Times New Roman" w:cs="Times New Roman"/>
          <w:sz w:val="24"/>
          <w:szCs w:val="24"/>
        </w:rPr>
        <w:t xml:space="preserve">) – </w:t>
      </w:r>
      <w:r w:rsidR="00695AD8" w:rsidRPr="00AE141E">
        <w:rPr>
          <w:rFonts w:ascii="Times New Roman" w:hAnsi="Times New Roman" w:cs="Times New Roman"/>
          <w:sz w:val="24"/>
          <w:szCs w:val="24"/>
        </w:rPr>
        <w:t xml:space="preserve">and </w:t>
      </w:r>
      <w:r w:rsidR="00C146FA" w:rsidRPr="00AE141E">
        <w:rPr>
          <w:rFonts w:ascii="Times New Roman" w:hAnsi="Times New Roman" w:cs="Times New Roman"/>
          <w:sz w:val="24"/>
          <w:szCs w:val="24"/>
        </w:rPr>
        <w:t xml:space="preserve">hence excluded </w:t>
      </w:r>
      <w:r w:rsidR="00695AD8" w:rsidRPr="00AE141E">
        <w:rPr>
          <w:rFonts w:ascii="Times New Roman" w:hAnsi="Times New Roman" w:cs="Times New Roman"/>
          <w:sz w:val="24"/>
          <w:szCs w:val="24"/>
        </w:rPr>
        <w:t xml:space="preserve">from </w:t>
      </w:r>
      <w:r w:rsidR="0010460F" w:rsidRPr="00AE141E">
        <w:rPr>
          <w:rFonts w:ascii="Times New Roman" w:hAnsi="Times New Roman" w:cs="Times New Roman"/>
          <w:sz w:val="24"/>
          <w:szCs w:val="24"/>
        </w:rPr>
        <w:t xml:space="preserve">the </w:t>
      </w:r>
      <w:r w:rsidR="00695AD8" w:rsidRPr="00AE141E">
        <w:rPr>
          <w:rFonts w:ascii="Times New Roman" w:hAnsi="Times New Roman" w:cs="Times New Roman"/>
          <w:sz w:val="24"/>
          <w:szCs w:val="24"/>
        </w:rPr>
        <w:t xml:space="preserve">mainstream of </w:t>
      </w:r>
      <w:r w:rsidR="003437CB" w:rsidRPr="00AE141E">
        <w:rPr>
          <w:rFonts w:ascii="Times New Roman" w:hAnsi="Times New Roman" w:cs="Times New Roman"/>
          <w:sz w:val="24"/>
          <w:szCs w:val="24"/>
        </w:rPr>
        <w:t xml:space="preserve">contemporary </w:t>
      </w:r>
      <w:r w:rsidR="00695AD8" w:rsidRPr="00AE141E">
        <w:rPr>
          <w:rFonts w:ascii="Times New Roman" w:hAnsi="Times New Roman" w:cs="Times New Roman"/>
          <w:sz w:val="24"/>
          <w:szCs w:val="24"/>
        </w:rPr>
        <w:t xml:space="preserve">British life. </w:t>
      </w:r>
      <w:r w:rsidR="003437CB" w:rsidRPr="00AE141E">
        <w:rPr>
          <w:rFonts w:ascii="Times New Roman" w:hAnsi="Times New Roman" w:cs="Times New Roman"/>
          <w:sz w:val="24"/>
          <w:szCs w:val="24"/>
        </w:rPr>
        <w:t xml:space="preserve">More critical readings might also </w:t>
      </w:r>
      <w:r w:rsidR="00DA3417" w:rsidRPr="00AE141E">
        <w:rPr>
          <w:rFonts w:ascii="Times New Roman" w:hAnsi="Times New Roman" w:cs="Times New Roman"/>
          <w:sz w:val="24"/>
          <w:szCs w:val="24"/>
        </w:rPr>
        <w:t>suggest that</w:t>
      </w:r>
      <w:r w:rsidR="00CB516C" w:rsidRPr="00AE141E">
        <w:rPr>
          <w:rFonts w:ascii="Times New Roman" w:hAnsi="Times New Roman" w:cs="Times New Roman"/>
          <w:sz w:val="24"/>
          <w:szCs w:val="24"/>
        </w:rPr>
        <w:t xml:space="preserve"> </w:t>
      </w:r>
      <w:r w:rsidR="00DA3417" w:rsidRPr="00AE141E">
        <w:rPr>
          <w:rFonts w:ascii="Times New Roman" w:hAnsi="Times New Roman" w:cs="Times New Roman"/>
          <w:sz w:val="24"/>
          <w:szCs w:val="24"/>
        </w:rPr>
        <w:t xml:space="preserve">the </w:t>
      </w:r>
      <w:r w:rsidR="005306E2" w:rsidRPr="00AE141E">
        <w:rPr>
          <w:rFonts w:ascii="Times New Roman" w:hAnsi="Times New Roman" w:cs="Times New Roman"/>
          <w:sz w:val="24"/>
          <w:szCs w:val="24"/>
        </w:rPr>
        <w:t>acculturation recommended here was expected to teach foreign-born children something about their</w:t>
      </w:r>
      <w:r w:rsidR="004D4F36" w:rsidRPr="00AE141E">
        <w:rPr>
          <w:rFonts w:ascii="Times New Roman" w:hAnsi="Times New Roman" w:cs="Times New Roman"/>
          <w:sz w:val="24"/>
          <w:szCs w:val="24"/>
        </w:rPr>
        <w:t xml:space="preserve"> subordinate</w:t>
      </w:r>
      <w:r w:rsidR="005306E2" w:rsidRPr="00AE141E">
        <w:rPr>
          <w:rFonts w:ascii="Times New Roman" w:hAnsi="Times New Roman" w:cs="Times New Roman"/>
          <w:sz w:val="24"/>
          <w:szCs w:val="24"/>
        </w:rPr>
        <w:t xml:space="preserve"> </w:t>
      </w:r>
      <w:r w:rsidR="004D4F36" w:rsidRPr="00AE141E">
        <w:rPr>
          <w:rFonts w:ascii="Times New Roman" w:hAnsi="Times New Roman" w:cs="Times New Roman"/>
          <w:sz w:val="24"/>
          <w:szCs w:val="24"/>
        </w:rPr>
        <w:t>role</w:t>
      </w:r>
      <w:r w:rsidR="005306E2" w:rsidRPr="00AE141E">
        <w:rPr>
          <w:rFonts w:ascii="Times New Roman" w:hAnsi="Times New Roman" w:cs="Times New Roman"/>
          <w:sz w:val="24"/>
          <w:szCs w:val="24"/>
        </w:rPr>
        <w:t xml:space="preserve"> within British society</w:t>
      </w:r>
      <w:r w:rsidR="004D4F36" w:rsidRPr="00AE141E">
        <w:rPr>
          <w:rFonts w:ascii="Times New Roman" w:hAnsi="Times New Roman" w:cs="Times New Roman"/>
          <w:sz w:val="24"/>
          <w:szCs w:val="24"/>
        </w:rPr>
        <w:t xml:space="preserve"> (service to the majority community). </w:t>
      </w:r>
      <w:r w:rsidR="009602EE" w:rsidRPr="00AE141E">
        <w:rPr>
          <w:rFonts w:ascii="Times New Roman" w:hAnsi="Times New Roman" w:cs="Times New Roman"/>
          <w:sz w:val="24"/>
          <w:szCs w:val="24"/>
        </w:rPr>
        <w:t>Circular</w:t>
      </w:r>
      <w:r w:rsidR="00853BEC" w:rsidRPr="00AE141E">
        <w:rPr>
          <w:rFonts w:ascii="Times New Roman" w:hAnsi="Times New Roman" w:cs="Times New Roman"/>
          <w:sz w:val="24"/>
          <w:szCs w:val="24"/>
        </w:rPr>
        <w:t xml:space="preserve"> 7/65 and </w:t>
      </w:r>
      <w:r w:rsidR="0026655F" w:rsidRPr="00AE141E">
        <w:rPr>
          <w:rFonts w:ascii="Times New Roman" w:hAnsi="Times New Roman" w:cs="Times New Roman"/>
          <w:sz w:val="24"/>
          <w:szCs w:val="24"/>
        </w:rPr>
        <w:t>the Plowden Report both</w:t>
      </w:r>
      <w:r w:rsidR="009602EE" w:rsidRPr="00AE141E">
        <w:rPr>
          <w:rFonts w:ascii="Times New Roman" w:hAnsi="Times New Roman" w:cs="Times New Roman"/>
          <w:sz w:val="24"/>
          <w:szCs w:val="24"/>
        </w:rPr>
        <w:t xml:space="preserve"> </w:t>
      </w:r>
      <w:r w:rsidR="00403E32" w:rsidRPr="00AE141E">
        <w:rPr>
          <w:rFonts w:ascii="Times New Roman" w:hAnsi="Times New Roman" w:cs="Times New Roman"/>
          <w:sz w:val="24"/>
          <w:szCs w:val="24"/>
        </w:rPr>
        <w:t>focus</w:t>
      </w:r>
      <w:r w:rsidR="0026655F" w:rsidRPr="00AE141E">
        <w:rPr>
          <w:rFonts w:ascii="Times New Roman" w:hAnsi="Times New Roman" w:cs="Times New Roman"/>
          <w:sz w:val="24"/>
          <w:szCs w:val="24"/>
        </w:rPr>
        <w:t>ed</w:t>
      </w:r>
      <w:r w:rsidR="00BC5F34" w:rsidRPr="00AE141E">
        <w:rPr>
          <w:rFonts w:ascii="Times New Roman" w:hAnsi="Times New Roman" w:cs="Times New Roman"/>
          <w:sz w:val="24"/>
          <w:szCs w:val="24"/>
        </w:rPr>
        <w:t xml:space="preserve"> on cultural difference as the major problem afflicting </w:t>
      </w:r>
      <w:r w:rsidR="0085010D">
        <w:rPr>
          <w:rFonts w:ascii="Times New Roman" w:hAnsi="Times New Roman" w:cs="Times New Roman"/>
          <w:sz w:val="24"/>
          <w:szCs w:val="24"/>
        </w:rPr>
        <w:t>racially minoritised</w:t>
      </w:r>
      <w:r w:rsidR="00BC5F34" w:rsidRPr="00AE141E">
        <w:rPr>
          <w:rFonts w:ascii="Times New Roman" w:hAnsi="Times New Roman" w:cs="Times New Roman"/>
          <w:sz w:val="24"/>
          <w:szCs w:val="24"/>
        </w:rPr>
        <w:t xml:space="preserve"> communities</w:t>
      </w:r>
      <w:r w:rsidR="008F5934" w:rsidRPr="00AE141E">
        <w:rPr>
          <w:rFonts w:ascii="Times New Roman" w:hAnsi="Times New Roman" w:cs="Times New Roman"/>
          <w:sz w:val="24"/>
          <w:szCs w:val="24"/>
        </w:rPr>
        <w:t xml:space="preserve">. We can again </w:t>
      </w:r>
      <w:r w:rsidR="008F5934" w:rsidRPr="00AE141E">
        <w:rPr>
          <w:rFonts w:ascii="Times New Roman" w:hAnsi="Times New Roman" w:cs="Times New Roman"/>
          <w:sz w:val="24"/>
          <w:szCs w:val="24"/>
        </w:rPr>
        <w:lastRenderedPageBreak/>
        <w:t>observe</w:t>
      </w:r>
      <w:r w:rsidR="00C473AA" w:rsidRPr="00AE141E">
        <w:rPr>
          <w:rFonts w:ascii="Times New Roman" w:hAnsi="Times New Roman" w:cs="Times New Roman"/>
          <w:sz w:val="24"/>
          <w:szCs w:val="24"/>
        </w:rPr>
        <w:t xml:space="preserve"> </w:t>
      </w:r>
      <w:r w:rsidR="00403E32" w:rsidRPr="00AE141E">
        <w:rPr>
          <w:rFonts w:ascii="Times New Roman" w:hAnsi="Times New Roman" w:cs="Times New Roman"/>
          <w:sz w:val="24"/>
          <w:szCs w:val="24"/>
        </w:rPr>
        <w:t>an erasure of the</w:t>
      </w:r>
      <w:r w:rsidR="00C473AA" w:rsidRPr="00AE141E">
        <w:rPr>
          <w:rFonts w:ascii="Times New Roman" w:hAnsi="Times New Roman" w:cs="Times New Roman"/>
          <w:sz w:val="24"/>
          <w:szCs w:val="24"/>
        </w:rPr>
        <w:t xml:space="preserve"> important</w:t>
      </w:r>
      <w:r w:rsidR="00403E32" w:rsidRPr="00AE141E">
        <w:rPr>
          <w:rFonts w:ascii="Times New Roman" w:hAnsi="Times New Roman" w:cs="Times New Roman"/>
          <w:sz w:val="24"/>
          <w:szCs w:val="24"/>
        </w:rPr>
        <w:t xml:space="preserve"> realit</w:t>
      </w:r>
      <w:r w:rsidR="00C473AA" w:rsidRPr="00AE141E">
        <w:rPr>
          <w:rFonts w:ascii="Times New Roman" w:hAnsi="Times New Roman" w:cs="Times New Roman"/>
          <w:sz w:val="24"/>
          <w:szCs w:val="24"/>
        </w:rPr>
        <w:t>y</w:t>
      </w:r>
      <w:r w:rsidR="00403E32" w:rsidRPr="00AE141E">
        <w:rPr>
          <w:rFonts w:ascii="Times New Roman" w:hAnsi="Times New Roman" w:cs="Times New Roman"/>
          <w:sz w:val="24"/>
          <w:szCs w:val="24"/>
        </w:rPr>
        <w:t xml:space="preserve"> of racial discriminatio</w:t>
      </w:r>
      <w:r w:rsidR="00AB67FC" w:rsidRPr="00AE141E">
        <w:rPr>
          <w:rFonts w:ascii="Times New Roman" w:hAnsi="Times New Roman" w:cs="Times New Roman"/>
          <w:sz w:val="24"/>
          <w:szCs w:val="24"/>
        </w:rPr>
        <w:t>n</w:t>
      </w:r>
      <w:r w:rsidR="008F5934" w:rsidRPr="00AE141E">
        <w:rPr>
          <w:rFonts w:ascii="Times New Roman" w:hAnsi="Times New Roman" w:cs="Times New Roman"/>
          <w:sz w:val="24"/>
          <w:szCs w:val="24"/>
        </w:rPr>
        <w:t xml:space="preserve"> in favour of a euphemistic problematic of ‘immigratio</w:t>
      </w:r>
      <w:r w:rsidR="00EA2931" w:rsidRPr="00AE141E">
        <w:rPr>
          <w:rFonts w:ascii="Times New Roman" w:hAnsi="Times New Roman" w:cs="Times New Roman"/>
          <w:sz w:val="24"/>
          <w:szCs w:val="24"/>
        </w:rPr>
        <w:t>n’</w:t>
      </w:r>
      <w:r w:rsidR="003F144F" w:rsidRPr="00AE141E">
        <w:rPr>
          <w:rFonts w:ascii="Times New Roman" w:hAnsi="Times New Roman" w:cs="Times New Roman"/>
          <w:sz w:val="24"/>
          <w:szCs w:val="24"/>
        </w:rPr>
        <w:t xml:space="preserve">. </w:t>
      </w:r>
    </w:p>
    <w:p w14:paraId="5FA153A5" w14:textId="18CE1F60" w:rsidR="00494C76" w:rsidRPr="00AE141E" w:rsidRDefault="00FD4AC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official silence on educational racism could not stop </w:t>
      </w:r>
      <w:r w:rsidR="00B47940" w:rsidRPr="00AE141E">
        <w:rPr>
          <w:rFonts w:ascii="Times New Roman" w:hAnsi="Times New Roman" w:cs="Times New Roman"/>
          <w:sz w:val="24"/>
          <w:szCs w:val="24"/>
        </w:rPr>
        <w:t xml:space="preserve">the communities affected from protesting the injustices they observed in the classroom. </w:t>
      </w:r>
      <w:r w:rsidR="00AA62AB" w:rsidRPr="00AE141E">
        <w:rPr>
          <w:rFonts w:ascii="Times New Roman" w:hAnsi="Times New Roman" w:cs="Times New Roman"/>
          <w:sz w:val="24"/>
          <w:szCs w:val="24"/>
        </w:rPr>
        <w:t>In 1971, B</w:t>
      </w:r>
      <w:r w:rsidR="004A2359" w:rsidRPr="00AE141E">
        <w:rPr>
          <w:rFonts w:ascii="Times New Roman" w:hAnsi="Times New Roman" w:cs="Times New Roman"/>
          <w:sz w:val="24"/>
          <w:szCs w:val="24"/>
        </w:rPr>
        <w:t>ernard Coard</w:t>
      </w:r>
      <w:r w:rsidR="00AA62AB" w:rsidRPr="00AE141E">
        <w:rPr>
          <w:rFonts w:ascii="Times New Roman" w:hAnsi="Times New Roman" w:cs="Times New Roman"/>
          <w:sz w:val="24"/>
          <w:szCs w:val="24"/>
        </w:rPr>
        <w:t xml:space="preserve"> released his </w:t>
      </w:r>
      <w:r w:rsidR="0041429E" w:rsidRPr="00AE141E">
        <w:rPr>
          <w:rFonts w:ascii="Times New Roman" w:hAnsi="Times New Roman" w:cs="Times New Roman"/>
          <w:sz w:val="24"/>
          <w:szCs w:val="24"/>
        </w:rPr>
        <w:t xml:space="preserve">seminal work, </w:t>
      </w:r>
      <w:r w:rsidR="0041429E" w:rsidRPr="00AE141E">
        <w:rPr>
          <w:rFonts w:ascii="Times New Roman" w:hAnsi="Times New Roman" w:cs="Times New Roman"/>
          <w:i/>
          <w:sz w:val="24"/>
          <w:szCs w:val="24"/>
        </w:rPr>
        <w:t>How the West Indian Child is Made Educationally Sub-normal in the British School System</w:t>
      </w:r>
      <w:r w:rsidR="009A448B" w:rsidRPr="00AE141E">
        <w:rPr>
          <w:rFonts w:ascii="Times New Roman" w:hAnsi="Times New Roman" w:cs="Times New Roman"/>
          <w:sz w:val="24"/>
          <w:szCs w:val="24"/>
        </w:rPr>
        <w:t xml:space="preserve">, </w:t>
      </w:r>
      <w:r w:rsidR="00AA62AB" w:rsidRPr="00AE141E">
        <w:rPr>
          <w:rFonts w:ascii="Times New Roman" w:hAnsi="Times New Roman" w:cs="Times New Roman"/>
          <w:sz w:val="24"/>
          <w:szCs w:val="24"/>
        </w:rPr>
        <w:t xml:space="preserve">which </w:t>
      </w:r>
      <w:r w:rsidR="00004083" w:rsidRPr="00AE141E">
        <w:rPr>
          <w:rFonts w:ascii="Times New Roman" w:hAnsi="Times New Roman" w:cs="Times New Roman"/>
          <w:sz w:val="24"/>
          <w:szCs w:val="24"/>
        </w:rPr>
        <w:t xml:space="preserve">identified the </w:t>
      </w:r>
      <w:r w:rsidR="0042114C" w:rsidRPr="00AE141E">
        <w:rPr>
          <w:rFonts w:ascii="Times New Roman" w:hAnsi="Times New Roman" w:cs="Times New Roman"/>
          <w:sz w:val="24"/>
          <w:szCs w:val="24"/>
        </w:rPr>
        <w:t>disproportionate</w:t>
      </w:r>
      <w:r w:rsidR="00004083" w:rsidRPr="00AE141E">
        <w:rPr>
          <w:rFonts w:ascii="Times New Roman" w:hAnsi="Times New Roman" w:cs="Times New Roman"/>
          <w:sz w:val="24"/>
          <w:szCs w:val="24"/>
        </w:rPr>
        <w:t xml:space="preserve"> enrolment </w:t>
      </w:r>
      <w:r w:rsidR="00AB258D" w:rsidRPr="00AE141E">
        <w:rPr>
          <w:rFonts w:ascii="Times New Roman" w:hAnsi="Times New Roman" w:cs="Times New Roman"/>
          <w:sz w:val="24"/>
          <w:szCs w:val="24"/>
        </w:rPr>
        <w:t xml:space="preserve">of Black students in </w:t>
      </w:r>
      <w:r w:rsidR="00073374" w:rsidRPr="00AE141E">
        <w:rPr>
          <w:rFonts w:ascii="Times New Roman" w:hAnsi="Times New Roman" w:cs="Times New Roman"/>
          <w:sz w:val="24"/>
          <w:szCs w:val="24"/>
        </w:rPr>
        <w:t>ESN</w:t>
      </w:r>
      <w:r w:rsidR="00AB258D" w:rsidRPr="00AE141E">
        <w:rPr>
          <w:rFonts w:ascii="Times New Roman" w:hAnsi="Times New Roman" w:cs="Times New Roman"/>
          <w:sz w:val="24"/>
          <w:szCs w:val="24"/>
        </w:rPr>
        <w:t xml:space="preserve"> schools</w:t>
      </w:r>
      <w:r w:rsidR="003F5D9D" w:rsidRPr="00AE141E">
        <w:rPr>
          <w:rFonts w:ascii="Times New Roman" w:hAnsi="Times New Roman" w:cs="Times New Roman"/>
          <w:sz w:val="24"/>
          <w:szCs w:val="24"/>
        </w:rPr>
        <w:t xml:space="preserve">. The confinement of West Indian </w:t>
      </w:r>
      <w:r w:rsidR="004F3B4A" w:rsidRPr="00AE141E">
        <w:rPr>
          <w:rFonts w:ascii="Times New Roman" w:hAnsi="Times New Roman" w:cs="Times New Roman"/>
          <w:sz w:val="24"/>
          <w:szCs w:val="24"/>
        </w:rPr>
        <w:t>pupils</w:t>
      </w:r>
      <w:r w:rsidR="003F5D9D" w:rsidRPr="00AE141E">
        <w:rPr>
          <w:rFonts w:ascii="Times New Roman" w:hAnsi="Times New Roman" w:cs="Times New Roman"/>
          <w:sz w:val="24"/>
          <w:szCs w:val="24"/>
        </w:rPr>
        <w:t xml:space="preserve"> to such institutions was racially motivated</w:t>
      </w:r>
      <w:r w:rsidR="002E6BAB" w:rsidRPr="00AE141E">
        <w:rPr>
          <w:rFonts w:ascii="Times New Roman" w:hAnsi="Times New Roman" w:cs="Times New Roman"/>
          <w:sz w:val="24"/>
          <w:szCs w:val="24"/>
        </w:rPr>
        <w:t xml:space="preserve"> and</w:t>
      </w:r>
      <w:r w:rsidR="00F77F4C" w:rsidRPr="00AE141E">
        <w:rPr>
          <w:rFonts w:ascii="Times New Roman" w:hAnsi="Times New Roman" w:cs="Times New Roman"/>
          <w:sz w:val="24"/>
          <w:szCs w:val="24"/>
        </w:rPr>
        <w:t xml:space="preserve"> </w:t>
      </w:r>
      <w:r w:rsidR="00D718ED" w:rsidRPr="00AE141E">
        <w:rPr>
          <w:rFonts w:ascii="Times New Roman" w:hAnsi="Times New Roman" w:cs="Times New Roman"/>
          <w:sz w:val="24"/>
          <w:szCs w:val="24"/>
        </w:rPr>
        <w:t xml:space="preserve">imposed </w:t>
      </w:r>
      <w:r w:rsidR="00F77F4C" w:rsidRPr="00AE141E">
        <w:rPr>
          <w:rFonts w:ascii="Times New Roman" w:hAnsi="Times New Roman" w:cs="Times New Roman"/>
          <w:sz w:val="24"/>
          <w:szCs w:val="24"/>
        </w:rPr>
        <w:t xml:space="preserve">severe constraints on the educational </w:t>
      </w:r>
      <w:r w:rsidR="00D718ED" w:rsidRPr="00AE141E">
        <w:rPr>
          <w:rFonts w:ascii="Times New Roman" w:hAnsi="Times New Roman" w:cs="Times New Roman"/>
          <w:sz w:val="24"/>
          <w:szCs w:val="24"/>
        </w:rPr>
        <w:t>attainment</w:t>
      </w:r>
      <w:r w:rsidR="00F77F4C" w:rsidRPr="00AE141E">
        <w:rPr>
          <w:rFonts w:ascii="Times New Roman" w:hAnsi="Times New Roman" w:cs="Times New Roman"/>
          <w:sz w:val="24"/>
          <w:szCs w:val="24"/>
        </w:rPr>
        <w:t xml:space="preserve"> an</w:t>
      </w:r>
      <w:r w:rsidR="00582E6B" w:rsidRPr="00AE141E">
        <w:rPr>
          <w:rFonts w:ascii="Times New Roman" w:hAnsi="Times New Roman" w:cs="Times New Roman"/>
          <w:sz w:val="24"/>
          <w:szCs w:val="24"/>
        </w:rPr>
        <w:t xml:space="preserve">d job prospects of those </w:t>
      </w:r>
      <w:r w:rsidR="00D718ED" w:rsidRPr="00AE141E">
        <w:rPr>
          <w:rFonts w:ascii="Times New Roman" w:hAnsi="Times New Roman" w:cs="Times New Roman"/>
          <w:sz w:val="24"/>
          <w:szCs w:val="24"/>
        </w:rPr>
        <w:t>affected.</w:t>
      </w:r>
      <w:r w:rsidR="003E743B" w:rsidRPr="00AE141E">
        <w:rPr>
          <w:rFonts w:ascii="Times New Roman" w:hAnsi="Times New Roman" w:cs="Times New Roman"/>
          <w:sz w:val="24"/>
          <w:szCs w:val="24"/>
        </w:rPr>
        <w:t xml:space="preserve"> </w:t>
      </w:r>
      <w:r w:rsidR="00D718ED" w:rsidRPr="00AE141E">
        <w:rPr>
          <w:rFonts w:ascii="Times New Roman" w:hAnsi="Times New Roman" w:cs="Times New Roman"/>
          <w:sz w:val="24"/>
          <w:szCs w:val="24"/>
        </w:rPr>
        <w:t xml:space="preserve">Coard treated the ESN scandal as </w:t>
      </w:r>
      <w:r w:rsidR="0017462D" w:rsidRPr="00AE141E">
        <w:rPr>
          <w:rFonts w:ascii="Times New Roman" w:hAnsi="Times New Roman" w:cs="Times New Roman"/>
          <w:sz w:val="24"/>
          <w:szCs w:val="24"/>
        </w:rPr>
        <w:t>a</w:t>
      </w:r>
      <w:r w:rsidR="001F1511" w:rsidRPr="00AE141E">
        <w:rPr>
          <w:rFonts w:ascii="Times New Roman" w:hAnsi="Times New Roman" w:cs="Times New Roman"/>
          <w:sz w:val="24"/>
          <w:szCs w:val="24"/>
        </w:rPr>
        <w:t xml:space="preserve"> particularly </w:t>
      </w:r>
      <w:r w:rsidR="0017462D" w:rsidRPr="00AE141E">
        <w:rPr>
          <w:rFonts w:ascii="Times New Roman" w:hAnsi="Times New Roman" w:cs="Times New Roman"/>
          <w:sz w:val="24"/>
          <w:szCs w:val="24"/>
        </w:rPr>
        <w:t xml:space="preserve">egregious symptom of the broader malaise of </w:t>
      </w:r>
      <w:r w:rsidR="009A7B58" w:rsidRPr="00AE141E">
        <w:rPr>
          <w:rFonts w:ascii="Times New Roman" w:hAnsi="Times New Roman" w:cs="Times New Roman"/>
          <w:sz w:val="24"/>
          <w:szCs w:val="24"/>
        </w:rPr>
        <w:t>institutional</w:t>
      </w:r>
      <w:r w:rsidR="0017462D" w:rsidRPr="00AE141E">
        <w:rPr>
          <w:rFonts w:ascii="Times New Roman" w:hAnsi="Times New Roman" w:cs="Times New Roman"/>
          <w:sz w:val="24"/>
          <w:szCs w:val="24"/>
        </w:rPr>
        <w:t xml:space="preserve"> racism</w:t>
      </w:r>
      <w:r w:rsidR="0035351E" w:rsidRPr="00AE141E">
        <w:rPr>
          <w:rFonts w:ascii="Times New Roman" w:hAnsi="Times New Roman" w:cs="Times New Roman"/>
          <w:sz w:val="24"/>
          <w:szCs w:val="24"/>
        </w:rPr>
        <w:t xml:space="preserve">. He </w:t>
      </w:r>
      <w:r w:rsidR="004341A9" w:rsidRPr="00AE141E">
        <w:rPr>
          <w:rFonts w:ascii="Times New Roman" w:hAnsi="Times New Roman" w:cs="Times New Roman"/>
          <w:sz w:val="24"/>
          <w:szCs w:val="24"/>
        </w:rPr>
        <w:t xml:space="preserve">argued that </w:t>
      </w:r>
      <w:r w:rsidR="00EA71F5" w:rsidRPr="00AE141E">
        <w:rPr>
          <w:rFonts w:ascii="Times New Roman" w:hAnsi="Times New Roman" w:cs="Times New Roman"/>
          <w:sz w:val="24"/>
          <w:szCs w:val="24"/>
        </w:rPr>
        <w:t>children</w:t>
      </w:r>
      <w:r w:rsidR="00121392" w:rsidRPr="00AE141E">
        <w:rPr>
          <w:rFonts w:ascii="Times New Roman" w:hAnsi="Times New Roman" w:cs="Times New Roman"/>
          <w:sz w:val="24"/>
          <w:szCs w:val="24"/>
        </w:rPr>
        <w:t xml:space="preserve"> of Afr</w:t>
      </w:r>
      <w:r w:rsidR="008B00E6" w:rsidRPr="00AE141E">
        <w:rPr>
          <w:rFonts w:ascii="Times New Roman" w:hAnsi="Times New Roman" w:cs="Times New Roman"/>
          <w:sz w:val="24"/>
          <w:szCs w:val="24"/>
        </w:rPr>
        <w:t>ican</w:t>
      </w:r>
      <w:r w:rsidR="00121392" w:rsidRPr="00AE141E">
        <w:rPr>
          <w:rFonts w:ascii="Times New Roman" w:hAnsi="Times New Roman" w:cs="Times New Roman"/>
          <w:sz w:val="24"/>
          <w:szCs w:val="24"/>
        </w:rPr>
        <w:t>-Caribbean heritage</w:t>
      </w:r>
      <w:r w:rsidR="00EA71F5" w:rsidRPr="00AE141E">
        <w:rPr>
          <w:rFonts w:ascii="Times New Roman" w:hAnsi="Times New Roman" w:cs="Times New Roman"/>
          <w:sz w:val="24"/>
          <w:szCs w:val="24"/>
        </w:rPr>
        <w:t>, especial</w:t>
      </w:r>
      <w:r w:rsidR="001F1511" w:rsidRPr="00AE141E">
        <w:rPr>
          <w:rFonts w:ascii="Times New Roman" w:hAnsi="Times New Roman" w:cs="Times New Roman"/>
          <w:sz w:val="24"/>
          <w:szCs w:val="24"/>
        </w:rPr>
        <w:t xml:space="preserve">ly boys, were set up to fail by a combination of three factors: </w:t>
      </w:r>
    </w:p>
    <w:p w14:paraId="7DF05BCF" w14:textId="435A47E9" w:rsidR="000506F4" w:rsidRPr="00AE141E" w:rsidRDefault="004341A9"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Low expectations on his part about his likely performance in a white-controlled system of education; low motivation to succeed academically because he feels the cards are stacked against him; and low teacher expectations, which affect the amount of effort expended on his behalf by the teacher and also affect his own image of himself and his abilities.</w:t>
      </w:r>
      <w:r w:rsidR="00724786" w:rsidRPr="00AE141E">
        <w:rPr>
          <w:rStyle w:val="FootnoteReference"/>
          <w:rFonts w:ascii="Times New Roman" w:hAnsi="Times New Roman" w:cs="Times New Roman"/>
          <w:sz w:val="24"/>
          <w:szCs w:val="24"/>
        </w:rPr>
        <w:footnoteReference w:id="383"/>
      </w:r>
    </w:p>
    <w:p w14:paraId="2468CDEF" w14:textId="3DF0DCFA" w:rsidR="000712CF" w:rsidRPr="00AE141E" w:rsidRDefault="000712C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w:t>
      </w:r>
      <w:r w:rsidR="00E73623" w:rsidRPr="00AE141E">
        <w:rPr>
          <w:rFonts w:ascii="Times New Roman" w:hAnsi="Times New Roman" w:cs="Times New Roman"/>
          <w:sz w:val="24"/>
          <w:szCs w:val="24"/>
        </w:rPr>
        <w:t xml:space="preserve">Paul Warmington notes, Coard’s work inverted the </w:t>
      </w:r>
      <w:r w:rsidR="00FF28CD" w:rsidRPr="00AE141E">
        <w:rPr>
          <w:rFonts w:ascii="Times New Roman" w:hAnsi="Times New Roman" w:cs="Times New Roman"/>
          <w:sz w:val="24"/>
          <w:szCs w:val="24"/>
        </w:rPr>
        <w:t>‘deficit’ thesis which had hitherto informed</w:t>
      </w:r>
      <w:r w:rsidR="00744200" w:rsidRPr="00AE141E">
        <w:rPr>
          <w:rFonts w:ascii="Times New Roman" w:hAnsi="Times New Roman" w:cs="Times New Roman"/>
          <w:sz w:val="24"/>
          <w:szCs w:val="24"/>
        </w:rPr>
        <w:t xml:space="preserve"> educational approaches to young people of colour</w:t>
      </w:r>
      <w:r w:rsidR="00FF28CD" w:rsidRPr="00AE141E">
        <w:rPr>
          <w:rFonts w:ascii="Times New Roman" w:hAnsi="Times New Roman" w:cs="Times New Roman"/>
          <w:sz w:val="24"/>
          <w:szCs w:val="24"/>
        </w:rPr>
        <w:t>.</w:t>
      </w:r>
      <w:r w:rsidR="00BB7602" w:rsidRPr="00AE141E">
        <w:rPr>
          <w:rStyle w:val="FootnoteReference"/>
          <w:rFonts w:ascii="Times New Roman" w:hAnsi="Times New Roman" w:cs="Times New Roman"/>
          <w:sz w:val="24"/>
          <w:szCs w:val="24"/>
        </w:rPr>
        <w:footnoteReference w:id="384"/>
      </w:r>
      <w:r w:rsidR="00FF28CD" w:rsidRPr="00AE141E">
        <w:rPr>
          <w:rFonts w:ascii="Times New Roman" w:hAnsi="Times New Roman" w:cs="Times New Roman"/>
          <w:sz w:val="24"/>
          <w:szCs w:val="24"/>
        </w:rPr>
        <w:t xml:space="preserve"> Rather than locating this ‘deficit’ within Black communities and individuals, </w:t>
      </w:r>
      <w:r w:rsidR="00744200" w:rsidRPr="00AE141E">
        <w:rPr>
          <w:rFonts w:ascii="Times New Roman" w:hAnsi="Times New Roman" w:cs="Times New Roman"/>
          <w:sz w:val="24"/>
          <w:szCs w:val="24"/>
        </w:rPr>
        <w:t>Coard</w:t>
      </w:r>
      <w:r w:rsidR="00FF28CD" w:rsidRPr="00AE141E">
        <w:rPr>
          <w:rFonts w:ascii="Times New Roman" w:hAnsi="Times New Roman" w:cs="Times New Roman"/>
          <w:sz w:val="24"/>
          <w:szCs w:val="24"/>
        </w:rPr>
        <w:t xml:space="preserve"> placed it within the education system itself. </w:t>
      </w:r>
      <w:r w:rsidR="00ED401F" w:rsidRPr="00AE141E">
        <w:rPr>
          <w:rFonts w:ascii="Times New Roman" w:hAnsi="Times New Roman" w:cs="Times New Roman"/>
          <w:sz w:val="24"/>
          <w:szCs w:val="24"/>
        </w:rPr>
        <w:t>He argued that t</w:t>
      </w:r>
      <w:r w:rsidR="00FF28CD" w:rsidRPr="00AE141E">
        <w:rPr>
          <w:rFonts w:ascii="Times New Roman" w:hAnsi="Times New Roman" w:cs="Times New Roman"/>
          <w:sz w:val="24"/>
          <w:szCs w:val="24"/>
        </w:rPr>
        <w:t xml:space="preserve">he education system </w:t>
      </w:r>
      <w:r w:rsidR="00ED401F" w:rsidRPr="00AE141E">
        <w:rPr>
          <w:rFonts w:ascii="Times New Roman" w:hAnsi="Times New Roman" w:cs="Times New Roman"/>
          <w:sz w:val="24"/>
          <w:szCs w:val="24"/>
        </w:rPr>
        <w:t>denied</w:t>
      </w:r>
      <w:r w:rsidR="00FF28CD" w:rsidRPr="00AE141E">
        <w:rPr>
          <w:rFonts w:ascii="Times New Roman" w:hAnsi="Times New Roman" w:cs="Times New Roman"/>
          <w:sz w:val="24"/>
          <w:szCs w:val="24"/>
        </w:rPr>
        <w:t xml:space="preserve"> racially minoritised youth the cultural and social affirmation afforded to their White peers. The resulting psychological damage </w:t>
      </w:r>
      <w:r w:rsidR="008F0E1F" w:rsidRPr="00AE141E">
        <w:rPr>
          <w:rFonts w:ascii="Times New Roman" w:hAnsi="Times New Roman" w:cs="Times New Roman"/>
          <w:sz w:val="24"/>
          <w:szCs w:val="24"/>
        </w:rPr>
        <w:t>was</w:t>
      </w:r>
      <w:r w:rsidR="00FF28CD" w:rsidRPr="00AE141E">
        <w:rPr>
          <w:rFonts w:ascii="Times New Roman" w:hAnsi="Times New Roman" w:cs="Times New Roman"/>
          <w:sz w:val="24"/>
          <w:szCs w:val="24"/>
        </w:rPr>
        <w:t xml:space="preserve"> </w:t>
      </w:r>
      <w:r w:rsidR="008F0E1F" w:rsidRPr="00AE141E">
        <w:rPr>
          <w:rFonts w:ascii="Times New Roman" w:hAnsi="Times New Roman" w:cs="Times New Roman"/>
          <w:sz w:val="24"/>
          <w:szCs w:val="24"/>
        </w:rPr>
        <w:t>observable</w:t>
      </w:r>
      <w:r w:rsidR="00FF28CD" w:rsidRPr="00AE141E">
        <w:rPr>
          <w:rFonts w:ascii="Times New Roman" w:hAnsi="Times New Roman" w:cs="Times New Roman"/>
          <w:sz w:val="24"/>
          <w:szCs w:val="24"/>
        </w:rPr>
        <w:t xml:space="preserve"> in their ‘negative self-image’.</w:t>
      </w:r>
      <w:r w:rsidR="00FF28CD" w:rsidRPr="00AE141E">
        <w:rPr>
          <w:rStyle w:val="FootnoteReference"/>
          <w:rFonts w:ascii="Times New Roman" w:hAnsi="Times New Roman" w:cs="Times New Roman"/>
          <w:sz w:val="24"/>
          <w:szCs w:val="24"/>
        </w:rPr>
        <w:footnoteReference w:id="385"/>
      </w:r>
      <w:r w:rsidR="00FF28CD" w:rsidRPr="00AE141E">
        <w:rPr>
          <w:rFonts w:ascii="Times New Roman" w:hAnsi="Times New Roman" w:cs="Times New Roman"/>
          <w:sz w:val="24"/>
          <w:szCs w:val="24"/>
        </w:rPr>
        <w:t xml:space="preserve"> </w:t>
      </w:r>
    </w:p>
    <w:p w14:paraId="088D2409" w14:textId="563E95B7" w:rsidR="0023020A" w:rsidRPr="00AE141E" w:rsidRDefault="00FD0F6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Significantly, Coard</w:t>
      </w:r>
      <w:r w:rsidR="00297F92" w:rsidRPr="00AE141E">
        <w:rPr>
          <w:rFonts w:ascii="Times New Roman" w:hAnsi="Times New Roman" w:cs="Times New Roman"/>
          <w:sz w:val="24"/>
          <w:szCs w:val="24"/>
        </w:rPr>
        <w:t xml:space="preserve">’s </w:t>
      </w:r>
      <w:r w:rsidR="009A7B58" w:rsidRPr="00AE141E">
        <w:rPr>
          <w:rFonts w:ascii="Times New Roman" w:hAnsi="Times New Roman" w:cs="Times New Roman"/>
          <w:sz w:val="24"/>
          <w:szCs w:val="24"/>
        </w:rPr>
        <w:t xml:space="preserve">analysis of the systematic failure of education </w:t>
      </w:r>
      <w:r w:rsidR="00297F92" w:rsidRPr="00AE141E">
        <w:rPr>
          <w:rFonts w:ascii="Times New Roman" w:hAnsi="Times New Roman" w:cs="Times New Roman"/>
          <w:sz w:val="24"/>
          <w:szCs w:val="24"/>
        </w:rPr>
        <w:t>w</w:t>
      </w:r>
      <w:r w:rsidR="00EF2CD3" w:rsidRPr="00AE141E">
        <w:rPr>
          <w:rFonts w:ascii="Times New Roman" w:hAnsi="Times New Roman" w:cs="Times New Roman"/>
          <w:sz w:val="24"/>
          <w:szCs w:val="24"/>
        </w:rPr>
        <w:t>as addressed to Black parents.</w:t>
      </w:r>
      <w:r w:rsidR="008C163B" w:rsidRPr="00AE141E">
        <w:rPr>
          <w:rFonts w:ascii="Times New Roman" w:hAnsi="Times New Roman" w:cs="Times New Roman"/>
          <w:sz w:val="24"/>
          <w:szCs w:val="24"/>
        </w:rPr>
        <w:t xml:space="preserve"> </w:t>
      </w:r>
      <w:r w:rsidR="0065207D" w:rsidRPr="00AE141E">
        <w:rPr>
          <w:rFonts w:ascii="Times New Roman" w:hAnsi="Times New Roman" w:cs="Times New Roman"/>
          <w:sz w:val="24"/>
          <w:szCs w:val="24"/>
        </w:rPr>
        <w:t>T</w:t>
      </w:r>
      <w:r w:rsidR="00330031" w:rsidRPr="00AE141E">
        <w:rPr>
          <w:rFonts w:ascii="Times New Roman" w:hAnsi="Times New Roman" w:cs="Times New Roman"/>
          <w:sz w:val="24"/>
          <w:szCs w:val="24"/>
        </w:rPr>
        <w:t xml:space="preserve">he lingering imperialist influences on curricula in former British colonies in the Caribbean had trained the older generation to view Britain (and often, more specifically, </w:t>
      </w:r>
      <w:r w:rsidR="00330031" w:rsidRPr="00AE141E">
        <w:rPr>
          <w:rFonts w:ascii="Times New Roman" w:hAnsi="Times New Roman" w:cs="Times New Roman"/>
          <w:sz w:val="24"/>
          <w:szCs w:val="24"/>
        </w:rPr>
        <w:lastRenderedPageBreak/>
        <w:t>England) as both motherland and crucible of civilisation.</w:t>
      </w:r>
      <w:r w:rsidR="00330031" w:rsidRPr="00AE141E">
        <w:rPr>
          <w:rStyle w:val="FootnoteReference"/>
          <w:rFonts w:ascii="Times New Roman" w:hAnsi="Times New Roman" w:cs="Times New Roman"/>
          <w:sz w:val="24"/>
          <w:szCs w:val="24"/>
        </w:rPr>
        <w:footnoteReference w:id="386"/>
      </w:r>
      <w:r w:rsidR="00330031" w:rsidRPr="00AE141E">
        <w:rPr>
          <w:rFonts w:ascii="Times New Roman" w:hAnsi="Times New Roman" w:cs="Times New Roman"/>
          <w:sz w:val="24"/>
          <w:szCs w:val="24"/>
        </w:rPr>
        <w:t xml:space="preserve"> </w:t>
      </w:r>
      <w:r w:rsidR="0095212D" w:rsidRPr="00AE141E">
        <w:rPr>
          <w:rFonts w:ascii="Times New Roman" w:hAnsi="Times New Roman" w:cs="Times New Roman"/>
          <w:sz w:val="24"/>
          <w:szCs w:val="24"/>
        </w:rPr>
        <w:t xml:space="preserve"> </w:t>
      </w:r>
      <w:r w:rsidR="0065207D" w:rsidRPr="00AE141E">
        <w:rPr>
          <w:rFonts w:ascii="Times New Roman" w:hAnsi="Times New Roman" w:cs="Times New Roman"/>
          <w:sz w:val="24"/>
          <w:szCs w:val="24"/>
        </w:rPr>
        <w:t>A</w:t>
      </w:r>
      <w:r w:rsidR="00D74722" w:rsidRPr="00AE141E">
        <w:rPr>
          <w:rFonts w:ascii="Times New Roman" w:hAnsi="Times New Roman" w:cs="Times New Roman"/>
          <w:sz w:val="24"/>
          <w:szCs w:val="24"/>
        </w:rPr>
        <w:t>s Kehinde Andrews</w:t>
      </w:r>
      <w:r w:rsidR="00140DF8" w:rsidRPr="00AE141E">
        <w:rPr>
          <w:rFonts w:ascii="Times New Roman" w:hAnsi="Times New Roman" w:cs="Times New Roman"/>
          <w:sz w:val="24"/>
          <w:szCs w:val="24"/>
        </w:rPr>
        <w:t xml:space="preserve"> </w:t>
      </w:r>
      <w:r w:rsidR="001D5DC9" w:rsidRPr="00AE141E">
        <w:rPr>
          <w:rFonts w:ascii="Times New Roman" w:hAnsi="Times New Roman" w:cs="Times New Roman"/>
          <w:sz w:val="24"/>
          <w:szCs w:val="24"/>
        </w:rPr>
        <w:t>suggests</w:t>
      </w:r>
      <w:r w:rsidR="00D74722" w:rsidRPr="00AE141E">
        <w:rPr>
          <w:rFonts w:ascii="Times New Roman" w:hAnsi="Times New Roman" w:cs="Times New Roman"/>
          <w:sz w:val="24"/>
          <w:szCs w:val="24"/>
        </w:rPr>
        <w:t>,</w:t>
      </w:r>
      <w:r w:rsidR="00313772" w:rsidRPr="00AE141E">
        <w:rPr>
          <w:rFonts w:ascii="Times New Roman" w:hAnsi="Times New Roman" w:cs="Times New Roman"/>
          <w:sz w:val="24"/>
          <w:szCs w:val="24"/>
        </w:rPr>
        <w:t xml:space="preserve"> </w:t>
      </w:r>
      <w:r w:rsidR="008D56D8" w:rsidRPr="00AE141E">
        <w:rPr>
          <w:rFonts w:ascii="Times New Roman" w:hAnsi="Times New Roman" w:cs="Times New Roman"/>
          <w:sz w:val="24"/>
          <w:szCs w:val="24"/>
        </w:rPr>
        <w:t xml:space="preserve">those who had come to the UK as adults </w:t>
      </w:r>
      <w:r w:rsidR="00AF3633" w:rsidRPr="00AE141E">
        <w:rPr>
          <w:rFonts w:ascii="Times New Roman" w:hAnsi="Times New Roman" w:cs="Times New Roman"/>
          <w:sz w:val="24"/>
          <w:szCs w:val="24"/>
        </w:rPr>
        <w:t>‘had little reason to doubt the</w:t>
      </w:r>
      <w:r w:rsidR="00092104" w:rsidRPr="00AE141E">
        <w:rPr>
          <w:rFonts w:ascii="Times New Roman" w:hAnsi="Times New Roman" w:cs="Times New Roman"/>
          <w:sz w:val="24"/>
          <w:szCs w:val="24"/>
        </w:rPr>
        <w:t xml:space="preserve"> quality of the education offered, as their only experience of British schooling was the elite private schools in the Caribbean</w:t>
      </w:r>
      <w:r w:rsidR="00E80549" w:rsidRPr="00AE141E">
        <w:rPr>
          <w:rFonts w:ascii="Times New Roman" w:hAnsi="Times New Roman" w:cs="Times New Roman"/>
          <w:sz w:val="24"/>
          <w:szCs w:val="24"/>
        </w:rPr>
        <w:t>’.</w:t>
      </w:r>
      <w:r w:rsidR="00E80549" w:rsidRPr="00AE141E">
        <w:rPr>
          <w:rStyle w:val="FootnoteReference"/>
          <w:rFonts w:ascii="Times New Roman" w:hAnsi="Times New Roman" w:cs="Times New Roman"/>
          <w:sz w:val="24"/>
          <w:szCs w:val="24"/>
        </w:rPr>
        <w:footnoteReference w:id="387"/>
      </w:r>
      <w:r w:rsidR="00E80549" w:rsidRPr="00AE141E">
        <w:rPr>
          <w:rFonts w:ascii="Times New Roman" w:hAnsi="Times New Roman" w:cs="Times New Roman"/>
          <w:sz w:val="24"/>
          <w:szCs w:val="24"/>
        </w:rPr>
        <w:t xml:space="preserve"> </w:t>
      </w:r>
      <w:r w:rsidR="00100E8C" w:rsidRPr="00AE141E">
        <w:rPr>
          <w:rFonts w:ascii="Times New Roman" w:hAnsi="Times New Roman" w:cs="Times New Roman"/>
          <w:sz w:val="24"/>
          <w:szCs w:val="24"/>
        </w:rPr>
        <w:t>In this context, it is easy to see why some within the communit</w:t>
      </w:r>
      <w:r w:rsidR="000456B0" w:rsidRPr="00AE141E">
        <w:rPr>
          <w:rFonts w:ascii="Times New Roman" w:hAnsi="Times New Roman" w:cs="Times New Roman"/>
          <w:sz w:val="24"/>
          <w:szCs w:val="24"/>
        </w:rPr>
        <w:t>y experienced a sense of inter-generational disconnect.</w:t>
      </w:r>
      <w:r w:rsidR="000456B0" w:rsidRPr="00AE141E">
        <w:rPr>
          <w:rStyle w:val="FootnoteReference"/>
          <w:rFonts w:ascii="Times New Roman" w:hAnsi="Times New Roman" w:cs="Times New Roman"/>
          <w:sz w:val="24"/>
          <w:szCs w:val="24"/>
        </w:rPr>
        <w:footnoteReference w:id="388"/>
      </w:r>
      <w:r w:rsidR="0089747B" w:rsidRPr="00AE141E">
        <w:rPr>
          <w:rFonts w:ascii="Times New Roman" w:hAnsi="Times New Roman" w:cs="Times New Roman"/>
          <w:sz w:val="24"/>
          <w:szCs w:val="24"/>
        </w:rPr>
        <w:t xml:space="preserve"> </w:t>
      </w:r>
      <w:r w:rsidR="00331CC2" w:rsidRPr="00AE141E">
        <w:rPr>
          <w:rFonts w:ascii="Times New Roman" w:hAnsi="Times New Roman" w:cs="Times New Roman"/>
          <w:sz w:val="24"/>
          <w:szCs w:val="24"/>
        </w:rPr>
        <w:t>Andrews stresse</w:t>
      </w:r>
      <w:r w:rsidR="00D463A4" w:rsidRPr="00AE141E">
        <w:rPr>
          <w:rFonts w:ascii="Times New Roman" w:hAnsi="Times New Roman" w:cs="Times New Roman"/>
          <w:sz w:val="24"/>
          <w:szCs w:val="24"/>
        </w:rPr>
        <w:t>s</w:t>
      </w:r>
      <w:r w:rsidR="00331CC2" w:rsidRPr="00AE141E">
        <w:rPr>
          <w:rFonts w:ascii="Times New Roman" w:hAnsi="Times New Roman" w:cs="Times New Roman"/>
          <w:sz w:val="24"/>
          <w:szCs w:val="24"/>
        </w:rPr>
        <w:t xml:space="preserve"> that Black p</w:t>
      </w:r>
      <w:r w:rsidR="005F04B1" w:rsidRPr="00AE141E">
        <w:rPr>
          <w:rFonts w:ascii="Times New Roman" w:hAnsi="Times New Roman" w:cs="Times New Roman"/>
          <w:sz w:val="24"/>
          <w:szCs w:val="24"/>
        </w:rPr>
        <w:t xml:space="preserve">arents were not blind to the </w:t>
      </w:r>
      <w:r w:rsidR="009A5C0E" w:rsidRPr="00AE141E">
        <w:rPr>
          <w:rFonts w:ascii="Times New Roman" w:hAnsi="Times New Roman" w:cs="Times New Roman"/>
          <w:sz w:val="24"/>
          <w:szCs w:val="24"/>
        </w:rPr>
        <w:t>experiences of their children</w:t>
      </w:r>
      <w:r w:rsidR="00010196" w:rsidRPr="00AE141E">
        <w:rPr>
          <w:rFonts w:ascii="Times New Roman" w:hAnsi="Times New Roman" w:cs="Times New Roman"/>
          <w:sz w:val="24"/>
          <w:szCs w:val="24"/>
        </w:rPr>
        <w:t xml:space="preserve">. </w:t>
      </w:r>
      <w:r w:rsidR="00901C1F" w:rsidRPr="00AE141E">
        <w:rPr>
          <w:rFonts w:ascii="Times New Roman" w:hAnsi="Times New Roman" w:cs="Times New Roman"/>
          <w:sz w:val="24"/>
          <w:szCs w:val="24"/>
        </w:rPr>
        <w:t xml:space="preserve">Indeed, the </w:t>
      </w:r>
      <w:r w:rsidR="00010196" w:rsidRPr="00AE141E">
        <w:rPr>
          <w:rFonts w:ascii="Times New Roman" w:hAnsi="Times New Roman" w:cs="Times New Roman"/>
          <w:sz w:val="24"/>
          <w:szCs w:val="24"/>
        </w:rPr>
        <w:t>publication</w:t>
      </w:r>
      <w:r w:rsidR="00331CC2" w:rsidRPr="00AE141E">
        <w:rPr>
          <w:rFonts w:ascii="Times New Roman" w:hAnsi="Times New Roman" w:cs="Times New Roman"/>
          <w:sz w:val="24"/>
          <w:szCs w:val="24"/>
        </w:rPr>
        <w:t xml:space="preserve"> </w:t>
      </w:r>
      <w:r w:rsidR="003712B7">
        <w:rPr>
          <w:rFonts w:ascii="Times New Roman" w:hAnsi="Times New Roman" w:cs="Times New Roman"/>
          <w:sz w:val="24"/>
          <w:szCs w:val="24"/>
        </w:rPr>
        <w:t xml:space="preserve">of </w:t>
      </w:r>
      <w:r w:rsidR="00331CC2" w:rsidRPr="00AE141E">
        <w:rPr>
          <w:rFonts w:ascii="Times New Roman" w:hAnsi="Times New Roman" w:cs="Times New Roman"/>
          <w:sz w:val="24"/>
          <w:szCs w:val="24"/>
        </w:rPr>
        <w:t xml:space="preserve">Coard’s book would not have been possible </w:t>
      </w:r>
      <w:r w:rsidR="00FA3529" w:rsidRPr="00AE141E">
        <w:rPr>
          <w:rFonts w:ascii="Times New Roman" w:hAnsi="Times New Roman" w:cs="Times New Roman"/>
          <w:sz w:val="24"/>
          <w:szCs w:val="24"/>
        </w:rPr>
        <w:t xml:space="preserve">without the support given by the Caribbean Education and Community Workers’ Association, </w:t>
      </w:r>
      <w:r w:rsidR="005D3295" w:rsidRPr="00AE141E">
        <w:rPr>
          <w:rFonts w:ascii="Times New Roman" w:hAnsi="Times New Roman" w:cs="Times New Roman"/>
          <w:sz w:val="24"/>
          <w:szCs w:val="24"/>
        </w:rPr>
        <w:t xml:space="preserve">which </w:t>
      </w:r>
      <w:r w:rsidR="0091024D" w:rsidRPr="00AE141E">
        <w:rPr>
          <w:rFonts w:ascii="Times New Roman" w:hAnsi="Times New Roman" w:cs="Times New Roman"/>
          <w:sz w:val="24"/>
          <w:szCs w:val="24"/>
        </w:rPr>
        <w:t>counted</w:t>
      </w:r>
      <w:r w:rsidR="005D3295" w:rsidRPr="00AE141E">
        <w:rPr>
          <w:rFonts w:ascii="Times New Roman" w:hAnsi="Times New Roman" w:cs="Times New Roman"/>
          <w:sz w:val="24"/>
          <w:szCs w:val="24"/>
        </w:rPr>
        <w:t xml:space="preserve"> parents</w:t>
      </w:r>
      <w:r w:rsidR="0091024D" w:rsidRPr="00AE141E">
        <w:rPr>
          <w:rFonts w:ascii="Times New Roman" w:hAnsi="Times New Roman" w:cs="Times New Roman"/>
          <w:sz w:val="24"/>
          <w:szCs w:val="24"/>
        </w:rPr>
        <w:t xml:space="preserve"> amongst its members</w:t>
      </w:r>
      <w:r w:rsidR="009A17E4" w:rsidRPr="00AE141E">
        <w:rPr>
          <w:rFonts w:ascii="Times New Roman" w:hAnsi="Times New Roman" w:cs="Times New Roman"/>
          <w:sz w:val="24"/>
          <w:szCs w:val="24"/>
        </w:rPr>
        <w:t>.</w:t>
      </w:r>
      <w:r w:rsidR="009A17E4" w:rsidRPr="00AE141E">
        <w:rPr>
          <w:rStyle w:val="FootnoteReference"/>
          <w:rFonts w:ascii="Times New Roman" w:hAnsi="Times New Roman" w:cs="Times New Roman"/>
          <w:sz w:val="24"/>
          <w:szCs w:val="24"/>
        </w:rPr>
        <w:footnoteReference w:id="389"/>
      </w:r>
      <w:r w:rsidR="009A17E4" w:rsidRPr="00AE141E">
        <w:rPr>
          <w:rFonts w:ascii="Times New Roman" w:hAnsi="Times New Roman" w:cs="Times New Roman"/>
          <w:sz w:val="24"/>
          <w:szCs w:val="24"/>
        </w:rPr>
        <w:t xml:space="preserve"> </w:t>
      </w:r>
      <w:r w:rsidR="000456B0" w:rsidRPr="00AE141E">
        <w:rPr>
          <w:rFonts w:ascii="Times New Roman" w:hAnsi="Times New Roman" w:cs="Times New Roman"/>
          <w:sz w:val="24"/>
          <w:szCs w:val="24"/>
        </w:rPr>
        <w:t>Nevertheless,</w:t>
      </w:r>
      <w:r w:rsidR="009A17E4" w:rsidRPr="00AE141E">
        <w:rPr>
          <w:rFonts w:ascii="Times New Roman" w:hAnsi="Times New Roman" w:cs="Times New Roman"/>
          <w:sz w:val="24"/>
          <w:szCs w:val="24"/>
        </w:rPr>
        <w:t xml:space="preserve"> </w:t>
      </w:r>
      <w:r w:rsidR="000456B0" w:rsidRPr="00AE141E">
        <w:rPr>
          <w:rFonts w:ascii="Times New Roman" w:hAnsi="Times New Roman" w:cs="Times New Roman"/>
          <w:i/>
          <w:sz w:val="24"/>
          <w:szCs w:val="24"/>
        </w:rPr>
        <w:t>How the West Indian Child is Made Educationally Sub-normal in the British School System</w:t>
      </w:r>
      <w:r w:rsidR="006D2212" w:rsidRPr="00AE141E">
        <w:rPr>
          <w:rFonts w:ascii="Times New Roman" w:hAnsi="Times New Roman" w:cs="Times New Roman"/>
          <w:i/>
          <w:sz w:val="24"/>
          <w:szCs w:val="24"/>
        </w:rPr>
        <w:t xml:space="preserve"> </w:t>
      </w:r>
      <w:r w:rsidR="00371C0E" w:rsidRPr="00AE141E">
        <w:rPr>
          <w:rFonts w:ascii="Times New Roman" w:hAnsi="Times New Roman" w:cs="Times New Roman"/>
          <w:sz w:val="24"/>
          <w:szCs w:val="24"/>
        </w:rPr>
        <w:t xml:space="preserve">certainly spread awareness of the issues faced by </w:t>
      </w:r>
      <w:r w:rsidR="00DF4787" w:rsidRPr="00AE141E">
        <w:rPr>
          <w:rFonts w:ascii="Times New Roman" w:hAnsi="Times New Roman" w:cs="Times New Roman"/>
          <w:sz w:val="24"/>
          <w:szCs w:val="24"/>
        </w:rPr>
        <w:t>Black pupils</w:t>
      </w:r>
      <w:r w:rsidR="00F624EB" w:rsidRPr="00AE141E">
        <w:rPr>
          <w:rFonts w:ascii="Times New Roman" w:hAnsi="Times New Roman" w:cs="Times New Roman"/>
          <w:sz w:val="24"/>
          <w:szCs w:val="24"/>
        </w:rPr>
        <w:t>.</w:t>
      </w:r>
      <w:r w:rsidR="00AC2DBE" w:rsidRPr="00AE141E">
        <w:rPr>
          <w:rFonts w:ascii="Times New Roman" w:hAnsi="Times New Roman" w:cs="Times New Roman"/>
          <w:sz w:val="24"/>
          <w:szCs w:val="24"/>
        </w:rPr>
        <w:t xml:space="preserve"> </w:t>
      </w:r>
      <w:r w:rsidR="00F624EB" w:rsidRPr="00AE141E">
        <w:rPr>
          <w:rFonts w:ascii="Times New Roman" w:hAnsi="Times New Roman" w:cs="Times New Roman"/>
          <w:sz w:val="24"/>
          <w:szCs w:val="24"/>
        </w:rPr>
        <w:t xml:space="preserve">It </w:t>
      </w:r>
      <w:r w:rsidR="00B43CDD" w:rsidRPr="00AE141E">
        <w:rPr>
          <w:rFonts w:ascii="Times New Roman" w:hAnsi="Times New Roman" w:cs="Times New Roman"/>
          <w:sz w:val="24"/>
          <w:szCs w:val="24"/>
        </w:rPr>
        <w:t xml:space="preserve">acted as a powerful rallying </w:t>
      </w:r>
      <w:r w:rsidR="008C163B" w:rsidRPr="00AE141E">
        <w:rPr>
          <w:rFonts w:ascii="Times New Roman" w:hAnsi="Times New Roman" w:cs="Times New Roman"/>
          <w:sz w:val="24"/>
          <w:szCs w:val="24"/>
        </w:rPr>
        <w:t>cry</w:t>
      </w:r>
      <w:r w:rsidR="0089747B" w:rsidRPr="00AE141E">
        <w:rPr>
          <w:rFonts w:ascii="Times New Roman" w:hAnsi="Times New Roman" w:cs="Times New Roman"/>
          <w:sz w:val="24"/>
          <w:szCs w:val="24"/>
        </w:rPr>
        <w:t xml:space="preserve"> amongst those </w:t>
      </w:r>
      <w:r w:rsidR="005358B1">
        <w:rPr>
          <w:rFonts w:ascii="Times New Roman" w:hAnsi="Times New Roman" w:cs="Times New Roman"/>
          <w:sz w:val="24"/>
          <w:szCs w:val="24"/>
        </w:rPr>
        <w:t xml:space="preserve">who </w:t>
      </w:r>
      <w:r w:rsidR="0089747B" w:rsidRPr="00AE141E">
        <w:rPr>
          <w:rFonts w:ascii="Times New Roman" w:hAnsi="Times New Roman" w:cs="Times New Roman"/>
          <w:sz w:val="24"/>
          <w:szCs w:val="24"/>
        </w:rPr>
        <w:t>stood on the frontlines of the fight against racism in 1970s Britain.</w:t>
      </w:r>
    </w:p>
    <w:p w14:paraId="2A5A75CD" w14:textId="4B6C5B21" w:rsidR="008C163B" w:rsidRPr="00AE141E" w:rsidRDefault="008C163B" w:rsidP="00AE141E">
      <w:pPr>
        <w:spacing w:line="360" w:lineRule="auto"/>
        <w:rPr>
          <w:rFonts w:ascii="Times New Roman" w:hAnsi="Times New Roman" w:cs="Times New Roman"/>
          <w:b/>
          <w:bCs/>
          <w:sz w:val="24"/>
          <w:szCs w:val="24"/>
        </w:rPr>
      </w:pPr>
      <w:bookmarkStart w:id="11" w:name="_Hlk169784350"/>
      <w:r w:rsidRPr="00AE141E">
        <w:rPr>
          <w:rFonts w:ascii="Times New Roman" w:hAnsi="Times New Roman" w:cs="Times New Roman"/>
          <w:b/>
          <w:bCs/>
          <w:sz w:val="24"/>
          <w:szCs w:val="24"/>
        </w:rPr>
        <w:t>‘Britain is my Home, but Africa is Part of my Heritage’</w:t>
      </w:r>
      <w:r w:rsidRPr="00AE141E">
        <w:rPr>
          <w:rFonts w:ascii="Times New Roman" w:hAnsi="Times New Roman" w:cs="Times New Roman"/>
          <w:b/>
          <w:bCs/>
          <w:i/>
          <w:sz w:val="24"/>
          <w:szCs w:val="24"/>
        </w:rPr>
        <w:t xml:space="preserve">: </w:t>
      </w:r>
      <w:r w:rsidRPr="00AE141E">
        <w:rPr>
          <w:rFonts w:ascii="Times New Roman" w:hAnsi="Times New Roman" w:cs="Times New Roman"/>
          <w:b/>
          <w:bCs/>
          <w:sz w:val="24"/>
          <w:szCs w:val="24"/>
        </w:rPr>
        <w:t xml:space="preserve">The Black Education Movement </w:t>
      </w:r>
      <w:r w:rsidR="00751A3E" w:rsidRPr="00AE141E">
        <w:rPr>
          <w:rFonts w:ascii="Times New Roman" w:hAnsi="Times New Roman" w:cs="Times New Roman"/>
          <w:b/>
          <w:bCs/>
          <w:sz w:val="24"/>
          <w:szCs w:val="24"/>
        </w:rPr>
        <w:t>Writes Black History</w:t>
      </w:r>
    </w:p>
    <w:p w14:paraId="7BAA615F" w14:textId="639E4972" w:rsidR="00EA00E1" w:rsidRPr="00AE141E" w:rsidRDefault="00CC6C5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w:t>
      </w:r>
      <w:r w:rsidR="00026068" w:rsidRPr="00AE141E">
        <w:rPr>
          <w:rFonts w:ascii="Times New Roman" w:hAnsi="Times New Roman" w:cs="Times New Roman"/>
          <w:sz w:val="24"/>
          <w:szCs w:val="24"/>
        </w:rPr>
        <w:t xml:space="preserve"> Black Education Movement</w:t>
      </w:r>
      <w:r w:rsidRPr="00AE141E">
        <w:rPr>
          <w:rFonts w:ascii="Times New Roman" w:hAnsi="Times New Roman" w:cs="Times New Roman"/>
          <w:sz w:val="24"/>
          <w:szCs w:val="24"/>
        </w:rPr>
        <w:t xml:space="preserve"> (BEM)</w:t>
      </w:r>
      <w:r w:rsidR="00026068" w:rsidRPr="00AE141E">
        <w:rPr>
          <w:rFonts w:ascii="Times New Roman" w:hAnsi="Times New Roman" w:cs="Times New Roman"/>
          <w:sz w:val="24"/>
          <w:szCs w:val="24"/>
        </w:rPr>
        <w:t xml:space="preserve"> </w:t>
      </w:r>
      <w:r w:rsidR="003A705C" w:rsidRPr="00AE141E">
        <w:rPr>
          <w:rFonts w:ascii="Times New Roman" w:hAnsi="Times New Roman" w:cs="Times New Roman"/>
          <w:sz w:val="24"/>
          <w:szCs w:val="24"/>
        </w:rPr>
        <w:t xml:space="preserve">emerged </w:t>
      </w:r>
      <w:bookmarkStart w:id="12" w:name="_Hlk169793853"/>
      <w:r w:rsidR="003A705C" w:rsidRPr="00AE141E">
        <w:rPr>
          <w:rFonts w:ascii="Times New Roman" w:hAnsi="Times New Roman" w:cs="Times New Roman"/>
          <w:sz w:val="24"/>
          <w:szCs w:val="24"/>
        </w:rPr>
        <w:t xml:space="preserve">in response to </w:t>
      </w:r>
      <w:r w:rsidR="00ED7D9A" w:rsidRPr="00AE141E">
        <w:rPr>
          <w:rFonts w:ascii="Times New Roman" w:hAnsi="Times New Roman" w:cs="Times New Roman"/>
          <w:sz w:val="24"/>
          <w:szCs w:val="24"/>
        </w:rPr>
        <w:t>educational racism</w:t>
      </w:r>
      <w:r w:rsidR="001531E4" w:rsidRPr="00AE141E">
        <w:rPr>
          <w:rFonts w:ascii="Times New Roman" w:hAnsi="Times New Roman" w:cs="Times New Roman"/>
          <w:sz w:val="24"/>
          <w:szCs w:val="24"/>
        </w:rPr>
        <w:t xml:space="preserve">. </w:t>
      </w:r>
      <w:r w:rsidR="009B06C6" w:rsidRPr="00AE141E">
        <w:rPr>
          <w:rFonts w:ascii="Times New Roman" w:hAnsi="Times New Roman" w:cs="Times New Roman"/>
          <w:sz w:val="24"/>
          <w:szCs w:val="24"/>
        </w:rPr>
        <w:t xml:space="preserve">The BEM </w:t>
      </w:r>
      <w:r w:rsidR="00AE6C26" w:rsidRPr="00AE141E">
        <w:rPr>
          <w:rFonts w:ascii="Times New Roman" w:hAnsi="Times New Roman" w:cs="Times New Roman"/>
          <w:sz w:val="24"/>
          <w:szCs w:val="24"/>
        </w:rPr>
        <w:t>is</w:t>
      </w:r>
      <w:r w:rsidR="009B06C6" w:rsidRPr="00AE141E">
        <w:rPr>
          <w:rFonts w:ascii="Times New Roman" w:hAnsi="Times New Roman" w:cs="Times New Roman"/>
          <w:sz w:val="24"/>
          <w:szCs w:val="24"/>
        </w:rPr>
        <w:t xml:space="preserve"> an umbrella term used to encompass the numerous self-help initiatives which appeared in education during this period, </w:t>
      </w:r>
      <w:bookmarkEnd w:id="12"/>
      <w:r w:rsidR="009B06C6" w:rsidRPr="00AE141E">
        <w:rPr>
          <w:rFonts w:ascii="Times New Roman" w:hAnsi="Times New Roman" w:cs="Times New Roman"/>
          <w:sz w:val="24"/>
          <w:szCs w:val="24"/>
        </w:rPr>
        <w:t xml:space="preserve">ranging from opposition to </w:t>
      </w:r>
      <w:r w:rsidR="009038DB" w:rsidRPr="00AE141E">
        <w:rPr>
          <w:rFonts w:ascii="Times New Roman" w:hAnsi="Times New Roman" w:cs="Times New Roman"/>
          <w:sz w:val="24"/>
          <w:szCs w:val="24"/>
        </w:rPr>
        <w:t>bu</w:t>
      </w:r>
      <w:r w:rsidR="00B15DD7" w:rsidRPr="00AE141E">
        <w:rPr>
          <w:rFonts w:ascii="Times New Roman" w:hAnsi="Times New Roman" w:cs="Times New Roman"/>
          <w:sz w:val="24"/>
          <w:szCs w:val="24"/>
        </w:rPr>
        <w:t>s</w:t>
      </w:r>
      <w:r w:rsidR="009038DB" w:rsidRPr="00AE141E">
        <w:rPr>
          <w:rFonts w:ascii="Times New Roman" w:hAnsi="Times New Roman" w:cs="Times New Roman"/>
          <w:sz w:val="24"/>
          <w:szCs w:val="24"/>
        </w:rPr>
        <w:t xml:space="preserve">sing, </w:t>
      </w:r>
      <w:r w:rsidR="009B06C6" w:rsidRPr="00AE141E">
        <w:rPr>
          <w:rFonts w:ascii="Times New Roman" w:hAnsi="Times New Roman" w:cs="Times New Roman"/>
          <w:sz w:val="24"/>
          <w:szCs w:val="24"/>
        </w:rPr>
        <w:t>banding</w:t>
      </w:r>
      <w:r w:rsidR="009038DB" w:rsidRPr="00AE141E">
        <w:rPr>
          <w:rFonts w:ascii="Times New Roman" w:hAnsi="Times New Roman" w:cs="Times New Roman"/>
          <w:sz w:val="24"/>
          <w:szCs w:val="24"/>
        </w:rPr>
        <w:t>,</w:t>
      </w:r>
      <w:r w:rsidR="009B06C6" w:rsidRPr="00AE141E">
        <w:rPr>
          <w:rFonts w:ascii="Times New Roman" w:hAnsi="Times New Roman" w:cs="Times New Roman"/>
          <w:sz w:val="24"/>
          <w:szCs w:val="24"/>
        </w:rPr>
        <w:t xml:space="preserve"> and ESN schooling, to the creation of supplementary schools.</w:t>
      </w:r>
      <w:r w:rsidR="006D71C6" w:rsidRPr="00AE141E">
        <w:rPr>
          <w:rFonts w:ascii="Times New Roman" w:hAnsi="Times New Roman" w:cs="Times New Roman"/>
          <w:sz w:val="24"/>
          <w:szCs w:val="24"/>
        </w:rPr>
        <w:t xml:space="preserve"> The latter responded directly to the failings of the education system by offering Black-</w:t>
      </w:r>
      <w:r w:rsidR="00EA00E1" w:rsidRPr="00AE141E">
        <w:rPr>
          <w:rFonts w:ascii="Times New Roman" w:hAnsi="Times New Roman" w:cs="Times New Roman"/>
          <w:sz w:val="24"/>
          <w:szCs w:val="24"/>
        </w:rPr>
        <w:t>led</w:t>
      </w:r>
      <w:r w:rsidR="006D71C6" w:rsidRPr="00AE141E">
        <w:rPr>
          <w:rFonts w:ascii="Times New Roman" w:hAnsi="Times New Roman" w:cs="Times New Roman"/>
          <w:sz w:val="24"/>
          <w:szCs w:val="24"/>
        </w:rPr>
        <w:t xml:space="preserve"> </w:t>
      </w:r>
      <w:r w:rsidR="00EA00E1" w:rsidRPr="00AE141E">
        <w:rPr>
          <w:rFonts w:ascii="Times New Roman" w:hAnsi="Times New Roman" w:cs="Times New Roman"/>
          <w:sz w:val="24"/>
          <w:szCs w:val="24"/>
        </w:rPr>
        <w:t>teaching</w:t>
      </w:r>
      <w:r w:rsidR="006D71C6" w:rsidRPr="00AE141E">
        <w:rPr>
          <w:rFonts w:ascii="Times New Roman" w:hAnsi="Times New Roman" w:cs="Times New Roman"/>
          <w:sz w:val="24"/>
          <w:szCs w:val="24"/>
        </w:rPr>
        <w:t xml:space="preserve"> exclusively for Black children.</w:t>
      </w:r>
      <w:r w:rsidR="009B06C6" w:rsidRPr="00AE141E">
        <w:rPr>
          <w:rFonts w:ascii="Times New Roman" w:hAnsi="Times New Roman" w:cs="Times New Roman"/>
          <w:sz w:val="24"/>
          <w:szCs w:val="24"/>
        </w:rPr>
        <w:t xml:space="preserve"> </w:t>
      </w:r>
      <w:r w:rsidR="00204CF7" w:rsidRPr="00AE141E">
        <w:rPr>
          <w:rFonts w:ascii="Times New Roman" w:hAnsi="Times New Roman" w:cs="Times New Roman"/>
          <w:sz w:val="24"/>
          <w:szCs w:val="24"/>
        </w:rPr>
        <w:t xml:space="preserve">As Andrews </w:t>
      </w:r>
      <w:r w:rsidR="005642D1" w:rsidRPr="00AE141E">
        <w:rPr>
          <w:rFonts w:ascii="Times New Roman" w:hAnsi="Times New Roman" w:cs="Times New Roman"/>
          <w:sz w:val="24"/>
          <w:szCs w:val="24"/>
        </w:rPr>
        <w:t xml:space="preserve">has noted, the </w:t>
      </w:r>
      <w:r w:rsidR="003C47D1" w:rsidRPr="00AE141E">
        <w:rPr>
          <w:rFonts w:ascii="Times New Roman" w:hAnsi="Times New Roman" w:cs="Times New Roman"/>
          <w:sz w:val="24"/>
          <w:szCs w:val="24"/>
        </w:rPr>
        <w:t xml:space="preserve">term ‘Black’ was </w:t>
      </w:r>
      <w:r w:rsidR="008B461C" w:rsidRPr="00AE141E">
        <w:rPr>
          <w:rFonts w:ascii="Times New Roman" w:hAnsi="Times New Roman" w:cs="Times New Roman"/>
          <w:sz w:val="24"/>
          <w:szCs w:val="24"/>
        </w:rPr>
        <w:t>not</w:t>
      </w:r>
      <w:r w:rsidR="0058469B" w:rsidRPr="00AE141E">
        <w:rPr>
          <w:rFonts w:ascii="Times New Roman" w:hAnsi="Times New Roman" w:cs="Times New Roman"/>
          <w:sz w:val="24"/>
          <w:szCs w:val="24"/>
        </w:rPr>
        <w:t xml:space="preserve"> </w:t>
      </w:r>
      <w:r w:rsidR="003C47D1" w:rsidRPr="00AE141E">
        <w:rPr>
          <w:rFonts w:ascii="Times New Roman" w:hAnsi="Times New Roman" w:cs="Times New Roman"/>
          <w:sz w:val="24"/>
          <w:szCs w:val="24"/>
        </w:rPr>
        <w:t xml:space="preserve">used </w:t>
      </w:r>
      <w:r w:rsidR="0058469B" w:rsidRPr="00AE141E">
        <w:rPr>
          <w:rFonts w:ascii="Times New Roman" w:hAnsi="Times New Roman" w:cs="Times New Roman"/>
          <w:sz w:val="24"/>
          <w:szCs w:val="24"/>
        </w:rPr>
        <w:t>consistently</w:t>
      </w:r>
      <w:r w:rsidR="003C47D1" w:rsidRPr="00AE141E">
        <w:rPr>
          <w:rFonts w:ascii="Times New Roman" w:hAnsi="Times New Roman" w:cs="Times New Roman"/>
          <w:sz w:val="24"/>
          <w:szCs w:val="24"/>
        </w:rPr>
        <w:t xml:space="preserve"> </w:t>
      </w:r>
      <w:r w:rsidR="0058469B" w:rsidRPr="00AE141E">
        <w:rPr>
          <w:rFonts w:ascii="Times New Roman" w:hAnsi="Times New Roman" w:cs="Times New Roman"/>
          <w:sz w:val="24"/>
          <w:szCs w:val="24"/>
        </w:rPr>
        <w:t>across</w:t>
      </w:r>
      <w:r w:rsidR="003C47D1" w:rsidRPr="00AE141E">
        <w:rPr>
          <w:rFonts w:ascii="Times New Roman" w:hAnsi="Times New Roman" w:cs="Times New Roman"/>
          <w:sz w:val="24"/>
          <w:szCs w:val="24"/>
        </w:rPr>
        <w:t xml:space="preserve"> the movement</w:t>
      </w:r>
      <w:r w:rsidR="006D71C6" w:rsidRPr="00AE141E">
        <w:rPr>
          <w:rFonts w:ascii="Times New Roman" w:hAnsi="Times New Roman" w:cs="Times New Roman"/>
          <w:sz w:val="24"/>
          <w:szCs w:val="24"/>
        </w:rPr>
        <w:t xml:space="preserve">. </w:t>
      </w:r>
      <w:r w:rsidR="002E0700" w:rsidRPr="00AE141E">
        <w:rPr>
          <w:rFonts w:ascii="Times New Roman" w:hAnsi="Times New Roman" w:cs="Times New Roman"/>
          <w:sz w:val="24"/>
          <w:szCs w:val="24"/>
        </w:rPr>
        <w:t>The Black Parent</w:t>
      </w:r>
      <w:r w:rsidR="00CF2AE7" w:rsidRPr="00AE141E">
        <w:rPr>
          <w:rFonts w:ascii="Times New Roman" w:hAnsi="Times New Roman" w:cs="Times New Roman"/>
          <w:sz w:val="24"/>
          <w:szCs w:val="24"/>
        </w:rPr>
        <w:t xml:space="preserve">s </w:t>
      </w:r>
      <w:r w:rsidR="00F40037" w:rsidRPr="00AE141E">
        <w:rPr>
          <w:rFonts w:ascii="Times New Roman" w:hAnsi="Times New Roman" w:cs="Times New Roman"/>
          <w:sz w:val="24"/>
          <w:szCs w:val="24"/>
        </w:rPr>
        <w:t>M</w:t>
      </w:r>
      <w:r w:rsidR="00CF2AE7" w:rsidRPr="00AE141E">
        <w:rPr>
          <w:rFonts w:ascii="Times New Roman" w:hAnsi="Times New Roman" w:cs="Times New Roman"/>
          <w:sz w:val="24"/>
          <w:szCs w:val="24"/>
        </w:rPr>
        <w:t xml:space="preserve">ovement, which emerged from the BEM, </w:t>
      </w:r>
      <w:r w:rsidR="00DE3C23" w:rsidRPr="00AE141E">
        <w:rPr>
          <w:rFonts w:ascii="Times New Roman" w:hAnsi="Times New Roman" w:cs="Times New Roman"/>
          <w:sz w:val="24"/>
          <w:szCs w:val="24"/>
        </w:rPr>
        <w:t>claimed to organise</w:t>
      </w:r>
      <w:r w:rsidR="00CF2AE7" w:rsidRPr="00AE141E">
        <w:rPr>
          <w:rFonts w:ascii="Times New Roman" w:hAnsi="Times New Roman" w:cs="Times New Roman"/>
          <w:sz w:val="24"/>
          <w:szCs w:val="24"/>
        </w:rPr>
        <w:t xml:space="preserve"> in defence of the </w:t>
      </w:r>
      <w:r w:rsidR="00267FC0" w:rsidRPr="00AE141E">
        <w:rPr>
          <w:rFonts w:ascii="Times New Roman" w:hAnsi="Times New Roman" w:cs="Times New Roman"/>
          <w:sz w:val="24"/>
          <w:szCs w:val="24"/>
        </w:rPr>
        <w:t>‘black population of Caribbean, African and Asian origin’.</w:t>
      </w:r>
      <w:r w:rsidR="00D62D01" w:rsidRPr="00AE141E">
        <w:rPr>
          <w:rStyle w:val="FootnoteReference"/>
          <w:rFonts w:ascii="Times New Roman" w:hAnsi="Times New Roman" w:cs="Times New Roman"/>
          <w:sz w:val="24"/>
          <w:szCs w:val="24"/>
        </w:rPr>
        <w:footnoteReference w:id="390"/>
      </w:r>
      <w:r w:rsidR="00267FC0" w:rsidRPr="00AE141E">
        <w:rPr>
          <w:rFonts w:ascii="Times New Roman" w:hAnsi="Times New Roman" w:cs="Times New Roman"/>
          <w:sz w:val="24"/>
          <w:szCs w:val="24"/>
        </w:rPr>
        <w:t xml:space="preserve"> </w:t>
      </w:r>
      <w:r w:rsidR="008F3715" w:rsidRPr="00AE141E">
        <w:rPr>
          <w:rFonts w:ascii="Times New Roman" w:hAnsi="Times New Roman" w:cs="Times New Roman"/>
          <w:sz w:val="24"/>
          <w:szCs w:val="24"/>
        </w:rPr>
        <w:t>This statement embraced the concept</w:t>
      </w:r>
      <w:r w:rsidR="004C32B3" w:rsidRPr="00AE141E">
        <w:rPr>
          <w:rFonts w:ascii="Times New Roman" w:hAnsi="Times New Roman" w:cs="Times New Roman"/>
          <w:sz w:val="24"/>
          <w:szCs w:val="24"/>
        </w:rPr>
        <w:t xml:space="preserve"> of ‘</w:t>
      </w:r>
      <w:r w:rsidR="00150718" w:rsidRPr="00AE141E">
        <w:rPr>
          <w:rFonts w:ascii="Times New Roman" w:hAnsi="Times New Roman" w:cs="Times New Roman"/>
          <w:sz w:val="24"/>
          <w:szCs w:val="24"/>
        </w:rPr>
        <w:t>political</w:t>
      </w:r>
      <w:r w:rsidR="004C32B3" w:rsidRPr="00AE141E">
        <w:rPr>
          <w:rFonts w:ascii="Times New Roman" w:hAnsi="Times New Roman" w:cs="Times New Roman"/>
          <w:sz w:val="24"/>
          <w:szCs w:val="24"/>
        </w:rPr>
        <w:t xml:space="preserve"> blackness’</w:t>
      </w:r>
      <w:r w:rsidR="00150718" w:rsidRPr="00AE141E">
        <w:rPr>
          <w:rFonts w:ascii="Times New Roman" w:hAnsi="Times New Roman" w:cs="Times New Roman"/>
          <w:sz w:val="24"/>
          <w:szCs w:val="24"/>
        </w:rPr>
        <w:t xml:space="preserve">. </w:t>
      </w:r>
      <w:r w:rsidR="00C26662" w:rsidRPr="00AE141E">
        <w:rPr>
          <w:rFonts w:ascii="Times New Roman" w:hAnsi="Times New Roman" w:cs="Times New Roman"/>
          <w:sz w:val="24"/>
          <w:szCs w:val="24"/>
        </w:rPr>
        <w:t>Nevertheless, the grou</w:t>
      </w:r>
      <w:r w:rsidR="00174D1B" w:rsidRPr="00AE141E">
        <w:rPr>
          <w:rFonts w:ascii="Times New Roman" w:hAnsi="Times New Roman" w:cs="Times New Roman"/>
          <w:sz w:val="24"/>
          <w:szCs w:val="24"/>
        </w:rPr>
        <w:t xml:space="preserve">p drew on a </w:t>
      </w:r>
      <w:r w:rsidR="00174D1B" w:rsidRPr="00AE141E">
        <w:rPr>
          <w:rFonts w:ascii="Times New Roman" w:hAnsi="Times New Roman" w:cs="Times New Roman"/>
          <w:sz w:val="24"/>
          <w:szCs w:val="24"/>
        </w:rPr>
        <w:lastRenderedPageBreak/>
        <w:t xml:space="preserve">primarily African and Caribbean membership </w:t>
      </w:r>
      <w:r w:rsidR="00BE3CA5" w:rsidRPr="00AE141E">
        <w:rPr>
          <w:rFonts w:ascii="Times New Roman" w:hAnsi="Times New Roman" w:cs="Times New Roman"/>
          <w:sz w:val="24"/>
          <w:szCs w:val="24"/>
        </w:rPr>
        <w:t>and</w:t>
      </w:r>
      <w:r w:rsidR="006D32B7" w:rsidRPr="00AE141E">
        <w:rPr>
          <w:rFonts w:ascii="Times New Roman" w:hAnsi="Times New Roman" w:cs="Times New Roman"/>
          <w:sz w:val="24"/>
          <w:szCs w:val="24"/>
        </w:rPr>
        <w:t xml:space="preserve"> used the African America</w:t>
      </w:r>
      <w:r w:rsidR="00750CE6" w:rsidRPr="00AE141E">
        <w:rPr>
          <w:rFonts w:ascii="Times New Roman" w:hAnsi="Times New Roman" w:cs="Times New Roman"/>
          <w:sz w:val="24"/>
          <w:szCs w:val="24"/>
        </w:rPr>
        <w:t>n struggle as a primary point of reference.</w:t>
      </w:r>
      <w:r w:rsidR="0098464E" w:rsidRPr="00AE141E">
        <w:rPr>
          <w:rFonts w:ascii="Times New Roman" w:hAnsi="Times New Roman" w:cs="Times New Roman"/>
          <w:sz w:val="24"/>
          <w:szCs w:val="24"/>
        </w:rPr>
        <w:t xml:space="preserve"> </w:t>
      </w:r>
    </w:p>
    <w:p w14:paraId="50FEA7BF" w14:textId="276B1B92" w:rsidR="00150718" w:rsidRPr="00AE141E" w:rsidRDefault="00DA23F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There was much that was specific </w:t>
      </w:r>
      <w:r w:rsidR="00811B6D" w:rsidRPr="00AE141E">
        <w:rPr>
          <w:rFonts w:ascii="Times New Roman" w:hAnsi="Times New Roman" w:cs="Times New Roman"/>
          <w:sz w:val="24"/>
          <w:szCs w:val="24"/>
        </w:rPr>
        <w:t xml:space="preserve">to the educational struggles of </w:t>
      </w:r>
      <w:r w:rsidR="00424640" w:rsidRPr="00AE141E">
        <w:rPr>
          <w:rFonts w:ascii="Times New Roman" w:hAnsi="Times New Roman" w:cs="Times New Roman"/>
          <w:sz w:val="24"/>
          <w:szCs w:val="24"/>
        </w:rPr>
        <w:t>Britain’s African-Caribbean communities</w:t>
      </w:r>
      <w:r w:rsidR="001C795D" w:rsidRPr="00AE141E">
        <w:rPr>
          <w:rFonts w:ascii="Times New Roman" w:hAnsi="Times New Roman" w:cs="Times New Roman"/>
          <w:sz w:val="24"/>
          <w:szCs w:val="24"/>
        </w:rPr>
        <w:t xml:space="preserve">. </w:t>
      </w:r>
      <w:r w:rsidR="00334F51">
        <w:rPr>
          <w:rFonts w:ascii="Times New Roman" w:hAnsi="Times New Roman" w:cs="Times New Roman"/>
          <w:sz w:val="24"/>
          <w:szCs w:val="24"/>
        </w:rPr>
        <w:t>For example, and a</w:t>
      </w:r>
      <w:r w:rsidR="0058598D" w:rsidRPr="00AE141E">
        <w:rPr>
          <w:rFonts w:ascii="Times New Roman" w:hAnsi="Times New Roman" w:cs="Times New Roman"/>
          <w:sz w:val="24"/>
          <w:szCs w:val="24"/>
        </w:rPr>
        <w:t xml:space="preserve">s Coard’s work made clear, </w:t>
      </w:r>
      <w:r w:rsidR="00422A3A" w:rsidRPr="00AE141E">
        <w:rPr>
          <w:rFonts w:ascii="Times New Roman" w:hAnsi="Times New Roman" w:cs="Times New Roman"/>
          <w:sz w:val="24"/>
          <w:szCs w:val="24"/>
        </w:rPr>
        <w:t xml:space="preserve">confinement to ESN schooling was </w:t>
      </w:r>
      <w:r w:rsidR="00334F51">
        <w:rPr>
          <w:rFonts w:ascii="Times New Roman" w:hAnsi="Times New Roman" w:cs="Times New Roman"/>
          <w:sz w:val="24"/>
          <w:szCs w:val="24"/>
        </w:rPr>
        <w:t xml:space="preserve">mainly </w:t>
      </w:r>
      <w:r w:rsidR="00AD4F91" w:rsidRPr="00AE141E">
        <w:rPr>
          <w:rFonts w:ascii="Times New Roman" w:hAnsi="Times New Roman" w:cs="Times New Roman"/>
          <w:sz w:val="24"/>
          <w:szCs w:val="24"/>
        </w:rPr>
        <w:t xml:space="preserve">perpetrated </w:t>
      </w:r>
      <w:r w:rsidR="00334F51">
        <w:rPr>
          <w:rFonts w:ascii="Times New Roman" w:hAnsi="Times New Roman" w:cs="Times New Roman"/>
          <w:sz w:val="24"/>
          <w:szCs w:val="24"/>
        </w:rPr>
        <w:t>against</w:t>
      </w:r>
      <w:r w:rsidR="00AD4F91" w:rsidRPr="00AE141E">
        <w:rPr>
          <w:rFonts w:ascii="Times New Roman" w:hAnsi="Times New Roman" w:cs="Times New Roman"/>
          <w:sz w:val="24"/>
          <w:szCs w:val="24"/>
        </w:rPr>
        <w:t xml:space="preserve"> West Indian children</w:t>
      </w:r>
      <w:r w:rsidR="005657BF" w:rsidRPr="00AE141E">
        <w:rPr>
          <w:rFonts w:ascii="Times New Roman" w:hAnsi="Times New Roman" w:cs="Times New Roman"/>
          <w:sz w:val="24"/>
          <w:szCs w:val="24"/>
        </w:rPr>
        <w:t>.</w:t>
      </w:r>
      <w:r w:rsidR="00CD7007" w:rsidRPr="00AE141E">
        <w:rPr>
          <w:rFonts w:ascii="Times New Roman" w:hAnsi="Times New Roman" w:cs="Times New Roman"/>
          <w:sz w:val="24"/>
          <w:szCs w:val="24"/>
        </w:rPr>
        <w:t xml:space="preserve"> </w:t>
      </w:r>
      <w:r w:rsidR="00DF154B" w:rsidRPr="00AE141E">
        <w:rPr>
          <w:rFonts w:ascii="Times New Roman" w:hAnsi="Times New Roman" w:cs="Times New Roman"/>
          <w:sz w:val="24"/>
          <w:szCs w:val="24"/>
        </w:rPr>
        <w:t>Strategies of r</w:t>
      </w:r>
      <w:r w:rsidR="005657BF" w:rsidRPr="00AE141E">
        <w:rPr>
          <w:rFonts w:ascii="Times New Roman" w:hAnsi="Times New Roman" w:cs="Times New Roman"/>
          <w:sz w:val="24"/>
          <w:szCs w:val="24"/>
        </w:rPr>
        <w:t xml:space="preserve">esistance </w:t>
      </w:r>
      <w:r w:rsidR="00DF154B" w:rsidRPr="00AE141E">
        <w:rPr>
          <w:rFonts w:ascii="Times New Roman" w:hAnsi="Times New Roman" w:cs="Times New Roman"/>
          <w:sz w:val="24"/>
          <w:szCs w:val="24"/>
        </w:rPr>
        <w:t>were moulded by this</w:t>
      </w:r>
      <w:r w:rsidR="007550F1" w:rsidRPr="00AE141E">
        <w:rPr>
          <w:rFonts w:ascii="Times New Roman" w:hAnsi="Times New Roman" w:cs="Times New Roman"/>
          <w:sz w:val="24"/>
          <w:szCs w:val="24"/>
        </w:rPr>
        <w:t xml:space="preserve"> specificity</w:t>
      </w:r>
      <w:r w:rsidR="00424640" w:rsidRPr="00AE141E">
        <w:rPr>
          <w:rFonts w:ascii="Times New Roman" w:hAnsi="Times New Roman" w:cs="Times New Roman"/>
          <w:sz w:val="24"/>
          <w:szCs w:val="24"/>
        </w:rPr>
        <w:t>.</w:t>
      </w:r>
      <w:r w:rsidR="00676BFE" w:rsidRPr="00AE141E">
        <w:rPr>
          <w:rStyle w:val="FootnoteReference"/>
          <w:rFonts w:ascii="Times New Roman" w:hAnsi="Times New Roman" w:cs="Times New Roman"/>
          <w:sz w:val="24"/>
          <w:szCs w:val="24"/>
        </w:rPr>
        <w:footnoteReference w:id="391"/>
      </w:r>
      <w:r w:rsidR="00424640" w:rsidRPr="00AE141E">
        <w:rPr>
          <w:rFonts w:ascii="Times New Roman" w:hAnsi="Times New Roman" w:cs="Times New Roman"/>
          <w:sz w:val="24"/>
          <w:szCs w:val="24"/>
        </w:rPr>
        <w:t xml:space="preserve"> </w:t>
      </w:r>
      <w:r w:rsidR="00DF154B" w:rsidRPr="00AE141E">
        <w:rPr>
          <w:rFonts w:ascii="Times New Roman" w:hAnsi="Times New Roman" w:cs="Times New Roman"/>
          <w:sz w:val="24"/>
          <w:szCs w:val="24"/>
        </w:rPr>
        <w:t>Supplementary schooling – one of the key achievements of the BEM – was an almost exclusively African-Caribbean project</w:t>
      </w:r>
      <w:r w:rsidR="001C795D" w:rsidRPr="00AE141E">
        <w:rPr>
          <w:rFonts w:ascii="Times New Roman" w:hAnsi="Times New Roman" w:cs="Times New Roman"/>
          <w:sz w:val="24"/>
          <w:szCs w:val="24"/>
        </w:rPr>
        <w:t>. S</w:t>
      </w:r>
      <w:r w:rsidR="00FE6F6F" w:rsidRPr="00AE141E">
        <w:rPr>
          <w:rFonts w:ascii="Times New Roman" w:hAnsi="Times New Roman" w:cs="Times New Roman"/>
          <w:sz w:val="24"/>
          <w:szCs w:val="24"/>
        </w:rPr>
        <w:t xml:space="preserve">uch schools </w:t>
      </w:r>
      <w:r w:rsidR="005F29AC" w:rsidRPr="00AE141E">
        <w:rPr>
          <w:rFonts w:ascii="Times New Roman" w:hAnsi="Times New Roman" w:cs="Times New Roman"/>
          <w:sz w:val="24"/>
          <w:szCs w:val="24"/>
        </w:rPr>
        <w:t xml:space="preserve">saw the construction of Black identity as a core element of their mission. </w:t>
      </w:r>
      <w:r w:rsidR="00F572B2" w:rsidRPr="00AE141E">
        <w:rPr>
          <w:rFonts w:ascii="Times New Roman" w:hAnsi="Times New Roman" w:cs="Times New Roman"/>
          <w:sz w:val="24"/>
          <w:szCs w:val="24"/>
        </w:rPr>
        <w:t>The pedagogy of i</w:t>
      </w:r>
      <w:r w:rsidR="00BE586A" w:rsidRPr="00AE141E">
        <w:rPr>
          <w:rFonts w:ascii="Times New Roman" w:hAnsi="Times New Roman" w:cs="Times New Roman"/>
          <w:sz w:val="24"/>
          <w:szCs w:val="24"/>
        </w:rPr>
        <w:t>dentity format</w:t>
      </w:r>
      <w:r w:rsidR="00F572B2" w:rsidRPr="00AE141E">
        <w:rPr>
          <w:rFonts w:ascii="Times New Roman" w:hAnsi="Times New Roman" w:cs="Times New Roman"/>
          <w:sz w:val="24"/>
          <w:szCs w:val="24"/>
        </w:rPr>
        <w:t xml:space="preserve">ion drew heavily on representations of </w:t>
      </w:r>
      <w:r w:rsidR="00F06C24" w:rsidRPr="00AE141E">
        <w:rPr>
          <w:rFonts w:ascii="Times New Roman" w:hAnsi="Times New Roman" w:cs="Times New Roman"/>
          <w:sz w:val="24"/>
          <w:szCs w:val="24"/>
        </w:rPr>
        <w:t xml:space="preserve">a common </w:t>
      </w:r>
      <w:r w:rsidR="001C7F26" w:rsidRPr="00AE141E">
        <w:rPr>
          <w:rFonts w:ascii="Times New Roman" w:hAnsi="Times New Roman" w:cs="Times New Roman"/>
          <w:sz w:val="24"/>
          <w:szCs w:val="24"/>
        </w:rPr>
        <w:t>history</w:t>
      </w:r>
      <w:r w:rsidR="00F06C24" w:rsidRPr="00AE141E">
        <w:rPr>
          <w:rFonts w:ascii="Times New Roman" w:hAnsi="Times New Roman" w:cs="Times New Roman"/>
          <w:sz w:val="24"/>
          <w:szCs w:val="24"/>
        </w:rPr>
        <w:t xml:space="preserve">, in which African </w:t>
      </w:r>
      <w:r w:rsidR="00DA09C9" w:rsidRPr="00AE141E">
        <w:rPr>
          <w:rFonts w:ascii="Times New Roman" w:hAnsi="Times New Roman" w:cs="Times New Roman"/>
          <w:sz w:val="24"/>
          <w:szCs w:val="24"/>
        </w:rPr>
        <w:t>heritage was strongly emphasised. In this sense, emergent identities can be described as politically Black, perhaps, but not ‘politically black’.</w:t>
      </w:r>
      <w:r w:rsidR="009D594F" w:rsidRPr="00AE141E">
        <w:rPr>
          <w:rFonts w:ascii="Times New Roman" w:hAnsi="Times New Roman" w:cs="Times New Roman"/>
          <w:sz w:val="24"/>
          <w:szCs w:val="24"/>
        </w:rPr>
        <w:t xml:space="preserve"> By virtue of the above, </w:t>
      </w:r>
      <w:r w:rsidR="00150718" w:rsidRPr="00AE141E">
        <w:rPr>
          <w:rFonts w:ascii="Times New Roman" w:hAnsi="Times New Roman" w:cs="Times New Roman"/>
          <w:sz w:val="24"/>
          <w:szCs w:val="24"/>
        </w:rPr>
        <w:t>my own use of the word Black will be limited to individuals of African descent</w:t>
      </w:r>
      <w:r w:rsidR="006C518B" w:rsidRPr="00AE141E">
        <w:rPr>
          <w:rFonts w:ascii="Times New Roman" w:hAnsi="Times New Roman" w:cs="Times New Roman"/>
          <w:sz w:val="24"/>
          <w:szCs w:val="24"/>
        </w:rPr>
        <w:t>, except in cases where</w:t>
      </w:r>
      <w:r w:rsidR="00B27284" w:rsidRPr="00AE141E">
        <w:rPr>
          <w:rFonts w:ascii="Times New Roman" w:hAnsi="Times New Roman" w:cs="Times New Roman"/>
          <w:sz w:val="24"/>
          <w:szCs w:val="24"/>
        </w:rPr>
        <w:t xml:space="preserve"> a politically black identity was claimed by </w:t>
      </w:r>
      <w:r w:rsidR="001C7F26" w:rsidRPr="00AE141E">
        <w:rPr>
          <w:rFonts w:ascii="Times New Roman" w:hAnsi="Times New Roman" w:cs="Times New Roman"/>
          <w:sz w:val="24"/>
          <w:szCs w:val="24"/>
        </w:rPr>
        <w:t xml:space="preserve">an </w:t>
      </w:r>
      <w:r w:rsidR="00041E80" w:rsidRPr="00AE141E">
        <w:rPr>
          <w:rFonts w:ascii="Times New Roman" w:hAnsi="Times New Roman" w:cs="Times New Roman"/>
          <w:sz w:val="24"/>
          <w:szCs w:val="24"/>
        </w:rPr>
        <w:t>individual or group</w:t>
      </w:r>
      <w:r w:rsidR="0003699B" w:rsidRPr="00AE141E">
        <w:rPr>
          <w:rFonts w:ascii="Times New Roman" w:hAnsi="Times New Roman" w:cs="Times New Roman"/>
          <w:sz w:val="24"/>
          <w:szCs w:val="24"/>
        </w:rPr>
        <w:t>.</w:t>
      </w:r>
    </w:p>
    <w:p w14:paraId="0040193E" w14:textId="30C4B8CF" w:rsidR="0006350F" w:rsidRPr="00AE141E" w:rsidRDefault="0014758A" w:rsidP="00AE141E">
      <w:pPr>
        <w:spacing w:line="360" w:lineRule="auto"/>
        <w:rPr>
          <w:rFonts w:ascii="Times New Roman" w:hAnsi="Times New Roman" w:cs="Times New Roman"/>
          <w:sz w:val="24"/>
          <w:szCs w:val="24"/>
        </w:rPr>
      </w:pPr>
      <w:bookmarkStart w:id="13" w:name="_Hlk169784704"/>
      <w:bookmarkEnd w:id="11"/>
      <w:r w:rsidRPr="00AE141E">
        <w:rPr>
          <w:rFonts w:ascii="Times New Roman" w:hAnsi="Times New Roman" w:cs="Times New Roman"/>
          <w:sz w:val="24"/>
          <w:szCs w:val="24"/>
        </w:rPr>
        <w:t>Representations of the past have often been theorised as important foundations for personal and collective identity.</w:t>
      </w:r>
      <w:r w:rsidR="00D633CD">
        <w:rPr>
          <w:rStyle w:val="FootnoteReference"/>
          <w:rFonts w:ascii="Times New Roman" w:hAnsi="Times New Roman" w:cs="Times New Roman"/>
          <w:sz w:val="24"/>
          <w:szCs w:val="24"/>
        </w:rPr>
        <w:footnoteReference w:id="392"/>
      </w:r>
      <w:r w:rsidR="00BF3F76" w:rsidRPr="00AE141E">
        <w:rPr>
          <w:rFonts w:ascii="Times New Roman" w:hAnsi="Times New Roman" w:cs="Times New Roman"/>
          <w:sz w:val="24"/>
          <w:szCs w:val="24"/>
        </w:rPr>
        <w:t xml:space="preserve"> I</w:t>
      </w:r>
      <w:r w:rsidRPr="00AE141E">
        <w:rPr>
          <w:rFonts w:ascii="Times New Roman" w:hAnsi="Times New Roman" w:cs="Times New Roman"/>
          <w:sz w:val="24"/>
          <w:szCs w:val="24"/>
        </w:rPr>
        <w:t xml:space="preserve">t is </w:t>
      </w:r>
      <w:r w:rsidR="004B591F" w:rsidRPr="00AE141E">
        <w:rPr>
          <w:rFonts w:ascii="Times New Roman" w:hAnsi="Times New Roman" w:cs="Times New Roman"/>
          <w:sz w:val="24"/>
          <w:szCs w:val="24"/>
        </w:rPr>
        <w:t>therefore</w:t>
      </w:r>
      <w:r w:rsidRPr="00AE141E">
        <w:rPr>
          <w:rFonts w:ascii="Times New Roman" w:hAnsi="Times New Roman" w:cs="Times New Roman"/>
          <w:sz w:val="24"/>
          <w:szCs w:val="24"/>
        </w:rPr>
        <w:t xml:space="preserve"> unsurprising that t</w:t>
      </w:r>
      <w:r w:rsidR="00B577C6" w:rsidRPr="00AE141E">
        <w:rPr>
          <w:rFonts w:ascii="Times New Roman" w:hAnsi="Times New Roman" w:cs="Times New Roman"/>
          <w:sz w:val="24"/>
          <w:szCs w:val="24"/>
        </w:rPr>
        <w:t xml:space="preserve">he study of history </w:t>
      </w:r>
      <w:r w:rsidRPr="00AE141E">
        <w:rPr>
          <w:rFonts w:ascii="Times New Roman" w:hAnsi="Times New Roman" w:cs="Times New Roman"/>
          <w:sz w:val="24"/>
          <w:szCs w:val="24"/>
        </w:rPr>
        <w:t>should find</w:t>
      </w:r>
      <w:r w:rsidR="00B577C6" w:rsidRPr="00AE141E">
        <w:rPr>
          <w:rFonts w:ascii="Times New Roman" w:hAnsi="Times New Roman" w:cs="Times New Roman"/>
          <w:sz w:val="24"/>
          <w:szCs w:val="24"/>
        </w:rPr>
        <w:t xml:space="preserve"> itself </w:t>
      </w:r>
      <w:r w:rsidR="0089327E" w:rsidRPr="00AE141E">
        <w:rPr>
          <w:rFonts w:ascii="Times New Roman" w:hAnsi="Times New Roman" w:cs="Times New Roman"/>
          <w:sz w:val="24"/>
          <w:szCs w:val="24"/>
        </w:rPr>
        <w:t xml:space="preserve">as a focal point for </w:t>
      </w:r>
      <w:r w:rsidRPr="00AE141E">
        <w:rPr>
          <w:rFonts w:ascii="Times New Roman" w:hAnsi="Times New Roman" w:cs="Times New Roman"/>
          <w:sz w:val="24"/>
          <w:szCs w:val="24"/>
        </w:rPr>
        <w:t>Black</w:t>
      </w:r>
      <w:r w:rsidR="0089327E" w:rsidRPr="00AE141E">
        <w:rPr>
          <w:rFonts w:ascii="Times New Roman" w:hAnsi="Times New Roman" w:cs="Times New Roman"/>
          <w:sz w:val="24"/>
          <w:szCs w:val="24"/>
        </w:rPr>
        <w:t xml:space="preserve"> organisi</w:t>
      </w:r>
      <w:r w:rsidRPr="00AE141E">
        <w:rPr>
          <w:rFonts w:ascii="Times New Roman" w:hAnsi="Times New Roman" w:cs="Times New Roman"/>
          <w:sz w:val="24"/>
          <w:szCs w:val="24"/>
        </w:rPr>
        <w:t>ng</w:t>
      </w:r>
      <w:r w:rsidR="001C795D" w:rsidRPr="00AE141E">
        <w:rPr>
          <w:rFonts w:ascii="Times New Roman" w:hAnsi="Times New Roman" w:cs="Times New Roman"/>
          <w:sz w:val="24"/>
          <w:szCs w:val="24"/>
        </w:rPr>
        <w:t xml:space="preserve">. </w:t>
      </w:r>
      <w:r w:rsidR="0006350F" w:rsidRPr="00AE141E">
        <w:rPr>
          <w:rFonts w:ascii="Times New Roman" w:hAnsi="Times New Roman" w:cs="Times New Roman"/>
          <w:sz w:val="24"/>
          <w:szCs w:val="24"/>
        </w:rPr>
        <w:t>Coard himself described the demoralisation and poor self-esteem which followed the Black child’s discovery, in school, that ‘all the great men of history’ were apparently White.</w:t>
      </w:r>
      <w:r w:rsidR="0073067F" w:rsidRPr="00AE141E">
        <w:rPr>
          <w:rStyle w:val="FootnoteReference"/>
          <w:rFonts w:ascii="Times New Roman" w:hAnsi="Times New Roman" w:cs="Times New Roman"/>
          <w:sz w:val="24"/>
          <w:szCs w:val="24"/>
        </w:rPr>
        <w:footnoteReference w:id="393"/>
      </w:r>
      <w:r w:rsidR="0006350F" w:rsidRPr="00AE141E">
        <w:rPr>
          <w:rFonts w:ascii="Times New Roman" w:hAnsi="Times New Roman" w:cs="Times New Roman"/>
          <w:sz w:val="24"/>
          <w:szCs w:val="24"/>
        </w:rPr>
        <w:t xml:space="preserve"> The anti-racist campaigner Ann Dummett associated the historical erasure of people of colour with notions of ‘imperialist destiny’.</w:t>
      </w:r>
      <w:r w:rsidR="008230FC" w:rsidRPr="00AE141E">
        <w:rPr>
          <w:rStyle w:val="FootnoteReference"/>
          <w:rFonts w:ascii="Times New Roman" w:hAnsi="Times New Roman" w:cs="Times New Roman"/>
          <w:sz w:val="24"/>
          <w:szCs w:val="24"/>
        </w:rPr>
        <w:footnoteReference w:id="394"/>
      </w:r>
      <w:r w:rsidR="0006350F" w:rsidRPr="00AE141E">
        <w:rPr>
          <w:rFonts w:ascii="Times New Roman" w:hAnsi="Times New Roman" w:cs="Times New Roman"/>
          <w:sz w:val="24"/>
          <w:szCs w:val="24"/>
        </w:rPr>
        <w:t xml:space="preserve"> Such narratives were laughably – and dangerously – out of touch with the contemporary geopolitical reality, in which pupils found themselves ‘citizens of a small country with very few overseas territories’.</w:t>
      </w:r>
      <w:r w:rsidR="004B591F" w:rsidRPr="00AE141E">
        <w:rPr>
          <w:rFonts w:ascii="Times New Roman" w:hAnsi="Times New Roman" w:cs="Times New Roman"/>
          <w:sz w:val="24"/>
          <w:szCs w:val="24"/>
        </w:rPr>
        <w:t xml:space="preserve"> </w:t>
      </w:r>
      <w:r w:rsidR="0006350F" w:rsidRPr="00AE141E">
        <w:rPr>
          <w:rFonts w:ascii="Times New Roman" w:hAnsi="Times New Roman" w:cs="Times New Roman"/>
          <w:sz w:val="24"/>
          <w:szCs w:val="24"/>
        </w:rPr>
        <w:t xml:space="preserve">In this context, the ideology of White supremacist imperial destiny was likely to turn inward, addressing itself towards those </w:t>
      </w:r>
      <w:r w:rsidR="00896112" w:rsidRPr="00AE141E">
        <w:rPr>
          <w:rFonts w:ascii="Times New Roman" w:hAnsi="Times New Roman" w:cs="Times New Roman"/>
          <w:sz w:val="24"/>
          <w:szCs w:val="24"/>
        </w:rPr>
        <w:t>‘</w:t>
      </w:r>
      <w:r w:rsidR="0006350F" w:rsidRPr="00AE141E">
        <w:rPr>
          <w:rFonts w:ascii="Times New Roman" w:hAnsi="Times New Roman" w:cs="Times New Roman"/>
          <w:sz w:val="24"/>
          <w:szCs w:val="24"/>
        </w:rPr>
        <w:t xml:space="preserve">citizens of former Empire countries’ who had made their homes in the English metropole. White young people were </w:t>
      </w:r>
      <w:r w:rsidR="0006350F" w:rsidRPr="00AE141E">
        <w:rPr>
          <w:rFonts w:ascii="Times New Roman" w:hAnsi="Times New Roman" w:cs="Times New Roman"/>
          <w:sz w:val="24"/>
          <w:szCs w:val="24"/>
        </w:rPr>
        <w:lastRenderedPageBreak/>
        <w:t>being educated to despise their peers. Racially minoritised young people were being educated to despise themselves.</w:t>
      </w:r>
    </w:p>
    <w:p w14:paraId="1EF47524" w14:textId="1319FE44" w:rsidR="00D90787" w:rsidRPr="00AE141E" w:rsidRDefault="00B577C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Ian Baucom</w:t>
      </w:r>
      <w:r w:rsidR="00442ED5" w:rsidRPr="00AE141E">
        <w:rPr>
          <w:rFonts w:ascii="Times New Roman" w:hAnsi="Times New Roman" w:cs="Times New Roman"/>
          <w:sz w:val="24"/>
          <w:szCs w:val="24"/>
        </w:rPr>
        <w:t xml:space="preserve"> has</w:t>
      </w:r>
      <w:r w:rsidRPr="00AE141E">
        <w:rPr>
          <w:rFonts w:ascii="Times New Roman" w:hAnsi="Times New Roman" w:cs="Times New Roman"/>
          <w:sz w:val="24"/>
          <w:szCs w:val="24"/>
        </w:rPr>
        <w:t xml:space="preserve"> argued that English national identity divested itself of imperial </w:t>
      </w:r>
      <w:r w:rsidR="00522059" w:rsidRPr="00AE141E">
        <w:rPr>
          <w:rFonts w:ascii="Times New Roman" w:hAnsi="Times New Roman" w:cs="Times New Roman"/>
          <w:sz w:val="24"/>
          <w:szCs w:val="24"/>
        </w:rPr>
        <w:t>resonances</w:t>
      </w:r>
      <w:r w:rsidRPr="00AE141E">
        <w:rPr>
          <w:rFonts w:ascii="Times New Roman" w:hAnsi="Times New Roman" w:cs="Times New Roman"/>
          <w:sz w:val="24"/>
          <w:szCs w:val="24"/>
        </w:rPr>
        <w:t xml:space="preserve"> in the post-war world.</w:t>
      </w:r>
      <w:r w:rsidR="00CD6E65" w:rsidRPr="00AE141E">
        <w:rPr>
          <w:rStyle w:val="FootnoteReference"/>
          <w:rFonts w:ascii="Times New Roman" w:hAnsi="Times New Roman" w:cs="Times New Roman"/>
          <w:sz w:val="24"/>
          <w:szCs w:val="24"/>
        </w:rPr>
        <w:footnoteReference w:id="395"/>
      </w:r>
      <w:r w:rsidRPr="00AE141E">
        <w:rPr>
          <w:rFonts w:ascii="Times New Roman" w:hAnsi="Times New Roman" w:cs="Times New Roman"/>
          <w:sz w:val="24"/>
          <w:szCs w:val="24"/>
        </w:rPr>
        <w:t xml:space="preserve"> By insisting on a strict separation between Englishness and empire, nationalists were able to imagine English nationality as White property, free of the global entanglements </w:t>
      </w:r>
      <w:r w:rsidR="001D5013" w:rsidRPr="00AE141E">
        <w:rPr>
          <w:rFonts w:ascii="Times New Roman" w:hAnsi="Times New Roman" w:cs="Times New Roman"/>
          <w:sz w:val="24"/>
          <w:szCs w:val="24"/>
        </w:rPr>
        <w:t>bequeathed by empire</w:t>
      </w:r>
      <w:r w:rsidR="00522059" w:rsidRPr="00AE141E">
        <w:rPr>
          <w:rFonts w:ascii="Times New Roman" w:hAnsi="Times New Roman" w:cs="Times New Roman"/>
          <w:sz w:val="24"/>
          <w:szCs w:val="24"/>
        </w:rPr>
        <w:t xml:space="preserve"> (the Commonwealth; mass migration)</w:t>
      </w:r>
      <w:r w:rsidRPr="00AE141E">
        <w:rPr>
          <w:rFonts w:ascii="Times New Roman" w:hAnsi="Times New Roman" w:cs="Times New Roman"/>
          <w:sz w:val="24"/>
          <w:szCs w:val="24"/>
        </w:rPr>
        <w:t xml:space="preserve">. As Jackson </w:t>
      </w:r>
      <w:r w:rsidR="00442ED5" w:rsidRPr="00AE141E">
        <w:rPr>
          <w:rFonts w:ascii="Times New Roman" w:hAnsi="Times New Roman" w:cs="Times New Roman"/>
          <w:sz w:val="24"/>
          <w:szCs w:val="24"/>
        </w:rPr>
        <w:t xml:space="preserve">has </w:t>
      </w:r>
      <w:r w:rsidRPr="00AE141E">
        <w:rPr>
          <w:rFonts w:ascii="Times New Roman" w:hAnsi="Times New Roman" w:cs="Times New Roman"/>
          <w:sz w:val="24"/>
          <w:szCs w:val="24"/>
        </w:rPr>
        <w:t>observed, the forgetting of empire threatened the lives and identities of migrants from former colonies.</w:t>
      </w:r>
      <w:r w:rsidR="00CF3E0A" w:rsidRPr="00AE141E">
        <w:rPr>
          <w:rStyle w:val="FootnoteReference"/>
          <w:rFonts w:ascii="Times New Roman" w:hAnsi="Times New Roman" w:cs="Times New Roman"/>
          <w:sz w:val="24"/>
          <w:szCs w:val="24"/>
        </w:rPr>
        <w:footnoteReference w:id="396"/>
      </w:r>
      <w:r w:rsidRPr="00AE141E">
        <w:rPr>
          <w:rFonts w:ascii="Times New Roman" w:hAnsi="Times New Roman" w:cs="Times New Roman"/>
          <w:sz w:val="24"/>
          <w:szCs w:val="24"/>
        </w:rPr>
        <w:t xml:space="preserve"> </w:t>
      </w:r>
      <w:r w:rsidR="00334F51">
        <w:rPr>
          <w:rFonts w:ascii="Times New Roman" w:hAnsi="Times New Roman" w:cs="Times New Roman"/>
          <w:sz w:val="24"/>
          <w:szCs w:val="24"/>
        </w:rPr>
        <w:t>T</w:t>
      </w:r>
      <w:r w:rsidR="00334F51" w:rsidRPr="00AE141E">
        <w:rPr>
          <w:rFonts w:ascii="Times New Roman" w:hAnsi="Times New Roman" w:cs="Times New Roman"/>
          <w:sz w:val="24"/>
          <w:szCs w:val="24"/>
        </w:rPr>
        <w:t>hese migrants had not ‘entered the Mother Country in a vacuum’ – their very presence in the United Kingdom was a legacy of the political, economic, and cultural bonds between colony and metropole</w:t>
      </w:r>
      <w:r w:rsidR="00334F51">
        <w:rPr>
          <w:rFonts w:ascii="Times New Roman" w:hAnsi="Times New Roman" w:cs="Times New Roman"/>
          <w:sz w:val="24"/>
          <w:szCs w:val="24"/>
        </w:rPr>
        <w:t xml:space="preserve">. </w:t>
      </w:r>
      <w:r w:rsidRPr="00AE141E">
        <w:rPr>
          <w:rFonts w:ascii="Times New Roman" w:hAnsi="Times New Roman" w:cs="Times New Roman"/>
          <w:sz w:val="24"/>
          <w:szCs w:val="24"/>
        </w:rPr>
        <w:t xml:space="preserve">To </w:t>
      </w:r>
      <w:r w:rsidR="00D05CC3" w:rsidRPr="00AE141E">
        <w:rPr>
          <w:rFonts w:ascii="Times New Roman" w:hAnsi="Times New Roman" w:cs="Times New Roman"/>
          <w:sz w:val="24"/>
          <w:szCs w:val="24"/>
        </w:rPr>
        <w:t>erase</w:t>
      </w:r>
      <w:r w:rsidRPr="00AE141E">
        <w:rPr>
          <w:rFonts w:ascii="Times New Roman" w:hAnsi="Times New Roman" w:cs="Times New Roman"/>
          <w:sz w:val="24"/>
          <w:szCs w:val="24"/>
        </w:rPr>
        <w:t xml:space="preserve"> </w:t>
      </w:r>
      <w:r w:rsidR="00D05CC3" w:rsidRPr="00AE141E">
        <w:rPr>
          <w:rFonts w:ascii="Times New Roman" w:hAnsi="Times New Roman" w:cs="Times New Roman"/>
          <w:sz w:val="24"/>
          <w:szCs w:val="24"/>
        </w:rPr>
        <w:t>imperial</w:t>
      </w:r>
      <w:r w:rsidRPr="00AE141E">
        <w:rPr>
          <w:rFonts w:ascii="Times New Roman" w:hAnsi="Times New Roman" w:cs="Times New Roman"/>
          <w:sz w:val="24"/>
          <w:szCs w:val="24"/>
        </w:rPr>
        <w:t xml:space="preserve"> history was to challenge their right to claim Britishness/Englishness</w:t>
      </w:r>
      <w:r w:rsidR="00C65B68" w:rsidRPr="00AE141E">
        <w:rPr>
          <w:rFonts w:ascii="Times New Roman" w:hAnsi="Times New Roman" w:cs="Times New Roman"/>
          <w:sz w:val="24"/>
          <w:szCs w:val="24"/>
        </w:rPr>
        <w:t>, whether as personal identity or as citizenship status</w:t>
      </w:r>
      <w:r w:rsidRPr="00AE141E">
        <w:rPr>
          <w:rFonts w:ascii="Times New Roman" w:hAnsi="Times New Roman" w:cs="Times New Roman"/>
          <w:sz w:val="24"/>
          <w:szCs w:val="24"/>
        </w:rPr>
        <w:t xml:space="preserve">. </w:t>
      </w:r>
    </w:p>
    <w:p w14:paraId="720ED38B" w14:textId="689ABD38" w:rsidR="002428BA" w:rsidRPr="00AE141E" w:rsidRDefault="00B577C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Many chose to resist by drawing attention to the ways in which ‘old imperial relationships’ remained key determinants of their lives in the metropole.</w:t>
      </w:r>
      <w:r w:rsidR="00B35EA1" w:rsidRPr="00AE141E">
        <w:rPr>
          <w:rStyle w:val="FootnoteReference"/>
          <w:rFonts w:ascii="Times New Roman" w:hAnsi="Times New Roman" w:cs="Times New Roman"/>
          <w:sz w:val="24"/>
          <w:szCs w:val="24"/>
        </w:rPr>
        <w:footnoteReference w:id="397"/>
      </w:r>
      <w:r w:rsidRPr="00AE141E">
        <w:rPr>
          <w:rFonts w:ascii="Times New Roman" w:hAnsi="Times New Roman" w:cs="Times New Roman"/>
          <w:sz w:val="24"/>
          <w:szCs w:val="24"/>
        </w:rPr>
        <w:t xml:space="preserve"> </w:t>
      </w:r>
      <w:r w:rsidR="00CF3341" w:rsidRPr="00AE141E">
        <w:rPr>
          <w:rFonts w:ascii="Times New Roman" w:hAnsi="Times New Roman" w:cs="Times New Roman"/>
          <w:sz w:val="24"/>
          <w:szCs w:val="24"/>
        </w:rPr>
        <w:t xml:space="preserve"> </w:t>
      </w:r>
      <w:r w:rsidRPr="00AE141E">
        <w:rPr>
          <w:rFonts w:ascii="Times New Roman" w:hAnsi="Times New Roman" w:cs="Times New Roman"/>
          <w:sz w:val="24"/>
          <w:szCs w:val="24"/>
        </w:rPr>
        <w:t>The movement was encapsulated in the simple slogan, put forward by Ambalavaner Sivanandan – ‘we are here because you were there’.</w:t>
      </w:r>
      <w:r w:rsidR="00CF5C97" w:rsidRPr="00AE141E">
        <w:rPr>
          <w:rStyle w:val="FootnoteReference"/>
          <w:rFonts w:ascii="Times New Roman" w:hAnsi="Times New Roman" w:cs="Times New Roman"/>
          <w:sz w:val="24"/>
          <w:szCs w:val="24"/>
        </w:rPr>
        <w:footnoteReference w:id="398"/>
      </w:r>
      <w:r w:rsidRPr="00AE141E">
        <w:rPr>
          <w:rFonts w:ascii="Times New Roman" w:hAnsi="Times New Roman" w:cs="Times New Roman"/>
          <w:sz w:val="24"/>
          <w:szCs w:val="24"/>
        </w:rPr>
        <w:t xml:space="preserve"> If, as Sivanandan argued, colonialism and immigration were ‘part of the same continuum’, so too was racism. Justice for people of colour in the UK could only emerge from recognition of the imperial histories which had led them there, and of the imperial foundations of the discrimination which they faced. As a result, historical education became the ‘crux of Black parent-activism’.</w:t>
      </w:r>
      <w:r w:rsidR="00A27190" w:rsidRPr="00AE141E">
        <w:rPr>
          <w:rStyle w:val="FootnoteReference"/>
          <w:rFonts w:ascii="Times New Roman" w:hAnsi="Times New Roman" w:cs="Times New Roman"/>
          <w:sz w:val="24"/>
          <w:szCs w:val="24"/>
        </w:rPr>
        <w:footnoteReference w:id="399"/>
      </w:r>
      <w:r w:rsidRPr="00AE141E">
        <w:rPr>
          <w:rFonts w:ascii="Times New Roman" w:hAnsi="Times New Roman" w:cs="Times New Roman"/>
          <w:sz w:val="24"/>
          <w:szCs w:val="24"/>
        </w:rPr>
        <w:t xml:space="preserve"> </w:t>
      </w:r>
      <w:r w:rsidR="00A7418E" w:rsidRPr="00AE141E">
        <w:rPr>
          <w:rFonts w:ascii="Times New Roman" w:hAnsi="Times New Roman" w:cs="Times New Roman"/>
          <w:sz w:val="24"/>
          <w:szCs w:val="24"/>
        </w:rPr>
        <w:t>The role of the BEM</w:t>
      </w:r>
      <w:r w:rsidR="00BD104F" w:rsidRPr="00AE141E">
        <w:rPr>
          <w:rFonts w:ascii="Times New Roman" w:hAnsi="Times New Roman" w:cs="Times New Roman"/>
          <w:sz w:val="24"/>
          <w:szCs w:val="24"/>
        </w:rPr>
        <w:t>,</w:t>
      </w:r>
      <w:r w:rsidR="00A7418E" w:rsidRPr="00AE141E">
        <w:rPr>
          <w:rFonts w:ascii="Times New Roman" w:hAnsi="Times New Roman" w:cs="Times New Roman"/>
          <w:sz w:val="24"/>
          <w:szCs w:val="24"/>
        </w:rPr>
        <w:t xml:space="preserve"> then, was</w:t>
      </w:r>
      <w:r w:rsidR="00BD104F" w:rsidRPr="00AE141E">
        <w:rPr>
          <w:rFonts w:ascii="Times New Roman" w:hAnsi="Times New Roman" w:cs="Times New Roman"/>
          <w:sz w:val="24"/>
          <w:szCs w:val="24"/>
        </w:rPr>
        <w:t xml:space="preserve"> </w:t>
      </w:r>
      <w:r w:rsidR="00502B2D" w:rsidRPr="00AE141E">
        <w:rPr>
          <w:rFonts w:ascii="Times New Roman" w:hAnsi="Times New Roman" w:cs="Times New Roman"/>
          <w:sz w:val="24"/>
          <w:szCs w:val="24"/>
        </w:rPr>
        <w:t xml:space="preserve">to be </w:t>
      </w:r>
      <w:r w:rsidR="00BD104F" w:rsidRPr="00AE141E">
        <w:rPr>
          <w:rFonts w:ascii="Times New Roman" w:hAnsi="Times New Roman" w:cs="Times New Roman"/>
          <w:sz w:val="24"/>
          <w:szCs w:val="24"/>
        </w:rPr>
        <w:t>one of historical</w:t>
      </w:r>
      <w:r w:rsidR="004601EB" w:rsidRPr="00AE141E">
        <w:rPr>
          <w:rFonts w:ascii="Times New Roman" w:hAnsi="Times New Roman" w:cs="Times New Roman"/>
          <w:sz w:val="24"/>
          <w:szCs w:val="24"/>
        </w:rPr>
        <w:t xml:space="preserve"> </w:t>
      </w:r>
      <w:r w:rsidR="00BD104F" w:rsidRPr="00AE141E">
        <w:rPr>
          <w:rFonts w:ascii="Times New Roman" w:hAnsi="Times New Roman" w:cs="Times New Roman"/>
          <w:sz w:val="24"/>
          <w:szCs w:val="24"/>
        </w:rPr>
        <w:t>restitution</w:t>
      </w:r>
      <w:r w:rsidR="003540CA" w:rsidRPr="00AE141E">
        <w:rPr>
          <w:rFonts w:ascii="Times New Roman" w:hAnsi="Times New Roman" w:cs="Times New Roman"/>
          <w:sz w:val="24"/>
          <w:szCs w:val="24"/>
        </w:rPr>
        <w:t>. It would restore a sense</w:t>
      </w:r>
      <w:r w:rsidR="00182EA0" w:rsidRPr="00AE141E">
        <w:rPr>
          <w:rFonts w:ascii="Times New Roman" w:hAnsi="Times New Roman" w:cs="Times New Roman"/>
          <w:sz w:val="24"/>
          <w:szCs w:val="24"/>
        </w:rPr>
        <w:t xml:space="preserve"> of pride </w:t>
      </w:r>
      <w:r w:rsidR="004D5E72" w:rsidRPr="00AE141E">
        <w:rPr>
          <w:rFonts w:ascii="Times New Roman" w:hAnsi="Times New Roman" w:cs="Times New Roman"/>
          <w:sz w:val="24"/>
          <w:szCs w:val="24"/>
        </w:rPr>
        <w:t>to Black young people, rooted in knowledge of a rich Black heritage.</w:t>
      </w:r>
      <w:r w:rsidR="00110E9B" w:rsidRPr="00AE141E">
        <w:rPr>
          <w:rFonts w:ascii="Times New Roman" w:hAnsi="Times New Roman" w:cs="Times New Roman"/>
          <w:sz w:val="24"/>
          <w:szCs w:val="24"/>
        </w:rPr>
        <w:t xml:space="preserve"> It would clarify fo</w:t>
      </w:r>
      <w:r w:rsidR="00CB2AE3" w:rsidRPr="00AE141E">
        <w:rPr>
          <w:rFonts w:ascii="Times New Roman" w:hAnsi="Times New Roman" w:cs="Times New Roman"/>
          <w:sz w:val="24"/>
          <w:szCs w:val="24"/>
        </w:rPr>
        <w:t>r them the reasons for their presence in the United Kingdom, and their right to claim Britishness if they so desired.</w:t>
      </w:r>
      <w:r w:rsidR="00A96C13" w:rsidRPr="00AE141E">
        <w:rPr>
          <w:rFonts w:ascii="Times New Roman" w:hAnsi="Times New Roman" w:cs="Times New Roman"/>
          <w:sz w:val="24"/>
          <w:szCs w:val="24"/>
        </w:rPr>
        <w:t xml:space="preserve"> </w:t>
      </w:r>
      <w:r w:rsidR="004601EB" w:rsidRPr="00AE141E">
        <w:rPr>
          <w:rFonts w:ascii="Times New Roman" w:hAnsi="Times New Roman" w:cs="Times New Roman"/>
          <w:sz w:val="24"/>
          <w:szCs w:val="24"/>
        </w:rPr>
        <w:t xml:space="preserve">The </w:t>
      </w:r>
      <w:r w:rsidR="00DF7CAB" w:rsidRPr="00AE141E">
        <w:rPr>
          <w:rFonts w:ascii="Times New Roman" w:hAnsi="Times New Roman" w:cs="Times New Roman"/>
          <w:sz w:val="24"/>
          <w:szCs w:val="24"/>
        </w:rPr>
        <w:t xml:space="preserve">movement’s preoccupation with </w:t>
      </w:r>
      <w:r w:rsidR="00956445" w:rsidRPr="00AE141E">
        <w:rPr>
          <w:rFonts w:ascii="Times New Roman" w:hAnsi="Times New Roman" w:cs="Times New Roman"/>
          <w:sz w:val="24"/>
          <w:szCs w:val="24"/>
        </w:rPr>
        <w:t xml:space="preserve">history </w:t>
      </w:r>
      <w:r w:rsidR="009F37C0" w:rsidRPr="00AE141E">
        <w:rPr>
          <w:rFonts w:ascii="Times New Roman" w:hAnsi="Times New Roman" w:cs="Times New Roman"/>
          <w:sz w:val="24"/>
          <w:szCs w:val="24"/>
        </w:rPr>
        <w:t xml:space="preserve">was </w:t>
      </w:r>
      <w:r w:rsidR="00A12EB1" w:rsidRPr="00AE141E">
        <w:rPr>
          <w:rFonts w:ascii="Times New Roman" w:hAnsi="Times New Roman" w:cs="Times New Roman"/>
          <w:sz w:val="24"/>
          <w:szCs w:val="24"/>
        </w:rPr>
        <w:t>socially and politically engaged</w:t>
      </w:r>
      <w:r w:rsidR="006E07FB" w:rsidRPr="00AE141E">
        <w:rPr>
          <w:rFonts w:ascii="Times New Roman" w:hAnsi="Times New Roman" w:cs="Times New Roman"/>
          <w:sz w:val="24"/>
          <w:szCs w:val="24"/>
        </w:rPr>
        <w:t>: there was no sense in</w:t>
      </w:r>
      <w:r w:rsidR="00BC63A0" w:rsidRPr="00AE141E">
        <w:rPr>
          <w:rFonts w:ascii="Times New Roman" w:hAnsi="Times New Roman" w:cs="Times New Roman"/>
          <w:sz w:val="24"/>
          <w:szCs w:val="24"/>
        </w:rPr>
        <w:t xml:space="preserve"> claiming space for Black people in the historical record if their present deeds went und</w:t>
      </w:r>
      <w:r w:rsidR="00C66B5F" w:rsidRPr="00AE141E">
        <w:rPr>
          <w:rFonts w:ascii="Times New Roman" w:hAnsi="Times New Roman" w:cs="Times New Roman"/>
          <w:sz w:val="24"/>
          <w:szCs w:val="24"/>
        </w:rPr>
        <w:t>ocumented.</w:t>
      </w:r>
      <w:r w:rsidR="001A7C3A" w:rsidRPr="00AE141E">
        <w:rPr>
          <w:rFonts w:ascii="Times New Roman" w:hAnsi="Times New Roman" w:cs="Times New Roman"/>
          <w:sz w:val="24"/>
          <w:szCs w:val="24"/>
        </w:rPr>
        <w:t xml:space="preserve"> </w:t>
      </w:r>
      <w:r w:rsidR="00956445" w:rsidRPr="00AE141E">
        <w:rPr>
          <w:rFonts w:ascii="Times New Roman" w:hAnsi="Times New Roman" w:cs="Times New Roman"/>
          <w:sz w:val="24"/>
          <w:szCs w:val="24"/>
        </w:rPr>
        <w:t>The Black political subje</w:t>
      </w:r>
      <w:r w:rsidR="00271457" w:rsidRPr="00AE141E">
        <w:rPr>
          <w:rFonts w:ascii="Times New Roman" w:hAnsi="Times New Roman" w:cs="Times New Roman"/>
          <w:sz w:val="24"/>
          <w:szCs w:val="24"/>
        </w:rPr>
        <w:t>ct</w:t>
      </w:r>
      <w:r w:rsidR="00595824" w:rsidRPr="00AE141E">
        <w:rPr>
          <w:rFonts w:ascii="Times New Roman" w:hAnsi="Times New Roman" w:cs="Times New Roman"/>
          <w:sz w:val="24"/>
          <w:szCs w:val="24"/>
        </w:rPr>
        <w:t xml:space="preserve"> </w:t>
      </w:r>
      <w:r w:rsidR="00271457" w:rsidRPr="00AE141E">
        <w:rPr>
          <w:rFonts w:ascii="Times New Roman" w:hAnsi="Times New Roman" w:cs="Times New Roman"/>
          <w:sz w:val="24"/>
          <w:szCs w:val="24"/>
        </w:rPr>
        <w:t>should</w:t>
      </w:r>
      <w:r w:rsidR="00595824" w:rsidRPr="00AE141E">
        <w:rPr>
          <w:rFonts w:ascii="Times New Roman" w:hAnsi="Times New Roman" w:cs="Times New Roman"/>
          <w:sz w:val="24"/>
          <w:szCs w:val="24"/>
        </w:rPr>
        <w:t xml:space="preserve"> operate with an </w:t>
      </w:r>
      <w:r w:rsidR="00956445" w:rsidRPr="00AE141E">
        <w:rPr>
          <w:rFonts w:ascii="Times New Roman" w:hAnsi="Times New Roman" w:cs="Times New Roman"/>
          <w:sz w:val="24"/>
          <w:szCs w:val="24"/>
        </w:rPr>
        <w:t>understanding</w:t>
      </w:r>
      <w:r w:rsidR="00595824" w:rsidRPr="00AE141E">
        <w:rPr>
          <w:rFonts w:ascii="Times New Roman" w:hAnsi="Times New Roman" w:cs="Times New Roman"/>
          <w:sz w:val="24"/>
          <w:szCs w:val="24"/>
        </w:rPr>
        <w:t xml:space="preserve"> of the past</w:t>
      </w:r>
      <w:r w:rsidR="00956445" w:rsidRPr="00AE141E">
        <w:rPr>
          <w:rFonts w:ascii="Times New Roman" w:hAnsi="Times New Roman" w:cs="Times New Roman"/>
          <w:sz w:val="24"/>
          <w:szCs w:val="24"/>
        </w:rPr>
        <w:t xml:space="preserve"> and an eye on the future,</w:t>
      </w:r>
      <w:r w:rsidR="00271457" w:rsidRPr="00AE141E">
        <w:rPr>
          <w:rFonts w:ascii="Times New Roman" w:hAnsi="Times New Roman" w:cs="Times New Roman"/>
          <w:sz w:val="24"/>
          <w:szCs w:val="24"/>
        </w:rPr>
        <w:t xml:space="preserve"> intimately aware of their own historicity.</w:t>
      </w:r>
      <w:r w:rsidR="00956445" w:rsidRPr="00AE141E">
        <w:rPr>
          <w:rFonts w:ascii="Times New Roman" w:hAnsi="Times New Roman" w:cs="Times New Roman"/>
          <w:sz w:val="24"/>
          <w:szCs w:val="24"/>
        </w:rPr>
        <w:t xml:space="preserve"> </w:t>
      </w:r>
    </w:p>
    <w:p w14:paraId="404DAE2E" w14:textId="1AA5CF8E" w:rsidR="00CE714D" w:rsidRPr="00AE141E" w:rsidRDefault="00D01AB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The </w:t>
      </w:r>
      <w:r w:rsidR="00785557" w:rsidRPr="00AE141E">
        <w:rPr>
          <w:rFonts w:ascii="Times New Roman" w:hAnsi="Times New Roman" w:cs="Times New Roman"/>
          <w:sz w:val="24"/>
          <w:szCs w:val="24"/>
        </w:rPr>
        <w:t>BEM</w:t>
      </w:r>
      <w:r w:rsidRPr="00AE141E">
        <w:rPr>
          <w:rFonts w:ascii="Times New Roman" w:hAnsi="Times New Roman" w:cs="Times New Roman"/>
          <w:sz w:val="24"/>
          <w:szCs w:val="24"/>
        </w:rPr>
        <w:t xml:space="preserve"> </w:t>
      </w:r>
      <w:r w:rsidR="00C51925" w:rsidRPr="00AE141E">
        <w:rPr>
          <w:rFonts w:ascii="Times New Roman" w:hAnsi="Times New Roman" w:cs="Times New Roman"/>
          <w:sz w:val="24"/>
          <w:szCs w:val="24"/>
        </w:rPr>
        <w:t>develop</w:t>
      </w:r>
      <w:r w:rsidR="0044372B" w:rsidRPr="00AE141E">
        <w:rPr>
          <w:rFonts w:ascii="Times New Roman" w:hAnsi="Times New Roman" w:cs="Times New Roman"/>
          <w:sz w:val="24"/>
          <w:szCs w:val="24"/>
        </w:rPr>
        <w:t>ed</w:t>
      </w:r>
      <w:r w:rsidR="00C51925" w:rsidRPr="00AE141E">
        <w:rPr>
          <w:rFonts w:ascii="Times New Roman" w:hAnsi="Times New Roman" w:cs="Times New Roman"/>
          <w:sz w:val="24"/>
          <w:szCs w:val="24"/>
        </w:rPr>
        <w:t xml:space="preserve"> in dialogue with broader radical educational movements</w:t>
      </w:r>
      <w:r w:rsidR="009B06C6" w:rsidRPr="00AE141E">
        <w:rPr>
          <w:rFonts w:ascii="Times New Roman" w:hAnsi="Times New Roman" w:cs="Times New Roman"/>
          <w:sz w:val="24"/>
          <w:szCs w:val="24"/>
        </w:rPr>
        <w:t>.</w:t>
      </w:r>
      <w:r w:rsidR="005E0010" w:rsidRPr="00AE141E">
        <w:rPr>
          <w:rStyle w:val="FootnoteReference"/>
          <w:rFonts w:ascii="Times New Roman" w:hAnsi="Times New Roman" w:cs="Times New Roman"/>
          <w:sz w:val="24"/>
          <w:szCs w:val="24"/>
        </w:rPr>
        <w:footnoteReference w:id="400"/>
      </w:r>
      <w:r w:rsidR="00A32E37" w:rsidRPr="00AE141E">
        <w:rPr>
          <w:rFonts w:ascii="Times New Roman" w:hAnsi="Times New Roman" w:cs="Times New Roman"/>
          <w:sz w:val="24"/>
          <w:szCs w:val="24"/>
        </w:rPr>
        <w:t xml:space="preserve"> Mathew Thomson </w:t>
      </w:r>
      <w:r w:rsidR="0044372B" w:rsidRPr="00AE141E">
        <w:rPr>
          <w:rFonts w:ascii="Times New Roman" w:hAnsi="Times New Roman" w:cs="Times New Roman"/>
          <w:sz w:val="24"/>
          <w:szCs w:val="24"/>
        </w:rPr>
        <w:t xml:space="preserve">has </w:t>
      </w:r>
      <w:r w:rsidR="00A32E37" w:rsidRPr="00AE141E">
        <w:rPr>
          <w:rFonts w:ascii="Times New Roman" w:hAnsi="Times New Roman" w:cs="Times New Roman"/>
          <w:sz w:val="24"/>
          <w:szCs w:val="24"/>
        </w:rPr>
        <w:t>characterise</w:t>
      </w:r>
      <w:r w:rsidR="0044372B" w:rsidRPr="00AE141E">
        <w:rPr>
          <w:rFonts w:ascii="Times New Roman" w:hAnsi="Times New Roman" w:cs="Times New Roman"/>
          <w:sz w:val="24"/>
          <w:szCs w:val="24"/>
        </w:rPr>
        <w:t>d</w:t>
      </w:r>
      <w:r w:rsidR="00A32E37" w:rsidRPr="00AE141E">
        <w:rPr>
          <w:rFonts w:ascii="Times New Roman" w:hAnsi="Times New Roman" w:cs="Times New Roman"/>
          <w:sz w:val="24"/>
          <w:szCs w:val="24"/>
        </w:rPr>
        <w:t xml:space="preserve"> the 1970s as a dec</w:t>
      </w:r>
      <w:r w:rsidR="00E34D3D" w:rsidRPr="00AE141E">
        <w:rPr>
          <w:rFonts w:ascii="Times New Roman" w:hAnsi="Times New Roman" w:cs="Times New Roman"/>
          <w:sz w:val="24"/>
          <w:szCs w:val="24"/>
        </w:rPr>
        <w:t xml:space="preserve">ade </w:t>
      </w:r>
      <w:r w:rsidR="002827B4" w:rsidRPr="00AE141E">
        <w:rPr>
          <w:rFonts w:ascii="Times New Roman" w:hAnsi="Times New Roman" w:cs="Times New Roman"/>
          <w:sz w:val="24"/>
          <w:szCs w:val="24"/>
        </w:rPr>
        <w:t xml:space="preserve">marked by the increasing prominence of issues of childhood </w:t>
      </w:r>
      <w:r w:rsidR="000B4383" w:rsidRPr="00AE141E">
        <w:rPr>
          <w:rFonts w:ascii="Times New Roman" w:hAnsi="Times New Roman" w:cs="Times New Roman"/>
          <w:sz w:val="24"/>
          <w:szCs w:val="24"/>
        </w:rPr>
        <w:t>freedom</w:t>
      </w:r>
      <w:r w:rsidR="008C4EBE" w:rsidRPr="00AE141E">
        <w:rPr>
          <w:rFonts w:ascii="Times New Roman" w:hAnsi="Times New Roman" w:cs="Times New Roman"/>
          <w:sz w:val="24"/>
          <w:szCs w:val="24"/>
        </w:rPr>
        <w:t>.</w:t>
      </w:r>
      <w:r w:rsidR="008C4EBE" w:rsidRPr="00AE141E">
        <w:rPr>
          <w:rStyle w:val="FootnoteReference"/>
          <w:rFonts w:ascii="Times New Roman" w:hAnsi="Times New Roman" w:cs="Times New Roman"/>
          <w:sz w:val="24"/>
          <w:szCs w:val="24"/>
        </w:rPr>
        <w:footnoteReference w:id="401"/>
      </w:r>
      <w:r w:rsidR="002B71C2">
        <w:rPr>
          <w:rFonts w:ascii="Times New Roman" w:hAnsi="Times New Roman" w:cs="Times New Roman"/>
          <w:sz w:val="24"/>
          <w:szCs w:val="24"/>
        </w:rPr>
        <w:t xml:space="preserve"> </w:t>
      </w:r>
      <w:r w:rsidR="00334F51" w:rsidRPr="00AE141E">
        <w:rPr>
          <w:rFonts w:ascii="Times New Roman" w:hAnsi="Times New Roman" w:cs="Times New Roman"/>
          <w:sz w:val="24"/>
          <w:szCs w:val="24"/>
        </w:rPr>
        <w:t>The movement for children’s rights mobilised a generation who wished to ‘translate the dreams of sixties radicalism into practical achievement’</w:t>
      </w:r>
      <w:r w:rsidR="002B71C2">
        <w:rPr>
          <w:rFonts w:ascii="Times New Roman" w:hAnsi="Times New Roman" w:cs="Times New Roman"/>
          <w:sz w:val="24"/>
          <w:szCs w:val="24"/>
        </w:rPr>
        <w:t xml:space="preserve">. </w:t>
      </w:r>
      <w:r w:rsidR="008C4EBE" w:rsidRPr="00AE141E">
        <w:rPr>
          <w:rFonts w:ascii="Times New Roman" w:hAnsi="Times New Roman" w:cs="Times New Roman"/>
          <w:sz w:val="24"/>
          <w:szCs w:val="24"/>
        </w:rPr>
        <w:t>It</w:t>
      </w:r>
      <w:r w:rsidR="005910B2" w:rsidRPr="00AE141E">
        <w:rPr>
          <w:rFonts w:ascii="Times New Roman" w:hAnsi="Times New Roman" w:cs="Times New Roman"/>
          <w:sz w:val="24"/>
          <w:szCs w:val="24"/>
        </w:rPr>
        <w:t xml:space="preserve">s proponents </w:t>
      </w:r>
      <w:r w:rsidR="0078442C" w:rsidRPr="00AE141E">
        <w:rPr>
          <w:rFonts w:ascii="Times New Roman" w:hAnsi="Times New Roman" w:cs="Times New Roman"/>
          <w:sz w:val="24"/>
          <w:szCs w:val="24"/>
        </w:rPr>
        <w:t>took a libertarian approach to education</w:t>
      </w:r>
      <w:r w:rsidR="001D48BE" w:rsidRPr="00AE141E">
        <w:rPr>
          <w:rFonts w:ascii="Times New Roman" w:hAnsi="Times New Roman" w:cs="Times New Roman"/>
          <w:sz w:val="24"/>
          <w:szCs w:val="24"/>
        </w:rPr>
        <w:t xml:space="preserve"> which drew</w:t>
      </w:r>
      <w:r w:rsidR="0078442C" w:rsidRPr="00AE141E">
        <w:rPr>
          <w:rFonts w:ascii="Times New Roman" w:hAnsi="Times New Roman" w:cs="Times New Roman"/>
          <w:sz w:val="24"/>
          <w:szCs w:val="24"/>
        </w:rPr>
        <w:t xml:space="preserve"> on the wor</w:t>
      </w:r>
      <w:r w:rsidR="005757AD" w:rsidRPr="00AE141E">
        <w:rPr>
          <w:rFonts w:ascii="Times New Roman" w:hAnsi="Times New Roman" w:cs="Times New Roman"/>
          <w:sz w:val="24"/>
          <w:szCs w:val="24"/>
        </w:rPr>
        <w:t xml:space="preserve">k of theorists </w:t>
      </w:r>
      <w:r w:rsidR="00E85BEA" w:rsidRPr="00AE141E">
        <w:rPr>
          <w:rFonts w:ascii="Times New Roman" w:hAnsi="Times New Roman" w:cs="Times New Roman"/>
          <w:sz w:val="24"/>
          <w:szCs w:val="24"/>
        </w:rPr>
        <w:t>such as</w:t>
      </w:r>
      <w:r w:rsidR="005757AD" w:rsidRPr="00AE141E">
        <w:rPr>
          <w:rFonts w:ascii="Times New Roman" w:hAnsi="Times New Roman" w:cs="Times New Roman"/>
          <w:sz w:val="24"/>
          <w:szCs w:val="24"/>
        </w:rPr>
        <w:t xml:space="preserve"> Ivan Illich and Pa</w:t>
      </w:r>
      <w:r w:rsidR="00E85BEA" w:rsidRPr="00AE141E">
        <w:rPr>
          <w:rFonts w:ascii="Times New Roman" w:hAnsi="Times New Roman" w:cs="Times New Roman"/>
          <w:sz w:val="24"/>
          <w:szCs w:val="24"/>
        </w:rPr>
        <w:t>u</w:t>
      </w:r>
      <w:r w:rsidR="005757AD" w:rsidRPr="00AE141E">
        <w:rPr>
          <w:rFonts w:ascii="Times New Roman" w:hAnsi="Times New Roman" w:cs="Times New Roman"/>
          <w:sz w:val="24"/>
          <w:szCs w:val="24"/>
        </w:rPr>
        <w:t>lo Freire</w:t>
      </w:r>
      <w:r w:rsidR="001D48BE" w:rsidRPr="00AE141E">
        <w:rPr>
          <w:rFonts w:ascii="Times New Roman" w:hAnsi="Times New Roman" w:cs="Times New Roman"/>
          <w:sz w:val="24"/>
          <w:szCs w:val="24"/>
        </w:rPr>
        <w:t xml:space="preserve">. </w:t>
      </w:r>
      <w:r w:rsidR="00CE1CED" w:rsidRPr="00AE141E">
        <w:rPr>
          <w:rFonts w:ascii="Times New Roman" w:hAnsi="Times New Roman" w:cs="Times New Roman"/>
          <w:sz w:val="24"/>
          <w:szCs w:val="24"/>
        </w:rPr>
        <w:t>They challenged the traditional role</w:t>
      </w:r>
      <w:r w:rsidR="003F7AA6" w:rsidRPr="00AE141E">
        <w:rPr>
          <w:rFonts w:ascii="Times New Roman" w:hAnsi="Times New Roman" w:cs="Times New Roman"/>
          <w:sz w:val="24"/>
          <w:szCs w:val="24"/>
        </w:rPr>
        <w:t>s</w:t>
      </w:r>
      <w:r w:rsidR="00CE1CED" w:rsidRPr="00AE141E">
        <w:rPr>
          <w:rFonts w:ascii="Times New Roman" w:hAnsi="Times New Roman" w:cs="Times New Roman"/>
          <w:sz w:val="24"/>
          <w:szCs w:val="24"/>
        </w:rPr>
        <w:t xml:space="preserve"> of the</w:t>
      </w:r>
      <w:r w:rsidR="00E85BEA" w:rsidRPr="00AE141E">
        <w:rPr>
          <w:rFonts w:ascii="Times New Roman" w:hAnsi="Times New Roman" w:cs="Times New Roman"/>
          <w:sz w:val="24"/>
          <w:szCs w:val="24"/>
        </w:rPr>
        <w:t xml:space="preserve"> teacher</w:t>
      </w:r>
      <w:r w:rsidR="001004F5" w:rsidRPr="00AE141E">
        <w:rPr>
          <w:rFonts w:ascii="Times New Roman" w:hAnsi="Times New Roman" w:cs="Times New Roman"/>
          <w:sz w:val="24"/>
          <w:szCs w:val="24"/>
        </w:rPr>
        <w:t>:</w:t>
      </w:r>
      <w:r w:rsidR="00E85BEA" w:rsidRPr="00AE141E">
        <w:rPr>
          <w:rFonts w:ascii="Times New Roman" w:hAnsi="Times New Roman" w:cs="Times New Roman"/>
          <w:sz w:val="24"/>
          <w:szCs w:val="24"/>
        </w:rPr>
        <w:t xml:space="preserve"> as</w:t>
      </w:r>
      <w:r w:rsidR="00565AF7" w:rsidRPr="00AE141E">
        <w:rPr>
          <w:rFonts w:ascii="Times New Roman" w:hAnsi="Times New Roman" w:cs="Times New Roman"/>
          <w:sz w:val="24"/>
          <w:szCs w:val="24"/>
        </w:rPr>
        <w:t xml:space="preserve"> </w:t>
      </w:r>
      <w:r w:rsidR="001004F5" w:rsidRPr="00AE141E">
        <w:rPr>
          <w:rFonts w:ascii="Times New Roman" w:hAnsi="Times New Roman" w:cs="Times New Roman"/>
          <w:sz w:val="24"/>
          <w:szCs w:val="24"/>
        </w:rPr>
        <w:t>a</w:t>
      </w:r>
      <w:r w:rsidR="009C7A12" w:rsidRPr="00AE141E">
        <w:rPr>
          <w:rFonts w:ascii="Times New Roman" w:hAnsi="Times New Roman" w:cs="Times New Roman"/>
          <w:sz w:val="24"/>
          <w:szCs w:val="24"/>
        </w:rPr>
        <w:t xml:space="preserve"> </w:t>
      </w:r>
      <w:r w:rsidR="003F7AA6" w:rsidRPr="00AE141E">
        <w:rPr>
          <w:rFonts w:ascii="Times New Roman" w:hAnsi="Times New Roman" w:cs="Times New Roman"/>
          <w:sz w:val="24"/>
          <w:szCs w:val="24"/>
        </w:rPr>
        <w:t>representation of authority</w:t>
      </w:r>
      <w:r w:rsidR="009C7A12" w:rsidRPr="00AE141E">
        <w:rPr>
          <w:rFonts w:ascii="Times New Roman" w:hAnsi="Times New Roman" w:cs="Times New Roman"/>
          <w:sz w:val="24"/>
          <w:szCs w:val="24"/>
        </w:rPr>
        <w:t xml:space="preserve"> and</w:t>
      </w:r>
      <w:r w:rsidR="003F7AA6" w:rsidRPr="00AE141E">
        <w:rPr>
          <w:rFonts w:ascii="Times New Roman" w:hAnsi="Times New Roman" w:cs="Times New Roman"/>
          <w:sz w:val="24"/>
          <w:szCs w:val="24"/>
        </w:rPr>
        <w:t xml:space="preserve"> discipline, and </w:t>
      </w:r>
      <w:r w:rsidR="009C7A12" w:rsidRPr="00AE141E">
        <w:rPr>
          <w:rFonts w:ascii="Times New Roman" w:hAnsi="Times New Roman" w:cs="Times New Roman"/>
          <w:sz w:val="24"/>
          <w:szCs w:val="24"/>
        </w:rPr>
        <w:t>as the provider of</w:t>
      </w:r>
      <w:r w:rsidR="00E85BEA" w:rsidRPr="00AE141E">
        <w:rPr>
          <w:rFonts w:ascii="Times New Roman" w:hAnsi="Times New Roman" w:cs="Times New Roman"/>
          <w:sz w:val="24"/>
          <w:szCs w:val="24"/>
        </w:rPr>
        <w:t xml:space="preserve"> </w:t>
      </w:r>
      <w:r w:rsidR="009C7A12" w:rsidRPr="00AE141E">
        <w:rPr>
          <w:rFonts w:ascii="Times New Roman" w:hAnsi="Times New Roman" w:cs="Times New Roman"/>
          <w:sz w:val="24"/>
          <w:szCs w:val="24"/>
        </w:rPr>
        <w:t xml:space="preserve">a unitary, </w:t>
      </w:r>
      <w:r w:rsidR="00E85BEA" w:rsidRPr="00AE141E">
        <w:rPr>
          <w:rFonts w:ascii="Times New Roman" w:hAnsi="Times New Roman" w:cs="Times New Roman"/>
          <w:sz w:val="24"/>
          <w:szCs w:val="24"/>
        </w:rPr>
        <w:t>uncontested form of knowledge</w:t>
      </w:r>
      <w:r w:rsidR="001004F5" w:rsidRPr="00AE141E">
        <w:rPr>
          <w:rFonts w:ascii="Times New Roman" w:hAnsi="Times New Roman" w:cs="Times New Roman"/>
          <w:sz w:val="24"/>
          <w:szCs w:val="24"/>
        </w:rPr>
        <w:t>.</w:t>
      </w:r>
      <w:r w:rsidR="00E85BEA" w:rsidRPr="00AE141E">
        <w:rPr>
          <w:rFonts w:ascii="Times New Roman" w:hAnsi="Times New Roman" w:cs="Times New Roman"/>
          <w:sz w:val="24"/>
          <w:szCs w:val="24"/>
        </w:rPr>
        <w:t xml:space="preserve"> </w:t>
      </w:r>
      <w:r w:rsidR="001F250E" w:rsidRPr="00AE141E">
        <w:rPr>
          <w:rFonts w:ascii="Times New Roman" w:hAnsi="Times New Roman" w:cs="Times New Roman"/>
          <w:sz w:val="24"/>
          <w:szCs w:val="24"/>
        </w:rPr>
        <w:t xml:space="preserve">Equally, traditional </w:t>
      </w:r>
      <w:r w:rsidR="00FF02D6" w:rsidRPr="00AE141E">
        <w:rPr>
          <w:rFonts w:ascii="Times New Roman" w:hAnsi="Times New Roman" w:cs="Times New Roman"/>
          <w:sz w:val="24"/>
          <w:szCs w:val="24"/>
        </w:rPr>
        <w:t>constructions</w:t>
      </w:r>
      <w:r w:rsidR="001F250E" w:rsidRPr="00AE141E">
        <w:rPr>
          <w:rFonts w:ascii="Times New Roman" w:hAnsi="Times New Roman" w:cs="Times New Roman"/>
          <w:sz w:val="24"/>
          <w:szCs w:val="24"/>
        </w:rPr>
        <w:t xml:space="preserve"> of </w:t>
      </w:r>
      <w:r w:rsidR="007A5F29" w:rsidRPr="00AE141E">
        <w:rPr>
          <w:rFonts w:ascii="Times New Roman" w:hAnsi="Times New Roman" w:cs="Times New Roman"/>
          <w:sz w:val="24"/>
          <w:szCs w:val="24"/>
        </w:rPr>
        <w:t>childhood</w:t>
      </w:r>
      <w:r w:rsidR="001F250E" w:rsidRPr="00AE141E">
        <w:rPr>
          <w:rFonts w:ascii="Times New Roman" w:hAnsi="Times New Roman" w:cs="Times New Roman"/>
          <w:sz w:val="24"/>
          <w:szCs w:val="24"/>
        </w:rPr>
        <w:t xml:space="preserve"> were brought into question</w:t>
      </w:r>
      <w:r w:rsidR="007A5F29" w:rsidRPr="00AE141E">
        <w:rPr>
          <w:rFonts w:ascii="Times New Roman" w:hAnsi="Times New Roman" w:cs="Times New Roman"/>
          <w:sz w:val="24"/>
          <w:szCs w:val="24"/>
        </w:rPr>
        <w:t>. Children were considered to bea</w:t>
      </w:r>
      <w:r w:rsidR="00871FE1" w:rsidRPr="00AE141E">
        <w:rPr>
          <w:rFonts w:ascii="Times New Roman" w:hAnsi="Times New Roman" w:cs="Times New Roman"/>
          <w:sz w:val="24"/>
          <w:szCs w:val="24"/>
        </w:rPr>
        <w:t>r</w:t>
      </w:r>
      <w:r w:rsidR="00C356FC" w:rsidRPr="00AE141E">
        <w:rPr>
          <w:rFonts w:ascii="Times New Roman" w:hAnsi="Times New Roman" w:cs="Times New Roman"/>
          <w:sz w:val="24"/>
          <w:szCs w:val="24"/>
        </w:rPr>
        <w:t xml:space="preserve"> </w:t>
      </w:r>
      <w:r w:rsidR="00F97A91" w:rsidRPr="00AE141E">
        <w:rPr>
          <w:rFonts w:ascii="Times New Roman" w:hAnsi="Times New Roman" w:cs="Times New Roman"/>
          <w:sz w:val="24"/>
          <w:szCs w:val="24"/>
        </w:rPr>
        <w:t>independent political agency and the</w:t>
      </w:r>
      <w:r w:rsidR="00C356FC" w:rsidRPr="00AE141E">
        <w:rPr>
          <w:rFonts w:ascii="Times New Roman" w:hAnsi="Times New Roman" w:cs="Times New Roman"/>
          <w:sz w:val="24"/>
          <w:szCs w:val="24"/>
        </w:rPr>
        <w:t xml:space="preserve"> full rights of citizens (a radical idea</w:t>
      </w:r>
      <w:r w:rsidR="00A82B27" w:rsidRPr="00AE141E">
        <w:rPr>
          <w:rFonts w:ascii="Times New Roman" w:hAnsi="Times New Roman" w:cs="Times New Roman"/>
          <w:sz w:val="24"/>
          <w:szCs w:val="24"/>
        </w:rPr>
        <w:t xml:space="preserve"> at </w:t>
      </w:r>
      <w:r w:rsidR="006605CC" w:rsidRPr="00AE141E">
        <w:rPr>
          <w:rFonts w:ascii="Times New Roman" w:hAnsi="Times New Roman" w:cs="Times New Roman"/>
          <w:sz w:val="24"/>
          <w:szCs w:val="24"/>
        </w:rPr>
        <w:t>a</w:t>
      </w:r>
      <w:r w:rsidR="00A82B27" w:rsidRPr="00AE141E">
        <w:rPr>
          <w:rFonts w:ascii="Times New Roman" w:hAnsi="Times New Roman" w:cs="Times New Roman"/>
          <w:sz w:val="24"/>
          <w:szCs w:val="24"/>
        </w:rPr>
        <w:t xml:space="preserve"> time when corporal punishment was both legal and acceptable when directed against minors)</w:t>
      </w:r>
      <w:r w:rsidR="00F97A91" w:rsidRPr="00AE141E">
        <w:rPr>
          <w:rFonts w:ascii="Times New Roman" w:hAnsi="Times New Roman" w:cs="Times New Roman"/>
          <w:sz w:val="24"/>
          <w:szCs w:val="24"/>
        </w:rPr>
        <w:t>.</w:t>
      </w:r>
      <w:r w:rsidR="00135AF9" w:rsidRPr="00AE141E">
        <w:rPr>
          <w:rFonts w:ascii="Times New Roman" w:hAnsi="Times New Roman" w:cs="Times New Roman"/>
          <w:sz w:val="24"/>
          <w:szCs w:val="24"/>
        </w:rPr>
        <w:t xml:space="preserve"> </w:t>
      </w:r>
      <w:r w:rsidR="003E4F41" w:rsidRPr="00AE141E">
        <w:rPr>
          <w:rFonts w:ascii="Times New Roman" w:hAnsi="Times New Roman" w:cs="Times New Roman"/>
          <w:sz w:val="24"/>
          <w:szCs w:val="24"/>
        </w:rPr>
        <w:t xml:space="preserve">Children themselves were by no means idle in this movement. Many seized the opportunity to </w:t>
      </w:r>
      <w:r w:rsidR="00D71C6A" w:rsidRPr="00AE141E">
        <w:rPr>
          <w:rFonts w:ascii="Times New Roman" w:hAnsi="Times New Roman" w:cs="Times New Roman"/>
          <w:sz w:val="24"/>
          <w:szCs w:val="24"/>
        </w:rPr>
        <w:t xml:space="preserve">claim </w:t>
      </w:r>
      <w:r w:rsidR="00A66425" w:rsidRPr="00AE141E">
        <w:rPr>
          <w:rFonts w:ascii="Times New Roman" w:hAnsi="Times New Roman" w:cs="Times New Roman"/>
          <w:sz w:val="24"/>
          <w:szCs w:val="24"/>
        </w:rPr>
        <w:t>power and autonomy, especially within classroom settings</w:t>
      </w:r>
      <w:r w:rsidR="00191F55" w:rsidRPr="00AE141E">
        <w:rPr>
          <w:rFonts w:ascii="Times New Roman" w:hAnsi="Times New Roman" w:cs="Times New Roman"/>
          <w:sz w:val="24"/>
          <w:szCs w:val="24"/>
        </w:rPr>
        <w:t xml:space="preserve">; this was a golden era of child-authored print culture, much of which encouraged the authors’ peers to </w:t>
      </w:r>
      <w:r w:rsidR="006605CC" w:rsidRPr="00AE141E">
        <w:rPr>
          <w:rFonts w:ascii="Times New Roman" w:hAnsi="Times New Roman" w:cs="Times New Roman"/>
          <w:sz w:val="24"/>
          <w:szCs w:val="24"/>
        </w:rPr>
        <w:t>protest</w:t>
      </w:r>
      <w:r w:rsidR="00DF663F" w:rsidRPr="00AE141E">
        <w:rPr>
          <w:rFonts w:ascii="Times New Roman" w:hAnsi="Times New Roman" w:cs="Times New Roman"/>
          <w:sz w:val="24"/>
          <w:szCs w:val="24"/>
        </w:rPr>
        <w:t xml:space="preserve"> objectionable conditions in schools.</w:t>
      </w:r>
      <w:r w:rsidR="00D67A4E" w:rsidRPr="00AE141E">
        <w:rPr>
          <w:rStyle w:val="FootnoteReference"/>
          <w:rFonts w:ascii="Times New Roman" w:hAnsi="Times New Roman" w:cs="Times New Roman"/>
          <w:sz w:val="24"/>
          <w:szCs w:val="24"/>
        </w:rPr>
        <w:footnoteReference w:id="402"/>
      </w:r>
      <w:r w:rsidR="00DF663F" w:rsidRPr="00AE141E">
        <w:rPr>
          <w:rFonts w:ascii="Times New Roman" w:hAnsi="Times New Roman" w:cs="Times New Roman"/>
          <w:sz w:val="24"/>
          <w:szCs w:val="24"/>
        </w:rPr>
        <w:t xml:space="preserve"> </w:t>
      </w:r>
      <w:r w:rsidR="0059307E" w:rsidRPr="00AE141E">
        <w:rPr>
          <w:rFonts w:ascii="Times New Roman" w:hAnsi="Times New Roman" w:cs="Times New Roman"/>
          <w:sz w:val="24"/>
          <w:szCs w:val="24"/>
        </w:rPr>
        <w:t xml:space="preserve">Acts of </w:t>
      </w:r>
      <w:r w:rsidR="006605CC" w:rsidRPr="00AE141E">
        <w:rPr>
          <w:rFonts w:ascii="Times New Roman" w:hAnsi="Times New Roman" w:cs="Times New Roman"/>
          <w:sz w:val="24"/>
          <w:szCs w:val="24"/>
        </w:rPr>
        <w:t>defiance</w:t>
      </w:r>
      <w:r w:rsidR="0059307E" w:rsidRPr="00AE141E">
        <w:rPr>
          <w:rFonts w:ascii="Times New Roman" w:hAnsi="Times New Roman" w:cs="Times New Roman"/>
          <w:sz w:val="24"/>
          <w:szCs w:val="24"/>
        </w:rPr>
        <w:t xml:space="preserve"> could range from disrupting lessons perceived to be boring or useless, to </w:t>
      </w:r>
      <w:r w:rsidR="006B6EB1" w:rsidRPr="00AE141E">
        <w:rPr>
          <w:rFonts w:ascii="Times New Roman" w:hAnsi="Times New Roman" w:cs="Times New Roman"/>
          <w:sz w:val="24"/>
          <w:szCs w:val="24"/>
        </w:rPr>
        <w:t>the organisation of strikes under the banner of school-students’ unions.</w:t>
      </w:r>
    </w:p>
    <w:p w14:paraId="6C9347CB" w14:textId="0C76FF18" w:rsidR="008304C5" w:rsidRPr="00AE141E" w:rsidRDefault="00B44D4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There is evidence that connections</w:t>
      </w:r>
      <w:r w:rsidR="00895935" w:rsidRPr="00AE141E">
        <w:rPr>
          <w:rFonts w:ascii="Times New Roman" w:hAnsi="Times New Roman" w:cs="Times New Roman"/>
          <w:sz w:val="24"/>
          <w:szCs w:val="24"/>
        </w:rPr>
        <w:t xml:space="preserve"> with children’s rights campaigns</w:t>
      </w:r>
      <w:r w:rsidRPr="00AE141E">
        <w:rPr>
          <w:rFonts w:ascii="Times New Roman" w:hAnsi="Times New Roman" w:cs="Times New Roman"/>
          <w:sz w:val="24"/>
          <w:szCs w:val="24"/>
        </w:rPr>
        <w:t xml:space="preserve"> were </w:t>
      </w:r>
      <w:r w:rsidR="00895935" w:rsidRPr="00AE141E">
        <w:rPr>
          <w:rFonts w:ascii="Times New Roman" w:hAnsi="Times New Roman" w:cs="Times New Roman"/>
          <w:sz w:val="24"/>
          <w:szCs w:val="24"/>
        </w:rPr>
        <w:t>sought</w:t>
      </w:r>
      <w:r w:rsidRPr="00AE141E">
        <w:rPr>
          <w:rFonts w:ascii="Times New Roman" w:hAnsi="Times New Roman" w:cs="Times New Roman"/>
          <w:sz w:val="24"/>
          <w:szCs w:val="24"/>
        </w:rPr>
        <w:t xml:space="preserve"> and sustained by individuals active in the </w:t>
      </w:r>
      <w:r w:rsidR="00785557" w:rsidRPr="00AE141E">
        <w:rPr>
          <w:rFonts w:ascii="Times New Roman" w:hAnsi="Times New Roman" w:cs="Times New Roman"/>
          <w:sz w:val="24"/>
          <w:szCs w:val="24"/>
        </w:rPr>
        <w:t>BEM</w:t>
      </w:r>
      <w:r w:rsidRPr="00AE141E">
        <w:rPr>
          <w:rFonts w:ascii="Times New Roman" w:hAnsi="Times New Roman" w:cs="Times New Roman"/>
          <w:sz w:val="24"/>
          <w:szCs w:val="24"/>
        </w:rPr>
        <w:t xml:space="preserve">. Notably, Bernard Coard contributed an article on racism in education to the inaugural volume of </w:t>
      </w:r>
      <w:r w:rsidRPr="00AE141E">
        <w:rPr>
          <w:rFonts w:ascii="Times New Roman" w:hAnsi="Times New Roman" w:cs="Times New Roman"/>
          <w:i/>
          <w:sz w:val="24"/>
          <w:szCs w:val="24"/>
        </w:rPr>
        <w:t xml:space="preserve">Children’s Rights, </w:t>
      </w:r>
      <w:r w:rsidRPr="00AE141E">
        <w:rPr>
          <w:rFonts w:ascii="Times New Roman" w:hAnsi="Times New Roman" w:cs="Times New Roman"/>
          <w:sz w:val="24"/>
          <w:szCs w:val="24"/>
        </w:rPr>
        <w:t>one of the major proponents of children’s political agency.</w:t>
      </w:r>
      <w:r w:rsidR="00EE606F" w:rsidRPr="00AE141E">
        <w:rPr>
          <w:rStyle w:val="FootnoteReference"/>
          <w:rFonts w:ascii="Times New Roman" w:hAnsi="Times New Roman" w:cs="Times New Roman"/>
          <w:sz w:val="24"/>
          <w:szCs w:val="24"/>
        </w:rPr>
        <w:footnoteReference w:id="403"/>
      </w:r>
      <w:r w:rsidRPr="00AE141E">
        <w:rPr>
          <w:rFonts w:ascii="Times New Roman" w:hAnsi="Times New Roman" w:cs="Times New Roman"/>
          <w:sz w:val="24"/>
          <w:szCs w:val="24"/>
        </w:rPr>
        <w:t xml:space="preserve"> Similarly, the catalogue of the Caribbean bookshop and publishing house New Beacon Books featured texts </w:t>
      </w:r>
      <w:r w:rsidR="00557938" w:rsidRPr="00AE141E">
        <w:rPr>
          <w:rFonts w:ascii="Times New Roman" w:hAnsi="Times New Roman" w:cs="Times New Roman"/>
          <w:sz w:val="24"/>
          <w:szCs w:val="24"/>
        </w:rPr>
        <w:t xml:space="preserve">which addressed themes of </w:t>
      </w:r>
      <w:r w:rsidR="00751A3E" w:rsidRPr="00AE141E">
        <w:rPr>
          <w:rFonts w:ascii="Times New Roman" w:hAnsi="Times New Roman" w:cs="Times New Roman"/>
          <w:sz w:val="24"/>
          <w:szCs w:val="24"/>
        </w:rPr>
        <w:t>‘</w:t>
      </w:r>
      <w:r w:rsidR="00557938" w:rsidRPr="00AE141E">
        <w:rPr>
          <w:rFonts w:ascii="Times New Roman" w:hAnsi="Times New Roman" w:cs="Times New Roman"/>
          <w:sz w:val="24"/>
          <w:szCs w:val="24"/>
        </w:rPr>
        <w:t>pupil power</w:t>
      </w:r>
      <w:r w:rsidR="00751A3E" w:rsidRPr="00AE141E">
        <w:rPr>
          <w:rFonts w:ascii="Times New Roman" w:hAnsi="Times New Roman" w:cs="Times New Roman"/>
          <w:sz w:val="24"/>
          <w:szCs w:val="24"/>
        </w:rPr>
        <w:t>’</w:t>
      </w:r>
      <w:r w:rsidRPr="00AE141E">
        <w:rPr>
          <w:rFonts w:ascii="Times New Roman" w:hAnsi="Times New Roman" w:cs="Times New Roman"/>
          <w:sz w:val="24"/>
          <w:szCs w:val="24"/>
        </w:rPr>
        <w:t>.</w:t>
      </w:r>
      <w:r w:rsidR="00AB272A"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Its 1976 listing for ‘Supplementary Stories and History’, designed to support the education of Black students in supplementary schools, included Billy Colville and Dave Marson's </w:t>
      </w:r>
      <w:r w:rsidRPr="00AE141E">
        <w:rPr>
          <w:rFonts w:ascii="Times New Roman" w:hAnsi="Times New Roman" w:cs="Times New Roman"/>
          <w:i/>
          <w:sz w:val="24"/>
          <w:szCs w:val="24"/>
        </w:rPr>
        <w:t>Fall in and Follow</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Me</w:t>
      </w:r>
      <w:r w:rsidRPr="00AE141E">
        <w:rPr>
          <w:rFonts w:ascii="Times New Roman" w:hAnsi="Times New Roman" w:cs="Times New Roman"/>
          <w:sz w:val="24"/>
          <w:szCs w:val="24"/>
        </w:rPr>
        <w:t xml:space="preserve"> – a play about the children’s strikes of 1911.</w:t>
      </w:r>
      <w:r w:rsidR="00B17B4E" w:rsidRPr="00AE141E">
        <w:rPr>
          <w:rStyle w:val="FootnoteReference"/>
          <w:rFonts w:ascii="Times New Roman" w:hAnsi="Times New Roman" w:cs="Times New Roman"/>
          <w:sz w:val="24"/>
          <w:szCs w:val="24"/>
        </w:rPr>
        <w:footnoteReference w:id="404"/>
      </w:r>
      <w:r w:rsidR="000D2B5D" w:rsidRPr="00AE141E">
        <w:rPr>
          <w:rFonts w:ascii="Times New Roman" w:hAnsi="Times New Roman" w:cs="Times New Roman"/>
          <w:i/>
          <w:sz w:val="24"/>
          <w:szCs w:val="24"/>
        </w:rPr>
        <w:t xml:space="preserve"> </w:t>
      </w:r>
      <w:r w:rsidRPr="00AE141E">
        <w:rPr>
          <w:rFonts w:ascii="Times New Roman" w:hAnsi="Times New Roman" w:cs="Times New Roman"/>
          <w:i/>
          <w:sz w:val="24"/>
          <w:szCs w:val="24"/>
        </w:rPr>
        <w:t xml:space="preserve">Fall in and </w:t>
      </w:r>
      <w:r w:rsidRPr="00AE141E">
        <w:rPr>
          <w:rFonts w:ascii="Times New Roman" w:hAnsi="Times New Roman" w:cs="Times New Roman"/>
          <w:i/>
          <w:sz w:val="24"/>
          <w:szCs w:val="24"/>
        </w:rPr>
        <w:lastRenderedPageBreak/>
        <w:t>Follow Me</w:t>
      </w:r>
      <w:r w:rsidRPr="00AE141E">
        <w:rPr>
          <w:rFonts w:ascii="Times New Roman" w:hAnsi="Times New Roman" w:cs="Times New Roman"/>
          <w:sz w:val="24"/>
          <w:szCs w:val="24"/>
        </w:rPr>
        <w:t xml:space="preserve"> was conceived as an exploration of the ‘instincts and identities of children’.</w:t>
      </w:r>
      <w:r w:rsidR="000D2B5D" w:rsidRPr="00AE141E">
        <w:rPr>
          <w:rStyle w:val="FootnoteReference"/>
          <w:rFonts w:ascii="Times New Roman" w:hAnsi="Times New Roman" w:cs="Times New Roman"/>
          <w:sz w:val="24"/>
          <w:szCs w:val="24"/>
        </w:rPr>
        <w:footnoteReference w:id="405"/>
      </w:r>
      <w:r w:rsidRPr="00AE141E">
        <w:rPr>
          <w:rFonts w:ascii="Times New Roman" w:hAnsi="Times New Roman" w:cs="Times New Roman"/>
          <w:sz w:val="24"/>
          <w:szCs w:val="24"/>
        </w:rPr>
        <w:t xml:space="preserve"> </w:t>
      </w:r>
      <w:bookmarkStart w:id="14" w:name="_Hlk169792674"/>
      <w:r w:rsidRPr="00AE141E">
        <w:rPr>
          <w:rFonts w:ascii="Times New Roman" w:hAnsi="Times New Roman" w:cs="Times New Roman"/>
          <w:sz w:val="24"/>
          <w:szCs w:val="24"/>
        </w:rPr>
        <w:t xml:space="preserve">It was designed to be performed by young people and rewritten in the process, in accordance with their own </w:t>
      </w:r>
      <w:r w:rsidR="003457F4" w:rsidRPr="00AE141E">
        <w:rPr>
          <w:rFonts w:ascii="Times New Roman" w:hAnsi="Times New Roman" w:cs="Times New Roman"/>
          <w:sz w:val="24"/>
          <w:szCs w:val="24"/>
        </w:rPr>
        <w:t>experiences</w:t>
      </w:r>
      <w:r w:rsidRPr="00AE141E">
        <w:rPr>
          <w:rFonts w:ascii="Times New Roman" w:hAnsi="Times New Roman" w:cs="Times New Roman"/>
          <w:sz w:val="24"/>
          <w:szCs w:val="24"/>
        </w:rPr>
        <w:t xml:space="preserve"> and priorities</w:t>
      </w:r>
      <w:r w:rsidR="00EF432E" w:rsidRPr="00AE141E">
        <w:rPr>
          <w:rFonts w:ascii="Times New Roman" w:hAnsi="Times New Roman" w:cs="Times New Roman"/>
          <w:sz w:val="24"/>
          <w:szCs w:val="24"/>
        </w:rPr>
        <w:t xml:space="preserve">. </w:t>
      </w:r>
      <w:r w:rsidR="009E1114" w:rsidRPr="00AE141E">
        <w:rPr>
          <w:rFonts w:ascii="Times New Roman" w:hAnsi="Times New Roman" w:cs="Times New Roman"/>
          <w:sz w:val="24"/>
          <w:szCs w:val="24"/>
        </w:rPr>
        <w:t>Carolyn Steedman</w:t>
      </w:r>
      <w:r w:rsidR="009E4A27" w:rsidRPr="00AE141E">
        <w:rPr>
          <w:rFonts w:ascii="Times New Roman" w:hAnsi="Times New Roman" w:cs="Times New Roman"/>
          <w:sz w:val="24"/>
          <w:szCs w:val="24"/>
        </w:rPr>
        <w:t xml:space="preserve"> </w:t>
      </w:r>
      <w:r w:rsidR="009E1114" w:rsidRPr="00AE141E">
        <w:rPr>
          <w:rFonts w:ascii="Times New Roman" w:hAnsi="Times New Roman" w:cs="Times New Roman"/>
          <w:sz w:val="24"/>
          <w:szCs w:val="24"/>
        </w:rPr>
        <w:t xml:space="preserve">famously </w:t>
      </w:r>
      <w:r w:rsidR="009E4A27" w:rsidRPr="00AE141E">
        <w:rPr>
          <w:rFonts w:ascii="Times New Roman" w:hAnsi="Times New Roman" w:cs="Times New Roman"/>
          <w:sz w:val="24"/>
          <w:szCs w:val="24"/>
        </w:rPr>
        <w:t>identified</w:t>
      </w:r>
      <w:r w:rsidR="009E1114" w:rsidRPr="00AE141E">
        <w:rPr>
          <w:rFonts w:ascii="Times New Roman" w:hAnsi="Times New Roman" w:cs="Times New Roman"/>
          <w:sz w:val="24"/>
          <w:szCs w:val="24"/>
        </w:rPr>
        <w:t xml:space="preserve"> c</w:t>
      </w:r>
      <w:r w:rsidR="00EF432E" w:rsidRPr="00AE141E">
        <w:rPr>
          <w:rFonts w:ascii="Times New Roman" w:hAnsi="Times New Roman" w:cs="Times New Roman"/>
          <w:sz w:val="24"/>
          <w:szCs w:val="24"/>
        </w:rPr>
        <w:t xml:space="preserve">hildren’s </w:t>
      </w:r>
      <w:r w:rsidR="00B72DD6" w:rsidRPr="00AE141E">
        <w:rPr>
          <w:rFonts w:ascii="Times New Roman" w:hAnsi="Times New Roman" w:cs="Times New Roman"/>
          <w:sz w:val="24"/>
          <w:szCs w:val="24"/>
        </w:rPr>
        <w:t>creative self</w:t>
      </w:r>
      <w:r w:rsidR="00C533A3" w:rsidRPr="00AE141E">
        <w:rPr>
          <w:rFonts w:ascii="Times New Roman" w:hAnsi="Times New Roman" w:cs="Times New Roman"/>
          <w:sz w:val="24"/>
          <w:szCs w:val="24"/>
        </w:rPr>
        <w:t xml:space="preserve">-expression, and especially </w:t>
      </w:r>
      <w:r w:rsidR="002B4350" w:rsidRPr="00AE141E">
        <w:rPr>
          <w:rFonts w:ascii="Times New Roman" w:hAnsi="Times New Roman" w:cs="Times New Roman"/>
          <w:sz w:val="24"/>
          <w:szCs w:val="24"/>
        </w:rPr>
        <w:t xml:space="preserve">autobiographical </w:t>
      </w:r>
      <w:r w:rsidR="00EF432E" w:rsidRPr="00AE141E">
        <w:rPr>
          <w:rFonts w:ascii="Times New Roman" w:hAnsi="Times New Roman" w:cs="Times New Roman"/>
          <w:sz w:val="24"/>
          <w:szCs w:val="24"/>
        </w:rPr>
        <w:t>writing</w:t>
      </w:r>
      <w:r w:rsidR="00C533A3" w:rsidRPr="00AE141E">
        <w:rPr>
          <w:rFonts w:ascii="Times New Roman" w:hAnsi="Times New Roman" w:cs="Times New Roman"/>
          <w:sz w:val="24"/>
          <w:szCs w:val="24"/>
        </w:rPr>
        <w:t>,</w:t>
      </w:r>
      <w:r w:rsidR="00C42D07" w:rsidRPr="00AE141E">
        <w:rPr>
          <w:rFonts w:ascii="Times New Roman" w:hAnsi="Times New Roman" w:cs="Times New Roman"/>
          <w:sz w:val="24"/>
          <w:szCs w:val="24"/>
        </w:rPr>
        <w:t xml:space="preserve"> </w:t>
      </w:r>
      <w:r w:rsidR="009E4A27" w:rsidRPr="00AE141E">
        <w:rPr>
          <w:rFonts w:ascii="Times New Roman" w:hAnsi="Times New Roman" w:cs="Times New Roman"/>
          <w:sz w:val="24"/>
          <w:szCs w:val="24"/>
        </w:rPr>
        <w:t xml:space="preserve">as </w:t>
      </w:r>
      <w:r w:rsidR="00127972" w:rsidRPr="00AE141E">
        <w:rPr>
          <w:rFonts w:ascii="Times New Roman" w:hAnsi="Times New Roman" w:cs="Times New Roman"/>
          <w:sz w:val="24"/>
          <w:szCs w:val="24"/>
        </w:rPr>
        <w:t xml:space="preserve">a preeminent pedagogical </w:t>
      </w:r>
      <w:r w:rsidR="00D57026" w:rsidRPr="00AE141E">
        <w:rPr>
          <w:rFonts w:ascii="Times New Roman" w:hAnsi="Times New Roman" w:cs="Times New Roman"/>
          <w:sz w:val="24"/>
          <w:szCs w:val="24"/>
        </w:rPr>
        <w:t>tool</w:t>
      </w:r>
      <w:r w:rsidR="00127972" w:rsidRPr="00AE141E">
        <w:rPr>
          <w:rFonts w:ascii="Times New Roman" w:hAnsi="Times New Roman" w:cs="Times New Roman"/>
          <w:sz w:val="24"/>
          <w:szCs w:val="24"/>
        </w:rPr>
        <w:t xml:space="preserve"> in post-war British classrooms</w:t>
      </w:r>
      <w:r w:rsidR="00D57026" w:rsidRPr="00AE141E">
        <w:rPr>
          <w:rFonts w:ascii="Times New Roman" w:hAnsi="Times New Roman" w:cs="Times New Roman"/>
          <w:sz w:val="24"/>
          <w:szCs w:val="24"/>
        </w:rPr>
        <w:t>.</w:t>
      </w:r>
      <w:r w:rsidR="00C97FA4">
        <w:rPr>
          <w:rStyle w:val="FootnoteReference"/>
          <w:rFonts w:ascii="Times New Roman" w:hAnsi="Times New Roman" w:cs="Times New Roman"/>
          <w:sz w:val="24"/>
          <w:szCs w:val="24"/>
        </w:rPr>
        <w:footnoteReference w:id="406"/>
      </w:r>
      <w:r w:rsidR="004B5664" w:rsidRPr="00AE141E">
        <w:rPr>
          <w:rFonts w:ascii="Times New Roman" w:hAnsi="Times New Roman" w:cs="Times New Roman"/>
          <w:sz w:val="24"/>
          <w:szCs w:val="24"/>
        </w:rPr>
        <w:t xml:space="preserve"> She </w:t>
      </w:r>
      <w:r w:rsidR="0013792F" w:rsidRPr="00AE141E">
        <w:rPr>
          <w:rFonts w:ascii="Times New Roman" w:hAnsi="Times New Roman" w:cs="Times New Roman"/>
          <w:sz w:val="24"/>
          <w:szCs w:val="24"/>
        </w:rPr>
        <w:t>attributed</w:t>
      </w:r>
      <w:r w:rsidR="004B5664" w:rsidRPr="00AE141E">
        <w:rPr>
          <w:rFonts w:ascii="Times New Roman" w:hAnsi="Times New Roman" w:cs="Times New Roman"/>
          <w:sz w:val="24"/>
          <w:szCs w:val="24"/>
        </w:rPr>
        <w:t xml:space="preserve"> it</w:t>
      </w:r>
      <w:r w:rsidR="005E5F22" w:rsidRPr="00AE141E">
        <w:rPr>
          <w:rFonts w:ascii="Times New Roman" w:hAnsi="Times New Roman" w:cs="Times New Roman"/>
          <w:sz w:val="24"/>
          <w:szCs w:val="24"/>
        </w:rPr>
        <w:t>s r</w:t>
      </w:r>
      <w:r w:rsidR="0013792F" w:rsidRPr="00AE141E">
        <w:rPr>
          <w:rFonts w:ascii="Times New Roman" w:hAnsi="Times New Roman" w:cs="Times New Roman"/>
          <w:sz w:val="24"/>
          <w:szCs w:val="24"/>
        </w:rPr>
        <w:t>ise</w:t>
      </w:r>
      <w:r w:rsidR="004B5664" w:rsidRPr="00AE141E">
        <w:rPr>
          <w:rFonts w:ascii="Times New Roman" w:hAnsi="Times New Roman" w:cs="Times New Roman"/>
          <w:sz w:val="24"/>
          <w:szCs w:val="24"/>
        </w:rPr>
        <w:t xml:space="preserve"> </w:t>
      </w:r>
      <w:r w:rsidR="0013792F" w:rsidRPr="00AE141E">
        <w:rPr>
          <w:rFonts w:ascii="Times New Roman" w:hAnsi="Times New Roman" w:cs="Times New Roman"/>
          <w:sz w:val="24"/>
          <w:szCs w:val="24"/>
        </w:rPr>
        <w:t>to</w:t>
      </w:r>
      <w:r w:rsidR="004B5664" w:rsidRPr="00AE141E">
        <w:rPr>
          <w:rFonts w:ascii="Times New Roman" w:hAnsi="Times New Roman" w:cs="Times New Roman"/>
          <w:sz w:val="24"/>
          <w:szCs w:val="24"/>
        </w:rPr>
        <w:t xml:space="preserve"> the</w:t>
      </w:r>
      <w:r w:rsidR="005E5F22" w:rsidRPr="00AE141E">
        <w:rPr>
          <w:rFonts w:ascii="Times New Roman" w:hAnsi="Times New Roman" w:cs="Times New Roman"/>
          <w:sz w:val="24"/>
          <w:szCs w:val="24"/>
        </w:rPr>
        <w:t xml:space="preserve"> psychological preoccupations of child-centred learning, the</w:t>
      </w:r>
      <w:r w:rsidR="004B5664" w:rsidRPr="00AE141E">
        <w:rPr>
          <w:rFonts w:ascii="Times New Roman" w:hAnsi="Times New Roman" w:cs="Times New Roman"/>
          <w:sz w:val="24"/>
          <w:szCs w:val="24"/>
        </w:rPr>
        <w:t xml:space="preserve"> politi</w:t>
      </w:r>
      <w:r w:rsidR="006B2595" w:rsidRPr="00AE141E">
        <w:rPr>
          <w:rFonts w:ascii="Times New Roman" w:hAnsi="Times New Roman" w:cs="Times New Roman"/>
          <w:sz w:val="24"/>
          <w:szCs w:val="24"/>
        </w:rPr>
        <w:t>cal framework of social democracy</w:t>
      </w:r>
      <w:r w:rsidR="0013792F" w:rsidRPr="00AE141E">
        <w:rPr>
          <w:rFonts w:ascii="Times New Roman" w:hAnsi="Times New Roman" w:cs="Times New Roman"/>
          <w:sz w:val="24"/>
          <w:szCs w:val="24"/>
        </w:rPr>
        <w:t>,</w:t>
      </w:r>
      <w:r w:rsidR="003A36EE" w:rsidRPr="00AE141E">
        <w:rPr>
          <w:rFonts w:ascii="Times New Roman" w:hAnsi="Times New Roman" w:cs="Times New Roman"/>
          <w:sz w:val="24"/>
          <w:szCs w:val="24"/>
        </w:rPr>
        <w:t xml:space="preserve"> and </w:t>
      </w:r>
      <w:r w:rsidR="0013792F" w:rsidRPr="00AE141E">
        <w:rPr>
          <w:rFonts w:ascii="Times New Roman" w:hAnsi="Times New Roman" w:cs="Times New Roman"/>
          <w:sz w:val="24"/>
          <w:szCs w:val="24"/>
        </w:rPr>
        <w:t>the latter’s</w:t>
      </w:r>
      <w:r w:rsidR="003A36EE" w:rsidRPr="00AE141E">
        <w:rPr>
          <w:rFonts w:ascii="Times New Roman" w:hAnsi="Times New Roman" w:cs="Times New Roman"/>
          <w:sz w:val="24"/>
          <w:szCs w:val="24"/>
        </w:rPr>
        <w:t xml:space="preserve"> corollary</w:t>
      </w:r>
      <w:r w:rsidR="0013792F" w:rsidRPr="00AE141E">
        <w:rPr>
          <w:rFonts w:ascii="Times New Roman" w:hAnsi="Times New Roman" w:cs="Times New Roman"/>
          <w:sz w:val="24"/>
          <w:szCs w:val="24"/>
        </w:rPr>
        <w:t xml:space="preserve"> –</w:t>
      </w:r>
      <w:r w:rsidR="003A36EE" w:rsidRPr="00AE141E">
        <w:rPr>
          <w:rFonts w:ascii="Times New Roman" w:hAnsi="Times New Roman" w:cs="Times New Roman"/>
          <w:sz w:val="24"/>
          <w:szCs w:val="24"/>
        </w:rPr>
        <w:t xml:space="preserve"> mass</w:t>
      </w:r>
      <w:r w:rsidR="0013792F" w:rsidRPr="00AE141E">
        <w:rPr>
          <w:rFonts w:ascii="Times New Roman" w:hAnsi="Times New Roman" w:cs="Times New Roman"/>
          <w:sz w:val="24"/>
          <w:szCs w:val="24"/>
        </w:rPr>
        <w:t xml:space="preserve"> </w:t>
      </w:r>
      <w:r w:rsidR="003A36EE" w:rsidRPr="00AE141E">
        <w:rPr>
          <w:rFonts w:ascii="Times New Roman" w:hAnsi="Times New Roman" w:cs="Times New Roman"/>
          <w:sz w:val="24"/>
          <w:szCs w:val="24"/>
        </w:rPr>
        <w:t>education</w:t>
      </w:r>
      <w:r w:rsidR="00D219B0" w:rsidRPr="00AE141E">
        <w:rPr>
          <w:rFonts w:ascii="Times New Roman" w:hAnsi="Times New Roman" w:cs="Times New Roman"/>
          <w:sz w:val="24"/>
          <w:szCs w:val="24"/>
        </w:rPr>
        <w:t>.</w:t>
      </w:r>
      <w:r w:rsidR="006B2595" w:rsidRPr="00AE141E">
        <w:rPr>
          <w:rFonts w:ascii="Times New Roman" w:hAnsi="Times New Roman" w:cs="Times New Roman"/>
          <w:sz w:val="24"/>
          <w:szCs w:val="24"/>
        </w:rPr>
        <w:t xml:space="preserve"> </w:t>
      </w:r>
      <w:r w:rsidR="00D219B0" w:rsidRPr="00AE141E">
        <w:rPr>
          <w:rFonts w:ascii="Times New Roman" w:hAnsi="Times New Roman" w:cs="Times New Roman"/>
          <w:sz w:val="24"/>
          <w:szCs w:val="24"/>
        </w:rPr>
        <w:t>A</w:t>
      </w:r>
      <w:r w:rsidR="002B4D1F" w:rsidRPr="00AE141E">
        <w:rPr>
          <w:rFonts w:ascii="Times New Roman" w:hAnsi="Times New Roman" w:cs="Times New Roman"/>
          <w:sz w:val="24"/>
          <w:szCs w:val="24"/>
        </w:rPr>
        <w:t xml:space="preserve">utobiographical narration </w:t>
      </w:r>
      <w:r w:rsidR="00D74D8E" w:rsidRPr="00AE141E">
        <w:rPr>
          <w:rFonts w:ascii="Times New Roman" w:hAnsi="Times New Roman" w:cs="Times New Roman"/>
          <w:sz w:val="24"/>
          <w:szCs w:val="24"/>
        </w:rPr>
        <w:t xml:space="preserve">valorised </w:t>
      </w:r>
      <w:r w:rsidR="00AD3D03" w:rsidRPr="00AE141E">
        <w:rPr>
          <w:rFonts w:ascii="Times New Roman" w:hAnsi="Times New Roman" w:cs="Times New Roman"/>
          <w:sz w:val="24"/>
          <w:szCs w:val="24"/>
        </w:rPr>
        <w:t xml:space="preserve">the </w:t>
      </w:r>
      <w:r w:rsidR="00CB2DAB" w:rsidRPr="00AE141E">
        <w:rPr>
          <w:rFonts w:ascii="Times New Roman" w:hAnsi="Times New Roman" w:cs="Times New Roman"/>
          <w:sz w:val="24"/>
          <w:szCs w:val="24"/>
        </w:rPr>
        <w:t>‘</w:t>
      </w:r>
      <w:r w:rsidR="00AD3D03" w:rsidRPr="00AE141E">
        <w:rPr>
          <w:rFonts w:ascii="Times New Roman" w:hAnsi="Times New Roman" w:cs="Times New Roman"/>
          <w:sz w:val="24"/>
          <w:szCs w:val="24"/>
        </w:rPr>
        <w:t>lived experience of working-class</w:t>
      </w:r>
      <w:r w:rsidR="00CB2DAB" w:rsidRPr="00AE141E">
        <w:rPr>
          <w:rFonts w:ascii="Times New Roman" w:hAnsi="Times New Roman" w:cs="Times New Roman"/>
          <w:sz w:val="24"/>
          <w:szCs w:val="24"/>
        </w:rPr>
        <w:t xml:space="preserve"> people’</w:t>
      </w:r>
      <w:r w:rsidR="00C0476D" w:rsidRPr="00AE141E">
        <w:rPr>
          <w:rFonts w:ascii="Times New Roman" w:hAnsi="Times New Roman" w:cs="Times New Roman"/>
          <w:sz w:val="24"/>
          <w:szCs w:val="24"/>
        </w:rPr>
        <w:t xml:space="preserve">, </w:t>
      </w:r>
      <w:r w:rsidR="00D74D8E" w:rsidRPr="00AE141E">
        <w:rPr>
          <w:rFonts w:ascii="Times New Roman" w:hAnsi="Times New Roman" w:cs="Times New Roman"/>
          <w:sz w:val="24"/>
          <w:szCs w:val="24"/>
        </w:rPr>
        <w:t>confir</w:t>
      </w:r>
      <w:r w:rsidR="00C0476D" w:rsidRPr="00AE141E">
        <w:rPr>
          <w:rFonts w:ascii="Times New Roman" w:hAnsi="Times New Roman" w:cs="Times New Roman"/>
          <w:sz w:val="24"/>
          <w:szCs w:val="24"/>
        </w:rPr>
        <w:t>ming</w:t>
      </w:r>
      <w:r w:rsidR="00D74D8E" w:rsidRPr="00AE141E">
        <w:rPr>
          <w:rFonts w:ascii="Times New Roman" w:hAnsi="Times New Roman" w:cs="Times New Roman"/>
          <w:sz w:val="24"/>
          <w:szCs w:val="24"/>
        </w:rPr>
        <w:t xml:space="preserve"> that the subaltern could,</w:t>
      </w:r>
      <w:r w:rsidR="00F33C93" w:rsidRPr="00AE141E">
        <w:rPr>
          <w:rFonts w:ascii="Times New Roman" w:hAnsi="Times New Roman" w:cs="Times New Roman"/>
          <w:sz w:val="24"/>
          <w:szCs w:val="24"/>
        </w:rPr>
        <w:t xml:space="preserve"> indeed </w:t>
      </w:r>
      <w:r w:rsidR="00D74D8E" w:rsidRPr="00AE141E">
        <w:rPr>
          <w:rFonts w:ascii="Times New Roman" w:hAnsi="Times New Roman" w:cs="Times New Roman"/>
          <w:sz w:val="24"/>
          <w:szCs w:val="24"/>
        </w:rPr>
        <w:t>speak</w:t>
      </w:r>
      <w:r w:rsidR="00C0476D" w:rsidRPr="00AE141E">
        <w:rPr>
          <w:rFonts w:ascii="Times New Roman" w:hAnsi="Times New Roman" w:cs="Times New Roman"/>
          <w:sz w:val="24"/>
          <w:szCs w:val="24"/>
        </w:rPr>
        <w:t xml:space="preserve">. </w:t>
      </w:r>
      <w:r w:rsidR="00F33C93" w:rsidRPr="00AE141E">
        <w:rPr>
          <w:rFonts w:ascii="Times New Roman" w:hAnsi="Times New Roman" w:cs="Times New Roman"/>
          <w:sz w:val="24"/>
          <w:szCs w:val="24"/>
        </w:rPr>
        <w:t xml:space="preserve">In so doing, the </w:t>
      </w:r>
      <w:r w:rsidR="0005512D" w:rsidRPr="00AE141E">
        <w:rPr>
          <w:rFonts w:ascii="Times New Roman" w:hAnsi="Times New Roman" w:cs="Times New Roman"/>
          <w:sz w:val="24"/>
          <w:szCs w:val="24"/>
        </w:rPr>
        <w:t xml:space="preserve">subject was expected to </w:t>
      </w:r>
      <w:r w:rsidR="007C2337" w:rsidRPr="00AE141E">
        <w:rPr>
          <w:rFonts w:ascii="Times New Roman" w:hAnsi="Times New Roman" w:cs="Times New Roman"/>
          <w:sz w:val="24"/>
          <w:szCs w:val="24"/>
        </w:rPr>
        <w:t>attain new forms of</w:t>
      </w:r>
      <w:r w:rsidR="003134A8" w:rsidRPr="00AE141E">
        <w:rPr>
          <w:rFonts w:ascii="Times New Roman" w:hAnsi="Times New Roman" w:cs="Times New Roman"/>
          <w:sz w:val="24"/>
          <w:szCs w:val="24"/>
        </w:rPr>
        <w:t xml:space="preserve"> (political)</w:t>
      </w:r>
      <w:r w:rsidR="007C2337" w:rsidRPr="00AE141E">
        <w:rPr>
          <w:rFonts w:ascii="Times New Roman" w:hAnsi="Times New Roman" w:cs="Times New Roman"/>
          <w:sz w:val="24"/>
          <w:szCs w:val="24"/>
        </w:rPr>
        <w:t xml:space="preserve"> self-knowledge</w:t>
      </w:r>
      <w:r w:rsidR="00A4361E" w:rsidRPr="00AE141E">
        <w:rPr>
          <w:rFonts w:ascii="Times New Roman" w:hAnsi="Times New Roman" w:cs="Times New Roman"/>
          <w:sz w:val="24"/>
          <w:szCs w:val="24"/>
        </w:rPr>
        <w:t xml:space="preserve">, </w:t>
      </w:r>
      <w:r w:rsidR="003134A8" w:rsidRPr="00AE141E">
        <w:rPr>
          <w:rFonts w:ascii="Times New Roman" w:hAnsi="Times New Roman" w:cs="Times New Roman"/>
          <w:sz w:val="24"/>
          <w:szCs w:val="24"/>
        </w:rPr>
        <w:t>and</w:t>
      </w:r>
      <w:r w:rsidR="003E2801" w:rsidRPr="00AE141E">
        <w:rPr>
          <w:rFonts w:ascii="Times New Roman" w:hAnsi="Times New Roman" w:cs="Times New Roman"/>
          <w:sz w:val="24"/>
          <w:szCs w:val="24"/>
        </w:rPr>
        <w:t xml:space="preserve"> to move towards a more </w:t>
      </w:r>
      <w:r w:rsidR="00920D0B" w:rsidRPr="00AE141E">
        <w:rPr>
          <w:rFonts w:ascii="Times New Roman" w:hAnsi="Times New Roman" w:cs="Times New Roman"/>
          <w:sz w:val="24"/>
          <w:szCs w:val="24"/>
        </w:rPr>
        <w:t>engaged</w:t>
      </w:r>
      <w:r w:rsidR="003E2801" w:rsidRPr="00AE141E">
        <w:rPr>
          <w:rFonts w:ascii="Times New Roman" w:hAnsi="Times New Roman" w:cs="Times New Roman"/>
          <w:sz w:val="24"/>
          <w:szCs w:val="24"/>
        </w:rPr>
        <w:t xml:space="preserve"> citizenship</w:t>
      </w:r>
      <w:r w:rsidR="003141AB" w:rsidRPr="00AE141E">
        <w:rPr>
          <w:rFonts w:ascii="Times New Roman" w:hAnsi="Times New Roman" w:cs="Times New Roman"/>
          <w:sz w:val="24"/>
          <w:szCs w:val="24"/>
        </w:rPr>
        <w:t>.</w:t>
      </w:r>
      <w:r w:rsidR="003141AB" w:rsidRPr="00AE141E">
        <w:rPr>
          <w:rStyle w:val="FootnoteReference"/>
          <w:rFonts w:ascii="Times New Roman" w:hAnsi="Times New Roman" w:cs="Times New Roman"/>
          <w:sz w:val="24"/>
          <w:szCs w:val="24"/>
        </w:rPr>
        <w:footnoteReference w:id="407"/>
      </w:r>
      <w:r w:rsidR="007A7898" w:rsidRPr="00AE141E">
        <w:rPr>
          <w:rFonts w:ascii="Times New Roman" w:hAnsi="Times New Roman" w:cs="Times New Roman"/>
          <w:sz w:val="24"/>
          <w:szCs w:val="24"/>
        </w:rPr>
        <w:t xml:space="preserve"> </w:t>
      </w:r>
    </w:p>
    <w:p w14:paraId="2F70ECB3" w14:textId="64EF1942" w:rsidR="00856F66" w:rsidRPr="00AE141E" w:rsidRDefault="005216F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Rob Waters </w:t>
      </w:r>
      <w:r w:rsidR="000F733C" w:rsidRPr="00AE141E">
        <w:rPr>
          <w:rFonts w:ascii="Times New Roman" w:hAnsi="Times New Roman" w:cs="Times New Roman"/>
          <w:sz w:val="24"/>
          <w:szCs w:val="24"/>
        </w:rPr>
        <w:t>observes</w:t>
      </w:r>
      <w:r w:rsidRPr="00AE141E">
        <w:rPr>
          <w:rFonts w:ascii="Times New Roman" w:hAnsi="Times New Roman" w:cs="Times New Roman"/>
          <w:sz w:val="24"/>
          <w:szCs w:val="24"/>
        </w:rPr>
        <w:t xml:space="preserve"> that </w:t>
      </w:r>
      <w:r w:rsidR="00A42D6E" w:rsidRPr="00AE141E">
        <w:rPr>
          <w:rFonts w:ascii="Times New Roman" w:hAnsi="Times New Roman" w:cs="Times New Roman"/>
          <w:sz w:val="24"/>
          <w:szCs w:val="24"/>
        </w:rPr>
        <w:t>this pedagogy was</w:t>
      </w:r>
      <w:r w:rsidR="00115A09" w:rsidRPr="00AE141E">
        <w:rPr>
          <w:rFonts w:ascii="Times New Roman" w:hAnsi="Times New Roman" w:cs="Times New Roman"/>
          <w:sz w:val="24"/>
          <w:szCs w:val="24"/>
        </w:rPr>
        <w:t xml:space="preserve"> </w:t>
      </w:r>
      <w:r w:rsidR="00A42D6E" w:rsidRPr="00AE141E">
        <w:rPr>
          <w:rFonts w:ascii="Times New Roman" w:hAnsi="Times New Roman" w:cs="Times New Roman"/>
          <w:sz w:val="24"/>
          <w:szCs w:val="24"/>
        </w:rPr>
        <w:t>deeply enmeshed with the politics of secondary decolonisation.</w:t>
      </w:r>
      <w:r w:rsidR="000F2B94" w:rsidRPr="00AE141E">
        <w:rPr>
          <w:rStyle w:val="FootnoteReference"/>
          <w:rFonts w:ascii="Times New Roman" w:hAnsi="Times New Roman" w:cs="Times New Roman"/>
          <w:sz w:val="24"/>
          <w:szCs w:val="24"/>
        </w:rPr>
        <w:footnoteReference w:id="408"/>
      </w:r>
      <w:r w:rsidR="000348F2" w:rsidRPr="00AE141E">
        <w:rPr>
          <w:rFonts w:ascii="Times New Roman" w:hAnsi="Times New Roman" w:cs="Times New Roman"/>
          <w:sz w:val="24"/>
          <w:szCs w:val="24"/>
        </w:rPr>
        <w:t xml:space="preserve"> </w:t>
      </w:r>
      <w:bookmarkEnd w:id="14"/>
      <w:r w:rsidR="000348F2" w:rsidRPr="00AE141E">
        <w:rPr>
          <w:rFonts w:ascii="Times New Roman" w:hAnsi="Times New Roman" w:cs="Times New Roman"/>
          <w:sz w:val="24"/>
          <w:szCs w:val="24"/>
        </w:rPr>
        <w:t xml:space="preserve">The term </w:t>
      </w:r>
      <w:r w:rsidR="00BB7184" w:rsidRPr="00AE141E">
        <w:rPr>
          <w:rFonts w:ascii="Times New Roman" w:hAnsi="Times New Roman" w:cs="Times New Roman"/>
          <w:sz w:val="24"/>
          <w:szCs w:val="24"/>
        </w:rPr>
        <w:t xml:space="preserve">‘secondary decolonisation’, as coined by </w:t>
      </w:r>
      <w:r w:rsidR="009B193E" w:rsidRPr="00AE141E">
        <w:rPr>
          <w:rFonts w:ascii="Times New Roman" w:hAnsi="Times New Roman" w:cs="Times New Roman"/>
          <w:sz w:val="24"/>
          <w:szCs w:val="24"/>
        </w:rPr>
        <w:t xml:space="preserve">Richard Drayton, </w:t>
      </w:r>
      <w:r w:rsidR="00421923" w:rsidRPr="00AE141E">
        <w:rPr>
          <w:rFonts w:ascii="Times New Roman" w:hAnsi="Times New Roman" w:cs="Times New Roman"/>
          <w:sz w:val="24"/>
          <w:szCs w:val="24"/>
        </w:rPr>
        <w:t>refers to</w:t>
      </w:r>
      <w:r w:rsidR="00C80D82" w:rsidRPr="00AE141E">
        <w:rPr>
          <w:rFonts w:ascii="Times New Roman" w:hAnsi="Times New Roman" w:cs="Times New Roman"/>
          <w:sz w:val="24"/>
          <w:szCs w:val="24"/>
        </w:rPr>
        <w:t xml:space="preserve"> the long struggle against</w:t>
      </w:r>
      <w:r w:rsidR="005C647F" w:rsidRPr="00AE141E">
        <w:rPr>
          <w:rFonts w:ascii="Times New Roman" w:hAnsi="Times New Roman" w:cs="Times New Roman"/>
          <w:sz w:val="24"/>
          <w:szCs w:val="24"/>
        </w:rPr>
        <w:t xml:space="preserve"> the legacies of colonialism, in recognition of the</w:t>
      </w:r>
      <w:r w:rsidR="00C80D82" w:rsidRPr="00AE141E">
        <w:rPr>
          <w:rFonts w:ascii="Times New Roman" w:hAnsi="Times New Roman" w:cs="Times New Roman"/>
          <w:sz w:val="24"/>
          <w:szCs w:val="24"/>
        </w:rPr>
        <w:t xml:space="preserve"> ‘partial and ambivalent victory</w:t>
      </w:r>
      <w:r w:rsidR="005C647F" w:rsidRPr="00AE141E">
        <w:rPr>
          <w:rFonts w:ascii="Times New Roman" w:hAnsi="Times New Roman" w:cs="Times New Roman"/>
          <w:sz w:val="24"/>
          <w:szCs w:val="24"/>
        </w:rPr>
        <w:t>’</w:t>
      </w:r>
      <w:r w:rsidR="00C80D82" w:rsidRPr="00AE141E">
        <w:rPr>
          <w:rFonts w:ascii="Times New Roman" w:hAnsi="Times New Roman" w:cs="Times New Roman"/>
          <w:sz w:val="24"/>
          <w:szCs w:val="24"/>
        </w:rPr>
        <w:t xml:space="preserve"> of </w:t>
      </w:r>
      <w:r w:rsidR="005C647F" w:rsidRPr="00AE141E">
        <w:rPr>
          <w:rFonts w:ascii="Times New Roman" w:hAnsi="Times New Roman" w:cs="Times New Roman"/>
          <w:sz w:val="24"/>
          <w:szCs w:val="24"/>
        </w:rPr>
        <w:t xml:space="preserve">formal, political </w:t>
      </w:r>
      <w:r w:rsidR="00C80D82" w:rsidRPr="00AE141E">
        <w:rPr>
          <w:rFonts w:ascii="Times New Roman" w:hAnsi="Times New Roman" w:cs="Times New Roman"/>
          <w:sz w:val="24"/>
          <w:szCs w:val="24"/>
        </w:rPr>
        <w:t>independence.</w:t>
      </w:r>
      <w:r w:rsidR="00A04F41" w:rsidRPr="00AE141E">
        <w:rPr>
          <w:rStyle w:val="FootnoteReference"/>
          <w:rFonts w:ascii="Times New Roman" w:hAnsi="Times New Roman" w:cs="Times New Roman"/>
          <w:sz w:val="24"/>
          <w:szCs w:val="24"/>
        </w:rPr>
        <w:footnoteReference w:id="409"/>
      </w:r>
      <w:r w:rsidR="00421923" w:rsidRPr="00AE141E">
        <w:rPr>
          <w:rFonts w:ascii="Times New Roman" w:hAnsi="Times New Roman" w:cs="Times New Roman"/>
          <w:sz w:val="24"/>
          <w:szCs w:val="24"/>
        </w:rPr>
        <w:t xml:space="preserve"> </w:t>
      </w:r>
      <w:r w:rsidR="00115A09" w:rsidRPr="00AE141E">
        <w:rPr>
          <w:rFonts w:ascii="Times New Roman" w:hAnsi="Times New Roman" w:cs="Times New Roman"/>
          <w:sz w:val="24"/>
          <w:szCs w:val="24"/>
        </w:rPr>
        <w:t xml:space="preserve"> The </w:t>
      </w:r>
      <w:r w:rsidR="00B473E6" w:rsidRPr="00AE141E">
        <w:rPr>
          <w:rFonts w:ascii="Times New Roman" w:hAnsi="Times New Roman" w:cs="Times New Roman"/>
          <w:sz w:val="24"/>
          <w:szCs w:val="24"/>
        </w:rPr>
        <w:t>(</w:t>
      </w:r>
      <w:r w:rsidR="00A4292F" w:rsidRPr="00AE141E">
        <w:rPr>
          <w:rFonts w:ascii="Times New Roman" w:hAnsi="Times New Roman" w:cs="Times New Roman"/>
          <w:sz w:val="24"/>
          <w:szCs w:val="24"/>
        </w:rPr>
        <w:t>White</w:t>
      </w:r>
      <w:r w:rsidR="00B473E6" w:rsidRPr="00AE141E">
        <w:rPr>
          <w:rFonts w:ascii="Times New Roman" w:hAnsi="Times New Roman" w:cs="Times New Roman"/>
          <w:sz w:val="24"/>
          <w:szCs w:val="24"/>
        </w:rPr>
        <w:t>)</w:t>
      </w:r>
      <w:r w:rsidR="00A4292F" w:rsidRPr="00AE141E">
        <w:rPr>
          <w:rFonts w:ascii="Times New Roman" w:hAnsi="Times New Roman" w:cs="Times New Roman"/>
          <w:sz w:val="24"/>
          <w:szCs w:val="24"/>
        </w:rPr>
        <w:t xml:space="preserve"> </w:t>
      </w:r>
      <w:r w:rsidR="00115A09" w:rsidRPr="00AE141E">
        <w:rPr>
          <w:rFonts w:ascii="Times New Roman" w:hAnsi="Times New Roman" w:cs="Times New Roman"/>
          <w:sz w:val="24"/>
          <w:szCs w:val="24"/>
        </w:rPr>
        <w:t>radical teacher Chri</w:t>
      </w:r>
      <w:r w:rsidR="00A4292F" w:rsidRPr="00AE141E">
        <w:rPr>
          <w:rFonts w:ascii="Times New Roman" w:hAnsi="Times New Roman" w:cs="Times New Roman"/>
          <w:sz w:val="24"/>
          <w:szCs w:val="24"/>
        </w:rPr>
        <w:t xml:space="preserve">s Searle </w:t>
      </w:r>
      <w:r w:rsidR="002C7A73" w:rsidRPr="00AE141E">
        <w:rPr>
          <w:rFonts w:ascii="Times New Roman" w:hAnsi="Times New Roman" w:cs="Times New Roman"/>
          <w:sz w:val="24"/>
          <w:szCs w:val="24"/>
        </w:rPr>
        <w:t xml:space="preserve">was known for </w:t>
      </w:r>
      <w:r w:rsidR="004B300D" w:rsidRPr="00AE141E">
        <w:rPr>
          <w:rFonts w:ascii="Times New Roman" w:hAnsi="Times New Roman" w:cs="Times New Roman"/>
          <w:sz w:val="24"/>
          <w:szCs w:val="24"/>
        </w:rPr>
        <w:t xml:space="preserve">his </w:t>
      </w:r>
      <w:r w:rsidR="00146E5C" w:rsidRPr="00AE141E">
        <w:rPr>
          <w:rFonts w:ascii="Times New Roman" w:hAnsi="Times New Roman" w:cs="Times New Roman"/>
          <w:sz w:val="24"/>
          <w:szCs w:val="24"/>
        </w:rPr>
        <w:t xml:space="preserve">support of children’s </w:t>
      </w:r>
      <w:r w:rsidR="006D34CD" w:rsidRPr="00AE141E">
        <w:rPr>
          <w:rFonts w:ascii="Times New Roman" w:hAnsi="Times New Roman" w:cs="Times New Roman"/>
          <w:sz w:val="24"/>
          <w:szCs w:val="24"/>
        </w:rPr>
        <w:t>self-narration</w:t>
      </w:r>
      <w:r w:rsidR="00765509" w:rsidRPr="00AE141E">
        <w:rPr>
          <w:rFonts w:ascii="Times New Roman" w:hAnsi="Times New Roman" w:cs="Times New Roman"/>
          <w:sz w:val="24"/>
          <w:szCs w:val="24"/>
        </w:rPr>
        <w:t xml:space="preserve"> as a</w:t>
      </w:r>
      <w:r w:rsidR="000F733C" w:rsidRPr="00AE141E">
        <w:rPr>
          <w:rFonts w:ascii="Times New Roman" w:hAnsi="Times New Roman" w:cs="Times New Roman"/>
          <w:sz w:val="24"/>
          <w:szCs w:val="24"/>
        </w:rPr>
        <w:t xml:space="preserve"> means of individual and collective empowerment.</w:t>
      </w:r>
      <w:r w:rsidR="000B0247" w:rsidRPr="00AE141E">
        <w:rPr>
          <w:rFonts w:ascii="Times New Roman" w:hAnsi="Times New Roman" w:cs="Times New Roman"/>
          <w:sz w:val="24"/>
          <w:szCs w:val="24"/>
        </w:rPr>
        <w:t xml:space="preserve"> </w:t>
      </w:r>
      <w:r w:rsidR="00D35121" w:rsidRPr="00AE141E">
        <w:rPr>
          <w:rFonts w:ascii="Times New Roman" w:hAnsi="Times New Roman" w:cs="Times New Roman"/>
          <w:sz w:val="24"/>
          <w:szCs w:val="24"/>
        </w:rPr>
        <w:t xml:space="preserve">Searle spent much of his career in </w:t>
      </w:r>
      <w:r w:rsidR="00626193" w:rsidRPr="00AE141E">
        <w:rPr>
          <w:rFonts w:ascii="Times New Roman" w:hAnsi="Times New Roman" w:cs="Times New Roman"/>
          <w:sz w:val="24"/>
          <w:szCs w:val="24"/>
        </w:rPr>
        <w:t xml:space="preserve">the racially diverse areas of London’s East End and northeast Sheffield. </w:t>
      </w:r>
      <w:r w:rsidR="002F4257" w:rsidRPr="00AE141E">
        <w:rPr>
          <w:rFonts w:ascii="Times New Roman" w:hAnsi="Times New Roman" w:cs="Times New Roman"/>
          <w:sz w:val="24"/>
          <w:szCs w:val="24"/>
        </w:rPr>
        <w:t xml:space="preserve">He also </w:t>
      </w:r>
      <w:r w:rsidR="00BB581E" w:rsidRPr="00AE141E">
        <w:rPr>
          <w:rFonts w:ascii="Times New Roman" w:hAnsi="Times New Roman" w:cs="Times New Roman"/>
          <w:sz w:val="24"/>
          <w:szCs w:val="24"/>
        </w:rPr>
        <w:t xml:space="preserve">worked with the revolutionary movements of Mozambique and Grenada. These experiences all contributed to Searle’s commitment to </w:t>
      </w:r>
      <w:r w:rsidR="00362080" w:rsidRPr="00AE141E">
        <w:rPr>
          <w:rFonts w:ascii="Times New Roman" w:hAnsi="Times New Roman" w:cs="Times New Roman"/>
          <w:sz w:val="24"/>
          <w:szCs w:val="24"/>
        </w:rPr>
        <w:t xml:space="preserve">opposing racism in education, and to his interest in the politics of </w:t>
      </w:r>
      <w:r w:rsidR="00017B11" w:rsidRPr="00AE141E">
        <w:rPr>
          <w:rFonts w:ascii="Times New Roman" w:hAnsi="Times New Roman" w:cs="Times New Roman"/>
          <w:sz w:val="24"/>
          <w:szCs w:val="24"/>
        </w:rPr>
        <w:t>b/</w:t>
      </w:r>
      <w:r w:rsidR="00362080" w:rsidRPr="00AE141E">
        <w:rPr>
          <w:rFonts w:ascii="Times New Roman" w:hAnsi="Times New Roman" w:cs="Times New Roman"/>
          <w:sz w:val="24"/>
          <w:szCs w:val="24"/>
        </w:rPr>
        <w:t>Blackness.</w:t>
      </w:r>
      <w:r w:rsidR="00645B9D" w:rsidRPr="00AE141E">
        <w:rPr>
          <w:rFonts w:ascii="Times New Roman" w:hAnsi="Times New Roman" w:cs="Times New Roman"/>
          <w:sz w:val="24"/>
          <w:szCs w:val="24"/>
        </w:rPr>
        <w:t xml:space="preserve"> As Waters argues, </w:t>
      </w:r>
      <w:r w:rsidR="001031AB" w:rsidRPr="00AE141E">
        <w:rPr>
          <w:rFonts w:ascii="Times New Roman" w:hAnsi="Times New Roman" w:cs="Times New Roman"/>
          <w:sz w:val="24"/>
          <w:szCs w:val="24"/>
        </w:rPr>
        <w:t>Searle was in some sense a student o</w:t>
      </w:r>
      <w:r w:rsidR="00F40922" w:rsidRPr="00AE141E">
        <w:rPr>
          <w:rFonts w:ascii="Times New Roman" w:hAnsi="Times New Roman" w:cs="Times New Roman"/>
          <w:sz w:val="24"/>
          <w:szCs w:val="24"/>
        </w:rPr>
        <w:t>f ‘black radical reformulations of the role of education’.</w:t>
      </w:r>
      <w:r w:rsidR="00C25467" w:rsidRPr="00AE141E">
        <w:rPr>
          <w:rStyle w:val="FootnoteReference"/>
          <w:rFonts w:ascii="Times New Roman" w:hAnsi="Times New Roman" w:cs="Times New Roman"/>
          <w:sz w:val="24"/>
          <w:szCs w:val="24"/>
        </w:rPr>
        <w:footnoteReference w:id="410"/>
      </w:r>
      <w:r w:rsidR="00D3319B" w:rsidRPr="00AE141E">
        <w:rPr>
          <w:rFonts w:ascii="Times New Roman" w:hAnsi="Times New Roman" w:cs="Times New Roman"/>
          <w:sz w:val="24"/>
          <w:szCs w:val="24"/>
        </w:rPr>
        <w:t xml:space="preserve"> </w:t>
      </w:r>
      <w:r w:rsidR="003C22D7" w:rsidRPr="00AE141E">
        <w:rPr>
          <w:rFonts w:ascii="Times New Roman" w:hAnsi="Times New Roman" w:cs="Times New Roman"/>
          <w:sz w:val="24"/>
          <w:szCs w:val="24"/>
        </w:rPr>
        <w:t xml:space="preserve">Searle’s politics </w:t>
      </w:r>
      <w:r w:rsidR="00F3427F" w:rsidRPr="00AE141E">
        <w:rPr>
          <w:rFonts w:ascii="Times New Roman" w:hAnsi="Times New Roman" w:cs="Times New Roman"/>
          <w:sz w:val="24"/>
          <w:szCs w:val="24"/>
        </w:rPr>
        <w:t>were</w:t>
      </w:r>
      <w:r w:rsidR="003C22D7" w:rsidRPr="00AE141E">
        <w:rPr>
          <w:rFonts w:ascii="Times New Roman" w:hAnsi="Times New Roman" w:cs="Times New Roman"/>
          <w:sz w:val="24"/>
          <w:szCs w:val="24"/>
        </w:rPr>
        <w:t xml:space="preserve"> inflected with </w:t>
      </w:r>
      <w:r w:rsidR="00C3596B" w:rsidRPr="00AE141E">
        <w:rPr>
          <w:rFonts w:ascii="Times New Roman" w:hAnsi="Times New Roman" w:cs="Times New Roman"/>
          <w:sz w:val="24"/>
          <w:szCs w:val="24"/>
        </w:rPr>
        <w:t>the BEM’s</w:t>
      </w:r>
      <w:r w:rsidR="0088500A" w:rsidRPr="00AE141E">
        <w:rPr>
          <w:rFonts w:ascii="Times New Roman" w:hAnsi="Times New Roman" w:cs="Times New Roman"/>
          <w:sz w:val="24"/>
          <w:szCs w:val="24"/>
        </w:rPr>
        <w:t xml:space="preserve"> </w:t>
      </w:r>
      <w:r w:rsidR="0088500A" w:rsidRPr="00AE141E">
        <w:rPr>
          <w:rFonts w:ascii="Times New Roman" w:hAnsi="Times New Roman" w:cs="Times New Roman"/>
          <w:sz w:val="24"/>
          <w:szCs w:val="24"/>
        </w:rPr>
        <w:lastRenderedPageBreak/>
        <w:t>radical</w:t>
      </w:r>
      <w:r w:rsidR="00C3596B" w:rsidRPr="00AE141E">
        <w:rPr>
          <w:rFonts w:ascii="Times New Roman" w:hAnsi="Times New Roman" w:cs="Times New Roman"/>
          <w:sz w:val="24"/>
          <w:szCs w:val="24"/>
        </w:rPr>
        <w:t xml:space="preserve"> critique of the foundational racism of the British education system</w:t>
      </w:r>
      <w:r w:rsidR="00C953B3" w:rsidRPr="00AE141E">
        <w:rPr>
          <w:rFonts w:ascii="Times New Roman" w:hAnsi="Times New Roman" w:cs="Times New Roman"/>
          <w:sz w:val="24"/>
          <w:szCs w:val="24"/>
        </w:rPr>
        <w:t xml:space="preserve"> and its </w:t>
      </w:r>
      <w:r w:rsidR="0088500A" w:rsidRPr="00AE141E">
        <w:rPr>
          <w:rFonts w:ascii="Times New Roman" w:hAnsi="Times New Roman" w:cs="Times New Roman"/>
          <w:sz w:val="24"/>
          <w:szCs w:val="24"/>
        </w:rPr>
        <w:t xml:space="preserve">understanding of young people as agents of </w:t>
      </w:r>
      <w:r w:rsidR="00833FB9" w:rsidRPr="00AE141E">
        <w:rPr>
          <w:rFonts w:ascii="Times New Roman" w:hAnsi="Times New Roman" w:cs="Times New Roman"/>
          <w:sz w:val="24"/>
          <w:szCs w:val="24"/>
        </w:rPr>
        <w:t>change.</w:t>
      </w:r>
      <w:r w:rsidR="00017B11" w:rsidRPr="00AE141E">
        <w:rPr>
          <w:rFonts w:ascii="Times New Roman" w:hAnsi="Times New Roman" w:cs="Times New Roman"/>
          <w:sz w:val="24"/>
          <w:szCs w:val="24"/>
        </w:rPr>
        <w:t xml:space="preserve"> </w:t>
      </w:r>
      <w:bookmarkStart w:id="15" w:name="_Hlk169793531"/>
      <w:r w:rsidR="00017B11" w:rsidRPr="00AE141E">
        <w:rPr>
          <w:rFonts w:ascii="Times New Roman" w:hAnsi="Times New Roman" w:cs="Times New Roman"/>
          <w:sz w:val="24"/>
          <w:szCs w:val="24"/>
        </w:rPr>
        <w:t>C</w:t>
      </w:r>
      <w:r w:rsidR="00B260DA" w:rsidRPr="00AE141E">
        <w:rPr>
          <w:rFonts w:ascii="Times New Roman" w:hAnsi="Times New Roman" w:cs="Times New Roman"/>
          <w:sz w:val="24"/>
          <w:szCs w:val="24"/>
        </w:rPr>
        <w:t>hildren’s writing was envisaged as an arena in which Black identity</w:t>
      </w:r>
      <w:r w:rsidR="00D3319B" w:rsidRPr="00AE141E">
        <w:rPr>
          <w:rFonts w:ascii="Times New Roman" w:hAnsi="Times New Roman" w:cs="Times New Roman"/>
          <w:sz w:val="24"/>
          <w:szCs w:val="24"/>
        </w:rPr>
        <w:t xml:space="preserve"> – and </w:t>
      </w:r>
      <w:r w:rsidR="005F178F" w:rsidRPr="00AE141E">
        <w:rPr>
          <w:rFonts w:ascii="Times New Roman" w:hAnsi="Times New Roman" w:cs="Times New Roman"/>
          <w:sz w:val="24"/>
          <w:szCs w:val="24"/>
        </w:rPr>
        <w:t>agency –</w:t>
      </w:r>
      <w:r w:rsidR="00B260DA" w:rsidRPr="00AE141E">
        <w:rPr>
          <w:rFonts w:ascii="Times New Roman" w:hAnsi="Times New Roman" w:cs="Times New Roman"/>
          <w:sz w:val="24"/>
          <w:szCs w:val="24"/>
        </w:rPr>
        <w:t xml:space="preserve"> could</w:t>
      </w:r>
      <w:r w:rsidR="005F178F" w:rsidRPr="00AE141E">
        <w:rPr>
          <w:rFonts w:ascii="Times New Roman" w:hAnsi="Times New Roman" w:cs="Times New Roman"/>
          <w:sz w:val="24"/>
          <w:szCs w:val="24"/>
        </w:rPr>
        <w:t xml:space="preserve"> </w:t>
      </w:r>
      <w:r w:rsidR="00B260DA" w:rsidRPr="00AE141E">
        <w:rPr>
          <w:rFonts w:ascii="Times New Roman" w:hAnsi="Times New Roman" w:cs="Times New Roman"/>
          <w:sz w:val="24"/>
          <w:szCs w:val="24"/>
        </w:rPr>
        <w:t xml:space="preserve">be </w:t>
      </w:r>
      <w:r w:rsidR="00C41E14" w:rsidRPr="00AE141E">
        <w:rPr>
          <w:rFonts w:ascii="Times New Roman" w:hAnsi="Times New Roman" w:cs="Times New Roman"/>
          <w:sz w:val="24"/>
          <w:szCs w:val="24"/>
        </w:rPr>
        <w:t xml:space="preserve">negotiated and claimed. </w:t>
      </w:r>
      <w:r w:rsidR="005F178F" w:rsidRPr="00AE141E">
        <w:rPr>
          <w:rFonts w:ascii="Times New Roman" w:hAnsi="Times New Roman" w:cs="Times New Roman"/>
          <w:sz w:val="24"/>
          <w:szCs w:val="24"/>
        </w:rPr>
        <w:t>Black history</w:t>
      </w:r>
      <w:r w:rsidR="000A4610" w:rsidRPr="00AE141E">
        <w:rPr>
          <w:rFonts w:ascii="Times New Roman" w:hAnsi="Times New Roman" w:cs="Times New Roman"/>
          <w:sz w:val="24"/>
          <w:szCs w:val="24"/>
        </w:rPr>
        <w:t>, as a story of both oppression and defiance, was central to this endeavour.</w:t>
      </w:r>
    </w:p>
    <w:bookmarkEnd w:id="15"/>
    <w:p w14:paraId="69A3261B" w14:textId="5662AD1E" w:rsidR="008C163B" w:rsidRPr="00AE141E" w:rsidRDefault="008C163B"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Supplementary Schooling</w:t>
      </w:r>
    </w:p>
    <w:p w14:paraId="5BC0F106" w14:textId="00912EEF" w:rsidR="004C67F4" w:rsidRPr="00AE141E" w:rsidRDefault="004C67F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Andrews </w:t>
      </w:r>
      <w:r w:rsidR="00140DF8" w:rsidRPr="00AE141E">
        <w:rPr>
          <w:rFonts w:ascii="Times New Roman" w:hAnsi="Times New Roman" w:cs="Times New Roman"/>
          <w:sz w:val="24"/>
          <w:szCs w:val="24"/>
        </w:rPr>
        <w:t>has argued</w:t>
      </w:r>
      <w:r w:rsidRPr="00AE141E">
        <w:rPr>
          <w:rFonts w:ascii="Times New Roman" w:hAnsi="Times New Roman" w:cs="Times New Roman"/>
          <w:sz w:val="24"/>
          <w:szCs w:val="24"/>
        </w:rPr>
        <w:t>, supplementary schools maintained a complex relationship with mainstream schooling. Most taught curricula which ‘challenged mainstream concepts and practices’</w:t>
      </w:r>
      <w:r w:rsidR="000E4BD2" w:rsidRPr="00AE141E">
        <w:rPr>
          <w:rFonts w:ascii="Times New Roman" w:hAnsi="Times New Roman" w:cs="Times New Roman"/>
          <w:sz w:val="24"/>
          <w:szCs w:val="24"/>
        </w:rPr>
        <w:t xml:space="preserve"> and t</w:t>
      </w:r>
      <w:r w:rsidRPr="00AE141E">
        <w:rPr>
          <w:rFonts w:ascii="Times New Roman" w:hAnsi="Times New Roman" w:cs="Times New Roman"/>
          <w:sz w:val="24"/>
          <w:szCs w:val="24"/>
        </w:rPr>
        <w:t>here was a strong focus on the raising of self-esteem and political consciousness through the transmission of Black history and culture.</w:t>
      </w:r>
      <w:r w:rsidR="005133C8" w:rsidRPr="00AE141E">
        <w:rPr>
          <w:rStyle w:val="FootnoteReference"/>
          <w:rFonts w:ascii="Times New Roman" w:hAnsi="Times New Roman" w:cs="Times New Roman"/>
          <w:sz w:val="24"/>
          <w:szCs w:val="24"/>
        </w:rPr>
        <w:footnoteReference w:id="411"/>
      </w:r>
      <w:r w:rsidRPr="00AE141E">
        <w:rPr>
          <w:rFonts w:ascii="Times New Roman" w:hAnsi="Times New Roman" w:cs="Times New Roman"/>
          <w:sz w:val="24"/>
          <w:szCs w:val="24"/>
        </w:rPr>
        <w:t xml:space="preserve"> At the same time, supplementary schools committed themselves to raising the educational attainment of Black young people according to parameters set by the state. In practice, these two apparently contradictory and competing aims were often easily reconciled.</w:t>
      </w:r>
      <w:r w:rsidR="002C4788" w:rsidRPr="00AE141E">
        <w:rPr>
          <w:rFonts w:ascii="Times New Roman" w:hAnsi="Times New Roman" w:cs="Times New Roman"/>
          <w:sz w:val="24"/>
          <w:szCs w:val="24"/>
        </w:rPr>
        <w:t xml:space="preserve"> </w:t>
      </w:r>
      <w:r w:rsidRPr="00AE141E">
        <w:rPr>
          <w:rFonts w:ascii="Times New Roman" w:hAnsi="Times New Roman" w:cs="Times New Roman"/>
          <w:sz w:val="24"/>
          <w:szCs w:val="24"/>
        </w:rPr>
        <w:t>Some supplementary schools held separate classes covering the foundational skills of literacy and numeracy, which mainstream education required but failed to provide, and some form of ‘Black Studies’.</w:t>
      </w:r>
      <w:r w:rsidR="002C4788"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Others approached literacy and numeracy through a ‘Black Studies’ lens; in one such school, dictation exercises encouraged students to claim ancient Egypt as part of their own heritage, </w:t>
      </w:r>
      <w:r w:rsidR="00A83CB5" w:rsidRPr="00AE141E">
        <w:rPr>
          <w:rFonts w:ascii="Times New Roman" w:hAnsi="Times New Roman" w:cs="Times New Roman"/>
          <w:sz w:val="24"/>
          <w:szCs w:val="24"/>
        </w:rPr>
        <w:t xml:space="preserve">in contravention of </w:t>
      </w:r>
      <w:r w:rsidR="00B42CD5" w:rsidRPr="00AE141E">
        <w:rPr>
          <w:rFonts w:ascii="Times New Roman" w:hAnsi="Times New Roman" w:cs="Times New Roman"/>
          <w:sz w:val="24"/>
          <w:szCs w:val="24"/>
        </w:rPr>
        <w:t>an English historical tradition</w:t>
      </w:r>
      <w:r w:rsidR="002A199B" w:rsidRPr="00AE141E">
        <w:rPr>
          <w:rFonts w:ascii="Times New Roman" w:hAnsi="Times New Roman" w:cs="Times New Roman"/>
          <w:sz w:val="24"/>
          <w:szCs w:val="24"/>
        </w:rPr>
        <w:t xml:space="preserve">, dominant in the classroom, which referred to Egypt as ‘part of the </w:t>
      </w:r>
      <w:r w:rsidR="00A479D2" w:rsidRPr="00AE141E">
        <w:rPr>
          <w:rFonts w:ascii="Times New Roman" w:hAnsi="Times New Roman" w:cs="Times New Roman"/>
          <w:sz w:val="24"/>
          <w:szCs w:val="24"/>
        </w:rPr>
        <w:t>Mediterranean</w:t>
      </w:r>
      <w:r w:rsidR="002A199B" w:rsidRPr="00AE141E">
        <w:rPr>
          <w:rFonts w:ascii="Times New Roman" w:hAnsi="Times New Roman" w:cs="Times New Roman"/>
          <w:sz w:val="24"/>
          <w:szCs w:val="24"/>
        </w:rPr>
        <w:t xml:space="preserve"> world’, excising it from the African continent and </w:t>
      </w:r>
      <w:r w:rsidR="00A15819" w:rsidRPr="00AE141E">
        <w:rPr>
          <w:rFonts w:ascii="Times New Roman" w:hAnsi="Times New Roman" w:cs="Times New Roman"/>
          <w:sz w:val="24"/>
          <w:szCs w:val="24"/>
        </w:rPr>
        <w:t>claiming</w:t>
      </w:r>
      <w:r w:rsidR="00141368" w:rsidRPr="00AE141E">
        <w:rPr>
          <w:rFonts w:ascii="Times New Roman" w:hAnsi="Times New Roman" w:cs="Times New Roman"/>
          <w:sz w:val="24"/>
          <w:szCs w:val="24"/>
        </w:rPr>
        <w:t xml:space="preserve"> the Egyptian people as ‘honorary Europeans’.</w:t>
      </w:r>
      <w:r w:rsidR="00141368" w:rsidRPr="00AE141E">
        <w:rPr>
          <w:rStyle w:val="FootnoteReference"/>
          <w:rFonts w:ascii="Times New Roman" w:hAnsi="Times New Roman" w:cs="Times New Roman"/>
          <w:sz w:val="24"/>
          <w:szCs w:val="24"/>
        </w:rPr>
        <w:footnoteReference w:id="412"/>
      </w:r>
      <w:r w:rsidR="00141368" w:rsidRPr="00AE141E">
        <w:rPr>
          <w:rFonts w:ascii="Times New Roman" w:hAnsi="Times New Roman" w:cs="Times New Roman"/>
          <w:sz w:val="24"/>
          <w:szCs w:val="24"/>
        </w:rPr>
        <w:t xml:space="preserve"> S</w:t>
      </w:r>
      <w:r w:rsidRPr="00AE141E">
        <w:rPr>
          <w:rFonts w:ascii="Times New Roman" w:hAnsi="Times New Roman" w:cs="Times New Roman"/>
          <w:sz w:val="24"/>
          <w:szCs w:val="24"/>
        </w:rPr>
        <w:t>pelling tests included the words ‘Benjamin Banneker’, ‘liberty’, and ‘declaration of independence’.</w:t>
      </w:r>
      <w:r w:rsidR="00190C60" w:rsidRPr="00AE141E">
        <w:rPr>
          <w:rStyle w:val="FootnoteReference"/>
          <w:rFonts w:ascii="Times New Roman" w:hAnsi="Times New Roman" w:cs="Times New Roman"/>
          <w:sz w:val="24"/>
          <w:szCs w:val="24"/>
        </w:rPr>
        <w:footnoteReference w:id="413"/>
      </w:r>
    </w:p>
    <w:p w14:paraId="25FB743E" w14:textId="08B0F1E2" w:rsidR="00B92C8F"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Within either model, the communication of Black history was vitally important. Even the nomenclature attached to supplementary education indicates a powerful sense of historical grounding. The most cursory survey of a directory of London supplementary schools, compiled in 1987, shows schools named for an extraordinary variety of prominent Black individuals, drawn from a complex array of historical and geographical settings and ideological traditions.</w:t>
      </w:r>
      <w:r w:rsidR="00EA6FC2" w:rsidRPr="00AE141E">
        <w:rPr>
          <w:rStyle w:val="FootnoteReference"/>
          <w:rFonts w:ascii="Times New Roman" w:hAnsi="Times New Roman" w:cs="Times New Roman"/>
          <w:sz w:val="24"/>
          <w:szCs w:val="24"/>
        </w:rPr>
        <w:footnoteReference w:id="414"/>
      </w:r>
      <w:r w:rsidRPr="00AE141E">
        <w:rPr>
          <w:rFonts w:ascii="Times New Roman" w:hAnsi="Times New Roman" w:cs="Times New Roman"/>
          <w:sz w:val="24"/>
          <w:szCs w:val="24"/>
        </w:rPr>
        <w:t xml:space="preserve"> The lives of Harriet Tubman, Winnie Mandela, Martin Luther King, George Padmore, Mary Seacole, Josina Machel, and Queen Mother Moore were celebrated </w:t>
      </w:r>
      <w:r w:rsidRPr="00AE141E">
        <w:rPr>
          <w:rFonts w:ascii="Times New Roman" w:hAnsi="Times New Roman" w:cs="Times New Roman"/>
          <w:sz w:val="24"/>
          <w:szCs w:val="24"/>
        </w:rPr>
        <w:lastRenderedPageBreak/>
        <w:t xml:space="preserve">and memorialised. </w:t>
      </w:r>
      <w:r w:rsidR="00365A49" w:rsidRPr="00AE141E">
        <w:rPr>
          <w:rFonts w:ascii="Times New Roman" w:hAnsi="Times New Roman" w:cs="Times New Roman"/>
          <w:sz w:val="24"/>
          <w:szCs w:val="24"/>
        </w:rPr>
        <w:t>Supplementary schools were</w:t>
      </w:r>
      <w:r w:rsidRPr="00AE141E">
        <w:rPr>
          <w:rFonts w:ascii="Times New Roman" w:hAnsi="Times New Roman" w:cs="Times New Roman"/>
          <w:sz w:val="24"/>
          <w:szCs w:val="24"/>
        </w:rPr>
        <w:t xml:space="preserve"> eager to situate their own anti-racist work within a long and hallowed genealogy of struggle.</w:t>
      </w:r>
    </w:p>
    <w:p w14:paraId="3E4AEC90" w14:textId="62921196" w:rsidR="00B92C8F"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George Padmore Supplementary School was founded in Finsbury Park, north London, in 1969. Historical texts dominated the school’s junior reading list, targeted at students aged seven to eleven. The list included several </w:t>
      </w:r>
      <w:r w:rsidR="00D92A4B" w:rsidRPr="00AE141E">
        <w:rPr>
          <w:rFonts w:ascii="Times New Roman" w:hAnsi="Times New Roman" w:cs="Times New Roman"/>
          <w:sz w:val="24"/>
          <w:szCs w:val="24"/>
        </w:rPr>
        <w:t>books</w:t>
      </w:r>
      <w:r w:rsidRPr="00AE141E">
        <w:rPr>
          <w:rFonts w:ascii="Times New Roman" w:hAnsi="Times New Roman" w:cs="Times New Roman"/>
          <w:sz w:val="24"/>
          <w:szCs w:val="24"/>
        </w:rPr>
        <w:t xml:space="preserve"> offering an introduction to the biographies of notable individuals of African descent, such as Jane G. Walters’ </w:t>
      </w:r>
      <w:r w:rsidRPr="00AE141E">
        <w:rPr>
          <w:rFonts w:ascii="Times New Roman" w:hAnsi="Times New Roman" w:cs="Times New Roman"/>
          <w:i/>
          <w:sz w:val="24"/>
          <w:szCs w:val="24"/>
        </w:rPr>
        <w:t>African Triumph</w:t>
      </w:r>
      <w:r w:rsidRPr="00AE141E">
        <w:rPr>
          <w:rFonts w:ascii="Times New Roman" w:hAnsi="Times New Roman" w:cs="Times New Roman"/>
          <w:sz w:val="24"/>
          <w:szCs w:val="24"/>
        </w:rPr>
        <w:t xml:space="preserve">, Naomi Hutchinson’s </w:t>
      </w:r>
      <w:r w:rsidRPr="00AE141E">
        <w:rPr>
          <w:rFonts w:ascii="Times New Roman" w:hAnsi="Times New Roman" w:cs="Times New Roman"/>
          <w:i/>
          <w:sz w:val="24"/>
          <w:szCs w:val="24"/>
        </w:rPr>
        <w:t xml:space="preserve">African Heroes, </w:t>
      </w:r>
      <w:r w:rsidRPr="00AE141E">
        <w:rPr>
          <w:rFonts w:ascii="Times New Roman" w:hAnsi="Times New Roman" w:cs="Times New Roman"/>
          <w:sz w:val="24"/>
          <w:szCs w:val="24"/>
        </w:rPr>
        <w:t xml:space="preserve">Therese Mills’ </w:t>
      </w:r>
      <w:r w:rsidRPr="00AE141E">
        <w:rPr>
          <w:rFonts w:ascii="Times New Roman" w:hAnsi="Times New Roman" w:cs="Times New Roman"/>
          <w:i/>
          <w:sz w:val="24"/>
          <w:szCs w:val="24"/>
        </w:rPr>
        <w:t xml:space="preserve">Great West Indians, </w:t>
      </w:r>
      <w:r w:rsidRPr="00AE141E">
        <w:rPr>
          <w:rFonts w:ascii="Times New Roman" w:hAnsi="Times New Roman" w:cs="Times New Roman"/>
          <w:sz w:val="24"/>
          <w:szCs w:val="24"/>
        </w:rPr>
        <w:t xml:space="preserve">and Phyllis M. Cousins’ </w:t>
      </w:r>
      <w:r w:rsidRPr="00AE141E">
        <w:rPr>
          <w:rFonts w:ascii="Times New Roman" w:hAnsi="Times New Roman" w:cs="Times New Roman"/>
          <w:i/>
          <w:sz w:val="24"/>
          <w:szCs w:val="24"/>
        </w:rPr>
        <w:t>Queen of the Mountain</w:t>
      </w:r>
      <w:r w:rsidRPr="00AE141E">
        <w:rPr>
          <w:rFonts w:ascii="Times New Roman" w:hAnsi="Times New Roman" w:cs="Times New Roman"/>
          <w:sz w:val="24"/>
          <w:szCs w:val="24"/>
        </w:rPr>
        <w:t>.</w:t>
      </w:r>
      <w:r w:rsidR="00D92A4B" w:rsidRPr="00AE141E">
        <w:rPr>
          <w:rStyle w:val="FootnoteReference"/>
          <w:rFonts w:ascii="Times New Roman" w:hAnsi="Times New Roman" w:cs="Times New Roman"/>
          <w:sz w:val="24"/>
          <w:szCs w:val="24"/>
        </w:rPr>
        <w:footnoteReference w:id="415"/>
      </w:r>
      <w:r w:rsidRPr="00AE141E">
        <w:rPr>
          <w:rFonts w:ascii="Times New Roman" w:hAnsi="Times New Roman" w:cs="Times New Roman"/>
          <w:sz w:val="24"/>
          <w:szCs w:val="24"/>
        </w:rPr>
        <w:t xml:space="preserve"> Tellingly, the latter text was the product of a collaboration between the publishing house Ginn and the Jamaican Ministry of Education.</w:t>
      </w:r>
      <w:r w:rsidR="00A6458B" w:rsidRPr="00AE141E">
        <w:rPr>
          <w:rStyle w:val="FootnoteReference"/>
          <w:rFonts w:ascii="Times New Roman" w:hAnsi="Times New Roman" w:cs="Times New Roman"/>
          <w:sz w:val="24"/>
          <w:szCs w:val="24"/>
        </w:rPr>
        <w:footnoteReference w:id="416"/>
      </w:r>
      <w:r w:rsidRPr="00AE141E">
        <w:rPr>
          <w:rFonts w:ascii="Times New Roman" w:hAnsi="Times New Roman" w:cs="Times New Roman"/>
          <w:sz w:val="24"/>
          <w:szCs w:val="24"/>
        </w:rPr>
        <w:t xml:space="preserve"> Supplementary schools often found themselves looking abroad, especially to former British colonies, for texts offering a critical standpoint on empire, during a period when few such materials were being produced for a British market. Each of the titles quoted above gave prominence to the stories of those who had resisted slavery in different settings and across multiple continents, from Olaudah Equiano and Harriet Tubman to Nanny of the Maroons. Supplementary schools vehemently rejected the idea, </w:t>
      </w:r>
      <w:r w:rsidR="0033292E" w:rsidRPr="00AE141E">
        <w:rPr>
          <w:rFonts w:ascii="Times New Roman" w:hAnsi="Times New Roman" w:cs="Times New Roman"/>
          <w:sz w:val="24"/>
          <w:szCs w:val="24"/>
        </w:rPr>
        <w:t>dominant</w:t>
      </w:r>
      <w:r w:rsidRPr="00AE141E">
        <w:rPr>
          <w:rFonts w:ascii="Times New Roman" w:hAnsi="Times New Roman" w:cs="Times New Roman"/>
          <w:sz w:val="24"/>
          <w:szCs w:val="24"/>
        </w:rPr>
        <w:t xml:space="preserve"> within </w:t>
      </w:r>
      <w:r w:rsidR="0033292E" w:rsidRPr="00AE141E">
        <w:rPr>
          <w:rFonts w:ascii="Times New Roman" w:hAnsi="Times New Roman" w:cs="Times New Roman"/>
          <w:sz w:val="24"/>
          <w:szCs w:val="24"/>
        </w:rPr>
        <w:t>the British historiographical tradition</w:t>
      </w:r>
      <w:r w:rsidRPr="00AE141E">
        <w:rPr>
          <w:rFonts w:ascii="Times New Roman" w:hAnsi="Times New Roman" w:cs="Times New Roman"/>
          <w:sz w:val="24"/>
          <w:szCs w:val="24"/>
        </w:rPr>
        <w:t xml:space="preserve">, that the benevolence of the </w:t>
      </w:r>
      <w:r w:rsidR="0033292E" w:rsidRPr="00AE141E">
        <w:rPr>
          <w:rFonts w:ascii="Times New Roman" w:hAnsi="Times New Roman" w:cs="Times New Roman"/>
          <w:sz w:val="24"/>
          <w:szCs w:val="24"/>
        </w:rPr>
        <w:t>metropolitan</w:t>
      </w:r>
      <w:r w:rsidRPr="00AE141E">
        <w:rPr>
          <w:rFonts w:ascii="Times New Roman" w:hAnsi="Times New Roman" w:cs="Times New Roman"/>
          <w:sz w:val="24"/>
          <w:szCs w:val="24"/>
        </w:rPr>
        <w:t xml:space="preserve"> abolitionist movement was primarily or exclusively responsible for emancipation.</w:t>
      </w:r>
      <w:r w:rsidRPr="00AE141E">
        <w:rPr>
          <w:rStyle w:val="FootnoteReference"/>
          <w:rFonts w:ascii="Times New Roman" w:hAnsi="Times New Roman" w:cs="Times New Roman"/>
          <w:sz w:val="24"/>
          <w:szCs w:val="24"/>
        </w:rPr>
        <w:footnoteReference w:id="417"/>
      </w:r>
      <w:r w:rsidRPr="00AE141E">
        <w:rPr>
          <w:rFonts w:ascii="Times New Roman" w:hAnsi="Times New Roman" w:cs="Times New Roman"/>
          <w:sz w:val="24"/>
          <w:szCs w:val="24"/>
        </w:rPr>
        <w:t xml:space="preserve">  The composition work of a George Padmore student, dating from sometime between 1973 and 1978, took ‘The Emancipation of the British Slaves’ as its title. The student </w:t>
      </w:r>
      <w:r w:rsidR="00484DD8" w:rsidRPr="00AE141E">
        <w:rPr>
          <w:rFonts w:ascii="Times New Roman" w:hAnsi="Times New Roman" w:cs="Times New Roman"/>
          <w:sz w:val="24"/>
          <w:szCs w:val="24"/>
        </w:rPr>
        <w:t>argued</w:t>
      </w:r>
      <w:r w:rsidRPr="00AE141E">
        <w:rPr>
          <w:rFonts w:ascii="Times New Roman" w:hAnsi="Times New Roman" w:cs="Times New Roman"/>
          <w:sz w:val="24"/>
          <w:szCs w:val="24"/>
        </w:rPr>
        <w:t xml:space="preserve"> that </w:t>
      </w:r>
      <w:r w:rsidR="00484DD8" w:rsidRPr="00AE141E">
        <w:rPr>
          <w:rFonts w:ascii="Times New Roman" w:hAnsi="Times New Roman" w:cs="Times New Roman"/>
          <w:sz w:val="24"/>
          <w:szCs w:val="24"/>
        </w:rPr>
        <w:t xml:space="preserve">abolition </w:t>
      </w:r>
      <w:r w:rsidR="00F430E5" w:rsidRPr="00AE141E">
        <w:rPr>
          <w:rFonts w:ascii="Times New Roman" w:hAnsi="Times New Roman" w:cs="Times New Roman"/>
          <w:sz w:val="24"/>
          <w:szCs w:val="24"/>
        </w:rPr>
        <w:t>was motivated not by ‘</w:t>
      </w:r>
      <w:r w:rsidRPr="00AE141E">
        <w:rPr>
          <w:rFonts w:ascii="Times New Roman" w:hAnsi="Times New Roman" w:cs="Times New Roman"/>
          <w:sz w:val="24"/>
          <w:szCs w:val="24"/>
        </w:rPr>
        <w:t>humanitarian factor</w:t>
      </w:r>
      <w:r w:rsidR="00587C61" w:rsidRPr="00AE141E">
        <w:rPr>
          <w:rFonts w:ascii="Times New Roman" w:hAnsi="Times New Roman" w:cs="Times New Roman"/>
          <w:sz w:val="24"/>
          <w:szCs w:val="24"/>
        </w:rPr>
        <w:t>[s]</w:t>
      </w:r>
      <w:r w:rsidRPr="00AE141E">
        <w:rPr>
          <w:rFonts w:ascii="Times New Roman" w:hAnsi="Times New Roman" w:cs="Times New Roman"/>
          <w:sz w:val="24"/>
          <w:szCs w:val="24"/>
        </w:rPr>
        <w:t xml:space="preserve"> (because the Europeans didn't care)</w:t>
      </w:r>
      <w:r w:rsidR="00906DF0" w:rsidRPr="00AE141E">
        <w:rPr>
          <w:rFonts w:ascii="Times New Roman" w:hAnsi="Times New Roman" w:cs="Times New Roman"/>
          <w:sz w:val="24"/>
          <w:szCs w:val="24"/>
        </w:rPr>
        <w:t>’</w:t>
      </w:r>
      <w:r w:rsidRPr="00AE141E">
        <w:rPr>
          <w:rFonts w:ascii="Times New Roman" w:hAnsi="Times New Roman" w:cs="Times New Roman"/>
          <w:sz w:val="24"/>
          <w:szCs w:val="24"/>
        </w:rPr>
        <w:t xml:space="preserve"> but</w:t>
      </w:r>
      <w:r w:rsidR="00F430E5" w:rsidRPr="00AE141E">
        <w:rPr>
          <w:rFonts w:ascii="Times New Roman" w:hAnsi="Times New Roman" w:cs="Times New Roman"/>
          <w:sz w:val="24"/>
          <w:szCs w:val="24"/>
        </w:rPr>
        <w:t xml:space="preserve"> by </w:t>
      </w:r>
      <w:r w:rsidR="00587C61" w:rsidRPr="00AE141E">
        <w:rPr>
          <w:rFonts w:ascii="Times New Roman" w:hAnsi="Times New Roman" w:cs="Times New Roman"/>
          <w:sz w:val="24"/>
          <w:szCs w:val="24"/>
        </w:rPr>
        <w:t xml:space="preserve">successful revolts led by enslaved people in </w:t>
      </w:r>
      <w:r w:rsidR="009F3A00" w:rsidRPr="00AE141E">
        <w:rPr>
          <w:rFonts w:ascii="Times New Roman" w:hAnsi="Times New Roman" w:cs="Times New Roman"/>
          <w:sz w:val="24"/>
          <w:szCs w:val="24"/>
        </w:rPr>
        <w:t xml:space="preserve">the Americas, alongside cold </w:t>
      </w:r>
      <w:r w:rsidRPr="00AE141E">
        <w:rPr>
          <w:rFonts w:ascii="Times New Roman" w:hAnsi="Times New Roman" w:cs="Times New Roman"/>
          <w:sz w:val="24"/>
          <w:szCs w:val="24"/>
        </w:rPr>
        <w:t xml:space="preserve">economic </w:t>
      </w:r>
      <w:r w:rsidR="009F3A00" w:rsidRPr="00AE141E">
        <w:rPr>
          <w:rFonts w:ascii="Times New Roman" w:hAnsi="Times New Roman" w:cs="Times New Roman"/>
          <w:sz w:val="24"/>
          <w:szCs w:val="24"/>
        </w:rPr>
        <w:lastRenderedPageBreak/>
        <w:t>rationalism</w:t>
      </w:r>
      <w:r w:rsidRPr="00AE141E">
        <w:rPr>
          <w:rFonts w:ascii="Times New Roman" w:hAnsi="Times New Roman" w:cs="Times New Roman"/>
          <w:sz w:val="24"/>
          <w:szCs w:val="24"/>
        </w:rPr>
        <w:t>.</w:t>
      </w:r>
      <w:r w:rsidR="00AA519C" w:rsidRPr="00AE141E">
        <w:rPr>
          <w:rStyle w:val="FootnoteReference"/>
          <w:rFonts w:ascii="Times New Roman" w:hAnsi="Times New Roman" w:cs="Times New Roman"/>
          <w:sz w:val="24"/>
          <w:szCs w:val="24"/>
        </w:rPr>
        <w:footnoteReference w:id="418"/>
      </w:r>
      <w:r w:rsidRPr="00AE141E">
        <w:rPr>
          <w:rFonts w:ascii="Times New Roman" w:hAnsi="Times New Roman" w:cs="Times New Roman"/>
          <w:sz w:val="24"/>
          <w:szCs w:val="24"/>
        </w:rPr>
        <w:t xml:space="preserve"> The implication was clear – freedom could originate only in the struggle of Black people against their own oppression. The essay was well received by </w:t>
      </w:r>
      <w:r w:rsidR="00AB6F14" w:rsidRPr="00AE141E">
        <w:rPr>
          <w:rFonts w:ascii="Times New Roman" w:hAnsi="Times New Roman" w:cs="Times New Roman"/>
          <w:sz w:val="24"/>
          <w:szCs w:val="24"/>
        </w:rPr>
        <w:t>its</w:t>
      </w:r>
      <w:r w:rsidRPr="00AE141E">
        <w:rPr>
          <w:rFonts w:ascii="Times New Roman" w:hAnsi="Times New Roman" w:cs="Times New Roman"/>
          <w:sz w:val="24"/>
          <w:szCs w:val="24"/>
        </w:rPr>
        <w:t xml:space="preserve"> </w:t>
      </w:r>
      <w:r w:rsidR="00AB6F14" w:rsidRPr="00AE141E">
        <w:rPr>
          <w:rFonts w:ascii="Times New Roman" w:hAnsi="Times New Roman" w:cs="Times New Roman"/>
          <w:sz w:val="24"/>
          <w:szCs w:val="24"/>
        </w:rPr>
        <w:t>marker.</w:t>
      </w:r>
    </w:p>
    <w:p w14:paraId="5B621984" w14:textId="6E0A9A7E" w:rsidR="00B92C8F"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George Padmore book list also featured Vic Read’s </w:t>
      </w:r>
      <w:r w:rsidRPr="00AE141E">
        <w:rPr>
          <w:rFonts w:ascii="Times New Roman" w:hAnsi="Times New Roman" w:cs="Times New Roman"/>
          <w:i/>
          <w:sz w:val="24"/>
          <w:szCs w:val="24"/>
        </w:rPr>
        <w:t xml:space="preserve">The Young Warriors, </w:t>
      </w:r>
      <w:r w:rsidRPr="00AE141E">
        <w:rPr>
          <w:rFonts w:ascii="Times New Roman" w:hAnsi="Times New Roman" w:cs="Times New Roman"/>
          <w:sz w:val="24"/>
          <w:szCs w:val="24"/>
        </w:rPr>
        <w:t>a novel describing the initiation of young men into the Maroons’ fight against the depredations of British ‘Redshirt’ soldiers.</w:t>
      </w:r>
      <w:r w:rsidR="008F71A9" w:rsidRPr="00AE141E">
        <w:rPr>
          <w:rStyle w:val="FootnoteReference"/>
          <w:rFonts w:ascii="Times New Roman" w:hAnsi="Times New Roman" w:cs="Times New Roman"/>
          <w:sz w:val="24"/>
          <w:szCs w:val="24"/>
        </w:rPr>
        <w:footnoteReference w:id="419"/>
      </w:r>
      <w:r w:rsidRPr="00AE141E">
        <w:rPr>
          <w:rFonts w:ascii="Times New Roman" w:hAnsi="Times New Roman" w:cs="Times New Roman"/>
          <w:sz w:val="24"/>
          <w:szCs w:val="24"/>
        </w:rPr>
        <w:t xml:space="preserve"> Read’s novel represented young people as active participants in anti-racist and anti-imperialist struggle, both as fighters and as historians. The narrative placed great emphasis on the importance of popular historical understanding in maintaining a community’s sense of self and its capacity to resist outside incursions; the ability to recount the story of the origins of the Maroons was depicted as the first test</w:t>
      </w:r>
      <w:r w:rsidR="00DF0504" w:rsidRPr="00AE141E">
        <w:rPr>
          <w:rFonts w:ascii="Times New Roman" w:hAnsi="Times New Roman" w:cs="Times New Roman"/>
          <w:sz w:val="24"/>
          <w:szCs w:val="24"/>
        </w:rPr>
        <w:t xml:space="preserve"> of</w:t>
      </w:r>
      <w:r w:rsidRPr="00AE141E">
        <w:rPr>
          <w:rFonts w:ascii="Times New Roman" w:hAnsi="Times New Roman" w:cs="Times New Roman"/>
          <w:sz w:val="24"/>
          <w:szCs w:val="24"/>
        </w:rPr>
        <w:t xml:space="preserve"> children’s readiness to become ‘young warriors’.</w:t>
      </w:r>
      <w:r w:rsidR="00E778DE" w:rsidRPr="00AE141E">
        <w:rPr>
          <w:rStyle w:val="FootnoteReference"/>
          <w:rFonts w:ascii="Times New Roman" w:hAnsi="Times New Roman" w:cs="Times New Roman"/>
          <w:sz w:val="24"/>
          <w:szCs w:val="24"/>
        </w:rPr>
        <w:footnoteReference w:id="420"/>
      </w:r>
      <w:r w:rsidRPr="00AE141E">
        <w:rPr>
          <w:rFonts w:ascii="Times New Roman" w:hAnsi="Times New Roman" w:cs="Times New Roman"/>
          <w:sz w:val="24"/>
          <w:szCs w:val="24"/>
        </w:rPr>
        <w:t xml:space="preserve"> This approach cut to the heart of the ethos of the supplementary school </w:t>
      </w:r>
      <w:r w:rsidR="00F67B84" w:rsidRPr="00AE141E">
        <w:rPr>
          <w:rFonts w:ascii="Times New Roman" w:hAnsi="Times New Roman" w:cs="Times New Roman"/>
          <w:sz w:val="24"/>
          <w:szCs w:val="24"/>
        </w:rPr>
        <w:t>system</w:t>
      </w:r>
      <w:r w:rsidRPr="00AE141E">
        <w:rPr>
          <w:rFonts w:ascii="Times New Roman" w:hAnsi="Times New Roman" w:cs="Times New Roman"/>
          <w:sz w:val="24"/>
          <w:szCs w:val="24"/>
        </w:rPr>
        <w:t>, which offered Black children the opportunity to recognise and claim their own agency – and their identity as Black political subjects – by continuing the legacy of resistance left by previous generations.</w:t>
      </w:r>
    </w:p>
    <w:p w14:paraId="664D1491" w14:textId="77777777" w:rsidR="0011049E"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Waters links the historical sensibility of </w:t>
      </w:r>
      <w:r w:rsidR="00785557" w:rsidRPr="00AE141E">
        <w:rPr>
          <w:rFonts w:ascii="Times New Roman" w:hAnsi="Times New Roman" w:cs="Times New Roman"/>
          <w:sz w:val="24"/>
          <w:szCs w:val="24"/>
        </w:rPr>
        <w:t>the BEM</w:t>
      </w:r>
      <w:r w:rsidR="006C18D6" w:rsidRPr="00AE141E">
        <w:rPr>
          <w:rFonts w:ascii="Times New Roman" w:hAnsi="Times New Roman" w:cs="Times New Roman"/>
          <w:sz w:val="24"/>
          <w:szCs w:val="24"/>
        </w:rPr>
        <w:t xml:space="preserve"> to</w:t>
      </w:r>
      <w:r w:rsidRPr="00AE141E">
        <w:rPr>
          <w:rFonts w:ascii="Times New Roman" w:hAnsi="Times New Roman" w:cs="Times New Roman"/>
          <w:sz w:val="24"/>
          <w:szCs w:val="24"/>
        </w:rPr>
        <w:t xml:space="preserve"> its development of a ‘black writing culture’.</w:t>
      </w:r>
      <w:r w:rsidR="00A75716" w:rsidRPr="00AE141E">
        <w:rPr>
          <w:rStyle w:val="FootnoteReference"/>
          <w:rFonts w:ascii="Times New Roman" w:hAnsi="Times New Roman" w:cs="Times New Roman"/>
          <w:sz w:val="24"/>
          <w:szCs w:val="24"/>
        </w:rPr>
        <w:footnoteReference w:id="421"/>
      </w:r>
      <w:r w:rsidRPr="00AE141E">
        <w:rPr>
          <w:rFonts w:ascii="Times New Roman" w:hAnsi="Times New Roman" w:cs="Times New Roman"/>
          <w:sz w:val="24"/>
          <w:szCs w:val="24"/>
        </w:rPr>
        <w:t xml:space="preserve"> Students in supplementary schools and adjacent educational projects were encouraged to narrate their own experiences of race and racism, while situating themselves within a radical tradition of Black rebellion. Under these conditions, Waters argues that ‘the act of writing was a process of coming into history’.</w:t>
      </w:r>
      <w:r w:rsidR="00154D06" w:rsidRPr="00AE141E">
        <w:rPr>
          <w:rFonts w:ascii="Times New Roman" w:hAnsi="Times New Roman" w:cs="Times New Roman"/>
          <w:sz w:val="24"/>
          <w:szCs w:val="24"/>
        </w:rPr>
        <w:t xml:space="preserve"> </w:t>
      </w:r>
      <w:r w:rsidRPr="00AE141E">
        <w:rPr>
          <w:rFonts w:ascii="Times New Roman" w:hAnsi="Times New Roman" w:cs="Times New Roman"/>
          <w:sz w:val="24"/>
          <w:szCs w:val="24"/>
        </w:rPr>
        <w:t>Writers were positioned, like the young Maroons, as both historians and historical agents in their own right; to marshal the past was to achieve understanding of one’s current condition, and to gain the power to inscribe</w:t>
      </w:r>
      <w:r w:rsidR="009F2072" w:rsidRPr="00AE141E">
        <w:rPr>
          <w:rFonts w:ascii="Times New Roman" w:hAnsi="Times New Roman" w:cs="Times New Roman"/>
          <w:sz w:val="24"/>
          <w:szCs w:val="24"/>
        </w:rPr>
        <w:t xml:space="preserve"> </w:t>
      </w:r>
      <w:r w:rsidRPr="00AE141E">
        <w:rPr>
          <w:rFonts w:ascii="Times New Roman" w:hAnsi="Times New Roman" w:cs="Times New Roman"/>
          <w:sz w:val="24"/>
          <w:szCs w:val="24"/>
        </w:rPr>
        <w:t>oneself on the present and future.</w:t>
      </w:r>
      <w:r w:rsidR="00E92A04" w:rsidRPr="00AE141E">
        <w:rPr>
          <w:rFonts w:ascii="Times New Roman" w:hAnsi="Times New Roman" w:cs="Times New Roman"/>
          <w:sz w:val="24"/>
          <w:szCs w:val="24"/>
        </w:rPr>
        <w:t xml:space="preserve"> </w:t>
      </w:r>
      <w:r w:rsidRPr="00AE141E">
        <w:rPr>
          <w:rFonts w:ascii="Times New Roman" w:hAnsi="Times New Roman" w:cs="Times New Roman"/>
          <w:sz w:val="24"/>
          <w:szCs w:val="24"/>
        </w:rPr>
        <w:t>The journal produced by Ahfiwe, a London-based supplementary school, is a prime example of this process. As Waters notes, the school’s founder Ansel Wong published the writings of his students with minimal editorial intervention.</w:t>
      </w:r>
      <w:r w:rsidRPr="00AE141E">
        <w:rPr>
          <w:rStyle w:val="FootnoteReference"/>
          <w:rFonts w:ascii="Times New Roman" w:hAnsi="Times New Roman" w:cs="Times New Roman"/>
          <w:sz w:val="24"/>
          <w:szCs w:val="24"/>
        </w:rPr>
        <w:footnoteReference w:id="422"/>
      </w:r>
      <w:r w:rsidRPr="00AE141E">
        <w:rPr>
          <w:rFonts w:ascii="Times New Roman" w:hAnsi="Times New Roman" w:cs="Times New Roman"/>
          <w:sz w:val="24"/>
          <w:szCs w:val="24"/>
        </w:rPr>
        <w:t xml:space="preserve"> Young people were given the freedom to express a </w:t>
      </w:r>
      <w:r w:rsidR="0011049E" w:rsidRPr="00AE141E">
        <w:rPr>
          <w:rFonts w:ascii="Times New Roman" w:hAnsi="Times New Roman" w:cs="Times New Roman"/>
          <w:sz w:val="24"/>
          <w:szCs w:val="24"/>
        </w:rPr>
        <w:t xml:space="preserve">deeply </w:t>
      </w:r>
      <w:r w:rsidRPr="00AE141E">
        <w:rPr>
          <w:rFonts w:ascii="Times New Roman" w:hAnsi="Times New Roman" w:cs="Times New Roman"/>
          <w:sz w:val="24"/>
          <w:szCs w:val="24"/>
        </w:rPr>
        <w:t>personal Black subjectivity</w:t>
      </w:r>
      <w:r w:rsidR="00154D06" w:rsidRPr="00AE141E">
        <w:rPr>
          <w:rFonts w:ascii="Times New Roman" w:hAnsi="Times New Roman" w:cs="Times New Roman"/>
          <w:sz w:val="24"/>
          <w:szCs w:val="24"/>
        </w:rPr>
        <w:t>. T</w:t>
      </w:r>
      <w:r w:rsidRPr="00AE141E">
        <w:rPr>
          <w:rFonts w:ascii="Times New Roman" w:hAnsi="Times New Roman" w:cs="Times New Roman"/>
          <w:sz w:val="24"/>
          <w:szCs w:val="24"/>
        </w:rPr>
        <w:t xml:space="preserve">heir contributions were diverse in </w:t>
      </w:r>
      <w:r w:rsidR="00154D06" w:rsidRPr="00AE141E">
        <w:rPr>
          <w:rFonts w:ascii="Times New Roman" w:hAnsi="Times New Roman" w:cs="Times New Roman"/>
          <w:sz w:val="24"/>
          <w:szCs w:val="24"/>
        </w:rPr>
        <w:t xml:space="preserve">both </w:t>
      </w:r>
      <w:r w:rsidRPr="00AE141E">
        <w:rPr>
          <w:rFonts w:ascii="Times New Roman" w:hAnsi="Times New Roman" w:cs="Times New Roman"/>
          <w:sz w:val="24"/>
          <w:szCs w:val="24"/>
        </w:rPr>
        <w:t xml:space="preserve">form and content. A typical collection of work might </w:t>
      </w:r>
      <w:r w:rsidRPr="00AE141E">
        <w:rPr>
          <w:rFonts w:ascii="Times New Roman" w:hAnsi="Times New Roman" w:cs="Times New Roman"/>
          <w:sz w:val="24"/>
          <w:szCs w:val="24"/>
        </w:rPr>
        <w:lastRenderedPageBreak/>
        <w:t>include poems about the experience of Black womanhood in contemporary Britain, a young person’s intimate relationships, and a short essay on unemployment.</w:t>
      </w:r>
      <w:r w:rsidR="00E70A12" w:rsidRPr="00AE141E">
        <w:rPr>
          <w:rStyle w:val="FootnoteReference"/>
          <w:rFonts w:ascii="Times New Roman" w:hAnsi="Times New Roman" w:cs="Times New Roman"/>
          <w:sz w:val="24"/>
          <w:szCs w:val="24"/>
        </w:rPr>
        <w:footnoteReference w:id="423"/>
      </w:r>
      <w:r w:rsidRPr="00AE141E">
        <w:rPr>
          <w:rFonts w:ascii="Times New Roman" w:hAnsi="Times New Roman" w:cs="Times New Roman"/>
          <w:sz w:val="24"/>
          <w:szCs w:val="24"/>
        </w:rPr>
        <w:t xml:space="preserve"> </w:t>
      </w:r>
    </w:p>
    <w:p w14:paraId="240F9CC5" w14:textId="78B22BF3" w:rsidR="00B92C8F"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Some students chose to identify their own experiences of racism as products of the economic and ideological system of slavery. Janet Morris’ short poem </w:t>
      </w:r>
      <w:r w:rsidRPr="00AE141E">
        <w:rPr>
          <w:rFonts w:ascii="Times New Roman" w:hAnsi="Times New Roman" w:cs="Times New Roman"/>
          <w:i/>
          <w:sz w:val="24"/>
          <w:szCs w:val="24"/>
        </w:rPr>
        <w:t xml:space="preserve">Black </w:t>
      </w:r>
      <w:r w:rsidRPr="00AE141E">
        <w:rPr>
          <w:rFonts w:ascii="Times New Roman" w:hAnsi="Times New Roman" w:cs="Times New Roman"/>
          <w:sz w:val="24"/>
          <w:szCs w:val="24"/>
        </w:rPr>
        <w:t>deployed abrupt shifts in tense to move rapidly between the racism of past and present:</w:t>
      </w:r>
    </w:p>
    <w:p w14:paraId="05FDF95A" w14:textId="77777777" w:rsidR="00B92C8F" w:rsidRPr="00AE141E" w:rsidRDefault="00B92C8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Black is a black man </w:t>
      </w:r>
    </w:p>
    <w:p w14:paraId="7B53A59E" w14:textId="77777777" w:rsidR="00B92C8F" w:rsidRPr="00AE141E" w:rsidRDefault="00B92C8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From slavery born.</w:t>
      </w:r>
    </w:p>
    <w:p w14:paraId="18ED33C4" w14:textId="6105D051" w:rsidR="00B92C8F" w:rsidRPr="00AE141E" w:rsidRDefault="00B92C8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Black is a black man whose hands have been torn</w:t>
      </w:r>
    </w:p>
    <w:p w14:paraId="535A3E89" w14:textId="77777777" w:rsidR="007A3510" w:rsidRPr="00AE141E" w:rsidRDefault="007A3510" w:rsidP="00AE141E">
      <w:pPr>
        <w:spacing w:line="360" w:lineRule="auto"/>
        <w:ind w:left="720"/>
        <w:rPr>
          <w:rFonts w:ascii="Times New Roman" w:hAnsi="Times New Roman" w:cs="Times New Roman"/>
          <w:sz w:val="24"/>
          <w:szCs w:val="24"/>
        </w:rPr>
      </w:pPr>
    </w:p>
    <w:p w14:paraId="5EE7B6AD" w14:textId="77777777" w:rsidR="00B92C8F" w:rsidRPr="00AE141E" w:rsidRDefault="00B92C8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From the words of a white man </w:t>
      </w:r>
    </w:p>
    <w:p w14:paraId="7A57E7D5" w14:textId="77777777" w:rsidR="00B92C8F" w:rsidRPr="00AE141E" w:rsidRDefault="00B92C8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Our blood has been spread</w:t>
      </w:r>
    </w:p>
    <w:p w14:paraId="1965C02E" w14:textId="0B3CD050" w:rsidR="00B92C8F" w:rsidRPr="00AE141E" w:rsidRDefault="00B92C8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Because of a white man our brothers are dead.</w:t>
      </w:r>
      <w:r w:rsidR="009E3B1D" w:rsidRPr="00AE141E">
        <w:rPr>
          <w:rStyle w:val="FootnoteReference"/>
          <w:rFonts w:ascii="Times New Roman" w:hAnsi="Times New Roman" w:cs="Times New Roman"/>
          <w:sz w:val="24"/>
          <w:szCs w:val="24"/>
        </w:rPr>
        <w:footnoteReference w:id="424"/>
      </w:r>
    </w:p>
    <w:p w14:paraId="6F8A6A77" w14:textId="28D28AA7" w:rsidR="00B92C8F"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Another young woman, Evelyn G. Christie, explored her personal journey towards Black consciousness. Her regret over her expulsion from school, aged 16, had driven Christie to reengage in education. She sought to establish a new sense of self on different foundations – at first by seeking out a ‘black documentary on T.V.’ and taking extensive notes.</w:t>
      </w:r>
      <w:r w:rsidR="007D5D4B" w:rsidRPr="00AE141E">
        <w:rPr>
          <w:rStyle w:val="FootnoteReference"/>
          <w:rFonts w:ascii="Times New Roman" w:hAnsi="Times New Roman" w:cs="Times New Roman"/>
          <w:sz w:val="24"/>
          <w:szCs w:val="24"/>
        </w:rPr>
        <w:footnoteReference w:id="425"/>
      </w:r>
      <w:r w:rsidRPr="00AE141E">
        <w:rPr>
          <w:rFonts w:ascii="Times New Roman" w:hAnsi="Times New Roman" w:cs="Times New Roman"/>
          <w:sz w:val="24"/>
          <w:szCs w:val="24"/>
        </w:rPr>
        <w:t xml:space="preserve"> Christie commented that, having been born in England, such paltry offerings seemed her surest route to cultural knowledge. She had subsequently joined the Black Studies class at Ahfiwe both for her own sake, and to ‘learn more to pass on to others’ – especially young Black women. Christie’s story is a testament to the importance of supplementary education for British-born Black young people, who experienced feelings of severance and alienation from their own histories; by offering ‘Black Studies’ courses, supplementary schools could strengthen an individual’s cultural identity </w:t>
      </w:r>
      <w:r w:rsidRPr="00AE141E">
        <w:rPr>
          <w:rFonts w:ascii="Times New Roman" w:hAnsi="Times New Roman" w:cs="Times New Roman"/>
          <w:i/>
          <w:sz w:val="24"/>
          <w:szCs w:val="24"/>
        </w:rPr>
        <w:t>and</w:t>
      </w:r>
      <w:r w:rsidRPr="00AE141E">
        <w:rPr>
          <w:rFonts w:ascii="Times New Roman" w:hAnsi="Times New Roman" w:cs="Times New Roman"/>
          <w:sz w:val="24"/>
          <w:szCs w:val="24"/>
        </w:rPr>
        <w:t xml:space="preserve"> supply them with a sense of affective solidarity with their peers. By narrating this development, students like Christie were in a sense reinscribing and affirming it – consolidating their new, Black subjectivity. Christie’s claim that ‘a black girl </w:t>
      </w:r>
      <w:r w:rsidRPr="00AE141E">
        <w:rPr>
          <w:rFonts w:ascii="Times New Roman" w:hAnsi="Times New Roman" w:cs="Times New Roman"/>
          <w:sz w:val="24"/>
          <w:szCs w:val="24"/>
        </w:rPr>
        <w:lastRenderedPageBreak/>
        <w:t>have to think about life and not just having babies and boyfriends’ might be read as a comment on the writing process, as well as her wider experience with supplementary education.</w:t>
      </w:r>
    </w:p>
    <w:p w14:paraId="2C235B8E" w14:textId="56B5DBBC" w:rsidR="00B92C8F"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Queen Mother Moore, a Clapham-based supplementary school</w:t>
      </w:r>
      <w:r w:rsidR="000D36E2" w:rsidRPr="00AE141E">
        <w:rPr>
          <w:rFonts w:ascii="Times New Roman" w:hAnsi="Times New Roman" w:cs="Times New Roman"/>
          <w:sz w:val="24"/>
          <w:szCs w:val="24"/>
        </w:rPr>
        <w:t xml:space="preserve">, </w:t>
      </w:r>
      <w:r w:rsidRPr="00AE141E">
        <w:rPr>
          <w:rFonts w:ascii="Times New Roman" w:hAnsi="Times New Roman" w:cs="Times New Roman"/>
          <w:sz w:val="24"/>
          <w:szCs w:val="24"/>
        </w:rPr>
        <w:t>encouraged its students to explore the legacies of the past as an anchor of Black selfhood. The school drew on the work of Walter Rodney to initiate regular ‘groundings sessions’ for parents, students, and staff.</w:t>
      </w:r>
      <w:r w:rsidR="00560CD2" w:rsidRPr="00AE141E">
        <w:rPr>
          <w:rStyle w:val="FootnoteReference"/>
          <w:rFonts w:ascii="Times New Roman" w:hAnsi="Times New Roman" w:cs="Times New Roman"/>
          <w:sz w:val="24"/>
          <w:szCs w:val="24"/>
        </w:rPr>
        <w:footnoteReference w:id="426"/>
      </w:r>
      <w:r w:rsidRPr="00AE141E">
        <w:rPr>
          <w:rFonts w:ascii="Times New Roman" w:hAnsi="Times New Roman" w:cs="Times New Roman"/>
          <w:sz w:val="24"/>
          <w:szCs w:val="24"/>
        </w:rPr>
        <w:t xml:space="preserve"> Rodney used the term groundings to refer to intellectual work performed in and with communities battling their own oppression, as opposed to work produced and constrained by the boundaries of the academy.</w:t>
      </w:r>
      <w:r w:rsidR="003D6D45" w:rsidRPr="00AE141E">
        <w:rPr>
          <w:rStyle w:val="FootnoteReference"/>
          <w:rFonts w:ascii="Times New Roman" w:hAnsi="Times New Roman" w:cs="Times New Roman"/>
          <w:sz w:val="24"/>
          <w:szCs w:val="24"/>
        </w:rPr>
        <w:footnoteReference w:id="427"/>
      </w:r>
      <w:r w:rsidRPr="00AE141E">
        <w:rPr>
          <w:rFonts w:ascii="Times New Roman" w:hAnsi="Times New Roman" w:cs="Times New Roman"/>
          <w:sz w:val="24"/>
          <w:szCs w:val="24"/>
        </w:rPr>
        <w:t xml:space="preserve"> As Kevin Okoth puts it, grounding required intellectuals to ‘break out of academic isolation and engage in the mutual exchange of knowledge with those struggling on the ground’.</w:t>
      </w:r>
      <w:r w:rsidR="00560CD2" w:rsidRPr="00AE141E">
        <w:rPr>
          <w:rStyle w:val="FootnoteReference"/>
          <w:rFonts w:ascii="Times New Roman" w:hAnsi="Times New Roman" w:cs="Times New Roman"/>
          <w:sz w:val="24"/>
          <w:szCs w:val="24"/>
        </w:rPr>
        <w:footnoteReference w:id="428"/>
      </w:r>
      <w:r w:rsidRPr="00AE141E">
        <w:rPr>
          <w:rFonts w:ascii="Times New Roman" w:hAnsi="Times New Roman" w:cs="Times New Roman"/>
          <w:sz w:val="24"/>
          <w:szCs w:val="24"/>
        </w:rPr>
        <w:t xml:space="preserve"> The historical understanding of the oppressed was deemed to offer particularly powerful liberatory potential. Okoth argues that the deep Rastafarian knowledge of African history, of which Rodney became a student through his groundings, offered an important ‘counterforce’ to the historical myths about the continent prevalent in academia.</w:t>
      </w:r>
      <w:r w:rsidR="004D5605" w:rsidRPr="00AE141E">
        <w:rPr>
          <w:rFonts w:ascii="Times New Roman" w:hAnsi="Times New Roman" w:cs="Times New Roman"/>
          <w:sz w:val="24"/>
          <w:szCs w:val="24"/>
        </w:rPr>
        <w:t xml:space="preserve"> </w:t>
      </w:r>
      <w:r w:rsidRPr="00AE141E">
        <w:rPr>
          <w:rFonts w:ascii="Times New Roman" w:hAnsi="Times New Roman" w:cs="Times New Roman"/>
          <w:sz w:val="24"/>
          <w:szCs w:val="24"/>
        </w:rPr>
        <w:t>Rodney sought to mobilise this knowledge in the pursuit of psychological freedom and revolutionary social change.</w:t>
      </w:r>
    </w:p>
    <w:p w14:paraId="637C2808" w14:textId="1861B2A3" w:rsidR="00B92C8F"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accordance with this tradition, Queen Mother Moore’s groundings sessions </w:t>
      </w:r>
      <w:r w:rsidR="000D36E2" w:rsidRPr="00AE141E">
        <w:rPr>
          <w:rFonts w:ascii="Times New Roman" w:hAnsi="Times New Roman" w:cs="Times New Roman"/>
          <w:sz w:val="24"/>
          <w:szCs w:val="24"/>
        </w:rPr>
        <w:t>were intended</w:t>
      </w:r>
      <w:r w:rsidRPr="00AE141E">
        <w:rPr>
          <w:rFonts w:ascii="Times New Roman" w:hAnsi="Times New Roman" w:cs="Times New Roman"/>
          <w:sz w:val="24"/>
          <w:szCs w:val="24"/>
        </w:rPr>
        <w:t xml:space="preserve"> to provide a historical foundation to the construction of Black selfhood, and to marshal the confidence and self-assurance of participants to build political alternatives:</w:t>
      </w:r>
    </w:p>
    <w:p w14:paraId="2D18A5C1" w14:textId="6125BA1E" w:rsidR="00B92C8F" w:rsidRPr="00AE141E" w:rsidRDefault="00B92C8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Groundings sessions are crucial because our students need to know who they are, and they cannot know who they are unless they know where they come from and, as someone put it “The shortest way to the future is always one that involves a deep understanding of the past”. Knowing their history is one of the surest ways of restoring confidence in our students and gives them a positive outlook for their future.</w:t>
      </w:r>
      <w:r w:rsidR="00115926" w:rsidRPr="00AE141E">
        <w:rPr>
          <w:rStyle w:val="FootnoteReference"/>
          <w:rFonts w:ascii="Times New Roman" w:hAnsi="Times New Roman" w:cs="Times New Roman"/>
          <w:sz w:val="24"/>
          <w:szCs w:val="24"/>
        </w:rPr>
        <w:footnoteReference w:id="429"/>
      </w:r>
    </w:p>
    <w:p w14:paraId="259BB7B4" w14:textId="0C8F98A1" w:rsidR="00B92C8F"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Groundings were usually open ended and subject to the will and interests of participants. </w:t>
      </w:r>
      <w:r w:rsidR="003F7F45" w:rsidRPr="00AE141E">
        <w:rPr>
          <w:rFonts w:ascii="Times New Roman" w:hAnsi="Times New Roman" w:cs="Times New Roman"/>
          <w:sz w:val="24"/>
          <w:szCs w:val="24"/>
        </w:rPr>
        <w:t xml:space="preserve">In these discussions, </w:t>
      </w:r>
      <w:r w:rsidR="004A542A" w:rsidRPr="00AE141E">
        <w:rPr>
          <w:rFonts w:ascii="Times New Roman" w:hAnsi="Times New Roman" w:cs="Times New Roman"/>
          <w:sz w:val="24"/>
          <w:szCs w:val="24"/>
        </w:rPr>
        <w:t>Black</w:t>
      </w:r>
      <w:r w:rsidR="003F7F45" w:rsidRPr="00AE141E">
        <w:rPr>
          <w:rFonts w:ascii="Times New Roman" w:hAnsi="Times New Roman" w:cs="Times New Roman"/>
          <w:sz w:val="24"/>
          <w:szCs w:val="24"/>
        </w:rPr>
        <w:t xml:space="preserve"> </w:t>
      </w:r>
      <w:r w:rsidR="005B633A" w:rsidRPr="00AE141E">
        <w:rPr>
          <w:rFonts w:ascii="Times New Roman" w:hAnsi="Times New Roman" w:cs="Times New Roman"/>
          <w:sz w:val="24"/>
          <w:szCs w:val="24"/>
        </w:rPr>
        <w:t>‘</w:t>
      </w:r>
      <w:r w:rsidR="003F7F45" w:rsidRPr="00AE141E">
        <w:rPr>
          <w:rFonts w:ascii="Times New Roman" w:hAnsi="Times New Roman" w:cs="Times New Roman"/>
          <w:sz w:val="24"/>
          <w:szCs w:val="24"/>
        </w:rPr>
        <w:t>contributions to world history</w:t>
      </w:r>
      <w:r w:rsidR="005B633A" w:rsidRPr="00AE141E">
        <w:rPr>
          <w:rFonts w:ascii="Times New Roman" w:hAnsi="Times New Roman" w:cs="Times New Roman"/>
          <w:sz w:val="24"/>
          <w:szCs w:val="24"/>
        </w:rPr>
        <w:t>’</w:t>
      </w:r>
      <w:r w:rsidR="003F7F45" w:rsidRPr="00AE141E">
        <w:rPr>
          <w:rFonts w:ascii="Times New Roman" w:hAnsi="Times New Roman" w:cs="Times New Roman"/>
          <w:sz w:val="24"/>
          <w:szCs w:val="24"/>
        </w:rPr>
        <w:t xml:space="preserve"> were linked to </w:t>
      </w:r>
      <w:r w:rsidR="005B633A" w:rsidRPr="00AE141E">
        <w:rPr>
          <w:rFonts w:ascii="Times New Roman" w:hAnsi="Times New Roman" w:cs="Times New Roman"/>
          <w:sz w:val="24"/>
          <w:szCs w:val="24"/>
        </w:rPr>
        <w:t>‘</w:t>
      </w:r>
      <w:r w:rsidR="003F7F45" w:rsidRPr="00AE141E">
        <w:rPr>
          <w:rFonts w:ascii="Times New Roman" w:hAnsi="Times New Roman" w:cs="Times New Roman"/>
          <w:sz w:val="24"/>
          <w:szCs w:val="24"/>
        </w:rPr>
        <w:t>current issues</w:t>
      </w:r>
      <w:r w:rsidR="005B633A" w:rsidRPr="00AE141E">
        <w:rPr>
          <w:rFonts w:ascii="Times New Roman" w:hAnsi="Times New Roman" w:cs="Times New Roman"/>
          <w:sz w:val="24"/>
          <w:szCs w:val="24"/>
        </w:rPr>
        <w:t>’</w:t>
      </w:r>
      <w:r w:rsidRPr="00AE141E">
        <w:rPr>
          <w:rFonts w:ascii="Times New Roman" w:hAnsi="Times New Roman" w:cs="Times New Roman"/>
          <w:sz w:val="24"/>
          <w:szCs w:val="24"/>
        </w:rPr>
        <w:t>.</w:t>
      </w:r>
      <w:r w:rsidR="001147DC">
        <w:rPr>
          <w:rStyle w:val="FootnoteReference"/>
          <w:rFonts w:ascii="Times New Roman" w:hAnsi="Times New Roman" w:cs="Times New Roman"/>
          <w:sz w:val="24"/>
          <w:szCs w:val="24"/>
        </w:rPr>
        <w:footnoteReference w:id="430"/>
      </w:r>
      <w:r w:rsidR="00C9075E" w:rsidRPr="00AE141E">
        <w:rPr>
          <w:rFonts w:ascii="Times New Roman" w:hAnsi="Times New Roman" w:cs="Times New Roman"/>
          <w:sz w:val="24"/>
          <w:szCs w:val="24"/>
        </w:rPr>
        <w:t xml:space="preserve"> </w:t>
      </w:r>
      <w:r w:rsidRPr="00AE141E">
        <w:rPr>
          <w:rFonts w:ascii="Times New Roman" w:hAnsi="Times New Roman" w:cs="Times New Roman"/>
          <w:sz w:val="24"/>
          <w:szCs w:val="24"/>
        </w:rPr>
        <w:t>The school might therefore be seen as offering students the opportunity to participate creatively in an oral historical tradition. Once again, these young people were expected to fulfil two</w:t>
      </w:r>
      <w:r w:rsidR="00100332" w:rsidRPr="00AE141E">
        <w:rPr>
          <w:rFonts w:ascii="Times New Roman" w:hAnsi="Times New Roman" w:cs="Times New Roman"/>
          <w:sz w:val="24"/>
          <w:szCs w:val="24"/>
        </w:rPr>
        <w:t xml:space="preserve"> </w:t>
      </w:r>
      <w:r w:rsidRPr="00AE141E">
        <w:rPr>
          <w:rFonts w:ascii="Times New Roman" w:hAnsi="Times New Roman" w:cs="Times New Roman"/>
          <w:sz w:val="24"/>
          <w:szCs w:val="24"/>
        </w:rPr>
        <w:t>intertwined roles, as vessels for historical knowledge and as agents of historical change.</w:t>
      </w:r>
    </w:p>
    <w:p w14:paraId="588A8E5B" w14:textId="12A6F7AC" w:rsidR="00100332" w:rsidRPr="00AE141E" w:rsidRDefault="00100332"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Afro-Caribbean Education Resource Project (ACER)</w:t>
      </w:r>
    </w:p>
    <w:p w14:paraId="65F5795B" w14:textId="44E81A70" w:rsidR="00B92C8F"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practice of historical self-narrativisation was not exclusive to supplementary schooling.</w:t>
      </w:r>
      <w:r w:rsidR="00DA0D1E" w:rsidRPr="00AE141E">
        <w:rPr>
          <w:rFonts w:ascii="Times New Roman" w:hAnsi="Times New Roman" w:cs="Times New Roman"/>
          <w:sz w:val="24"/>
          <w:szCs w:val="24"/>
        </w:rPr>
        <w:t xml:space="preserve"> The London-based Afro-Caribbean Education Resource Project (ACER) emerged in 1976, u</w:t>
      </w:r>
      <w:r w:rsidRPr="00AE141E">
        <w:rPr>
          <w:rFonts w:ascii="Times New Roman" w:hAnsi="Times New Roman" w:cs="Times New Roman"/>
          <w:sz w:val="24"/>
          <w:szCs w:val="24"/>
        </w:rPr>
        <w:t>nder the leadership of Len Garrison</w:t>
      </w:r>
      <w:r w:rsidR="00DA0D1E" w:rsidRPr="00AE141E">
        <w:rPr>
          <w:rFonts w:ascii="Times New Roman" w:hAnsi="Times New Roman" w:cs="Times New Roman"/>
          <w:sz w:val="24"/>
          <w:szCs w:val="24"/>
        </w:rPr>
        <w:t>.</w:t>
      </w:r>
      <w:r w:rsidRPr="00AE141E">
        <w:rPr>
          <w:rFonts w:ascii="Times New Roman" w:hAnsi="Times New Roman" w:cs="Times New Roman"/>
          <w:sz w:val="24"/>
          <w:szCs w:val="24"/>
        </w:rPr>
        <w:t xml:space="preserve"> The</w:t>
      </w:r>
      <w:r w:rsidR="00C723A4" w:rsidRPr="00AE141E">
        <w:rPr>
          <w:rFonts w:ascii="Times New Roman" w:hAnsi="Times New Roman" w:cs="Times New Roman"/>
          <w:sz w:val="24"/>
          <w:szCs w:val="24"/>
        </w:rPr>
        <w:t xml:space="preserve"> Pr</w:t>
      </w:r>
      <w:r w:rsidRPr="00AE141E">
        <w:rPr>
          <w:rFonts w:ascii="Times New Roman" w:hAnsi="Times New Roman" w:cs="Times New Roman"/>
          <w:sz w:val="24"/>
          <w:szCs w:val="24"/>
        </w:rPr>
        <w:t>oject</w:t>
      </w:r>
      <w:r w:rsidR="00DE42D4" w:rsidRPr="00AE141E">
        <w:rPr>
          <w:rFonts w:ascii="Times New Roman" w:hAnsi="Times New Roman" w:cs="Times New Roman"/>
          <w:sz w:val="24"/>
          <w:szCs w:val="24"/>
        </w:rPr>
        <w:t xml:space="preserve"> </w:t>
      </w:r>
      <w:r w:rsidR="00972338" w:rsidRPr="00AE141E">
        <w:rPr>
          <w:rFonts w:ascii="Times New Roman" w:hAnsi="Times New Roman" w:cs="Times New Roman"/>
          <w:sz w:val="24"/>
          <w:szCs w:val="24"/>
        </w:rPr>
        <w:t xml:space="preserve">challenged assimilationist modes of teaching </w:t>
      </w:r>
      <w:r w:rsidR="005941AF" w:rsidRPr="00AE141E">
        <w:rPr>
          <w:rFonts w:ascii="Times New Roman" w:hAnsi="Times New Roman" w:cs="Times New Roman"/>
          <w:sz w:val="24"/>
          <w:szCs w:val="24"/>
        </w:rPr>
        <w:t>in the state education system. It encouraged teachers to offer positive</w:t>
      </w:r>
      <w:r w:rsidR="00C44CB7" w:rsidRPr="00AE141E">
        <w:rPr>
          <w:rFonts w:ascii="Times New Roman" w:hAnsi="Times New Roman" w:cs="Times New Roman"/>
          <w:sz w:val="24"/>
          <w:szCs w:val="24"/>
        </w:rPr>
        <w:t xml:space="preserve"> affirmation of </w:t>
      </w:r>
      <w:r w:rsidR="005941AF" w:rsidRPr="00AE141E">
        <w:rPr>
          <w:rFonts w:ascii="Times New Roman" w:hAnsi="Times New Roman" w:cs="Times New Roman"/>
          <w:sz w:val="24"/>
          <w:szCs w:val="24"/>
        </w:rPr>
        <w:t>‘</w:t>
      </w:r>
      <w:r w:rsidR="00C44CB7" w:rsidRPr="00AE141E">
        <w:rPr>
          <w:rFonts w:ascii="Times New Roman" w:hAnsi="Times New Roman" w:cs="Times New Roman"/>
          <w:sz w:val="24"/>
          <w:szCs w:val="24"/>
        </w:rPr>
        <w:t xml:space="preserve">racial, ethnic and cultural differences’ </w:t>
      </w:r>
      <w:r w:rsidR="005941AF" w:rsidRPr="00AE141E">
        <w:rPr>
          <w:rFonts w:ascii="Times New Roman" w:hAnsi="Times New Roman" w:cs="Times New Roman"/>
          <w:sz w:val="24"/>
          <w:szCs w:val="24"/>
        </w:rPr>
        <w:t>through</w:t>
      </w:r>
      <w:r w:rsidRPr="00AE141E">
        <w:rPr>
          <w:rFonts w:ascii="Times New Roman" w:hAnsi="Times New Roman" w:cs="Times New Roman"/>
          <w:sz w:val="24"/>
          <w:szCs w:val="24"/>
        </w:rPr>
        <w:t xml:space="preserve"> a broad and representative school curriculum.</w:t>
      </w:r>
      <w:r w:rsidR="00C44CB7" w:rsidRPr="00AE141E">
        <w:rPr>
          <w:rStyle w:val="FootnoteReference"/>
          <w:rFonts w:ascii="Times New Roman" w:hAnsi="Times New Roman" w:cs="Times New Roman"/>
          <w:sz w:val="24"/>
          <w:szCs w:val="24"/>
        </w:rPr>
        <w:footnoteReference w:id="431"/>
      </w:r>
      <w:r w:rsidR="00037102" w:rsidRPr="00AE141E">
        <w:rPr>
          <w:rFonts w:ascii="Times New Roman" w:hAnsi="Times New Roman" w:cs="Times New Roman"/>
          <w:sz w:val="24"/>
          <w:szCs w:val="24"/>
        </w:rPr>
        <w:t xml:space="preserve"> </w:t>
      </w:r>
      <w:r w:rsidRPr="00AE141E">
        <w:rPr>
          <w:rFonts w:ascii="Times New Roman" w:hAnsi="Times New Roman" w:cs="Times New Roman"/>
          <w:sz w:val="24"/>
          <w:szCs w:val="24"/>
        </w:rPr>
        <w:t>Perhaps more importantly, ACER valorised the experiences of Black young people by running the annual Black Penmanship Award (later known as the Black Young Writers Competition) and publishing a selection of the best entries.</w:t>
      </w:r>
      <w:r w:rsidR="00DA386C"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An editor’s note in </w:t>
      </w:r>
      <w:r w:rsidRPr="00AE141E">
        <w:rPr>
          <w:rFonts w:ascii="Times New Roman" w:hAnsi="Times New Roman" w:cs="Times New Roman"/>
          <w:i/>
          <w:sz w:val="24"/>
          <w:szCs w:val="24"/>
        </w:rPr>
        <w:t xml:space="preserve">Black Voices, </w:t>
      </w:r>
      <w:r w:rsidRPr="00AE141E">
        <w:rPr>
          <w:rFonts w:ascii="Times New Roman" w:hAnsi="Times New Roman" w:cs="Times New Roman"/>
          <w:sz w:val="24"/>
          <w:szCs w:val="24"/>
        </w:rPr>
        <w:t>the anthology which collated winning essays and creative writing from the 1979-1984 competitions, presented the writing process in the following terms:</w:t>
      </w:r>
    </w:p>
    <w:p w14:paraId="153D9065" w14:textId="77777777" w:rsidR="00B92C8F" w:rsidRPr="00AE141E" w:rsidRDefault="00B92C8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Having recognised and accepted the challenge that being Black in Britain offers them, these young people are forcefully making their presence felt in this society, and are resisting all attempts to contain the dynamism, vivacity and talent which is theirs to offer. </w:t>
      </w:r>
      <w:r w:rsidRPr="00AE141E">
        <w:rPr>
          <w:rFonts w:ascii="Times New Roman" w:hAnsi="Times New Roman" w:cs="Times New Roman"/>
          <w:i/>
          <w:sz w:val="24"/>
          <w:szCs w:val="24"/>
        </w:rPr>
        <w:t>They are</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 xml:space="preserve">reclaiming their own Black history by placing themselves within the framework of the historic struggles of Black peoples, and, rightly, see themselves in the vanguard of that struggle </w:t>
      </w:r>
      <w:r w:rsidRPr="00AE141E">
        <w:rPr>
          <w:rFonts w:ascii="Times New Roman" w:hAnsi="Times New Roman" w:cs="Times New Roman"/>
          <w:sz w:val="24"/>
          <w:szCs w:val="24"/>
        </w:rPr>
        <w:t>[emphasis added].</w:t>
      </w:r>
      <w:r w:rsidRPr="00AE141E">
        <w:rPr>
          <w:rStyle w:val="FootnoteReference"/>
          <w:rFonts w:ascii="Times New Roman" w:hAnsi="Times New Roman" w:cs="Times New Roman"/>
          <w:sz w:val="24"/>
          <w:szCs w:val="24"/>
        </w:rPr>
        <w:footnoteReference w:id="432"/>
      </w:r>
    </w:p>
    <w:p w14:paraId="75D94197" w14:textId="227D06EF" w:rsidR="00B92C8F" w:rsidRPr="00AE141E" w:rsidRDefault="0071531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terms familiar from the supplementary school movement, </w:t>
      </w:r>
      <w:r w:rsidR="00B92C8F" w:rsidRPr="00AE141E">
        <w:rPr>
          <w:rFonts w:ascii="Times New Roman" w:hAnsi="Times New Roman" w:cs="Times New Roman"/>
          <w:sz w:val="24"/>
          <w:szCs w:val="24"/>
        </w:rPr>
        <w:t xml:space="preserve">ACER represented Black penmanship as </w:t>
      </w:r>
      <w:r w:rsidRPr="00AE141E">
        <w:rPr>
          <w:rFonts w:ascii="Times New Roman" w:hAnsi="Times New Roman" w:cs="Times New Roman"/>
          <w:sz w:val="24"/>
          <w:szCs w:val="24"/>
        </w:rPr>
        <w:t xml:space="preserve">an entry into history </w:t>
      </w:r>
      <w:r w:rsidR="00B92C8F" w:rsidRPr="00AE141E">
        <w:rPr>
          <w:rFonts w:ascii="Times New Roman" w:hAnsi="Times New Roman" w:cs="Times New Roman"/>
          <w:sz w:val="24"/>
          <w:szCs w:val="24"/>
        </w:rPr>
        <w:t>precipitated by an arrival into</w:t>
      </w:r>
      <w:r w:rsidR="003F0A8E" w:rsidRPr="00AE141E">
        <w:rPr>
          <w:rFonts w:ascii="Times New Roman" w:hAnsi="Times New Roman" w:cs="Times New Roman"/>
          <w:sz w:val="24"/>
          <w:szCs w:val="24"/>
        </w:rPr>
        <w:t xml:space="preserve"> a distinctively Black</w:t>
      </w:r>
      <w:r w:rsidR="00B92C8F" w:rsidRPr="00AE141E">
        <w:rPr>
          <w:rFonts w:ascii="Times New Roman" w:hAnsi="Times New Roman" w:cs="Times New Roman"/>
          <w:sz w:val="24"/>
          <w:szCs w:val="24"/>
        </w:rPr>
        <w:t xml:space="preserve"> historical consciousnes</w:t>
      </w:r>
      <w:r w:rsidRPr="00AE141E">
        <w:rPr>
          <w:rFonts w:ascii="Times New Roman" w:hAnsi="Times New Roman" w:cs="Times New Roman"/>
          <w:sz w:val="24"/>
          <w:szCs w:val="24"/>
        </w:rPr>
        <w:t>s</w:t>
      </w:r>
      <w:r w:rsidR="00B92C8F" w:rsidRPr="00AE141E">
        <w:rPr>
          <w:rFonts w:ascii="Times New Roman" w:hAnsi="Times New Roman" w:cs="Times New Roman"/>
          <w:sz w:val="24"/>
          <w:szCs w:val="24"/>
        </w:rPr>
        <w:t>. The act of defining ‘themselves and their history and their culture’ was, for Black young people, an act of survival in the ‘mother country of racism’.</w:t>
      </w:r>
      <w:r w:rsidR="00FD0350" w:rsidRPr="00AE141E">
        <w:rPr>
          <w:rStyle w:val="FootnoteReference"/>
          <w:rFonts w:ascii="Times New Roman" w:hAnsi="Times New Roman" w:cs="Times New Roman"/>
          <w:sz w:val="24"/>
          <w:szCs w:val="24"/>
        </w:rPr>
        <w:footnoteReference w:id="433"/>
      </w:r>
      <w:r w:rsidR="00B92C8F" w:rsidRPr="00AE141E">
        <w:rPr>
          <w:rFonts w:ascii="Times New Roman" w:hAnsi="Times New Roman" w:cs="Times New Roman"/>
          <w:sz w:val="24"/>
          <w:szCs w:val="24"/>
        </w:rPr>
        <w:t xml:space="preserve">  </w:t>
      </w:r>
      <w:r w:rsidR="0092509B" w:rsidRPr="00AE141E">
        <w:rPr>
          <w:rFonts w:ascii="Times New Roman" w:hAnsi="Times New Roman" w:cs="Times New Roman"/>
          <w:sz w:val="24"/>
          <w:szCs w:val="24"/>
        </w:rPr>
        <w:t>T</w:t>
      </w:r>
      <w:r w:rsidR="00B92C8F" w:rsidRPr="00AE141E">
        <w:rPr>
          <w:rFonts w:ascii="Times New Roman" w:hAnsi="Times New Roman" w:cs="Times New Roman"/>
          <w:sz w:val="24"/>
          <w:szCs w:val="24"/>
        </w:rPr>
        <w:t xml:space="preserve">he </w:t>
      </w:r>
      <w:r w:rsidR="00B92C8F" w:rsidRPr="00AE141E">
        <w:rPr>
          <w:rFonts w:ascii="Times New Roman" w:hAnsi="Times New Roman" w:cs="Times New Roman"/>
          <w:sz w:val="24"/>
          <w:szCs w:val="24"/>
        </w:rPr>
        <w:lastRenderedPageBreak/>
        <w:t>volume’s very publication – not to mention the contents therein – was a means of defying Black people’s ‘enforced [historical] invisibility’.</w:t>
      </w:r>
      <w:r w:rsidR="00B92C8F" w:rsidRPr="00AE141E">
        <w:rPr>
          <w:rStyle w:val="FootnoteReference"/>
          <w:rFonts w:ascii="Times New Roman" w:hAnsi="Times New Roman" w:cs="Times New Roman"/>
          <w:sz w:val="24"/>
          <w:szCs w:val="24"/>
        </w:rPr>
        <w:footnoteReference w:id="434"/>
      </w:r>
    </w:p>
    <w:p w14:paraId="697E8DEB" w14:textId="7D849F8E" w:rsidR="006045CD" w:rsidRPr="00AE141E" w:rsidRDefault="00B92C8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Farida Leander, a teenager at the time of </w:t>
      </w:r>
      <w:r w:rsidRPr="00AE141E">
        <w:rPr>
          <w:rFonts w:ascii="Times New Roman" w:hAnsi="Times New Roman" w:cs="Times New Roman"/>
          <w:i/>
          <w:sz w:val="24"/>
          <w:szCs w:val="24"/>
        </w:rPr>
        <w:t>Black Voice</w:t>
      </w:r>
      <w:r w:rsidR="001F35B6" w:rsidRPr="00AE141E">
        <w:rPr>
          <w:rFonts w:ascii="Times New Roman" w:hAnsi="Times New Roman" w:cs="Times New Roman"/>
          <w:i/>
          <w:sz w:val="24"/>
          <w:szCs w:val="24"/>
        </w:rPr>
        <w:t>s’</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 xml:space="preserve">publication, noted that the example set by figures such as Malcolm X and Mary Seacole could inspire young people to make their own mark on history. </w:t>
      </w:r>
      <w:r w:rsidR="006A59FB" w:rsidRPr="00AE141E">
        <w:rPr>
          <w:rFonts w:ascii="Times New Roman" w:hAnsi="Times New Roman" w:cs="Times New Roman"/>
          <w:sz w:val="24"/>
          <w:szCs w:val="24"/>
        </w:rPr>
        <w:t>In Leander’s eyes</w:t>
      </w:r>
      <w:r w:rsidRPr="00AE141E">
        <w:rPr>
          <w:rFonts w:ascii="Times New Roman" w:hAnsi="Times New Roman" w:cs="Times New Roman"/>
          <w:sz w:val="24"/>
          <w:szCs w:val="24"/>
        </w:rPr>
        <w:t>, Blackness was tied to a person’s understanding of their own history, in defiance of the ‘beliefs and stereotypes’ forced upon them by White society.</w:t>
      </w:r>
      <w:r w:rsidRPr="00AE141E">
        <w:rPr>
          <w:rStyle w:val="FootnoteReference"/>
          <w:rFonts w:ascii="Times New Roman" w:hAnsi="Times New Roman" w:cs="Times New Roman"/>
          <w:sz w:val="24"/>
          <w:szCs w:val="24"/>
        </w:rPr>
        <w:footnoteReference w:id="435"/>
      </w:r>
      <w:r w:rsidRPr="00AE141E">
        <w:rPr>
          <w:rFonts w:ascii="Times New Roman" w:hAnsi="Times New Roman" w:cs="Times New Roman"/>
          <w:sz w:val="24"/>
          <w:szCs w:val="24"/>
        </w:rPr>
        <w:t xml:space="preserve"> Similarly, for Sharon Ellis, aged 20, the preservation and articulation of historical knowledge – in the face of British destruction of the material culture of the colonised – was an immense gesture of anti-imperialist resistance, carried across multiple generations.</w:t>
      </w:r>
      <w:r w:rsidRPr="00AE141E">
        <w:rPr>
          <w:rStyle w:val="FootnoteReference"/>
          <w:rFonts w:ascii="Times New Roman" w:hAnsi="Times New Roman" w:cs="Times New Roman"/>
          <w:sz w:val="24"/>
          <w:szCs w:val="24"/>
        </w:rPr>
        <w:footnoteReference w:id="436"/>
      </w:r>
      <w:r w:rsidRPr="00AE141E">
        <w:rPr>
          <w:rFonts w:ascii="Times New Roman" w:hAnsi="Times New Roman" w:cs="Times New Roman"/>
          <w:sz w:val="24"/>
          <w:szCs w:val="24"/>
        </w:rPr>
        <w:t xml:space="preserve"> Yet again, the historian was represented as a significant historical agent in their own right. This claim, so vital to the </w:t>
      </w:r>
      <w:r w:rsidR="00785557" w:rsidRPr="00AE141E">
        <w:rPr>
          <w:rFonts w:ascii="Times New Roman" w:hAnsi="Times New Roman" w:cs="Times New Roman"/>
          <w:sz w:val="24"/>
          <w:szCs w:val="24"/>
        </w:rPr>
        <w:t>BEM</w:t>
      </w:r>
      <w:r w:rsidRPr="00AE141E">
        <w:rPr>
          <w:rFonts w:ascii="Times New Roman" w:hAnsi="Times New Roman" w:cs="Times New Roman"/>
          <w:sz w:val="24"/>
          <w:szCs w:val="24"/>
        </w:rPr>
        <w:t>, might be seen to have gained its ultimate expression in the words of 19-year-old Derek Jones, who described prominent leaders of the civil rights movement as ‘Black historians’.</w:t>
      </w:r>
      <w:r w:rsidRPr="00AE141E">
        <w:rPr>
          <w:rStyle w:val="FootnoteReference"/>
          <w:rFonts w:ascii="Times New Roman" w:hAnsi="Times New Roman" w:cs="Times New Roman"/>
          <w:sz w:val="24"/>
          <w:szCs w:val="24"/>
        </w:rPr>
        <w:footnoteReference w:id="437"/>
      </w:r>
      <w:r w:rsidR="006045CD" w:rsidRPr="00AE141E">
        <w:rPr>
          <w:rFonts w:ascii="Times New Roman" w:hAnsi="Times New Roman" w:cs="Times New Roman"/>
          <w:sz w:val="24"/>
          <w:szCs w:val="24"/>
        </w:rPr>
        <w:t xml:space="preserve"> </w:t>
      </w:r>
    </w:p>
    <w:p w14:paraId="4654527E" w14:textId="1A1DC0A8" w:rsidR="009C6F5B" w:rsidRPr="00AE141E" w:rsidRDefault="00300EA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politics of Black history were influenced by</w:t>
      </w:r>
      <w:r w:rsidR="008351D0" w:rsidRPr="00AE141E">
        <w:rPr>
          <w:rFonts w:ascii="Times New Roman" w:hAnsi="Times New Roman" w:cs="Times New Roman"/>
          <w:sz w:val="24"/>
          <w:szCs w:val="24"/>
        </w:rPr>
        <w:t xml:space="preserve"> the Jamaican faith of Rastafari. </w:t>
      </w:r>
      <w:r w:rsidR="00865591" w:rsidRPr="00AE141E">
        <w:rPr>
          <w:rFonts w:ascii="Times New Roman" w:hAnsi="Times New Roman" w:cs="Times New Roman"/>
          <w:sz w:val="24"/>
          <w:szCs w:val="24"/>
        </w:rPr>
        <w:t>The fame of Rasta musician Bob Marley brought large numbers into contact with the religion from the beginning of the 1970s. Marley had close contact with younger members of London’s Black community during his 1972 UK tour, famously playing a spontaneous set over lunch break at Peckham Manor School in the south of the city.</w:t>
      </w:r>
      <w:r w:rsidR="00865591" w:rsidRPr="00AE141E">
        <w:rPr>
          <w:rStyle w:val="FootnoteReference"/>
          <w:rFonts w:ascii="Times New Roman" w:hAnsi="Times New Roman" w:cs="Times New Roman"/>
          <w:sz w:val="24"/>
          <w:szCs w:val="24"/>
        </w:rPr>
        <w:footnoteReference w:id="438"/>
      </w:r>
      <w:r w:rsidR="00865591" w:rsidRPr="00AE141E">
        <w:rPr>
          <w:rFonts w:ascii="Times New Roman" w:hAnsi="Times New Roman" w:cs="Times New Roman"/>
          <w:sz w:val="24"/>
          <w:szCs w:val="24"/>
        </w:rPr>
        <w:t xml:space="preserve"> Garrison, ACER’s director, posited that the embrace of Rasta formed part of a ‘reaction against assimilation’ on the part of Black youth.</w:t>
      </w:r>
      <w:r w:rsidR="00354161" w:rsidRPr="00AE141E">
        <w:rPr>
          <w:rStyle w:val="FootnoteReference"/>
          <w:rFonts w:ascii="Times New Roman" w:hAnsi="Times New Roman" w:cs="Times New Roman"/>
          <w:sz w:val="24"/>
          <w:szCs w:val="24"/>
        </w:rPr>
        <w:footnoteReference w:id="439"/>
      </w:r>
      <w:r w:rsidR="00865591" w:rsidRPr="00AE141E">
        <w:rPr>
          <w:rFonts w:ascii="Times New Roman" w:hAnsi="Times New Roman" w:cs="Times New Roman"/>
          <w:sz w:val="24"/>
          <w:szCs w:val="24"/>
        </w:rPr>
        <w:t xml:space="preserve"> Rastafari offered an opportunity for Black students to express their cultural specificity and pride, in the face of a system which denied or devalued their experiences. It encouraged </w:t>
      </w:r>
      <w:r w:rsidR="008E4D1C" w:rsidRPr="00AE141E">
        <w:rPr>
          <w:rFonts w:ascii="Times New Roman" w:hAnsi="Times New Roman" w:cs="Times New Roman"/>
          <w:sz w:val="24"/>
          <w:szCs w:val="24"/>
        </w:rPr>
        <w:t>young</w:t>
      </w:r>
      <w:r w:rsidR="00865591" w:rsidRPr="00AE141E">
        <w:rPr>
          <w:rFonts w:ascii="Times New Roman" w:hAnsi="Times New Roman" w:cs="Times New Roman"/>
          <w:sz w:val="24"/>
          <w:szCs w:val="24"/>
        </w:rPr>
        <w:t xml:space="preserve"> people to lay claim to their Blackness in a process described as the ‘freeing of a people’s personality’.</w:t>
      </w:r>
      <w:r w:rsidR="00D30CD6" w:rsidRPr="00AE141E">
        <w:rPr>
          <w:rStyle w:val="FootnoteReference"/>
          <w:rFonts w:ascii="Times New Roman" w:hAnsi="Times New Roman" w:cs="Times New Roman"/>
          <w:sz w:val="24"/>
          <w:szCs w:val="24"/>
        </w:rPr>
        <w:footnoteReference w:id="440"/>
      </w:r>
      <w:r w:rsidR="00865591" w:rsidRPr="00AE141E">
        <w:rPr>
          <w:rFonts w:ascii="Times New Roman" w:hAnsi="Times New Roman" w:cs="Times New Roman"/>
          <w:sz w:val="24"/>
          <w:szCs w:val="24"/>
        </w:rPr>
        <w:t xml:space="preserve"> The struggle for psychological freedom was framed as a battle against ‘neo-colonialism’ </w:t>
      </w:r>
      <w:r w:rsidR="007567B4" w:rsidRPr="00AE141E">
        <w:rPr>
          <w:rFonts w:ascii="Times New Roman" w:hAnsi="Times New Roman" w:cs="Times New Roman"/>
          <w:sz w:val="24"/>
          <w:szCs w:val="24"/>
        </w:rPr>
        <w:t xml:space="preserve">– defined, in this instance, as </w:t>
      </w:r>
      <w:r w:rsidR="00865591" w:rsidRPr="00AE141E">
        <w:rPr>
          <w:rFonts w:ascii="Times New Roman" w:hAnsi="Times New Roman" w:cs="Times New Roman"/>
          <w:sz w:val="24"/>
          <w:szCs w:val="24"/>
        </w:rPr>
        <w:t>the internalisation of the White</w:t>
      </w:r>
      <w:r w:rsidR="00EF7FF4" w:rsidRPr="00AE141E">
        <w:rPr>
          <w:rFonts w:ascii="Times New Roman" w:hAnsi="Times New Roman" w:cs="Times New Roman"/>
          <w:sz w:val="24"/>
          <w:szCs w:val="24"/>
        </w:rPr>
        <w:t xml:space="preserve"> </w:t>
      </w:r>
      <w:r w:rsidR="00865591" w:rsidRPr="00AE141E">
        <w:rPr>
          <w:rFonts w:ascii="Times New Roman" w:hAnsi="Times New Roman" w:cs="Times New Roman"/>
          <w:sz w:val="24"/>
          <w:szCs w:val="24"/>
        </w:rPr>
        <w:lastRenderedPageBreak/>
        <w:t>supremacist logics of empire and slavery.</w:t>
      </w:r>
      <w:r w:rsidR="001C3590" w:rsidRPr="00AE141E">
        <w:rPr>
          <w:rFonts w:ascii="Times New Roman" w:hAnsi="Times New Roman" w:cs="Times New Roman"/>
          <w:sz w:val="24"/>
          <w:szCs w:val="24"/>
        </w:rPr>
        <w:t xml:space="preserve"> </w:t>
      </w:r>
      <w:r w:rsidR="00865591" w:rsidRPr="00AE141E">
        <w:rPr>
          <w:rFonts w:ascii="Times New Roman" w:hAnsi="Times New Roman" w:cs="Times New Roman"/>
          <w:sz w:val="24"/>
          <w:szCs w:val="24"/>
        </w:rPr>
        <w:t>Rastas</w:t>
      </w:r>
      <w:r w:rsidR="007567B4" w:rsidRPr="00AE141E">
        <w:rPr>
          <w:rFonts w:ascii="Times New Roman" w:hAnsi="Times New Roman" w:cs="Times New Roman"/>
          <w:sz w:val="24"/>
          <w:szCs w:val="24"/>
        </w:rPr>
        <w:t xml:space="preserve"> </w:t>
      </w:r>
      <w:r w:rsidR="00865591" w:rsidRPr="00AE141E">
        <w:rPr>
          <w:rFonts w:ascii="Times New Roman" w:hAnsi="Times New Roman" w:cs="Times New Roman"/>
          <w:sz w:val="24"/>
          <w:szCs w:val="24"/>
        </w:rPr>
        <w:t>mobilised a distinctive historical sensibility in pursuit of this goal.</w:t>
      </w:r>
      <w:r w:rsidR="00572954" w:rsidRPr="00AE141E">
        <w:rPr>
          <w:rFonts w:ascii="Times New Roman" w:hAnsi="Times New Roman" w:cs="Times New Roman"/>
          <w:sz w:val="24"/>
          <w:szCs w:val="24"/>
        </w:rPr>
        <w:t xml:space="preserve"> </w:t>
      </w:r>
      <w:r w:rsidR="00287D06" w:rsidRPr="00AE141E">
        <w:rPr>
          <w:rFonts w:ascii="Times New Roman" w:hAnsi="Times New Roman" w:cs="Times New Roman"/>
          <w:sz w:val="24"/>
          <w:szCs w:val="24"/>
        </w:rPr>
        <w:t>The movement</w:t>
      </w:r>
      <w:r w:rsidR="00865591" w:rsidRPr="00AE141E">
        <w:rPr>
          <w:rFonts w:ascii="Times New Roman" w:hAnsi="Times New Roman" w:cs="Times New Roman"/>
          <w:sz w:val="24"/>
          <w:szCs w:val="24"/>
        </w:rPr>
        <w:t xml:space="preserve"> stressed historical continuity in defiance of the displacement and fragmentation wrought by slavery</w:t>
      </w:r>
      <w:r w:rsidR="00287D06" w:rsidRPr="00AE141E">
        <w:rPr>
          <w:rFonts w:ascii="Times New Roman" w:hAnsi="Times New Roman" w:cs="Times New Roman"/>
          <w:sz w:val="24"/>
          <w:szCs w:val="24"/>
        </w:rPr>
        <w:t xml:space="preserve">. It also contested </w:t>
      </w:r>
      <w:r w:rsidR="00865591" w:rsidRPr="00AE141E">
        <w:rPr>
          <w:rFonts w:ascii="Times New Roman" w:hAnsi="Times New Roman" w:cs="Times New Roman"/>
          <w:sz w:val="24"/>
          <w:szCs w:val="24"/>
        </w:rPr>
        <w:t xml:space="preserve">the </w:t>
      </w:r>
      <w:r w:rsidR="00287D06" w:rsidRPr="00AE141E">
        <w:rPr>
          <w:rFonts w:ascii="Times New Roman" w:hAnsi="Times New Roman" w:cs="Times New Roman"/>
          <w:sz w:val="24"/>
          <w:szCs w:val="24"/>
        </w:rPr>
        <w:t>historiographical</w:t>
      </w:r>
      <w:r w:rsidR="0044795E" w:rsidRPr="00AE141E">
        <w:rPr>
          <w:rFonts w:ascii="Times New Roman" w:hAnsi="Times New Roman" w:cs="Times New Roman"/>
          <w:sz w:val="24"/>
          <w:szCs w:val="24"/>
        </w:rPr>
        <w:t xml:space="preserve"> assumption</w:t>
      </w:r>
      <w:r w:rsidR="00EA0D16" w:rsidRPr="00AE141E">
        <w:rPr>
          <w:rFonts w:ascii="Times New Roman" w:hAnsi="Times New Roman" w:cs="Times New Roman"/>
          <w:sz w:val="24"/>
          <w:szCs w:val="24"/>
        </w:rPr>
        <w:t>, infamously expressed by Hugh Trevor-Roper,</w:t>
      </w:r>
      <w:r w:rsidR="0044795E" w:rsidRPr="00AE141E">
        <w:rPr>
          <w:rFonts w:ascii="Times New Roman" w:hAnsi="Times New Roman" w:cs="Times New Roman"/>
          <w:sz w:val="24"/>
          <w:szCs w:val="24"/>
        </w:rPr>
        <w:t xml:space="preserve"> </w:t>
      </w:r>
      <w:r w:rsidR="00865591" w:rsidRPr="00AE141E">
        <w:rPr>
          <w:rFonts w:ascii="Times New Roman" w:hAnsi="Times New Roman" w:cs="Times New Roman"/>
          <w:sz w:val="24"/>
          <w:szCs w:val="24"/>
        </w:rPr>
        <w:t>that Africa</w:t>
      </w:r>
      <w:r w:rsidR="00EA0D16" w:rsidRPr="00AE141E">
        <w:rPr>
          <w:rFonts w:ascii="Times New Roman" w:hAnsi="Times New Roman" w:cs="Times New Roman"/>
          <w:sz w:val="24"/>
          <w:szCs w:val="24"/>
        </w:rPr>
        <w:t>n</w:t>
      </w:r>
      <w:r w:rsidR="00865591" w:rsidRPr="00AE141E">
        <w:rPr>
          <w:rFonts w:ascii="Times New Roman" w:hAnsi="Times New Roman" w:cs="Times New Roman"/>
          <w:sz w:val="24"/>
          <w:szCs w:val="24"/>
        </w:rPr>
        <w:t xml:space="preserve"> history be</w:t>
      </w:r>
      <w:r w:rsidR="00EA0D16" w:rsidRPr="00AE141E">
        <w:rPr>
          <w:rFonts w:ascii="Times New Roman" w:hAnsi="Times New Roman" w:cs="Times New Roman"/>
          <w:sz w:val="24"/>
          <w:szCs w:val="24"/>
        </w:rPr>
        <w:t>gan only with</w:t>
      </w:r>
      <w:r w:rsidR="00865591" w:rsidRPr="00AE141E">
        <w:rPr>
          <w:rFonts w:ascii="Times New Roman" w:hAnsi="Times New Roman" w:cs="Times New Roman"/>
          <w:sz w:val="24"/>
          <w:szCs w:val="24"/>
        </w:rPr>
        <w:t xml:space="preserve"> the arrival of Europeans.</w:t>
      </w:r>
      <w:r w:rsidR="006C5338" w:rsidRPr="00AE141E">
        <w:rPr>
          <w:rStyle w:val="FootnoteReference"/>
          <w:rFonts w:ascii="Times New Roman" w:hAnsi="Times New Roman" w:cs="Times New Roman"/>
          <w:sz w:val="24"/>
          <w:szCs w:val="24"/>
        </w:rPr>
        <w:footnoteReference w:id="441"/>
      </w:r>
      <w:r w:rsidR="00865591" w:rsidRPr="00AE141E">
        <w:rPr>
          <w:rFonts w:ascii="Times New Roman" w:hAnsi="Times New Roman" w:cs="Times New Roman"/>
          <w:sz w:val="24"/>
          <w:szCs w:val="24"/>
        </w:rPr>
        <w:t xml:space="preserve"> As Garrison put it, Rastas sought to ‘reaffirm their place as true Africans despite four centuries [in exile] under an assumed identity’.</w:t>
      </w:r>
      <w:r w:rsidR="00865591" w:rsidRPr="00AE141E">
        <w:rPr>
          <w:rStyle w:val="FootnoteReference"/>
          <w:rFonts w:ascii="Times New Roman" w:hAnsi="Times New Roman" w:cs="Times New Roman"/>
          <w:sz w:val="24"/>
          <w:szCs w:val="24"/>
        </w:rPr>
        <w:footnoteReference w:id="442"/>
      </w:r>
      <w:r w:rsidR="00865591" w:rsidRPr="00AE141E">
        <w:rPr>
          <w:rFonts w:ascii="Times New Roman" w:hAnsi="Times New Roman" w:cs="Times New Roman"/>
          <w:sz w:val="24"/>
          <w:szCs w:val="24"/>
        </w:rPr>
        <w:t xml:space="preserve"> </w:t>
      </w:r>
    </w:p>
    <w:p w14:paraId="2841A79F" w14:textId="0470266B" w:rsidR="00B92C8F" w:rsidRPr="00AE141E" w:rsidRDefault="0086559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Leander was in step with this tradition when she argued that ‘what […] makes a Black person Black is understanding and loving our culture which, contrary to popular beliefs and stereotypes, is a fine one that goes back many thousands of years’.</w:t>
      </w:r>
      <w:r w:rsidRPr="00AE141E">
        <w:rPr>
          <w:rStyle w:val="FootnoteReference"/>
          <w:rFonts w:ascii="Times New Roman" w:hAnsi="Times New Roman" w:cs="Times New Roman"/>
          <w:sz w:val="24"/>
          <w:szCs w:val="24"/>
        </w:rPr>
        <w:footnoteReference w:id="443"/>
      </w:r>
      <w:r w:rsidR="00FC7F35" w:rsidRPr="00AE141E">
        <w:rPr>
          <w:rFonts w:ascii="Times New Roman" w:hAnsi="Times New Roman" w:cs="Times New Roman"/>
          <w:sz w:val="24"/>
          <w:szCs w:val="24"/>
        </w:rPr>
        <w:t xml:space="preserve"> </w:t>
      </w:r>
      <w:r w:rsidR="000A52EC" w:rsidRPr="00AE141E">
        <w:rPr>
          <w:rFonts w:ascii="Times New Roman" w:hAnsi="Times New Roman" w:cs="Times New Roman"/>
          <w:sz w:val="24"/>
          <w:szCs w:val="24"/>
        </w:rPr>
        <w:t xml:space="preserve">The theme of rootedness in an enduring African heritage, so prevalent in </w:t>
      </w:r>
      <w:r w:rsidR="000A52EC" w:rsidRPr="00AE141E">
        <w:rPr>
          <w:rFonts w:ascii="Times New Roman" w:hAnsi="Times New Roman" w:cs="Times New Roman"/>
          <w:i/>
          <w:sz w:val="24"/>
          <w:szCs w:val="24"/>
        </w:rPr>
        <w:t>Black Voices</w:t>
      </w:r>
      <w:r w:rsidR="000A52EC" w:rsidRPr="00AE141E">
        <w:rPr>
          <w:rFonts w:ascii="Times New Roman" w:hAnsi="Times New Roman" w:cs="Times New Roman"/>
          <w:sz w:val="24"/>
          <w:szCs w:val="24"/>
        </w:rPr>
        <w:t xml:space="preserve">, </w:t>
      </w:r>
      <w:r w:rsidR="009E7540" w:rsidRPr="00AE141E">
        <w:rPr>
          <w:rFonts w:ascii="Times New Roman" w:hAnsi="Times New Roman" w:cs="Times New Roman"/>
          <w:sz w:val="24"/>
          <w:szCs w:val="24"/>
        </w:rPr>
        <w:t>also</w:t>
      </w:r>
      <w:r w:rsidR="00316AF8" w:rsidRPr="00AE141E">
        <w:rPr>
          <w:rFonts w:ascii="Times New Roman" w:hAnsi="Times New Roman" w:cs="Times New Roman"/>
          <w:sz w:val="24"/>
          <w:szCs w:val="24"/>
        </w:rPr>
        <w:t xml:space="preserve"> </w:t>
      </w:r>
      <w:r w:rsidR="00391650" w:rsidRPr="00AE141E">
        <w:rPr>
          <w:rFonts w:ascii="Times New Roman" w:hAnsi="Times New Roman" w:cs="Times New Roman"/>
          <w:sz w:val="24"/>
          <w:szCs w:val="24"/>
        </w:rPr>
        <w:t>reflects the</w:t>
      </w:r>
      <w:r w:rsidR="00EB10EF" w:rsidRPr="00AE141E">
        <w:rPr>
          <w:rFonts w:ascii="Times New Roman" w:hAnsi="Times New Roman" w:cs="Times New Roman"/>
          <w:sz w:val="24"/>
          <w:szCs w:val="24"/>
        </w:rPr>
        <w:t xml:space="preserve"> massive cultural</w:t>
      </w:r>
      <w:r w:rsidR="00391650" w:rsidRPr="00AE141E">
        <w:rPr>
          <w:rFonts w:ascii="Times New Roman" w:hAnsi="Times New Roman" w:cs="Times New Roman"/>
          <w:sz w:val="24"/>
          <w:szCs w:val="24"/>
        </w:rPr>
        <w:t xml:space="preserve"> impact</w:t>
      </w:r>
      <w:r w:rsidR="00316AF8" w:rsidRPr="00AE141E">
        <w:rPr>
          <w:rFonts w:ascii="Times New Roman" w:hAnsi="Times New Roman" w:cs="Times New Roman"/>
          <w:sz w:val="24"/>
          <w:szCs w:val="24"/>
        </w:rPr>
        <w:t xml:space="preserve"> of Alex Haley’s novel, </w:t>
      </w:r>
      <w:r w:rsidR="00316AF8" w:rsidRPr="00AE141E">
        <w:rPr>
          <w:rFonts w:ascii="Times New Roman" w:hAnsi="Times New Roman" w:cs="Times New Roman"/>
          <w:i/>
          <w:sz w:val="24"/>
          <w:szCs w:val="24"/>
        </w:rPr>
        <w:t xml:space="preserve">Roots: The Saga of an American Family, </w:t>
      </w:r>
      <w:r w:rsidR="00316AF8" w:rsidRPr="00AE141E">
        <w:rPr>
          <w:rFonts w:ascii="Times New Roman" w:hAnsi="Times New Roman" w:cs="Times New Roman"/>
          <w:sz w:val="24"/>
          <w:szCs w:val="24"/>
        </w:rPr>
        <w:t xml:space="preserve">and its televised serialisation (1976 and 1977, respectively). </w:t>
      </w:r>
      <w:r w:rsidR="00B92C8F" w:rsidRPr="00AE141E">
        <w:rPr>
          <w:rFonts w:ascii="Times New Roman" w:hAnsi="Times New Roman" w:cs="Times New Roman"/>
          <w:sz w:val="24"/>
          <w:szCs w:val="24"/>
        </w:rPr>
        <w:t>J. Ellis, aged 23, framed their essay as an explicit response</w:t>
      </w:r>
      <w:r w:rsidR="00C34002" w:rsidRPr="00AE141E">
        <w:rPr>
          <w:rFonts w:ascii="Times New Roman" w:hAnsi="Times New Roman" w:cs="Times New Roman"/>
          <w:sz w:val="24"/>
          <w:szCs w:val="24"/>
        </w:rPr>
        <w:t xml:space="preserve"> to</w:t>
      </w:r>
      <w:r w:rsidR="00316AF8" w:rsidRPr="00AE141E">
        <w:rPr>
          <w:rFonts w:ascii="Times New Roman" w:hAnsi="Times New Roman" w:cs="Times New Roman"/>
          <w:sz w:val="24"/>
          <w:szCs w:val="24"/>
        </w:rPr>
        <w:t xml:space="preserve"> Haley’s work.</w:t>
      </w:r>
      <w:r w:rsidR="00B92C8F" w:rsidRPr="00AE141E">
        <w:rPr>
          <w:rFonts w:ascii="Times New Roman" w:hAnsi="Times New Roman" w:cs="Times New Roman"/>
          <w:sz w:val="24"/>
          <w:szCs w:val="24"/>
        </w:rPr>
        <w:t xml:space="preserve"> Ellis complained of the bastardisation of the concept of ‘roots’ in the years immediately following the popular adaptation. They </w:t>
      </w:r>
      <w:r w:rsidR="00D212A6" w:rsidRPr="00AE141E">
        <w:rPr>
          <w:rFonts w:ascii="Times New Roman" w:hAnsi="Times New Roman" w:cs="Times New Roman"/>
          <w:sz w:val="24"/>
          <w:szCs w:val="24"/>
        </w:rPr>
        <w:t>claimed</w:t>
      </w:r>
      <w:r w:rsidR="00B92C8F" w:rsidRPr="00AE141E">
        <w:rPr>
          <w:rFonts w:ascii="Times New Roman" w:hAnsi="Times New Roman" w:cs="Times New Roman"/>
          <w:sz w:val="24"/>
          <w:szCs w:val="24"/>
        </w:rPr>
        <w:t xml:space="preserve"> that ‘the whole world is [suddenly] searching for their roots’, and that a ‘new industry’ had sprung up to cater for the phenomenon, referring to the ‘genealogy boom’ which followed the series’ release.</w:t>
      </w:r>
      <w:r w:rsidR="00B92C8F" w:rsidRPr="00AE141E">
        <w:rPr>
          <w:rStyle w:val="FootnoteReference"/>
          <w:rFonts w:ascii="Times New Roman" w:hAnsi="Times New Roman" w:cs="Times New Roman"/>
          <w:sz w:val="24"/>
          <w:szCs w:val="24"/>
        </w:rPr>
        <w:footnoteReference w:id="444"/>
      </w:r>
      <w:r w:rsidR="00B92C8F" w:rsidRPr="00AE141E">
        <w:rPr>
          <w:rFonts w:ascii="Times New Roman" w:hAnsi="Times New Roman" w:cs="Times New Roman"/>
          <w:sz w:val="24"/>
          <w:szCs w:val="24"/>
        </w:rPr>
        <w:t xml:space="preserve"> Ellis sought to rescue the concept of ‘roots’ from the flattening effect of over-familiarisation, arguing that for Black people especially, it must be ‘guarded jealously and fully understood’. </w:t>
      </w:r>
    </w:p>
    <w:p w14:paraId="6AB611F4" w14:textId="4207C8B6" w:rsidR="0069735E" w:rsidRPr="00AE141E" w:rsidRDefault="002245D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concepts of roots and rootedness </w:t>
      </w:r>
      <w:r w:rsidR="00337971">
        <w:rPr>
          <w:rFonts w:ascii="Times New Roman" w:hAnsi="Times New Roman" w:cs="Times New Roman"/>
          <w:sz w:val="24"/>
          <w:szCs w:val="24"/>
        </w:rPr>
        <w:t>were</w:t>
      </w:r>
      <w:r w:rsidRPr="00AE141E">
        <w:rPr>
          <w:rFonts w:ascii="Times New Roman" w:hAnsi="Times New Roman" w:cs="Times New Roman"/>
          <w:sz w:val="24"/>
          <w:szCs w:val="24"/>
        </w:rPr>
        <w:t xml:space="preserve"> translated to the cultural specificity of the British context</w:t>
      </w:r>
      <w:r w:rsidR="005758DF" w:rsidRPr="00AE141E">
        <w:rPr>
          <w:rFonts w:ascii="Times New Roman" w:hAnsi="Times New Roman" w:cs="Times New Roman"/>
          <w:sz w:val="24"/>
          <w:szCs w:val="24"/>
        </w:rPr>
        <w:t xml:space="preserve">. </w:t>
      </w:r>
      <w:r w:rsidR="0069735E" w:rsidRPr="00AE141E">
        <w:rPr>
          <w:rFonts w:ascii="Times New Roman" w:hAnsi="Times New Roman" w:cs="Times New Roman"/>
          <w:sz w:val="24"/>
          <w:szCs w:val="24"/>
        </w:rPr>
        <w:t xml:space="preserve">The assertion of ownership over a Black Britishness with deep historical roots entered into some young people’s writing. This is particularly noticeable in Leonard (Levi </w:t>
      </w:r>
      <w:r w:rsidR="0069735E" w:rsidRPr="00AE141E">
        <w:rPr>
          <w:rFonts w:ascii="Times New Roman" w:hAnsi="Times New Roman" w:cs="Times New Roman"/>
          <w:sz w:val="24"/>
          <w:szCs w:val="24"/>
        </w:rPr>
        <w:lastRenderedPageBreak/>
        <w:t>Tafari) Kelly’s response to the prom</w:t>
      </w:r>
      <w:r w:rsidR="00093D5E" w:rsidRPr="00AE141E">
        <w:rPr>
          <w:rFonts w:ascii="Times New Roman" w:hAnsi="Times New Roman" w:cs="Times New Roman"/>
          <w:sz w:val="24"/>
          <w:szCs w:val="24"/>
        </w:rPr>
        <w:t xml:space="preserve">pt ‘Black </w:t>
      </w:r>
      <w:r w:rsidR="004A3FC2" w:rsidRPr="00AE141E">
        <w:rPr>
          <w:rFonts w:ascii="Times New Roman" w:hAnsi="Times New Roman" w:cs="Times New Roman"/>
          <w:sz w:val="24"/>
          <w:szCs w:val="24"/>
        </w:rPr>
        <w:t>R</w:t>
      </w:r>
      <w:r w:rsidR="00093D5E" w:rsidRPr="00AE141E">
        <w:rPr>
          <w:rFonts w:ascii="Times New Roman" w:hAnsi="Times New Roman" w:cs="Times New Roman"/>
          <w:sz w:val="24"/>
          <w:szCs w:val="24"/>
        </w:rPr>
        <w:t>oots in Babylon’, which included the following passage:</w:t>
      </w:r>
    </w:p>
    <w:p w14:paraId="35F203DD" w14:textId="3056BE76" w:rsidR="00093D5E" w:rsidRPr="00AE141E" w:rsidRDefault="00093D5E"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Now the roots of Black culture is here</w:t>
      </w:r>
    </w:p>
    <w:p w14:paraId="3D12CFF6" w14:textId="4A2FA6B5" w:rsidR="00093D5E" w:rsidRPr="00AE141E" w:rsidRDefault="00093D5E"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So Babylonians you better take care</w:t>
      </w:r>
    </w:p>
    <w:p w14:paraId="6A57E98A" w14:textId="093E74BF" w:rsidR="00093D5E" w:rsidRPr="00AE141E" w:rsidRDefault="00093D5E"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Cause we help build up your land and now we want our share.</w:t>
      </w:r>
    </w:p>
    <w:p w14:paraId="074E73D6" w14:textId="49CAD64B" w:rsidR="00093D5E" w:rsidRPr="00AE141E" w:rsidRDefault="00093D5E"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So give us our African atmosphere […]</w:t>
      </w:r>
    </w:p>
    <w:p w14:paraId="5E191A14" w14:textId="712BBD5E" w:rsidR="00093D5E" w:rsidRPr="00AE141E" w:rsidRDefault="00093D5E"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A cultural education for all Black youths</w:t>
      </w:r>
    </w:p>
    <w:p w14:paraId="22E1C856" w14:textId="2B62DE65" w:rsidR="00093D5E" w:rsidRPr="00AE141E" w:rsidRDefault="00093D5E"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Not a selfish education to make them brutes </w:t>
      </w:r>
      <w:r w:rsidRPr="00AE141E">
        <w:rPr>
          <w:rStyle w:val="FootnoteReference"/>
          <w:rFonts w:ascii="Times New Roman" w:hAnsi="Times New Roman" w:cs="Times New Roman"/>
          <w:sz w:val="24"/>
          <w:szCs w:val="24"/>
        </w:rPr>
        <w:footnoteReference w:id="445"/>
      </w:r>
    </w:p>
    <w:p w14:paraId="4BE0F116" w14:textId="2E8019C7" w:rsidR="00093D5E" w:rsidRPr="00AE141E" w:rsidRDefault="00843B1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For Kelly, Blackness and Britishness were irreversibly entwined by the forces of slavery and colonisation. </w:t>
      </w:r>
      <w:r w:rsidR="00431F90" w:rsidRPr="00AE141E">
        <w:rPr>
          <w:rFonts w:ascii="Times New Roman" w:hAnsi="Times New Roman" w:cs="Times New Roman"/>
          <w:sz w:val="24"/>
          <w:szCs w:val="24"/>
        </w:rPr>
        <w:t>The coerced labour of Black people was the foundation of modern British wealth</w:t>
      </w:r>
      <w:r w:rsidR="0020489F" w:rsidRPr="00AE141E">
        <w:rPr>
          <w:rFonts w:ascii="Times New Roman" w:hAnsi="Times New Roman" w:cs="Times New Roman"/>
          <w:sz w:val="24"/>
          <w:szCs w:val="24"/>
        </w:rPr>
        <w:t xml:space="preserve">. </w:t>
      </w:r>
      <w:r w:rsidR="00431F90" w:rsidRPr="00AE141E">
        <w:rPr>
          <w:rFonts w:ascii="Times New Roman" w:hAnsi="Times New Roman" w:cs="Times New Roman"/>
          <w:sz w:val="24"/>
          <w:szCs w:val="24"/>
        </w:rPr>
        <w:t>Black people therefore had a unique claim to live a rich and dignified life in ‘Babylon’</w:t>
      </w:r>
      <w:r w:rsidR="00E66707" w:rsidRPr="00AE141E">
        <w:rPr>
          <w:rFonts w:ascii="Times New Roman" w:hAnsi="Times New Roman" w:cs="Times New Roman"/>
          <w:sz w:val="24"/>
          <w:szCs w:val="24"/>
        </w:rPr>
        <w:t xml:space="preserve"> – on their own terms, and in defiance of any attempts to sever them from a culture rooted in resistance against racist dehumanisation.</w:t>
      </w:r>
    </w:p>
    <w:p w14:paraId="76FBA21B" w14:textId="4A2E0BC1" w:rsidR="00065B1F" w:rsidRPr="00AE141E" w:rsidRDefault="00E87AB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use of history to claim a Black, British identity was not universal. </w:t>
      </w:r>
      <w:r w:rsidR="00C62F24" w:rsidRPr="00AE141E">
        <w:rPr>
          <w:rFonts w:ascii="Times New Roman" w:hAnsi="Times New Roman" w:cs="Times New Roman"/>
          <w:sz w:val="24"/>
          <w:szCs w:val="24"/>
        </w:rPr>
        <w:t xml:space="preserve">Indeed, some young people envisaged their ownership of a richly historicised Blackness as a disavowal of the influence of White Britishness/Englishness and its supposedly barren historical sensibility. </w:t>
      </w:r>
      <w:r w:rsidR="00FE438E" w:rsidRPr="00AE141E">
        <w:rPr>
          <w:rFonts w:ascii="Times New Roman" w:hAnsi="Times New Roman" w:cs="Times New Roman"/>
          <w:sz w:val="24"/>
          <w:szCs w:val="24"/>
        </w:rPr>
        <w:t>Blackness and Britishness</w:t>
      </w:r>
      <w:r w:rsidR="004505FE" w:rsidRPr="00AE141E">
        <w:rPr>
          <w:rFonts w:ascii="Times New Roman" w:hAnsi="Times New Roman" w:cs="Times New Roman"/>
          <w:sz w:val="24"/>
          <w:szCs w:val="24"/>
        </w:rPr>
        <w:t xml:space="preserve"> were occasionally portrayed as mutually hostile</w:t>
      </w:r>
      <w:r w:rsidR="00150C44" w:rsidRPr="00AE141E">
        <w:rPr>
          <w:rFonts w:ascii="Times New Roman" w:hAnsi="Times New Roman" w:cs="Times New Roman"/>
          <w:sz w:val="24"/>
          <w:szCs w:val="24"/>
        </w:rPr>
        <w:t xml:space="preserve"> but mutually influential</w:t>
      </w:r>
      <w:r w:rsidR="00840A72" w:rsidRPr="00AE141E">
        <w:rPr>
          <w:rFonts w:ascii="Times New Roman" w:hAnsi="Times New Roman" w:cs="Times New Roman"/>
          <w:sz w:val="24"/>
          <w:szCs w:val="24"/>
        </w:rPr>
        <w:t xml:space="preserve"> – each defined in opposition to the other. </w:t>
      </w:r>
      <w:r w:rsidR="004B0B96" w:rsidRPr="00AE141E">
        <w:rPr>
          <w:rFonts w:ascii="Times New Roman" w:hAnsi="Times New Roman" w:cs="Times New Roman"/>
          <w:sz w:val="24"/>
          <w:szCs w:val="24"/>
        </w:rPr>
        <w:t>Sharon Ellis</w:t>
      </w:r>
      <w:r w:rsidR="003149DA" w:rsidRPr="00AE141E">
        <w:rPr>
          <w:rFonts w:ascii="Times New Roman" w:hAnsi="Times New Roman" w:cs="Times New Roman"/>
          <w:sz w:val="24"/>
          <w:szCs w:val="24"/>
        </w:rPr>
        <w:t xml:space="preserve"> </w:t>
      </w:r>
      <w:r w:rsidR="00065B1F" w:rsidRPr="00AE141E">
        <w:rPr>
          <w:rFonts w:ascii="Times New Roman" w:hAnsi="Times New Roman" w:cs="Times New Roman"/>
          <w:sz w:val="24"/>
          <w:szCs w:val="24"/>
        </w:rPr>
        <w:t>identified a</w:t>
      </w:r>
      <w:r w:rsidR="00DA644D" w:rsidRPr="00AE141E">
        <w:rPr>
          <w:rFonts w:ascii="Times New Roman" w:hAnsi="Times New Roman" w:cs="Times New Roman"/>
          <w:sz w:val="24"/>
          <w:szCs w:val="24"/>
        </w:rPr>
        <w:t xml:space="preserve"> commonplace</w:t>
      </w:r>
      <w:r w:rsidR="00065B1F" w:rsidRPr="00AE141E">
        <w:rPr>
          <w:rFonts w:ascii="Times New Roman" w:hAnsi="Times New Roman" w:cs="Times New Roman"/>
          <w:sz w:val="24"/>
          <w:szCs w:val="24"/>
        </w:rPr>
        <w:t xml:space="preserve"> </w:t>
      </w:r>
      <w:r w:rsidR="000A52C5" w:rsidRPr="00AE141E">
        <w:rPr>
          <w:rFonts w:ascii="Times New Roman" w:hAnsi="Times New Roman" w:cs="Times New Roman"/>
          <w:sz w:val="24"/>
          <w:szCs w:val="24"/>
        </w:rPr>
        <w:t>sense</w:t>
      </w:r>
      <w:r w:rsidR="00DA644D" w:rsidRPr="00AE141E">
        <w:rPr>
          <w:rFonts w:ascii="Times New Roman" w:hAnsi="Times New Roman" w:cs="Times New Roman"/>
          <w:sz w:val="24"/>
          <w:szCs w:val="24"/>
        </w:rPr>
        <w:t xml:space="preserve"> of contradiction</w:t>
      </w:r>
      <w:r w:rsidR="00065B1F" w:rsidRPr="00AE141E">
        <w:rPr>
          <w:rFonts w:ascii="Times New Roman" w:hAnsi="Times New Roman" w:cs="Times New Roman"/>
          <w:sz w:val="24"/>
          <w:szCs w:val="24"/>
        </w:rPr>
        <w:t xml:space="preserve"> between legal nationality, represented by </w:t>
      </w:r>
      <w:r w:rsidR="000A52C5" w:rsidRPr="00AE141E">
        <w:rPr>
          <w:rFonts w:ascii="Times New Roman" w:hAnsi="Times New Roman" w:cs="Times New Roman"/>
          <w:sz w:val="24"/>
          <w:szCs w:val="24"/>
        </w:rPr>
        <w:t>a</w:t>
      </w:r>
      <w:r w:rsidR="00065B1F" w:rsidRPr="00AE141E">
        <w:rPr>
          <w:rFonts w:ascii="Times New Roman" w:hAnsi="Times New Roman" w:cs="Times New Roman"/>
          <w:sz w:val="24"/>
          <w:szCs w:val="24"/>
        </w:rPr>
        <w:t xml:space="preserve"> British passport, and </w:t>
      </w:r>
      <w:r w:rsidR="000A52C5" w:rsidRPr="00AE141E">
        <w:rPr>
          <w:rFonts w:ascii="Times New Roman" w:hAnsi="Times New Roman" w:cs="Times New Roman"/>
          <w:sz w:val="24"/>
          <w:szCs w:val="24"/>
        </w:rPr>
        <w:t>an individual’s</w:t>
      </w:r>
      <w:r w:rsidR="00065B1F" w:rsidRPr="00AE141E">
        <w:rPr>
          <w:rFonts w:ascii="Times New Roman" w:hAnsi="Times New Roman" w:cs="Times New Roman"/>
          <w:sz w:val="24"/>
          <w:szCs w:val="24"/>
        </w:rPr>
        <w:t xml:space="preserve"> </w:t>
      </w:r>
      <w:r w:rsidR="000A52C5" w:rsidRPr="00AE141E">
        <w:rPr>
          <w:rFonts w:ascii="Times New Roman" w:hAnsi="Times New Roman" w:cs="Times New Roman"/>
          <w:sz w:val="24"/>
          <w:szCs w:val="24"/>
        </w:rPr>
        <w:t>subjective experience</w:t>
      </w:r>
      <w:r w:rsidR="00065B1F" w:rsidRPr="00AE141E">
        <w:rPr>
          <w:rFonts w:ascii="Times New Roman" w:hAnsi="Times New Roman" w:cs="Times New Roman"/>
          <w:sz w:val="24"/>
          <w:szCs w:val="24"/>
        </w:rPr>
        <w:t xml:space="preserve"> of national identity.</w:t>
      </w:r>
      <w:r w:rsidR="00FE438E" w:rsidRPr="00AE141E">
        <w:rPr>
          <w:rStyle w:val="FootnoteReference"/>
          <w:rFonts w:ascii="Times New Roman" w:hAnsi="Times New Roman" w:cs="Times New Roman"/>
          <w:sz w:val="24"/>
          <w:szCs w:val="24"/>
        </w:rPr>
        <w:footnoteReference w:id="446"/>
      </w:r>
      <w:r w:rsidR="00065B1F" w:rsidRPr="00AE141E">
        <w:rPr>
          <w:rFonts w:ascii="Times New Roman" w:hAnsi="Times New Roman" w:cs="Times New Roman"/>
          <w:sz w:val="24"/>
          <w:szCs w:val="24"/>
        </w:rPr>
        <w:t xml:space="preserve"> </w:t>
      </w:r>
      <w:r w:rsidR="00DA644D" w:rsidRPr="00AE141E">
        <w:rPr>
          <w:rFonts w:ascii="Times New Roman" w:hAnsi="Times New Roman" w:cs="Times New Roman"/>
          <w:sz w:val="24"/>
          <w:szCs w:val="24"/>
        </w:rPr>
        <w:t>She noted that</w:t>
      </w:r>
      <w:r w:rsidR="00065B1F" w:rsidRPr="00AE141E">
        <w:rPr>
          <w:rFonts w:ascii="Times New Roman" w:hAnsi="Times New Roman" w:cs="Times New Roman"/>
          <w:sz w:val="24"/>
          <w:szCs w:val="24"/>
        </w:rPr>
        <w:t xml:space="preserve"> contemporaries were hesitant to describe themselves as British when Britishness was an identity so heavily tied to White supremacy and to a negation of other histories and cultures. To claim the pan-African historical tradition of Marcus Garvey was, for Ellis, an answer to British demands that she be ‘shipped back to the jungle’.</w:t>
      </w:r>
    </w:p>
    <w:p w14:paraId="33103DD6" w14:textId="66BB1C78" w:rsidR="00E87AB2" w:rsidRPr="00AE141E" w:rsidRDefault="00250C8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There are two </w:t>
      </w:r>
      <w:r w:rsidR="00E21C94" w:rsidRPr="00AE141E">
        <w:rPr>
          <w:rFonts w:ascii="Times New Roman" w:hAnsi="Times New Roman" w:cs="Times New Roman"/>
          <w:sz w:val="24"/>
          <w:szCs w:val="24"/>
        </w:rPr>
        <w:t>essays in the</w:t>
      </w:r>
      <w:r w:rsidR="00EC75CB" w:rsidRPr="00AE141E">
        <w:rPr>
          <w:rFonts w:ascii="Times New Roman" w:hAnsi="Times New Roman" w:cs="Times New Roman"/>
          <w:sz w:val="24"/>
          <w:szCs w:val="24"/>
        </w:rPr>
        <w:t xml:space="preserve"> </w:t>
      </w:r>
      <w:r w:rsidR="00EC75CB" w:rsidRPr="00AE141E">
        <w:rPr>
          <w:rFonts w:ascii="Times New Roman" w:hAnsi="Times New Roman" w:cs="Times New Roman"/>
          <w:i/>
          <w:sz w:val="24"/>
          <w:szCs w:val="24"/>
        </w:rPr>
        <w:t xml:space="preserve">Black Voices </w:t>
      </w:r>
      <w:r w:rsidR="00EC75CB" w:rsidRPr="00AE141E">
        <w:rPr>
          <w:rFonts w:ascii="Times New Roman" w:hAnsi="Times New Roman" w:cs="Times New Roman"/>
          <w:sz w:val="24"/>
          <w:szCs w:val="24"/>
        </w:rPr>
        <w:t>anthology</w:t>
      </w:r>
      <w:r w:rsidR="00E21C94" w:rsidRPr="00AE141E">
        <w:rPr>
          <w:rFonts w:ascii="Times New Roman" w:hAnsi="Times New Roman" w:cs="Times New Roman"/>
          <w:sz w:val="24"/>
          <w:szCs w:val="24"/>
        </w:rPr>
        <w:t xml:space="preserve"> credited to Sharon Ellis, who is described in both cases</w:t>
      </w:r>
      <w:r w:rsidR="00EC75CB" w:rsidRPr="00AE141E">
        <w:rPr>
          <w:rFonts w:ascii="Times New Roman" w:hAnsi="Times New Roman" w:cs="Times New Roman"/>
          <w:sz w:val="24"/>
          <w:szCs w:val="24"/>
        </w:rPr>
        <w:t xml:space="preserve"> </w:t>
      </w:r>
      <w:r w:rsidR="00E21C94" w:rsidRPr="00AE141E">
        <w:rPr>
          <w:rFonts w:ascii="Times New Roman" w:hAnsi="Times New Roman" w:cs="Times New Roman"/>
          <w:sz w:val="24"/>
          <w:szCs w:val="24"/>
        </w:rPr>
        <w:t>as</w:t>
      </w:r>
      <w:r w:rsidR="00EC75CB" w:rsidRPr="00AE141E">
        <w:rPr>
          <w:rFonts w:ascii="Times New Roman" w:hAnsi="Times New Roman" w:cs="Times New Roman"/>
          <w:sz w:val="24"/>
          <w:szCs w:val="24"/>
        </w:rPr>
        <w:t xml:space="preserve"> twenty</w:t>
      </w:r>
      <w:r w:rsidR="00E21C94" w:rsidRPr="00AE141E">
        <w:rPr>
          <w:rFonts w:ascii="Times New Roman" w:hAnsi="Times New Roman" w:cs="Times New Roman"/>
          <w:sz w:val="24"/>
          <w:szCs w:val="24"/>
        </w:rPr>
        <w:t xml:space="preserve"> years old</w:t>
      </w:r>
      <w:r w:rsidR="00E06FD6" w:rsidRPr="00AE141E">
        <w:rPr>
          <w:rFonts w:ascii="Times New Roman" w:hAnsi="Times New Roman" w:cs="Times New Roman"/>
          <w:sz w:val="24"/>
          <w:szCs w:val="24"/>
        </w:rPr>
        <w:t>.</w:t>
      </w:r>
      <w:r w:rsidR="00B7433B" w:rsidRPr="00AE141E">
        <w:rPr>
          <w:rFonts w:ascii="Times New Roman" w:hAnsi="Times New Roman" w:cs="Times New Roman"/>
          <w:sz w:val="24"/>
          <w:szCs w:val="24"/>
        </w:rPr>
        <w:t xml:space="preserve"> The text gives no indication of wheth</w:t>
      </w:r>
      <w:r w:rsidR="008625AA" w:rsidRPr="00AE141E">
        <w:rPr>
          <w:rFonts w:ascii="Times New Roman" w:hAnsi="Times New Roman" w:cs="Times New Roman"/>
          <w:sz w:val="24"/>
          <w:szCs w:val="24"/>
        </w:rPr>
        <w:t xml:space="preserve">er the same individual submitted multiple, well-received essays, or whether this is mere coincidence. </w:t>
      </w:r>
      <w:r w:rsidR="00012B6D" w:rsidRPr="00AE141E">
        <w:rPr>
          <w:rFonts w:ascii="Times New Roman" w:hAnsi="Times New Roman" w:cs="Times New Roman"/>
          <w:sz w:val="24"/>
          <w:szCs w:val="24"/>
        </w:rPr>
        <w:t xml:space="preserve">Regardless, the </w:t>
      </w:r>
      <w:r w:rsidR="0029040B" w:rsidRPr="00AE141E">
        <w:rPr>
          <w:rFonts w:ascii="Times New Roman" w:hAnsi="Times New Roman" w:cs="Times New Roman"/>
          <w:sz w:val="24"/>
          <w:szCs w:val="24"/>
        </w:rPr>
        <w:t>two</w:t>
      </w:r>
      <w:r w:rsidR="00012B6D" w:rsidRPr="00AE141E">
        <w:rPr>
          <w:rFonts w:ascii="Times New Roman" w:hAnsi="Times New Roman" w:cs="Times New Roman"/>
          <w:sz w:val="24"/>
          <w:szCs w:val="24"/>
        </w:rPr>
        <w:t xml:space="preserve"> text</w:t>
      </w:r>
      <w:r w:rsidR="0029040B" w:rsidRPr="00AE141E">
        <w:rPr>
          <w:rFonts w:ascii="Times New Roman" w:hAnsi="Times New Roman" w:cs="Times New Roman"/>
          <w:sz w:val="24"/>
          <w:szCs w:val="24"/>
        </w:rPr>
        <w:t>s</w:t>
      </w:r>
      <w:r w:rsidR="00012B6D" w:rsidRPr="00AE141E">
        <w:rPr>
          <w:rFonts w:ascii="Times New Roman" w:hAnsi="Times New Roman" w:cs="Times New Roman"/>
          <w:sz w:val="24"/>
          <w:szCs w:val="24"/>
        </w:rPr>
        <w:t xml:space="preserve"> offer a similar perspective</w:t>
      </w:r>
      <w:r w:rsidR="0010648E" w:rsidRPr="00AE141E">
        <w:rPr>
          <w:rFonts w:ascii="Times New Roman" w:hAnsi="Times New Roman" w:cs="Times New Roman"/>
          <w:sz w:val="24"/>
          <w:szCs w:val="24"/>
        </w:rPr>
        <w:t>.</w:t>
      </w:r>
      <w:r w:rsidR="00121168" w:rsidRPr="00AE141E">
        <w:rPr>
          <w:rFonts w:ascii="Times New Roman" w:hAnsi="Times New Roman" w:cs="Times New Roman"/>
          <w:sz w:val="24"/>
          <w:szCs w:val="24"/>
        </w:rPr>
        <w:t xml:space="preserve"> </w:t>
      </w:r>
      <w:r w:rsidR="00705428" w:rsidRPr="00AE141E">
        <w:rPr>
          <w:rFonts w:ascii="Times New Roman" w:hAnsi="Times New Roman" w:cs="Times New Roman"/>
          <w:sz w:val="24"/>
          <w:szCs w:val="24"/>
        </w:rPr>
        <w:t>The second essay</w:t>
      </w:r>
      <w:r w:rsidR="00121168" w:rsidRPr="00AE141E">
        <w:rPr>
          <w:rFonts w:ascii="Times New Roman" w:hAnsi="Times New Roman" w:cs="Times New Roman"/>
          <w:sz w:val="24"/>
          <w:szCs w:val="24"/>
        </w:rPr>
        <w:t xml:space="preserve"> </w:t>
      </w:r>
      <w:r w:rsidR="00D105EA" w:rsidRPr="00AE141E">
        <w:rPr>
          <w:rFonts w:ascii="Times New Roman" w:hAnsi="Times New Roman" w:cs="Times New Roman"/>
          <w:sz w:val="24"/>
          <w:szCs w:val="24"/>
        </w:rPr>
        <w:t>characterised</w:t>
      </w:r>
      <w:r w:rsidR="00121168" w:rsidRPr="00AE141E">
        <w:rPr>
          <w:rFonts w:ascii="Times New Roman" w:hAnsi="Times New Roman" w:cs="Times New Roman"/>
          <w:sz w:val="24"/>
          <w:szCs w:val="24"/>
        </w:rPr>
        <w:t xml:space="preserve"> Black people as </w:t>
      </w:r>
      <w:r w:rsidR="00D105EA" w:rsidRPr="00AE141E">
        <w:rPr>
          <w:rFonts w:ascii="Times New Roman" w:hAnsi="Times New Roman" w:cs="Times New Roman"/>
          <w:sz w:val="24"/>
          <w:szCs w:val="24"/>
        </w:rPr>
        <w:t xml:space="preserve">the rightful </w:t>
      </w:r>
      <w:r w:rsidR="007E794D" w:rsidRPr="00AE141E">
        <w:rPr>
          <w:rFonts w:ascii="Times New Roman" w:hAnsi="Times New Roman" w:cs="Times New Roman"/>
          <w:sz w:val="24"/>
          <w:szCs w:val="24"/>
        </w:rPr>
        <w:t>heirs</w:t>
      </w:r>
      <w:r w:rsidR="00D105EA" w:rsidRPr="00AE141E">
        <w:rPr>
          <w:rFonts w:ascii="Times New Roman" w:hAnsi="Times New Roman" w:cs="Times New Roman"/>
          <w:sz w:val="24"/>
          <w:szCs w:val="24"/>
        </w:rPr>
        <w:t xml:space="preserve"> </w:t>
      </w:r>
      <w:r w:rsidR="007E794D" w:rsidRPr="00AE141E">
        <w:rPr>
          <w:rFonts w:ascii="Times New Roman" w:hAnsi="Times New Roman" w:cs="Times New Roman"/>
          <w:sz w:val="24"/>
          <w:szCs w:val="24"/>
        </w:rPr>
        <w:t>to</w:t>
      </w:r>
      <w:r w:rsidR="00D105EA" w:rsidRPr="00AE141E">
        <w:rPr>
          <w:rFonts w:ascii="Times New Roman" w:hAnsi="Times New Roman" w:cs="Times New Roman"/>
          <w:sz w:val="24"/>
          <w:szCs w:val="24"/>
        </w:rPr>
        <w:t xml:space="preserve"> a</w:t>
      </w:r>
      <w:r w:rsidR="007E794D" w:rsidRPr="00AE141E">
        <w:rPr>
          <w:rFonts w:ascii="Times New Roman" w:hAnsi="Times New Roman" w:cs="Times New Roman"/>
          <w:sz w:val="24"/>
          <w:szCs w:val="24"/>
        </w:rPr>
        <w:t>n</w:t>
      </w:r>
      <w:r w:rsidR="00CA4C1F" w:rsidRPr="00AE141E">
        <w:rPr>
          <w:rFonts w:ascii="Times New Roman" w:hAnsi="Times New Roman" w:cs="Times New Roman"/>
          <w:sz w:val="24"/>
          <w:szCs w:val="24"/>
        </w:rPr>
        <w:t xml:space="preserve"> ‘</w:t>
      </w:r>
      <w:r w:rsidR="0010648E" w:rsidRPr="00AE141E">
        <w:rPr>
          <w:rFonts w:ascii="Times New Roman" w:hAnsi="Times New Roman" w:cs="Times New Roman"/>
          <w:sz w:val="24"/>
          <w:szCs w:val="24"/>
        </w:rPr>
        <w:t>ancient African civilisation</w:t>
      </w:r>
      <w:r w:rsidR="00CA4C1F" w:rsidRPr="00AE141E">
        <w:rPr>
          <w:rFonts w:ascii="Times New Roman" w:hAnsi="Times New Roman" w:cs="Times New Roman"/>
          <w:sz w:val="24"/>
          <w:szCs w:val="24"/>
        </w:rPr>
        <w:t>’.</w:t>
      </w:r>
      <w:r w:rsidR="004463F0" w:rsidRPr="00AE141E">
        <w:rPr>
          <w:rStyle w:val="FootnoteReference"/>
          <w:rFonts w:ascii="Times New Roman" w:hAnsi="Times New Roman" w:cs="Times New Roman"/>
          <w:sz w:val="24"/>
          <w:szCs w:val="24"/>
        </w:rPr>
        <w:footnoteReference w:id="447"/>
      </w:r>
      <w:r w:rsidR="00CA4C1F" w:rsidRPr="00AE141E">
        <w:rPr>
          <w:rFonts w:ascii="Times New Roman" w:hAnsi="Times New Roman" w:cs="Times New Roman"/>
          <w:sz w:val="24"/>
          <w:szCs w:val="24"/>
        </w:rPr>
        <w:t xml:space="preserve"> </w:t>
      </w:r>
      <w:r w:rsidR="00C05351" w:rsidRPr="00AE141E">
        <w:rPr>
          <w:rFonts w:ascii="Times New Roman" w:hAnsi="Times New Roman" w:cs="Times New Roman"/>
          <w:sz w:val="24"/>
          <w:szCs w:val="24"/>
        </w:rPr>
        <w:t>To be Black in Britain</w:t>
      </w:r>
      <w:r w:rsidR="00EC152C" w:rsidRPr="00AE141E">
        <w:rPr>
          <w:rFonts w:ascii="Times New Roman" w:hAnsi="Times New Roman" w:cs="Times New Roman"/>
          <w:sz w:val="24"/>
          <w:szCs w:val="24"/>
        </w:rPr>
        <w:t xml:space="preserve"> was, then, to feel the weight of an immense history</w:t>
      </w:r>
      <w:r w:rsidR="002527A2" w:rsidRPr="00AE141E">
        <w:rPr>
          <w:rFonts w:ascii="Times New Roman" w:hAnsi="Times New Roman" w:cs="Times New Roman"/>
          <w:sz w:val="24"/>
          <w:szCs w:val="24"/>
        </w:rPr>
        <w:t>, transmitted unbroken between generations</w:t>
      </w:r>
      <w:r w:rsidR="00EC152C" w:rsidRPr="00AE141E">
        <w:rPr>
          <w:rFonts w:ascii="Times New Roman" w:hAnsi="Times New Roman" w:cs="Times New Roman"/>
          <w:sz w:val="24"/>
          <w:szCs w:val="24"/>
        </w:rPr>
        <w:t>: ‘a</w:t>
      </w:r>
      <w:r w:rsidR="0010648E" w:rsidRPr="00AE141E">
        <w:rPr>
          <w:rFonts w:ascii="Times New Roman" w:hAnsi="Times New Roman" w:cs="Times New Roman"/>
          <w:sz w:val="24"/>
          <w:szCs w:val="24"/>
        </w:rPr>
        <w:t>ll our previous instincts are still within each and every Black descendant</w:t>
      </w:r>
      <w:r w:rsidR="00EC152C" w:rsidRPr="00AE141E">
        <w:rPr>
          <w:rFonts w:ascii="Times New Roman" w:hAnsi="Times New Roman" w:cs="Times New Roman"/>
          <w:sz w:val="24"/>
          <w:szCs w:val="24"/>
        </w:rPr>
        <w:t xml:space="preserve">’. </w:t>
      </w:r>
      <w:r w:rsidR="00065B1F" w:rsidRPr="00AE141E">
        <w:rPr>
          <w:rFonts w:ascii="Times New Roman" w:hAnsi="Times New Roman" w:cs="Times New Roman"/>
          <w:sz w:val="24"/>
          <w:szCs w:val="24"/>
        </w:rPr>
        <w:t>Ellis’ comments were framed as a direct response to the infamous Conservative election advertisement of 1983, which carried an image of a Black man alongside the message ‘Labour says he's black. Tories say he’s British’.</w:t>
      </w:r>
      <w:r w:rsidR="009C24AF" w:rsidRPr="00AE141E">
        <w:rPr>
          <w:rFonts w:ascii="Times New Roman" w:hAnsi="Times New Roman" w:cs="Times New Roman"/>
          <w:sz w:val="24"/>
          <w:szCs w:val="24"/>
        </w:rPr>
        <w:t xml:space="preserve"> Her reply was simple: the Conservatives</w:t>
      </w:r>
      <w:r w:rsidR="00841F2D" w:rsidRPr="00AE141E">
        <w:rPr>
          <w:rFonts w:ascii="Times New Roman" w:hAnsi="Times New Roman" w:cs="Times New Roman"/>
          <w:sz w:val="24"/>
          <w:szCs w:val="24"/>
        </w:rPr>
        <w:t xml:space="preserve"> might</w:t>
      </w:r>
      <w:r w:rsidR="009C24AF" w:rsidRPr="00AE141E">
        <w:rPr>
          <w:rFonts w:ascii="Times New Roman" w:hAnsi="Times New Roman" w:cs="Times New Roman"/>
          <w:sz w:val="24"/>
          <w:szCs w:val="24"/>
        </w:rPr>
        <w:t xml:space="preserve"> say you</w:t>
      </w:r>
      <w:r w:rsidR="00E62D03" w:rsidRPr="00AE141E">
        <w:rPr>
          <w:rFonts w:ascii="Times New Roman" w:hAnsi="Times New Roman" w:cs="Times New Roman"/>
          <w:sz w:val="24"/>
          <w:szCs w:val="24"/>
        </w:rPr>
        <w:t>’</w:t>
      </w:r>
      <w:r w:rsidR="009C24AF" w:rsidRPr="00AE141E">
        <w:rPr>
          <w:rFonts w:ascii="Times New Roman" w:hAnsi="Times New Roman" w:cs="Times New Roman"/>
          <w:sz w:val="24"/>
          <w:szCs w:val="24"/>
        </w:rPr>
        <w:t xml:space="preserve">re </w:t>
      </w:r>
      <w:r w:rsidR="00841F2D" w:rsidRPr="00AE141E">
        <w:rPr>
          <w:rFonts w:ascii="Times New Roman" w:hAnsi="Times New Roman" w:cs="Times New Roman"/>
          <w:sz w:val="24"/>
          <w:szCs w:val="24"/>
        </w:rPr>
        <w:t>B</w:t>
      </w:r>
      <w:r w:rsidR="009C24AF" w:rsidRPr="00AE141E">
        <w:rPr>
          <w:rFonts w:ascii="Times New Roman" w:hAnsi="Times New Roman" w:cs="Times New Roman"/>
          <w:sz w:val="24"/>
          <w:szCs w:val="24"/>
        </w:rPr>
        <w:t xml:space="preserve">ritish, </w:t>
      </w:r>
      <w:r w:rsidR="00841F2D" w:rsidRPr="00AE141E">
        <w:rPr>
          <w:rFonts w:ascii="Times New Roman" w:hAnsi="Times New Roman" w:cs="Times New Roman"/>
          <w:sz w:val="24"/>
          <w:szCs w:val="24"/>
        </w:rPr>
        <w:t>‘</w:t>
      </w:r>
      <w:r w:rsidR="009C24AF" w:rsidRPr="00AE141E">
        <w:rPr>
          <w:rFonts w:ascii="Times New Roman" w:hAnsi="Times New Roman" w:cs="Times New Roman"/>
          <w:sz w:val="24"/>
          <w:szCs w:val="24"/>
        </w:rPr>
        <w:t>but we know we</w:t>
      </w:r>
      <w:r w:rsidR="00841F2D" w:rsidRPr="00AE141E">
        <w:rPr>
          <w:rFonts w:ascii="Times New Roman" w:hAnsi="Times New Roman" w:cs="Times New Roman"/>
          <w:sz w:val="24"/>
          <w:szCs w:val="24"/>
        </w:rPr>
        <w:t>’</w:t>
      </w:r>
      <w:r w:rsidR="009C24AF" w:rsidRPr="00AE141E">
        <w:rPr>
          <w:rFonts w:ascii="Times New Roman" w:hAnsi="Times New Roman" w:cs="Times New Roman"/>
          <w:sz w:val="24"/>
          <w:szCs w:val="24"/>
        </w:rPr>
        <w:t>re Black</w:t>
      </w:r>
      <w:r w:rsidR="00841F2D" w:rsidRPr="00AE141E">
        <w:rPr>
          <w:rFonts w:ascii="Times New Roman" w:hAnsi="Times New Roman" w:cs="Times New Roman"/>
          <w:sz w:val="24"/>
          <w:szCs w:val="24"/>
        </w:rPr>
        <w:t>’.</w:t>
      </w:r>
      <w:r w:rsidR="00725C2D" w:rsidRPr="00AE141E">
        <w:rPr>
          <w:rStyle w:val="FootnoteReference"/>
          <w:rFonts w:ascii="Times New Roman" w:hAnsi="Times New Roman" w:cs="Times New Roman"/>
          <w:sz w:val="24"/>
          <w:szCs w:val="24"/>
        </w:rPr>
        <w:footnoteReference w:id="448"/>
      </w:r>
      <w:r w:rsidR="004A753C" w:rsidRPr="00AE141E">
        <w:rPr>
          <w:rFonts w:ascii="Times New Roman" w:hAnsi="Times New Roman" w:cs="Times New Roman"/>
          <w:sz w:val="24"/>
          <w:szCs w:val="24"/>
        </w:rPr>
        <w:t xml:space="preserve"> Ellis’</w:t>
      </w:r>
      <w:r w:rsidR="00065B1F" w:rsidRPr="00AE141E">
        <w:rPr>
          <w:rFonts w:ascii="Times New Roman" w:hAnsi="Times New Roman" w:cs="Times New Roman"/>
          <w:sz w:val="24"/>
          <w:szCs w:val="24"/>
        </w:rPr>
        <w:t xml:space="preserve"> navigation of the terrain of national belonging occurred in dialogue with the language and ideology of party politics, yet it was by no means solely reactive. Neither a Blackness defined by the Labour Party (comprising a legally protected status) nor </w:t>
      </w:r>
      <w:r w:rsidR="0019135D" w:rsidRPr="00AE141E">
        <w:rPr>
          <w:rFonts w:ascii="Times New Roman" w:hAnsi="Times New Roman" w:cs="Times New Roman"/>
          <w:sz w:val="24"/>
          <w:szCs w:val="24"/>
        </w:rPr>
        <w:t>the</w:t>
      </w:r>
      <w:r w:rsidR="00065B1F" w:rsidRPr="00AE141E">
        <w:rPr>
          <w:rFonts w:ascii="Times New Roman" w:hAnsi="Times New Roman" w:cs="Times New Roman"/>
          <w:sz w:val="24"/>
          <w:szCs w:val="24"/>
        </w:rPr>
        <w:t xml:space="preserve"> British</w:t>
      </w:r>
      <w:r w:rsidR="0019135D" w:rsidRPr="00AE141E">
        <w:rPr>
          <w:rFonts w:ascii="Times New Roman" w:hAnsi="Times New Roman" w:cs="Times New Roman"/>
          <w:sz w:val="24"/>
          <w:szCs w:val="24"/>
        </w:rPr>
        <w:t xml:space="preserve"> identity</w:t>
      </w:r>
      <w:r w:rsidR="00065B1F" w:rsidRPr="00AE141E">
        <w:rPr>
          <w:rFonts w:ascii="Times New Roman" w:hAnsi="Times New Roman" w:cs="Times New Roman"/>
          <w:sz w:val="24"/>
          <w:szCs w:val="24"/>
        </w:rPr>
        <w:t xml:space="preserve"> offered by the Conservatives</w:t>
      </w:r>
      <w:r w:rsidR="00EC7886" w:rsidRPr="00AE141E">
        <w:rPr>
          <w:rFonts w:ascii="Times New Roman" w:hAnsi="Times New Roman" w:cs="Times New Roman"/>
          <w:sz w:val="24"/>
          <w:szCs w:val="24"/>
        </w:rPr>
        <w:t xml:space="preserve"> (entailing a renunciation of historical and cultural specificity)</w:t>
      </w:r>
      <w:r w:rsidR="00065B1F" w:rsidRPr="00AE141E">
        <w:rPr>
          <w:rFonts w:ascii="Times New Roman" w:hAnsi="Times New Roman" w:cs="Times New Roman"/>
          <w:sz w:val="24"/>
          <w:szCs w:val="24"/>
        </w:rPr>
        <w:t xml:space="preserve"> were acceptable options. Blackness was a </w:t>
      </w:r>
      <w:r w:rsidR="00C14786" w:rsidRPr="00AE141E">
        <w:rPr>
          <w:rFonts w:ascii="Times New Roman" w:hAnsi="Times New Roman" w:cs="Times New Roman"/>
          <w:sz w:val="24"/>
          <w:szCs w:val="24"/>
        </w:rPr>
        <w:t>‘</w:t>
      </w:r>
      <w:r w:rsidR="00065B1F" w:rsidRPr="00AE141E">
        <w:rPr>
          <w:rFonts w:ascii="Times New Roman" w:hAnsi="Times New Roman" w:cs="Times New Roman"/>
          <w:sz w:val="24"/>
          <w:szCs w:val="24"/>
        </w:rPr>
        <w:t>consciousness’ or ‘state of mind’</w:t>
      </w:r>
      <w:r w:rsidR="001C64ED" w:rsidRPr="00AE141E">
        <w:rPr>
          <w:rFonts w:ascii="Times New Roman" w:hAnsi="Times New Roman" w:cs="Times New Roman"/>
          <w:sz w:val="24"/>
          <w:szCs w:val="24"/>
        </w:rPr>
        <w:t>, proudly claimed and</w:t>
      </w:r>
      <w:r w:rsidR="00065B1F" w:rsidRPr="00AE141E">
        <w:rPr>
          <w:rFonts w:ascii="Times New Roman" w:hAnsi="Times New Roman" w:cs="Times New Roman"/>
          <w:sz w:val="24"/>
          <w:szCs w:val="24"/>
        </w:rPr>
        <w:t xml:space="preserve"> arrived at via an understanding of one’s present conditions, informed by knowledge of the past.</w:t>
      </w:r>
    </w:p>
    <w:p w14:paraId="48E4E351" w14:textId="30DC18B9" w:rsidR="00F41086" w:rsidRPr="00AE141E" w:rsidRDefault="003B53F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17-year-old C. Brown asserted </w:t>
      </w:r>
      <w:r w:rsidR="005622F8" w:rsidRPr="00AE141E">
        <w:rPr>
          <w:rFonts w:ascii="Times New Roman" w:hAnsi="Times New Roman" w:cs="Times New Roman"/>
          <w:sz w:val="24"/>
          <w:szCs w:val="24"/>
        </w:rPr>
        <w:t>that the primary benefit they derived from maintaining their</w:t>
      </w:r>
      <w:r w:rsidR="00EA696B" w:rsidRPr="00AE141E">
        <w:rPr>
          <w:rFonts w:ascii="Times New Roman" w:hAnsi="Times New Roman" w:cs="Times New Roman"/>
          <w:sz w:val="24"/>
          <w:szCs w:val="24"/>
        </w:rPr>
        <w:t xml:space="preserve"> </w:t>
      </w:r>
      <w:r w:rsidR="005622F8" w:rsidRPr="00AE141E">
        <w:rPr>
          <w:rFonts w:ascii="Times New Roman" w:hAnsi="Times New Roman" w:cs="Times New Roman"/>
          <w:sz w:val="24"/>
          <w:szCs w:val="24"/>
        </w:rPr>
        <w:t>culture</w:t>
      </w:r>
      <w:r w:rsidR="00FC0BF2" w:rsidRPr="00AE141E">
        <w:rPr>
          <w:rFonts w:ascii="Times New Roman" w:hAnsi="Times New Roman" w:cs="Times New Roman"/>
          <w:sz w:val="24"/>
          <w:szCs w:val="24"/>
        </w:rPr>
        <w:t xml:space="preserve"> was the knowledge that they did not belong to ‘</w:t>
      </w:r>
      <w:r w:rsidR="00191194" w:rsidRPr="00AE141E">
        <w:rPr>
          <w:rFonts w:ascii="Times New Roman" w:hAnsi="Times New Roman" w:cs="Times New Roman"/>
          <w:sz w:val="24"/>
          <w:szCs w:val="24"/>
        </w:rPr>
        <w:t>a nation of oppressors who travel the globe exercising brute force and violence</w:t>
      </w:r>
      <w:r w:rsidR="00FC0BF2" w:rsidRPr="00AE141E">
        <w:rPr>
          <w:rFonts w:ascii="Times New Roman" w:hAnsi="Times New Roman" w:cs="Times New Roman"/>
          <w:sz w:val="24"/>
          <w:szCs w:val="24"/>
        </w:rPr>
        <w:t>’</w:t>
      </w:r>
      <w:r w:rsidR="00191194" w:rsidRPr="00AE141E">
        <w:rPr>
          <w:rFonts w:ascii="Times New Roman" w:hAnsi="Times New Roman" w:cs="Times New Roman"/>
          <w:sz w:val="24"/>
          <w:szCs w:val="24"/>
        </w:rPr>
        <w:t>.</w:t>
      </w:r>
      <w:r w:rsidR="00FC0BF2" w:rsidRPr="00AE141E">
        <w:rPr>
          <w:rStyle w:val="FootnoteReference"/>
          <w:rFonts w:ascii="Times New Roman" w:hAnsi="Times New Roman" w:cs="Times New Roman"/>
          <w:sz w:val="24"/>
          <w:szCs w:val="24"/>
        </w:rPr>
        <w:footnoteReference w:id="449"/>
      </w:r>
      <w:r w:rsidR="002C6F58" w:rsidRPr="00AE141E">
        <w:rPr>
          <w:rFonts w:ascii="Times New Roman" w:hAnsi="Times New Roman" w:cs="Times New Roman"/>
          <w:sz w:val="24"/>
          <w:szCs w:val="24"/>
        </w:rPr>
        <w:t xml:space="preserve"> </w:t>
      </w:r>
      <w:r w:rsidR="00E77991" w:rsidRPr="00AE141E">
        <w:rPr>
          <w:rFonts w:ascii="Times New Roman" w:hAnsi="Times New Roman" w:cs="Times New Roman"/>
          <w:sz w:val="24"/>
          <w:szCs w:val="24"/>
        </w:rPr>
        <w:t xml:space="preserve">Here, Blackness was presented as a kind of psychological boon – the joy of </w:t>
      </w:r>
      <w:r w:rsidR="00596AEB" w:rsidRPr="00AE141E">
        <w:rPr>
          <w:rFonts w:ascii="Times New Roman" w:hAnsi="Times New Roman" w:cs="Times New Roman"/>
          <w:sz w:val="24"/>
          <w:szCs w:val="24"/>
        </w:rPr>
        <w:t>living guiltlessly</w:t>
      </w:r>
      <w:r w:rsidR="00804525" w:rsidRPr="00AE141E">
        <w:rPr>
          <w:rFonts w:ascii="Times New Roman" w:hAnsi="Times New Roman" w:cs="Times New Roman"/>
          <w:sz w:val="24"/>
          <w:szCs w:val="24"/>
        </w:rPr>
        <w:t>, as liberator rather than persecutor.</w:t>
      </w:r>
      <w:r w:rsidR="000A6ED8" w:rsidRPr="00AE141E">
        <w:rPr>
          <w:rFonts w:ascii="Times New Roman" w:hAnsi="Times New Roman" w:cs="Times New Roman"/>
          <w:sz w:val="24"/>
          <w:szCs w:val="24"/>
        </w:rPr>
        <w:t xml:space="preserve"> </w:t>
      </w:r>
      <w:r w:rsidR="00332387" w:rsidRPr="00AE141E">
        <w:rPr>
          <w:rFonts w:ascii="Times New Roman" w:hAnsi="Times New Roman" w:cs="Times New Roman"/>
          <w:sz w:val="24"/>
          <w:szCs w:val="24"/>
        </w:rPr>
        <w:t xml:space="preserve">Crucially, the identification of Britishness with the weight of historical guilt was </w:t>
      </w:r>
      <w:r w:rsidR="00065B1F" w:rsidRPr="00AE141E">
        <w:rPr>
          <w:rFonts w:ascii="Times New Roman" w:hAnsi="Times New Roman" w:cs="Times New Roman"/>
          <w:sz w:val="24"/>
          <w:szCs w:val="24"/>
        </w:rPr>
        <w:t xml:space="preserve">believed by some </w:t>
      </w:r>
      <w:r w:rsidR="004E28A4" w:rsidRPr="00AE141E">
        <w:rPr>
          <w:rFonts w:ascii="Times New Roman" w:hAnsi="Times New Roman" w:cs="Times New Roman"/>
          <w:sz w:val="24"/>
          <w:szCs w:val="24"/>
        </w:rPr>
        <w:t xml:space="preserve">young people </w:t>
      </w:r>
      <w:r w:rsidR="00065B1F" w:rsidRPr="00AE141E">
        <w:rPr>
          <w:rFonts w:ascii="Times New Roman" w:hAnsi="Times New Roman" w:cs="Times New Roman"/>
          <w:sz w:val="24"/>
          <w:szCs w:val="24"/>
        </w:rPr>
        <w:t>to have been internalised by White Britons.</w:t>
      </w:r>
      <w:r w:rsidR="00FD5419" w:rsidRPr="00AE141E">
        <w:rPr>
          <w:rFonts w:ascii="Times New Roman" w:hAnsi="Times New Roman" w:cs="Times New Roman"/>
          <w:sz w:val="24"/>
          <w:szCs w:val="24"/>
        </w:rPr>
        <w:t xml:space="preserve"> The 30-year-old Janet </w:t>
      </w:r>
      <w:r w:rsidR="00855F04" w:rsidRPr="00AE141E">
        <w:rPr>
          <w:rFonts w:ascii="Times New Roman" w:hAnsi="Times New Roman" w:cs="Times New Roman"/>
          <w:sz w:val="24"/>
          <w:szCs w:val="24"/>
        </w:rPr>
        <w:t>Brown’s</w:t>
      </w:r>
      <w:r w:rsidR="00FD5419" w:rsidRPr="00AE141E">
        <w:rPr>
          <w:rFonts w:ascii="Times New Roman" w:hAnsi="Times New Roman" w:cs="Times New Roman"/>
          <w:sz w:val="24"/>
          <w:szCs w:val="24"/>
        </w:rPr>
        <w:t xml:space="preserve"> </w:t>
      </w:r>
      <w:r w:rsidR="006E4C75" w:rsidRPr="00AE141E">
        <w:rPr>
          <w:rFonts w:ascii="Times New Roman" w:hAnsi="Times New Roman" w:cs="Times New Roman"/>
          <w:sz w:val="24"/>
          <w:szCs w:val="24"/>
        </w:rPr>
        <w:t>comment</w:t>
      </w:r>
      <w:r w:rsidR="00FD5419" w:rsidRPr="00AE141E">
        <w:rPr>
          <w:rFonts w:ascii="Times New Roman" w:hAnsi="Times New Roman" w:cs="Times New Roman"/>
          <w:sz w:val="24"/>
          <w:szCs w:val="24"/>
        </w:rPr>
        <w:t xml:space="preserve"> on this matter</w:t>
      </w:r>
      <w:r w:rsidR="006E4C75" w:rsidRPr="00AE141E">
        <w:rPr>
          <w:rFonts w:ascii="Times New Roman" w:hAnsi="Times New Roman" w:cs="Times New Roman"/>
          <w:sz w:val="24"/>
          <w:szCs w:val="24"/>
        </w:rPr>
        <w:t>, although lengthy,</w:t>
      </w:r>
      <w:r w:rsidR="00FD5419" w:rsidRPr="00AE141E">
        <w:rPr>
          <w:rFonts w:ascii="Times New Roman" w:hAnsi="Times New Roman" w:cs="Times New Roman"/>
          <w:sz w:val="24"/>
          <w:szCs w:val="24"/>
        </w:rPr>
        <w:t xml:space="preserve"> </w:t>
      </w:r>
      <w:r w:rsidR="006E4C75" w:rsidRPr="00AE141E">
        <w:rPr>
          <w:rFonts w:ascii="Times New Roman" w:hAnsi="Times New Roman" w:cs="Times New Roman"/>
          <w:sz w:val="24"/>
          <w:szCs w:val="24"/>
        </w:rPr>
        <w:t>is</w:t>
      </w:r>
      <w:r w:rsidR="00FD5419" w:rsidRPr="00AE141E">
        <w:rPr>
          <w:rFonts w:ascii="Times New Roman" w:hAnsi="Times New Roman" w:cs="Times New Roman"/>
          <w:sz w:val="24"/>
          <w:szCs w:val="24"/>
        </w:rPr>
        <w:t xml:space="preserve"> worth quoting in full</w:t>
      </w:r>
      <w:r w:rsidR="006E4C75" w:rsidRPr="00AE141E">
        <w:rPr>
          <w:rFonts w:ascii="Times New Roman" w:hAnsi="Times New Roman" w:cs="Times New Roman"/>
          <w:sz w:val="24"/>
          <w:szCs w:val="24"/>
        </w:rPr>
        <w:t>:</w:t>
      </w:r>
    </w:p>
    <w:p w14:paraId="45956670" w14:textId="7690C8EE" w:rsidR="006E4C75" w:rsidRPr="00AE141E" w:rsidRDefault="006E4C75"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Can the society which developed through such brutal abuse of other people suddenly admit the extent of the debauchery? The idea of inferiority based on colour and race will die, but slowly, because the society cannot l</w:t>
      </w:r>
      <w:r w:rsidR="00A32EA6" w:rsidRPr="00AE141E">
        <w:rPr>
          <w:rFonts w:ascii="Times New Roman" w:hAnsi="Times New Roman" w:cs="Times New Roman"/>
          <w:sz w:val="24"/>
          <w:szCs w:val="24"/>
        </w:rPr>
        <w:t>i</w:t>
      </w:r>
      <w:r w:rsidRPr="00AE141E">
        <w:rPr>
          <w:rFonts w:ascii="Times New Roman" w:hAnsi="Times New Roman" w:cs="Times New Roman"/>
          <w:sz w:val="24"/>
          <w:szCs w:val="24"/>
        </w:rPr>
        <w:t xml:space="preserve">ve with its conscience. The present highly developed White British society is the fruit of the labour of our fore-parents; </w:t>
      </w:r>
      <w:r w:rsidRPr="00AE141E">
        <w:rPr>
          <w:rFonts w:ascii="Times New Roman" w:hAnsi="Times New Roman" w:cs="Times New Roman"/>
          <w:sz w:val="24"/>
          <w:szCs w:val="24"/>
        </w:rPr>
        <w:lastRenderedPageBreak/>
        <w:t>our present deprived and oppressed state is the fruit we inherited from their fore-parents. Yet the White British Society in its cocoon wildly exclaims, “we cannot be responsible for what happened hundreds of years ago”; but we are in this predicament precisely because of what started hundreds of years ago. If this is the case the society is not entitled to its valued heritage</w:t>
      </w:r>
      <w:r w:rsidR="009D3A80" w:rsidRPr="00AE141E">
        <w:rPr>
          <w:rFonts w:ascii="Times New Roman" w:hAnsi="Times New Roman" w:cs="Times New Roman"/>
          <w:sz w:val="24"/>
          <w:szCs w:val="24"/>
        </w:rPr>
        <w:t>.</w:t>
      </w:r>
      <w:r w:rsidR="009D3A80" w:rsidRPr="00AE141E">
        <w:rPr>
          <w:rStyle w:val="FootnoteReference"/>
          <w:rFonts w:ascii="Times New Roman" w:hAnsi="Times New Roman" w:cs="Times New Roman"/>
          <w:sz w:val="24"/>
          <w:szCs w:val="24"/>
        </w:rPr>
        <w:footnoteReference w:id="450"/>
      </w:r>
    </w:p>
    <w:p w14:paraId="008DE50C" w14:textId="3B480A85" w:rsidR="00584D57" w:rsidRPr="00AE141E" w:rsidRDefault="00855F0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Brown</w:t>
      </w:r>
      <w:r w:rsidR="00A52D44" w:rsidRPr="00AE141E">
        <w:rPr>
          <w:rFonts w:ascii="Times New Roman" w:hAnsi="Times New Roman" w:cs="Times New Roman"/>
          <w:sz w:val="24"/>
          <w:szCs w:val="24"/>
        </w:rPr>
        <w:t xml:space="preserve"> argued that the </w:t>
      </w:r>
      <w:r w:rsidR="00E40026" w:rsidRPr="00AE141E">
        <w:rPr>
          <w:rFonts w:ascii="Times New Roman" w:hAnsi="Times New Roman" w:cs="Times New Roman"/>
          <w:sz w:val="24"/>
          <w:szCs w:val="24"/>
        </w:rPr>
        <w:t>enduring power of racism in Britain was linked to its deep historical foundations – both material and psychological.</w:t>
      </w:r>
      <w:r w:rsidR="0076281C" w:rsidRPr="00AE141E">
        <w:rPr>
          <w:rFonts w:ascii="Times New Roman" w:hAnsi="Times New Roman" w:cs="Times New Roman"/>
          <w:sz w:val="24"/>
          <w:szCs w:val="24"/>
        </w:rPr>
        <w:t xml:space="preserve"> </w:t>
      </w:r>
      <w:r w:rsidR="006D540A" w:rsidRPr="00AE141E">
        <w:rPr>
          <w:rFonts w:ascii="Times New Roman" w:hAnsi="Times New Roman" w:cs="Times New Roman"/>
          <w:sz w:val="24"/>
          <w:szCs w:val="24"/>
        </w:rPr>
        <w:t xml:space="preserve">The wealth of modern Britain had been </w:t>
      </w:r>
      <w:r w:rsidR="009972A7" w:rsidRPr="00AE141E">
        <w:rPr>
          <w:rFonts w:ascii="Times New Roman" w:hAnsi="Times New Roman" w:cs="Times New Roman"/>
          <w:sz w:val="24"/>
          <w:szCs w:val="24"/>
        </w:rPr>
        <w:t xml:space="preserve">coercively extracted from Black people. The </w:t>
      </w:r>
      <w:r w:rsidR="006D670A" w:rsidRPr="00AE141E">
        <w:rPr>
          <w:rFonts w:ascii="Times New Roman" w:hAnsi="Times New Roman" w:cs="Times New Roman"/>
          <w:sz w:val="24"/>
          <w:szCs w:val="24"/>
        </w:rPr>
        <w:t xml:space="preserve">ideology created in order to justify the system of slavery – the total dehumanisation of </w:t>
      </w:r>
      <w:r w:rsidR="00AC4987" w:rsidRPr="00AE141E">
        <w:rPr>
          <w:rFonts w:ascii="Times New Roman" w:hAnsi="Times New Roman" w:cs="Times New Roman"/>
          <w:sz w:val="24"/>
          <w:szCs w:val="24"/>
        </w:rPr>
        <w:t xml:space="preserve">Black people </w:t>
      </w:r>
      <w:r w:rsidR="00952AB2" w:rsidRPr="00AE141E">
        <w:rPr>
          <w:rFonts w:ascii="Times New Roman" w:hAnsi="Times New Roman" w:cs="Times New Roman"/>
          <w:sz w:val="24"/>
          <w:szCs w:val="24"/>
        </w:rPr>
        <w:t>–</w:t>
      </w:r>
      <w:r w:rsidR="00AC4987" w:rsidRPr="00AE141E">
        <w:rPr>
          <w:rFonts w:ascii="Times New Roman" w:hAnsi="Times New Roman" w:cs="Times New Roman"/>
          <w:sz w:val="24"/>
          <w:szCs w:val="24"/>
        </w:rPr>
        <w:t xml:space="preserve"> </w:t>
      </w:r>
      <w:r w:rsidR="00952AB2" w:rsidRPr="00AE141E">
        <w:rPr>
          <w:rFonts w:ascii="Times New Roman" w:hAnsi="Times New Roman" w:cs="Times New Roman"/>
          <w:sz w:val="24"/>
          <w:szCs w:val="24"/>
        </w:rPr>
        <w:t>remained rife</w:t>
      </w:r>
      <w:r w:rsidR="00FF0448" w:rsidRPr="00AE141E">
        <w:rPr>
          <w:rFonts w:ascii="Times New Roman" w:hAnsi="Times New Roman" w:cs="Times New Roman"/>
          <w:sz w:val="24"/>
          <w:szCs w:val="24"/>
        </w:rPr>
        <w:t>. Those White Britons who admitted the crimes of the past, however, failed to connect them to the present</w:t>
      </w:r>
      <w:r w:rsidR="001471A3" w:rsidRPr="00AE141E">
        <w:rPr>
          <w:rFonts w:ascii="Times New Roman" w:hAnsi="Times New Roman" w:cs="Times New Roman"/>
          <w:sz w:val="24"/>
          <w:szCs w:val="24"/>
        </w:rPr>
        <w:t xml:space="preserve">; to do so would be to challenge their own comfortable position in society and their own complicity in the legacy of empire and slavery. </w:t>
      </w:r>
      <w:r w:rsidR="00D96A86" w:rsidRPr="00AE141E">
        <w:rPr>
          <w:rFonts w:ascii="Times New Roman" w:hAnsi="Times New Roman" w:cs="Times New Roman"/>
          <w:sz w:val="24"/>
          <w:szCs w:val="24"/>
        </w:rPr>
        <w:t>It was easier for most to refuse to leave the ‘cocoon’ and wilfully misinterpr</w:t>
      </w:r>
      <w:r w:rsidR="00A32EA6" w:rsidRPr="00AE141E">
        <w:rPr>
          <w:rFonts w:ascii="Times New Roman" w:hAnsi="Times New Roman" w:cs="Times New Roman"/>
          <w:sz w:val="24"/>
          <w:szCs w:val="24"/>
        </w:rPr>
        <w:t>et history than to challenge</w:t>
      </w:r>
      <w:r w:rsidR="00456616" w:rsidRPr="00AE141E">
        <w:rPr>
          <w:rFonts w:ascii="Times New Roman" w:hAnsi="Times New Roman" w:cs="Times New Roman"/>
          <w:sz w:val="24"/>
          <w:szCs w:val="24"/>
        </w:rPr>
        <w:t xml:space="preserve"> the foundations of their own privilege</w:t>
      </w:r>
      <w:r w:rsidR="0005056C" w:rsidRPr="00AE141E">
        <w:rPr>
          <w:rFonts w:ascii="Times New Roman" w:hAnsi="Times New Roman" w:cs="Times New Roman"/>
          <w:sz w:val="24"/>
          <w:szCs w:val="24"/>
        </w:rPr>
        <w:t xml:space="preserve">, </w:t>
      </w:r>
      <w:r w:rsidR="00456616" w:rsidRPr="00AE141E">
        <w:rPr>
          <w:rFonts w:ascii="Times New Roman" w:hAnsi="Times New Roman" w:cs="Times New Roman"/>
          <w:sz w:val="24"/>
          <w:szCs w:val="24"/>
        </w:rPr>
        <w:t>sacrific</w:t>
      </w:r>
      <w:r w:rsidR="0005056C" w:rsidRPr="00AE141E">
        <w:rPr>
          <w:rFonts w:ascii="Times New Roman" w:hAnsi="Times New Roman" w:cs="Times New Roman"/>
          <w:sz w:val="24"/>
          <w:szCs w:val="24"/>
        </w:rPr>
        <w:t>ing</w:t>
      </w:r>
      <w:r w:rsidR="00456616" w:rsidRPr="00AE141E">
        <w:rPr>
          <w:rFonts w:ascii="Times New Roman" w:hAnsi="Times New Roman" w:cs="Times New Roman"/>
          <w:sz w:val="24"/>
          <w:szCs w:val="24"/>
        </w:rPr>
        <w:t xml:space="preserve"> </w:t>
      </w:r>
      <w:r w:rsidR="0005056C" w:rsidRPr="00AE141E">
        <w:rPr>
          <w:rFonts w:ascii="Times New Roman" w:hAnsi="Times New Roman" w:cs="Times New Roman"/>
          <w:sz w:val="24"/>
          <w:szCs w:val="24"/>
        </w:rPr>
        <w:t>the</w:t>
      </w:r>
      <w:r w:rsidR="00480B66" w:rsidRPr="00AE141E">
        <w:rPr>
          <w:rFonts w:ascii="Times New Roman" w:hAnsi="Times New Roman" w:cs="Times New Roman"/>
          <w:sz w:val="24"/>
          <w:szCs w:val="24"/>
        </w:rPr>
        <w:t xml:space="preserve"> psychological</w:t>
      </w:r>
      <w:r w:rsidR="0005056C" w:rsidRPr="00AE141E">
        <w:rPr>
          <w:rFonts w:ascii="Times New Roman" w:hAnsi="Times New Roman" w:cs="Times New Roman"/>
          <w:sz w:val="24"/>
          <w:szCs w:val="24"/>
        </w:rPr>
        <w:t xml:space="preserve"> comfort of </w:t>
      </w:r>
      <w:r w:rsidR="00480B66" w:rsidRPr="00AE141E">
        <w:rPr>
          <w:rFonts w:ascii="Times New Roman" w:hAnsi="Times New Roman" w:cs="Times New Roman"/>
          <w:sz w:val="24"/>
          <w:szCs w:val="24"/>
        </w:rPr>
        <w:t>ignorance for the perceived burden of a guilty conscience.</w:t>
      </w:r>
    </w:p>
    <w:p w14:paraId="3364CF26" w14:textId="36114F5A" w:rsidR="00FA0E2A" w:rsidRPr="00AE141E" w:rsidRDefault="00407B5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This analysis </w:t>
      </w:r>
      <w:r w:rsidR="001A42C2" w:rsidRPr="00AE141E">
        <w:rPr>
          <w:rFonts w:ascii="Times New Roman" w:hAnsi="Times New Roman" w:cs="Times New Roman"/>
          <w:sz w:val="24"/>
          <w:szCs w:val="24"/>
        </w:rPr>
        <w:t xml:space="preserve">is especially pertinent to the specific conditions of </w:t>
      </w:r>
      <w:r w:rsidR="004916E3" w:rsidRPr="00AE141E">
        <w:rPr>
          <w:rFonts w:ascii="Times New Roman" w:hAnsi="Times New Roman" w:cs="Times New Roman"/>
          <w:sz w:val="24"/>
          <w:szCs w:val="24"/>
        </w:rPr>
        <w:t>the 1980s</w:t>
      </w:r>
      <w:r w:rsidR="001A42C2" w:rsidRPr="00AE141E">
        <w:rPr>
          <w:rFonts w:ascii="Times New Roman" w:hAnsi="Times New Roman" w:cs="Times New Roman"/>
          <w:sz w:val="24"/>
          <w:szCs w:val="24"/>
        </w:rPr>
        <w:t xml:space="preserve">, </w:t>
      </w:r>
      <w:r w:rsidR="004916E3" w:rsidRPr="00AE141E">
        <w:rPr>
          <w:rFonts w:ascii="Times New Roman" w:hAnsi="Times New Roman" w:cs="Times New Roman"/>
          <w:sz w:val="24"/>
          <w:szCs w:val="24"/>
        </w:rPr>
        <w:t>when a concept of pastness served as an important prop for White, British identity</w:t>
      </w:r>
      <w:r w:rsidR="00F766F1" w:rsidRPr="00AE141E">
        <w:rPr>
          <w:rFonts w:ascii="Times New Roman" w:hAnsi="Times New Roman" w:cs="Times New Roman"/>
          <w:sz w:val="24"/>
          <w:szCs w:val="24"/>
        </w:rPr>
        <w:t xml:space="preserve">. </w:t>
      </w:r>
      <w:r w:rsidR="008549D2" w:rsidRPr="00AE141E">
        <w:rPr>
          <w:rFonts w:ascii="Times New Roman" w:hAnsi="Times New Roman" w:cs="Times New Roman"/>
          <w:sz w:val="24"/>
          <w:szCs w:val="24"/>
        </w:rPr>
        <w:t xml:space="preserve">As </w:t>
      </w:r>
      <w:r w:rsidR="009D2868" w:rsidRPr="00AE141E">
        <w:rPr>
          <w:rFonts w:ascii="Times New Roman" w:hAnsi="Times New Roman" w:cs="Times New Roman"/>
          <w:sz w:val="24"/>
          <w:szCs w:val="24"/>
        </w:rPr>
        <w:t xml:space="preserve">Robert </w:t>
      </w:r>
      <w:r w:rsidR="008549D2" w:rsidRPr="00AE141E">
        <w:rPr>
          <w:rFonts w:ascii="Times New Roman" w:hAnsi="Times New Roman" w:cs="Times New Roman"/>
          <w:sz w:val="24"/>
          <w:szCs w:val="24"/>
        </w:rPr>
        <w:t>Hewison</w:t>
      </w:r>
      <w:r w:rsidR="00E77415" w:rsidRPr="00AE141E">
        <w:rPr>
          <w:rFonts w:ascii="Times New Roman" w:hAnsi="Times New Roman" w:cs="Times New Roman"/>
          <w:sz w:val="24"/>
          <w:szCs w:val="24"/>
        </w:rPr>
        <w:t xml:space="preserve"> </w:t>
      </w:r>
      <w:r w:rsidR="009D2868" w:rsidRPr="00AE141E">
        <w:rPr>
          <w:rFonts w:ascii="Times New Roman" w:hAnsi="Times New Roman" w:cs="Times New Roman"/>
          <w:sz w:val="24"/>
          <w:szCs w:val="24"/>
        </w:rPr>
        <w:t>has claimed</w:t>
      </w:r>
      <w:r w:rsidR="008549D2" w:rsidRPr="00AE141E">
        <w:rPr>
          <w:rFonts w:ascii="Times New Roman" w:hAnsi="Times New Roman" w:cs="Times New Roman"/>
          <w:sz w:val="24"/>
          <w:szCs w:val="24"/>
        </w:rPr>
        <w:t xml:space="preserve">, </w:t>
      </w:r>
      <w:r w:rsidR="00360E8E" w:rsidRPr="00AE141E">
        <w:rPr>
          <w:rFonts w:ascii="Times New Roman" w:hAnsi="Times New Roman" w:cs="Times New Roman"/>
          <w:sz w:val="24"/>
          <w:szCs w:val="24"/>
        </w:rPr>
        <w:t>a</w:t>
      </w:r>
      <w:r w:rsidR="008549D2" w:rsidRPr="00AE141E">
        <w:rPr>
          <w:rFonts w:ascii="Times New Roman" w:hAnsi="Times New Roman" w:cs="Times New Roman"/>
          <w:sz w:val="24"/>
          <w:szCs w:val="24"/>
        </w:rPr>
        <w:t xml:space="preserve"> </w:t>
      </w:r>
      <w:r w:rsidR="00467F94" w:rsidRPr="00AE141E">
        <w:rPr>
          <w:rFonts w:ascii="Times New Roman" w:hAnsi="Times New Roman" w:cs="Times New Roman"/>
          <w:sz w:val="24"/>
          <w:szCs w:val="24"/>
        </w:rPr>
        <w:t xml:space="preserve">profound </w:t>
      </w:r>
      <w:r w:rsidR="00436C20" w:rsidRPr="00AE141E">
        <w:rPr>
          <w:rFonts w:ascii="Times New Roman" w:hAnsi="Times New Roman" w:cs="Times New Roman"/>
          <w:sz w:val="24"/>
          <w:szCs w:val="24"/>
        </w:rPr>
        <w:t>sense of national decline</w:t>
      </w:r>
      <w:r w:rsidR="00467F94" w:rsidRPr="00AE141E">
        <w:rPr>
          <w:rFonts w:ascii="Times New Roman" w:hAnsi="Times New Roman" w:cs="Times New Roman"/>
          <w:sz w:val="24"/>
          <w:szCs w:val="24"/>
        </w:rPr>
        <w:t xml:space="preserve"> –</w:t>
      </w:r>
      <w:r w:rsidR="00436C20" w:rsidRPr="00AE141E">
        <w:rPr>
          <w:rFonts w:ascii="Times New Roman" w:hAnsi="Times New Roman" w:cs="Times New Roman"/>
          <w:sz w:val="24"/>
          <w:szCs w:val="24"/>
        </w:rPr>
        <w:t xml:space="preserve"> associated</w:t>
      </w:r>
      <w:r w:rsidR="00467F94" w:rsidRPr="00AE141E">
        <w:rPr>
          <w:rFonts w:ascii="Times New Roman" w:hAnsi="Times New Roman" w:cs="Times New Roman"/>
          <w:sz w:val="24"/>
          <w:szCs w:val="24"/>
        </w:rPr>
        <w:t xml:space="preserve"> </w:t>
      </w:r>
      <w:r w:rsidR="00436C20" w:rsidRPr="00AE141E">
        <w:rPr>
          <w:rFonts w:ascii="Times New Roman" w:hAnsi="Times New Roman" w:cs="Times New Roman"/>
          <w:sz w:val="24"/>
          <w:szCs w:val="24"/>
        </w:rPr>
        <w:t>with the end of empire</w:t>
      </w:r>
      <w:r w:rsidR="00615E96" w:rsidRPr="00AE141E">
        <w:rPr>
          <w:rFonts w:ascii="Times New Roman" w:hAnsi="Times New Roman" w:cs="Times New Roman"/>
          <w:sz w:val="24"/>
          <w:szCs w:val="24"/>
        </w:rPr>
        <w:t>, the collapse of British industry, and the attendant loss of international economic dominance</w:t>
      </w:r>
      <w:r w:rsidR="00467F94" w:rsidRPr="00AE141E">
        <w:rPr>
          <w:rFonts w:ascii="Times New Roman" w:hAnsi="Times New Roman" w:cs="Times New Roman"/>
          <w:sz w:val="24"/>
          <w:szCs w:val="24"/>
        </w:rPr>
        <w:t xml:space="preserve"> –</w:t>
      </w:r>
      <w:r w:rsidR="00360E8E" w:rsidRPr="00AE141E">
        <w:rPr>
          <w:rFonts w:ascii="Times New Roman" w:hAnsi="Times New Roman" w:cs="Times New Roman"/>
          <w:sz w:val="24"/>
          <w:szCs w:val="24"/>
        </w:rPr>
        <w:t xml:space="preserve"> dominated</w:t>
      </w:r>
      <w:r w:rsidR="00467F94" w:rsidRPr="00AE141E">
        <w:rPr>
          <w:rFonts w:ascii="Times New Roman" w:hAnsi="Times New Roman" w:cs="Times New Roman"/>
          <w:sz w:val="24"/>
          <w:szCs w:val="24"/>
        </w:rPr>
        <w:t xml:space="preserve"> </w:t>
      </w:r>
      <w:r w:rsidR="00360E8E" w:rsidRPr="00AE141E">
        <w:rPr>
          <w:rFonts w:ascii="Times New Roman" w:hAnsi="Times New Roman" w:cs="Times New Roman"/>
          <w:sz w:val="24"/>
          <w:szCs w:val="24"/>
        </w:rPr>
        <w:t>popular culture</w:t>
      </w:r>
      <w:r w:rsidR="00615E96" w:rsidRPr="00AE141E">
        <w:rPr>
          <w:rFonts w:ascii="Times New Roman" w:hAnsi="Times New Roman" w:cs="Times New Roman"/>
          <w:sz w:val="24"/>
          <w:szCs w:val="24"/>
        </w:rPr>
        <w:t>.</w:t>
      </w:r>
      <w:r w:rsidR="00E75455" w:rsidRPr="00AE141E">
        <w:rPr>
          <w:rStyle w:val="FootnoteReference"/>
          <w:rFonts w:ascii="Times New Roman" w:hAnsi="Times New Roman" w:cs="Times New Roman"/>
          <w:sz w:val="24"/>
          <w:szCs w:val="24"/>
        </w:rPr>
        <w:footnoteReference w:id="451"/>
      </w:r>
      <w:r w:rsidR="00615E96" w:rsidRPr="00AE141E">
        <w:rPr>
          <w:rFonts w:ascii="Times New Roman" w:hAnsi="Times New Roman" w:cs="Times New Roman"/>
          <w:sz w:val="24"/>
          <w:szCs w:val="24"/>
        </w:rPr>
        <w:t xml:space="preserve"> </w:t>
      </w:r>
      <w:r w:rsidR="00BD6EFC" w:rsidRPr="00AE141E">
        <w:rPr>
          <w:rFonts w:ascii="Times New Roman" w:hAnsi="Times New Roman" w:cs="Times New Roman"/>
          <w:sz w:val="24"/>
          <w:szCs w:val="24"/>
        </w:rPr>
        <w:t>In this context</w:t>
      </w:r>
      <w:r w:rsidR="006A5DD0" w:rsidRPr="00AE141E">
        <w:rPr>
          <w:rFonts w:ascii="Times New Roman" w:hAnsi="Times New Roman" w:cs="Times New Roman"/>
          <w:sz w:val="24"/>
          <w:szCs w:val="24"/>
        </w:rPr>
        <w:t xml:space="preserve">, </w:t>
      </w:r>
      <w:r w:rsidR="00374ABA" w:rsidRPr="00AE141E">
        <w:rPr>
          <w:rFonts w:ascii="Times New Roman" w:hAnsi="Times New Roman" w:cs="Times New Roman"/>
          <w:sz w:val="24"/>
          <w:szCs w:val="24"/>
        </w:rPr>
        <w:t>representations of an idealised past</w:t>
      </w:r>
      <w:r w:rsidR="006B471F" w:rsidRPr="00AE141E">
        <w:rPr>
          <w:rFonts w:ascii="Times New Roman" w:hAnsi="Times New Roman" w:cs="Times New Roman"/>
          <w:sz w:val="24"/>
          <w:szCs w:val="24"/>
        </w:rPr>
        <w:t xml:space="preserve"> </w:t>
      </w:r>
      <w:r w:rsidR="00A11519" w:rsidRPr="00AE141E">
        <w:rPr>
          <w:rFonts w:ascii="Times New Roman" w:hAnsi="Times New Roman" w:cs="Times New Roman"/>
          <w:sz w:val="24"/>
          <w:szCs w:val="24"/>
        </w:rPr>
        <w:t>function</w:t>
      </w:r>
      <w:r w:rsidR="00963A33" w:rsidRPr="00AE141E">
        <w:rPr>
          <w:rFonts w:ascii="Times New Roman" w:hAnsi="Times New Roman" w:cs="Times New Roman"/>
          <w:sz w:val="24"/>
          <w:szCs w:val="24"/>
        </w:rPr>
        <w:t>ed as a form</w:t>
      </w:r>
      <w:r w:rsidR="00A11519" w:rsidRPr="00AE141E">
        <w:rPr>
          <w:rFonts w:ascii="Times New Roman" w:hAnsi="Times New Roman" w:cs="Times New Roman"/>
          <w:sz w:val="24"/>
          <w:szCs w:val="24"/>
        </w:rPr>
        <w:t xml:space="preserve"> of escapism</w:t>
      </w:r>
      <w:r w:rsidR="00374ABA" w:rsidRPr="00AE141E">
        <w:rPr>
          <w:rFonts w:ascii="Times New Roman" w:hAnsi="Times New Roman" w:cs="Times New Roman"/>
          <w:sz w:val="24"/>
          <w:szCs w:val="24"/>
        </w:rPr>
        <w:t>. British people</w:t>
      </w:r>
      <w:r w:rsidR="008359E2" w:rsidRPr="00AE141E">
        <w:rPr>
          <w:rFonts w:ascii="Times New Roman" w:hAnsi="Times New Roman" w:cs="Times New Roman"/>
          <w:sz w:val="24"/>
          <w:szCs w:val="24"/>
        </w:rPr>
        <w:t xml:space="preserve"> </w:t>
      </w:r>
      <w:r w:rsidR="00A11519" w:rsidRPr="00AE141E">
        <w:rPr>
          <w:rFonts w:ascii="Times New Roman" w:hAnsi="Times New Roman" w:cs="Times New Roman"/>
          <w:sz w:val="24"/>
          <w:szCs w:val="24"/>
        </w:rPr>
        <w:t>became</w:t>
      </w:r>
      <w:r w:rsidR="00374ABA" w:rsidRPr="00AE141E">
        <w:rPr>
          <w:rFonts w:ascii="Times New Roman" w:hAnsi="Times New Roman" w:cs="Times New Roman"/>
          <w:sz w:val="24"/>
          <w:szCs w:val="24"/>
        </w:rPr>
        <w:t xml:space="preserve"> </w:t>
      </w:r>
      <w:r w:rsidR="0028383C" w:rsidRPr="00AE141E">
        <w:rPr>
          <w:rFonts w:ascii="Times New Roman" w:hAnsi="Times New Roman" w:cs="Times New Roman"/>
          <w:sz w:val="24"/>
          <w:szCs w:val="24"/>
        </w:rPr>
        <w:t>both manufacturers</w:t>
      </w:r>
      <w:r w:rsidR="008359E2" w:rsidRPr="00AE141E">
        <w:rPr>
          <w:rFonts w:ascii="Times New Roman" w:hAnsi="Times New Roman" w:cs="Times New Roman"/>
          <w:sz w:val="24"/>
          <w:szCs w:val="24"/>
        </w:rPr>
        <w:t xml:space="preserve"> of</w:t>
      </w:r>
      <w:r w:rsidR="00AB4C8A" w:rsidRPr="00AE141E">
        <w:rPr>
          <w:rFonts w:ascii="Times New Roman" w:hAnsi="Times New Roman" w:cs="Times New Roman"/>
          <w:sz w:val="24"/>
          <w:szCs w:val="24"/>
        </w:rPr>
        <w:t>,</w:t>
      </w:r>
      <w:r w:rsidR="0028383C" w:rsidRPr="00AE141E">
        <w:rPr>
          <w:rFonts w:ascii="Times New Roman" w:hAnsi="Times New Roman" w:cs="Times New Roman"/>
          <w:sz w:val="24"/>
          <w:szCs w:val="24"/>
        </w:rPr>
        <w:t xml:space="preserve"> and </w:t>
      </w:r>
      <w:r w:rsidR="008359E2" w:rsidRPr="00AE141E">
        <w:rPr>
          <w:rFonts w:ascii="Times New Roman" w:hAnsi="Times New Roman" w:cs="Times New Roman"/>
          <w:sz w:val="24"/>
          <w:szCs w:val="24"/>
        </w:rPr>
        <w:t xml:space="preserve">a </w:t>
      </w:r>
      <w:r w:rsidR="0028383C" w:rsidRPr="00AE141E">
        <w:rPr>
          <w:rFonts w:ascii="Times New Roman" w:hAnsi="Times New Roman" w:cs="Times New Roman"/>
          <w:sz w:val="24"/>
          <w:szCs w:val="24"/>
        </w:rPr>
        <w:t>market for</w:t>
      </w:r>
      <w:r w:rsidR="00AB4C8A" w:rsidRPr="00AE141E">
        <w:rPr>
          <w:rFonts w:ascii="Times New Roman" w:hAnsi="Times New Roman" w:cs="Times New Roman"/>
          <w:sz w:val="24"/>
          <w:szCs w:val="24"/>
        </w:rPr>
        <w:t>,</w:t>
      </w:r>
      <w:r w:rsidR="0028383C" w:rsidRPr="00AE141E">
        <w:rPr>
          <w:rFonts w:ascii="Times New Roman" w:hAnsi="Times New Roman" w:cs="Times New Roman"/>
          <w:sz w:val="24"/>
          <w:szCs w:val="24"/>
        </w:rPr>
        <w:t xml:space="preserve"> </w:t>
      </w:r>
      <w:r w:rsidR="003D69FB" w:rsidRPr="00AE141E">
        <w:rPr>
          <w:rFonts w:ascii="Times New Roman" w:hAnsi="Times New Roman" w:cs="Times New Roman"/>
          <w:sz w:val="24"/>
          <w:szCs w:val="24"/>
        </w:rPr>
        <w:t xml:space="preserve">what Hewison </w:t>
      </w:r>
      <w:r w:rsidR="00DB1878" w:rsidRPr="00AE141E">
        <w:rPr>
          <w:rFonts w:ascii="Times New Roman" w:hAnsi="Times New Roman" w:cs="Times New Roman"/>
          <w:sz w:val="24"/>
          <w:szCs w:val="24"/>
        </w:rPr>
        <w:t>termed the ‘heritage industry’.</w:t>
      </w:r>
      <w:r w:rsidR="0028383C" w:rsidRPr="00AE141E">
        <w:rPr>
          <w:rFonts w:ascii="Times New Roman" w:hAnsi="Times New Roman" w:cs="Times New Roman"/>
          <w:sz w:val="24"/>
          <w:szCs w:val="24"/>
        </w:rPr>
        <w:t xml:space="preserve"> </w:t>
      </w:r>
      <w:r w:rsidR="00670051" w:rsidRPr="00AE141E">
        <w:rPr>
          <w:rFonts w:ascii="Times New Roman" w:hAnsi="Times New Roman" w:cs="Times New Roman"/>
          <w:sz w:val="24"/>
          <w:szCs w:val="24"/>
        </w:rPr>
        <w:t>The</w:t>
      </w:r>
      <w:r w:rsidR="004D7D86" w:rsidRPr="00AE141E">
        <w:rPr>
          <w:rFonts w:ascii="Times New Roman" w:hAnsi="Times New Roman" w:cs="Times New Roman"/>
          <w:sz w:val="24"/>
          <w:szCs w:val="24"/>
        </w:rPr>
        <w:t xml:space="preserve"> brutality of </w:t>
      </w:r>
      <w:r w:rsidR="0071492C" w:rsidRPr="00AE141E">
        <w:rPr>
          <w:rFonts w:ascii="Times New Roman" w:hAnsi="Times New Roman" w:cs="Times New Roman"/>
          <w:sz w:val="24"/>
          <w:szCs w:val="24"/>
        </w:rPr>
        <w:t>imperial history could have no place in a cultural phenomenon calculated</w:t>
      </w:r>
      <w:r w:rsidR="00971122" w:rsidRPr="00AE141E">
        <w:rPr>
          <w:rFonts w:ascii="Times New Roman" w:hAnsi="Times New Roman" w:cs="Times New Roman"/>
          <w:sz w:val="24"/>
          <w:szCs w:val="24"/>
        </w:rPr>
        <w:t xml:space="preserve"> above all</w:t>
      </w:r>
      <w:r w:rsidR="0071492C" w:rsidRPr="00AE141E">
        <w:rPr>
          <w:rFonts w:ascii="Times New Roman" w:hAnsi="Times New Roman" w:cs="Times New Roman"/>
          <w:sz w:val="24"/>
          <w:szCs w:val="24"/>
        </w:rPr>
        <w:t xml:space="preserve"> to </w:t>
      </w:r>
      <w:r w:rsidR="00971122" w:rsidRPr="00AE141E">
        <w:rPr>
          <w:rFonts w:ascii="Times New Roman" w:hAnsi="Times New Roman" w:cs="Times New Roman"/>
          <w:sz w:val="24"/>
          <w:szCs w:val="24"/>
        </w:rPr>
        <w:t>evoke feelings of pride and comf</w:t>
      </w:r>
      <w:r w:rsidR="00924B79" w:rsidRPr="00AE141E">
        <w:rPr>
          <w:rFonts w:ascii="Times New Roman" w:hAnsi="Times New Roman" w:cs="Times New Roman"/>
          <w:sz w:val="24"/>
          <w:szCs w:val="24"/>
        </w:rPr>
        <w:t xml:space="preserve">ort. Empire would either have to be celebrated as an integral </w:t>
      </w:r>
      <w:r w:rsidR="00970641" w:rsidRPr="00AE141E">
        <w:rPr>
          <w:rFonts w:ascii="Times New Roman" w:hAnsi="Times New Roman" w:cs="Times New Roman"/>
          <w:sz w:val="24"/>
          <w:szCs w:val="24"/>
        </w:rPr>
        <w:t>part of the national heritage or</w:t>
      </w:r>
      <w:r w:rsidR="00B64191" w:rsidRPr="00AE141E">
        <w:rPr>
          <w:rFonts w:ascii="Times New Roman" w:hAnsi="Times New Roman" w:cs="Times New Roman"/>
          <w:sz w:val="24"/>
          <w:szCs w:val="24"/>
        </w:rPr>
        <w:t xml:space="preserve"> </w:t>
      </w:r>
      <w:r w:rsidR="001550FD" w:rsidRPr="00AE141E">
        <w:rPr>
          <w:rFonts w:ascii="Times New Roman" w:hAnsi="Times New Roman" w:cs="Times New Roman"/>
          <w:sz w:val="24"/>
          <w:szCs w:val="24"/>
        </w:rPr>
        <w:t xml:space="preserve">excluded from the ‘past made present’ – confined to a distant recess of history </w:t>
      </w:r>
      <w:r w:rsidR="00860DDE" w:rsidRPr="00AE141E">
        <w:rPr>
          <w:rFonts w:ascii="Times New Roman" w:hAnsi="Times New Roman" w:cs="Times New Roman"/>
          <w:sz w:val="24"/>
          <w:szCs w:val="24"/>
        </w:rPr>
        <w:t>which could have no bearing on contemporary realities.</w:t>
      </w:r>
      <w:r w:rsidR="00EF2F08">
        <w:rPr>
          <w:rStyle w:val="FootnoteReference"/>
          <w:rFonts w:ascii="Times New Roman" w:hAnsi="Times New Roman" w:cs="Times New Roman"/>
          <w:sz w:val="24"/>
          <w:szCs w:val="24"/>
        </w:rPr>
        <w:footnoteReference w:id="452"/>
      </w:r>
      <w:r w:rsidR="00EF2F08">
        <w:rPr>
          <w:rFonts w:ascii="Times New Roman" w:hAnsi="Times New Roman" w:cs="Times New Roman"/>
          <w:sz w:val="24"/>
          <w:szCs w:val="24"/>
        </w:rPr>
        <w:t xml:space="preserve"> </w:t>
      </w:r>
      <w:r w:rsidR="003037F1" w:rsidRPr="00AE141E">
        <w:rPr>
          <w:rFonts w:ascii="Times New Roman" w:hAnsi="Times New Roman" w:cs="Times New Roman"/>
          <w:sz w:val="24"/>
          <w:szCs w:val="24"/>
        </w:rPr>
        <w:t xml:space="preserve">When </w:t>
      </w:r>
      <w:r w:rsidR="00E75455" w:rsidRPr="00AE141E">
        <w:rPr>
          <w:rFonts w:ascii="Times New Roman" w:hAnsi="Times New Roman" w:cs="Times New Roman"/>
          <w:sz w:val="24"/>
          <w:szCs w:val="24"/>
        </w:rPr>
        <w:t>Brown</w:t>
      </w:r>
      <w:r w:rsidR="003037F1" w:rsidRPr="00AE141E">
        <w:rPr>
          <w:rFonts w:ascii="Times New Roman" w:hAnsi="Times New Roman" w:cs="Times New Roman"/>
          <w:sz w:val="24"/>
          <w:szCs w:val="24"/>
        </w:rPr>
        <w:t xml:space="preserve"> lacerated White society’s </w:t>
      </w:r>
      <w:r w:rsidR="006C028F" w:rsidRPr="00AE141E">
        <w:rPr>
          <w:rFonts w:ascii="Times New Roman" w:hAnsi="Times New Roman" w:cs="Times New Roman"/>
          <w:sz w:val="24"/>
          <w:szCs w:val="24"/>
        </w:rPr>
        <w:t xml:space="preserve">entitlement to ‘its valued heritage’, </w:t>
      </w:r>
      <w:r w:rsidR="002A5128" w:rsidRPr="00AE141E">
        <w:rPr>
          <w:rFonts w:ascii="Times New Roman" w:hAnsi="Times New Roman" w:cs="Times New Roman"/>
          <w:sz w:val="24"/>
          <w:szCs w:val="24"/>
        </w:rPr>
        <w:t>it was this erasure to which she referred.</w:t>
      </w:r>
    </w:p>
    <w:p w14:paraId="6D7D7CB5" w14:textId="5EA7F1E5" w:rsidR="0054462A" w:rsidRPr="00AE141E" w:rsidRDefault="00BA663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Writing in</w:t>
      </w:r>
      <w:r w:rsidR="00DB5FF5" w:rsidRPr="00AE141E">
        <w:rPr>
          <w:rFonts w:ascii="Times New Roman" w:hAnsi="Times New Roman" w:cs="Times New Roman"/>
          <w:sz w:val="24"/>
          <w:szCs w:val="24"/>
        </w:rPr>
        <w:t xml:space="preserve"> 1987, Hewison </w:t>
      </w:r>
      <w:r w:rsidR="009C25CC" w:rsidRPr="00AE141E">
        <w:rPr>
          <w:rFonts w:ascii="Times New Roman" w:hAnsi="Times New Roman" w:cs="Times New Roman"/>
          <w:sz w:val="24"/>
          <w:szCs w:val="24"/>
        </w:rPr>
        <w:t>suggested that the use of heritage to ameliorate the climate of national decline</w:t>
      </w:r>
      <w:r w:rsidR="001E066B" w:rsidRPr="00AE141E">
        <w:rPr>
          <w:rFonts w:ascii="Times New Roman" w:hAnsi="Times New Roman" w:cs="Times New Roman"/>
          <w:sz w:val="24"/>
          <w:szCs w:val="24"/>
        </w:rPr>
        <w:t xml:space="preserve"> was ultimately in vain</w:t>
      </w:r>
      <w:r w:rsidR="009C009A" w:rsidRPr="00AE141E">
        <w:rPr>
          <w:rFonts w:ascii="Times New Roman" w:hAnsi="Times New Roman" w:cs="Times New Roman"/>
          <w:sz w:val="24"/>
          <w:szCs w:val="24"/>
        </w:rPr>
        <w:t xml:space="preserve">, and </w:t>
      </w:r>
      <w:r w:rsidR="00EF3FA5" w:rsidRPr="00AE141E">
        <w:rPr>
          <w:rFonts w:ascii="Times New Roman" w:hAnsi="Times New Roman" w:cs="Times New Roman"/>
          <w:sz w:val="24"/>
          <w:szCs w:val="24"/>
        </w:rPr>
        <w:t xml:space="preserve">indeed </w:t>
      </w:r>
      <w:r w:rsidR="009C009A" w:rsidRPr="00AE141E">
        <w:rPr>
          <w:rFonts w:ascii="Times New Roman" w:hAnsi="Times New Roman" w:cs="Times New Roman"/>
          <w:sz w:val="24"/>
          <w:szCs w:val="24"/>
        </w:rPr>
        <w:t xml:space="preserve">risked compounding feelings of </w:t>
      </w:r>
      <w:r w:rsidR="00EF3FA5" w:rsidRPr="00AE141E">
        <w:rPr>
          <w:rFonts w:ascii="Times New Roman" w:hAnsi="Times New Roman" w:cs="Times New Roman"/>
          <w:sz w:val="24"/>
          <w:szCs w:val="24"/>
        </w:rPr>
        <w:t>desperation</w:t>
      </w:r>
      <w:r w:rsidR="003F0C5B" w:rsidRPr="00AE141E">
        <w:rPr>
          <w:rFonts w:ascii="Times New Roman" w:hAnsi="Times New Roman" w:cs="Times New Roman"/>
          <w:sz w:val="24"/>
          <w:szCs w:val="24"/>
        </w:rPr>
        <w:t xml:space="preserve">. </w:t>
      </w:r>
      <w:r w:rsidR="00EF3FA5" w:rsidRPr="00AE141E">
        <w:rPr>
          <w:rFonts w:ascii="Times New Roman" w:hAnsi="Times New Roman" w:cs="Times New Roman"/>
          <w:sz w:val="24"/>
          <w:szCs w:val="24"/>
        </w:rPr>
        <w:t xml:space="preserve">If a society orientated itself towards the past, then it conceded that the </w:t>
      </w:r>
      <w:r w:rsidR="00F91290" w:rsidRPr="00AE141E">
        <w:rPr>
          <w:rFonts w:ascii="Times New Roman" w:hAnsi="Times New Roman" w:cs="Times New Roman"/>
          <w:sz w:val="24"/>
          <w:szCs w:val="24"/>
        </w:rPr>
        <w:t>present and future were of a predetermined, inferior nature</w:t>
      </w:r>
      <w:r w:rsidR="008D541F" w:rsidRPr="00AE141E">
        <w:rPr>
          <w:rFonts w:ascii="Times New Roman" w:hAnsi="Times New Roman" w:cs="Times New Roman"/>
          <w:sz w:val="24"/>
          <w:szCs w:val="24"/>
        </w:rPr>
        <w:t>.</w:t>
      </w:r>
      <w:r w:rsidR="00EF3FA5" w:rsidRPr="00AE141E">
        <w:rPr>
          <w:rFonts w:ascii="Times New Roman" w:hAnsi="Times New Roman" w:cs="Times New Roman"/>
          <w:sz w:val="24"/>
          <w:szCs w:val="24"/>
        </w:rPr>
        <w:t xml:space="preserve"> </w:t>
      </w:r>
      <w:r w:rsidR="008D541F" w:rsidRPr="00AE141E">
        <w:rPr>
          <w:rFonts w:ascii="Times New Roman" w:hAnsi="Times New Roman" w:cs="Times New Roman"/>
          <w:sz w:val="24"/>
          <w:szCs w:val="24"/>
        </w:rPr>
        <w:t>The inevitable result was a loss of all</w:t>
      </w:r>
      <w:r w:rsidR="001E066B" w:rsidRPr="00AE141E">
        <w:rPr>
          <w:rFonts w:ascii="Times New Roman" w:hAnsi="Times New Roman" w:cs="Times New Roman"/>
          <w:sz w:val="24"/>
          <w:szCs w:val="24"/>
        </w:rPr>
        <w:t xml:space="preserve"> </w:t>
      </w:r>
      <w:r w:rsidR="008D541F" w:rsidRPr="00AE141E">
        <w:rPr>
          <w:rFonts w:ascii="Times New Roman" w:hAnsi="Times New Roman" w:cs="Times New Roman"/>
          <w:sz w:val="24"/>
          <w:szCs w:val="24"/>
        </w:rPr>
        <w:t>‘</w:t>
      </w:r>
      <w:r w:rsidR="001E066B" w:rsidRPr="00AE141E">
        <w:rPr>
          <w:rFonts w:ascii="Times New Roman" w:hAnsi="Times New Roman" w:cs="Times New Roman"/>
          <w:sz w:val="24"/>
          <w:szCs w:val="24"/>
        </w:rPr>
        <w:t>capacity for creative change’.</w:t>
      </w:r>
      <w:r w:rsidR="008032B3" w:rsidRPr="00AE141E">
        <w:rPr>
          <w:rStyle w:val="FootnoteReference"/>
          <w:rFonts w:ascii="Times New Roman" w:hAnsi="Times New Roman" w:cs="Times New Roman"/>
          <w:sz w:val="24"/>
          <w:szCs w:val="24"/>
        </w:rPr>
        <w:footnoteReference w:id="453"/>
      </w:r>
      <w:r w:rsidR="006012E4" w:rsidRPr="00AE141E">
        <w:rPr>
          <w:rFonts w:ascii="Times New Roman" w:hAnsi="Times New Roman" w:cs="Times New Roman"/>
          <w:sz w:val="24"/>
          <w:szCs w:val="24"/>
        </w:rPr>
        <w:t xml:space="preserve"> </w:t>
      </w:r>
      <w:r w:rsidR="00123CE9">
        <w:rPr>
          <w:rFonts w:ascii="Times New Roman" w:hAnsi="Times New Roman" w:cs="Times New Roman"/>
          <w:sz w:val="24"/>
          <w:szCs w:val="24"/>
        </w:rPr>
        <w:t>Likewise, t</w:t>
      </w:r>
      <w:r w:rsidR="006012E4" w:rsidRPr="00AE141E">
        <w:rPr>
          <w:rFonts w:ascii="Times New Roman" w:hAnsi="Times New Roman" w:cs="Times New Roman"/>
          <w:sz w:val="24"/>
          <w:szCs w:val="24"/>
        </w:rPr>
        <w:t xml:space="preserve">he French </w:t>
      </w:r>
      <w:r w:rsidR="006262D9" w:rsidRPr="00AE141E">
        <w:rPr>
          <w:rFonts w:ascii="Times New Roman" w:hAnsi="Times New Roman" w:cs="Times New Roman"/>
          <w:sz w:val="24"/>
          <w:szCs w:val="24"/>
        </w:rPr>
        <w:t>sociologist</w:t>
      </w:r>
      <w:r w:rsidR="006012E4" w:rsidRPr="00AE141E">
        <w:rPr>
          <w:rFonts w:ascii="Times New Roman" w:hAnsi="Times New Roman" w:cs="Times New Roman"/>
          <w:sz w:val="24"/>
          <w:szCs w:val="24"/>
        </w:rPr>
        <w:t xml:space="preserve"> </w:t>
      </w:r>
      <w:r w:rsidR="006262D9" w:rsidRPr="00AE141E">
        <w:rPr>
          <w:rFonts w:ascii="Times New Roman" w:hAnsi="Times New Roman" w:cs="Times New Roman"/>
          <w:sz w:val="24"/>
          <w:szCs w:val="24"/>
        </w:rPr>
        <w:t>Jean Baudrillard</w:t>
      </w:r>
      <w:r w:rsidR="006012E4" w:rsidRPr="00AE141E">
        <w:rPr>
          <w:rFonts w:ascii="Times New Roman" w:hAnsi="Times New Roman" w:cs="Times New Roman"/>
          <w:sz w:val="24"/>
          <w:szCs w:val="24"/>
        </w:rPr>
        <w:t xml:space="preserve"> </w:t>
      </w:r>
      <w:r w:rsidR="00123CE9">
        <w:rPr>
          <w:rFonts w:ascii="Times New Roman" w:hAnsi="Times New Roman" w:cs="Times New Roman"/>
          <w:sz w:val="24"/>
          <w:szCs w:val="24"/>
        </w:rPr>
        <w:t>has posited</w:t>
      </w:r>
      <w:r w:rsidR="00943F4B" w:rsidRPr="00AE141E">
        <w:rPr>
          <w:rFonts w:ascii="Times New Roman" w:hAnsi="Times New Roman" w:cs="Times New Roman"/>
          <w:sz w:val="24"/>
          <w:szCs w:val="24"/>
        </w:rPr>
        <w:t xml:space="preserve"> that a mass fixation on the conservation of </w:t>
      </w:r>
      <w:r w:rsidR="000D20D9" w:rsidRPr="00AE141E">
        <w:rPr>
          <w:rFonts w:ascii="Times New Roman" w:hAnsi="Times New Roman" w:cs="Times New Roman"/>
          <w:sz w:val="24"/>
          <w:szCs w:val="24"/>
        </w:rPr>
        <w:t xml:space="preserve">symbols of a cherished past militated against </w:t>
      </w:r>
      <w:r w:rsidR="00964557" w:rsidRPr="00AE141E">
        <w:rPr>
          <w:rFonts w:ascii="Times New Roman" w:hAnsi="Times New Roman" w:cs="Times New Roman"/>
          <w:sz w:val="24"/>
          <w:szCs w:val="24"/>
        </w:rPr>
        <w:t>history-making in the present.</w:t>
      </w:r>
      <w:r w:rsidR="003A7ACB" w:rsidRPr="00AE141E">
        <w:rPr>
          <w:rStyle w:val="FootnoteReference"/>
          <w:rFonts w:ascii="Times New Roman" w:hAnsi="Times New Roman" w:cs="Times New Roman"/>
          <w:sz w:val="24"/>
          <w:szCs w:val="24"/>
        </w:rPr>
        <w:footnoteReference w:id="454"/>
      </w:r>
      <w:r w:rsidR="00964557" w:rsidRPr="00AE141E">
        <w:rPr>
          <w:rFonts w:ascii="Times New Roman" w:hAnsi="Times New Roman" w:cs="Times New Roman"/>
          <w:sz w:val="24"/>
          <w:szCs w:val="24"/>
        </w:rPr>
        <w:t xml:space="preserve"> By contrast, the BEM’s emphasis on </w:t>
      </w:r>
      <w:r w:rsidR="00E80022" w:rsidRPr="00AE141E">
        <w:rPr>
          <w:rFonts w:ascii="Times New Roman" w:hAnsi="Times New Roman" w:cs="Times New Roman"/>
          <w:sz w:val="24"/>
          <w:szCs w:val="24"/>
        </w:rPr>
        <w:t xml:space="preserve">the recovery </w:t>
      </w:r>
      <w:r w:rsidR="00AD5FA0" w:rsidRPr="00AE141E">
        <w:rPr>
          <w:rFonts w:ascii="Times New Roman" w:hAnsi="Times New Roman" w:cs="Times New Roman"/>
          <w:sz w:val="24"/>
          <w:szCs w:val="24"/>
        </w:rPr>
        <w:t xml:space="preserve">and </w:t>
      </w:r>
      <w:r w:rsidR="001610C7" w:rsidRPr="00AE141E">
        <w:rPr>
          <w:rFonts w:ascii="Times New Roman" w:hAnsi="Times New Roman" w:cs="Times New Roman"/>
          <w:sz w:val="24"/>
          <w:szCs w:val="24"/>
        </w:rPr>
        <w:t>restitution</w:t>
      </w:r>
      <w:r w:rsidR="00AD5FA0" w:rsidRPr="00AE141E">
        <w:rPr>
          <w:rFonts w:ascii="Times New Roman" w:hAnsi="Times New Roman" w:cs="Times New Roman"/>
          <w:sz w:val="24"/>
          <w:szCs w:val="24"/>
        </w:rPr>
        <w:t xml:space="preserve"> of </w:t>
      </w:r>
      <w:r w:rsidR="00471FD5" w:rsidRPr="00AE141E">
        <w:rPr>
          <w:rFonts w:ascii="Times New Roman" w:hAnsi="Times New Roman" w:cs="Times New Roman"/>
          <w:sz w:val="24"/>
          <w:szCs w:val="24"/>
        </w:rPr>
        <w:t>an African</w:t>
      </w:r>
      <w:r w:rsidR="00AD5FA0" w:rsidRPr="00AE141E">
        <w:rPr>
          <w:rFonts w:ascii="Times New Roman" w:hAnsi="Times New Roman" w:cs="Times New Roman"/>
          <w:sz w:val="24"/>
          <w:szCs w:val="24"/>
        </w:rPr>
        <w:t xml:space="preserve"> cultural inheritance was self-consciously futuristic.</w:t>
      </w:r>
      <w:r w:rsidR="000F5D2D" w:rsidRPr="00AE141E">
        <w:rPr>
          <w:rFonts w:ascii="Times New Roman" w:hAnsi="Times New Roman" w:cs="Times New Roman"/>
          <w:sz w:val="24"/>
          <w:szCs w:val="24"/>
        </w:rPr>
        <w:t xml:space="preserve"> </w:t>
      </w:r>
      <w:r w:rsidR="00921B96" w:rsidRPr="00AE141E">
        <w:rPr>
          <w:rFonts w:ascii="Times New Roman" w:hAnsi="Times New Roman" w:cs="Times New Roman"/>
          <w:sz w:val="24"/>
          <w:szCs w:val="24"/>
        </w:rPr>
        <w:t>Th</w:t>
      </w:r>
      <w:r w:rsidR="00A33C03" w:rsidRPr="00AE141E">
        <w:rPr>
          <w:rFonts w:ascii="Times New Roman" w:hAnsi="Times New Roman" w:cs="Times New Roman"/>
          <w:sz w:val="24"/>
          <w:szCs w:val="24"/>
        </w:rPr>
        <w:t xml:space="preserve">e preservation of Black history was itself an act of </w:t>
      </w:r>
      <w:r w:rsidR="00557267" w:rsidRPr="00AE141E">
        <w:rPr>
          <w:rFonts w:ascii="Times New Roman" w:hAnsi="Times New Roman" w:cs="Times New Roman"/>
          <w:sz w:val="24"/>
          <w:szCs w:val="24"/>
        </w:rPr>
        <w:t>rebellion</w:t>
      </w:r>
      <w:r w:rsidR="00A33C03" w:rsidRPr="00AE141E">
        <w:rPr>
          <w:rFonts w:ascii="Times New Roman" w:hAnsi="Times New Roman" w:cs="Times New Roman"/>
          <w:sz w:val="24"/>
          <w:szCs w:val="24"/>
        </w:rPr>
        <w:t>. Those who sought meaning in the p</w:t>
      </w:r>
      <w:r w:rsidR="009B68E7" w:rsidRPr="00AE141E">
        <w:rPr>
          <w:rFonts w:ascii="Times New Roman" w:hAnsi="Times New Roman" w:cs="Times New Roman"/>
          <w:sz w:val="24"/>
          <w:szCs w:val="24"/>
        </w:rPr>
        <w:t xml:space="preserve">ast typically </w:t>
      </w:r>
      <w:r w:rsidR="00D61E57" w:rsidRPr="00AE141E">
        <w:rPr>
          <w:rFonts w:ascii="Times New Roman" w:hAnsi="Times New Roman" w:cs="Times New Roman"/>
          <w:sz w:val="24"/>
          <w:szCs w:val="24"/>
        </w:rPr>
        <w:t xml:space="preserve">understood it as a repository of examples </w:t>
      </w:r>
      <w:r w:rsidR="00557267" w:rsidRPr="00AE141E">
        <w:rPr>
          <w:rFonts w:ascii="Times New Roman" w:hAnsi="Times New Roman" w:cs="Times New Roman"/>
          <w:sz w:val="24"/>
          <w:szCs w:val="24"/>
        </w:rPr>
        <w:t xml:space="preserve">with the power to inspire and mould </w:t>
      </w:r>
      <w:r w:rsidR="000B68C4" w:rsidRPr="00AE141E">
        <w:rPr>
          <w:rFonts w:ascii="Times New Roman" w:hAnsi="Times New Roman" w:cs="Times New Roman"/>
          <w:sz w:val="24"/>
          <w:szCs w:val="24"/>
        </w:rPr>
        <w:t>contemporary</w:t>
      </w:r>
      <w:r w:rsidR="00557267" w:rsidRPr="00AE141E">
        <w:rPr>
          <w:rFonts w:ascii="Times New Roman" w:hAnsi="Times New Roman" w:cs="Times New Roman"/>
          <w:sz w:val="24"/>
          <w:szCs w:val="24"/>
        </w:rPr>
        <w:t xml:space="preserve"> resistance</w:t>
      </w:r>
      <w:r w:rsidR="00990570" w:rsidRPr="00AE141E">
        <w:rPr>
          <w:rFonts w:ascii="Times New Roman" w:hAnsi="Times New Roman" w:cs="Times New Roman"/>
          <w:sz w:val="24"/>
          <w:szCs w:val="24"/>
        </w:rPr>
        <w:t>, and to build a better world</w:t>
      </w:r>
      <w:r w:rsidR="00557267" w:rsidRPr="00AE141E">
        <w:rPr>
          <w:rFonts w:ascii="Times New Roman" w:hAnsi="Times New Roman" w:cs="Times New Roman"/>
          <w:sz w:val="24"/>
          <w:szCs w:val="24"/>
        </w:rPr>
        <w:t>.</w:t>
      </w:r>
      <w:r w:rsidR="00DD7DD0" w:rsidRPr="00AE141E">
        <w:rPr>
          <w:rFonts w:ascii="Times New Roman" w:hAnsi="Times New Roman" w:cs="Times New Roman"/>
          <w:sz w:val="24"/>
          <w:szCs w:val="24"/>
        </w:rPr>
        <w:t xml:space="preserve"> </w:t>
      </w:r>
    </w:p>
    <w:p w14:paraId="2E21094C" w14:textId="1894454A" w:rsidR="00B30682" w:rsidRPr="00AE141E" w:rsidRDefault="0093244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BEM </w:t>
      </w:r>
      <w:r w:rsidR="00990570" w:rsidRPr="00AE141E">
        <w:rPr>
          <w:rFonts w:ascii="Times New Roman" w:hAnsi="Times New Roman" w:cs="Times New Roman"/>
          <w:sz w:val="24"/>
          <w:szCs w:val="24"/>
        </w:rPr>
        <w:t xml:space="preserve">challenged </w:t>
      </w:r>
      <w:r w:rsidR="007C6021" w:rsidRPr="00AE141E">
        <w:rPr>
          <w:rFonts w:ascii="Times New Roman" w:hAnsi="Times New Roman" w:cs="Times New Roman"/>
          <w:sz w:val="24"/>
          <w:szCs w:val="24"/>
        </w:rPr>
        <w:t xml:space="preserve">dominant approaches to history and to heritage. </w:t>
      </w:r>
      <w:r w:rsidR="00517108" w:rsidRPr="00AE141E">
        <w:rPr>
          <w:rFonts w:ascii="Times New Roman" w:hAnsi="Times New Roman" w:cs="Times New Roman"/>
          <w:sz w:val="24"/>
          <w:szCs w:val="24"/>
        </w:rPr>
        <w:t>In contrast to the academic position of the historian as a</w:t>
      </w:r>
      <w:r w:rsidR="00686EB3" w:rsidRPr="00AE141E">
        <w:rPr>
          <w:rFonts w:ascii="Times New Roman" w:hAnsi="Times New Roman" w:cs="Times New Roman"/>
          <w:sz w:val="24"/>
          <w:szCs w:val="24"/>
        </w:rPr>
        <w:t xml:space="preserve"> neutral external observer, the BEM </w:t>
      </w:r>
      <w:r w:rsidR="00E42544" w:rsidRPr="00AE141E">
        <w:rPr>
          <w:rFonts w:ascii="Times New Roman" w:hAnsi="Times New Roman" w:cs="Times New Roman"/>
          <w:sz w:val="24"/>
          <w:szCs w:val="24"/>
        </w:rPr>
        <w:t>understood the historian as a fundamentally subjective role: histor</w:t>
      </w:r>
      <w:r w:rsidR="00D3176E" w:rsidRPr="00AE141E">
        <w:rPr>
          <w:rFonts w:ascii="Times New Roman" w:hAnsi="Times New Roman" w:cs="Times New Roman"/>
          <w:sz w:val="24"/>
          <w:szCs w:val="24"/>
        </w:rPr>
        <w:t xml:space="preserve">y was a tool of Black consciousness-building which was to be mobilised for and within Black movements. </w:t>
      </w:r>
      <w:r w:rsidR="00D245DB" w:rsidRPr="00AE141E">
        <w:rPr>
          <w:rFonts w:ascii="Times New Roman" w:hAnsi="Times New Roman" w:cs="Times New Roman"/>
          <w:sz w:val="24"/>
          <w:szCs w:val="24"/>
        </w:rPr>
        <w:t xml:space="preserve">History was neither a march towards progress nor </w:t>
      </w:r>
      <w:r w:rsidR="00E86EC6" w:rsidRPr="00AE141E">
        <w:rPr>
          <w:rFonts w:ascii="Times New Roman" w:hAnsi="Times New Roman" w:cs="Times New Roman"/>
          <w:sz w:val="24"/>
          <w:szCs w:val="24"/>
        </w:rPr>
        <w:t xml:space="preserve">a narrative fundamentally concerned with the dispossession and oppression of Black people. </w:t>
      </w:r>
      <w:r w:rsidR="0021196A" w:rsidRPr="00AE141E">
        <w:rPr>
          <w:rFonts w:ascii="Times New Roman" w:hAnsi="Times New Roman" w:cs="Times New Roman"/>
          <w:sz w:val="24"/>
          <w:szCs w:val="24"/>
        </w:rPr>
        <w:t>Rather, the power of Black resistance was its major theme.</w:t>
      </w:r>
      <w:r w:rsidR="00571979" w:rsidRPr="00AE141E">
        <w:rPr>
          <w:rFonts w:ascii="Times New Roman" w:hAnsi="Times New Roman" w:cs="Times New Roman"/>
          <w:sz w:val="24"/>
          <w:szCs w:val="24"/>
        </w:rPr>
        <w:t xml:space="preserve"> </w:t>
      </w:r>
      <w:r w:rsidR="00DD267B" w:rsidRPr="00AE141E">
        <w:rPr>
          <w:rFonts w:ascii="Times New Roman" w:hAnsi="Times New Roman" w:cs="Times New Roman"/>
          <w:sz w:val="24"/>
          <w:szCs w:val="24"/>
        </w:rPr>
        <w:t xml:space="preserve">To quote </w:t>
      </w:r>
      <w:r w:rsidR="00426326" w:rsidRPr="00AE141E">
        <w:rPr>
          <w:rFonts w:ascii="Times New Roman" w:hAnsi="Times New Roman" w:cs="Times New Roman"/>
          <w:sz w:val="24"/>
          <w:szCs w:val="24"/>
        </w:rPr>
        <w:t>Paul Gilroy</w:t>
      </w:r>
      <w:r w:rsidR="00621F10" w:rsidRPr="00AE141E">
        <w:rPr>
          <w:rFonts w:ascii="Times New Roman" w:hAnsi="Times New Roman" w:cs="Times New Roman"/>
          <w:sz w:val="24"/>
          <w:szCs w:val="24"/>
        </w:rPr>
        <w:t xml:space="preserve">, writing in a different context, </w:t>
      </w:r>
      <w:r w:rsidR="00DD43D3" w:rsidRPr="00AE141E">
        <w:rPr>
          <w:rFonts w:ascii="Times New Roman" w:hAnsi="Times New Roman" w:cs="Times New Roman"/>
          <w:sz w:val="24"/>
          <w:szCs w:val="24"/>
        </w:rPr>
        <w:t>the c</w:t>
      </w:r>
      <w:r w:rsidR="00780136" w:rsidRPr="00AE141E">
        <w:rPr>
          <w:rFonts w:ascii="Times New Roman" w:hAnsi="Times New Roman" w:cs="Times New Roman"/>
          <w:sz w:val="24"/>
          <w:szCs w:val="24"/>
        </w:rPr>
        <w:t>easeless</w:t>
      </w:r>
      <w:r w:rsidR="00DD43D3" w:rsidRPr="00AE141E">
        <w:rPr>
          <w:rFonts w:ascii="Times New Roman" w:hAnsi="Times New Roman" w:cs="Times New Roman"/>
          <w:sz w:val="24"/>
          <w:szCs w:val="24"/>
        </w:rPr>
        <w:t xml:space="preserve"> </w:t>
      </w:r>
      <w:r w:rsidR="00780136" w:rsidRPr="00AE141E">
        <w:rPr>
          <w:rFonts w:ascii="Times New Roman" w:hAnsi="Times New Roman" w:cs="Times New Roman"/>
          <w:sz w:val="24"/>
          <w:szCs w:val="24"/>
        </w:rPr>
        <w:t>reconstruct</w:t>
      </w:r>
      <w:r w:rsidR="00DD43D3" w:rsidRPr="00AE141E">
        <w:rPr>
          <w:rFonts w:ascii="Times New Roman" w:hAnsi="Times New Roman" w:cs="Times New Roman"/>
          <w:sz w:val="24"/>
          <w:szCs w:val="24"/>
        </w:rPr>
        <w:t>ion of history was nothing less than a celebration of the ‘</w:t>
      </w:r>
      <w:r w:rsidR="00780136" w:rsidRPr="00AE141E">
        <w:rPr>
          <w:rFonts w:ascii="Times New Roman" w:hAnsi="Times New Roman" w:cs="Times New Roman"/>
          <w:sz w:val="24"/>
          <w:szCs w:val="24"/>
        </w:rPr>
        <w:t>simple, unassailable fact</w:t>
      </w:r>
      <w:r w:rsidR="00DD43D3" w:rsidRPr="00AE141E">
        <w:rPr>
          <w:rFonts w:ascii="Times New Roman" w:hAnsi="Times New Roman" w:cs="Times New Roman"/>
          <w:sz w:val="24"/>
          <w:szCs w:val="24"/>
        </w:rPr>
        <w:t>’ of Black</w:t>
      </w:r>
      <w:r w:rsidR="00780136" w:rsidRPr="00AE141E">
        <w:rPr>
          <w:rFonts w:ascii="Times New Roman" w:hAnsi="Times New Roman" w:cs="Times New Roman"/>
          <w:sz w:val="24"/>
          <w:szCs w:val="24"/>
        </w:rPr>
        <w:t xml:space="preserve"> survival</w:t>
      </w:r>
      <w:r w:rsidR="00DD43D3" w:rsidRPr="00AE141E">
        <w:rPr>
          <w:rFonts w:ascii="Times New Roman" w:hAnsi="Times New Roman" w:cs="Times New Roman"/>
          <w:sz w:val="24"/>
          <w:szCs w:val="24"/>
        </w:rPr>
        <w:t>.</w:t>
      </w:r>
      <w:r w:rsidR="00DD43D3" w:rsidRPr="00AE141E">
        <w:rPr>
          <w:rStyle w:val="FootnoteReference"/>
          <w:rFonts w:ascii="Times New Roman" w:hAnsi="Times New Roman" w:cs="Times New Roman"/>
          <w:sz w:val="24"/>
          <w:szCs w:val="24"/>
        </w:rPr>
        <w:footnoteReference w:id="455"/>
      </w:r>
      <w:bookmarkStart w:id="16" w:name="_Hlk169789418"/>
      <w:r w:rsidR="00374142" w:rsidRPr="00AE141E">
        <w:rPr>
          <w:rFonts w:ascii="Times New Roman" w:hAnsi="Times New Roman" w:cs="Times New Roman"/>
          <w:sz w:val="24"/>
          <w:szCs w:val="24"/>
        </w:rPr>
        <w:t xml:space="preserve"> </w:t>
      </w:r>
      <w:r w:rsidR="003D35E8" w:rsidRPr="00AE141E">
        <w:rPr>
          <w:rFonts w:ascii="Times New Roman" w:hAnsi="Times New Roman" w:cs="Times New Roman"/>
          <w:sz w:val="24"/>
          <w:szCs w:val="24"/>
        </w:rPr>
        <w:t>With reference</w:t>
      </w:r>
      <w:r w:rsidR="00B30682" w:rsidRPr="00AE141E">
        <w:rPr>
          <w:rFonts w:ascii="Times New Roman" w:hAnsi="Times New Roman" w:cs="Times New Roman"/>
          <w:sz w:val="24"/>
          <w:szCs w:val="24"/>
        </w:rPr>
        <w:t xml:space="preserve"> to the Rasta movement, Garrison described how young people’s sense of rootedness in a rich historical tradition had ‘challenged the stereotype of the black person as held by white society, and indeed held by blacks themselves’.</w:t>
      </w:r>
      <w:r w:rsidR="00DD470C" w:rsidRPr="00AE141E">
        <w:rPr>
          <w:rStyle w:val="FootnoteReference"/>
          <w:rFonts w:ascii="Times New Roman" w:hAnsi="Times New Roman" w:cs="Times New Roman"/>
          <w:sz w:val="24"/>
          <w:szCs w:val="24"/>
        </w:rPr>
        <w:footnoteReference w:id="456"/>
      </w:r>
      <w:r w:rsidR="00B30682" w:rsidRPr="00AE141E">
        <w:rPr>
          <w:rFonts w:ascii="Times New Roman" w:hAnsi="Times New Roman" w:cs="Times New Roman"/>
          <w:sz w:val="24"/>
          <w:szCs w:val="24"/>
        </w:rPr>
        <w:t xml:space="preserve"> ‘More importantly’, he suggested, ‘it has been challenging the education system, because the black child is taking on a new level of self-awareness’</w:t>
      </w:r>
      <w:r w:rsidR="00817429">
        <w:rPr>
          <w:rFonts w:ascii="Times New Roman" w:hAnsi="Times New Roman" w:cs="Times New Roman"/>
          <w:sz w:val="24"/>
          <w:szCs w:val="24"/>
        </w:rPr>
        <w:t>;</w:t>
      </w:r>
      <w:r w:rsidR="00051EBA" w:rsidRPr="00AE141E">
        <w:rPr>
          <w:rFonts w:ascii="Times New Roman" w:hAnsi="Times New Roman" w:cs="Times New Roman"/>
          <w:sz w:val="24"/>
          <w:szCs w:val="24"/>
        </w:rPr>
        <w:t xml:space="preserve"> </w:t>
      </w:r>
      <w:r w:rsidR="00B30682" w:rsidRPr="00AE141E">
        <w:rPr>
          <w:rFonts w:ascii="Times New Roman" w:hAnsi="Times New Roman" w:cs="Times New Roman"/>
          <w:sz w:val="24"/>
          <w:szCs w:val="24"/>
        </w:rPr>
        <w:t xml:space="preserve">Black pupils no longer felt apologetic about their Blackness, nor did they feel personally responsible for their perceived failure to achieve within a racist system. </w:t>
      </w:r>
      <w:r w:rsidR="002270B8">
        <w:rPr>
          <w:rFonts w:ascii="Times New Roman" w:hAnsi="Times New Roman" w:cs="Times New Roman"/>
          <w:sz w:val="24"/>
          <w:szCs w:val="24"/>
        </w:rPr>
        <w:t>Certainly, it seems that m</w:t>
      </w:r>
      <w:r w:rsidR="00B30682" w:rsidRPr="00AE141E">
        <w:rPr>
          <w:rFonts w:ascii="Times New Roman" w:hAnsi="Times New Roman" w:cs="Times New Roman"/>
          <w:sz w:val="24"/>
          <w:szCs w:val="24"/>
        </w:rPr>
        <w:t>any felt empowered to publicly criticise the education they were receiving. As a result of the contemporary interest in the practice of children’s self-</w:t>
      </w:r>
      <w:r w:rsidR="00B30682" w:rsidRPr="00AE141E">
        <w:rPr>
          <w:rFonts w:ascii="Times New Roman" w:hAnsi="Times New Roman" w:cs="Times New Roman"/>
          <w:sz w:val="24"/>
          <w:szCs w:val="24"/>
        </w:rPr>
        <w:lastRenderedPageBreak/>
        <w:t>narrativisation, their words have been recorded and offer an unusually rich, unmediated insight into young people’s own experiences within the classroom.</w:t>
      </w:r>
    </w:p>
    <w:p w14:paraId="419512C3" w14:textId="5E16DF66" w:rsidR="00374142" w:rsidRPr="00AE141E" w:rsidRDefault="00374142" w:rsidP="00AE141E">
      <w:pPr>
        <w:spacing w:line="360" w:lineRule="auto"/>
        <w:rPr>
          <w:rFonts w:ascii="Times New Roman" w:hAnsi="Times New Roman" w:cs="Times New Roman"/>
          <w:b/>
          <w:bCs/>
          <w:sz w:val="24"/>
          <w:szCs w:val="24"/>
        </w:rPr>
      </w:pPr>
      <w:bookmarkStart w:id="17" w:name="_Hlk169788949"/>
      <w:r w:rsidRPr="00AE141E">
        <w:rPr>
          <w:rFonts w:ascii="Times New Roman" w:hAnsi="Times New Roman" w:cs="Times New Roman"/>
          <w:b/>
          <w:bCs/>
          <w:sz w:val="24"/>
          <w:szCs w:val="24"/>
        </w:rPr>
        <w:t>Talking Chalk: Reconstructing the Classroom Experiences of Young People of Colour</w:t>
      </w:r>
      <w:bookmarkEnd w:id="17"/>
    </w:p>
    <w:bookmarkEnd w:id="16"/>
    <w:p w14:paraId="0EB9128F" w14:textId="032B5DDE" w:rsidR="00977E91" w:rsidRPr="00AE141E" w:rsidRDefault="00EB389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1982</w:t>
      </w:r>
      <w:r w:rsidR="00374142" w:rsidRPr="00AE141E">
        <w:rPr>
          <w:rFonts w:ascii="Times New Roman" w:hAnsi="Times New Roman" w:cs="Times New Roman"/>
          <w:sz w:val="24"/>
          <w:szCs w:val="24"/>
        </w:rPr>
        <w:t>,</w:t>
      </w:r>
      <w:r w:rsidRPr="00AE141E">
        <w:rPr>
          <w:rFonts w:ascii="Times New Roman" w:hAnsi="Times New Roman" w:cs="Times New Roman"/>
          <w:sz w:val="24"/>
          <w:szCs w:val="24"/>
        </w:rPr>
        <w:t xml:space="preserve"> t</w:t>
      </w:r>
      <w:r w:rsidR="00D63F99" w:rsidRPr="00AE141E">
        <w:rPr>
          <w:rFonts w:ascii="Times New Roman" w:hAnsi="Times New Roman" w:cs="Times New Roman"/>
          <w:sz w:val="24"/>
          <w:szCs w:val="24"/>
        </w:rPr>
        <w:t>he</w:t>
      </w:r>
      <w:r w:rsidR="00C67344" w:rsidRPr="00AE141E">
        <w:rPr>
          <w:rFonts w:ascii="Times New Roman" w:hAnsi="Times New Roman" w:cs="Times New Roman"/>
          <w:sz w:val="24"/>
          <w:szCs w:val="24"/>
        </w:rPr>
        <w:t xml:space="preserve"> Birmingham-based</w:t>
      </w:r>
      <w:r w:rsidR="00D63F99" w:rsidRPr="00AE141E">
        <w:rPr>
          <w:rFonts w:ascii="Times New Roman" w:hAnsi="Times New Roman" w:cs="Times New Roman"/>
          <w:sz w:val="24"/>
          <w:szCs w:val="24"/>
        </w:rPr>
        <w:t xml:space="preserve"> </w:t>
      </w:r>
      <w:r w:rsidR="00C67344" w:rsidRPr="00AE141E">
        <w:rPr>
          <w:rFonts w:ascii="Times New Roman" w:hAnsi="Times New Roman" w:cs="Times New Roman"/>
          <w:sz w:val="24"/>
          <w:szCs w:val="24"/>
        </w:rPr>
        <w:t xml:space="preserve">anti-racist campaigning group All Faiths for One Race (AFFOR) published a </w:t>
      </w:r>
      <w:r w:rsidRPr="00AE141E">
        <w:rPr>
          <w:rFonts w:ascii="Times New Roman" w:hAnsi="Times New Roman" w:cs="Times New Roman"/>
          <w:sz w:val="24"/>
          <w:szCs w:val="24"/>
        </w:rPr>
        <w:t>collection of interviews</w:t>
      </w:r>
      <w:r w:rsidR="00507B58" w:rsidRPr="00AE141E">
        <w:rPr>
          <w:rFonts w:ascii="Times New Roman" w:hAnsi="Times New Roman" w:cs="Times New Roman"/>
          <w:sz w:val="24"/>
          <w:szCs w:val="24"/>
        </w:rPr>
        <w:t xml:space="preserve"> </w:t>
      </w:r>
      <w:r w:rsidR="00311542" w:rsidRPr="00AE141E">
        <w:rPr>
          <w:rFonts w:ascii="Times New Roman" w:hAnsi="Times New Roman" w:cs="Times New Roman"/>
          <w:sz w:val="24"/>
          <w:szCs w:val="24"/>
        </w:rPr>
        <w:t xml:space="preserve">describing the experience of young people of colour </w:t>
      </w:r>
      <w:r w:rsidR="007E2D68" w:rsidRPr="00AE141E">
        <w:rPr>
          <w:rFonts w:ascii="Times New Roman" w:hAnsi="Times New Roman" w:cs="Times New Roman"/>
          <w:sz w:val="24"/>
          <w:szCs w:val="24"/>
        </w:rPr>
        <w:t xml:space="preserve">within the education system. The </w:t>
      </w:r>
      <w:r w:rsidR="008100F2" w:rsidRPr="00AE141E">
        <w:rPr>
          <w:rFonts w:ascii="Times New Roman" w:hAnsi="Times New Roman" w:cs="Times New Roman"/>
          <w:sz w:val="24"/>
          <w:szCs w:val="24"/>
        </w:rPr>
        <w:t xml:space="preserve">pamphlet, </w:t>
      </w:r>
      <w:r w:rsidR="00573650" w:rsidRPr="00AE141E">
        <w:rPr>
          <w:rFonts w:ascii="Times New Roman" w:hAnsi="Times New Roman" w:cs="Times New Roman"/>
          <w:sz w:val="24"/>
          <w:szCs w:val="24"/>
        </w:rPr>
        <w:t>en</w:t>
      </w:r>
      <w:r w:rsidR="008100F2" w:rsidRPr="00AE141E">
        <w:rPr>
          <w:rFonts w:ascii="Times New Roman" w:hAnsi="Times New Roman" w:cs="Times New Roman"/>
          <w:sz w:val="24"/>
          <w:szCs w:val="24"/>
        </w:rPr>
        <w:t xml:space="preserve">titled </w:t>
      </w:r>
      <w:r w:rsidR="008100F2" w:rsidRPr="00AE141E">
        <w:rPr>
          <w:rFonts w:ascii="Times New Roman" w:hAnsi="Times New Roman" w:cs="Times New Roman"/>
          <w:i/>
          <w:sz w:val="24"/>
          <w:szCs w:val="24"/>
        </w:rPr>
        <w:t>Talking Chalk</w:t>
      </w:r>
      <w:r w:rsidR="008100F2" w:rsidRPr="00AE141E">
        <w:rPr>
          <w:rFonts w:ascii="Times New Roman" w:hAnsi="Times New Roman" w:cs="Times New Roman"/>
          <w:sz w:val="24"/>
          <w:szCs w:val="24"/>
        </w:rPr>
        <w:t xml:space="preserve">, </w:t>
      </w:r>
      <w:r w:rsidR="000C6A1D" w:rsidRPr="00AE141E">
        <w:rPr>
          <w:rFonts w:ascii="Times New Roman" w:hAnsi="Times New Roman" w:cs="Times New Roman"/>
          <w:sz w:val="24"/>
          <w:szCs w:val="24"/>
        </w:rPr>
        <w:t>gave equal weight to the voices of ‘</w:t>
      </w:r>
      <w:r w:rsidR="00BD0D4F" w:rsidRPr="00AE141E">
        <w:rPr>
          <w:rFonts w:ascii="Times New Roman" w:hAnsi="Times New Roman" w:cs="Times New Roman"/>
          <w:sz w:val="24"/>
          <w:szCs w:val="24"/>
        </w:rPr>
        <w:t>black pupils, parents and teachers</w:t>
      </w:r>
      <w:r w:rsidR="000C6A1D" w:rsidRPr="00AE141E">
        <w:rPr>
          <w:rFonts w:ascii="Times New Roman" w:hAnsi="Times New Roman" w:cs="Times New Roman"/>
          <w:sz w:val="24"/>
          <w:szCs w:val="24"/>
        </w:rPr>
        <w:t>’</w:t>
      </w:r>
      <w:r w:rsidR="00BD0D4F" w:rsidRPr="00AE141E">
        <w:rPr>
          <w:rFonts w:ascii="Times New Roman" w:hAnsi="Times New Roman" w:cs="Times New Roman"/>
          <w:sz w:val="24"/>
          <w:szCs w:val="24"/>
        </w:rPr>
        <w:t>.</w:t>
      </w:r>
      <w:r w:rsidR="007A506E" w:rsidRPr="00AE141E">
        <w:rPr>
          <w:rStyle w:val="FootnoteReference"/>
          <w:rFonts w:ascii="Times New Roman" w:hAnsi="Times New Roman" w:cs="Times New Roman"/>
          <w:sz w:val="24"/>
          <w:szCs w:val="24"/>
        </w:rPr>
        <w:footnoteReference w:id="457"/>
      </w:r>
      <w:r w:rsidR="000C6A1D" w:rsidRPr="00AE141E">
        <w:rPr>
          <w:rFonts w:ascii="Times New Roman" w:hAnsi="Times New Roman" w:cs="Times New Roman"/>
          <w:sz w:val="24"/>
          <w:szCs w:val="24"/>
        </w:rPr>
        <w:t xml:space="preserve"> The organisation w</w:t>
      </w:r>
      <w:r w:rsidR="00F928D5" w:rsidRPr="00AE141E">
        <w:rPr>
          <w:rFonts w:ascii="Times New Roman" w:hAnsi="Times New Roman" w:cs="Times New Roman"/>
          <w:sz w:val="24"/>
          <w:szCs w:val="24"/>
        </w:rPr>
        <w:t xml:space="preserve">as guided by the concept of </w:t>
      </w:r>
      <w:r w:rsidR="005F7489" w:rsidRPr="00AE141E">
        <w:rPr>
          <w:rFonts w:ascii="Times New Roman" w:hAnsi="Times New Roman" w:cs="Times New Roman"/>
          <w:sz w:val="24"/>
          <w:szCs w:val="24"/>
        </w:rPr>
        <w:t xml:space="preserve">political blackness. </w:t>
      </w:r>
      <w:r w:rsidR="00055E00" w:rsidRPr="00AE141E">
        <w:rPr>
          <w:rFonts w:ascii="Times New Roman" w:hAnsi="Times New Roman" w:cs="Times New Roman"/>
          <w:sz w:val="24"/>
          <w:szCs w:val="24"/>
        </w:rPr>
        <w:t>Owing</w:t>
      </w:r>
      <w:r w:rsidR="009D0643" w:rsidRPr="00AE141E">
        <w:rPr>
          <w:rFonts w:ascii="Times New Roman" w:hAnsi="Times New Roman" w:cs="Times New Roman"/>
          <w:sz w:val="24"/>
          <w:szCs w:val="24"/>
        </w:rPr>
        <w:t xml:space="preserve"> to resource constraints, </w:t>
      </w:r>
      <w:r w:rsidR="00B42E62" w:rsidRPr="00AE141E">
        <w:rPr>
          <w:rFonts w:ascii="Times New Roman" w:hAnsi="Times New Roman" w:cs="Times New Roman"/>
          <w:sz w:val="24"/>
          <w:szCs w:val="24"/>
        </w:rPr>
        <w:t>AFFOR</w:t>
      </w:r>
      <w:r w:rsidR="009D0643" w:rsidRPr="00AE141E">
        <w:rPr>
          <w:rFonts w:ascii="Times New Roman" w:hAnsi="Times New Roman" w:cs="Times New Roman"/>
          <w:i/>
          <w:sz w:val="24"/>
          <w:szCs w:val="24"/>
        </w:rPr>
        <w:t xml:space="preserve"> </w:t>
      </w:r>
      <w:r w:rsidR="009D0643" w:rsidRPr="00AE141E">
        <w:rPr>
          <w:rFonts w:ascii="Times New Roman" w:hAnsi="Times New Roman" w:cs="Times New Roman"/>
          <w:sz w:val="24"/>
          <w:szCs w:val="24"/>
        </w:rPr>
        <w:t>included</w:t>
      </w:r>
      <w:r w:rsidR="00BD0D4F" w:rsidRPr="00AE141E">
        <w:rPr>
          <w:rFonts w:ascii="Times New Roman" w:hAnsi="Times New Roman" w:cs="Times New Roman"/>
          <w:sz w:val="24"/>
          <w:szCs w:val="24"/>
        </w:rPr>
        <w:t xml:space="preserve"> almost every interview</w:t>
      </w:r>
      <w:r w:rsidR="008F1D19">
        <w:rPr>
          <w:rFonts w:ascii="Times New Roman" w:hAnsi="Times New Roman" w:cs="Times New Roman"/>
          <w:sz w:val="24"/>
          <w:szCs w:val="24"/>
        </w:rPr>
        <w:t xml:space="preserve"> it</w:t>
      </w:r>
      <w:r w:rsidR="00BD0D4F" w:rsidRPr="00AE141E">
        <w:rPr>
          <w:rFonts w:ascii="Times New Roman" w:hAnsi="Times New Roman" w:cs="Times New Roman"/>
          <w:sz w:val="24"/>
          <w:szCs w:val="24"/>
        </w:rPr>
        <w:t xml:space="preserve"> taped. Interviewees were not prompted</w:t>
      </w:r>
      <w:r w:rsidR="005F7AA4" w:rsidRPr="00AE141E">
        <w:rPr>
          <w:rFonts w:ascii="Times New Roman" w:hAnsi="Times New Roman" w:cs="Times New Roman"/>
          <w:sz w:val="24"/>
          <w:szCs w:val="24"/>
        </w:rPr>
        <w:t>, and the</w:t>
      </w:r>
      <w:r w:rsidR="00D02995" w:rsidRPr="00AE141E">
        <w:rPr>
          <w:rFonts w:ascii="Times New Roman" w:hAnsi="Times New Roman" w:cs="Times New Roman"/>
          <w:sz w:val="24"/>
          <w:szCs w:val="24"/>
        </w:rPr>
        <w:t>ir words appeared virtually unedited in the final publication</w:t>
      </w:r>
      <w:r w:rsidR="00BD0D4F" w:rsidRPr="00AE141E">
        <w:rPr>
          <w:rFonts w:ascii="Times New Roman" w:hAnsi="Times New Roman" w:cs="Times New Roman"/>
          <w:sz w:val="24"/>
          <w:szCs w:val="24"/>
        </w:rPr>
        <w:t>.</w:t>
      </w:r>
      <w:r w:rsidR="006D66E9" w:rsidRPr="00AE141E">
        <w:rPr>
          <w:rFonts w:ascii="Times New Roman" w:hAnsi="Times New Roman" w:cs="Times New Roman"/>
          <w:sz w:val="24"/>
          <w:szCs w:val="24"/>
        </w:rPr>
        <w:t xml:space="preserve"> </w:t>
      </w:r>
      <w:r w:rsidR="00977E91" w:rsidRPr="00AE141E">
        <w:rPr>
          <w:rFonts w:ascii="Times New Roman" w:hAnsi="Times New Roman" w:cs="Times New Roman"/>
          <w:sz w:val="24"/>
          <w:szCs w:val="24"/>
        </w:rPr>
        <w:t>A</w:t>
      </w:r>
      <w:r w:rsidR="008731DF" w:rsidRPr="00AE141E">
        <w:rPr>
          <w:rFonts w:ascii="Times New Roman" w:hAnsi="Times New Roman" w:cs="Times New Roman"/>
          <w:sz w:val="24"/>
          <w:szCs w:val="24"/>
        </w:rPr>
        <w:t xml:space="preserve">s in </w:t>
      </w:r>
      <w:r w:rsidR="008731DF" w:rsidRPr="00AE141E">
        <w:rPr>
          <w:rFonts w:ascii="Times New Roman" w:hAnsi="Times New Roman" w:cs="Times New Roman"/>
          <w:i/>
          <w:sz w:val="24"/>
          <w:szCs w:val="24"/>
        </w:rPr>
        <w:t>Black Voices</w:t>
      </w:r>
      <w:r w:rsidR="00CF23BA" w:rsidRPr="00AE141E">
        <w:rPr>
          <w:rFonts w:ascii="Times New Roman" w:hAnsi="Times New Roman" w:cs="Times New Roman"/>
          <w:sz w:val="24"/>
          <w:szCs w:val="24"/>
        </w:rPr>
        <w:t xml:space="preserve">, </w:t>
      </w:r>
      <w:r w:rsidR="003F2972" w:rsidRPr="00AE141E">
        <w:rPr>
          <w:rFonts w:ascii="Times New Roman" w:hAnsi="Times New Roman" w:cs="Times New Roman"/>
          <w:sz w:val="24"/>
          <w:szCs w:val="24"/>
        </w:rPr>
        <w:t xml:space="preserve">history </w:t>
      </w:r>
      <w:r w:rsidR="00DD6E7A" w:rsidRPr="00AE141E">
        <w:rPr>
          <w:rFonts w:ascii="Times New Roman" w:hAnsi="Times New Roman" w:cs="Times New Roman"/>
          <w:sz w:val="24"/>
          <w:szCs w:val="24"/>
        </w:rPr>
        <w:t>was</w:t>
      </w:r>
      <w:r w:rsidR="003F2972" w:rsidRPr="00AE141E">
        <w:rPr>
          <w:rFonts w:ascii="Times New Roman" w:hAnsi="Times New Roman" w:cs="Times New Roman"/>
          <w:sz w:val="24"/>
          <w:szCs w:val="24"/>
        </w:rPr>
        <w:t xml:space="preserve"> a dominant theme</w:t>
      </w:r>
      <w:r w:rsidR="00576ACF" w:rsidRPr="00AE141E">
        <w:rPr>
          <w:rFonts w:ascii="Times New Roman" w:hAnsi="Times New Roman" w:cs="Times New Roman"/>
          <w:sz w:val="24"/>
          <w:szCs w:val="24"/>
        </w:rPr>
        <w:t xml:space="preserve">. </w:t>
      </w:r>
    </w:p>
    <w:p w14:paraId="21590628" w14:textId="74BBB987" w:rsidR="00744C39" w:rsidRPr="00AE141E" w:rsidRDefault="00D06CA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both texts, </w:t>
      </w:r>
      <w:r w:rsidR="000F0EC2" w:rsidRPr="00AE141E">
        <w:rPr>
          <w:rFonts w:ascii="Times New Roman" w:hAnsi="Times New Roman" w:cs="Times New Roman"/>
          <w:sz w:val="24"/>
          <w:szCs w:val="24"/>
        </w:rPr>
        <w:t>the</w:t>
      </w:r>
      <w:r w:rsidR="00F12E8B" w:rsidRPr="00AE141E">
        <w:rPr>
          <w:rFonts w:ascii="Times New Roman" w:hAnsi="Times New Roman" w:cs="Times New Roman"/>
          <w:sz w:val="24"/>
          <w:szCs w:val="24"/>
        </w:rPr>
        <w:t xml:space="preserve"> vast</w:t>
      </w:r>
      <w:r w:rsidR="000F0EC2" w:rsidRPr="00AE141E">
        <w:rPr>
          <w:rFonts w:ascii="Times New Roman" w:hAnsi="Times New Roman" w:cs="Times New Roman"/>
          <w:sz w:val="24"/>
          <w:szCs w:val="24"/>
        </w:rPr>
        <w:t xml:space="preserve"> majority of subject-specific complaints pertained to history</w:t>
      </w:r>
      <w:r w:rsidR="00DD6E7A" w:rsidRPr="00AE141E">
        <w:rPr>
          <w:rFonts w:ascii="Times New Roman" w:hAnsi="Times New Roman" w:cs="Times New Roman"/>
          <w:sz w:val="24"/>
          <w:szCs w:val="24"/>
        </w:rPr>
        <w:t>.</w:t>
      </w:r>
      <w:r w:rsidR="00977E91" w:rsidRPr="00AE141E">
        <w:rPr>
          <w:rFonts w:ascii="Times New Roman" w:hAnsi="Times New Roman" w:cs="Times New Roman"/>
          <w:sz w:val="24"/>
          <w:szCs w:val="24"/>
        </w:rPr>
        <w:t xml:space="preserve"> </w:t>
      </w:r>
      <w:r w:rsidR="00BC1D2B" w:rsidRPr="00AE141E">
        <w:rPr>
          <w:rFonts w:ascii="Times New Roman" w:hAnsi="Times New Roman" w:cs="Times New Roman"/>
          <w:sz w:val="24"/>
          <w:szCs w:val="24"/>
        </w:rPr>
        <w:t>History’s perceived</w:t>
      </w:r>
      <w:r w:rsidR="007009CA" w:rsidRPr="00AE141E">
        <w:rPr>
          <w:rFonts w:ascii="Times New Roman" w:hAnsi="Times New Roman" w:cs="Times New Roman"/>
          <w:sz w:val="24"/>
          <w:szCs w:val="24"/>
        </w:rPr>
        <w:t xml:space="preserve"> importance </w:t>
      </w:r>
      <w:r w:rsidR="00BC1D2B" w:rsidRPr="00AE141E">
        <w:rPr>
          <w:rFonts w:ascii="Times New Roman" w:hAnsi="Times New Roman" w:cs="Times New Roman"/>
          <w:sz w:val="24"/>
          <w:szCs w:val="24"/>
        </w:rPr>
        <w:t>in</w:t>
      </w:r>
      <w:r w:rsidR="007009CA" w:rsidRPr="00AE141E">
        <w:rPr>
          <w:rFonts w:ascii="Times New Roman" w:hAnsi="Times New Roman" w:cs="Times New Roman"/>
          <w:sz w:val="24"/>
          <w:szCs w:val="24"/>
        </w:rPr>
        <w:t xml:space="preserve"> the construction of identities</w:t>
      </w:r>
      <w:r w:rsidR="00BC1D2B" w:rsidRPr="00AE141E">
        <w:rPr>
          <w:rFonts w:ascii="Times New Roman" w:hAnsi="Times New Roman" w:cs="Times New Roman"/>
          <w:sz w:val="24"/>
          <w:szCs w:val="24"/>
        </w:rPr>
        <w:t xml:space="preserve"> –</w:t>
      </w:r>
      <w:r w:rsidR="007009CA" w:rsidRPr="00AE141E">
        <w:rPr>
          <w:rFonts w:ascii="Times New Roman" w:hAnsi="Times New Roman" w:cs="Times New Roman"/>
          <w:sz w:val="24"/>
          <w:szCs w:val="24"/>
        </w:rPr>
        <w:t xml:space="preserve"> Black</w:t>
      </w:r>
      <w:r w:rsidR="00BC1D2B" w:rsidRPr="00AE141E">
        <w:rPr>
          <w:rFonts w:ascii="Times New Roman" w:hAnsi="Times New Roman" w:cs="Times New Roman"/>
          <w:sz w:val="24"/>
          <w:szCs w:val="24"/>
        </w:rPr>
        <w:t xml:space="preserve">, politically </w:t>
      </w:r>
      <w:r w:rsidR="0003699B" w:rsidRPr="00AE141E">
        <w:rPr>
          <w:rFonts w:ascii="Times New Roman" w:hAnsi="Times New Roman" w:cs="Times New Roman"/>
          <w:sz w:val="24"/>
          <w:szCs w:val="24"/>
        </w:rPr>
        <w:t>b</w:t>
      </w:r>
      <w:r w:rsidR="00BC1D2B" w:rsidRPr="00AE141E">
        <w:rPr>
          <w:rFonts w:ascii="Times New Roman" w:hAnsi="Times New Roman" w:cs="Times New Roman"/>
          <w:sz w:val="24"/>
          <w:szCs w:val="24"/>
        </w:rPr>
        <w:t>lack,</w:t>
      </w:r>
      <w:r w:rsidR="007009CA" w:rsidRPr="00AE141E">
        <w:rPr>
          <w:rFonts w:ascii="Times New Roman" w:hAnsi="Times New Roman" w:cs="Times New Roman"/>
          <w:sz w:val="24"/>
          <w:szCs w:val="24"/>
        </w:rPr>
        <w:t xml:space="preserve"> and White</w:t>
      </w:r>
      <w:r w:rsidR="00BC1D2B" w:rsidRPr="00AE141E">
        <w:rPr>
          <w:rFonts w:ascii="Times New Roman" w:hAnsi="Times New Roman" w:cs="Times New Roman"/>
          <w:sz w:val="24"/>
          <w:szCs w:val="24"/>
        </w:rPr>
        <w:t xml:space="preserve"> – </w:t>
      </w:r>
      <w:r w:rsidR="00055E00" w:rsidRPr="00AE141E">
        <w:rPr>
          <w:rFonts w:ascii="Times New Roman" w:hAnsi="Times New Roman" w:cs="Times New Roman"/>
          <w:sz w:val="24"/>
          <w:szCs w:val="24"/>
        </w:rPr>
        <w:t xml:space="preserve">was one reason why its teaching was so hotly contested. </w:t>
      </w:r>
      <w:r w:rsidR="00055E00" w:rsidRPr="00AE141E">
        <w:rPr>
          <w:rFonts w:ascii="Times New Roman" w:hAnsi="Times New Roman" w:cs="Times New Roman"/>
          <w:i/>
          <w:sz w:val="24"/>
          <w:szCs w:val="24"/>
        </w:rPr>
        <w:t xml:space="preserve">Black Voices </w:t>
      </w:r>
      <w:r w:rsidR="00055E00" w:rsidRPr="00AE141E">
        <w:rPr>
          <w:rFonts w:ascii="Times New Roman" w:hAnsi="Times New Roman" w:cs="Times New Roman"/>
          <w:sz w:val="24"/>
          <w:szCs w:val="24"/>
        </w:rPr>
        <w:t>reveals that s</w:t>
      </w:r>
      <w:r w:rsidR="003F2972" w:rsidRPr="00AE141E">
        <w:rPr>
          <w:rFonts w:ascii="Times New Roman" w:hAnsi="Times New Roman" w:cs="Times New Roman"/>
          <w:sz w:val="24"/>
          <w:szCs w:val="24"/>
        </w:rPr>
        <w:t xml:space="preserve">ome young people understood their learning within the BEM as a counterweight to the </w:t>
      </w:r>
      <w:r w:rsidR="00055E00" w:rsidRPr="00AE141E">
        <w:rPr>
          <w:rFonts w:ascii="Times New Roman" w:hAnsi="Times New Roman" w:cs="Times New Roman"/>
          <w:sz w:val="24"/>
          <w:szCs w:val="24"/>
        </w:rPr>
        <w:t xml:space="preserve">pernicious </w:t>
      </w:r>
      <w:r w:rsidR="003F2972" w:rsidRPr="00AE141E">
        <w:rPr>
          <w:rFonts w:ascii="Times New Roman" w:hAnsi="Times New Roman" w:cs="Times New Roman"/>
          <w:sz w:val="24"/>
          <w:szCs w:val="24"/>
        </w:rPr>
        <w:t xml:space="preserve">narratives they received in mainstream </w:t>
      </w:r>
      <w:r w:rsidR="002A5F1D" w:rsidRPr="00AE141E">
        <w:rPr>
          <w:rFonts w:ascii="Times New Roman" w:hAnsi="Times New Roman" w:cs="Times New Roman"/>
          <w:sz w:val="24"/>
          <w:szCs w:val="24"/>
        </w:rPr>
        <w:t xml:space="preserve">historical </w:t>
      </w:r>
      <w:r w:rsidR="003F2972" w:rsidRPr="00AE141E">
        <w:rPr>
          <w:rFonts w:ascii="Times New Roman" w:hAnsi="Times New Roman" w:cs="Times New Roman"/>
          <w:sz w:val="24"/>
          <w:szCs w:val="24"/>
        </w:rPr>
        <w:t xml:space="preserve">education. For the recent school-leaver Jacqueline Deacon, the goal of Black self-education </w:t>
      </w:r>
      <w:r w:rsidR="0076308E" w:rsidRPr="00AE141E">
        <w:rPr>
          <w:rFonts w:ascii="Times New Roman" w:hAnsi="Times New Roman" w:cs="Times New Roman"/>
          <w:sz w:val="24"/>
          <w:szCs w:val="24"/>
        </w:rPr>
        <w:t>was to</w:t>
      </w:r>
      <w:r w:rsidR="003F2972" w:rsidRPr="00AE141E">
        <w:rPr>
          <w:rFonts w:ascii="Times New Roman" w:hAnsi="Times New Roman" w:cs="Times New Roman"/>
          <w:sz w:val="24"/>
          <w:szCs w:val="24"/>
        </w:rPr>
        <w:t xml:space="preserve"> make visible the ways in which </w:t>
      </w:r>
      <w:r w:rsidR="009A56F6" w:rsidRPr="00AE141E">
        <w:rPr>
          <w:rFonts w:ascii="Times New Roman" w:hAnsi="Times New Roman" w:cs="Times New Roman"/>
          <w:sz w:val="24"/>
          <w:szCs w:val="24"/>
        </w:rPr>
        <w:t>Black</w:t>
      </w:r>
      <w:r w:rsidR="003F2972" w:rsidRPr="00AE141E">
        <w:rPr>
          <w:rFonts w:ascii="Times New Roman" w:hAnsi="Times New Roman" w:cs="Times New Roman"/>
          <w:sz w:val="24"/>
          <w:szCs w:val="24"/>
        </w:rPr>
        <w:t xml:space="preserve"> history had been ‘changed</w:t>
      </w:r>
      <w:r w:rsidR="009A56F6" w:rsidRPr="00AE141E">
        <w:rPr>
          <w:rFonts w:ascii="Times New Roman" w:hAnsi="Times New Roman" w:cs="Times New Roman"/>
          <w:sz w:val="24"/>
          <w:szCs w:val="24"/>
        </w:rPr>
        <w:t>’ or</w:t>
      </w:r>
      <w:r w:rsidR="003F2972" w:rsidRPr="00AE141E">
        <w:rPr>
          <w:rFonts w:ascii="Times New Roman" w:hAnsi="Times New Roman" w:cs="Times New Roman"/>
          <w:sz w:val="24"/>
          <w:szCs w:val="24"/>
        </w:rPr>
        <w:t xml:space="preserve"> </w:t>
      </w:r>
      <w:r w:rsidR="009A56F6" w:rsidRPr="00AE141E">
        <w:rPr>
          <w:rFonts w:ascii="Times New Roman" w:hAnsi="Times New Roman" w:cs="Times New Roman"/>
          <w:sz w:val="24"/>
          <w:szCs w:val="24"/>
        </w:rPr>
        <w:t>‘</w:t>
      </w:r>
      <w:r w:rsidR="003F2972" w:rsidRPr="00AE141E">
        <w:rPr>
          <w:rFonts w:ascii="Times New Roman" w:hAnsi="Times New Roman" w:cs="Times New Roman"/>
          <w:sz w:val="24"/>
          <w:szCs w:val="24"/>
        </w:rPr>
        <w:t>eradicated’ by White historians.</w:t>
      </w:r>
      <w:r w:rsidR="003F2972" w:rsidRPr="00AE141E">
        <w:rPr>
          <w:rStyle w:val="FootnoteReference"/>
          <w:rFonts w:ascii="Times New Roman" w:hAnsi="Times New Roman" w:cs="Times New Roman"/>
          <w:sz w:val="24"/>
          <w:szCs w:val="24"/>
        </w:rPr>
        <w:footnoteReference w:id="458"/>
      </w:r>
      <w:r w:rsidR="003F2972" w:rsidRPr="00AE141E">
        <w:rPr>
          <w:rFonts w:ascii="Times New Roman" w:hAnsi="Times New Roman" w:cs="Times New Roman"/>
          <w:sz w:val="24"/>
          <w:szCs w:val="24"/>
        </w:rPr>
        <w:t xml:space="preserve"> </w:t>
      </w:r>
      <w:r w:rsidR="003A0CB7" w:rsidRPr="00AE141E">
        <w:rPr>
          <w:rFonts w:ascii="Times New Roman" w:hAnsi="Times New Roman" w:cs="Times New Roman"/>
          <w:sz w:val="24"/>
          <w:szCs w:val="24"/>
        </w:rPr>
        <w:t>To discover the historical truth of Black achievement would be to throw off the ‘inferiority complex’ she had received in the school classroom.</w:t>
      </w:r>
      <w:r w:rsidR="003A0CB7">
        <w:rPr>
          <w:rFonts w:ascii="Times New Roman" w:hAnsi="Times New Roman" w:cs="Times New Roman"/>
          <w:sz w:val="24"/>
          <w:szCs w:val="24"/>
        </w:rPr>
        <w:t xml:space="preserve"> </w:t>
      </w:r>
      <w:r w:rsidR="0087296D" w:rsidRPr="00AE141E">
        <w:rPr>
          <w:rFonts w:ascii="Times New Roman" w:hAnsi="Times New Roman" w:cs="Times New Roman"/>
          <w:sz w:val="24"/>
          <w:szCs w:val="24"/>
        </w:rPr>
        <w:t>Like C</w:t>
      </w:r>
      <w:r w:rsidR="000712CF" w:rsidRPr="00AE141E">
        <w:rPr>
          <w:rFonts w:ascii="Times New Roman" w:hAnsi="Times New Roman" w:cs="Times New Roman"/>
          <w:sz w:val="24"/>
          <w:szCs w:val="24"/>
        </w:rPr>
        <w:t>oard, D</w:t>
      </w:r>
      <w:r w:rsidR="007860D3" w:rsidRPr="00AE141E">
        <w:rPr>
          <w:rFonts w:ascii="Times New Roman" w:hAnsi="Times New Roman" w:cs="Times New Roman"/>
          <w:sz w:val="24"/>
          <w:szCs w:val="24"/>
        </w:rPr>
        <w:t xml:space="preserve">eacon </w:t>
      </w:r>
      <w:r w:rsidR="00573650" w:rsidRPr="00AE141E">
        <w:rPr>
          <w:rFonts w:ascii="Times New Roman" w:hAnsi="Times New Roman" w:cs="Times New Roman"/>
          <w:sz w:val="24"/>
          <w:szCs w:val="24"/>
        </w:rPr>
        <w:t>reversed</w:t>
      </w:r>
      <w:r w:rsidR="00CC3B1C" w:rsidRPr="00AE141E">
        <w:rPr>
          <w:rFonts w:ascii="Times New Roman" w:hAnsi="Times New Roman" w:cs="Times New Roman"/>
          <w:sz w:val="24"/>
          <w:szCs w:val="24"/>
        </w:rPr>
        <w:t xml:space="preserve"> the</w:t>
      </w:r>
      <w:r w:rsidR="007860D3" w:rsidRPr="00AE141E">
        <w:rPr>
          <w:rFonts w:ascii="Times New Roman" w:hAnsi="Times New Roman" w:cs="Times New Roman"/>
          <w:sz w:val="24"/>
          <w:szCs w:val="24"/>
        </w:rPr>
        <w:t xml:space="preserve"> ‘deficit </w:t>
      </w:r>
      <w:r w:rsidR="00434813" w:rsidRPr="00AE141E">
        <w:rPr>
          <w:rFonts w:ascii="Times New Roman" w:hAnsi="Times New Roman" w:cs="Times New Roman"/>
          <w:sz w:val="24"/>
          <w:szCs w:val="24"/>
        </w:rPr>
        <w:t>thesis’</w:t>
      </w:r>
      <w:r w:rsidR="007860D3" w:rsidRPr="00AE141E">
        <w:rPr>
          <w:rFonts w:ascii="Times New Roman" w:hAnsi="Times New Roman" w:cs="Times New Roman"/>
          <w:sz w:val="24"/>
          <w:szCs w:val="24"/>
        </w:rPr>
        <w:t xml:space="preserve"> </w:t>
      </w:r>
      <w:r w:rsidR="00434813" w:rsidRPr="00AE141E">
        <w:rPr>
          <w:rFonts w:ascii="Times New Roman" w:hAnsi="Times New Roman" w:cs="Times New Roman"/>
          <w:sz w:val="24"/>
          <w:szCs w:val="24"/>
        </w:rPr>
        <w:t>which had hitherto informed educational policies directed at young people of colour</w:t>
      </w:r>
      <w:r w:rsidR="000712CF" w:rsidRPr="00AE141E">
        <w:rPr>
          <w:rFonts w:ascii="Times New Roman" w:hAnsi="Times New Roman" w:cs="Times New Roman"/>
          <w:sz w:val="24"/>
          <w:szCs w:val="24"/>
        </w:rPr>
        <w:t>.</w:t>
      </w:r>
    </w:p>
    <w:p w14:paraId="2369590F" w14:textId="6109E3F0" w:rsidR="002954B2" w:rsidRPr="00AE141E" w:rsidRDefault="0018022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Deacon divided </w:t>
      </w:r>
      <w:r w:rsidR="00D3202C" w:rsidRPr="00AE141E">
        <w:rPr>
          <w:rFonts w:ascii="Times New Roman" w:hAnsi="Times New Roman" w:cs="Times New Roman"/>
          <w:sz w:val="24"/>
          <w:szCs w:val="24"/>
        </w:rPr>
        <w:t xml:space="preserve">history syllabi into two categories: </w:t>
      </w:r>
      <w:r w:rsidR="00011EC1" w:rsidRPr="00AE141E">
        <w:rPr>
          <w:rFonts w:ascii="Times New Roman" w:hAnsi="Times New Roman" w:cs="Times New Roman"/>
          <w:sz w:val="24"/>
          <w:szCs w:val="24"/>
        </w:rPr>
        <w:t xml:space="preserve">those which </w:t>
      </w:r>
      <w:r w:rsidR="00BA55FB" w:rsidRPr="00AE141E">
        <w:rPr>
          <w:rFonts w:ascii="Times New Roman" w:hAnsi="Times New Roman" w:cs="Times New Roman"/>
          <w:sz w:val="24"/>
          <w:szCs w:val="24"/>
        </w:rPr>
        <w:t>erased Black history, and those which misrepresented it.</w:t>
      </w:r>
      <w:r w:rsidR="009F67A1" w:rsidRPr="00AE141E">
        <w:rPr>
          <w:rStyle w:val="FootnoteReference"/>
          <w:rFonts w:ascii="Times New Roman" w:hAnsi="Times New Roman" w:cs="Times New Roman"/>
          <w:sz w:val="24"/>
          <w:szCs w:val="24"/>
        </w:rPr>
        <w:footnoteReference w:id="459"/>
      </w:r>
      <w:r w:rsidR="00BA55FB" w:rsidRPr="00AE141E">
        <w:rPr>
          <w:rFonts w:ascii="Times New Roman" w:hAnsi="Times New Roman" w:cs="Times New Roman"/>
          <w:sz w:val="24"/>
          <w:szCs w:val="24"/>
        </w:rPr>
        <w:t xml:space="preserve"> </w:t>
      </w:r>
      <w:r w:rsidR="00EA6A06" w:rsidRPr="00AE141E">
        <w:rPr>
          <w:rFonts w:ascii="Times New Roman" w:hAnsi="Times New Roman" w:cs="Times New Roman"/>
          <w:sz w:val="24"/>
          <w:szCs w:val="24"/>
        </w:rPr>
        <w:t xml:space="preserve">A recent school leaver interviewed by AFFOR claimed that </w:t>
      </w:r>
      <w:r w:rsidR="004671B3" w:rsidRPr="00AE141E">
        <w:rPr>
          <w:rFonts w:ascii="Times New Roman" w:hAnsi="Times New Roman" w:cs="Times New Roman"/>
          <w:sz w:val="24"/>
          <w:szCs w:val="24"/>
        </w:rPr>
        <w:t>there had been no formal teaching of Black history over the course of their school career</w:t>
      </w:r>
      <w:r w:rsidR="008226D4" w:rsidRPr="00AE141E">
        <w:rPr>
          <w:rFonts w:ascii="Times New Roman" w:hAnsi="Times New Roman" w:cs="Times New Roman"/>
          <w:sz w:val="24"/>
          <w:szCs w:val="24"/>
        </w:rPr>
        <w:t xml:space="preserve">. </w:t>
      </w:r>
      <w:r w:rsidR="00D21769" w:rsidRPr="00AE141E">
        <w:rPr>
          <w:rFonts w:ascii="Times New Roman" w:hAnsi="Times New Roman" w:cs="Times New Roman"/>
          <w:sz w:val="24"/>
          <w:szCs w:val="24"/>
        </w:rPr>
        <w:t>The world outside of Europe was presented as a</w:t>
      </w:r>
      <w:r w:rsidR="00C606AE" w:rsidRPr="00AE141E">
        <w:rPr>
          <w:rFonts w:ascii="Times New Roman" w:hAnsi="Times New Roman" w:cs="Times New Roman"/>
          <w:sz w:val="24"/>
          <w:szCs w:val="24"/>
        </w:rPr>
        <w:t xml:space="preserve"> lifeless</w:t>
      </w:r>
      <w:r w:rsidR="00D21769" w:rsidRPr="00AE141E">
        <w:rPr>
          <w:rFonts w:ascii="Times New Roman" w:hAnsi="Times New Roman" w:cs="Times New Roman"/>
          <w:sz w:val="24"/>
          <w:szCs w:val="24"/>
        </w:rPr>
        <w:t xml:space="preserve"> </w:t>
      </w:r>
      <w:r w:rsidR="00FB3A68" w:rsidRPr="00AE141E">
        <w:rPr>
          <w:rFonts w:ascii="Times New Roman" w:hAnsi="Times New Roman" w:cs="Times New Roman"/>
          <w:sz w:val="24"/>
          <w:szCs w:val="24"/>
        </w:rPr>
        <w:t xml:space="preserve">map which White people </w:t>
      </w:r>
      <w:r w:rsidR="00BD6125" w:rsidRPr="00AE141E">
        <w:rPr>
          <w:rFonts w:ascii="Times New Roman" w:hAnsi="Times New Roman" w:cs="Times New Roman"/>
          <w:sz w:val="24"/>
          <w:szCs w:val="24"/>
        </w:rPr>
        <w:t xml:space="preserve">roamed and </w:t>
      </w:r>
      <w:r w:rsidR="00A04415" w:rsidRPr="00AE141E">
        <w:rPr>
          <w:rFonts w:ascii="Times New Roman" w:hAnsi="Times New Roman" w:cs="Times New Roman"/>
          <w:sz w:val="24"/>
          <w:szCs w:val="24"/>
        </w:rPr>
        <w:t>conquered</w:t>
      </w:r>
      <w:r w:rsidR="006168D9" w:rsidRPr="00AE141E">
        <w:rPr>
          <w:rFonts w:ascii="Times New Roman" w:hAnsi="Times New Roman" w:cs="Times New Roman"/>
          <w:sz w:val="24"/>
          <w:szCs w:val="24"/>
        </w:rPr>
        <w:t>: ‘</w:t>
      </w:r>
      <w:r w:rsidR="00BF1C44" w:rsidRPr="00AE141E">
        <w:rPr>
          <w:rFonts w:ascii="Times New Roman" w:hAnsi="Times New Roman" w:cs="Times New Roman"/>
          <w:sz w:val="24"/>
          <w:szCs w:val="24"/>
        </w:rPr>
        <w:t>before white people went to Africa</w:t>
      </w:r>
      <w:r w:rsidR="006168D9" w:rsidRPr="00AE141E">
        <w:rPr>
          <w:rFonts w:ascii="Times New Roman" w:hAnsi="Times New Roman" w:cs="Times New Roman"/>
          <w:sz w:val="24"/>
          <w:szCs w:val="24"/>
        </w:rPr>
        <w:t>’</w:t>
      </w:r>
      <w:r w:rsidR="00F338BE" w:rsidRPr="00AE141E">
        <w:rPr>
          <w:rFonts w:ascii="Times New Roman" w:hAnsi="Times New Roman" w:cs="Times New Roman"/>
          <w:sz w:val="24"/>
          <w:szCs w:val="24"/>
        </w:rPr>
        <w:t xml:space="preserve">, </w:t>
      </w:r>
      <w:r w:rsidR="00BD6125" w:rsidRPr="00AE141E">
        <w:rPr>
          <w:rFonts w:ascii="Times New Roman" w:hAnsi="Times New Roman" w:cs="Times New Roman"/>
          <w:sz w:val="24"/>
          <w:szCs w:val="24"/>
        </w:rPr>
        <w:t>teaching</w:t>
      </w:r>
      <w:r w:rsidR="00F338BE" w:rsidRPr="00AE141E">
        <w:rPr>
          <w:rFonts w:ascii="Times New Roman" w:hAnsi="Times New Roman" w:cs="Times New Roman"/>
          <w:sz w:val="24"/>
          <w:szCs w:val="24"/>
        </w:rPr>
        <w:t xml:space="preserve"> seemed to imply,</w:t>
      </w:r>
      <w:r w:rsidR="00BF1C44" w:rsidRPr="00AE141E">
        <w:rPr>
          <w:rFonts w:ascii="Times New Roman" w:hAnsi="Times New Roman" w:cs="Times New Roman"/>
          <w:sz w:val="24"/>
          <w:szCs w:val="24"/>
        </w:rPr>
        <w:t xml:space="preserve"> </w:t>
      </w:r>
      <w:r w:rsidR="00F338BE" w:rsidRPr="00AE141E">
        <w:rPr>
          <w:rFonts w:ascii="Times New Roman" w:hAnsi="Times New Roman" w:cs="Times New Roman"/>
          <w:sz w:val="24"/>
          <w:szCs w:val="24"/>
        </w:rPr>
        <w:t>‘</w:t>
      </w:r>
      <w:r w:rsidR="00BF1C44" w:rsidRPr="00AE141E">
        <w:rPr>
          <w:rFonts w:ascii="Times New Roman" w:hAnsi="Times New Roman" w:cs="Times New Roman"/>
          <w:sz w:val="24"/>
          <w:szCs w:val="24"/>
        </w:rPr>
        <w:t>black people had no history</w:t>
      </w:r>
      <w:r w:rsidR="006168D9" w:rsidRPr="00AE141E">
        <w:rPr>
          <w:rFonts w:ascii="Times New Roman" w:hAnsi="Times New Roman" w:cs="Times New Roman"/>
          <w:sz w:val="24"/>
          <w:szCs w:val="24"/>
        </w:rPr>
        <w:t>’.</w:t>
      </w:r>
      <w:r w:rsidR="00282E4C" w:rsidRPr="00AE141E">
        <w:rPr>
          <w:rStyle w:val="FootnoteReference"/>
          <w:rFonts w:ascii="Times New Roman" w:hAnsi="Times New Roman" w:cs="Times New Roman"/>
          <w:sz w:val="24"/>
          <w:szCs w:val="24"/>
        </w:rPr>
        <w:footnoteReference w:id="460"/>
      </w:r>
      <w:r w:rsidR="00F338BE" w:rsidRPr="00AE141E">
        <w:rPr>
          <w:rFonts w:ascii="Times New Roman" w:hAnsi="Times New Roman" w:cs="Times New Roman"/>
          <w:sz w:val="24"/>
          <w:szCs w:val="24"/>
        </w:rPr>
        <w:t xml:space="preserve"> The speaker was consci</w:t>
      </w:r>
      <w:r w:rsidR="00642458" w:rsidRPr="00AE141E">
        <w:rPr>
          <w:rFonts w:ascii="Times New Roman" w:hAnsi="Times New Roman" w:cs="Times New Roman"/>
          <w:sz w:val="24"/>
          <w:szCs w:val="24"/>
        </w:rPr>
        <w:t>ous of the effect of such narratives upon the self-</w:t>
      </w:r>
      <w:r w:rsidR="00642458" w:rsidRPr="00AE141E">
        <w:rPr>
          <w:rFonts w:ascii="Times New Roman" w:hAnsi="Times New Roman" w:cs="Times New Roman"/>
          <w:sz w:val="24"/>
          <w:szCs w:val="24"/>
        </w:rPr>
        <w:lastRenderedPageBreak/>
        <w:t>esteem of Black students</w:t>
      </w:r>
      <w:r w:rsidR="00721376" w:rsidRPr="00AE141E">
        <w:rPr>
          <w:rFonts w:ascii="Times New Roman" w:hAnsi="Times New Roman" w:cs="Times New Roman"/>
          <w:sz w:val="24"/>
          <w:szCs w:val="24"/>
        </w:rPr>
        <w:t xml:space="preserve">. </w:t>
      </w:r>
      <w:r w:rsidR="00676EE3" w:rsidRPr="00AE141E">
        <w:rPr>
          <w:rFonts w:ascii="Times New Roman" w:hAnsi="Times New Roman" w:cs="Times New Roman"/>
          <w:sz w:val="24"/>
          <w:szCs w:val="24"/>
        </w:rPr>
        <w:t>By</w:t>
      </w:r>
      <w:r w:rsidR="00B72E79" w:rsidRPr="00AE141E">
        <w:rPr>
          <w:rFonts w:ascii="Times New Roman" w:hAnsi="Times New Roman" w:cs="Times New Roman"/>
          <w:sz w:val="24"/>
          <w:szCs w:val="24"/>
        </w:rPr>
        <w:t xml:space="preserve"> refus</w:t>
      </w:r>
      <w:r w:rsidR="00676EE3" w:rsidRPr="00AE141E">
        <w:rPr>
          <w:rFonts w:ascii="Times New Roman" w:hAnsi="Times New Roman" w:cs="Times New Roman"/>
          <w:sz w:val="24"/>
          <w:szCs w:val="24"/>
        </w:rPr>
        <w:t>ing</w:t>
      </w:r>
      <w:r w:rsidR="00B72E79" w:rsidRPr="00AE141E">
        <w:rPr>
          <w:rFonts w:ascii="Times New Roman" w:hAnsi="Times New Roman" w:cs="Times New Roman"/>
          <w:sz w:val="24"/>
          <w:szCs w:val="24"/>
        </w:rPr>
        <w:t xml:space="preserve"> to present historical examples of Black achievement </w:t>
      </w:r>
      <w:r w:rsidR="002D7C0B" w:rsidRPr="00AE141E">
        <w:rPr>
          <w:rFonts w:ascii="Times New Roman" w:hAnsi="Times New Roman" w:cs="Times New Roman"/>
          <w:sz w:val="24"/>
          <w:szCs w:val="24"/>
        </w:rPr>
        <w:t xml:space="preserve">– the speaker cited the examples of African pioneers in maritime technology and mathematics </w:t>
      </w:r>
      <w:r w:rsidR="00605DCF" w:rsidRPr="00AE141E">
        <w:rPr>
          <w:rFonts w:ascii="Times New Roman" w:hAnsi="Times New Roman" w:cs="Times New Roman"/>
          <w:sz w:val="24"/>
          <w:szCs w:val="24"/>
        </w:rPr>
        <w:t>–</w:t>
      </w:r>
      <w:r w:rsidR="002D7C0B" w:rsidRPr="00AE141E">
        <w:rPr>
          <w:rFonts w:ascii="Times New Roman" w:hAnsi="Times New Roman" w:cs="Times New Roman"/>
          <w:sz w:val="24"/>
          <w:szCs w:val="24"/>
        </w:rPr>
        <w:t xml:space="preserve"> </w:t>
      </w:r>
      <w:r w:rsidR="00676EE3" w:rsidRPr="00AE141E">
        <w:rPr>
          <w:rFonts w:ascii="Times New Roman" w:hAnsi="Times New Roman" w:cs="Times New Roman"/>
          <w:sz w:val="24"/>
          <w:szCs w:val="24"/>
        </w:rPr>
        <w:t xml:space="preserve">the English education system left </w:t>
      </w:r>
      <w:r w:rsidR="00605DCF" w:rsidRPr="00AE141E">
        <w:rPr>
          <w:rFonts w:ascii="Times New Roman" w:hAnsi="Times New Roman" w:cs="Times New Roman"/>
          <w:sz w:val="24"/>
          <w:szCs w:val="24"/>
        </w:rPr>
        <w:t xml:space="preserve">young people unable to recognise </w:t>
      </w:r>
      <w:r w:rsidR="005F7EF1" w:rsidRPr="00AE141E">
        <w:rPr>
          <w:rFonts w:ascii="Times New Roman" w:hAnsi="Times New Roman" w:cs="Times New Roman"/>
          <w:sz w:val="24"/>
          <w:szCs w:val="24"/>
        </w:rPr>
        <w:t xml:space="preserve">ingenuity and powers of history-making in </w:t>
      </w:r>
      <w:r w:rsidR="00453DBC" w:rsidRPr="00AE141E">
        <w:rPr>
          <w:rFonts w:ascii="Times New Roman" w:hAnsi="Times New Roman" w:cs="Times New Roman"/>
          <w:sz w:val="24"/>
          <w:szCs w:val="24"/>
        </w:rPr>
        <w:t xml:space="preserve">themselves. </w:t>
      </w:r>
      <w:r w:rsidR="00174E0B" w:rsidRPr="00AE141E">
        <w:rPr>
          <w:rFonts w:ascii="Times New Roman" w:hAnsi="Times New Roman" w:cs="Times New Roman"/>
          <w:sz w:val="24"/>
          <w:szCs w:val="24"/>
        </w:rPr>
        <w:t xml:space="preserve">As in the BEM, we can recognise a futuristic orientation in these comments. </w:t>
      </w:r>
      <w:r w:rsidR="00133C73" w:rsidRPr="00AE141E">
        <w:rPr>
          <w:rFonts w:ascii="Times New Roman" w:hAnsi="Times New Roman" w:cs="Times New Roman"/>
          <w:sz w:val="24"/>
          <w:szCs w:val="24"/>
        </w:rPr>
        <w:t>Black young people viewed history as a site of possibility</w:t>
      </w:r>
      <w:r w:rsidR="00B568B1" w:rsidRPr="00AE141E">
        <w:rPr>
          <w:rFonts w:ascii="Times New Roman" w:hAnsi="Times New Roman" w:cs="Times New Roman"/>
          <w:sz w:val="24"/>
          <w:szCs w:val="24"/>
        </w:rPr>
        <w:t>, to be r</w:t>
      </w:r>
      <w:r w:rsidR="00B44BE8" w:rsidRPr="00AE141E">
        <w:rPr>
          <w:rFonts w:ascii="Times New Roman" w:hAnsi="Times New Roman" w:cs="Times New Roman"/>
          <w:sz w:val="24"/>
          <w:szCs w:val="24"/>
        </w:rPr>
        <w:t xml:space="preserve">ecruited to their own ends. The </w:t>
      </w:r>
      <w:r w:rsidR="00583D02" w:rsidRPr="00AE141E">
        <w:rPr>
          <w:rFonts w:ascii="Times New Roman" w:hAnsi="Times New Roman" w:cs="Times New Roman"/>
          <w:sz w:val="24"/>
          <w:szCs w:val="24"/>
        </w:rPr>
        <w:t xml:space="preserve">classic temporal division between past, present, and future, was </w:t>
      </w:r>
      <w:r w:rsidR="00075EF8" w:rsidRPr="00AE141E">
        <w:rPr>
          <w:rFonts w:ascii="Times New Roman" w:hAnsi="Times New Roman" w:cs="Times New Roman"/>
          <w:sz w:val="24"/>
          <w:szCs w:val="24"/>
        </w:rPr>
        <w:t>similarly</w:t>
      </w:r>
      <w:r w:rsidR="00BC017F" w:rsidRPr="00AE141E">
        <w:rPr>
          <w:rFonts w:ascii="Times New Roman" w:hAnsi="Times New Roman" w:cs="Times New Roman"/>
          <w:sz w:val="24"/>
          <w:szCs w:val="24"/>
        </w:rPr>
        <w:t xml:space="preserve"> </w:t>
      </w:r>
      <w:r w:rsidR="00583D02" w:rsidRPr="00AE141E">
        <w:rPr>
          <w:rFonts w:ascii="Times New Roman" w:hAnsi="Times New Roman" w:cs="Times New Roman"/>
          <w:sz w:val="24"/>
          <w:szCs w:val="24"/>
        </w:rPr>
        <w:t>eroded</w:t>
      </w:r>
      <w:r w:rsidR="00BC017F" w:rsidRPr="00AE141E">
        <w:rPr>
          <w:rFonts w:ascii="Times New Roman" w:hAnsi="Times New Roman" w:cs="Times New Roman"/>
          <w:sz w:val="24"/>
          <w:szCs w:val="24"/>
        </w:rPr>
        <w:t xml:space="preserve"> by </w:t>
      </w:r>
      <w:r w:rsidR="00207F88" w:rsidRPr="00AE141E">
        <w:rPr>
          <w:rFonts w:ascii="Times New Roman" w:hAnsi="Times New Roman" w:cs="Times New Roman"/>
          <w:sz w:val="24"/>
          <w:szCs w:val="24"/>
        </w:rPr>
        <w:t xml:space="preserve">young people’s personal sense of </w:t>
      </w:r>
      <w:r w:rsidR="0029123C" w:rsidRPr="00AE141E">
        <w:rPr>
          <w:rFonts w:ascii="Times New Roman" w:hAnsi="Times New Roman" w:cs="Times New Roman"/>
          <w:sz w:val="24"/>
          <w:szCs w:val="24"/>
        </w:rPr>
        <w:t>historicity and historical importance</w:t>
      </w:r>
      <w:r w:rsidR="00207F88" w:rsidRPr="00AE141E">
        <w:rPr>
          <w:rFonts w:ascii="Times New Roman" w:hAnsi="Times New Roman" w:cs="Times New Roman"/>
          <w:sz w:val="24"/>
          <w:szCs w:val="24"/>
        </w:rPr>
        <w:t>.</w:t>
      </w:r>
      <w:r w:rsidR="00233CB2" w:rsidRPr="00AE141E">
        <w:rPr>
          <w:rFonts w:ascii="Times New Roman" w:hAnsi="Times New Roman" w:cs="Times New Roman"/>
          <w:sz w:val="24"/>
          <w:szCs w:val="24"/>
        </w:rPr>
        <w:t xml:space="preserve"> This was neatly expressed by an interviewee who </w:t>
      </w:r>
      <w:r w:rsidR="00F93097" w:rsidRPr="00AE141E">
        <w:rPr>
          <w:rFonts w:ascii="Times New Roman" w:hAnsi="Times New Roman" w:cs="Times New Roman"/>
          <w:sz w:val="24"/>
          <w:szCs w:val="24"/>
        </w:rPr>
        <w:t>cited</w:t>
      </w:r>
      <w:r w:rsidR="00233CB2" w:rsidRPr="00AE141E">
        <w:rPr>
          <w:rFonts w:ascii="Times New Roman" w:hAnsi="Times New Roman" w:cs="Times New Roman"/>
          <w:sz w:val="24"/>
          <w:szCs w:val="24"/>
        </w:rPr>
        <w:t xml:space="preserve"> the</w:t>
      </w:r>
      <w:r w:rsidR="00565A33" w:rsidRPr="00AE141E">
        <w:rPr>
          <w:rFonts w:ascii="Times New Roman" w:hAnsi="Times New Roman" w:cs="Times New Roman"/>
          <w:sz w:val="24"/>
          <w:szCs w:val="24"/>
        </w:rPr>
        <w:t xml:space="preserve"> professional</w:t>
      </w:r>
      <w:r w:rsidR="00233CB2" w:rsidRPr="00AE141E">
        <w:rPr>
          <w:rFonts w:ascii="Times New Roman" w:hAnsi="Times New Roman" w:cs="Times New Roman"/>
          <w:sz w:val="24"/>
          <w:szCs w:val="24"/>
        </w:rPr>
        <w:t xml:space="preserve"> </w:t>
      </w:r>
      <w:r w:rsidR="00E0197A" w:rsidRPr="00AE141E">
        <w:rPr>
          <w:rFonts w:ascii="Times New Roman" w:hAnsi="Times New Roman" w:cs="Times New Roman"/>
          <w:sz w:val="24"/>
          <w:szCs w:val="24"/>
        </w:rPr>
        <w:t xml:space="preserve">successes of </w:t>
      </w:r>
      <w:r w:rsidR="00565A33" w:rsidRPr="00AE141E">
        <w:rPr>
          <w:rFonts w:ascii="Times New Roman" w:hAnsi="Times New Roman" w:cs="Times New Roman"/>
          <w:sz w:val="24"/>
          <w:szCs w:val="24"/>
        </w:rPr>
        <w:t>their</w:t>
      </w:r>
      <w:r w:rsidR="00E0197A" w:rsidRPr="00AE141E">
        <w:rPr>
          <w:rFonts w:ascii="Times New Roman" w:hAnsi="Times New Roman" w:cs="Times New Roman"/>
          <w:sz w:val="24"/>
          <w:szCs w:val="24"/>
        </w:rPr>
        <w:t xml:space="preserve"> </w:t>
      </w:r>
      <w:r w:rsidR="00565A33" w:rsidRPr="00AE141E">
        <w:rPr>
          <w:rFonts w:ascii="Times New Roman" w:hAnsi="Times New Roman" w:cs="Times New Roman"/>
          <w:sz w:val="24"/>
          <w:szCs w:val="24"/>
        </w:rPr>
        <w:t>peers</w:t>
      </w:r>
      <w:r w:rsidR="00207F88" w:rsidRPr="00AE141E">
        <w:rPr>
          <w:rFonts w:ascii="Times New Roman" w:hAnsi="Times New Roman" w:cs="Times New Roman"/>
          <w:sz w:val="24"/>
          <w:szCs w:val="24"/>
        </w:rPr>
        <w:t xml:space="preserve"> </w:t>
      </w:r>
      <w:r w:rsidR="00F93097" w:rsidRPr="00AE141E">
        <w:rPr>
          <w:rFonts w:ascii="Times New Roman" w:hAnsi="Times New Roman" w:cs="Times New Roman"/>
          <w:sz w:val="24"/>
          <w:szCs w:val="24"/>
        </w:rPr>
        <w:t xml:space="preserve">as a source of inspiration for </w:t>
      </w:r>
      <w:r w:rsidR="00207F88" w:rsidRPr="00AE141E">
        <w:rPr>
          <w:rFonts w:ascii="Times New Roman" w:hAnsi="Times New Roman" w:cs="Times New Roman"/>
          <w:sz w:val="24"/>
          <w:szCs w:val="24"/>
        </w:rPr>
        <w:t xml:space="preserve">the </w:t>
      </w:r>
      <w:r w:rsidR="00F93097" w:rsidRPr="00AE141E">
        <w:rPr>
          <w:rFonts w:ascii="Times New Roman" w:hAnsi="Times New Roman" w:cs="Times New Roman"/>
          <w:sz w:val="24"/>
          <w:szCs w:val="24"/>
        </w:rPr>
        <w:t>‘</w:t>
      </w:r>
      <w:r w:rsidR="00207F88" w:rsidRPr="00AE141E">
        <w:rPr>
          <w:rFonts w:ascii="Times New Roman" w:hAnsi="Times New Roman" w:cs="Times New Roman"/>
          <w:sz w:val="24"/>
          <w:szCs w:val="24"/>
        </w:rPr>
        <w:t>younger kids</w:t>
      </w:r>
      <w:r w:rsidR="00F93097" w:rsidRPr="00AE141E">
        <w:rPr>
          <w:rFonts w:ascii="Times New Roman" w:hAnsi="Times New Roman" w:cs="Times New Roman"/>
          <w:sz w:val="24"/>
          <w:szCs w:val="24"/>
        </w:rPr>
        <w:t>’</w:t>
      </w:r>
      <w:r w:rsidR="00CA3347" w:rsidRPr="00AE141E">
        <w:rPr>
          <w:rFonts w:ascii="Times New Roman" w:hAnsi="Times New Roman" w:cs="Times New Roman"/>
          <w:sz w:val="24"/>
          <w:szCs w:val="24"/>
        </w:rPr>
        <w:t xml:space="preserve">, who would be more likely to believe they could achieve if they </w:t>
      </w:r>
      <w:r w:rsidR="004F76DB" w:rsidRPr="00AE141E">
        <w:rPr>
          <w:rFonts w:ascii="Times New Roman" w:hAnsi="Times New Roman" w:cs="Times New Roman"/>
          <w:sz w:val="24"/>
          <w:szCs w:val="24"/>
        </w:rPr>
        <w:t>understood that</w:t>
      </w:r>
      <w:r w:rsidR="00207F88" w:rsidRPr="00AE141E">
        <w:rPr>
          <w:rFonts w:ascii="Times New Roman" w:hAnsi="Times New Roman" w:cs="Times New Roman"/>
          <w:sz w:val="24"/>
          <w:szCs w:val="24"/>
        </w:rPr>
        <w:t xml:space="preserve"> </w:t>
      </w:r>
      <w:r w:rsidR="004F76DB" w:rsidRPr="00AE141E">
        <w:rPr>
          <w:rFonts w:ascii="Times New Roman" w:hAnsi="Times New Roman" w:cs="Times New Roman"/>
          <w:sz w:val="24"/>
          <w:szCs w:val="24"/>
        </w:rPr>
        <w:t>‘</w:t>
      </w:r>
      <w:r w:rsidR="00207F88" w:rsidRPr="00AE141E">
        <w:rPr>
          <w:rFonts w:ascii="Times New Roman" w:hAnsi="Times New Roman" w:cs="Times New Roman"/>
          <w:sz w:val="24"/>
          <w:szCs w:val="24"/>
        </w:rPr>
        <w:t>black people have already made the way</w:t>
      </w:r>
      <w:r w:rsidR="004F76DB" w:rsidRPr="00AE141E">
        <w:rPr>
          <w:rFonts w:ascii="Times New Roman" w:hAnsi="Times New Roman" w:cs="Times New Roman"/>
          <w:sz w:val="24"/>
          <w:szCs w:val="24"/>
        </w:rPr>
        <w:t>’.</w:t>
      </w:r>
      <w:r w:rsidR="007738B2" w:rsidRPr="00AE141E">
        <w:rPr>
          <w:rStyle w:val="FootnoteReference"/>
          <w:rFonts w:ascii="Times New Roman" w:hAnsi="Times New Roman" w:cs="Times New Roman"/>
          <w:sz w:val="24"/>
          <w:szCs w:val="24"/>
        </w:rPr>
        <w:footnoteReference w:id="461"/>
      </w:r>
      <w:r w:rsidR="002C1B81" w:rsidRPr="00AE141E">
        <w:rPr>
          <w:rFonts w:ascii="Times New Roman" w:hAnsi="Times New Roman" w:cs="Times New Roman"/>
          <w:sz w:val="24"/>
          <w:szCs w:val="24"/>
        </w:rPr>
        <w:t xml:space="preserve"> </w:t>
      </w:r>
    </w:p>
    <w:p w14:paraId="5779B09C" w14:textId="640FABBD" w:rsidR="00075EF8" w:rsidRPr="00AE141E" w:rsidRDefault="002954B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Young people</w:t>
      </w:r>
      <w:r w:rsidR="006A6070" w:rsidRPr="00AE141E">
        <w:rPr>
          <w:rFonts w:ascii="Times New Roman" w:hAnsi="Times New Roman" w:cs="Times New Roman"/>
          <w:sz w:val="24"/>
          <w:szCs w:val="24"/>
        </w:rPr>
        <w:t xml:space="preserve"> who did not study Black history in school</w:t>
      </w:r>
      <w:r w:rsidR="000B725B" w:rsidRPr="00AE141E">
        <w:rPr>
          <w:rFonts w:ascii="Times New Roman" w:hAnsi="Times New Roman" w:cs="Times New Roman"/>
          <w:sz w:val="24"/>
          <w:szCs w:val="24"/>
        </w:rPr>
        <w:t xml:space="preserve"> sometimes reported feeling a sense of alienation or </w:t>
      </w:r>
      <w:r w:rsidR="00075EF8" w:rsidRPr="00AE141E">
        <w:rPr>
          <w:rFonts w:ascii="Times New Roman" w:hAnsi="Times New Roman" w:cs="Times New Roman"/>
          <w:sz w:val="24"/>
          <w:szCs w:val="24"/>
        </w:rPr>
        <w:t xml:space="preserve">struggles with identity. </w:t>
      </w:r>
      <w:r w:rsidR="009841D7" w:rsidRPr="00AE141E">
        <w:rPr>
          <w:rFonts w:ascii="Times New Roman" w:hAnsi="Times New Roman" w:cs="Times New Roman"/>
          <w:sz w:val="24"/>
          <w:szCs w:val="24"/>
        </w:rPr>
        <w:t>Here again, the concept of roots</w:t>
      </w:r>
      <w:r w:rsidR="00334C0D" w:rsidRPr="00AE141E">
        <w:rPr>
          <w:rFonts w:ascii="Times New Roman" w:hAnsi="Times New Roman" w:cs="Times New Roman"/>
          <w:sz w:val="24"/>
          <w:szCs w:val="24"/>
        </w:rPr>
        <w:t xml:space="preserve"> and rootedness</w:t>
      </w:r>
      <w:r w:rsidR="009841D7" w:rsidRPr="00AE141E">
        <w:rPr>
          <w:rFonts w:ascii="Times New Roman" w:hAnsi="Times New Roman" w:cs="Times New Roman"/>
          <w:sz w:val="24"/>
          <w:szCs w:val="24"/>
        </w:rPr>
        <w:t xml:space="preserve"> was important. </w:t>
      </w:r>
      <w:r w:rsidR="002B4B8F" w:rsidRPr="00AE141E">
        <w:rPr>
          <w:rFonts w:ascii="Times New Roman" w:hAnsi="Times New Roman" w:cs="Times New Roman"/>
          <w:sz w:val="24"/>
          <w:szCs w:val="24"/>
        </w:rPr>
        <w:t xml:space="preserve">One speaker in the AFFOR collection </w:t>
      </w:r>
      <w:r w:rsidR="00954802" w:rsidRPr="00AE141E">
        <w:rPr>
          <w:rFonts w:ascii="Times New Roman" w:hAnsi="Times New Roman" w:cs="Times New Roman"/>
          <w:sz w:val="24"/>
          <w:szCs w:val="24"/>
        </w:rPr>
        <w:t>asserted that</w:t>
      </w:r>
      <w:r w:rsidR="00334C0D" w:rsidRPr="00AE141E">
        <w:rPr>
          <w:rFonts w:ascii="Times New Roman" w:hAnsi="Times New Roman" w:cs="Times New Roman"/>
          <w:sz w:val="24"/>
          <w:szCs w:val="24"/>
        </w:rPr>
        <w:t xml:space="preserve"> they ‘</w:t>
      </w:r>
      <w:r w:rsidR="00075EF8" w:rsidRPr="00AE141E">
        <w:rPr>
          <w:rFonts w:ascii="Times New Roman" w:hAnsi="Times New Roman" w:cs="Times New Roman"/>
          <w:sz w:val="24"/>
          <w:szCs w:val="24"/>
        </w:rPr>
        <w:t>didn’t know anything about going back to my roots, until I was about 15 or 16</w:t>
      </w:r>
      <w:r w:rsidR="00334C0D" w:rsidRPr="00AE141E">
        <w:rPr>
          <w:rFonts w:ascii="Times New Roman" w:hAnsi="Times New Roman" w:cs="Times New Roman"/>
          <w:sz w:val="24"/>
          <w:szCs w:val="24"/>
        </w:rPr>
        <w:t>’.</w:t>
      </w:r>
      <w:r w:rsidR="00281F00" w:rsidRPr="00AE141E">
        <w:rPr>
          <w:rStyle w:val="FootnoteReference"/>
          <w:rFonts w:ascii="Times New Roman" w:hAnsi="Times New Roman" w:cs="Times New Roman"/>
          <w:sz w:val="24"/>
          <w:szCs w:val="24"/>
        </w:rPr>
        <w:footnoteReference w:id="462"/>
      </w:r>
      <w:r w:rsidR="00334C0D" w:rsidRPr="00AE141E">
        <w:rPr>
          <w:rFonts w:ascii="Times New Roman" w:hAnsi="Times New Roman" w:cs="Times New Roman"/>
          <w:sz w:val="24"/>
          <w:szCs w:val="24"/>
        </w:rPr>
        <w:t xml:space="preserve"> </w:t>
      </w:r>
      <w:r w:rsidR="004C4B81" w:rsidRPr="00AE141E">
        <w:rPr>
          <w:rFonts w:ascii="Times New Roman" w:hAnsi="Times New Roman" w:cs="Times New Roman"/>
          <w:sz w:val="24"/>
          <w:szCs w:val="24"/>
        </w:rPr>
        <w:t xml:space="preserve">At this point, </w:t>
      </w:r>
      <w:r w:rsidR="00B86BEB" w:rsidRPr="00AE141E">
        <w:rPr>
          <w:rFonts w:ascii="Times New Roman" w:hAnsi="Times New Roman" w:cs="Times New Roman"/>
          <w:sz w:val="24"/>
          <w:szCs w:val="24"/>
        </w:rPr>
        <w:t>information which they felt to have been previously su</w:t>
      </w:r>
      <w:r w:rsidR="00395FD6" w:rsidRPr="00AE141E">
        <w:rPr>
          <w:rFonts w:ascii="Times New Roman" w:hAnsi="Times New Roman" w:cs="Times New Roman"/>
          <w:sz w:val="24"/>
          <w:szCs w:val="24"/>
        </w:rPr>
        <w:t>p</w:t>
      </w:r>
      <w:r w:rsidR="00B86BEB" w:rsidRPr="00AE141E">
        <w:rPr>
          <w:rFonts w:ascii="Times New Roman" w:hAnsi="Times New Roman" w:cs="Times New Roman"/>
          <w:sz w:val="24"/>
          <w:szCs w:val="24"/>
        </w:rPr>
        <w:t xml:space="preserve">pressed came to light – they </w:t>
      </w:r>
      <w:r w:rsidR="004C4B81" w:rsidRPr="00AE141E">
        <w:rPr>
          <w:rFonts w:ascii="Times New Roman" w:hAnsi="Times New Roman" w:cs="Times New Roman"/>
          <w:sz w:val="24"/>
          <w:szCs w:val="24"/>
        </w:rPr>
        <w:t>found out that they were ‘</w:t>
      </w:r>
      <w:r w:rsidR="00075EF8" w:rsidRPr="00AE141E">
        <w:rPr>
          <w:rFonts w:ascii="Times New Roman" w:hAnsi="Times New Roman" w:cs="Times New Roman"/>
          <w:sz w:val="24"/>
          <w:szCs w:val="24"/>
        </w:rPr>
        <w:t>descended from a slave</w:t>
      </w:r>
      <w:r w:rsidR="004C4B81" w:rsidRPr="00AE141E">
        <w:rPr>
          <w:rFonts w:ascii="Times New Roman" w:hAnsi="Times New Roman" w:cs="Times New Roman"/>
          <w:sz w:val="24"/>
          <w:szCs w:val="24"/>
        </w:rPr>
        <w:t>’</w:t>
      </w:r>
      <w:r w:rsidR="00075EF8" w:rsidRPr="00AE141E">
        <w:rPr>
          <w:rFonts w:ascii="Times New Roman" w:hAnsi="Times New Roman" w:cs="Times New Roman"/>
          <w:sz w:val="24"/>
          <w:szCs w:val="24"/>
        </w:rPr>
        <w:t xml:space="preserve">. </w:t>
      </w:r>
      <w:r w:rsidR="00B86BEB" w:rsidRPr="00AE141E">
        <w:rPr>
          <w:rFonts w:ascii="Times New Roman" w:hAnsi="Times New Roman" w:cs="Times New Roman"/>
          <w:sz w:val="24"/>
          <w:szCs w:val="24"/>
        </w:rPr>
        <w:t>The speaker</w:t>
      </w:r>
      <w:r w:rsidR="004C4B81" w:rsidRPr="00AE141E">
        <w:rPr>
          <w:rFonts w:ascii="Times New Roman" w:hAnsi="Times New Roman" w:cs="Times New Roman"/>
          <w:sz w:val="24"/>
          <w:szCs w:val="24"/>
        </w:rPr>
        <w:t xml:space="preserve"> detail</w:t>
      </w:r>
      <w:r w:rsidR="00B86BEB" w:rsidRPr="00AE141E">
        <w:rPr>
          <w:rFonts w:ascii="Times New Roman" w:hAnsi="Times New Roman" w:cs="Times New Roman"/>
          <w:sz w:val="24"/>
          <w:szCs w:val="24"/>
        </w:rPr>
        <w:t>ed</w:t>
      </w:r>
      <w:r w:rsidR="004C4B81" w:rsidRPr="00AE141E">
        <w:rPr>
          <w:rFonts w:ascii="Times New Roman" w:hAnsi="Times New Roman" w:cs="Times New Roman"/>
          <w:sz w:val="24"/>
          <w:szCs w:val="24"/>
        </w:rPr>
        <w:t xml:space="preserve"> the </w:t>
      </w:r>
      <w:r w:rsidR="0008209D" w:rsidRPr="00AE141E">
        <w:rPr>
          <w:rFonts w:ascii="Times New Roman" w:hAnsi="Times New Roman" w:cs="Times New Roman"/>
          <w:sz w:val="24"/>
          <w:szCs w:val="24"/>
        </w:rPr>
        <w:t>painful</w:t>
      </w:r>
      <w:r w:rsidR="004C4B81" w:rsidRPr="00AE141E">
        <w:rPr>
          <w:rFonts w:ascii="Times New Roman" w:hAnsi="Times New Roman" w:cs="Times New Roman"/>
          <w:sz w:val="24"/>
          <w:szCs w:val="24"/>
        </w:rPr>
        <w:t xml:space="preserve"> shock </w:t>
      </w:r>
      <w:r w:rsidR="0008209D" w:rsidRPr="00AE141E">
        <w:rPr>
          <w:rFonts w:ascii="Times New Roman" w:hAnsi="Times New Roman" w:cs="Times New Roman"/>
          <w:sz w:val="24"/>
          <w:szCs w:val="24"/>
        </w:rPr>
        <w:t>which resulted from this revelation, which suddenly gave new meaning to their presence in Britain.</w:t>
      </w:r>
      <w:r w:rsidR="007D6FC5" w:rsidRPr="00AE141E">
        <w:rPr>
          <w:rFonts w:ascii="Times New Roman" w:hAnsi="Times New Roman" w:cs="Times New Roman"/>
          <w:sz w:val="24"/>
          <w:szCs w:val="24"/>
        </w:rPr>
        <w:t xml:space="preserve"> </w:t>
      </w:r>
      <w:r w:rsidR="00D95A5B" w:rsidRPr="00AE141E">
        <w:rPr>
          <w:rFonts w:ascii="Times New Roman" w:hAnsi="Times New Roman" w:cs="Times New Roman"/>
          <w:sz w:val="24"/>
          <w:szCs w:val="24"/>
        </w:rPr>
        <w:t xml:space="preserve">Another </w:t>
      </w:r>
      <w:r w:rsidR="00730657" w:rsidRPr="00AE141E">
        <w:rPr>
          <w:rFonts w:ascii="Times New Roman" w:hAnsi="Times New Roman" w:cs="Times New Roman"/>
          <w:sz w:val="24"/>
          <w:szCs w:val="24"/>
        </w:rPr>
        <w:t xml:space="preserve">voice in </w:t>
      </w:r>
      <w:r w:rsidR="00730657" w:rsidRPr="00AE141E">
        <w:rPr>
          <w:rFonts w:ascii="Times New Roman" w:hAnsi="Times New Roman" w:cs="Times New Roman"/>
          <w:i/>
          <w:sz w:val="24"/>
          <w:szCs w:val="24"/>
        </w:rPr>
        <w:t xml:space="preserve">Talking Chalk </w:t>
      </w:r>
      <w:r w:rsidR="00730657" w:rsidRPr="00AE141E">
        <w:rPr>
          <w:rFonts w:ascii="Times New Roman" w:hAnsi="Times New Roman" w:cs="Times New Roman"/>
          <w:sz w:val="24"/>
          <w:szCs w:val="24"/>
        </w:rPr>
        <w:t xml:space="preserve">spoke to the fraught relationship with Britain and Britishness which </w:t>
      </w:r>
      <w:r w:rsidR="00A27B2B" w:rsidRPr="00AE141E">
        <w:rPr>
          <w:rFonts w:ascii="Times New Roman" w:hAnsi="Times New Roman" w:cs="Times New Roman"/>
          <w:sz w:val="24"/>
          <w:szCs w:val="24"/>
        </w:rPr>
        <w:t>they felt</w:t>
      </w:r>
      <w:r w:rsidR="00730657" w:rsidRPr="00AE141E">
        <w:rPr>
          <w:rFonts w:ascii="Times New Roman" w:hAnsi="Times New Roman" w:cs="Times New Roman"/>
          <w:sz w:val="24"/>
          <w:szCs w:val="24"/>
        </w:rPr>
        <w:t xml:space="preserve"> result</w:t>
      </w:r>
      <w:r w:rsidR="00A27B2B" w:rsidRPr="00AE141E">
        <w:rPr>
          <w:rFonts w:ascii="Times New Roman" w:hAnsi="Times New Roman" w:cs="Times New Roman"/>
          <w:sz w:val="24"/>
          <w:szCs w:val="24"/>
        </w:rPr>
        <w:t>ed</w:t>
      </w:r>
      <w:r w:rsidR="00730657" w:rsidRPr="00AE141E">
        <w:rPr>
          <w:rFonts w:ascii="Times New Roman" w:hAnsi="Times New Roman" w:cs="Times New Roman"/>
          <w:sz w:val="24"/>
          <w:szCs w:val="24"/>
        </w:rPr>
        <w:t xml:space="preserve"> from </w:t>
      </w:r>
      <w:r w:rsidR="00A27B2B" w:rsidRPr="00AE141E">
        <w:rPr>
          <w:rFonts w:ascii="Times New Roman" w:hAnsi="Times New Roman" w:cs="Times New Roman"/>
          <w:sz w:val="24"/>
          <w:szCs w:val="24"/>
        </w:rPr>
        <w:t>silences</w:t>
      </w:r>
      <w:r w:rsidR="00730657" w:rsidRPr="00AE141E">
        <w:rPr>
          <w:rFonts w:ascii="Times New Roman" w:hAnsi="Times New Roman" w:cs="Times New Roman"/>
          <w:sz w:val="24"/>
          <w:szCs w:val="24"/>
        </w:rPr>
        <w:t xml:space="preserve"> </w:t>
      </w:r>
      <w:r w:rsidR="00A27B2B" w:rsidRPr="00AE141E">
        <w:rPr>
          <w:rFonts w:ascii="Times New Roman" w:hAnsi="Times New Roman" w:cs="Times New Roman"/>
          <w:sz w:val="24"/>
          <w:szCs w:val="24"/>
        </w:rPr>
        <w:t>in the history curriculum</w:t>
      </w:r>
      <w:r w:rsidR="00730657" w:rsidRPr="00AE141E">
        <w:rPr>
          <w:rFonts w:ascii="Times New Roman" w:hAnsi="Times New Roman" w:cs="Times New Roman"/>
          <w:sz w:val="24"/>
          <w:szCs w:val="24"/>
        </w:rPr>
        <w:t>.</w:t>
      </w:r>
      <w:r w:rsidR="007D6FC5" w:rsidRPr="00AE141E">
        <w:rPr>
          <w:rFonts w:ascii="Times New Roman" w:hAnsi="Times New Roman" w:cs="Times New Roman"/>
          <w:sz w:val="24"/>
          <w:szCs w:val="24"/>
        </w:rPr>
        <w:t xml:space="preserve"> </w:t>
      </w:r>
      <w:r w:rsidR="00A27B2B" w:rsidRPr="00AE141E">
        <w:rPr>
          <w:rFonts w:ascii="Times New Roman" w:hAnsi="Times New Roman" w:cs="Times New Roman"/>
          <w:sz w:val="24"/>
          <w:szCs w:val="24"/>
        </w:rPr>
        <w:t>The interviewee</w:t>
      </w:r>
      <w:r w:rsidR="000304E4" w:rsidRPr="00AE141E">
        <w:rPr>
          <w:rFonts w:ascii="Times New Roman" w:hAnsi="Times New Roman" w:cs="Times New Roman"/>
          <w:sz w:val="24"/>
          <w:szCs w:val="24"/>
        </w:rPr>
        <w:t>, who was born in Britain and of Jamaican heritage,</w:t>
      </w:r>
      <w:r w:rsidR="00A27B2B" w:rsidRPr="00AE141E">
        <w:rPr>
          <w:rFonts w:ascii="Times New Roman" w:hAnsi="Times New Roman" w:cs="Times New Roman"/>
          <w:sz w:val="24"/>
          <w:szCs w:val="24"/>
        </w:rPr>
        <w:t xml:space="preserve"> had attended a school in which Black history was not taught</w:t>
      </w:r>
      <w:r w:rsidR="00ED25D4" w:rsidRPr="00AE141E">
        <w:rPr>
          <w:rFonts w:ascii="Times New Roman" w:hAnsi="Times New Roman" w:cs="Times New Roman"/>
          <w:sz w:val="24"/>
          <w:szCs w:val="24"/>
        </w:rPr>
        <w:t xml:space="preserve">. </w:t>
      </w:r>
      <w:r w:rsidR="000304E4" w:rsidRPr="00AE141E">
        <w:rPr>
          <w:rFonts w:ascii="Times New Roman" w:hAnsi="Times New Roman" w:cs="Times New Roman"/>
          <w:sz w:val="24"/>
          <w:szCs w:val="24"/>
        </w:rPr>
        <w:t xml:space="preserve">The </w:t>
      </w:r>
      <w:r w:rsidR="002D7A48" w:rsidRPr="00AE141E">
        <w:rPr>
          <w:rFonts w:ascii="Times New Roman" w:hAnsi="Times New Roman" w:cs="Times New Roman"/>
          <w:sz w:val="24"/>
          <w:szCs w:val="24"/>
        </w:rPr>
        <w:t xml:space="preserve">false divide erected between Black and British history left them </w:t>
      </w:r>
      <w:r w:rsidR="00DD3C3F" w:rsidRPr="00AE141E">
        <w:rPr>
          <w:rFonts w:ascii="Times New Roman" w:hAnsi="Times New Roman" w:cs="Times New Roman"/>
          <w:sz w:val="24"/>
          <w:szCs w:val="24"/>
        </w:rPr>
        <w:t>grappling with questions ‘</w:t>
      </w:r>
      <w:r w:rsidR="00645514" w:rsidRPr="00AE141E">
        <w:rPr>
          <w:rFonts w:ascii="Times New Roman" w:hAnsi="Times New Roman" w:cs="Times New Roman"/>
          <w:sz w:val="24"/>
          <w:szCs w:val="24"/>
        </w:rPr>
        <w:t>about my true identity’</w:t>
      </w:r>
      <w:r w:rsidR="00E67889" w:rsidRPr="00AE141E">
        <w:rPr>
          <w:rFonts w:ascii="Times New Roman" w:hAnsi="Times New Roman" w:cs="Times New Roman"/>
          <w:sz w:val="24"/>
          <w:szCs w:val="24"/>
        </w:rPr>
        <w:t>, as if a side needed to be chosen.</w:t>
      </w:r>
    </w:p>
    <w:p w14:paraId="61C11028" w14:textId="7B68EE60" w:rsidR="0064084C" w:rsidRPr="00AE141E" w:rsidRDefault="00CB7BD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When</w:t>
      </w:r>
      <w:r w:rsidR="00D21930" w:rsidRPr="00AE141E">
        <w:rPr>
          <w:rFonts w:ascii="Times New Roman" w:hAnsi="Times New Roman" w:cs="Times New Roman"/>
          <w:sz w:val="24"/>
          <w:szCs w:val="24"/>
        </w:rPr>
        <w:t xml:space="preserve"> a school’s curriculum </w:t>
      </w:r>
      <w:r w:rsidRPr="00AE141E">
        <w:rPr>
          <w:rFonts w:ascii="Times New Roman" w:hAnsi="Times New Roman" w:cs="Times New Roman"/>
          <w:sz w:val="24"/>
          <w:szCs w:val="24"/>
        </w:rPr>
        <w:t xml:space="preserve">did </w:t>
      </w:r>
      <w:r w:rsidR="00EC50CF" w:rsidRPr="00AE141E">
        <w:rPr>
          <w:rFonts w:ascii="Times New Roman" w:hAnsi="Times New Roman" w:cs="Times New Roman"/>
          <w:sz w:val="24"/>
          <w:szCs w:val="24"/>
        </w:rPr>
        <w:t>include</w:t>
      </w:r>
      <w:r w:rsidRPr="00AE141E">
        <w:rPr>
          <w:rFonts w:ascii="Times New Roman" w:hAnsi="Times New Roman" w:cs="Times New Roman"/>
          <w:sz w:val="24"/>
          <w:szCs w:val="24"/>
        </w:rPr>
        <w:t xml:space="preserve"> </w:t>
      </w:r>
      <w:r w:rsidR="00D21930" w:rsidRPr="00AE141E">
        <w:rPr>
          <w:rFonts w:ascii="Times New Roman" w:hAnsi="Times New Roman" w:cs="Times New Roman"/>
          <w:sz w:val="24"/>
          <w:szCs w:val="24"/>
        </w:rPr>
        <w:t xml:space="preserve">topics </w:t>
      </w:r>
      <w:r w:rsidR="002C1B81" w:rsidRPr="00AE141E">
        <w:rPr>
          <w:rFonts w:ascii="Times New Roman" w:hAnsi="Times New Roman" w:cs="Times New Roman"/>
          <w:sz w:val="24"/>
          <w:szCs w:val="24"/>
        </w:rPr>
        <w:t>drawn from Black history</w:t>
      </w:r>
      <w:r w:rsidRPr="00AE141E">
        <w:rPr>
          <w:rFonts w:ascii="Times New Roman" w:hAnsi="Times New Roman" w:cs="Times New Roman"/>
          <w:sz w:val="24"/>
          <w:szCs w:val="24"/>
        </w:rPr>
        <w:t>, complaints typically concerned the perspective from which this history was told</w:t>
      </w:r>
      <w:r w:rsidR="00321493" w:rsidRPr="00AE141E">
        <w:rPr>
          <w:rFonts w:ascii="Times New Roman" w:hAnsi="Times New Roman" w:cs="Times New Roman"/>
          <w:sz w:val="24"/>
          <w:szCs w:val="24"/>
        </w:rPr>
        <w:t xml:space="preserve">. </w:t>
      </w:r>
      <w:r w:rsidR="00D26D37" w:rsidRPr="00AE141E">
        <w:rPr>
          <w:rFonts w:ascii="Times New Roman" w:hAnsi="Times New Roman" w:cs="Times New Roman"/>
          <w:sz w:val="24"/>
          <w:szCs w:val="24"/>
        </w:rPr>
        <w:t xml:space="preserve">One parent featured in </w:t>
      </w:r>
      <w:r w:rsidR="00D26D37" w:rsidRPr="00AE141E">
        <w:rPr>
          <w:rFonts w:ascii="Times New Roman" w:hAnsi="Times New Roman" w:cs="Times New Roman"/>
          <w:i/>
          <w:sz w:val="24"/>
          <w:szCs w:val="24"/>
        </w:rPr>
        <w:t xml:space="preserve">Talking Chalk </w:t>
      </w:r>
      <w:r w:rsidR="00D26D37" w:rsidRPr="00AE141E">
        <w:rPr>
          <w:rFonts w:ascii="Times New Roman" w:hAnsi="Times New Roman" w:cs="Times New Roman"/>
          <w:sz w:val="24"/>
          <w:szCs w:val="24"/>
        </w:rPr>
        <w:t xml:space="preserve">accused the education </w:t>
      </w:r>
      <w:r w:rsidR="00E31E57" w:rsidRPr="00AE141E">
        <w:rPr>
          <w:rFonts w:ascii="Times New Roman" w:hAnsi="Times New Roman" w:cs="Times New Roman"/>
          <w:sz w:val="24"/>
          <w:szCs w:val="24"/>
        </w:rPr>
        <w:t xml:space="preserve">system of </w:t>
      </w:r>
      <w:r w:rsidR="00494A2A" w:rsidRPr="00AE141E">
        <w:rPr>
          <w:rFonts w:ascii="Times New Roman" w:hAnsi="Times New Roman" w:cs="Times New Roman"/>
          <w:sz w:val="24"/>
          <w:szCs w:val="24"/>
        </w:rPr>
        <w:t>perpetrating</w:t>
      </w:r>
      <w:r w:rsidR="00E31E57" w:rsidRPr="00AE141E">
        <w:rPr>
          <w:rFonts w:ascii="Times New Roman" w:hAnsi="Times New Roman" w:cs="Times New Roman"/>
          <w:sz w:val="24"/>
          <w:szCs w:val="24"/>
        </w:rPr>
        <w:t xml:space="preserve"> </w:t>
      </w:r>
      <w:r w:rsidR="00494A2A" w:rsidRPr="00AE141E">
        <w:rPr>
          <w:rFonts w:ascii="Times New Roman" w:hAnsi="Times New Roman" w:cs="Times New Roman"/>
          <w:sz w:val="24"/>
          <w:szCs w:val="24"/>
        </w:rPr>
        <w:t>harm by</w:t>
      </w:r>
      <w:r w:rsidR="00E31E57" w:rsidRPr="00AE141E">
        <w:rPr>
          <w:rFonts w:ascii="Times New Roman" w:hAnsi="Times New Roman" w:cs="Times New Roman"/>
          <w:sz w:val="24"/>
          <w:szCs w:val="24"/>
        </w:rPr>
        <w:t xml:space="preserve"> failing to address itself to ‘</w:t>
      </w:r>
      <w:r w:rsidR="009A20DD" w:rsidRPr="00AE141E">
        <w:rPr>
          <w:rFonts w:ascii="Times New Roman" w:hAnsi="Times New Roman" w:cs="Times New Roman"/>
          <w:sz w:val="24"/>
          <w:szCs w:val="24"/>
        </w:rPr>
        <w:t>black history – and black history not as seen through the eyes of whites, but as seen through the eyes of blacks</w:t>
      </w:r>
      <w:r w:rsidR="00D106BE" w:rsidRPr="00AE141E">
        <w:rPr>
          <w:rFonts w:ascii="Times New Roman" w:hAnsi="Times New Roman" w:cs="Times New Roman"/>
          <w:sz w:val="24"/>
          <w:szCs w:val="24"/>
        </w:rPr>
        <w:t>’.</w:t>
      </w:r>
      <w:r w:rsidR="00180243" w:rsidRPr="00AE141E">
        <w:rPr>
          <w:rStyle w:val="FootnoteReference"/>
          <w:rFonts w:ascii="Times New Roman" w:hAnsi="Times New Roman" w:cs="Times New Roman"/>
          <w:sz w:val="24"/>
          <w:szCs w:val="24"/>
        </w:rPr>
        <w:footnoteReference w:id="463"/>
      </w:r>
      <w:r w:rsidR="000C732C" w:rsidRPr="00AE141E">
        <w:rPr>
          <w:rFonts w:ascii="Times New Roman" w:hAnsi="Times New Roman" w:cs="Times New Roman"/>
          <w:sz w:val="24"/>
          <w:szCs w:val="24"/>
        </w:rPr>
        <w:t xml:space="preserve"> </w:t>
      </w:r>
      <w:r w:rsidR="00657FAF" w:rsidRPr="00AE141E">
        <w:rPr>
          <w:rFonts w:ascii="Times New Roman" w:hAnsi="Times New Roman" w:cs="Times New Roman"/>
          <w:sz w:val="24"/>
          <w:szCs w:val="24"/>
        </w:rPr>
        <w:t xml:space="preserve">In </w:t>
      </w:r>
      <w:r w:rsidR="00657FAF" w:rsidRPr="00AE141E">
        <w:rPr>
          <w:rFonts w:ascii="Times New Roman" w:hAnsi="Times New Roman" w:cs="Times New Roman"/>
          <w:i/>
          <w:sz w:val="24"/>
          <w:szCs w:val="24"/>
        </w:rPr>
        <w:t xml:space="preserve">Black Voices, </w:t>
      </w:r>
      <w:r w:rsidR="00657FAF" w:rsidRPr="00AE141E">
        <w:rPr>
          <w:rFonts w:ascii="Times New Roman" w:hAnsi="Times New Roman" w:cs="Times New Roman"/>
          <w:sz w:val="24"/>
          <w:szCs w:val="24"/>
        </w:rPr>
        <w:t xml:space="preserve">17-year-old </w:t>
      </w:r>
      <w:r w:rsidR="00860331" w:rsidRPr="00AE141E">
        <w:rPr>
          <w:rFonts w:ascii="Times New Roman" w:hAnsi="Times New Roman" w:cs="Times New Roman"/>
          <w:sz w:val="24"/>
          <w:szCs w:val="24"/>
        </w:rPr>
        <w:t>Susan Rigg</w:t>
      </w:r>
      <w:r w:rsidR="00125289" w:rsidRPr="00AE141E">
        <w:rPr>
          <w:rFonts w:ascii="Times New Roman" w:hAnsi="Times New Roman" w:cs="Times New Roman"/>
          <w:sz w:val="24"/>
          <w:szCs w:val="24"/>
        </w:rPr>
        <w:t xml:space="preserve"> </w:t>
      </w:r>
      <w:r w:rsidR="00043879" w:rsidRPr="00AE141E">
        <w:rPr>
          <w:rFonts w:ascii="Times New Roman" w:hAnsi="Times New Roman" w:cs="Times New Roman"/>
          <w:sz w:val="24"/>
          <w:szCs w:val="24"/>
        </w:rPr>
        <w:t>observed</w:t>
      </w:r>
      <w:r w:rsidR="00125289" w:rsidRPr="00AE141E">
        <w:rPr>
          <w:rFonts w:ascii="Times New Roman" w:hAnsi="Times New Roman" w:cs="Times New Roman"/>
          <w:sz w:val="24"/>
          <w:szCs w:val="24"/>
        </w:rPr>
        <w:t xml:space="preserve"> that her school’s history </w:t>
      </w:r>
      <w:r w:rsidR="00281CFC" w:rsidRPr="00AE141E">
        <w:rPr>
          <w:rFonts w:ascii="Times New Roman" w:hAnsi="Times New Roman" w:cs="Times New Roman"/>
          <w:sz w:val="24"/>
          <w:szCs w:val="24"/>
        </w:rPr>
        <w:t>textbooks carried a highly selective account of the past</w:t>
      </w:r>
      <w:r w:rsidR="004B4CA2" w:rsidRPr="00AE141E">
        <w:rPr>
          <w:rFonts w:ascii="Times New Roman" w:hAnsi="Times New Roman" w:cs="Times New Roman"/>
          <w:sz w:val="24"/>
          <w:szCs w:val="24"/>
        </w:rPr>
        <w:t xml:space="preserve">. Black history was </w:t>
      </w:r>
      <w:r w:rsidR="004B4CA2" w:rsidRPr="00AE141E">
        <w:rPr>
          <w:rFonts w:ascii="Times New Roman" w:hAnsi="Times New Roman" w:cs="Times New Roman"/>
          <w:sz w:val="24"/>
          <w:szCs w:val="24"/>
        </w:rPr>
        <w:lastRenderedPageBreak/>
        <w:t>stripped down to</w:t>
      </w:r>
      <w:r w:rsidR="00125289" w:rsidRPr="00AE141E">
        <w:rPr>
          <w:rFonts w:ascii="Times New Roman" w:hAnsi="Times New Roman" w:cs="Times New Roman"/>
          <w:sz w:val="24"/>
          <w:szCs w:val="24"/>
        </w:rPr>
        <w:t xml:space="preserve"> </w:t>
      </w:r>
      <w:r w:rsidR="004B4CA2" w:rsidRPr="00AE141E">
        <w:rPr>
          <w:rFonts w:ascii="Times New Roman" w:hAnsi="Times New Roman" w:cs="Times New Roman"/>
          <w:sz w:val="24"/>
          <w:szCs w:val="24"/>
        </w:rPr>
        <w:t>a ‘</w:t>
      </w:r>
      <w:r w:rsidR="00125289" w:rsidRPr="00AE141E">
        <w:rPr>
          <w:rFonts w:ascii="Times New Roman" w:hAnsi="Times New Roman" w:cs="Times New Roman"/>
          <w:sz w:val="24"/>
          <w:szCs w:val="24"/>
        </w:rPr>
        <w:t>negative and hopeless image</w:t>
      </w:r>
      <w:r w:rsidR="004B4CA2" w:rsidRPr="00AE141E">
        <w:rPr>
          <w:rFonts w:ascii="Times New Roman" w:hAnsi="Times New Roman" w:cs="Times New Roman"/>
          <w:sz w:val="24"/>
          <w:szCs w:val="24"/>
        </w:rPr>
        <w:t>’</w:t>
      </w:r>
      <w:r w:rsidR="00125289" w:rsidRPr="00AE141E">
        <w:rPr>
          <w:rFonts w:ascii="Times New Roman" w:hAnsi="Times New Roman" w:cs="Times New Roman"/>
          <w:sz w:val="24"/>
          <w:szCs w:val="24"/>
        </w:rPr>
        <w:t>.</w:t>
      </w:r>
      <w:r w:rsidR="00504101" w:rsidRPr="00AE141E">
        <w:rPr>
          <w:rStyle w:val="FootnoteReference"/>
          <w:rFonts w:ascii="Times New Roman" w:hAnsi="Times New Roman" w:cs="Times New Roman"/>
          <w:sz w:val="24"/>
          <w:szCs w:val="24"/>
        </w:rPr>
        <w:footnoteReference w:id="464"/>
      </w:r>
      <w:r w:rsidR="00F97430" w:rsidRPr="00AE141E">
        <w:rPr>
          <w:rFonts w:ascii="Times New Roman" w:hAnsi="Times New Roman" w:cs="Times New Roman"/>
          <w:sz w:val="24"/>
          <w:szCs w:val="24"/>
        </w:rPr>
        <w:t xml:space="preserve"> </w:t>
      </w:r>
      <w:r w:rsidR="003C3837" w:rsidRPr="00AE141E">
        <w:rPr>
          <w:rFonts w:ascii="Times New Roman" w:hAnsi="Times New Roman" w:cs="Times New Roman"/>
          <w:sz w:val="24"/>
          <w:szCs w:val="24"/>
        </w:rPr>
        <w:t>S</w:t>
      </w:r>
      <w:r w:rsidR="005B3A8C" w:rsidRPr="00AE141E">
        <w:rPr>
          <w:rFonts w:ascii="Times New Roman" w:hAnsi="Times New Roman" w:cs="Times New Roman"/>
          <w:sz w:val="24"/>
          <w:szCs w:val="24"/>
        </w:rPr>
        <w:t>everal AFFOR interview</w:t>
      </w:r>
      <w:r w:rsidR="00181E6E" w:rsidRPr="00AE141E">
        <w:rPr>
          <w:rFonts w:ascii="Times New Roman" w:hAnsi="Times New Roman" w:cs="Times New Roman"/>
          <w:sz w:val="24"/>
          <w:szCs w:val="24"/>
        </w:rPr>
        <w:t>ee</w:t>
      </w:r>
      <w:r w:rsidR="005B3A8C" w:rsidRPr="00AE141E">
        <w:rPr>
          <w:rFonts w:ascii="Times New Roman" w:hAnsi="Times New Roman" w:cs="Times New Roman"/>
          <w:sz w:val="24"/>
          <w:szCs w:val="24"/>
        </w:rPr>
        <w:t>s</w:t>
      </w:r>
      <w:r w:rsidR="003C3837" w:rsidRPr="00AE141E">
        <w:rPr>
          <w:rFonts w:ascii="Times New Roman" w:hAnsi="Times New Roman" w:cs="Times New Roman"/>
          <w:sz w:val="24"/>
          <w:szCs w:val="24"/>
        </w:rPr>
        <w:t xml:space="preserve"> </w:t>
      </w:r>
      <w:r w:rsidR="005B3A8C" w:rsidRPr="00AE141E">
        <w:rPr>
          <w:rFonts w:ascii="Times New Roman" w:hAnsi="Times New Roman" w:cs="Times New Roman"/>
          <w:sz w:val="24"/>
          <w:szCs w:val="24"/>
        </w:rPr>
        <w:t>comment</w:t>
      </w:r>
      <w:r w:rsidR="00181E6E" w:rsidRPr="00AE141E">
        <w:rPr>
          <w:rFonts w:ascii="Times New Roman" w:hAnsi="Times New Roman" w:cs="Times New Roman"/>
          <w:sz w:val="24"/>
          <w:szCs w:val="24"/>
        </w:rPr>
        <w:t>ed</w:t>
      </w:r>
      <w:r w:rsidR="002014EA" w:rsidRPr="00AE141E">
        <w:rPr>
          <w:rFonts w:ascii="Times New Roman" w:hAnsi="Times New Roman" w:cs="Times New Roman"/>
          <w:sz w:val="24"/>
          <w:szCs w:val="24"/>
        </w:rPr>
        <w:t xml:space="preserve"> </w:t>
      </w:r>
      <w:r w:rsidR="005B3A8C" w:rsidRPr="00AE141E">
        <w:rPr>
          <w:rFonts w:ascii="Times New Roman" w:hAnsi="Times New Roman" w:cs="Times New Roman"/>
          <w:sz w:val="24"/>
          <w:szCs w:val="24"/>
        </w:rPr>
        <w:t xml:space="preserve">on </w:t>
      </w:r>
      <w:r w:rsidR="0009623F" w:rsidRPr="00AE141E">
        <w:rPr>
          <w:rFonts w:ascii="Times New Roman" w:hAnsi="Times New Roman" w:cs="Times New Roman"/>
          <w:sz w:val="24"/>
          <w:szCs w:val="24"/>
        </w:rPr>
        <w:t>the p</w:t>
      </w:r>
      <w:r w:rsidR="00332C4E" w:rsidRPr="00AE141E">
        <w:rPr>
          <w:rFonts w:ascii="Times New Roman" w:hAnsi="Times New Roman" w:cs="Times New Roman"/>
          <w:sz w:val="24"/>
          <w:szCs w:val="24"/>
        </w:rPr>
        <w:t xml:space="preserve">rimacy given to </w:t>
      </w:r>
      <w:r w:rsidR="00305521" w:rsidRPr="00AE141E">
        <w:rPr>
          <w:rFonts w:ascii="Times New Roman" w:hAnsi="Times New Roman" w:cs="Times New Roman"/>
          <w:sz w:val="24"/>
          <w:szCs w:val="24"/>
        </w:rPr>
        <w:t>slavery</w:t>
      </w:r>
      <w:r w:rsidR="00332C4E" w:rsidRPr="00AE141E">
        <w:rPr>
          <w:rFonts w:ascii="Times New Roman" w:hAnsi="Times New Roman" w:cs="Times New Roman"/>
          <w:sz w:val="24"/>
          <w:szCs w:val="24"/>
        </w:rPr>
        <w:t xml:space="preserve"> in </w:t>
      </w:r>
      <w:r w:rsidR="00BF4316" w:rsidRPr="00AE141E">
        <w:rPr>
          <w:rFonts w:ascii="Times New Roman" w:hAnsi="Times New Roman" w:cs="Times New Roman"/>
          <w:sz w:val="24"/>
          <w:szCs w:val="24"/>
        </w:rPr>
        <w:t>accounts of Black history given in schools.</w:t>
      </w:r>
      <w:r w:rsidR="007F6646" w:rsidRPr="00AE141E">
        <w:rPr>
          <w:rFonts w:ascii="Times New Roman" w:hAnsi="Times New Roman" w:cs="Times New Roman"/>
          <w:sz w:val="24"/>
          <w:szCs w:val="24"/>
        </w:rPr>
        <w:t xml:space="preserve"> A teacher </w:t>
      </w:r>
      <w:r w:rsidR="00BF4316" w:rsidRPr="00AE141E">
        <w:rPr>
          <w:rFonts w:ascii="Times New Roman" w:hAnsi="Times New Roman" w:cs="Times New Roman"/>
          <w:sz w:val="24"/>
          <w:szCs w:val="24"/>
        </w:rPr>
        <w:t xml:space="preserve">who decided to investigate Black history resources in her school’s library was alarmed to discover that </w:t>
      </w:r>
      <w:r w:rsidR="00426E0B" w:rsidRPr="00AE141E">
        <w:rPr>
          <w:rFonts w:ascii="Times New Roman" w:hAnsi="Times New Roman" w:cs="Times New Roman"/>
          <w:sz w:val="24"/>
          <w:szCs w:val="24"/>
        </w:rPr>
        <w:t xml:space="preserve">slavery was the only topic represented. </w:t>
      </w:r>
      <w:r w:rsidR="002355C2" w:rsidRPr="00AE141E">
        <w:rPr>
          <w:rFonts w:ascii="Times New Roman" w:hAnsi="Times New Roman" w:cs="Times New Roman"/>
          <w:sz w:val="24"/>
          <w:szCs w:val="24"/>
        </w:rPr>
        <w:t>These text</w:t>
      </w:r>
      <w:r w:rsidR="003D1550" w:rsidRPr="00AE141E">
        <w:rPr>
          <w:rFonts w:ascii="Times New Roman" w:hAnsi="Times New Roman" w:cs="Times New Roman"/>
          <w:sz w:val="24"/>
          <w:szCs w:val="24"/>
        </w:rPr>
        <w:t xml:space="preserve">s focused on </w:t>
      </w:r>
      <w:r w:rsidR="004A7CA2" w:rsidRPr="00AE141E">
        <w:rPr>
          <w:rFonts w:ascii="Times New Roman" w:hAnsi="Times New Roman" w:cs="Times New Roman"/>
          <w:sz w:val="24"/>
          <w:szCs w:val="24"/>
        </w:rPr>
        <w:t>White abolitionism,</w:t>
      </w:r>
      <w:r w:rsidR="00BC1C6F" w:rsidRPr="00AE141E">
        <w:rPr>
          <w:rFonts w:ascii="Times New Roman" w:hAnsi="Times New Roman" w:cs="Times New Roman"/>
          <w:sz w:val="24"/>
          <w:szCs w:val="24"/>
        </w:rPr>
        <w:t xml:space="preserve"> as embodied in </w:t>
      </w:r>
      <w:r w:rsidR="003D0863" w:rsidRPr="00AE141E">
        <w:rPr>
          <w:rFonts w:ascii="Times New Roman" w:hAnsi="Times New Roman" w:cs="Times New Roman"/>
          <w:sz w:val="24"/>
          <w:szCs w:val="24"/>
        </w:rPr>
        <w:t>the heroic actions of individuals,</w:t>
      </w:r>
      <w:r w:rsidR="004A7CA2" w:rsidRPr="00AE141E">
        <w:rPr>
          <w:rFonts w:ascii="Times New Roman" w:hAnsi="Times New Roman" w:cs="Times New Roman"/>
          <w:sz w:val="24"/>
          <w:szCs w:val="24"/>
        </w:rPr>
        <w:t xml:space="preserve"> to the exclusion of Black agency</w:t>
      </w:r>
      <w:r w:rsidR="00BC1C6F" w:rsidRPr="00AE141E">
        <w:rPr>
          <w:rFonts w:ascii="Times New Roman" w:hAnsi="Times New Roman" w:cs="Times New Roman"/>
          <w:sz w:val="24"/>
          <w:szCs w:val="24"/>
        </w:rPr>
        <w:t xml:space="preserve"> and </w:t>
      </w:r>
      <w:r w:rsidR="003D0863" w:rsidRPr="00AE141E">
        <w:rPr>
          <w:rFonts w:ascii="Times New Roman" w:hAnsi="Times New Roman" w:cs="Times New Roman"/>
          <w:sz w:val="24"/>
          <w:szCs w:val="24"/>
        </w:rPr>
        <w:t xml:space="preserve">collective </w:t>
      </w:r>
      <w:r w:rsidR="00BC1C6F" w:rsidRPr="00AE141E">
        <w:rPr>
          <w:rFonts w:ascii="Times New Roman" w:hAnsi="Times New Roman" w:cs="Times New Roman"/>
          <w:sz w:val="24"/>
          <w:szCs w:val="24"/>
        </w:rPr>
        <w:t>resistance</w:t>
      </w:r>
      <w:r w:rsidR="00733405" w:rsidRPr="00AE141E">
        <w:rPr>
          <w:rFonts w:ascii="Times New Roman" w:hAnsi="Times New Roman" w:cs="Times New Roman"/>
          <w:sz w:val="24"/>
          <w:szCs w:val="24"/>
        </w:rPr>
        <w:t>.</w:t>
      </w:r>
      <w:r w:rsidR="00EB546B" w:rsidRPr="00AE141E">
        <w:rPr>
          <w:rStyle w:val="FootnoteReference"/>
          <w:rFonts w:ascii="Times New Roman" w:hAnsi="Times New Roman" w:cs="Times New Roman"/>
          <w:sz w:val="24"/>
          <w:szCs w:val="24"/>
        </w:rPr>
        <w:footnoteReference w:id="465"/>
      </w:r>
      <w:r w:rsidR="00A20100" w:rsidRPr="00AE141E">
        <w:rPr>
          <w:rFonts w:ascii="Times New Roman" w:hAnsi="Times New Roman" w:cs="Times New Roman"/>
          <w:sz w:val="24"/>
          <w:szCs w:val="24"/>
        </w:rPr>
        <w:t xml:space="preserve"> The headteacher of the school in question met protests with the</w:t>
      </w:r>
      <w:r w:rsidR="0000555F" w:rsidRPr="00AE141E">
        <w:rPr>
          <w:rFonts w:ascii="Times New Roman" w:hAnsi="Times New Roman" w:cs="Times New Roman"/>
          <w:sz w:val="24"/>
          <w:szCs w:val="24"/>
        </w:rPr>
        <w:t xml:space="preserve"> assimilationist</w:t>
      </w:r>
      <w:r w:rsidR="00A20100" w:rsidRPr="00AE141E">
        <w:rPr>
          <w:rFonts w:ascii="Times New Roman" w:hAnsi="Times New Roman" w:cs="Times New Roman"/>
          <w:sz w:val="24"/>
          <w:szCs w:val="24"/>
        </w:rPr>
        <w:t xml:space="preserve"> claim that English schools should valorise English history (‘</w:t>
      </w:r>
      <w:r w:rsidR="001066E4" w:rsidRPr="00AE141E">
        <w:rPr>
          <w:rFonts w:ascii="Times New Roman" w:hAnsi="Times New Roman" w:cs="Times New Roman"/>
          <w:sz w:val="24"/>
          <w:szCs w:val="24"/>
        </w:rPr>
        <w:t>when you’re in England you do as the English do’).</w:t>
      </w:r>
      <w:r w:rsidR="009250A6" w:rsidRPr="00AE141E">
        <w:rPr>
          <w:rFonts w:ascii="Times New Roman" w:hAnsi="Times New Roman" w:cs="Times New Roman"/>
          <w:sz w:val="24"/>
          <w:szCs w:val="24"/>
        </w:rPr>
        <w:t xml:space="preserve"> </w:t>
      </w:r>
      <w:r w:rsidR="0096758A" w:rsidRPr="00AE141E">
        <w:rPr>
          <w:rFonts w:ascii="Times New Roman" w:hAnsi="Times New Roman" w:cs="Times New Roman"/>
          <w:sz w:val="24"/>
          <w:szCs w:val="24"/>
        </w:rPr>
        <w:t>R</w:t>
      </w:r>
      <w:r w:rsidR="00D8791D" w:rsidRPr="00AE141E">
        <w:rPr>
          <w:rFonts w:ascii="Times New Roman" w:hAnsi="Times New Roman" w:cs="Times New Roman"/>
          <w:sz w:val="24"/>
          <w:szCs w:val="24"/>
        </w:rPr>
        <w:t xml:space="preserve">igg noted that </w:t>
      </w:r>
      <w:r w:rsidR="00B64DEA" w:rsidRPr="00AE141E">
        <w:rPr>
          <w:rFonts w:ascii="Times New Roman" w:hAnsi="Times New Roman" w:cs="Times New Roman"/>
          <w:sz w:val="24"/>
          <w:szCs w:val="24"/>
        </w:rPr>
        <w:t>such narratives had a deleterious effect</w:t>
      </w:r>
      <w:r w:rsidR="00E201C0" w:rsidRPr="00AE141E">
        <w:rPr>
          <w:rFonts w:ascii="Times New Roman" w:hAnsi="Times New Roman" w:cs="Times New Roman"/>
          <w:sz w:val="24"/>
          <w:szCs w:val="24"/>
        </w:rPr>
        <w:t xml:space="preserve"> – both </w:t>
      </w:r>
      <w:r w:rsidR="00B64DEA" w:rsidRPr="00AE141E">
        <w:rPr>
          <w:rFonts w:ascii="Times New Roman" w:hAnsi="Times New Roman" w:cs="Times New Roman"/>
          <w:sz w:val="24"/>
          <w:szCs w:val="24"/>
        </w:rPr>
        <w:t>on the confidence</w:t>
      </w:r>
      <w:r w:rsidR="00AE54A5" w:rsidRPr="00AE141E">
        <w:rPr>
          <w:rFonts w:ascii="Times New Roman" w:hAnsi="Times New Roman" w:cs="Times New Roman"/>
          <w:sz w:val="24"/>
          <w:szCs w:val="24"/>
        </w:rPr>
        <w:t xml:space="preserve"> of Black young people</w:t>
      </w:r>
      <w:r w:rsidR="00C602FC" w:rsidRPr="00AE141E">
        <w:rPr>
          <w:rFonts w:ascii="Times New Roman" w:hAnsi="Times New Roman" w:cs="Times New Roman"/>
          <w:sz w:val="24"/>
          <w:szCs w:val="24"/>
        </w:rPr>
        <w:t xml:space="preserve"> and on the </w:t>
      </w:r>
      <w:r w:rsidR="00C60FC2" w:rsidRPr="00AE141E">
        <w:rPr>
          <w:rFonts w:ascii="Times New Roman" w:hAnsi="Times New Roman" w:cs="Times New Roman"/>
          <w:sz w:val="24"/>
          <w:szCs w:val="24"/>
        </w:rPr>
        <w:t xml:space="preserve">prospects for racial justice in modern Britain. </w:t>
      </w:r>
      <w:r w:rsidR="00D2732B" w:rsidRPr="00AE141E">
        <w:rPr>
          <w:rFonts w:ascii="Times New Roman" w:hAnsi="Times New Roman" w:cs="Times New Roman"/>
          <w:sz w:val="24"/>
          <w:szCs w:val="24"/>
        </w:rPr>
        <w:t>‘Through</w:t>
      </w:r>
      <w:r w:rsidR="00125289" w:rsidRPr="00AE141E">
        <w:rPr>
          <w:rFonts w:ascii="Times New Roman" w:hAnsi="Times New Roman" w:cs="Times New Roman"/>
          <w:sz w:val="24"/>
          <w:szCs w:val="24"/>
        </w:rPr>
        <w:t xml:space="preserve"> all these sources</w:t>
      </w:r>
      <w:r w:rsidR="00D2732B" w:rsidRPr="00AE141E">
        <w:rPr>
          <w:rFonts w:ascii="Times New Roman" w:hAnsi="Times New Roman" w:cs="Times New Roman"/>
          <w:sz w:val="24"/>
          <w:szCs w:val="24"/>
        </w:rPr>
        <w:t>’</w:t>
      </w:r>
      <w:r w:rsidR="00125289" w:rsidRPr="00AE141E">
        <w:rPr>
          <w:rFonts w:ascii="Times New Roman" w:hAnsi="Times New Roman" w:cs="Times New Roman"/>
          <w:sz w:val="24"/>
          <w:szCs w:val="24"/>
        </w:rPr>
        <w:t xml:space="preserve">, </w:t>
      </w:r>
      <w:r w:rsidR="00D2732B" w:rsidRPr="00AE141E">
        <w:rPr>
          <w:rFonts w:ascii="Times New Roman" w:hAnsi="Times New Roman" w:cs="Times New Roman"/>
          <w:sz w:val="24"/>
          <w:szCs w:val="24"/>
        </w:rPr>
        <w:t>she argued, ‘</w:t>
      </w:r>
      <w:r w:rsidR="00125289" w:rsidRPr="00AE141E">
        <w:rPr>
          <w:rFonts w:ascii="Times New Roman" w:hAnsi="Times New Roman" w:cs="Times New Roman"/>
          <w:sz w:val="24"/>
          <w:szCs w:val="24"/>
        </w:rPr>
        <w:t xml:space="preserve">one is subconsciously being informed of the Black person's position or </w:t>
      </w:r>
      <w:r w:rsidR="00D2732B" w:rsidRPr="00AE141E">
        <w:rPr>
          <w:rFonts w:ascii="Times New Roman" w:hAnsi="Times New Roman" w:cs="Times New Roman"/>
          <w:sz w:val="24"/>
          <w:szCs w:val="24"/>
        </w:rPr>
        <w:t>“</w:t>
      </w:r>
      <w:r w:rsidR="00125289" w:rsidRPr="00AE141E">
        <w:rPr>
          <w:rFonts w:ascii="Times New Roman" w:hAnsi="Times New Roman" w:cs="Times New Roman"/>
          <w:sz w:val="24"/>
          <w:szCs w:val="24"/>
        </w:rPr>
        <w:t>should be</w:t>
      </w:r>
      <w:r w:rsidR="00D2732B" w:rsidRPr="00AE141E">
        <w:rPr>
          <w:rFonts w:ascii="Times New Roman" w:hAnsi="Times New Roman" w:cs="Times New Roman"/>
          <w:sz w:val="24"/>
          <w:szCs w:val="24"/>
        </w:rPr>
        <w:t>”</w:t>
      </w:r>
      <w:r w:rsidR="00125289" w:rsidRPr="00AE141E">
        <w:rPr>
          <w:rFonts w:ascii="Times New Roman" w:hAnsi="Times New Roman" w:cs="Times New Roman"/>
          <w:sz w:val="24"/>
          <w:szCs w:val="24"/>
        </w:rPr>
        <w:t xml:space="preserve"> condition in society</w:t>
      </w:r>
      <w:r w:rsidR="00D2732B" w:rsidRPr="00AE141E">
        <w:rPr>
          <w:rFonts w:ascii="Times New Roman" w:hAnsi="Times New Roman" w:cs="Times New Roman"/>
          <w:sz w:val="24"/>
          <w:szCs w:val="24"/>
        </w:rPr>
        <w:t>’</w:t>
      </w:r>
      <w:r w:rsidR="00125289" w:rsidRPr="00AE141E">
        <w:rPr>
          <w:rFonts w:ascii="Times New Roman" w:hAnsi="Times New Roman" w:cs="Times New Roman"/>
          <w:sz w:val="24"/>
          <w:szCs w:val="24"/>
        </w:rPr>
        <w:t>.</w:t>
      </w:r>
      <w:r w:rsidR="002F6FA4" w:rsidRPr="00AE141E">
        <w:rPr>
          <w:rStyle w:val="FootnoteReference"/>
          <w:rFonts w:ascii="Times New Roman" w:hAnsi="Times New Roman" w:cs="Times New Roman"/>
          <w:sz w:val="24"/>
          <w:szCs w:val="24"/>
        </w:rPr>
        <w:footnoteReference w:id="466"/>
      </w:r>
      <w:r w:rsidR="00D2732B" w:rsidRPr="00AE141E">
        <w:rPr>
          <w:rFonts w:ascii="Times New Roman" w:hAnsi="Times New Roman" w:cs="Times New Roman"/>
          <w:sz w:val="24"/>
          <w:szCs w:val="24"/>
        </w:rPr>
        <w:t xml:space="preserve"> </w:t>
      </w:r>
      <w:r w:rsidR="002D37DC" w:rsidRPr="00AE141E">
        <w:rPr>
          <w:rFonts w:ascii="Times New Roman" w:hAnsi="Times New Roman" w:cs="Times New Roman"/>
          <w:sz w:val="24"/>
          <w:szCs w:val="24"/>
        </w:rPr>
        <w:t>School</w:t>
      </w:r>
      <w:r w:rsidR="00A6572B" w:rsidRPr="00AE141E">
        <w:rPr>
          <w:rFonts w:ascii="Times New Roman" w:hAnsi="Times New Roman" w:cs="Times New Roman"/>
          <w:sz w:val="24"/>
          <w:szCs w:val="24"/>
        </w:rPr>
        <w:t xml:space="preserve">s </w:t>
      </w:r>
      <w:r w:rsidR="002D37DC" w:rsidRPr="00AE141E">
        <w:rPr>
          <w:rFonts w:ascii="Times New Roman" w:hAnsi="Times New Roman" w:cs="Times New Roman"/>
          <w:sz w:val="24"/>
          <w:szCs w:val="24"/>
        </w:rPr>
        <w:t>presented White domination as normative</w:t>
      </w:r>
      <w:r w:rsidR="00C74D69" w:rsidRPr="00AE141E">
        <w:rPr>
          <w:rFonts w:ascii="Times New Roman" w:hAnsi="Times New Roman" w:cs="Times New Roman"/>
          <w:sz w:val="24"/>
          <w:szCs w:val="24"/>
        </w:rPr>
        <w:t xml:space="preserve">. </w:t>
      </w:r>
      <w:r w:rsidR="00673107" w:rsidRPr="00AE141E">
        <w:rPr>
          <w:rFonts w:ascii="Times New Roman" w:hAnsi="Times New Roman" w:cs="Times New Roman"/>
          <w:sz w:val="24"/>
          <w:szCs w:val="24"/>
        </w:rPr>
        <w:t>The historical portrayal of</w:t>
      </w:r>
      <w:r w:rsidR="00FE352E" w:rsidRPr="00AE141E">
        <w:rPr>
          <w:rFonts w:ascii="Times New Roman" w:hAnsi="Times New Roman" w:cs="Times New Roman"/>
          <w:sz w:val="24"/>
          <w:szCs w:val="24"/>
        </w:rPr>
        <w:t xml:space="preserve"> Black people </w:t>
      </w:r>
      <w:r w:rsidR="00673107" w:rsidRPr="00AE141E">
        <w:rPr>
          <w:rFonts w:ascii="Times New Roman" w:hAnsi="Times New Roman" w:cs="Times New Roman"/>
          <w:sz w:val="24"/>
          <w:szCs w:val="24"/>
        </w:rPr>
        <w:t xml:space="preserve">as </w:t>
      </w:r>
      <w:r w:rsidR="00DA0EE5" w:rsidRPr="00AE141E">
        <w:rPr>
          <w:rFonts w:ascii="Times New Roman" w:hAnsi="Times New Roman" w:cs="Times New Roman"/>
          <w:sz w:val="24"/>
          <w:szCs w:val="24"/>
        </w:rPr>
        <w:t xml:space="preserve">devoid of critical thought </w:t>
      </w:r>
      <w:r w:rsidR="00673107" w:rsidRPr="00AE141E">
        <w:rPr>
          <w:rFonts w:ascii="Times New Roman" w:hAnsi="Times New Roman" w:cs="Times New Roman"/>
          <w:sz w:val="24"/>
          <w:szCs w:val="24"/>
        </w:rPr>
        <w:t>and</w:t>
      </w:r>
      <w:r w:rsidR="00DA0EE5" w:rsidRPr="00AE141E">
        <w:rPr>
          <w:rFonts w:ascii="Times New Roman" w:hAnsi="Times New Roman" w:cs="Times New Roman"/>
          <w:sz w:val="24"/>
          <w:szCs w:val="24"/>
        </w:rPr>
        <w:t xml:space="preserve"> independent agency</w:t>
      </w:r>
      <w:r w:rsidR="00673107" w:rsidRPr="00AE141E">
        <w:rPr>
          <w:rFonts w:ascii="Times New Roman" w:hAnsi="Times New Roman" w:cs="Times New Roman"/>
          <w:sz w:val="24"/>
          <w:szCs w:val="24"/>
        </w:rPr>
        <w:t xml:space="preserve"> </w:t>
      </w:r>
      <w:r w:rsidR="00EE780E" w:rsidRPr="00AE141E">
        <w:rPr>
          <w:rFonts w:ascii="Times New Roman" w:hAnsi="Times New Roman" w:cs="Times New Roman"/>
          <w:sz w:val="24"/>
          <w:szCs w:val="24"/>
        </w:rPr>
        <w:t>reverberated in the present, when Black children felt themselves</w:t>
      </w:r>
      <w:r w:rsidR="0096758A" w:rsidRPr="00AE141E">
        <w:rPr>
          <w:rFonts w:ascii="Times New Roman" w:hAnsi="Times New Roman" w:cs="Times New Roman"/>
          <w:sz w:val="24"/>
          <w:szCs w:val="24"/>
        </w:rPr>
        <w:t xml:space="preserve"> ‘</w:t>
      </w:r>
      <w:r w:rsidR="00EE780E" w:rsidRPr="00AE141E">
        <w:rPr>
          <w:rFonts w:ascii="Times New Roman" w:hAnsi="Times New Roman" w:cs="Times New Roman"/>
          <w:sz w:val="24"/>
          <w:szCs w:val="24"/>
        </w:rPr>
        <w:t>label</w:t>
      </w:r>
      <w:r w:rsidR="007D5E67" w:rsidRPr="00AE141E">
        <w:rPr>
          <w:rFonts w:ascii="Times New Roman" w:hAnsi="Times New Roman" w:cs="Times New Roman"/>
          <w:sz w:val="24"/>
          <w:szCs w:val="24"/>
        </w:rPr>
        <w:t>led as inferior</w:t>
      </w:r>
      <w:r w:rsidR="0096758A" w:rsidRPr="00AE141E">
        <w:rPr>
          <w:rFonts w:ascii="Times New Roman" w:hAnsi="Times New Roman" w:cs="Times New Roman"/>
          <w:sz w:val="24"/>
          <w:szCs w:val="24"/>
        </w:rPr>
        <w:t>’</w:t>
      </w:r>
      <w:r w:rsidR="00A740BE" w:rsidRPr="00AE141E">
        <w:rPr>
          <w:rFonts w:ascii="Times New Roman" w:hAnsi="Times New Roman" w:cs="Times New Roman"/>
          <w:sz w:val="24"/>
          <w:szCs w:val="24"/>
        </w:rPr>
        <w:t>.</w:t>
      </w:r>
      <w:r w:rsidR="0096758A" w:rsidRPr="00AE141E">
        <w:rPr>
          <w:rStyle w:val="FootnoteReference"/>
          <w:rFonts w:ascii="Times New Roman" w:hAnsi="Times New Roman" w:cs="Times New Roman"/>
          <w:sz w:val="24"/>
          <w:szCs w:val="24"/>
        </w:rPr>
        <w:footnoteReference w:id="467"/>
      </w:r>
      <w:r w:rsidR="00A95DB3" w:rsidRPr="00AE141E">
        <w:rPr>
          <w:rFonts w:ascii="Times New Roman" w:hAnsi="Times New Roman" w:cs="Times New Roman"/>
          <w:sz w:val="24"/>
          <w:szCs w:val="24"/>
        </w:rPr>
        <w:t xml:space="preserve"> </w:t>
      </w:r>
    </w:p>
    <w:p w14:paraId="3DB7BF23" w14:textId="5CE25338" w:rsidR="00597534" w:rsidRPr="00AE141E" w:rsidRDefault="0096758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Young</w:t>
      </w:r>
      <w:r w:rsidR="0064084C" w:rsidRPr="00AE141E">
        <w:rPr>
          <w:rFonts w:ascii="Times New Roman" w:hAnsi="Times New Roman" w:cs="Times New Roman"/>
          <w:sz w:val="24"/>
          <w:szCs w:val="24"/>
        </w:rPr>
        <w:t xml:space="preserve"> people </w:t>
      </w:r>
      <w:r w:rsidRPr="00AE141E">
        <w:rPr>
          <w:rFonts w:ascii="Times New Roman" w:hAnsi="Times New Roman" w:cs="Times New Roman"/>
          <w:sz w:val="24"/>
          <w:szCs w:val="24"/>
        </w:rPr>
        <w:t xml:space="preserve">of South Asian heritage </w:t>
      </w:r>
      <w:r w:rsidR="0064084C" w:rsidRPr="00AE141E">
        <w:rPr>
          <w:rFonts w:ascii="Times New Roman" w:hAnsi="Times New Roman" w:cs="Times New Roman"/>
          <w:sz w:val="24"/>
          <w:szCs w:val="24"/>
        </w:rPr>
        <w:t xml:space="preserve">often </w:t>
      </w:r>
      <w:r w:rsidR="00F50C8E" w:rsidRPr="00AE141E">
        <w:rPr>
          <w:rFonts w:ascii="Times New Roman" w:hAnsi="Times New Roman" w:cs="Times New Roman"/>
          <w:sz w:val="24"/>
          <w:szCs w:val="24"/>
        </w:rPr>
        <w:t>described</w:t>
      </w:r>
      <w:r w:rsidR="0064084C" w:rsidRPr="00AE141E">
        <w:rPr>
          <w:rFonts w:ascii="Times New Roman" w:hAnsi="Times New Roman" w:cs="Times New Roman"/>
          <w:sz w:val="24"/>
          <w:szCs w:val="24"/>
        </w:rPr>
        <w:t xml:space="preserve"> similar experience</w:t>
      </w:r>
      <w:r w:rsidR="00F50C8E" w:rsidRPr="00AE141E">
        <w:rPr>
          <w:rFonts w:ascii="Times New Roman" w:hAnsi="Times New Roman" w:cs="Times New Roman"/>
          <w:sz w:val="24"/>
          <w:szCs w:val="24"/>
        </w:rPr>
        <w:t>s</w:t>
      </w:r>
      <w:r w:rsidR="00537657" w:rsidRPr="00AE141E">
        <w:rPr>
          <w:rFonts w:ascii="Times New Roman" w:hAnsi="Times New Roman" w:cs="Times New Roman"/>
          <w:sz w:val="24"/>
          <w:szCs w:val="24"/>
        </w:rPr>
        <w:t>. Some</w:t>
      </w:r>
      <w:r w:rsidR="00F50C8E" w:rsidRPr="00AE141E">
        <w:rPr>
          <w:rFonts w:ascii="Times New Roman" w:hAnsi="Times New Roman" w:cs="Times New Roman"/>
          <w:sz w:val="24"/>
          <w:szCs w:val="24"/>
        </w:rPr>
        <w:t xml:space="preserve"> of those</w:t>
      </w:r>
      <w:r w:rsidR="00537657" w:rsidRPr="00AE141E">
        <w:rPr>
          <w:rFonts w:ascii="Times New Roman" w:hAnsi="Times New Roman" w:cs="Times New Roman"/>
          <w:sz w:val="24"/>
          <w:szCs w:val="24"/>
        </w:rPr>
        <w:t xml:space="preserve"> interviewed </w:t>
      </w:r>
      <w:r w:rsidR="0072261B" w:rsidRPr="00AE141E">
        <w:rPr>
          <w:rFonts w:ascii="Times New Roman" w:hAnsi="Times New Roman" w:cs="Times New Roman"/>
          <w:sz w:val="24"/>
          <w:szCs w:val="24"/>
        </w:rPr>
        <w:t>by</w:t>
      </w:r>
      <w:r w:rsidR="00537657" w:rsidRPr="00AE141E">
        <w:rPr>
          <w:rFonts w:ascii="Times New Roman" w:hAnsi="Times New Roman" w:cs="Times New Roman"/>
          <w:sz w:val="24"/>
          <w:szCs w:val="24"/>
        </w:rPr>
        <w:t xml:space="preserve"> </w:t>
      </w:r>
      <w:r w:rsidR="0072261B" w:rsidRPr="00AE141E">
        <w:rPr>
          <w:rFonts w:ascii="Times New Roman" w:hAnsi="Times New Roman" w:cs="Times New Roman"/>
          <w:sz w:val="24"/>
          <w:szCs w:val="24"/>
        </w:rPr>
        <w:t>AFFOR</w:t>
      </w:r>
      <w:r w:rsidR="00537657" w:rsidRPr="00AE141E">
        <w:rPr>
          <w:rFonts w:ascii="Times New Roman" w:hAnsi="Times New Roman" w:cs="Times New Roman"/>
          <w:i/>
          <w:sz w:val="24"/>
          <w:szCs w:val="24"/>
        </w:rPr>
        <w:t xml:space="preserve"> </w:t>
      </w:r>
      <w:r w:rsidR="00537657" w:rsidRPr="00AE141E">
        <w:rPr>
          <w:rFonts w:ascii="Times New Roman" w:hAnsi="Times New Roman" w:cs="Times New Roman"/>
          <w:sz w:val="24"/>
          <w:szCs w:val="24"/>
        </w:rPr>
        <w:t>complained of their erasure from school curri</w:t>
      </w:r>
      <w:r w:rsidR="00295AE3" w:rsidRPr="00AE141E">
        <w:rPr>
          <w:rFonts w:ascii="Times New Roman" w:hAnsi="Times New Roman" w:cs="Times New Roman"/>
          <w:sz w:val="24"/>
          <w:szCs w:val="24"/>
        </w:rPr>
        <w:t>cula</w:t>
      </w:r>
      <w:r w:rsidR="00DB3A2A" w:rsidRPr="00AE141E">
        <w:rPr>
          <w:rFonts w:ascii="Times New Roman" w:hAnsi="Times New Roman" w:cs="Times New Roman"/>
          <w:sz w:val="24"/>
          <w:szCs w:val="24"/>
        </w:rPr>
        <w:t>.</w:t>
      </w:r>
      <w:r w:rsidR="006C0015" w:rsidRPr="00AE141E">
        <w:rPr>
          <w:rStyle w:val="FootnoteReference"/>
          <w:rFonts w:ascii="Times New Roman" w:hAnsi="Times New Roman" w:cs="Times New Roman"/>
          <w:sz w:val="24"/>
          <w:szCs w:val="24"/>
        </w:rPr>
        <w:footnoteReference w:id="468"/>
      </w:r>
      <w:r w:rsidR="00DB3A2A" w:rsidRPr="00AE141E">
        <w:rPr>
          <w:rFonts w:ascii="Times New Roman" w:hAnsi="Times New Roman" w:cs="Times New Roman"/>
          <w:sz w:val="24"/>
          <w:szCs w:val="24"/>
        </w:rPr>
        <w:t xml:space="preserve"> Other</w:t>
      </w:r>
      <w:r w:rsidR="0072261B" w:rsidRPr="00AE141E">
        <w:rPr>
          <w:rFonts w:ascii="Times New Roman" w:hAnsi="Times New Roman" w:cs="Times New Roman"/>
          <w:sz w:val="24"/>
          <w:szCs w:val="24"/>
        </w:rPr>
        <w:t>s</w:t>
      </w:r>
      <w:r w:rsidR="00CD4859" w:rsidRPr="00AE141E">
        <w:rPr>
          <w:rFonts w:ascii="Times New Roman" w:hAnsi="Times New Roman" w:cs="Times New Roman"/>
          <w:sz w:val="24"/>
          <w:szCs w:val="24"/>
        </w:rPr>
        <w:t xml:space="preserve"> </w:t>
      </w:r>
      <w:r w:rsidR="00773555" w:rsidRPr="00AE141E">
        <w:rPr>
          <w:rFonts w:ascii="Times New Roman" w:hAnsi="Times New Roman" w:cs="Times New Roman"/>
          <w:sz w:val="24"/>
          <w:szCs w:val="24"/>
        </w:rPr>
        <w:t>noted that</w:t>
      </w:r>
      <w:r w:rsidR="00A14790" w:rsidRPr="00AE141E">
        <w:rPr>
          <w:rFonts w:ascii="Times New Roman" w:hAnsi="Times New Roman" w:cs="Times New Roman"/>
          <w:sz w:val="24"/>
          <w:szCs w:val="24"/>
        </w:rPr>
        <w:t xml:space="preserve"> ‘</w:t>
      </w:r>
      <w:r w:rsidR="00CD4859" w:rsidRPr="00AE141E">
        <w:rPr>
          <w:rFonts w:ascii="Times New Roman" w:hAnsi="Times New Roman" w:cs="Times New Roman"/>
          <w:sz w:val="24"/>
          <w:szCs w:val="24"/>
        </w:rPr>
        <w:t xml:space="preserve">history classes still teach how the British ruled the </w:t>
      </w:r>
      <w:r w:rsidR="00A14790" w:rsidRPr="00AE141E">
        <w:rPr>
          <w:rFonts w:ascii="Times New Roman" w:hAnsi="Times New Roman" w:cs="Times New Roman"/>
          <w:sz w:val="24"/>
          <w:szCs w:val="24"/>
        </w:rPr>
        <w:t>“</w:t>
      </w:r>
      <w:r w:rsidR="00CD4859" w:rsidRPr="00AE141E">
        <w:rPr>
          <w:rFonts w:ascii="Times New Roman" w:hAnsi="Times New Roman" w:cs="Times New Roman"/>
          <w:sz w:val="24"/>
          <w:szCs w:val="24"/>
        </w:rPr>
        <w:t>colonies</w:t>
      </w:r>
      <w:r w:rsidR="00A14790" w:rsidRPr="00AE141E">
        <w:rPr>
          <w:rFonts w:ascii="Times New Roman" w:hAnsi="Times New Roman" w:cs="Times New Roman"/>
          <w:sz w:val="24"/>
          <w:szCs w:val="24"/>
        </w:rPr>
        <w:t>”</w:t>
      </w:r>
      <w:r w:rsidR="00CD4859" w:rsidRPr="00AE141E">
        <w:rPr>
          <w:rFonts w:ascii="Times New Roman" w:hAnsi="Times New Roman" w:cs="Times New Roman"/>
          <w:sz w:val="24"/>
          <w:szCs w:val="24"/>
        </w:rPr>
        <w:t xml:space="preserve"> as a favour to the supposedly backward, uncivilised people in Africa and India</w:t>
      </w:r>
      <w:r w:rsidR="00A14790" w:rsidRPr="00AE141E">
        <w:rPr>
          <w:rFonts w:ascii="Times New Roman" w:hAnsi="Times New Roman" w:cs="Times New Roman"/>
          <w:sz w:val="24"/>
          <w:szCs w:val="24"/>
        </w:rPr>
        <w:t>’</w:t>
      </w:r>
      <w:r w:rsidR="00CD4859" w:rsidRPr="00AE141E">
        <w:rPr>
          <w:rFonts w:ascii="Times New Roman" w:hAnsi="Times New Roman" w:cs="Times New Roman"/>
          <w:sz w:val="24"/>
          <w:szCs w:val="24"/>
        </w:rPr>
        <w:t>.</w:t>
      </w:r>
      <w:r w:rsidR="008A4C1B" w:rsidRPr="00AE141E">
        <w:rPr>
          <w:rStyle w:val="FootnoteReference"/>
          <w:rFonts w:ascii="Times New Roman" w:hAnsi="Times New Roman" w:cs="Times New Roman"/>
          <w:sz w:val="24"/>
          <w:szCs w:val="24"/>
        </w:rPr>
        <w:footnoteReference w:id="469"/>
      </w:r>
      <w:r w:rsidR="00A14790" w:rsidRPr="00AE141E">
        <w:rPr>
          <w:rFonts w:ascii="Times New Roman" w:hAnsi="Times New Roman" w:cs="Times New Roman"/>
          <w:sz w:val="24"/>
          <w:szCs w:val="24"/>
        </w:rPr>
        <w:t xml:space="preserve"> </w:t>
      </w:r>
      <w:r w:rsidR="006D47AD" w:rsidRPr="00AE141E">
        <w:rPr>
          <w:rFonts w:ascii="Times New Roman" w:hAnsi="Times New Roman" w:cs="Times New Roman"/>
          <w:sz w:val="24"/>
          <w:szCs w:val="24"/>
        </w:rPr>
        <w:t>S</w:t>
      </w:r>
      <w:r w:rsidR="00541067" w:rsidRPr="00AE141E">
        <w:rPr>
          <w:rFonts w:ascii="Times New Roman" w:hAnsi="Times New Roman" w:cs="Times New Roman"/>
          <w:sz w:val="24"/>
          <w:szCs w:val="24"/>
        </w:rPr>
        <w:t>tudents</w:t>
      </w:r>
      <w:r w:rsidR="006D47AD" w:rsidRPr="00AE141E">
        <w:rPr>
          <w:rFonts w:ascii="Times New Roman" w:hAnsi="Times New Roman" w:cs="Times New Roman"/>
          <w:sz w:val="24"/>
          <w:szCs w:val="24"/>
        </w:rPr>
        <w:t xml:space="preserve"> of South Asian heritage</w:t>
      </w:r>
      <w:r w:rsidR="00541067" w:rsidRPr="00AE141E">
        <w:rPr>
          <w:rFonts w:ascii="Times New Roman" w:hAnsi="Times New Roman" w:cs="Times New Roman"/>
          <w:sz w:val="24"/>
          <w:szCs w:val="24"/>
        </w:rPr>
        <w:t xml:space="preserve"> felt that history was narrated selectively: British atrocities </w:t>
      </w:r>
      <w:r w:rsidR="00CE3FBE" w:rsidRPr="00AE141E">
        <w:rPr>
          <w:rFonts w:ascii="Times New Roman" w:hAnsi="Times New Roman" w:cs="Times New Roman"/>
          <w:sz w:val="24"/>
          <w:szCs w:val="24"/>
        </w:rPr>
        <w:t>were excis</w:t>
      </w:r>
      <w:r w:rsidR="000A2312" w:rsidRPr="00AE141E">
        <w:rPr>
          <w:rFonts w:ascii="Times New Roman" w:hAnsi="Times New Roman" w:cs="Times New Roman"/>
          <w:sz w:val="24"/>
          <w:szCs w:val="24"/>
        </w:rPr>
        <w:t xml:space="preserve">ed in order to construct a story of benevolent paternalism. </w:t>
      </w:r>
      <w:r w:rsidR="00C233C5" w:rsidRPr="00AE141E">
        <w:rPr>
          <w:rFonts w:ascii="Times New Roman" w:hAnsi="Times New Roman" w:cs="Times New Roman"/>
          <w:sz w:val="24"/>
          <w:szCs w:val="24"/>
        </w:rPr>
        <w:t>These pupils posited u</w:t>
      </w:r>
      <w:r w:rsidR="000A2312" w:rsidRPr="00AE141E">
        <w:rPr>
          <w:rFonts w:ascii="Times New Roman" w:hAnsi="Times New Roman" w:cs="Times New Roman"/>
          <w:sz w:val="24"/>
          <w:szCs w:val="24"/>
        </w:rPr>
        <w:t xml:space="preserve">nfree labour and forced migration as </w:t>
      </w:r>
      <w:r w:rsidR="004D3DF4" w:rsidRPr="00AE141E">
        <w:rPr>
          <w:rFonts w:ascii="Times New Roman" w:hAnsi="Times New Roman" w:cs="Times New Roman"/>
          <w:sz w:val="24"/>
          <w:szCs w:val="24"/>
        </w:rPr>
        <w:t xml:space="preserve">the building blocks of </w:t>
      </w:r>
      <w:r w:rsidR="00B90417" w:rsidRPr="00AE141E">
        <w:rPr>
          <w:rFonts w:ascii="Times New Roman" w:hAnsi="Times New Roman" w:cs="Times New Roman"/>
          <w:sz w:val="24"/>
          <w:szCs w:val="24"/>
        </w:rPr>
        <w:t>the British nation-state</w:t>
      </w:r>
      <w:r w:rsidR="007B6B99" w:rsidRPr="00AE141E">
        <w:rPr>
          <w:rFonts w:ascii="Times New Roman" w:hAnsi="Times New Roman" w:cs="Times New Roman"/>
          <w:sz w:val="24"/>
          <w:szCs w:val="24"/>
        </w:rPr>
        <w:t xml:space="preserve">, in sharp contrast to the </w:t>
      </w:r>
      <w:r w:rsidR="00A00820" w:rsidRPr="00AE141E">
        <w:rPr>
          <w:rFonts w:ascii="Times New Roman" w:hAnsi="Times New Roman" w:cs="Times New Roman"/>
          <w:sz w:val="24"/>
          <w:szCs w:val="24"/>
        </w:rPr>
        <w:t xml:space="preserve">widespread portrayal of slavery as a </w:t>
      </w:r>
      <w:r w:rsidR="00B90417" w:rsidRPr="00AE141E">
        <w:rPr>
          <w:rFonts w:ascii="Times New Roman" w:hAnsi="Times New Roman" w:cs="Times New Roman"/>
          <w:sz w:val="24"/>
          <w:szCs w:val="24"/>
        </w:rPr>
        <w:t>short period of exceptional brutality brought to a swift end by White abolitionists.</w:t>
      </w:r>
      <w:r w:rsidR="009710AE" w:rsidRPr="00AE141E">
        <w:rPr>
          <w:rFonts w:ascii="Times New Roman" w:hAnsi="Times New Roman" w:cs="Times New Roman"/>
          <w:sz w:val="24"/>
          <w:szCs w:val="24"/>
        </w:rPr>
        <w:t xml:space="preserve"> These students, like their Black counterparts, </w:t>
      </w:r>
      <w:r w:rsidR="00511A7D" w:rsidRPr="00AE141E">
        <w:rPr>
          <w:rFonts w:ascii="Times New Roman" w:hAnsi="Times New Roman" w:cs="Times New Roman"/>
          <w:sz w:val="24"/>
          <w:szCs w:val="24"/>
        </w:rPr>
        <w:t xml:space="preserve">connected school histories to questions of identity and self-esteem. </w:t>
      </w:r>
      <w:r w:rsidR="00664AD8" w:rsidRPr="00AE141E">
        <w:rPr>
          <w:rFonts w:ascii="Times New Roman" w:hAnsi="Times New Roman" w:cs="Times New Roman"/>
          <w:sz w:val="24"/>
          <w:szCs w:val="24"/>
        </w:rPr>
        <w:t xml:space="preserve">If </w:t>
      </w:r>
      <w:r w:rsidR="00CE1355" w:rsidRPr="00AE141E">
        <w:rPr>
          <w:rFonts w:ascii="Times New Roman" w:hAnsi="Times New Roman" w:cs="Times New Roman"/>
          <w:sz w:val="24"/>
          <w:szCs w:val="24"/>
        </w:rPr>
        <w:t>Asian pupils</w:t>
      </w:r>
      <w:r w:rsidR="00EB2613" w:rsidRPr="00AE141E">
        <w:rPr>
          <w:rFonts w:ascii="Times New Roman" w:hAnsi="Times New Roman" w:cs="Times New Roman"/>
          <w:sz w:val="24"/>
          <w:szCs w:val="24"/>
        </w:rPr>
        <w:t>’ sense of self</w:t>
      </w:r>
      <w:r w:rsidR="00664AD8" w:rsidRPr="00AE141E">
        <w:rPr>
          <w:rFonts w:ascii="Times New Roman" w:hAnsi="Times New Roman" w:cs="Times New Roman"/>
          <w:sz w:val="24"/>
          <w:szCs w:val="24"/>
        </w:rPr>
        <w:t xml:space="preserve"> was damaged by the </w:t>
      </w:r>
      <w:r w:rsidR="00182BD0" w:rsidRPr="00AE141E">
        <w:rPr>
          <w:rFonts w:ascii="Times New Roman" w:hAnsi="Times New Roman" w:cs="Times New Roman"/>
          <w:sz w:val="24"/>
          <w:szCs w:val="24"/>
        </w:rPr>
        <w:t xml:space="preserve">content of school teaching, it was only logical that White pride would be bolstered. </w:t>
      </w:r>
      <w:r w:rsidR="00773555" w:rsidRPr="00AE141E">
        <w:rPr>
          <w:rFonts w:ascii="Times New Roman" w:hAnsi="Times New Roman" w:cs="Times New Roman"/>
          <w:sz w:val="24"/>
          <w:szCs w:val="24"/>
        </w:rPr>
        <w:lastRenderedPageBreak/>
        <w:t>Interviewees</w:t>
      </w:r>
      <w:r w:rsidR="000B19D1" w:rsidRPr="00AE141E">
        <w:rPr>
          <w:rFonts w:ascii="Times New Roman" w:hAnsi="Times New Roman" w:cs="Times New Roman"/>
          <w:sz w:val="24"/>
          <w:szCs w:val="24"/>
        </w:rPr>
        <w:t xml:space="preserve"> suggested that </w:t>
      </w:r>
      <w:r w:rsidR="005E7ABF" w:rsidRPr="00AE141E">
        <w:rPr>
          <w:rFonts w:ascii="Times New Roman" w:hAnsi="Times New Roman" w:cs="Times New Roman"/>
          <w:sz w:val="24"/>
          <w:szCs w:val="24"/>
        </w:rPr>
        <w:t>W</w:t>
      </w:r>
      <w:r w:rsidR="00043F5A" w:rsidRPr="00AE141E">
        <w:rPr>
          <w:rFonts w:ascii="Times New Roman" w:hAnsi="Times New Roman" w:cs="Times New Roman"/>
          <w:sz w:val="24"/>
          <w:szCs w:val="24"/>
        </w:rPr>
        <w:t>hite students</w:t>
      </w:r>
      <w:r w:rsidR="00DA12EB" w:rsidRPr="00AE141E">
        <w:rPr>
          <w:rFonts w:ascii="Times New Roman" w:hAnsi="Times New Roman" w:cs="Times New Roman"/>
          <w:sz w:val="24"/>
          <w:szCs w:val="24"/>
        </w:rPr>
        <w:t>’</w:t>
      </w:r>
      <w:r w:rsidR="00043F5A" w:rsidRPr="00AE141E">
        <w:rPr>
          <w:rFonts w:ascii="Times New Roman" w:hAnsi="Times New Roman" w:cs="Times New Roman"/>
          <w:sz w:val="24"/>
          <w:szCs w:val="24"/>
        </w:rPr>
        <w:t xml:space="preserve"> racism </w:t>
      </w:r>
      <w:r w:rsidR="00DA12EB" w:rsidRPr="00AE141E">
        <w:rPr>
          <w:rFonts w:ascii="Times New Roman" w:hAnsi="Times New Roman" w:cs="Times New Roman"/>
          <w:sz w:val="24"/>
          <w:szCs w:val="24"/>
        </w:rPr>
        <w:t>was</w:t>
      </w:r>
      <w:r w:rsidR="00043F5A" w:rsidRPr="00AE141E">
        <w:rPr>
          <w:rFonts w:ascii="Times New Roman" w:hAnsi="Times New Roman" w:cs="Times New Roman"/>
          <w:sz w:val="24"/>
          <w:szCs w:val="24"/>
        </w:rPr>
        <w:t xml:space="preserve"> reinforced </w:t>
      </w:r>
      <w:r w:rsidR="003B6E81" w:rsidRPr="00AE141E">
        <w:rPr>
          <w:rFonts w:ascii="Times New Roman" w:hAnsi="Times New Roman" w:cs="Times New Roman"/>
          <w:sz w:val="24"/>
          <w:szCs w:val="24"/>
        </w:rPr>
        <w:t>by the study of histor</w:t>
      </w:r>
      <w:r w:rsidR="00C233C5" w:rsidRPr="00AE141E">
        <w:rPr>
          <w:rFonts w:ascii="Times New Roman" w:hAnsi="Times New Roman" w:cs="Times New Roman"/>
          <w:sz w:val="24"/>
          <w:szCs w:val="24"/>
        </w:rPr>
        <w:t>ie</w:t>
      </w:r>
      <w:r w:rsidR="006E3BC3" w:rsidRPr="00AE141E">
        <w:rPr>
          <w:rFonts w:ascii="Times New Roman" w:hAnsi="Times New Roman" w:cs="Times New Roman"/>
          <w:sz w:val="24"/>
          <w:szCs w:val="24"/>
        </w:rPr>
        <w:t>s which reaffirmed the</w:t>
      </w:r>
      <w:r w:rsidR="0030674D" w:rsidRPr="00AE141E">
        <w:rPr>
          <w:rFonts w:ascii="Times New Roman" w:hAnsi="Times New Roman" w:cs="Times New Roman"/>
          <w:sz w:val="24"/>
          <w:szCs w:val="24"/>
        </w:rPr>
        <w:t>ir perception of civilisational superiority</w:t>
      </w:r>
      <w:r w:rsidR="003B6E81" w:rsidRPr="00AE141E">
        <w:rPr>
          <w:rFonts w:ascii="Times New Roman" w:hAnsi="Times New Roman" w:cs="Times New Roman"/>
          <w:sz w:val="24"/>
          <w:szCs w:val="24"/>
        </w:rPr>
        <w:t>.</w:t>
      </w:r>
      <w:r w:rsidR="00F13147" w:rsidRPr="00AE141E">
        <w:rPr>
          <w:rStyle w:val="FootnoteReference"/>
          <w:rFonts w:ascii="Times New Roman" w:hAnsi="Times New Roman" w:cs="Times New Roman"/>
          <w:sz w:val="24"/>
          <w:szCs w:val="24"/>
        </w:rPr>
        <w:footnoteReference w:id="470"/>
      </w:r>
      <w:r w:rsidR="00043F5A" w:rsidRPr="00AE141E">
        <w:rPr>
          <w:rFonts w:ascii="Times New Roman" w:hAnsi="Times New Roman" w:cs="Times New Roman"/>
          <w:sz w:val="24"/>
          <w:szCs w:val="24"/>
        </w:rPr>
        <w:t xml:space="preserve"> </w:t>
      </w:r>
      <w:r w:rsidR="007B1F22" w:rsidRPr="00AE141E">
        <w:rPr>
          <w:rFonts w:ascii="Times New Roman" w:hAnsi="Times New Roman" w:cs="Times New Roman"/>
          <w:sz w:val="24"/>
          <w:szCs w:val="24"/>
        </w:rPr>
        <w:t xml:space="preserve"> </w:t>
      </w:r>
    </w:p>
    <w:p w14:paraId="2A06EE63" w14:textId="2C802473" w:rsidR="00F41424" w:rsidRPr="00AE141E" w:rsidRDefault="00BB33E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t>
      </w:r>
      <w:r w:rsidR="00C340C6" w:rsidRPr="00AE141E">
        <w:rPr>
          <w:rFonts w:ascii="Times New Roman" w:hAnsi="Times New Roman" w:cs="Times New Roman"/>
          <w:sz w:val="24"/>
          <w:szCs w:val="24"/>
        </w:rPr>
        <w:t xml:space="preserve">BEM gave many Black students the knowledge and confidence </w:t>
      </w:r>
      <w:r w:rsidR="003A228A" w:rsidRPr="00AE141E">
        <w:rPr>
          <w:rFonts w:ascii="Times New Roman" w:hAnsi="Times New Roman" w:cs="Times New Roman"/>
          <w:sz w:val="24"/>
          <w:szCs w:val="24"/>
        </w:rPr>
        <w:t>required to contest the narratives</w:t>
      </w:r>
      <w:r w:rsidR="00CE237B" w:rsidRPr="00AE141E">
        <w:rPr>
          <w:rFonts w:ascii="Times New Roman" w:hAnsi="Times New Roman" w:cs="Times New Roman"/>
          <w:sz w:val="24"/>
          <w:szCs w:val="24"/>
        </w:rPr>
        <w:t xml:space="preserve"> presented by school history</w:t>
      </w:r>
      <w:r w:rsidR="00AD0938" w:rsidRPr="00AE141E">
        <w:rPr>
          <w:rFonts w:ascii="Times New Roman" w:hAnsi="Times New Roman" w:cs="Times New Roman"/>
          <w:sz w:val="24"/>
          <w:szCs w:val="24"/>
        </w:rPr>
        <w:t xml:space="preserve">. Other pupils drew their power </w:t>
      </w:r>
      <w:r w:rsidR="00BD60CB" w:rsidRPr="00AE141E">
        <w:rPr>
          <w:rFonts w:ascii="Times New Roman" w:hAnsi="Times New Roman" w:cs="Times New Roman"/>
          <w:sz w:val="24"/>
          <w:szCs w:val="24"/>
        </w:rPr>
        <w:t xml:space="preserve">from </w:t>
      </w:r>
      <w:r w:rsidR="005E0E7B" w:rsidRPr="00AE141E">
        <w:rPr>
          <w:rFonts w:ascii="Times New Roman" w:hAnsi="Times New Roman" w:cs="Times New Roman"/>
          <w:sz w:val="24"/>
          <w:szCs w:val="24"/>
        </w:rPr>
        <w:t>more informal</w:t>
      </w:r>
      <w:r w:rsidR="00BD60CB" w:rsidRPr="00AE141E">
        <w:rPr>
          <w:rFonts w:ascii="Times New Roman" w:hAnsi="Times New Roman" w:cs="Times New Roman"/>
          <w:sz w:val="24"/>
          <w:szCs w:val="24"/>
        </w:rPr>
        <w:t xml:space="preserve"> educational </w:t>
      </w:r>
      <w:r w:rsidR="005E0E7B" w:rsidRPr="00AE141E">
        <w:rPr>
          <w:rFonts w:ascii="Times New Roman" w:hAnsi="Times New Roman" w:cs="Times New Roman"/>
          <w:sz w:val="24"/>
          <w:szCs w:val="24"/>
        </w:rPr>
        <w:t>structures</w:t>
      </w:r>
      <w:r w:rsidR="00BD60CB" w:rsidRPr="00AE141E">
        <w:rPr>
          <w:rFonts w:ascii="Times New Roman" w:hAnsi="Times New Roman" w:cs="Times New Roman"/>
          <w:sz w:val="24"/>
          <w:szCs w:val="24"/>
        </w:rPr>
        <w:t>.</w:t>
      </w:r>
      <w:r w:rsidR="00EF2EB9" w:rsidRPr="00AE141E">
        <w:rPr>
          <w:rFonts w:ascii="Times New Roman" w:hAnsi="Times New Roman" w:cs="Times New Roman"/>
          <w:sz w:val="24"/>
          <w:szCs w:val="24"/>
        </w:rPr>
        <w:t xml:space="preserve"> </w:t>
      </w:r>
      <w:r w:rsidR="00EF2EB9" w:rsidRPr="00AE141E">
        <w:rPr>
          <w:rFonts w:ascii="Times New Roman" w:hAnsi="Times New Roman" w:cs="Times New Roman"/>
          <w:i/>
          <w:sz w:val="24"/>
          <w:szCs w:val="24"/>
        </w:rPr>
        <w:t xml:space="preserve">Talking Chalk </w:t>
      </w:r>
      <w:r w:rsidR="00EF2EB9" w:rsidRPr="00AE141E">
        <w:rPr>
          <w:rFonts w:ascii="Times New Roman" w:hAnsi="Times New Roman" w:cs="Times New Roman"/>
          <w:sz w:val="24"/>
          <w:szCs w:val="24"/>
        </w:rPr>
        <w:t xml:space="preserve">quoted a student </w:t>
      </w:r>
      <w:r w:rsidR="00407C45" w:rsidRPr="00AE141E">
        <w:rPr>
          <w:rFonts w:ascii="Times New Roman" w:hAnsi="Times New Roman" w:cs="Times New Roman"/>
          <w:sz w:val="24"/>
          <w:szCs w:val="24"/>
        </w:rPr>
        <w:t xml:space="preserve">who </w:t>
      </w:r>
      <w:r w:rsidR="007671EE" w:rsidRPr="00AE141E">
        <w:rPr>
          <w:rFonts w:ascii="Times New Roman" w:hAnsi="Times New Roman" w:cs="Times New Roman"/>
          <w:sz w:val="24"/>
          <w:szCs w:val="24"/>
        </w:rPr>
        <w:t xml:space="preserve">had responded to </w:t>
      </w:r>
      <w:r w:rsidR="00585F4A" w:rsidRPr="00AE141E">
        <w:rPr>
          <w:rFonts w:ascii="Times New Roman" w:hAnsi="Times New Roman" w:cs="Times New Roman"/>
          <w:sz w:val="24"/>
          <w:szCs w:val="24"/>
        </w:rPr>
        <w:t>racist</w:t>
      </w:r>
      <w:r w:rsidR="007671EE" w:rsidRPr="00AE141E">
        <w:rPr>
          <w:rFonts w:ascii="Times New Roman" w:hAnsi="Times New Roman" w:cs="Times New Roman"/>
          <w:sz w:val="24"/>
          <w:szCs w:val="24"/>
        </w:rPr>
        <w:t xml:space="preserve"> </w:t>
      </w:r>
      <w:r w:rsidR="00585F4A" w:rsidRPr="00AE141E">
        <w:rPr>
          <w:rFonts w:ascii="Times New Roman" w:hAnsi="Times New Roman" w:cs="Times New Roman"/>
          <w:sz w:val="24"/>
          <w:szCs w:val="24"/>
        </w:rPr>
        <w:t>erasure</w:t>
      </w:r>
      <w:r w:rsidR="007671EE" w:rsidRPr="00AE141E">
        <w:rPr>
          <w:rFonts w:ascii="Times New Roman" w:hAnsi="Times New Roman" w:cs="Times New Roman"/>
          <w:sz w:val="24"/>
          <w:szCs w:val="24"/>
        </w:rPr>
        <w:t xml:space="preserve"> by seeking o</w:t>
      </w:r>
      <w:r w:rsidR="005E0E7B" w:rsidRPr="00AE141E">
        <w:rPr>
          <w:rFonts w:ascii="Times New Roman" w:hAnsi="Times New Roman" w:cs="Times New Roman"/>
          <w:sz w:val="24"/>
          <w:szCs w:val="24"/>
        </w:rPr>
        <w:t>ut knowledge ‘on the street in this community, and from friends and family’.</w:t>
      </w:r>
      <w:r w:rsidR="00E970FF" w:rsidRPr="00AE141E">
        <w:rPr>
          <w:rStyle w:val="FootnoteReference"/>
          <w:rFonts w:ascii="Times New Roman" w:hAnsi="Times New Roman" w:cs="Times New Roman"/>
          <w:sz w:val="24"/>
          <w:szCs w:val="24"/>
        </w:rPr>
        <w:footnoteReference w:id="471"/>
      </w:r>
      <w:r w:rsidR="005E0E7B" w:rsidRPr="00AE141E">
        <w:rPr>
          <w:rFonts w:ascii="Times New Roman" w:hAnsi="Times New Roman" w:cs="Times New Roman"/>
          <w:sz w:val="24"/>
          <w:szCs w:val="24"/>
        </w:rPr>
        <w:t xml:space="preserve"> </w:t>
      </w:r>
      <w:r w:rsidR="0067644A" w:rsidRPr="00AE141E">
        <w:rPr>
          <w:rFonts w:ascii="Times New Roman" w:hAnsi="Times New Roman" w:cs="Times New Roman"/>
          <w:sz w:val="24"/>
          <w:szCs w:val="24"/>
        </w:rPr>
        <w:t>‘Mr D’, a</w:t>
      </w:r>
      <w:r w:rsidR="001047E5" w:rsidRPr="00AE141E">
        <w:rPr>
          <w:rFonts w:ascii="Times New Roman" w:hAnsi="Times New Roman" w:cs="Times New Roman"/>
          <w:sz w:val="24"/>
          <w:szCs w:val="24"/>
        </w:rPr>
        <w:t xml:space="preserve"> parent interviewed by AFFOR, expressed pride in his </w:t>
      </w:r>
      <w:r w:rsidR="002E00C0" w:rsidRPr="00AE141E">
        <w:rPr>
          <w:rFonts w:ascii="Times New Roman" w:hAnsi="Times New Roman" w:cs="Times New Roman"/>
          <w:sz w:val="24"/>
          <w:szCs w:val="24"/>
        </w:rPr>
        <w:t xml:space="preserve">own </w:t>
      </w:r>
      <w:r w:rsidR="001047E5" w:rsidRPr="00AE141E">
        <w:rPr>
          <w:rFonts w:ascii="Times New Roman" w:hAnsi="Times New Roman" w:cs="Times New Roman"/>
          <w:sz w:val="24"/>
          <w:szCs w:val="24"/>
        </w:rPr>
        <w:t>role as educator.</w:t>
      </w:r>
      <w:r w:rsidR="00B93C20" w:rsidRPr="00AE141E">
        <w:rPr>
          <w:rFonts w:ascii="Times New Roman" w:hAnsi="Times New Roman" w:cs="Times New Roman"/>
          <w:sz w:val="24"/>
          <w:szCs w:val="24"/>
        </w:rPr>
        <w:t xml:space="preserve"> </w:t>
      </w:r>
      <w:r w:rsidR="001047E5" w:rsidRPr="00AE141E">
        <w:rPr>
          <w:rFonts w:ascii="Times New Roman" w:hAnsi="Times New Roman" w:cs="Times New Roman"/>
          <w:sz w:val="24"/>
          <w:szCs w:val="24"/>
        </w:rPr>
        <w:t>‘</w:t>
      </w:r>
      <w:r w:rsidR="00B93C20" w:rsidRPr="00AE141E">
        <w:rPr>
          <w:rFonts w:ascii="Times New Roman" w:hAnsi="Times New Roman" w:cs="Times New Roman"/>
          <w:sz w:val="24"/>
          <w:szCs w:val="24"/>
        </w:rPr>
        <w:t>Most thinking black parents</w:t>
      </w:r>
      <w:r w:rsidR="001047E5" w:rsidRPr="00AE141E">
        <w:rPr>
          <w:rFonts w:ascii="Times New Roman" w:hAnsi="Times New Roman" w:cs="Times New Roman"/>
          <w:sz w:val="24"/>
          <w:szCs w:val="24"/>
        </w:rPr>
        <w:t xml:space="preserve">’, he suggested, offered their children </w:t>
      </w:r>
      <w:r w:rsidR="006F1CA5" w:rsidRPr="00AE141E">
        <w:rPr>
          <w:rFonts w:ascii="Times New Roman" w:hAnsi="Times New Roman" w:cs="Times New Roman"/>
          <w:sz w:val="24"/>
          <w:szCs w:val="24"/>
        </w:rPr>
        <w:t>‘the right information’ to develop some form of self-knowledge and self-confidence.</w:t>
      </w:r>
      <w:r w:rsidR="00F63D94" w:rsidRPr="00AE141E">
        <w:rPr>
          <w:rStyle w:val="FootnoteReference"/>
          <w:rFonts w:ascii="Times New Roman" w:hAnsi="Times New Roman" w:cs="Times New Roman"/>
          <w:sz w:val="24"/>
          <w:szCs w:val="24"/>
        </w:rPr>
        <w:footnoteReference w:id="472"/>
      </w:r>
      <w:r w:rsidR="002E00C0" w:rsidRPr="00AE141E">
        <w:rPr>
          <w:rFonts w:ascii="Times New Roman" w:hAnsi="Times New Roman" w:cs="Times New Roman"/>
          <w:sz w:val="24"/>
          <w:szCs w:val="24"/>
        </w:rPr>
        <w:t xml:space="preserve"> </w:t>
      </w:r>
      <w:r w:rsidR="00153CEA" w:rsidRPr="00AE141E">
        <w:rPr>
          <w:rFonts w:ascii="Times New Roman" w:hAnsi="Times New Roman" w:cs="Times New Roman"/>
          <w:sz w:val="24"/>
          <w:szCs w:val="24"/>
        </w:rPr>
        <w:t>The</w:t>
      </w:r>
      <w:r w:rsidR="00964009" w:rsidRPr="00AE141E">
        <w:rPr>
          <w:rFonts w:ascii="Times New Roman" w:hAnsi="Times New Roman" w:cs="Times New Roman"/>
          <w:sz w:val="24"/>
          <w:szCs w:val="24"/>
        </w:rPr>
        <w:t xml:space="preserve"> Central Manchester Caribbean English Project</w:t>
      </w:r>
      <w:r w:rsidR="00153CEA" w:rsidRPr="00AE141E">
        <w:rPr>
          <w:rFonts w:ascii="Times New Roman" w:hAnsi="Times New Roman" w:cs="Times New Roman"/>
          <w:sz w:val="24"/>
          <w:szCs w:val="24"/>
        </w:rPr>
        <w:t xml:space="preserve"> facilitated two</w:t>
      </w:r>
      <w:r w:rsidR="00964009" w:rsidRPr="00AE141E">
        <w:rPr>
          <w:rFonts w:ascii="Times New Roman" w:hAnsi="Times New Roman" w:cs="Times New Roman"/>
          <w:sz w:val="24"/>
          <w:szCs w:val="24"/>
        </w:rPr>
        <w:t xml:space="preserve"> ‘Support Groups’</w:t>
      </w:r>
      <w:r w:rsidR="00B31CC5" w:rsidRPr="00AE141E">
        <w:rPr>
          <w:rFonts w:ascii="Times New Roman" w:hAnsi="Times New Roman" w:cs="Times New Roman"/>
          <w:sz w:val="24"/>
          <w:szCs w:val="24"/>
        </w:rPr>
        <w:t xml:space="preserve"> which offered </w:t>
      </w:r>
      <w:r w:rsidR="00964009" w:rsidRPr="00AE141E">
        <w:rPr>
          <w:rFonts w:ascii="Times New Roman" w:hAnsi="Times New Roman" w:cs="Times New Roman"/>
          <w:sz w:val="24"/>
          <w:szCs w:val="24"/>
        </w:rPr>
        <w:t>young Black people t</w:t>
      </w:r>
      <w:r w:rsidR="00B31CC5" w:rsidRPr="00AE141E">
        <w:rPr>
          <w:rFonts w:ascii="Times New Roman" w:hAnsi="Times New Roman" w:cs="Times New Roman"/>
          <w:sz w:val="24"/>
          <w:szCs w:val="24"/>
        </w:rPr>
        <w:t xml:space="preserve">he </w:t>
      </w:r>
      <w:r w:rsidR="00964009" w:rsidRPr="00AE141E">
        <w:rPr>
          <w:rFonts w:ascii="Times New Roman" w:hAnsi="Times New Roman" w:cs="Times New Roman"/>
          <w:sz w:val="24"/>
          <w:szCs w:val="24"/>
        </w:rPr>
        <w:t>o</w:t>
      </w:r>
      <w:r w:rsidR="00B31CC5" w:rsidRPr="00AE141E">
        <w:rPr>
          <w:rFonts w:ascii="Times New Roman" w:hAnsi="Times New Roman" w:cs="Times New Roman"/>
          <w:sz w:val="24"/>
          <w:szCs w:val="24"/>
        </w:rPr>
        <w:t>pportunity to</w:t>
      </w:r>
      <w:r w:rsidR="00964009" w:rsidRPr="00AE141E">
        <w:rPr>
          <w:rFonts w:ascii="Times New Roman" w:hAnsi="Times New Roman" w:cs="Times New Roman"/>
          <w:sz w:val="24"/>
          <w:szCs w:val="24"/>
        </w:rPr>
        <w:t xml:space="preserve"> </w:t>
      </w:r>
      <w:r w:rsidR="00B31CC5" w:rsidRPr="00AE141E">
        <w:rPr>
          <w:rFonts w:ascii="Times New Roman" w:hAnsi="Times New Roman" w:cs="Times New Roman"/>
          <w:sz w:val="24"/>
          <w:szCs w:val="24"/>
        </w:rPr>
        <w:t>‘</w:t>
      </w:r>
      <w:r w:rsidR="00964009" w:rsidRPr="00AE141E">
        <w:rPr>
          <w:rFonts w:ascii="Times New Roman" w:hAnsi="Times New Roman" w:cs="Times New Roman"/>
          <w:sz w:val="24"/>
          <w:szCs w:val="24"/>
        </w:rPr>
        <w:t>describe and reason out their experiences together’</w:t>
      </w:r>
      <w:r w:rsidR="00B31CC5" w:rsidRPr="00AE141E">
        <w:rPr>
          <w:rFonts w:ascii="Times New Roman" w:hAnsi="Times New Roman" w:cs="Times New Roman"/>
          <w:sz w:val="24"/>
          <w:szCs w:val="24"/>
        </w:rPr>
        <w:t>. Conversati</w:t>
      </w:r>
      <w:r w:rsidR="00293BBC" w:rsidRPr="00AE141E">
        <w:rPr>
          <w:rFonts w:ascii="Times New Roman" w:hAnsi="Times New Roman" w:cs="Times New Roman"/>
          <w:sz w:val="24"/>
          <w:szCs w:val="24"/>
        </w:rPr>
        <w:t>ons r</w:t>
      </w:r>
      <w:r w:rsidR="00916AD2" w:rsidRPr="00AE141E">
        <w:rPr>
          <w:rFonts w:ascii="Times New Roman" w:hAnsi="Times New Roman" w:cs="Times New Roman"/>
          <w:sz w:val="24"/>
          <w:szCs w:val="24"/>
        </w:rPr>
        <w:t xml:space="preserve">ecorded </w:t>
      </w:r>
      <w:r w:rsidR="00EC2950" w:rsidRPr="00AE141E">
        <w:rPr>
          <w:rFonts w:ascii="Times New Roman" w:hAnsi="Times New Roman" w:cs="Times New Roman"/>
          <w:sz w:val="24"/>
          <w:szCs w:val="24"/>
        </w:rPr>
        <w:t xml:space="preserve">during these groups later formed the basis for a publication, </w:t>
      </w:r>
      <w:r w:rsidR="00EC2950" w:rsidRPr="00AE141E">
        <w:rPr>
          <w:rFonts w:ascii="Times New Roman" w:hAnsi="Times New Roman" w:cs="Times New Roman"/>
          <w:i/>
          <w:sz w:val="24"/>
          <w:szCs w:val="24"/>
        </w:rPr>
        <w:t xml:space="preserve">Triangular Minds: </w:t>
      </w:r>
      <w:r w:rsidR="009C6850" w:rsidRPr="00AE141E">
        <w:rPr>
          <w:rFonts w:ascii="Times New Roman" w:hAnsi="Times New Roman" w:cs="Times New Roman"/>
          <w:i/>
          <w:sz w:val="24"/>
          <w:szCs w:val="24"/>
        </w:rPr>
        <w:t>Black Youth on Identity</w:t>
      </w:r>
      <w:r w:rsidR="00274E58" w:rsidRPr="00AE141E">
        <w:rPr>
          <w:rFonts w:ascii="Times New Roman" w:hAnsi="Times New Roman" w:cs="Times New Roman"/>
          <w:i/>
          <w:sz w:val="24"/>
          <w:szCs w:val="24"/>
        </w:rPr>
        <w:t xml:space="preserve">. </w:t>
      </w:r>
      <w:r w:rsidR="008E2647" w:rsidRPr="00AE141E">
        <w:rPr>
          <w:rFonts w:ascii="Times New Roman" w:hAnsi="Times New Roman" w:cs="Times New Roman"/>
          <w:i/>
          <w:sz w:val="24"/>
          <w:szCs w:val="24"/>
        </w:rPr>
        <w:t>Triangular</w:t>
      </w:r>
      <w:r w:rsidR="00274E58" w:rsidRPr="00AE141E">
        <w:rPr>
          <w:rFonts w:ascii="Times New Roman" w:hAnsi="Times New Roman" w:cs="Times New Roman"/>
          <w:i/>
          <w:sz w:val="24"/>
          <w:szCs w:val="24"/>
        </w:rPr>
        <w:t xml:space="preserve"> Minds</w:t>
      </w:r>
      <w:r w:rsidR="00FD75E1" w:rsidRPr="00AE141E">
        <w:rPr>
          <w:rFonts w:ascii="Times New Roman" w:hAnsi="Times New Roman" w:cs="Times New Roman"/>
          <w:i/>
          <w:sz w:val="24"/>
          <w:szCs w:val="24"/>
        </w:rPr>
        <w:t xml:space="preserve"> </w:t>
      </w:r>
      <w:r w:rsidR="00D360B4" w:rsidRPr="00AE141E">
        <w:rPr>
          <w:rFonts w:ascii="Times New Roman" w:hAnsi="Times New Roman" w:cs="Times New Roman"/>
          <w:sz w:val="24"/>
          <w:szCs w:val="24"/>
        </w:rPr>
        <w:t xml:space="preserve">juxtaposed </w:t>
      </w:r>
      <w:r w:rsidR="008E2647" w:rsidRPr="00AE141E">
        <w:rPr>
          <w:rFonts w:ascii="Times New Roman" w:hAnsi="Times New Roman" w:cs="Times New Roman"/>
          <w:sz w:val="24"/>
          <w:szCs w:val="24"/>
        </w:rPr>
        <w:t>‘</w:t>
      </w:r>
      <w:r w:rsidR="00D360B4" w:rsidRPr="00AE141E">
        <w:rPr>
          <w:rFonts w:ascii="Times New Roman" w:hAnsi="Times New Roman" w:cs="Times New Roman"/>
          <w:sz w:val="24"/>
          <w:szCs w:val="24"/>
        </w:rPr>
        <w:t>schooling</w:t>
      </w:r>
      <w:r w:rsidR="008E2647" w:rsidRPr="00AE141E">
        <w:rPr>
          <w:rFonts w:ascii="Times New Roman" w:hAnsi="Times New Roman" w:cs="Times New Roman"/>
          <w:sz w:val="24"/>
          <w:szCs w:val="24"/>
        </w:rPr>
        <w:t>’</w:t>
      </w:r>
      <w:r w:rsidR="00D360B4" w:rsidRPr="00AE141E">
        <w:rPr>
          <w:rFonts w:ascii="Times New Roman" w:hAnsi="Times New Roman" w:cs="Times New Roman"/>
          <w:sz w:val="24"/>
          <w:szCs w:val="24"/>
        </w:rPr>
        <w:t xml:space="preserve"> – </w:t>
      </w:r>
      <w:r w:rsidR="00A42B36" w:rsidRPr="00AE141E">
        <w:rPr>
          <w:rFonts w:ascii="Times New Roman" w:hAnsi="Times New Roman" w:cs="Times New Roman"/>
          <w:sz w:val="24"/>
          <w:szCs w:val="24"/>
        </w:rPr>
        <w:t xml:space="preserve">an institutional process of knowledge transmission which </w:t>
      </w:r>
      <w:r w:rsidR="007128AC" w:rsidRPr="00AE141E">
        <w:rPr>
          <w:rFonts w:ascii="Times New Roman" w:hAnsi="Times New Roman" w:cs="Times New Roman"/>
          <w:sz w:val="24"/>
          <w:szCs w:val="24"/>
        </w:rPr>
        <w:t>occurred without reference to family or community</w:t>
      </w:r>
      <w:r w:rsidR="00274E58" w:rsidRPr="00AE141E">
        <w:rPr>
          <w:rFonts w:ascii="Times New Roman" w:hAnsi="Times New Roman" w:cs="Times New Roman"/>
          <w:sz w:val="24"/>
          <w:szCs w:val="24"/>
        </w:rPr>
        <w:t xml:space="preserve"> – to </w:t>
      </w:r>
      <w:r w:rsidR="008E2647" w:rsidRPr="00AE141E">
        <w:rPr>
          <w:rFonts w:ascii="Times New Roman" w:hAnsi="Times New Roman" w:cs="Times New Roman"/>
          <w:sz w:val="24"/>
          <w:szCs w:val="24"/>
        </w:rPr>
        <w:t>‘</w:t>
      </w:r>
      <w:r w:rsidR="00274E58" w:rsidRPr="00AE141E">
        <w:rPr>
          <w:rFonts w:ascii="Times New Roman" w:hAnsi="Times New Roman" w:cs="Times New Roman"/>
          <w:sz w:val="24"/>
          <w:szCs w:val="24"/>
        </w:rPr>
        <w:t>education</w:t>
      </w:r>
      <w:r w:rsidR="008E2647" w:rsidRPr="00AE141E">
        <w:rPr>
          <w:rFonts w:ascii="Times New Roman" w:hAnsi="Times New Roman" w:cs="Times New Roman"/>
          <w:sz w:val="24"/>
          <w:szCs w:val="24"/>
        </w:rPr>
        <w:t xml:space="preserve">’, </w:t>
      </w:r>
      <w:r w:rsidR="008453FF" w:rsidRPr="00AE141E">
        <w:rPr>
          <w:rFonts w:ascii="Times New Roman" w:hAnsi="Times New Roman" w:cs="Times New Roman"/>
          <w:sz w:val="24"/>
          <w:szCs w:val="24"/>
        </w:rPr>
        <w:t xml:space="preserve">which was the learning accrued from </w:t>
      </w:r>
      <w:r w:rsidR="00291C33" w:rsidRPr="00AE141E">
        <w:rPr>
          <w:rFonts w:ascii="Times New Roman" w:hAnsi="Times New Roman" w:cs="Times New Roman"/>
          <w:sz w:val="24"/>
          <w:szCs w:val="24"/>
        </w:rPr>
        <w:t>‘parents, friends, elders, people they admired and people in their communities’.</w:t>
      </w:r>
      <w:r w:rsidR="00291C33" w:rsidRPr="00AE141E">
        <w:rPr>
          <w:rStyle w:val="FootnoteReference"/>
          <w:rFonts w:ascii="Times New Roman" w:hAnsi="Times New Roman" w:cs="Times New Roman"/>
          <w:sz w:val="24"/>
          <w:szCs w:val="24"/>
        </w:rPr>
        <w:t xml:space="preserve"> </w:t>
      </w:r>
      <w:r w:rsidR="00291C33" w:rsidRPr="00AE141E">
        <w:rPr>
          <w:rStyle w:val="FootnoteReference"/>
          <w:rFonts w:ascii="Times New Roman" w:hAnsi="Times New Roman" w:cs="Times New Roman"/>
          <w:sz w:val="24"/>
          <w:szCs w:val="24"/>
        </w:rPr>
        <w:footnoteReference w:id="473"/>
      </w:r>
      <w:r w:rsidR="00291C33" w:rsidRPr="00AE141E">
        <w:rPr>
          <w:rFonts w:ascii="Times New Roman" w:hAnsi="Times New Roman" w:cs="Times New Roman"/>
          <w:sz w:val="24"/>
          <w:szCs w:val="24"/>
        </w:rPr>
        <w:t xml:space="preserve"> History was an intrinsic part of this education.</w:t>
      </w:r>
      <w:r w:rsidR="00442857" w:rsidRPr="00AE141E">
        <w:rPr>
          <w:rFonts w:ascii="Times New Roman" w:hAnsi="Times New Roman" w:cs="Times New Roman"/>
          <w:sz w:val="24"/>
          <w:szCs w:val="24"/>
        </w:rPr>
        <w:t xml:space="preserve"> Group values were perceived as subject to intergenerational transmission</w:t>
      </w:r>
      <w:r w:rsidR="009B45E9" w:rsidRPr="00AE141E">
        <w:rPr>
          <w:rFonts w:ascii="Times New Roman" w:hAnsi="Times New Roman" w:cs="Times New Roman"/>
          <w:sz w:val="24"/>
          <w:szCs w:val="24"/>
        </w:rPr>
        <w:t xml:space="preserve">: </w:t>
      </w:r>
      <w:r w:rsidR="00D432AA" w:rsidRPr="00AE141E">
        <w:rPr>
          <w:rFonts w:ascii="Times New Roman" w:hAnsi="Times New Roman" w:cs="Times New Roman"/>
          <w:sz w:val="24"/>
          <w:szCs w:val="24"/>
        </w:rPr>
        <w:t>a moral-cultural heritage was</w:t>
      </w:r>
      <w:r w:rsidR="007F0537" w:rsidRPr="00AE141E">
        <w:rPr>
          <w:rFonts w:ascii="Times New Roman" w:hAnsi="Times New Roman" w:cs="Times New Roman"/>
          <w:sz w:val="24"/>
          <w:szCs w:val="24"/>
        </w:rPr>
        <w:t xml:space="preserve"> passed down</w:t>
      </w:r>
      <w:r w:rsidR="004E789F" w:rsidRPr="00AE141E">
        <w:rPr>
          <w:rFonts w:ascii="Times New Roman" w:hAnsi="Times New Roman" w:cs="Times New Roman"/>
          <w:sz w:val="24"/>
          <w:szCs w:val="24"/>
        </w:rPr>
        <w:t>, learned, and re-learned via dialogue and the power of example.</w:t>
      </w:r>
    </w:p>
    <w:p w14:paraId="24A47C0B" w14:textId="3E9B17D3" w:rsidR="009626CF" w:rsidRPr="00AE141E" w:rsidRDefault="00A63F9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w:t>
      </w:r>
      <w:r w:rsidR="006C6E97" w:rsidRPr="00AE141E">
        <w:rPr>
          <w:rFonts w:ascii="Times New Roman" w:hAnsi="Times New Roman" w:cs="Times New Roman"/>
          <w:sz w:val="24"/>
          <w:szCs w:val="24"/>
        </w:rPr>
        <w:t xml:space="preserve">he parents and/or grandparents of </w:t>
      </w:r>
      <w:r w:rsidR="00BF4CF8" w:rsidRPr="00AE141E">
        <w:rPr>
          <w:rFonts w:ascii="Times New Roman" w:hAnsi="Times New Roman" w:cs="Times New Roman"/>
          <w:sz w:val="24"/>
          <w:szCs w:val="24"/>
        </w:rPr>
        <w:t>the</w:t>
      </w:r>
      <w:r w:rsidR="006C6E97" w:rsidRPr="00AE141E">
        <w:rPr>
          <w:rFonts w:ascii="Times New Roman" w:hAnsi="Times New Roman" w:cs="Times New Roman"/>
          <w:sz w:val="24"/>
          <w:szCs w:val="24"/>
        </w:rPr>
        <w:t xml:space="preserve"> first generation of </w:t>
      </w:r>
      <w:r w:rsidR="00066104" w:rsidRPr="00AE141E">
        <w:rPr>
          <w:rFonts w:ascii="Times New Roman" w:hAnsi="Times New Roman" w:cs="Times New Roman"/>
          <w:sz w:val="24"/>
          <w:szCs w:val="24"/>
        </w:rPr>
        <w:t>people of colour to</w:t>
      </w:r>
      <w:r w:rsidR="00CA18CD" w:rsidRPr="00AE141E">
        <w:rPr>
          <w:rFonts w:ascii="Times New Roman" w:hAnsi="Times New Roman" w:cs="Times New Roman"/>
          <w:sz w:val="24"/>
          <w:szCs w:val="24"/>
        </w:rPr>
        <w:t xml:space="preserve"> pass through the </w:t>
      </w:r>
      <w:r w:rsidR="007747CE" w:rsidRPr="00AE141E">
        <w:rPr>
          <w:rFonts w:ascii="Times New Roman" w:hAnsi="Times New Roman" w:cs="Times New Roman"/>
          <w:sz w:val="24"/>
          <w:szCs w:val="24"/>
        </w:rPr>
        <w:t xml:space="preserve">English education </w:t>
      </w:r>
      <w:r w:rsidR="00CA18CD" w:rsidRPr="00AE141E">
        <w:rPr>
          <w:rFonts w:ascii="Times New Roman" w:hAnsi="Times New Roman" w:cs="Times New Roman"/>
          <w:sz w:val="24"/>
          <w:szCs w:val="24"/>
        </w:rPr>
        <w:t>system</w:t>
      </w:r>
      <w:r w:rsidR="007747CE" w:rsidRPr="00AE141E">
        <w:rPr>
          <w:rFonts w:ascii="Times New Roman" w:hAnsi="Times New Roman" w:cs="Times New Roman"/>
          <w:sz w:val="24"/>
          <w:szCs w:val="24"/>
        </w:rPr>
        <w:t xml:space="preserve"> </w:t>
      </w:r>
      <w:r w:rsidR="00E14A7E" w:rsidRPr="00AE141E">
        <w:rPr>
          <w:rFonts w:ascii="Times New Roman" w:hAnsi="Times New Roman" w:cs="Times New Roman"/>
          <w:sz w:val="24"/>
          <w:szCs w:val="24"/>
        </w:rPr>
        <w:t>often</w:t>
      </w:r>
      <w:r w:rsidR="00CA18CD" w:rsidRPr="00AE141E">
        <w:rPr>
          <w:rFonts w:ascii="Times New Roman" w:hAnsi="Times New Roman" w:cs="Times New Roman"/>
          <w:sz w:val="24"/>
          <w:szCs w:val="24"/>
        </w:rPr>
        <w:t xml:space="preserve"> had </w:t>
      </w:r>
      <w:r w:rsidR="00E14A7E" w:rsidRPr="00AE141E">
        <w:rPr>
          <w:rFonts w:ascii="Times New Roman" w:hAnsi="Times New Roman" w:cs="Times New Roman"/>
          <w:sz w:val="24"/>
          <w:szCs w:val="24"/>
        </w:rPr>
        <w:t xml:space="preserve">direct </w:t>
      </w:r>
      <w:r w:rsidR="00CA18CD" w:rsidRPr="00AE141E">
        <w:rPr>
          <w:rFonts w:ascii="Times New Roman" w:hAnsi="Times New Roman" w:cs="Times New Roman"/>
          <w:sz w:val="24"/>
          <w:szCs w:val="24"/>
        </w:rPr>
        <w:t>experience of colonial rule</w:t>
      </w:r>
      <w:r w:rsidR="00176845" w:rsidRPr="00AE141E">
        <w:rPr>
          <w:rFonts w:ascii="Times New Roman" w:hAnsi="Times New Roman" w:cs="Times New Roman"/>
          <w:sz w:val="24"/>
          <w:szCs w:val="24"/>
        </w:rPr>
        <w:t>.</w:t>
      </w:r>
      <w:r w:rsidR="00E14A7E" w:rsidRPr="00AE141E">
        <w:rPr>
          <w:rFonts w:ascii="Times New Roman" w:hAnsi="Times New Roman" w:cs="Times New Roman"/>
          <w:sz w:val="24"/>
          <w:szCs w:val="24"/>
        </w:rPr>
        <w:t xml:space="preserve"> </w:t>
      </w:r>
      <w:r w:rsidR="009A16B4" w:rsidRPr="00AE141E">
        <w:rPr>
          <w:rFonts w:ascii="Times New Roman" w:hAnsi="Times New Roman" w:cs="Times New Roman"/>
          <w:sz w:val="24"/>
          <w:szCs w:val="24"/>
        </w:rPr>
        <w:t xml:space="preserve">Several of the young people involved in </w:t>
      </w:r>
      <w:r w:rsidR="009A16B4" w:rsidRPr="00AE141E">
        <w:rPr>
          <w:rFonts w:ascii="Times New Roman" w:hAnsi="Times New Roman" w:cs="Times New Roman"/>
          <w:i/>
          <w:sz w:val="24"/>
          <w:szCs w:val="24"/>
        </w:rPr>
        <w:t xml:space="preserve">Triangular Minds </w:t>
      </w:r>
      <w:r w:rsidR="009A16B4" w:rsidRPr="00AE141E">
        <w:rPr>
          <w:rFonts w:ascii="Times New Roman" w:hAnsi="Times New Roman" w:cs="Times New Roman"/>
          <w:sz w:val="24"/>
          <w:szCs w:val="24"/>
        </w:rPr>
        <w:t>described their parents’ refusal to speak of personal histories of racial discrimination, motivated by embarrassment or by a desire to leave painful memories in the past.</w:t>
      </w:r>
      <w:r w:rsidR="009A16B4" w:rsidRPr="00AE141E">
        <w:rPr>
          <w:rStyle w:val="FootnoteReference"/>
          <w:rFonts w:ascii="Times New Roman" w:hAnsi="Times New Roman" w:cs="Times New Roman"/>
          <w:sz w:val="24"/>
          <w:szCs w:val="24"/>
        </w:rPr>
        <w:footnoteReference w:id="474"/>
      </w:r>
      <w:r w:rsidR="009A16B4" w:rsidRPr="00AE141E">
        <w:rPr>
          <w:rFonts w:ascii="Times New Roman" w:hAnsi="Times New Roman" w:cs="Times New Roman"/>
          <w:sz w:val="24"/>
          <w:szCs w:val="24"/>
        </w:rPr>
        <w:t xml:space="preserve"> Many viewed their parents’ silence as the loss of a reference point for their own experiences of racial discrimination. </w:t>
      </w:r>
      <w:r w:rsidR="00097591" w:rsidRPr="00AE141E">
        <w:rPr>
          <w:rFonts w:ascii="Times New Roman" w:hAnsi="Times New Roman" w:cs="Times New Roman"/>
          <w:sz w:val="24"/>
          <w:szCs w:val="24"/>
        </w:rPr>
        <w:t xml:space="preserve">Nevertheless, in some families </w:t>
      </w:r>
      <w:r w:rsidR="006A76C2" w:rsidRPr="00AE141E">
        <w:rPr>
          <w:rFonts w:ascii="Times New Roman" w:hAnsi="Times New Roman" w:cs="Times New Roman"/>
          <w:sz w:val="24"/>
          <w:szCs w:val="24"/>
        </w:rPr>
        <w:t>cross-</w:t>
      </w:r>
      <w:r w:rsidR="006A76C2" w:rsidRPr="00AE141E">
        <w:rPr>
          <w:rFonts w:ascii="Times New Roman" w:hAnsi="Times New Roman" w:cs="Times New Roman"/>
          <w:sz w:val="24"/>
          <w:szCs w:val="24"/>
        </w:rPr>
        <w:lastRenderedPageBreak/>
        <w:t>generational conv</w:t>
      </w:r>
      <w:r w:rsidR="00ED71DE" w:rsidRPr="00AE141E">
        <w:rPr>
          <w:rFonts w:ascii="Times New Roman" w:hAnsi="Times New Roman" w:cs="Times New Roman"/>
          <w:sz w:val="24"/>
          <w:szCs w:val="24"/>
        </w:rPr>
        <w:t xml:space="preserve">ersation </w:t>
      </w:r>
      <w:r w:rsidR="000B3F69" w:rsidRPr="00AE141E">
        <w:rPr>
          <w:rFonts w:ascii="Times New Roman" w:hAnsi="Times New Roman" w:cs="Times New Roman"/>
          <w:sz w:val="24"/>
          <w:szCs w:val="24"/>
        </w:rPr>
        <w:t>facilitated the sharing of memories</w:t>
      </w:r>
      <w:r w:rsidR="007517F6" w:rsidRPr="00AE141E">
        <w:rPr>
          <w:rFonts w:ascii="Times New Roman" w:hAnsi="Times New Roman" w:cs="Times New Roman"/>
          <w:sz w:val="24"/>
          <w:szCs w:val="24"/>
        </w:rPr>
        <w:t>.</w:t>
      </w:r>
      <w:r w:rsidR="000B3F69" w:rsidRPr="00AE141E">
        <w:rPr>
          <w:rFonts w:ascii="Times New Roman" w:hAnsi="Times New Roman" w:cs="Times New Roman"/>
          <w:sz w:val="24"/>
          <w:szCs w:val="24"/>
        </w:rPr>
        <w:t xml:space="preserve"> </w:t>
      </w:r>
      <w:r w:rsidR="0031743B" w:rsidRPr="00AE141E">
        <w:rPr>
          <w:rFonts w:ascii="Times New Roman" w:hAnsi="Times New Roman" w:cs="Times New Roman"/>
          <w:sz w:val="24"/>
          <w:szCs w:val="24"/>
        </w:rPr>
        <w:t>Thus, t</w:t>
      </w:r>
      <w:r w:rsidR="000B3F69" w:rsidRPr="00AE141E">
        <w:rPr>
          <w:rFonts w:ascii="Times New Roman" w:hAnsi="Times New Roman" w:cs="Times New Roman"/>
          <w:sz w:val="24"/>
          <w:szCs w:val="24"/>
        </w:rPr>
        <w:t xml:space="preserve">he legacies of the </w:t>
      </w:r>
      <w:r w:rsidR="0031743B" w:rsidRPr="00AE141E">
        <w:rPr>
          <w:rFonts w:ascii="Times New Roman" w:hAnsi="Times New Roman" w:cs="Times New Roman"/>
          <w:sz w:val="24"/>
          <w:szCs w:val="24"/>
        </w:rPr>
        <w:t xml:space="preserve">imperial </w:t>
      </w:r>
      <w:r w:rsidR="000B3F69" w:rsidRPr="00AE141E">
        <w:rPr>
          <w:rFonts w:ascii="Times New Roman" w:hAnsi="Times New Roman" w:cs="Times New Roman"/>
          <w:sz w:val="24"/>
          <w:szCs w:val="24"/>
        </w:rPr>
        <w:t>past impinged on the present</w:t>
      </w:r>
      <w:r w:rsidR="0031743B" w:rsidRPr="00AE141E">
        <w:rPr>
          <w:rFonts w:ascii="Times New Roman" w:hAnsi="Times New Roman" w:cs="Times New Roman"/>
          <w:sz w:val="24"/>
          <w:szCs w:val="24"/>
        </w:rPr>
        <w:t xml:space="preserve">. </w:t>
      </w:r>
      <w:r w:rsidR="009A3CD2" w:rsidRPr="00AE141E">
        <w:rPr>
          <w:rFonts w:ascii="Times New Roman" w:hAnsi="Times New Roman" w:cs="Times New Roman"/>
          <w:sz w:val="24"/>
          <w:szCs w:val="24"/>
        </w:rPr>
        <w:t>Marc Ferro has</w:t>
      </w:r>
      <w:r w:rsidR="00551C01" w:rsidRPr="00AE141E">
        <w:rPr>
          <w:rFonts w:ascii="Times New Roman" w:hAnsi="Times New Roman" w:cs="Times New Roman"/>
          <w:sz w:val="24"/>
          <w:szCs w:val="24"/>
        </w:rPr>
        <w:t xml:space="preserve"> described the classroom as a site of confrontation between ‘collective memory and official history’.</w:t>
      </w:r>
      <w:r w:rsidR="009A3CD2" w:rsidRPr="00AE141E">
        <w:rPr>
          <w:rStyle w:val="FootnoteReference"/>
          <w:rFonts w:ascii="Times New Roman" w:hAnsi="Times New Roman" w:cs="Times New Roman"/>
          <w:sz w:val="24"/>
          <w:szCs w:val="24"/>
        </w:rPr>
        <w:footnoteReference w:id="475"/>
      </w:r>
      <w:r w:rsidR="006131FB" w:rsidRPr="00AE141E">
        <w:rPr>
          <w:rFonts w:ascii="Times New Roman" w:hAnsi="Times New Roman" w:cs="Times New Roman"/>
          <w:sz w:val="24"/>
          <w:szCs w:val="24"/>
        </w:rPr>
        <w:t xml:space="preserve"> </w:t>
      </w:r>
      <w:r w:rsidR="0082273C" w:rsidRPr="00AE141E">
        <w:rPr>
          <w:rFonts w:ascii="Times New Roman" w:hAnsi="Times New Roman" w:cs="Times New Roman"/>
          <w:sz w:val="24"/>
          <w:szCs w:val="24"/>
        </w:rPr>
        <w:t xml:space="preserve">Writing in 1981, Ferro </w:t>
      </w:r>
      <w:r w:rsidR="00416E0F" w:rsidRPr="00AE141E">
        <w:rPr>
          <w:rFonts w:ascii="Times New Roman" w:hAnsi="Times New Roman" w:cs="Times New Roman"/>
          <w:sz w:val="24"/>
          <w:szCs w:val="24"/>
        </w:rPr>
        <w:t xml:space="preserve">cited the example of </w:t>
      </w:r>
      <w:r w:rsidR="00025C3F" w:rsidRPr="00AE141E">
        <w:rPr>
          <w:rFonts w:ascii="Times New Roman" w:hAnsi="Times New Roman" w:cs="Times New Roman"/>
          <w:sz w:val="24"/>
          <w:szCs w:val="24"/>
        </w:rPr>
        <w:t xml:space="preserve">schools in </w:t>
      </w:r>
      <w:r w:rsidR="003B108E" w:rsidRPr="00AE141E">
        <w:rPr>
          <w:rFonts w:ascii="Times New Roman" w:hAnsi="Times New Roman" w:cs="Times New Roman"/>
          <w:sz w:val="24"/>
          <w:szCs w:val="24"/>
        </w:rPr>
        <w:t xml:space="preserve">the </w:t>
      </w:r>
      <w:r w:rsidR="005A3C74" w:rsidRPr="00AE141E">
        <w:rPr>
          <w:rFonts w:ascii="Times New Roman" w:hAnsi="Times New Roman" w:cs="Times New Roman"/>
          <w:sz w:val="24"/>
          <w:szCs w:val="24"/>
        </w:rPr>
        <w:t xml:space="preserve">Polish People's Republic, which offered a </w:t>
      </w:r>
      <w:r w:rsidR="00184A2B" w:rsidRPr="00AE141E">
        <w:rPr>
          <w:rFonts w:ascii="Times New Roman" w:hAnsi="Times New Roman" w:cs="Times New Roman"/>
          <w:sz w:val="24"/>
          <w:szCs w:val="24"/>
        </w:rPr>
        <w:t xml:space="preserve">historical </w:t>
      </w:r>
      <w:r w:rsidR="005A3C74" w:rsidRPr="00AE141E">
        <w:rPr>
          <w:rFonts w:ascii="Times New Roman" w:hAnsi="Times New Roman" w:cs="Times New Roman"/>
          <w:sz w:val="24"/>
          <w:szCs w:val="24"/>
        </w:rPr>
        <w:t>narrative of Russian liberation which</w:t>
      </w:r>
      <w:r w:rsidR="009626CF" w:rsidRPr="00AE141E">
        <w:rPr>
          <w:rFonts w:ascii="Times New Roman" w:hAnsi="Times New Roman" w:cs="Times New Roman"/>
          <w:sz w:val="24"/>
          <w:szCs w:val="24"/>
        </w:rPr>
        <w:t xml:space="preserve"> differ</w:t>
      </w:r>
      <w:r w:rsidR="00184A2B" w:rsidRPr="00AE141E">
        <w:rPr>
          <w:rFonts w:ascii="Times New Roman" w:hAnsi="Times New Roman" w:cs="Times New Roman"/>
          <w:sz w:val="24"/>
          <w:szCs w:val="24"/>
        </w:rPr>
        <w:t>ed</w:t>
      </w:r>
      <w:r w:rsidR="009626CF" w:rsidRPr="00AE141E">
        <w:rPr>
          <w:rFonts w:ascii="Times New Roman" w:hAnsi="Times New Roman" w:cs="Times New Roman"/>
          <w:sz w:val="24"/>
          <w:szCs w:val="24"/>
        </w:rPr>
        <w:t xml:space="preserve"> </w:t>
      </w:r>
      <w:r w:rsidR="00184A2B" w:rsidRPr="00AE141E">
        <w:rPr>
          <w:rFonts w:ascii="Times New Roman" w:hAnsi="Times New Roman" w:cs="Times New Roman"/>
          <w:sz w:val="24"/>
          <w:szCs w:val="24"/>
        </w:rPr>
        <w:t>su</w:t>
      </w:r>
      <w:r w:rsidR="00025C3F" w:rsidRPr="00AE141E">
        <w:rPr>
          <w:rFonts w:ascii="Times New Roman" w:hAnsi="Times New Roman" w:cs="Times New Roman"/>
          <w:sz w:val="24"/>
          <w:szCs w:val="24"/>
        </w:rPr>
        <w:t>bstantially</w:t>
      </w:r>
      <w:r w:rsidR="009626CF" w:rsidRPr="00AE141E">
        <w:rPr>
          <w:rFonts w:ascii="Times New Roman" w:hAnsi="Times New Roman" w:cs="Times New Roman"/>
          <w:sz w:val="24"/>
          <w:szCs w:val="24"/>
        </w:rPr>
        <w:t xml:space="preserve"> from </w:t>
      </w:r>
      <w:r w:rsidR="00025C3F" w:rsidRPr="00AE141E">
        <w:rPr>
          <w:rFonts w:ascii="Times New Roman" w:hAnsi="Times New Roman" w:cs="Times New Roman"/>
          <w:sz w:val="24"/>
          <w:szCs w:val="24"/>
        </w:rPr>
        <w:t>‘</w:t>
      </w:r>
      <w:r w:rsidR="009626CF" w:rsidRPr="00AE141E">
        <w:rPr>
          <w:rFonts w:ascii="Times New Roman" w:hAnsi="Times New Roman" w:cs="Times New Roman"/>
          <w:sz w:val="24"/>
          <w:szCs w:val="24"/>
        </w:rPr>
        <w:t>the history told at home</w:t>
      </w:r>
      <w:r w:rsidR="00184A2B" w:rsidRPr="00AE141E">
        <w:rPr>
          <w:rFonts w:ascii="Times New Roman" w:hAnsi="Times New Roman" w:cs="Times New Roman"/>
          <w:sz w:val="24"/>
          <w:szCs w:val="24"/>
        </w:rPr>
        <w:t>’</w:t>
      </w:r>
      <w:r w:rsidR="009626CF" w:rsidRPr="00AE141E">
        <w:rPr>
          <w:rFonts w:ascii="Times New Roman" w:hAnsi="Times New Roman" w:cs="Times New Roman"/>
          <w:sz w:val="24"/>
          <w:szCs w:val="24"/>
        </w:rPr>
        <w:t xml:space="preserve">. </w:t>
      </w:r>
      <w:r w:rsidR="006E77D0" w:rsidRPr="00AE141E">
        <w:rPr>
          <w:rFonts w:ascii="Times New Roman" w:hAnsi="Times New Roman" w:cs="Times New Roman"/>
          <w:sz w:val="24"/>
          <w:szCs w:val="24"/>
        </w:rPr>
        <w:t>Kitchen</w:t>
      </w:r>
      <w:r w:rsidR="00715AAB" w:rsidRPr="00AE141E">
        <w:rPr>
          <w:rFonts w:ascii="Times New Roman" w:hAnsi="Times New Roman" w:cs="Times New Roman"/>
          <w:sz w:val="24"/>
          <w:szCs w:val="24"/>
        </w:rPr>
        <w:t>-table histor</w:t>
      </w:r>
      <w:r w:rsidR="00A47172" w:rsidRPr="00AE141E">
        <w:rPr>
          <w:rFonts w:ascii="Times New Roman" w:hAnsi="Times New Roman" w:cs="Times New Roman"/>
          <w:sz w:val="24"/>
          <w:szCs w:val="24"/>
        </w:rPr>
        <w:t>ies</w:t>
      </w:r>
      <w:r w:rsidR="00685BED" w:rsidRPr="00AE141E">
        <w:rPr>
          <w:rFonts w:ascii="Times New Roman" w:hAnsi="Times New Roman" w:cs="Times New Roman"/>
          <w:sz w:val="24"/>
          <w:szCs w:val="24"/>
        </w:rPr>
        <w:t xml:space="preserve"> of the British empire, which stood in </w:t>
      </w:r>
      <w:r w:rsidR="004736B5" w:rsidRPr="00AE141E">
        <w:rPr>
          <w:rFonts w:ascii="Times New Roman" w:hAnsi="Times New Roman" w:cs="Times New Roman"/>
          <w:sz w:val="24"/>
          <w:szCs w:val="24"/>
        </w:rPr>
        <w:t>contrast</w:t>
      </w:r>
      <w:r w:rsidR="0026062D" w:rsidRPr="00AE141E">
        <w:rPr>
          <w:rFonts w:ascii="Times New Roman" w:hAnsi="Times New Roman" w:cs="Times New Roman"/>
          <w:sz w:val="24"/>
          <w:szCs w:val="24"/>
        </w:rPr>
        <w:t xml:space="preserve"> or</w:t>
      </w:r>
      <w:r w:rsidR="004736B5" w:rsidRPr="00AE141E">
        <w:rPr>
          <w:rFonts w:ascii="Times New Roman" w:hAnsi="Times New Roman" w:cs="Times New Roman"/>
          <w:sz w:val="24"/>
          <w:szCs w:val="24"/>
        </w:rPr>
        <w:t xml:space="preserve"> contradiction to </w:t>
      </w:r>
      <w:r w:rsidR="002F7F1B" w:rsidRPr="00AE141E">
        <w:rPr>
          <w:rFonts w:ascii="Times New Roman" w:hAnsi="Times New Roman" w:cs="Times New Roman"/>
          <w:sz w:val="24"/>
          <w:szCs w:val="24"/>
        </w:rPr>
        <w:t xml:space="preserve">the accounts presented at school, </w:t>
      </w:r>
      <w:r w:rsidR="00715AAB" w:rsidRPr="00AE141E">
        <w:rPr>
          <w:rFonts w:ascii="Times New Roman" w:hAnsi="Times New Roman" w:cs="Times New Roman"/>
          <w:sz w:val="24"/>
          <w:szCs w:val="24"/>
        </w:rPr>
        <w:t>inflect</w:t>
      </w:r>
      <w:r w:rsidR="00DC3C73" w:rsidRPr="00AE141E">
        <w:rPr>
          <w:rFonts w:ascii="Times New Roman" w:hAnsi="Times New Roman" w:cs="Times New Roman"/>
          <w:sz w:val="24"/>
          <w:szCs w:val="24"/>
        </w:rPr>
        <w:t>ed</w:t>
      </w:r>
      <w:r w:rsidR="002F7F1B" w:rsidRPr="00AE141E">
        <w:rPr>
          <w:rFonts w:ascii="Times New Roman" w:hAnsi="Times New Roman" w:cs="Times New Roman"/>
          <w:sz w:val="24"/>
          <w:szCs w:val="24"/>
        </w:rPr>
        <w:t xml:space="preserve"> students’ </w:t>
      </w:r>
      <w:r w:rsidR="00DC3C73" w:rsidRPr="00AE141E">
        <w:rPr>
          <w:rFonts w:ascii="Times New Roman" w:hAnsi="Times New Roman" w:cs="Times New Roman"/>
          <w:sz w:val="24"/>
          <w:szCs w:val="24"/>
        </w:rPr>
        <w:t xml:space="preserve">classroom </w:t>
      </w:r>
      <w:r w:rsidR="002F7F1B" w:rsidRPr="00AE141E">
        <w:rPr>
          <w:rFonts w:ascii="Times New Roman" w:hAnsi="Times New Roman" w:cs="Times New Roman"/>
          <w:sz w:val="24"/>
          <w:szCs w:val="24"/>
        </w:rPr>
        <w:t>experiences</w:t>
      </w:r>
      <w:r w:rsidR="00DC3C73" w:rsidRPr="00AE141E">
        <w:rPr>
          <w:rFonts w:ascii="Times New Roman" w:hAnsi="Times New Roman" w:cs="Times New Roman"/>
          <w:sz w:val="24"/>
          <w:szCs w:val="24"/>
        </w:rPr>
        <w:t>.</w:t>
      </w:r>
    </w:p>
    <w:p w14:paraId="11BBB088" w14:textId="77777777" w:rsidR="00E6677D" w:rsidRPr="00AE141E" w:rsidRDefault="00056C1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This process has been mapped out in autobiographical writing. </w:t>
      </w:r>
      <w:r w:rsidR="004718A7" w:rsidRPr="00AE141E">
        <w:rPr>
          <w:rFonts w:ascii="Times New Roman" w:hAnsi="Times New Roman" w:cs="Times New Roman"/>
          <w:sz w:val="24"/>
          <w:szCs w:val="24"/>
        </w:rPr>
        <w:t>Rabina Khan</w:t>
      </w:r>
      <w:r w:rsidR="002C1A3C" w:rsidRPr="00AE141E">
        <w:rPr>
          <w:rFonts w:ascii="Times New Roman" w:hAnsi="Times New Roman" w:cs="Times New Roman"/>
          <w:sz w:val="24"/>
          <w:szCs w:val="24"/>
        </w:rPr>
        <w:t xml:space="preserve">, educated in Kent in the 1970s, </w:t>
      </w:r>
      <w:r w:rsidR="005518EA" w:rsidRPr="00AE141E">
        <w:rPr>
          <w:rFonts w:ascii="Times New Roman" w:hAnsi="Times New Roman" w:cs="Times New Roman"/>
          <w:sz w:val="24"/>
          <w:szCs w:val="24"/>
        </w:rPr>
        <w:t xml:space="preserve">has </w:t>
      </w:r>
      <w:r w:rsidRPr="00AE141E">
        <w:rPr>
          <w:rFonts w:ascii="Times New Roman" w:hAnsi="Times New Roman" w:cs="Times New Roman"/>
          <w:sz w:val="24"/>
          <w:szCs w:val="24"/>
        </w:rPr>
        <w:t>describe</w:t>
      </w:r>
      <w:r w:rsidR="0022600E" w:rsidRPr="00AE141E">
        <w:rPr>
          <w:rFonts w:ascii="Times New Roman" w:hAnsi="Times New Roman" w:cs="Times New Roman"/>
          <w:sz w:val="24"/>
          <w:szCs w:val="24"/>
        </w:rPr>
        <w:t>d</w:t>
      </w:r>
      <w:r w:rsidRPr="00AE141E">
        <w:rPr>
          <w:rFonts w:ascii="Times New Roman" w:hAnsi="Times New Roman" w:cs="Times New Roman"/>
          <w:sz w:val="24"/>
          <w:szCs w:val="24"/>
        </w:rPr>
        <w:t xml:space="preserve"> the </w:t>
      </w:r>
      <w:r w:rsidR="00F13D5C" w:rsidRPr="00AE141E">
        <w:rPr>
          <w:rFonts w:ascii="Times New Roman" w:hAnsi="Times New Roman" w:cs="Times New Roman"/>
          <w:sz w:val="24"/>
          <w:szCs w:val="24"/>
        </w:rPr>
        <w:t>educational role of her paternal grandfather</w:t>
      </w:r>
      <w:r w:rsidR="00176D74" w:rsidRPr="00AE141E">
        <w:rPr>
          <w:rFonts w:ascii="Times New Roman" w:hAnsi="Times New Roman" w:cs="Times New Roman"/>
          <w:sz w:val="24"/>
          <w:szCs w:val="24"/>
        </w:rPr>
        <w:t xml:space="preserve">, </w:t>
      </w:r>
      <w:r w:rsidR="00360265" w:rsidRPr="00AE141E">
        <w:rPr>
          <w:rFonts w:ascii="Times New Roman" w:hAnsi="Times New Roman" w:cs="Times New Roman"/>
          <w:sz w:val="24"/>
          <w:szCs w:val="24"/>
        </w:rPr>
        <w:t>who had experienced life under the British Raj</w:t>
      </w:r>
      <w:r w:rsidR="009C042D" w:rsidRPr="00AE141E">
        <w:rPr>
          <w:rFonts w:ascii="Times New Roman" w:hAnsi="Times New Roman" w:cs="Times New Roman"/>
          <w:sz w:val="24"/>
          <w:szCs w:val="24"/>
        </w:rPr>
        <w:t xml:space="preserve">. </w:t>
      </w:r>
      <w:r w:rsidR="00851F30" w:rsidRPr="00AE141E">
        <w:rPr>
          <w:rFonts w:ascii="Times New Roman" w:hAnsi="Times New Roman" w:cs="Times New Roman"/>
          <w:sz w:val="24"/>
          <w:szCs w:val="24"/>
        </w:rPr>
        <w:t>Khan credit</w:t>
      </w:r>
      <w:r w:rsidR="0022600E" w:rsidRPr="00AE141E">
        <w:rPr>
          <w:rFonts w:ascii="Times New Roman" w:hAnsi="Times New Roman" w:cs="Times New Roman"/>
          <w:sz w:val="24"/>
          <w:szCs w:val="24"/>
        </w:rPr>
        <w:t>ed</w:t>
      </w:r>
      <w:r w:rsidR="00851F30" w:rsidRPr="00AE141E">
        <w:rPr>
          <w:rFonts w:ascii="Times New Roman" w:hAnsi="Times New Roman" w:cs="Times New Roman"/>
          <w:sz w:val="24"/>
          <w:szCs w:val="24"/>
        </w:rPr>
        <w:t xml:space="preserve"> her grandfather with teaching her </w:t>
      </w:r>
      <w:r w:rsidR="00CE2B60" w:rsidRPr="00AE141E">
        <w:rPr>
          <w:rFonts w:ascii="Times New Roman" w:hAnsi="Times New Roman" w:cs="Times New Roman"/>
          <w:sz w:val="24"/>
          <w:szCs w:val="24"/>
        </w:rPr>
        <w:t xml:space="preserve">about Britain’s </w:t>
      </w:r>
      <w:r w:rsidR="00341C00" w:rsidRPr="00AE141E">
        <w:rPr>
          <w:rFonts w:ascii="Times New Roman" w:hAnsi="Times New Roman" w:cs="Times New Roman"/>
          <w:sz w:val="24"/>
          <w:szCs w:val="24"/>
        </w:rPr>
        <w:t xml:space="preserve">extraction of wealth from the Indian subcontinent and </w:t>
      </w:r>
      <w:r w:rsidR="009C25FC" w:rsidRPr="00AE141E">
        <w:rPr>
          <w:rFonts w:ascii="Times New Roman" w:hAnsi="Times New Roman" w:cs="Times New Roman"/>
          <w:sz w:val="24"/>
          <w:szCs w:val="24"/>
        </w:rPr>
        <w:t>its culpability in the hasty, violent bordering of Partition.</w:t>
      </w:r>
      <w:r w:rsidR="00845ACB" w:rsidRPr="00AE141E">
        <w:rPr>
          <w:rStyle w:val="FootnoteReference"/>
          <w:rFonts w:ascii="Times New Roman" w:hAnsi="Times New Roman" w:cs="Times New Roman"/>
          <w:sz w:val="24"/>
          <w:szCs w:val="24"/>
        </w:rPr>
        <w:footnoteReference w:id="476"/>
      </w:r>
      <w:r w:rsidR="009C25FC" w:rsidRPr="00AE141E">
        <w:rPr>
          <w:rFonts w:ascii="Times New Roman" w:hAnsi="Times New Roman" w:cs="Times New Roman"/>
          <w:sz w:val="24"/>
          <w:szCs w:val="24"/>
        </w:rPr>
        <w:t xml:space="preserve"> </w:t>
      </w:r>
      <w:r w:rsidR="006A19FB" w:rsidRPr="00AE141E">
        <w:rPr>
          <w:rFonts w:ascii="Times New Roman" w:hAnsi="Times New Roman" w:cs="Times New Roman"/>
          <w:sz w:val="24"/>
          <w:szCs w:val="24"/>
        </w:rPr>
        <w:t xml:space="preserve">Khan, who is of Bangladeshi heritage, </w:t>
      </w:r>
      <w:r w:rsidR="00CB6A83" w:rsidRPr="00AE141E">
        <w:rPr>
          <w:rFonts w:ascii="Times New Roman" w:hAnsi="Times New Roman" w:cs="Times New Roman"/>
          <w:sz w:val="24"/>
          <w:szCs w:val="24"/>
        </w:rPr>
        <w:t xml:space="preserve">was </w:t>
      </w:r>
      <w:r w:rsidR="009A722E" w:rsidRPr="00AE141E">
        <w:rPr>
          <w:rFonts w:ascii="Times New Roman" w:hAnsi="Times New Roman" w:cs="Times New Roman"/>
          <w:sz w:val="24"/>
          <w:szCs w:val="24"/>
        </w:rPr>
        <w:t xml:space="preserve">once asked to </w:t>
      </w:r>
      <w:r w:rsidR="00E71AE5" w:rsidRPr="00AE141E">
        <w:rPr>
          <w:rFonts w:ascii="Times New Roman" w:hAnsi="Times New Roman" w:cs="Times New Roman"/>
          <w:sz w:val="24"/>
          <w:szCs w:val="24"/>
        </w:rPr>
        <w:t>give a presentation to her class on</w:t>
      </w:r>
      <w:r w:rsidR="00433B79" w:rsidRPr="00AE141E">
        <w:rPr>
          <w:rFonts w:ascii="Times New Roman" w:hAnsi="Times New Roman" w:cs="Times New Roman"/>
          <w:sz w:val="24"/>
          <w:szCs w:val="24"/>
        </w:rPr>
        <w:t xml:space="preserve"> </w:t>
      </w:r>
      <w:r w:rsidR="001A09E9" w:rsidRPr="00AE141E">
        <w:rPr>
          <w:rFonts w:ascii="Times New Roman" w:hAnsi="Times New Roman" w:cs="Times New Roman"/>
          <w:sz w:val="24"/>
          <w:szCs w:val="24"/>
        </w:rPr>
        <w:t>Gandhi</w:t>
      </w:r>
      <w:r w:rsidR="005518EA" w:rsidRPr="00AE141E">
        <w:rPr>
          <w:rFonts w:ascii="Times New Roman" w:hAnsi="Times New Roman" w:cs="Times New Roman"/>
          <w:sz w:val="24"/>
          <w:szCs w:val="24"/>
        </w:rPr>
        <w:t xml:space="preserve"> –</w:t>
      </w:r>
      <w:r w:rsidR="001A09E9" w:rsidRPr="00AE141E">
        <w:rPr>
          <w:rFonts w:ascii="Times New Roman" w:hAnsi="Times New Roman" w:cs="Times New Roman"/>
          <w:sz w:val="24"/>
          <w:szCs w:val="24"/>
        </w:rPr>
        <w:t xml:space="preserve"> </w:t>
      </w:r>
      <w:r w:rsidR="00ED111D" w:rsidRPr="00AE141E">
        <w:rPr>
          <w:rFonts w:ascii="Times New Roman" w:hAnsi="Times New Roman" w:cs="Times New Roman"/>
          <w:sz w:val="24"/>
          <w:szCs w:val="24"/>
        </w:rPr>
        <w:t xml:space="preserve">usually considered </w:t>
      </w:r>
      <w:r w:rsidR="001A09E9" w:rsidRPr="00AE141E">
        <w:rPr>
          <w:rFonts w:ascii="Times New Roman" w:hAnsi="Times New Roman" w:cs="Times New Roman"/>
          <w:sz w:val="24"/>
          <w:szCs w:val="24"/>
        </w:rPr>
        <w:t>an</w:t>
      </w:r>
      <w:r w:rsidR="005518EA" w:rsidRPr="00AE141E">
        <w:rPr>
          <w:rFonts w:ascii="Times New Roman" w:hAnsi="Times New Roman" w:cs="Times New Roman"/>
          <w:sz w:val="24"/>
          <w:szCs w:val="24"/>
        </w:rPr>
        <w:t xml:space="preserve"> </w:t>
      </w:r>
      <w:r w:rsidR="001A09E9" w:rsidRPr="00AE141E">
        <w:rPr>
          <w:rFonts w:ascii="Times New Roman" w:hAnsi="Times New Roman" w:cs="Times New Roman"/>
          <w:sz w:val="24"/>
          <w:szCs w:val="24"/>
        </w:rPr>
        <w:t xml:space="preserve">Indian </w:t>
      </w:r>
      <w:r w:rsidR="008453E6" w:rsidRPr="00AE141E">
        <w:rPr>
          <w:rFonts w:ascii="Times New Roman" w:hAnsi="Times New Roman" w:cs="Times New Roman"/>
          <w:sz w:val="24"/>
          <w:szCs w:val="24"/>
        </w:rPr>
        <w:t>political leader.</w:t>
      </w:r>
      <w:r w:rsidR="008F7EC0" w:rsidRPr="00AE141E">
        <w:rPr>
          <w:rFonts w:ascii="Times New Roman" w:hAnsi="Times New Roman" w:cs="Times New Roman"/>
          <w:sz w:val="24"/>
          <w:szCs w:val="24"/>
        </w:rPr>
        <w:t xml:space="preserve"> As Khan herself </w:t>
      </w:r>
      <w:r w:rsidR="00724BA3" w:rsidRPr="00AE141E">
        <w:rPr>
          <w:rFonts w:ascii="Times New Roman" w:hAnsi="Times New Roman" w:cs="Times New Roman"/>
          <w:sz w:val="24"/>
          <w:szCs w:val="24"/>
        </w:rPr>
        <w:t>emphasised</w:t>
      </w:r>
      <w:r w:rsidR="008F7EC0" w:rsidRPr="00AE141E">
        <w:rPr>
          <w:rFonts w:ascii="Times New Roman" w:hAnsi="Times New Roman" w:cs="Times New Roman"/>
          <w:sz w:val="24"/>
          <w:szCs w:val="24"/>
        </w:rPr>
        <w:t xml:space="preserve">, this had the dual effect of </w:t>
      </w:r>
      <w:r w:rsidR="00D563D5" w:rsidRPr="00AE141E">
        <w:rPr>
          <w:rFonts w:ascii="Times New Roman" w:hAnsi="Times New Roman" w:cs="Times New Roman"/>
          <w:sz w:val="24"/>
          <w:szCs w:val="24"/>
        </w:rPr>
        <w:t xml:space="preserve">eliding and flattening the complex web of South Asian national </w:t>
      </w:r>
      <w:r w:rsidR="00BD0448" w:rsidRPr="00AE141E">
        <w:rPr>
          <w:rFonts w:ascii="Times New Roman" w:hAnsi="Times New Roman" w:cs="Times New Roman"/>
          <w:sz w:val="24"/>
          <w:szCs w:val="24"/>
        </w:rPr>
        <w:t>identities and cultures, and of placing the burden of representation exclusively on her shoulders.</w:t>
      </w:r>
      <w:r w:rsidR="005A7154" w:rsidRPr="00AE141E">
        <w:rPr>
          <w:rFonts w:ascii="Times New Roman" w:hAnsi="Times New Roman" w:cs="Times New Roman"/>
          <w:sz w:val="24"/>
          <w:szCs w:val="24"/>
        </w:rPr>
        <w:t xml:space="preserve"> </w:t>
      </w:r>
      <w:r w:rsidR="009B6973" w:rsidRPr="00AE141E">
        <w:rPr>
          <w:rFonts w:ascii="Times New Roman" w:hAnsi="Times New Roman" w:cs="Times New Roman"/>
          <w:sz w:val="24"/>
          <w:szCs w:val="24"/>
        </w:rPr>
        <w:t>When the time came to deliver the presentation, Khan ‘</w:t>
      </w:r>
      <w:r w:rsidR="00407C45" w:rsidRPr="00AE141E">
        <w:rPr>
          <w:rFonts w:ascii="Times New Roman" w:hAnsi="Times New Roman" w:cs="Times New Roman"/>
          <w:sz w:val="24"/>
          <w:szCs w:val="24"/>
        </w:rPr>
        <w:t>added a personal note</w:t>
      </w:r>
      <w:r w:rsidR="009B6973" w:rsidRPr="00AE141E">
        <w:rPr>
          <w:rFonts w:ascii="Times New Roman" w:hAnsi="Times New Roman" w:cs="Times New Roman"/>
          <w:sz w:val="24"/>
          <w:szCs w:val="24"/>
        </w:rPr>
        <w:t>’</w:t>
      </w:r>
      <w:r w:rsidR="00407C45" w:rsidRPr="00AE141E">
        <w:rPr>
          <w:rFonts w:ascii="Times New Roman" w:hAnsi="Times New Roman" w:cs="Times New Roman"/>
          <w:sz w:val="24"/>
          <w:szCs w:val="24"/>
        </w:rPr>
        <w:t xml:space="preserve">, </w:t>
      </w:r>
      <w:r w:rsidR="009B6973" w:rsidRPr="00AE141E">
        <w:rPr>
          <w:rFonts w:ascii="Times New Roman" w:hAnsi="Times New Roman" w:cs="Times New Roman"/>
          <w:sz w:val="24"/>
          <w:szCs w:val="24"/>
        </w:rPr>
        <w:t xml:space="preserve">describing her grandfather’s experiences and tracing the impact of British rule </w:t>
      </w:r>
      <w:r w:rsidR="00D41FE0" w:rsidRPr="00AE141E">
        <w:rPr>
          <w:rFonts w:ascii="Times New Roman" w:hAnsi="Times New Roman" w:cs="Times New Roman"/>
          <w:sz w:val="24"/>
          <w:szCs w:val="24"/>
        </w:rPr>
        <w:t xml:space="preserve">upon the </w:t>
      </w:r>
      <w:r w:rsidR="00206CFD" w:rsidRPr="00AE141E">
        <w:rPr>
          <w:rFonts w:ascii="Times New Roman" w:hAnsi="Times New Roman" w:cs="Times New Roman"/>
          <w:sz w:val="24"/>
          <w:szCs w:val="24"/>
        </w:rPr>
        <w:t>1971</w:t>
      </w:r>
      <w:r w:rsidR="00C441C3" w:rsidRPr="00AE141E">
        <w:rPr>
          <w:rFonts w:ascii="Times New Roman" w:hAnsi="Times New Roman" w:cs="Times New Roman"/>
          <w:sz w:val="24"/>
          <w:szCs w:val="24"/>
        </w:rPr>
        <w:t xml:space="preserve"> Bangladesh</w:t>
      </w:r>
      <w:r w:rsidR="00921B8B" w:rsidRPr="00AE141E">
        <w:rPr>
          <w:rFonts w:ascii="Times New Roman" w:hAnsi="Times New Roman" w:cs="Times New Roman"/>
          <w:sz w:val="24"/>
          <w:szCs w:val="24"/>
        </w:rPr>
        <w:t xml:space="preserve"> Liberation War</w:t>
      </w:r>
      <w:r w:rsidR="007D58A2" w:rsidRPr="00AE141E">
        <w:rPr>
          <w:rFonts w:ascii="Times New Roman" w:hAnsi="Times New Roman" w:cs="Times New Roman"/>
          <w:sz w:val="24"/>
          <w:szCs w:val="24"/>
        </w:rPr>
        <w:t>.</w:t>
      </w:r>
      <w:r w:rsidR="005A7154" w:rsidRPr="00AE141E">
        <w:rPr>
          <w:rFonts w:ascii="Times New Roman" w:hAnsi="Times New Roman" w:cs="Times New Roman"/>
          <w:sz w:val="24"/>
          <w:szCs w:val="24"/>
        </w:rPr>
        <w:t xml:space="preserve"> </w:t>
      </w:r>
      <w:r w:rsidR="00792A3A" w:rsidRPr="00AE141E">
        <w:rPr>
          <w:rFonts w:ascii="Times New Roman" w:hAnsi="Times New Roman" w:cs="Times New Roman"/>
          <w:sz w:val="24"/>
          <w:szCs w:val="24"/>
        </w:rPr>
        <w:t>For</w:t>
      </w:r>
      <w:r w:rsidR="00A745A1" w:rsidRPr="00AE141E">
        <w:rPr>
          <w:rFonts w:ascii="Times New Roman" w:hAnsi="Times New Roman" w:cs="Times New Roman"/>
          <w:sz w:val="24"/>
          <w:szCs w:val="24"/>
        </w:rPr>
        <w:t xml:space="preserve"> Khan, as for some within the BEM, history </w:t>
      </w:r>
      <w:r w:rsidR="00C47CB4" w:rsidRPr="00AE141E">
        <w:rPr>
          <w:rFonts w:ascii="Times New Roman" w:hAnsi="Times New Roman" w:cs="Times New Roman"/>
          <w:sz w:val="24"/>
          <w:szCs w:val="24"/>
        </w:rPr>
        <w:t>was</w:t>
      </w:r>
      <w:r w:rsidR="00AC0C2F" w:rsidRPr="00AE141E">
        <w:rPr>
          <w:rFonts w:ascii="Times New Roman" w:hAnsi="Times New Roman" w:cs="Times New Roman"/>
          <w:sz w:val="24"/>
          <w:szCs w:val="24"/>
        </w:rPr>
        <w:t xml:space="preserve"> a living process rather than a</w:t>
      </w:r>
      <w:r w:rsidR="00703C93" w:rsidRPr="00AE141E">
        <w:rPr>
          <w:rFonts w:ascii="Times New Roman" w:hAnsi="Times New Roman" w:cs="Times New Roman"/>
          <w:sz w:val="24"/>
          <w:szCs w:val="24"/>
        </w:rPr>
        <w:t xml:space="preserve">n abstract subject of study, siloed within </w:t>
      </w:r>
      <w:r w:rsidR="005A7608" w:rsidRPr="00AE141E">
        <w:rPr>
          <w:rFonts w:ascii="Times New Roman" w:hAnsi="Times New Roman" w:cs="Times New Roman"/>
          <w:sz w:val="24"/>
          <w:szCs w:val="24"/>
        </w:rPr>
        <w:t xml:space="preserve">and irretrievable from a distant past. </w:t>
      </w:r>
      <w:r w:rsidR="00E760DC" w:rsidRPr="00AE141E">
        <w:rPr>
          <w:rFonts w:ascii="Times New Roman" w:hAnsi="Times New Roman" w:cs="Times New Roman"/>
          <w:sz w:val="24"/>
          <w:szCs w:val="24"/>
        </w:rPr>
        <w:t>Empire</w:t>
      </w:r>
      <w:r w:rsidR="008A7024" w:rsidRPr="00AE141E">
        <w:rPr>
          <w:rFonts w:ascii="Times New Roman" w:hAnsi="Times New Roman" w:cs="Times New Roman"/>
          <w:sz w:val="24"/>
          <w:szCs w:val="24"/>
        </w:rPr>
        <w:t xml:space="preserve"> maintained a recognisable grip on her world. Crucially, </w:t>
      </w:r>
      <w:r w:rsidR="00953895" w:rsidRPr="00AE141E">
        <w:rPr>
          <w:rFonts w:ascii="Times New Roman" w:hAnsi="Times New Roman" w:cs="Times New Roman"/>
          <w:sz w:val="24"/>
          <w:szCs w:val="24"/>
        </w:rPr>
        <w:t>her</w:t>
      </w:r>
      <w:r w:rsidR="00B51823" w:rsidRPr="00AE141E">
        <w:rPr>
          <w:rFonts w:ascii="Times New Roman" w:hAnsi="Times New Roman" w:cs="Times New Roman"/>
          <w:sz w:val="24"/>
          <w:szCs w:val="24"/>
        </w:rPr>
        <w:t xml:space="preserve"> (otherwise entirely White) class was introduced to this perspective via Khan’s intervention</w:t>
      </w:r>
      <w:r w:rsidR="001B31ED" w:rsidRPr="00AE141E">
        <w:rPr>
          <w:rFonts w:ascii="Times New Roman" w:hAnsi="Times New Roman" w:cs="Times New Roman"/>
          <w:sz w:val="24"/>
          <w:szCs w:val="24"/>
        </w:rPr>
        <w:t>.</w:t>
      </w:r>
      <w:r w:rsidR="002679BD" w:rsidRPr="00AE141E">
        <w:rPr>
          <w:rFonts w:ascii="Times New Roman" w:hAnsi="Times New Roman" w:cs="Times New Roman"/>
          <w:sz w:val="24"/>
          <w:szCs w:val="24"/>
        </w:rPr>
        <w:t xml:space="preserve"> Whether they took her words </w:t>
      </w:r>
      <w:r w:rsidR="00031DC6" w:rsidRPr="00AE141E">
        <w:rPr>
          <w:rFonts w:ascii="Times New Roman" w:hAnsi="Times New Roman" w:cs="Times New Roman"/>
          <w:sz w:val="24"/>
          <w:szCs w:val="24"/>
        </w:rPr>
        <w:t>onboard</w:t>
      </w:r>
      <w:r w:rsidR="0018382A" w:rsidRPr="00AE141E">
        <w:rPr>
          <w:rFonts w:ascii="Times New Roman" w:hAnsi="Times New Roman" w:cs="Times New Roman"/>
          <w:sz w:val="24"/>
          <w:szCs w:val="24"/>
        </w:rPr>
        <w:t xml:space="preserve"> is, of course, </w:t>
      </w:r>
      <w:r w:rsidR="001864E1" w:rsidRPr="00AE141E">
        <w:rPr>
          <w:rFonts w:ascii="Times New Roman" w:hAnsi="Times New Roman" w:cs="Times New Roman"/>
          <w:sz w:val="24"/>
          <w:szCs w:val="24"/>
        </w:rPr>
        <w:t xml:space="preserve">another matter (Khan’s own account </w:t>
      </w:r>
      <w:r w:rsidR="00F718B4" w:rsidRPr="00AE141E">
        <w:rPr>
          <w:rFonts w:ascii="Times New Roman" w:hAnsi="Times New Roman" w:cs="Times New Roman"/>
          <w:sz w:val="24"/>
          <w:szCs w:val="24"/>
        </w:rPr>
        <w:t>suggests a mixed response).</w:t>
      </w:r>
      <w:r w:rsidR="00E6677D" w:rsidRPr="00AE141E">
        <w:rPr>
          <w:rFonts w:ascii="Times New Roman" w:hAnsi="Times New Roman" w:cs="Times New Roman"/>
          <w:sz w:val="24"/>
          <w:szCs w:val="24"/>
        </w:rPr>
        <w:t xml:space="preserve"> </w:t>
      </w:r>
    </w:p>
    <w:p w14:paraId="71E53CB3" w14:textId="77777777" w:rsidR="00E6677D" w:rsidRPr="00AE141E" w:rsidRDefault="00106B2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Khan present</w:t>
      </w:r>
      <w:r w:rsidR="00724BA3" w:rsidRPr="00AE141E">
        <w:rPr>
          <w:rFonts w:ascii="Times New Roman" w:hAnsi="Times New Roman" w:cs="Times New Roman"/>
          <w:sz w:val="24"/>
          <w:szCs w:val="24"/>
        </w:rPr>
        <w:t>ed</w:t>
      </w:r>
      <w:r w:rsidRPr="00AE141E">
        <w:rPr>
          <w:rFonts w:ascii="Times New Roman" w:hAnsi="Times New Roman" w:cs="Times New Roman"/>
          <w:sz w:val="24"/>
          <w:szCs w:val="24"/>
        </w:rPr>
        <w:t xml:space="preserve"> her school</w:t>
      </w:r>
      <w:r w:rsidR="00800B7C" w:rsidRPr="00AE141E">
        <w:rPr>
          <w:rFonts w:ascii="Times New Roman" w:hAnsi="Times New Roman" w:cs="Times New Roman"/>
          <w:sz w:val="24"/>
          <w:szCs w:val="24"/>
        </w:rPr>
        <w:t xml:space="preserve"> as an institution in which old maps showing the British empire at its zenith co-existed with well-intentioned but misguided attempts to </w:t>
      </w:r>
      <w:r w:rsidR="0083406D" w:rsidRPr="00AE141E">
        <w:rPr>
          <w:rFonts w:ascii="Times New Roman" w:hAnsi="Times New Roman" w:cs="Times New Roman"/>
          <w:sz w:val="24"/>
          <w:szCs w:val="24"/>
        </w:rPr>
        <w:t>draw on the essential</w:t>
      </w:r>
      <w:r w:rsidR="000B1B96" w:rsidRPr="00AE141E">
        <w:rPr>
          <w:rFonts w:ascii="Times New Roman" w:hAnsi="Times New Roman" w:cs="Times New Roman"/>
          <w:sz w:val="24"/>
          <w:szCs w:val="24"/>
        </w:rPr>
        <w:t>ised cultural knowledge of a small minority of non-White students.</w:t>
      </w:r>
      <w:r w:rsidR="005B4CC3" w:rsidRPr="00AE141E">
        <w:rPr>
          <w:rStyle w:val="FootnoteReference"/>
          <w:rFonts w:ascii="Times New Roman" w:hAnsi="Times New Roman" w:cs="Times New Roman"/>
          <w:sz w:val="24"/>
          <w:szCs w:val="24"/>
        </w:rPr>
        <w:footnoteReference w:id="477"/>
      </w:r>
      <w:r w:rsidR="000B1B96" w:rsidRPr="00AE141E">
        <w:rPr>
          <w:rFonts w:ascii="Times New Roman" w:hAnsi="Times New Roman" w:cs="Times New Roman"/>
          <w:sz w:val="24"/>
          <w:szCs w:val="24"/>
        </w:rPr>
        <w:t xml:space="preserve"> </w:t>
      </w:r>
      <w:r w:rsidR="00C4229D" w:rsidRPr="00AE141E">
        <w:rPr>
          <w:rFonts w:ascii="Times New Roman" w:hAnsi="Times New Roman" w:cs="Times New Roman"/>
          <w:sz w:val="24"/>
          <w:szCs w:val="24"/>
        </w:rPr>
        <w:t>By</w:t>
      </w:r>
      <w:r w:rsidR="00214D3A" w:rsidRPr="00AE141E">
        <w:rPr>
          <w:rFonts w:ascii="Times New Roman" w:hAnsi="Times New Roman" w:cs="Times New Roman"/>
          <w:sz w:val="24"/>
          <w:szCs w:val="24"/>
        </w:rPr>
        <w:t xml:space="preserve"> </w:t>
      </w:r>
      <w:r w:rsidR="007D267E" w:rsidRPr="00AE141E">
        <w:rPr>
          <w:rFonts w:ascii="Times New Roman" w:hAnsi="Times New Roman" w:cs="Times New Roman"/>
          <w:sz w:val="24"/>
          <w:szCs w:val="24"/>
        </w:rPr>
        <w:t xml:space="preserve">temporarily </w:t>
      </w:r>
      <w:r w:rsidR="00214D3A" w:rsidRPr="00AE141E">
        <w:rPr>
          <w:rFonts w:ascii="Times New Roman" w:hAnsi="Times New Roman" w:cs="Times New Roman"/>
          <w:sz w:val="24"/>
          <w:szCs w:val="24"/>
        </w:rPr>
        <w:t xml:space="preserve">positioning Khan as </w:t>
      </w:r>
      <w:r w:rsidR="007D267E" w:rsidRPr="00AE141E">
        <w:rPr>
          <w:rFonts w:ascii="Times New Roman" w:hAnsi="Times New Roman" w:cs="Times New Roman"/>
          <w:sz w:val="24"/>
          <w:szCs w:val="24"/>
        </w:rPr>
        <w:t>teacher,</w:t>
      </w:r>
      <w:r w:rsidR="000B1B96" w:rsidRPr="00AE141E">
        <w:rPr>
          <w:rFonts w:ascii="Times New Roman" w:hAnsi="Times New Roman" w:cs="Times New Roman"/>
          <w:sz w:val="24"/>
          <w:szCs w:val="24"/>
        </w:rPr>
        <w:t xml:space="preserve"> </w:t>
      </w:r>
      <w:r w:rsidR="00450A47" w:rsidRPr="00AE141E">
        <w:rPr>
          <w:rFonts w:ascii="Times New Roman" w:hAnsi="Times New Roman" w:cs="Times New Roman"/>
          <w:sz w:val="24"/>
          <w:szCs w:val="24"/>
        </w:rPr>
        <w:t xml:space="preserve">her teachers opened </w:t>
      </w:r>
      <w:r w:rsidR="000B1B96" w:rsidRPr="00AE141E">
        <w:rPr>
          <w:rFonts w:ascii="Times New Roman" w:hAnsi="Times New Roman" w:cs="Times New Roman"/>
          <w:sz w:val="24"/>
          <w:szCs w:val="24"/>
        </w:rPr>
        <w:t xml:space="preserve">a space in which </w:t>
      </w:r>
      <w:r w:rsidR="00060B2E" w:rsidRPr="00AE141E">
        <w:rPr>
          <w:rFonts w:ascii="Times New Roman" w:hAnsi="Times New Roman" w:cs="Times New Roman"/>
          <w:sz w:val="24"/>
          <w:szCs w:val="24"/>
        </w:rPr>
        <w:t xml:space="preserve">both </w:t>
      </w:r>
      <w:r w:rsidR="00214D3A" w:rsidRPr="00AE141E">
        <w:rPr>
          <w:rFonts w:ascii="Times New Roman" w:hAnsi="Times New Roman" w:cs="Times New Roman"/>
          <w:sz w:val="24"/>
          <w:szCs w:val="24"/>
        </w:rPr>
        <w:t>narratives could be contested</w:t>
      </w:r>
      <w:r w:rsidR="00BA013A" w:rsidRPr="00AE141E">
        <w:rPr>
          <w:rFonts w:ascii="Times New Roman" w:hAnsi="Times New Roman" w:cs="Times New Roman"/>
          <w:sz w:val="24"/>
          <w:szCs w:val="24"/>
        </w:rPr>
        <w:t xml:space="preserve"> – with a</w:t>
      </w:r>
      <w:r w:rsidR="004B3745" w:rsidRPr="00AE141E">
        <w:rPr>
          <w:rFonts w:ascii="Times New Roman" w:hAnsi="Times New Roman" w:cs="Times New Roman"/>
          <w:sz w:val="24"/>
          <w:szCs w:val="24"/>
        </w:rPr>
        <w:t>n ironic</w:t>
      </w:r>
      <w:r w:rsidR="00BA013A" w:rsidRPr="00AE141E">
        <w:rPr>
          <w:rFonts w:ascii="Times New Roman" w:hAnsi="Times New Roman" w:cs="Times New Roman"/>
          <w:sz w:val="24"/>
          <w:szCs w:val="24"/>
        </w:rPr>
        <w:t xml:space="preserve"> stamp of legitimacy</w:t>
      </w:r>
      <w:r w:rsidR="007D267E" w:rsidRPr="00AE141E">
        <w:rPr>
          <w:rFonts w:ascii="Times New Roman" w:hAnsi="Times New Roman" w:cs="Times New Roman"/>
          <w:sz w:val="24"/>
          <w:szCs w:val="24"/>
        </w:rPr>
        <w:t xml:space="preserve">. In </w:t>
      </w:r>
      <w:r w:rsidR="004B3745" w:rsidRPr="00AE141E">
        <w:rPr>
          <w:rFonts w:ascii="Times New Roman" w:hAnsi="Times New Roman" w:cs="Times New Roman"/>
          <w:sz w:val="24"/>
          <w:szCs w:val="24"/>
        </w:rPr>
        <w:t>other</w:t>
      </w:r>
      <w:r w:rsidR="007D267E" w:rsidRPr="00AE141E">
        <w:rPr>
          <w:rFonts w:ascii="Times New Roman" w:hAnsi="Times New Roman" w:cs="Times New Roman"/>
          <w:sz w:val="24"/>
          <w:szCs w:val="24"/>
        </w:rPr>
        <w:t xml:space="preserve"> schools, such contributions were less welcome</w:t>
      </w:r>
      <w:r w:rsidR="004B3745" w:rsidRPr="00AE141E">
        <w:rPr>
          <w:rFonts w:ascii="Times New Roman" w:hAnsi="Times New Roman" w:cs="Times New Roman"/>
          <w:sz w:val="24"/>
          <w:szCs w:val="24"/>
        </w:rPr>
        <w:t>, but</w:t>
      </w:r>
      <w:r w:rsidR="002E123D" w:rsidRPr="00AE141E">
        <w:rPr>
          <w:rFonts w:ascii="Times New Roman" w:hAnsi="Times New Roman" w:cs="Times New Roman"/>
          <w:sz w:val="24"/>
          <w:szCs w:val="24"/>
        </w:rPr>
        <w:t xml:space="preserve"> perhaps</w:t>
      </w:r>
      <w:r w:rsidR="004B3745" w:rsidRPr="00AE141E">
        <w:rPr>
          <w:rFonts w:ascii="Times New Roman" w:hAnsi="Times New Roman" w:cs="Times New Roman"/>
          <w:sz w:val="24"/>
          <w:szCs w:val="24"/>
        </w:rPr>
        <w:t xml:space="preserve"> no less present</w:t>
      </w:r>
      <w:r w:rsidR="007D267E" w:rsidRPr="00AE141E">
        <w:rPr>
          <w:rFonts w:ascii="Times New Roman" w:hAnsi="Times New Roman" w:cs="Times New Roman"/>
          <w:sz w:val="24"/>
          <w:szCs w:val="24"/>
        </w:rPr>
        <w:t xml:space="preserve">. Derek Jones, quoted above, </w:t>
      </w:r>
      <w:r w:rsidR="00906AF4" w:rsidRPr="00AE141E">
        <w:rPr>
          <w:rFonts w:ascii="Times New Roman" w:hAnsi="Times New Roman" w:cs="Times New Roman"/>
          <w:sz w:val="24"/>
          <w:szCs w:val="24"/>
        </w:rPr>
        <w:t xml:space="preserve">described </w:t>
      </w:r>
      <w:r w:rsidR="001C617B" w:rsidRPr="00AE141E">
        <w:rPr>
          <w:rFonts w:ascii="Times New Roman" w:hAnsi="Times New Roman" w:cs="Times New Roman"/>
          <w:sz w:val="24"/>
          <w:szCs w:val="24"/>
        </w:rPr>
        <w:t xml:space="preserve">the fury </w:t>
      </w:r>
      <w:r w:rsidR="001C617B" w:rsidRPr="00AE141E">
        <w:rPr>
          <w:rFonts w:ascii="Times New Roman" w:hAnsi="Times New Roman" w:cs="Times New Roman"/>
          <w:sz w:val="24"/>
          <w:szCs w:val="24"/>
        </w:rPr>
        <w:lastRenderedPageBreak/>
        <w:t>provoked by his first experience ‘[questioning] the text w</w:t>
      </w:r>
      <w:r w:rsidR="00CB45BF" w:rsidRPr="00AE141E">
        <w:rPr>
          <w:rFonts w:ascii="Times New Roman" w:hAnsi="Times New Roman" w:cs="Times New Roman"/>
          <w:sz w:val="24"/>
          <w:szCs w:val="24"/>
        </w:rPr>
        <w:t>hich we were being taught from’.</w:t>
      </w:r>
      <w:r w:rsidR="004342C5" w:rsidRPr="00AE141E">
        <w:rPr>
          <w:rStyle w:val="FootnoteReference"/>
          <w:rFonts w:ascii="Times New Roman" w:hAnsi="Times New Roman" w:cs="Times New Roman"/>
          <w:sz w:val="24"/>
          <w:szCs w:val="24"/>
        </w:rPr>
        <w:footnoteReference w:id="478"/>
      </w:r>
      <w:r w:rsidR="00E6677D" w:rsidRPr="00AE141E">
        <w:rPr>
          <w:rFonts w:ascii="Times New Roman" w:hAnsi="Times New Roman" w:cs="Times New Roman"/>
          <w:sz w:val="24"/>
          <w:szCs w:val="24"/>
        </w:rPr>
        <w:t xml:space="preserve"> </w:t>
      </w:r>
      <w:r w:rsidR="00963A22" w:rsidRPr="00AE141E">
        <w:rPr>
          <w:rFonts w:ascii="Times New Roman" w:hAnsi="Times New Roman" w:cs="Times New Roman"/>
          <w:sz w:val="24"/>
          <w:szCs w:val="24"/>
        </w:rPr>
        <w:t>I</w:t>
      </w:r>
      <w:r w:rsidR="00545680" w:rsidRPr="00AE141E">
        <w:rPr>
          <w:rFonts w:ascii="Times New Roman" w:hAnsi="Times New Roman" w:cs="Times New Roman"/>
          <w:sz w:val="24"/>
          <w:szCs w:val="24"/>
        </w:rPr>
        <w:t xml:space="preserve">n Jones’ final year at school, the history curriculum covered slavery. Its </w:t>
      </w:r>
      <w:r w:rsidR="00EF5E98" w:rsidRPr="00AE141E">
        <w:rPr>
          <w:rFonts w:ascii="Times New Roman" w:hAnsi="Times New Roman" w:cs="Times New Roman"/>
          <w:sz w:val="24"/>
          <w:szCs w:val="24"/>
        </w:rPr>
        <w:t>focus was ‘</w:t>
      </w:r>
      <w:r w:rsidR="00EF2EB9" w:rsidRPr="00AE141E">
        <w:rPr>
          <w:rFonts w:ascii="Times New Roman" w:hAnsi="Times New Roman" w:cs="Times New Roman"/>
          <w:sz w:val="24"/>
          <w:szCs w:val="24"/>
        </w:rPr>
        <w:t>slave masters and their plantations</w:t>
      </w:r>
      <w:r w:rsidR="00EF5E98" w:rsidRPr="00AE141E">
        <w:rPr>
          <w:rFonts w:ascii="Times New Roman" w:hAnsi="Times New Roman" w:cs="Times New Roman"/>
          <w:sz w:val="24"/>
          <w:szCs w:val="24"/>
        </w:rPr>
        <w:t xml:space="preserve">’, to the exclusion of </w:t>
      </w:r>
      <w:r w:rsidR="005145AC" w:rsidRPr="00AE141E">
        <w:rPr>
          <w:rFonts w:ascii="Times New Roman" w:hAnsi="Times New Roman" w:cs="Times New Roman"/>
          <w:sz w:val="24"/>
          <w:szCs w:val="24"/>
        </w:rPr>
        <w:t>Black agency</w:t>
      </w:r>
      <w:r w:rsidR="00EF2EB9" w:rsidRPr="00AE141E">
        <w:rPr>
          <w:rFonts w:ascii="Times New Roman" w:hAnsi="Times New Roman" w:cs="Times New Roman"/>
          <w:sz w:val="24"/>
          <w:szCs w:val="24"/>
        </w:rPr>
        <w:t xml:space="preserve">. </w:t>
      </w:r>
      <w:r w:rsidR="005145AC" w:rsidRPr="00AE141E">
        <w:rPr>
          <w:rFonts w:ascii="Times New Roman" w:hAnsi="Times New Roman" w:cs="Times New Roman"/>
          <w:sz w:val="24"/>
          <w:szCs w:val="24"/>
        </w:rPr>
        <w:t>In respon</w:t>
      </w:r>
      <w:r w:rsidR="007325DE" w:rsidRPr="00AE141E">
        <w:rPr>
          <w:rFonts w:ascii="Times New Roman" w:hAnsi="Times New Roman" w:cs="Times New Roman"/>
          <w:sz w:val="24"/>
          <w:szCs w:val="24"/>
        </w:rPr>
        <w:t>se to this material, Jones sought to bring the teacher’s attention to the</w:t>
      </w:r>
      <w:r w:rsidR="000924A8" w:rsidRPr="00AE141E">
        <w:rPr>
          <w:rFonts w:ascii="Times New Roman" w:hAnsi="Times New Roman" w:cs="Times New Roman"/>
          <w:sz w:val="24"/>
          <w:szCs w:val="24"/>
        </w:rPr>
        <w:t xml:space="preserve"> long</w:t>
      </w:r>
      <w:r w:rsidR="007325DE" w:rsidRPr="00AE141E">
        <w:rPr>
          <w:rFonts w:ascii="Times New Roman" w:hAnsi="Times New Roman" w:cs="Times New Roman"/>
          <w:sz w:val="24"/>
          <w:szCs w:val="24"/>
        </w:rPr>
        <w:t xml:space="preserve"> history of </w:t>
      </w:r>
      <w:r w:rsidR="000924A8" w:rsidRPr="00AE141E">
        <w:rPr>
          <w:rFonts w:ascii="Times New Roman" w:hAnsi="Times New Roman" w:cs="Times New Roman"/>
          <w:sz w:val="24"/>
          <w:szCs w:val="24"/>
        </w:rPr>
        <w:t>Black anti-racist resistance, citing the example of Martin Luther King</w:t>
      </w:r>
      <w:r w:rsidR="00EF2EB9" w:rsidRPr="00AE141E">
        <w:rPr>
          <w:rFonts w:ascii="Times New Roman" w:hAnsi="Times New Roman" w:cs="Times New Roman"/>
          <w:sz w:val="24"/>
          <w:szCs w:val="24"/>
        </w:rPr>
        <w:t>.</w:t>
      </w:r>
      <w:r w:rsidR="00AB143B" w:rsidRPr="00AE141E">
        <w:rPr>
          <w:rFonts w:ascii="Times New Roman" w:hAnsi="Times New Roman" w:cs="Times New Roman"/>
          <w:sz w:val="24"/>
          <w:szCs w:val="24"/>
        </w:rPr>
        <w:t xml:space="preserve"> </w:t>
      </w:r>
      <w:r w:rsidR="00275C74" w:rsidRPr="00AE141E">
        <w:rPr>
          <w:rFonts w:ascii="Times New Roman" w:hAnsi="Times New Roman" w:cs="Times New Roman"/>
          <w:sz w:val="24"/>
          <w:szCs w:val="24"/>
        </w:rPr>
        <w:t>His intervention</w:t>
      </w:r>
      <w:r w:rsidR="004F74B1" w:rsidRPr="00AE141E">
        <w:rPr>
          <w:rFonts w:ascii="Times New Roman" w:hAnsi="Times New Roman" w:cs="Times New Roman"/>
          <w:sz w:val="24"/>
          <w:szCs w:val="24"/>
        </w:rPr>
        <w:t xml:space="preserve"> </w:t>
      </w:r>
      <w:r w:rsidR="00275C74" w:rsidRPr="00AE141E">
        <w:rPr>
          <w:rFonts w:ascii="Times New Roman" w:hAnsi="Times New Roman" w:cs="Times New Roman"/>
          <w:sz w:val="24"/>
          <w:szCs w:val="24"/>
        </w:rPr>
        <w:t xml:space="preserve">can be seen as a mode of education in and of itself. </w:t>
      </w:r>
    </w:p>
    <w:p w14:paraId="3C4D5A68" w14:textId="1FAC045D" w:rsidR="00C00026" w:rsidRPr="00AE141E" w:rsidRDefault="00275C7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Much like Khan</w:t>
      </w:r>
      <w:r w:rsidR="004F74B1" w:rsidRPr="00AE141E">
        <w:rPr>
          <w:rFonts w:ascii="Times New Roman" w:hAnsi="Times New Roman" w:cs="Times New Roman"/>
          <w:sz w:val="24"/>
          <w:szCs w:val="24"/>
        </w:rPr>
        <w:t xml:space="preserve">, </w:t>
      </w:r>
      <w:r w:rsidRPr="00AE141E">
        <w:rPr>
          <w:rFonts w:ascii="Times New Roman" w:hAnsi="Times New Roman" w:cs="Times New Roman"/>
          <w:sz w:val="24"/>
          <w:szCs w:val="24"/>
        </w:rPr>
        <w:t>Jones offered White students an insight into Black historical agency which they would otherwise have been den</w:t>
      </w:r>
      <w:r w:rsidR="007519FB" w:rsidRPr="00AE141E">
        <w:rPr>
          <w:rFonts w:ascii="Times New Roman" w:hAnsi="Times New Roman" w:cs="Times New Roman"/>
          <w:sz w:val="24"/>
          <w:szCs w:val="24"/>
        </w:rPr>
        <w:t xml:space="preserve">ied. </w:t>
      </w:r>
      <w:r w:rsidR="00E6677D" w:rsidRPr="00AE141E">
        <w:rPr>
          <w:rFonts w:ascii="Times New Roman" w:hAnsi="Times New Roman" w:cs="Times New Roman"/>
          <w:sz w:val="24"/>
          <w:szCs w:val="24"/>
        </w:rPr>
        <w:t>His</w:t>
      </w:r>
      <w:r w:rsidR="005C1404" w:rsidRPr="00AE141E">
        <w:rPr>
          <w:rFonts w:ascii="Times New Roman" w:hAnsi="Times New Roman" w:cs="Times New Roman"/>
          <w:sz w:val="24"/>
          <w:szCs w:val="24"/>
        </w:rPr>
        <w:t xml:space="preserve"> account demons</w:t>
      </w:r>
      <w:r w:rsidR="004B0D9C" w:rsidRPr="00AE141E">
        <w:rPr>
          <w:rFonts w:ascii="Times New Roman" w:hAnsi="Times New Roman" w:cs="Times New Roman"/>
          <w:sz w:val="24"/>
          <w:szCs w:val="24"/>
        </w:rPr>
        <w:t xml:space="preserve">trates that pupils who took on the role of educators often </w:t>
      </w:r>
      <w:r w:rsidR="000313DE" w:rsidRPr="00AE141E">
        <w:rPr>
          <w:rFonts w:ascii="Times New Roman" w:hAnsi="Times New Roman" w:cs="Times New Roman"/>
          <w:sz w:val="24"/>
          <w:szCs w:val="24"/>
        </w:rPr>
        <w:t>experienced</w:t>
      </w:r>
      <w:r w:rsidR="004B0D9C" w:rsidRPr="00AE141E">
        <w:rPr>
          <w:rFonts w:ascii="Times New Roman" w:hAnsi="Times New Roman" w:cs="Times New Roman"/>
          <w:sz w:val="24"/>
          <w:szCs w:val="24"/>
        </w:rPr>
        <w:t xml:space="preserve"> significant distress and</w:t>
      </w:r>
      <w:r w:rsidR="000313DE" w:rsidRPr="00AE141E">
        <w:rPr>
          <w:rFonts w:ascii="Times New Roman" w:hAnsi="Times New Roman" w:cs="Times New Roman"/>
          <w:sz w:val="24"/>
          <w:szCs w:val="24"/>
        </w:rPr>
        <w:t xml:space="preserve"> acted</w:t>
      </w:r>
      <w:r w:rsidR="004B0D9C" w:rsidRPr="00AE141E">
        <w:rPr>
          <w:rFonts w:ascii="Times New Roman" w:hAnsi="Times New Roman" w:cs="Times New Roman"/>
          <w:sz w:val="24"/>
          <w:szCs w:val="24"/>
        </w:rPr>
        <w:t xml:space="preserve"> through a </w:t>
      </w:r>
      <w:r w:rsidR="005F6817" w:rsidRPr="00AE141E">
        <w:rPr>
          <w:rFonts w:ascii="Times New Roman" w:hAnsi="Times New Roman" w:cs="Times New Roman"/>
          <w:sz w:val="24"/>
          <w:szCs w:val="24"/>
        </w:rPr>
        <w:t xml:space="preserve">feeling of compulsion. Jones was presented with </w:t>
      </w:r>
      <w:r w:rsidR="00866E48" w:rsidRPr="00AE141E">
        <w:rPr>
          <w:rFonts w:ascii="Times New Roman" w:hAnsi="Times New Roman" w:cs="Times New Roman"/>
          <w:sz w:val="24"/>
          <w:szCs w:val="24"/>
        </w:rPr>
        <w:t>a choice</w:t>
      </w:r>
      <w:r w:rsidR="0062626F" w:rsidRPr="00AE141E">
        <w:rPr>
          <w:rFonts w:ascii="Times New Roman" w:hAnsi="Times New Roman" w:cs="Times New Roman"/>
          <w:sz w:val="24"/>
          <w:szCs w:val="24"/>
        </w:rPr>
        <w:t xml:space="preserve">: witness the uncontested </w:t>
      </w:r>
      <w:r w:rsidR="00DE0C65" w:rsidRPr="00AE141E">
        <w:rPr>
          <w:rFonts w:ascii="Times New Roman" w:hAnsi="Times New Roman" w:cs="Times New Roman"/>
          <w:sz w:val="24"/>
          <w:szCs w:val="24"/>
        </w:rPr>
        <w:t>objectification of Black people</w:t>
      </w:r>
      <w:r w:rsidR="00866E48" w:rsidRPr="00AE141E">
        <w:rPr>
          <w:rFonts w:ascii="Times New Roman" w:hAnsi="Times New Roman" w:cs="Times New Roman"/>
          <w:sz w:val="24"/>
          <w:szCs w:val="24"/>
        </w:rPr>
        <w:t xml:space="preserve">, </w:t>
      </w:r>
      <w:r w:rsidR="00DE0C65" w:rsidRPr="00AE141E">
        <w:rPr>
          <w:rFonts w:ascii="Times New Roman" w:hAnsi="Times New Roman" w:cs="Times New Roman"/>
          <w:sz w:val="24"/>
          <w:szCs w:val="24"/>
        </w:rPr>
        <w:t xml:space="preserve">or challenge the teacher and suffer the consequences. </w:t>
      </w:r>
      <w:r w:rsidR="00EF785D" w:rsidRPr="00AE141E">
        <w:rPr>
          <w:rFonts w:ascii="Times New Roman" w:hAnsi="Times New Roman" w:cs="Times New Roman"/>
          <w:sz w:val="24"/>
          <w:szCs w:val="24"/>
        </w:rPr>
        <w:t xml:space="preserve">The teacher </w:t>
      </w:r>
      <w:r w:rsidR="000820C4" w:rsidRPr="00AE141E">
        <w:rPr>
          <w:rFonts w:ascii="Times New Roman" w:hAnsi="Times New Roman" w:cs="Times New Roman"/>
          <w:sz w:val="24"/>
          <w:szCs w:val="24"/>
        </w:rPr>
        <w:t xml:space="preserve">in question </w:t>
      </w:r>
      <w:r w:rsidR="00EF785D" w:rsidRPr="00AE141E">
        <w:rPr>
          <w:rFonts w:ascii="Times New Roman" w:hAnsi="Times New Roman" w:cs="Times New Roman"/>
          <w:sz w:val="24"/>
          <w:szCs w:val="24"/>
        </w:rPr>
        <w:t xml:space="preserve">responded with a </w:t>
      </w:r>
      <w:r w:rsidR="006F1502" w:rsidRPr="00AE141E">
        <w:rPr>
          <w:rFonts w:ascii="Times New Roman" w:hAnsi="Times New Roman" w:cs="Times New Roman"/>
          <w:sz w:val="24"/>
          <w:szCs w:val="24"/>
        </w:rPr>
        <w:t>mocking</w:t>
      </w:r>
      <w:r w:rsidR="00EF785D" w:rsidRPr="00AE141E">
        <w:rPr>
          <w:rFonts w:ascii="Times New Roman" w:hAnsi="Times New Roman" w:cs="Times New Roman"/>
          <w:sz w:val="24"/>
          <w:szCs w:val="24"/>
        </w:rPr>
        <w:t xml:space="preserve"> rejection of </w:t>
      </w:r>
      <w:r w:rsidR="003D7DD4" w:rsidRPr="00AE141E">
        <w:rPr>
          <w:rFonts w:ascii="Times New Roman" w:hAnsi="Times New Roman" w:cs="Times New Roman"/>
          <w:sz w:val="24"/>
          <w:szCs w:val="24"/>
        </w:rPr>
        <w:t xml:space="preserve">Black people’s role </w:t>
      </w:r>
      <w:r w:rsidR="00B812C0" w:rsidRPr="00AE141E">
        <w:rPr>
          <w:rFonts w:ascii="Times New Roman" w:hAnsi="Times New Roman" w:cs="Times New Roman"/>
          <w:sz w:val="24"/>
          <w:szCs w:val="24"/>
        </w:rPr>
        <w:t>as history-makers</w:t>
      </w:r>
      <w:r w:rsidR="00EF785D" w:rsidRPr="00AE141E">
        <w:rPr>
          <w:rFonts w:ascii="Times New Roman" w:hAnsi="Times New Roman" w:cs="Times New Roman"/>
          <w:sz w:val="24"/>
          <w:szCs w:val="24"/>
        </w:rPr>
        <w:t xml:space="preserve"> </w:t>
      </w:r>
      <w:r w:rsidR="007E3307" w:rsidRPr="00AE141E">
        <w:rPr>
          <w:rFonts w:ascii="Times New Roman" w:hAnsi="Times New Roman" w:cs="Times New Roman"/>
          <w:sz w:val="24"/>
          <w:szCs w:val="24"/>
        </w:rPr>
        <w:t>and excluded him</w:t>
      </w:r>
      <w:r w:rsidR="00B812C0" w:rsidRPr="00AE141E">
        <w:rPr>
          <w:rFonts w:ascii="Times New Roman" w:hAnsi="Times New Roman" w:cs="Times New Roman"/>
          <w:sz w:val="24"/>
          <w:szCs w:val="24"/>
        </w:rPr>
        <w:t xml:space="preserve"> from the remainder of the lesson.</w:t>
      </w:r>
      <w:r w:rsidR="00836790" w:rsidRPr="00AE141E">
        <w:rPr>
          <w:rStyle w:val="FootnoteReference"/>
          <w:rFonts w:ascii="Times New Roman" w:hAnsi="Times New Roman" w:cs="Times New Roman"/>
          <w:sz w:val="24"/>
          <w:szCs w:val="24"/>
        </w:rPr>
        <w:footnoteReference w:id="479"/>
      </w:r>
      <w:r w:rsidR="00B812C0" w:rsidRPr="00AE141E">
        <w:rPr>
          <w:rFonts w:ascii="Times New Roman" w:hAnsi="Times New Roman" w:cs="Times New Roman"/>
          <w:sz w:val="24"/>
          <w:szCs w:val="24"/>
        </w:rPr>
        <w:t xml:space="preserve"> </w:t>
      </w:r>
    </w:p>
    <w:p w14:paraId="21CFDEA7" w14:textId="57295809" w:rsidR="00091985" w:rsidRPr="00AE141E" w:rsidRDefault="00F91FF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Anwar Qadir, an interviewee in the Second Generation Asians Resisting Racism Project</w:t>
      </w:r>
      <w:r w:rsidR="00C47FCE">
        <w:rPr>
          <w:rFonts w:ascii="Times New Roman" w:hAnsi="Times New Roman" w:cs="Times New Roman"/>
          <w:sz w:val="24"/>
          <w:szCs w:val="24"/>
        </w:rPr>
        <w:t>, conducted in</w:t>
      </w:r>
      <w:r w:rsidRPr="00AE141E">
        <w:rPr>
          <w:rFonts w:ascii="Times New Roman" w:hAnsi="Times New Roman" w:cs="Times New Roman"/>
          <w:sz w:val="24"/>
          <w:szCs w:val="24"/>
        </w:rPr>
        <w:t xml:space="preserve"> 2007</w:t>
      </w:r>
      <w:r w:rsidR="00C47FCE">
        <w:rPr>
          <w:rFonts w:ascii="Times New Roman" w:hAnsi="Times New Roman" w:cs="Times New Roman"/>
          <w:sz w:val="24"/>
          <w:szCs w:val="24"/>
        </w:rPr>
        <w:t>,</w:t>
      </w:r>
      <w:r w:rsidRPr="00AE141E">
        <w:rPr>
          <w:rFonts w:ascii="Times New Roman" w:hAnsi="Times New Roman" w:cs="Times New Roman"/>
          <w:sz w:val="24"/>
          <w:szCs w:val="24"/>
        </w:rPr>
        <w:t xml:space="preserve"> recalled a similar experi</w:t>
      </w:r>
      <w:r w:rsidR="00BF2D3B" w:rsidRPr="00AE141E">
        <w:rPr>
          <w:rFonts w:ascii="Times New Roman" w:hAnsi="Times New Roman" w:cs="Times New Roman"/>
          <w:sz w:val="24"/>
          <w:szCs w:val="24"/>
        </w:rPr>
        <w:t xml:space="preserve">ence </w:t>
      </w:r>
      <w:r w:rsidR="005C046E" w:rsidRPr="00AE141E">
        <w:rPr>
          <w:rFonts w:ascii="Times New Roman" w:hAnsi="Times New Roman" w:cs="Times New Roman"/>
          <w:sz w:val="24"/>
          <w:szCs w:val="24"/>
        </w:rPr>
        <w:t>in which</w:t>
      </w:r>
      <w:r w:rsidR="00686B3E" w:rsidRPr="00AE141E">
        <w:rPr>
          <w:rFonts w:ascii="Times New Roman" w:hAnsi="Times New Roman" w:cs="Times New Roman"/>
          <w:sz w:val="24"/>
          <w:szCs w:val="24"/>
        </w:rPr>
        <w:t xml:space="preserve"> </w:t>
      </w:r>
      <w:r w:rsidR="00D75207" w:rsidRPr="00AE141E">
        <w:rPr>
          <w:rFonts w:ascii="Times New Roman" w:hAnsi="Times New Roman" w:cs="Times New Roman"/>
          <w:sz w:val="24"/>
          <w:szCs w:val="24"/>
        </w:rPr>
        <w:t xml:space="preserve">kitchen-table histories </w:t>
      </w:r>
      <w:r w:rsidR="005C046E" w:rsidRPr="00AE141E">
        <w:rPr>
          <w:rFonts w:ascii="Times New Roman" w:hAnsi="Times New Roman" w:cs="Times New Roman"/>
          <w:sz w:val="24"/>
          <w:szCs w:val="24"/>
        </w:rPr>
        <w:t>brought</w:t>
      </w:r>
      <w:r w:rsidR="00D75207" w:rsidRPr="00AE141E">
        <w:rPr>
          <w:rFonts w:ascii="Times New Roman" w:hAnsi="Times New Roman" w:cs="Times New Roman"/>
          <w:sz w:val="24"/>
          <w:szCs w:val="24"/>
        </w:rPr>
        <w:t xml:space="preserve"> </w:t>
      </w:r>
      <w:r w:rsidR="00107744" w:rsidRPr="00AE141E">
        <w:rPr>
          <w:rFonts w:ascii="Times New Roman" w:hAnsi="Times New Roman" w:cs="Times New Roman"/>
          <w:sz w:val="24"/>
          <w:szCs w:val="24"/>
        </w:rPr>
        <w:t xml:space="preserve">him into conflict with a teacher. </w:t>
      </w:r>
      <w:r w:rsidR="00297668" w:rsidRPr="00AE141E">
        <w:rPr>
          <w:rFonts w:ascii="Times New Roman" w:hAnsi="Times New Roman" w:cs="Times New Roman"/>
          <w:sz w:val="24"/>
          <w:szCs w:val="24"/>
        </w:rPr>
        <w:t>Upon hearing of the content of a recent school</w:t>
      </w:r>
      <w:r w:rsidR="00263FA5" w:rsidRPr="00AE141E">
        <w:rPr>
          <w:rFonts w:ascii="Times New Roman" w:hAnsi="Times New Roman" w:cs="Times New Roman"/>
          <w:sz w:val="24"/>
          <w:szCs w:val="24"/>
        </w:rPr>
        <w:t xml:space="preserve"> history lesson, Qadir’s father set out to correct the information and reframe the narrative which his son had </w:t>
      </w:r>
      <w:r w:rsidR="002A1513" w:rsidRPr="00AE141E">
        <w:rPr>
          <w:rFonts w:ascii="Times New Roman" w:hAnsi="Times New Roman" w:cs="Times New Roman"/>
          <w:sz w:val="24"/>
          <w:szCs w:val="24"/>
        </w:rPr>
        <w:t>received –</w:t>
      </w:r>
      <w:r w:rsidR="009800F5" w:rsidRPr="00AE141E">
        <w:rPr>
          <w:rFonts w:ascii="Times New Roman" w:hAnsi="Times New Roman" w:cs="Times New Roman"/>
          <w:sz w:val="24"/>
          <w:szCs w:val="24"/>
        </w:rPr>
        <w:t xml:space="preserve"> </w:t>
      </w:r>
      <w:r w:rsidR="002A1513" w:rsidRPr="00AE141E">
        <w:rPr>
          <w:rFonts w:ascii="Times New Roman" w:hAnsi="Times New Roman" w:cs="Times New Roman"/>
          <w:sz w:val="24"/>
          <w:szCs w:val="24"/>
        </w:rPr>
        <w:t>‘</w:t>
      </w:r>
      <w:r w:rsidR="009800F5" w:rsidRPr="00AE141E">
        <w:rPr>
          <w:rFonts w:ascii="Times New Roman" w:hAnsi="Times New Roman" w:cs="Times New Roman"/>
          <w:sz w:val="24"/>
          <w:szCs w:val="24"/>
        </w:rPr>
        <w:t>not</w:t>
      </w:r>
      <w:r w:rsidR="002A1513" w:rsidRPr="00AE141E">
        <w:rPr>
          <w:rFonts w:ascii="Times New Roman" w:hAnsi="Times New Roman" w:cs="Times New Roman"/>
          <w:sz w:val="24"/>
          <w:szCs w:val="24"/>
        </w:rPr>
        <w:t xml:space="preserve"> </w:t>
      </w:r>
      <w:r w:rsidR="009800F5" w:rsidRPr="00AE141E">
        <w:rPr>
          <w:rFonts w:ascii="Times New Roman" w:hAnsi="Times New Roman" w:cs="Times New Roman"/>
          <w:sz w:val="24"/>
          <w:szCs w:val="24"/>
        </w:rPr>
        <w:t>because he was that educated in historical facts of India</w:t>
      </w:r>
      <w:r w:rsidR="002A1513" w:rsidRPr="00AE141E">
        <w:rPr>
          <w:rFonts w:ascii="Times New Roman" w:hAnsi="Times New Roman" w:cs="Times New Roman"/>
          <w:sz w:val="24"/>
          <w:szCs w:val="24"/>
        </w:rPr>
        <w:t>’, but</w:t>
      </w:r>
      <w:r w:rsidR="009800F5" w:rsidRPr="00AE141E">
        <w:rPr>
          <w:rFonts w:ascii="Times New Roman" w:hAnsi="Times New Roman" w:cs="Times New Roman"/>
          <w:sz w:val="24"/>
          <w:szCs w:val="24"/>
        </w:rPr>
        <w:t xml:space="preserve"> </w:t>
      </w:r>
      <w:r w:rsidR="002A1513" w:rsidRPr="00AE141E">
        <w:rPr>
          <w:rFonts w:ascii="Times New Roman" w:hAnsi="Times New Roman" w:cs="Times New Roman"/>
          <w:sz w:val="24"/>
          <w:szCs w:val="24"/>
        </w:rPr>
        <w:t>from his</w:t>
      </w:r>
      <w:r w:rsidR="009800F5" w:rsidRPr="00AE141E">
        <w:rPr>
          <w:rFonts w:ascii="Times New Roman" w:hAnsi="Times New Roman" w:cs="Times New Roman"/>
          <w:sz w:val="24"/>
          <w:szCs w:val="24"/>
        </w:rPr>
        <w:t xml:space="preserve"> own experiences.</w:t>
      </w:r>
      <w:r w:rsidR="00A7101A">
        <w:rPr>
          <w:rStyle w:val="FootnoteReference"/>
          <w:rFonts w:ascii="Times New Roman" w:hAnsi="Times New Roman" w:cs="Times New Roman"/>
          <w:sz w:val="24"/>
          <w:szCs w:val="24"/>
        </w:rPr>
        <w:footnoteReference w:id="480"/>
      </w:r>
      <w:r w:rsidR="009800F5" w:rsidRPr="00AE141E">
        <w:rPr>
          <w:rFonts w:ascii="Times New Roman" w:hAnsi="Times New Roman" w:cs="Times New Roman"/>
          <w:sz w:val="24"/>
          <w:szCs w:val="24"/>
        </w:rPr>
        <w:t xml:space="preserve"> </w:t>
      </w:r>
      <w:r w:rsidR="00091985" w:rsidRPr="00AE141E">
        <w:rPr>
          <w:rFonts w:ascii="Times New Roman" w:hAnsi="Times New Roman" w:cs="Times New Roman"/>
          <w:sz w:val="24"/>
          <w:szCs w:val="24"/>
        </w:rPr>
        <w:t>According to Qadir’s account:</w:t>
      </w:r>
    </w:p>
    <w:p w14:paraId="5D86A348" w14:textId="4B03086D" w:rsidR="008D15B8" w:rsidRPr="00AE141E" w:rsidRDefault="009800F5"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I was taught in my history lesson how good the Empire was for India, and ‘we built the roads for the uncivilised people out there’ etc. When I came and shared that with my father, my father says, ‘well most of the roads were already there’, right, ‘some roads were built by the Raj, but they weren’t built for the benefit of the Indians, they were built so that they could get the stuff out of India a lot quicker’, right, ‘and more conveniently’, and as far as civilisation is concerned, you know, we were running around in silks when this lot was still in animal skins! So, I went back and shared that </w:t>
      </w:r>
      <w:r w:rsidRPr="00AE141E">
        <w:rPr>
          <w:rFonts w:ascii="Times New Roman" w:hAnsi="Times New Roman" w:cs="Times New Roman"/>
          <w:sz w:val="24"/>
          <w:szCs w:val="24"/>
        </w:rPr>
        <w:lastRenderedPageBreak/>
        <w:t>information with my school history teacher. I wasn’t very popular with the teacher after that.</w:t>
      </w:r>
      <w:r w:rsidR="00C40122">
        <w:rPr>
          <w:rStyle w:val="FootnoteReference"/>
          <w:rFonts w:ascii="Times New Roman" w:hAnsi="Times New Roman" w:cs="Times New Roman"/>
          <w:sz w:val="24"/>
          <w:szCs w:val="24"/>
        </w:rPr>
        <w:footnoteReference w:id="481"/>
      </w:r>
      <w:r w:rsidRPr="00AE141E">
        <w:rPr>
          <w:rFonts w:ascii="Times New Roman" w:hAnsi="Times New Roman" w:cs="Times New Roman"/>
          <w:sz w:val="24"/>
          <w:szCs w:val="24"/>
        </w:rPr>
        <w:t xml:space="preserve"> </w:t>
      </w:r>
    </w:p>
    <w:p w14:paraId="4BEA820F" w14:textId="7C36183F" w:rsidR="00773010" w:rsidRPr="00361894" w:rsidRDefault="006B179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Jones and Qadir prove that a hostile teaching staff </w:t>
      </w:r>
      <w:r w:rsidR="00B25509" w:rsidRPr="00AE141E">
        <w:rPr>
          <w:rFonts w:ascii="Times New Roman" w:hAnsi="Times New Roman" w:cs="Times New Roman"/>
          <w:sz w:val="24"/>
          <w:szCs w:val="24"/>
        </w:rPr>
        <w:t>was</w:t>
      </w:r>
      <w:r w:rsidRPr="00AE141E">
        <w:rPr>
          <w:rFonts w:ascii="Times New Roman" w:hAnsi="Times New Roman" w:cs="Times New Roman"/>
          <w:sz w:val="24"/>
          <w:szCs w:val="24"/>
        </w:rPr>
        <w:t xml:space="preserve"> not sufficient to </w:t>
      </w:r>
      <w:r w:rsidR="00C231C4" w:rsidRPr="00AE141E">
        <w:rPr>
          <w:rFonts w:ascii="Times New Roman" w:hAnsi="Times New Roman" w:cs="Times New Roman"/>
          <w:sz w:val="24"/>
          <w:szCs w:val="24"/>
        </w:rPr>
        <w:t>prevent anti-colonial histories from entering the classroom</w:t>
      </w:r>
      <w:r w:rsidR="000C2ABF" w:rsidRPr="00AE141E">
        <w:rPr>
          <w:rFonts w:ascii="Times New Roman" w:hAnsi="Times New Roman" w:cs="Times New Roman"/>
          <w:sz w:val="24"/>
          <w:szCs w:val="24"/>
        </w:rPr>
        <w:t xml:space="preserve">. Nevertheless, </w:t>
      </w:r>
      <w:r w:rsidR="00A734B6" w:rsidRPr="00AE141E">
        <w:rPr>
          <w:rFonts w:ascii="Times New Roman" w:hAnsi="Times New Roman" w:cs="Times New Roman"/>
          <w:sz w:val="24"/>
          <w:szCs w:val="24"/>
        </w:rPr>
        <w:t>pupils</w:t>
      </w:r>
      <w:r w:rsidR="000C2ABF" w:rsidRPr="00AE141E">
        <w:rPr>
          <w:rFonts w:ascii="Times New Roman" w:hAnsi="Times New Roman" w:cs="Times New Roman"/>
          <w:sz w:val="24"/>
          <w:szCs w:val="24"/>
        </w:rPr>
        <w:t xml:space="preserve"> who </w:t>
      </w:r>
      <w:r w:rsidR="00B25509" w:rsidRPr="00AE141E">
        <w:rPr>
          <w:rFonts w:ascii="Times New Roman" w:hAnsi="Times New Roman" w:cs="Times New Roman"/>
          <w:sz w:val="24"/>
          <w:szCs w:val="24"/>
        </w:rPr>
        <w:t>took</w:t>
      </w:r>
      <w:r w:rsidR="000C2ABF" w:rsidRPr="00AE141E">
        <w:rPr>
          <w:rFonts w:ascii="Times New Roman" w:hAnsi="Times New Roman" w:cs="Times New Roman"/>
          <w:sz w:val="24"/>
          <w:szCs w:val="24"/>
        </w:rPr>
        <w:t xml:space="preserve"> on the role of educating their peers in such environments</w:t>
      </w:r>
      <w:r w:rsidR="00B02E43" w:rsidRPr="00AE141E">
        <w:rPr>
          <w:rFonts w:ascii="Times New Roman" w:hAnsi="Times New Roman" w:cs="Times New Roman"/>
          <w:sz w:val="24"/>
          <w:szCs w:val="24"/>
        </w:rPr>
        <w:t xml:space="preserve"> </w:t>
      </w:r>
      <w:r w:rsidR="00B25509" w:rsidRPr="00AE141E">
        <w:rPr>
          <w:rFonts w:ascii="Times New Roman" w:hAnsi="Times New Roman" w:cs="Times New Roman"/>
          <w:sz w:val="24"/>
          <w:szCs w:val="24"/>
        </w:rPr>
        <w:t>did</w:t>
      </w:r>
      <w:r w:rsidR="000C2ABF" w:rsidRPr="00AE141E">
        <w:rPr>
          <w:rFonts w:ascii="Times New Roman" w:hAnsi="Times New Roman" w:cs="Times New Roman"/>
          <w:sz w:val="24"/>
          <w:szCs w:val="24"/>
        </w:rPr>
        <w:t xml:space="preserve"> so at </w:t>
      </w:r>
      <w:r w:rsidR="00B02E43" w:rsidRPr="00AE141E">
        <w:rPr>
          <w:rFonts w:ascii="Times New Roman" w:hAnsi="Times New Roman" w:cs="Times New Roman"/>
          <w:sz w:val="24"/>
          <w:szCs w:val="24"/>
        </w:rPr>
        <w:t>significant personal cost.</w:t>
      </w:r>
      <w:r w:rsidR="001E119A" w:rsidRPr="00AE141E">
        <w:rPr>
          <w:rFonts w:ascii="Times New Roman" w:hAnsi="Times New Roman" w:cs="Times New Roman"/>
          <w:sz w:val="24"/>
          <w:szCs w:val="24"/>
        </w:rPr>
        <w:t xml:space="preserve"> </w:t>
      </w:r>
    </w:p>
    <w:bookmarkEnd w:id="13"/>
    <w:p w14:paraId="46B93C50" w14:textId="7E8C45CC" w:rsidR="00795F1B" w:rsidRPr="00AE141E" w:rsidRDefault="00795F1B" w:rsidP="00AE141E">
      <w:pPr>
        <w:tabs>
          <w:tab w:val="left" w:pos="3606"/>
        </w:tabs>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Theorising Multicultural History</w:t>
      </w:r>
    </w:p>
    <w:p w14:paraId="4B4B9185" w14:textId="2CC7B64F" w:rsidR="00795F1B" w:rsidRPr="00AE141E" w:rsidRDefault="00795F1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w:t>
      </w:r>
      <w:r w:rsidR="00D363F0" w:rsidRPr="00AE141E">
        <w:rPr>
          <w:rFonts w:ascii="Times New Roman" w:hAnsi="Times New Roman" w:cs="Times New Roman"/>
          <w:sz w:val="24"/>
          <w:szCs w:val="24"/>
        </w:rPr>
        <w:t>we have seen</w:t>
      </w:r>
      <w:r w:rsidRPr="00AE141E">
        <w:rPr>
          <w:rFonts w:ascii="Times New Roman" w:hAnsi="Times New Roman" w:cs="Times New Roman"/>
          <w:sz w:val="24"/>
          <w:szCs w:val="24"/>
        </w:rPr>
        <w:t>, the initial response of the British education system to the presence of ‘immigrant’ children was governed by the ‘deficit’ thesis, which posited such pupils as a problem to be managed by the state. This logic yielded ‘compensatory education’, which aimed to correct the deficiencies supposedly bequeathed to students by their home environment.</w:t>
      </w:r>
      <w:r w:rsidRPr="00AE141E">
        <w:rPr>
          <w:rStyle w:val="FootnoteReference"/>
          <w:rFonts w:ascii="Times New Roman" w:hAnsi="Times New Roman" w:cs="Times New Roman"/>
          <w:sz w:val="24"/>
          <w:szCs w:val="24"/>
        </w:rPr>
        <w:footnoteReference w:id="482"/>
      </w:r>
      <w:r w:rsidRPr="00AE141E">
        <w:rPr>
          <w:rFonts w:ascii="Times New Roman" w:hAnsi="Times New Roman" w:cs="Times New Roman"/>
          <w:sz w:val="24"/>
          <w:szCs w:val="24"/>
        </w:rPr>
        <w:t xml:space="preserve"> Perhaps the most common form of compensatory education, especially in its early stages, was the teaching of English as a foreign language. After 1966, tuition was usually enabled by ‘Section 11’ funding – a reference to Section 11 of the Local Government Act, under which local authorities could apply for government grants to cover ‘expenditure due to immigrant population’.</w:t>
      </w:r>
      <w:r w:rsidRPr="00AE141E">
        <w:rPr>
          <w:rStyle w:val="FootnoteReference"/>
          <w:rFonts w:ascii="Times New Roman" w:hAnsi="Times New Roman" w:cs="Times New Roman"/>
          <w:sz w:val="24"/>
          <w:szCs w:val="24"/>
        </w:rPr>
        <w:footnoteReference w:id="483"/>
      </w:r>
      <w:r w:rsidRPr="00AE141E">
        <w:rPr>
          <w:rFonts w:ascii="Times New Roman" w:hAnsi="Times New Roman" w:cs="Times New Roman"/>
          <w:sz w:val="24"/>
          <w:szCs w:val="24"/>
        </w:rPr>
        <w:t xml:space="preserve"> The ‘special provision’ mandated by Section 11 represented the first form of what would come to be known alternately as multicultural, multiethnic, or multiracial education (for ease of understanding, ‘multicultural education’ will be preferred below, except in cases of direct quotation from a source using another term). In its most basic sense, multiculturalism </w:t>
      </w:r>
      <w:r w:rsidR="00326CAA" w:rsidRPr="00AE141E">
        <w:rPr>
          <w:rFonts w:ascii="Times New Roman" w:hAnsi="Times New Roman" w:cs="Times New Roman"/>
          <w:sz w:val="24"/>
          <w:szCs w:val="24"/>
        </w:rPr>
        <w:t>was</w:t>
      </w:r>
      <w:r w:rsidRPr="00AE141E">
        <w:rPr>
          <w:rFonts w:ascii="Times New Roman" w:hAnsi="Times New Roman" w:cs="Times New Roman"/>
          <w:sz w:val="24"/>
          <w:szCs w:val="24"/>
        </w:rPr>
        <w:t xml:space="preserve"> a pedagogical approach which acknowledged, incorporated, </w:t>
      </w:r>
      <w:r w:rsidR="00CC7275">
        <w:rPr>
          <w:rFonts w:ascii="Times New Roman" w:hAnsi="Times New Roman" w:cs="Times New Roman"/>
          <w:sz w:val="24"/>
          <w:szCs w:val="24"/>
        </w:rPr>
        <w:t>or</w:t>
      </w:r>
      <w:r w:rsidRPr="00AE141E">
        <w:rPr>
          <w:rFonts w:ascii="Times New Roman" w:hAnsi="Times New Roman" w:cs="Times New Roman"/>
          <w:sz w:val="24"/>
          <w:szCs w:val="24"/>
        </w:rPr>
        <w:t xml:space="preserve"> valorised the </w:t>
      </w:r>
      <w:r w:rsidR="00A94C66">
        <w:rPr>
          <w:rFonts w:ascii="Times New Roman" w:hAnsi="Times New Roman" w:cs="Times New Roman"/>
          <w:sz w:val="24"/>
          <w:szCs w:val="24"/>
        </w:rPr>
        <w:t xml:space="preserve">specific </w:t>
      </w:r>
      <w:r w:rsidRPr="00AE141E">
        <w:rPr>
          <w:rFonts w:ascii="Times New Roman" w:hAnsi="Times New Roman" w:cs="Times New Roman"/>
          <w:sz w:val="24"/>
          <w:szCs w:val="24"/>
        </w:rPr>
        <w:t>requirements of groups variously defined as ethnic, racial, or cultural, but amongst whom culture tend</w:t>
      </w:r>
      <w:r w:rsidR="00D74037" w:rsidRPr="00AE141E">
        <w:rPr>
          <w:rFonts w:ascii="Times New Roman" w:hAnsi="Times New Roman" w:cs="Times New Roman"/>
          <w:sz w:val="24"/>
          <w:szCs w:val="24"/>
        </w:rPr>
        <w:t>ed</w:t>
      </w:r>
      <w:r w:rsidRPr="00AE141E">
        <w:rPr>
          <w:rFonts w:ascii="Times New Roman" w:hAnsi="Times New Roman" w:cs="Times New Roman"/>
          <w:sz w:val="24"/>
          <w:szCs w:val="24"/>
        </w:rPr>
        <w:t xml:space="preserve"> to be viewed as the major, unifying characteristic.</w:t>
      </w:r>
      <w:r w:rsidRPr="00AE141E">
        <w:rPr>
          <w:rStyle w:val="FootnoteReference"/>
          <w:rFonts w:ascii="Times New Roman" w:hAnsi="Times New Roman" w:cs="Times New Roman"/>
          <w:sz w:val="24"/>
          <w:szCs w:val="24"/>
        </w:rPr>
        <w:footnoteReference w:id="484"/>
      </w:r>
    </w:p>
    <w:p w14:paraId="74187325" w14:textId="331F2883" w:rsidR="00A516C4" w:rsidRPr="00AE141E" w:rsidRDefault="00B17F9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Multicultural education was continually </w:t>
      </w:r>
      <w:r w:rsidR="00110AAB" w:rsidRPr="00AE141E">
        <w:rPr>
          <w:rFonts w:ascii="Times New Roman" w:hAnsi="Times New Roman" w:cs="Times New Roman"/>
          <w:sz w:val="24"/>
          <w:szCs w:val="24"/>
        </w:rPr>
        <w:t>reformulated</w:t>
      </w:r>
      <w:r w:rsidR="00630B7A" w:rsidRPr="00AE141E">
        <w:rPr>
          <w:rFonts w:ascii="Times New Roman" w:hAnsi="Times New Roman" w:cs="Times New Roman"/>
          <w:sz w:val="24"/>
          <w:szCs w:val="24"/>
        </w:rPr>
        <w:t xml:space="preserve">. </w:t>
      </w:r>
      <w:r w:rsidR="00AB2EB1" w:rsidRPr="00AE141E">
        <w:rPr>
          <w:rFonts w:ascii="Times New Roman" w:hAnsi="Times New Roman" w:cs="Times New Roman"/>
          <w:sz w:val="24"/>
          <w:szCs w:val="24"/>
        </w:rPr>
        <w:t>In some schools, a shift away from the compensatory model was</w:t>
      </w:r>
      <w:r w:rsidR="006261D7" w:rsidRPr="00AE141E">
        <w:rPr>
          <w:rFonts w:ascii="Times New Roman" w:hAnsi="Times New Roman" w:cs="Times New Roman"/>
          <w:sz w:val="24"/>
          <w:szCs w:val="24"/>
        </w:rPr>
        <w:t xml:space="preserve"> prompted</w:t>
      </w:r>
      <w:r w:rsidR="00795F1B" w:rsidRPr="00AE141E">
        <w:rPr>
          <w:rFonts w:ascii="Times New Roman" w:hAnsi="Times New Roman" w:cs="Times New Roman"/>
          <w:sz w:val="24"/>
          <w:szCs w:val="24"/>
        </w:rPr>
        <w:t xml:space="preserve"> by fear</w:t>
      </w:r>
      <w:r w:rsidR="006261D7" w:rsidRPr="00AE141E">
        <w:rPr>
          <w:rFonts w:ascii="Times New Roman" w:hAnsi="Times New Roman" w:cs="Times New Roman"/>
          <w:sz w:val="24"/>
          <w:szCs w:val="24"/>
        </w:rPr>
        <w:t>s</w:t>
      </w:r>
      <w:r w:rsidR="00795F1B" w:rsidRPr="00AE141E">
        <w:rPr>
          <w:rFonts w:ascii="Times New Roman" w:hAnsi="Times New Roman" w:cs="Times New Roman"/>
          <w:sz w:val="24"/>
          <w:szCs w:val="24"/>
        </w:rPr>
        <w:t xml:space="preserve"> of youth rebellion. The translation of Black Studies courses into a mainstream, state educational offering can be linked to this anxiety. The genesis of Black Studies was the British Black Power movement, which followed its </w:t>
      </w:r>
      <w:r w:rsidR="00795F1B" w:rsidRPr="00AE141E">
        <w:rPr>
          <w:rFonts w:ascii="Times New Roman" w:hAnsi="Times New Roman" w:cs="Times New Roman"/>
          <w:sz w:val="24"/>
          <w:szCs w:val="24"/>
        </w:rPr>
        <w:lastRenderedPageBreak/>
        <w:t>American antecedent in calling for education to promote pride in Blackness.</w:t>
      </w:r>
      <w:r w:rsidR="00795F1B" w:rsidRPr="00AE141E">
        <w:rPr>
          <w:rStyle w:val="FootnoteReference"/>
          <w:rFonts w:ascii="Times New Roman" w:hAnsi="Times New Roman" w:cs="Times New Roman"/>
          <w:sz w:val="24"/>
          <w:szCs w:val="24"/>
        </w:rPr>
        <w:footnoteReference w:id="485"/>
      </w:r>
      <w:r w:rsidR="00795F1B" w:rsidRPr="00AE141E">
        <w:rPr>
          <w:rFonts w:ascii="Times New Roman" w:hAnsi="Times New Roman" w:cs="Times New Roman"/>
          <w:sz w:val="24"/>
          <w:szCs w:val="24"/>
        </w:rPr>
        <w:t xml:space="preserve"> </w:t>
      </w:r>
      <w:r w:rsidR="00413D7E" w:rsidRPr="00AE141E">
        <w:rPr>
          <w:rFonts w:ascii="Times New Roman" w:hAnsi="Times New Roman" w:cs="Times New Roman"/>
          <w:sz w:val="24"/>
          <w:szCs w:val="24"/>
        </w:rPr>
        <w:t>As in supplementary schools, mainstream teachers</w:t>
      </w:r>
      <w:r w:rsidR="002D3E2E" w:rsidRPr="00AE141E">
        <w:rPr>
          <w:rFonts w:ascii="Times New Roman" w:hAnsi="Times New Roman" w:cs="Times New Roman"/>
          <w:sz w:val="24"/>
          <w:szCs w:val="24"/>
        </w:rPr>
        <w:t xml:space="preserve"> genuinely</w:t>
      </w:r>
      <w:r w:rsidR="00795F1B" w:rsidRPr="00AE141E">
        <w:rPr>
          <w:rFonts w:ascii="Times New Roman" w:hAnsi="Times New Roman" w:cs="Times New Roman"/>
          <w:sz w:val="24"/>
          <w:szCs w:val="24"/>
        </w:rPr>
        <w:t xml:space="preserve"> hoped to bolster the educational attainment of </w:t>
      </w:r>
      <w:r w:rsidR="00A977A3" w:rsidRPr="00AE141E">
        <w:rPr>
          <w:rFonts w:ascii="Times New Roman" w:hAnsi="Times New Roman" w:cs="Times New Roman"/>
          <w:sz w:val="24"/>
          <w:szCs w:val="24"/>
        </w:rPr>
        <w:t>downwardly</w:t>
      </w:r>
      <w:r w:rsidR="00795F1B" w:rsidRPr="00AE141E">
        <w:rPr>
          <w:rFonts w:ascii="Times New Roman" w:hAnsi="Times New Roman" w:cs="Times New Roman"/>
          <w:sz w:val="24"/>
          <w:szCs w:val="24"/>
        </w:rPr>
        <w:t xml:space="preserve"> </w:t>
      </w:r>
      <w:r w:rsidR="00A977A3" w:rsidRPr="00AE141E">
        <w:rPr>
          <w:rFonts w:ascii="Times New Roman" w:hAnsi="Times New Roman" w:cs="Times New Roman"/>
          <w:sz w:val="24"/>
          <w:szCs w:val="24"/>
        </w:rPr>
        <w:t>racialised</w:t>
      </w:r>
      <w:r w:rsidR="00795F1B" w:rsidRPr="00AE141E">
        <w:rPr>
          <w:rFonts w:ascii="Times New Roman" w:hAnsi="Times New Roman" w:cs="Times New Roman"/>
          <w:sz w:val="24"/>
          <w:szCs w:val="24"/>
        </w:rPr>
        <w:t xml:space="preserve"> students by challenging ‘negative self-image’.</w:t>
      </w:r>
      <w:r w:rsidR="00795F1B" w:rsidRPr="00AE141E">
        <w:rPr>
          <w:rStyle w:val="FootnoteReference"/>
          <w:rFonts w:ascii="Times New Roman" w:hAnsi="Times New Roman" w:cs="Times New Roman"/>
          <w:sz w:val="24"/>
          <w:szCs w:val="24"/>
        </w:rPr>
        <w:footnoteReference w:id="486"/>
      </w:r>
      <w:r w:rsidR="00795F1B" w:rsidRPr="00AE141E">
        <w:rPr>
          <w:rFonts w:ascii="Times New Roman" w:hAnsi="Times New Roman" w:cs="Times New Roman"/>
          <w:sz w:val="24"/>
          <w:szCs w:val="24"/>
        </w:rPr>
        <w:t xml:space="preserve"> </w:t>
      </w:r>
      <w:r w:rsidR="007E7EFA" w:rsidRPr="00AE141E">
        <w:rPr>
          <w:rFonts w:ascii="Times New Roman" w:hAnsi="Times New Roman" w:cs="Times New Roman"/>
          <w:sz w:val="24"/>
          <w:szCs w:val="24"/>
        </w:rPr>
        <w:t>However,</w:t>
      </w:r>
      <w:r w:rsidR="00795F1B" w:rsidRPr="00AE141E">
        <w:rPr>
          <w:rFonts w:ascii="Times New Roman" w:hAnsi="Times New Roman" w:cs="Times New Roman"/>
          <w:sz w:val="24"/>
          <w:szCs w:val="24"/>
        </w:rPr>
        <w:t xml:space="preserve"> Dhondy ascribed a more cynica</w:t>
      </w:r>
      <w:r w:rsidR="009C0905" w:rsidRPr="00AE141E">
        <w:rPr>
          <w:rFonts w:ascii="Times New Roman" w:hAnsi="Times New Roman" w:cs="Times New Roman"/>
          <w:sz w:val="24"/>
          <w:szCs w:val="24"/>
        </w:rPr>
        <w:t>l, subtly disciplinary function to the</w:t>
      </w:r>
      <w:r w:rsidR="00795F1B" w:rsidRPr="00AE141E">
        <w:rPr>
          <w:rFonts w:ascii="Times New Roman" w:hAnsi="Times New Roman" w:cs="Times New Roman"/>
          <w:sz w:val="24"/>
          <w:szCs w:val="24"/>
        </w:rPr>
        <w:t xml:space="preserve"> translation</w:t>
      </w:r>
      <w:r w:rsidR="0093146A" w:rsidRPr="00AE141E">
        <w:rPr>
          <w:rFonts w:ascii="Times New Roman" w:hAnsi="Times New Roman" w:cs="Times New Roman"/>
          <w:sz w:val="24"/>
          <w:szCs w:val="24"/>
        </w:rPr>
        <w:t xml:space="preserve"> of Black Studies</w:t>
      </w:r>
      <w:r w:rsidR="00795F1B" w:rsidRPr="00AE141E">
        <w:rPr>
          <w:rFonts w:ascii="Times New Roman" w:hAnsi="Times New Roman" w:cs="Times New Roman"/>
          <w:sz w:val="24"/>
          <w:szCs w:val="24"/>
        </w:rPr>
        <w:t xml:space="preserve"> to a state educational setting. A curriculum which affirmed rather than undermined the identities of young people of colour had the capacity to curb alienation</w:t>
      </w:r>
      <w:r w:rsidR="00FE128F" w:rsidRPr="00AE141E">
        <w:rPr>
          <w:rFonts w:ascii="Times New Roman" w:hAnsi="Times New Roman" w:cs="Times New Roman"/>
          <w:sz w:val="24"/>
          <w:szCs w:val="24"/>
        </w:rPr>
        <w:t xml:space="preserve">; if students were to experience validation and </w:t>
      </w:r>
      <w:r w:rsidR="00483544" w:rsidRPr="00AE141E">
        <w:rPr>
          <w:rFonts w:ascii="Times New Roman" w:hAnsi="Times New Roman" w:cs="Times New Roman"/>
          <w:sz w:val="24"/>
          <w:szCs w:val="24"/>
        </w:rPr>
        <w:t>self-</w:t>
      </w:r>
      <w:r w:rsidR="00FE128F" w:rsidRPr="00AE141E">
        <w:rPr>
          <w:rFonts w:ascii="Times New Roman" w:hAnsi="Times New Roman" w:cs="Times New Roman"/>
          <w:sz w:val="24"/>
          <w:szCs w:val="24"/>
        </w:rPr>
        <w:t>recognition within mainstream education, they were less likely to seek it elsewhere</w:t>
      </w:r>
      <w:r w:rsidR="00FE128F" w:rsidRPr="00AE141E">
        <w:rPr>
          <w:rStyle w:val="FootnoteReference"/>
          <w:rFonts w:ascii="Times New Roman" w:hAnsi="Times New Roman" w:cs="Times New Roman"/>
          <w:sz w:val="24"/>
          <w:szCs w:val="24"/>
        </w:rPr>
        <w:t xml:space="preserve"> </w:t>
      </w:r>
      <w:r w:rsidR="00795F1B" w:rsidRPr="00AE141E">
        <w:rPr>
          <w:rStyle w:val="FootnoteReference"/>
          <w:rFonts w:ascii="Times New Roman" w:hAnsi="Times New Roman" w:cs="Times New Roman"/>
          <w:sz w:val="24"/>
          <w:szCs w:val="24"/>
        </w:rPr>
        <w:footnoteReference w:id="487"/>
      </w:r>
      <w:r w:rsidR="00795F1B" w:rsidRPr="00AE141E">
        <w:rPr>
          <w:rFonts w:ascii="Times New Roman" w:hAnsi="Times New Roman" w:cs="Times New Roman"/>
          <w:sz w:val="24"/>
          <w:szCs w:val="24"/>
        </w:rPr>
        <w:t xml:space="preserve">. Thus, Black Studies might offer an opportunity to defang youth movements like the Rastafari. </w:t>
      </w:r>
      <w:r w:rsidR="00F44D74" w:rsidRPr="00AE141E">
        <w:rPr>
          <w:rFonts w:ascii="Times New Roman" w:hAnsi="Times New Roman" w:cs="Times New Roman"/>
          <w:sz w:val="24"/>
          <w:szCs w:val="24"/>
        </w:rPr>
        <w:t>Contemporaries noted the use of Black Studies to pacify and control ‘non-examinable’ Black pupils, ‘while white pupils got on with their ‘O’ levels and CSEs’.</w:t>
      </w:r>
      <w:r w:rsidR="00F44D74" w:rsidRPr="00AE141E">
        <w:rPr>
          <w:rStyle w:val="FootnoteReference"/>
          <w:rFonts w:ascii="Times New Roman" w:hAnsi="Times New Roman" w:cs="Times New Roman"/>
          <w:sz w:val="24"/>
          <w:szCs w:val="24"/>
        </w:rPr>
        <w:footnoteReference w:id="488"/>
      </w:r>
      <w:r w:rsidR="00B536F2">
        <w:rPr>
          <w:rFonts w:ascii="Times New Roman" w:hAnsi="Times New Roman" w:cs="Times New Roman"/>
          <w:sz w:val="24"/>
          <w:szCs w:val="24"/>
        </w:rPr>
        <w:t xml:space="preserve"> </w:t>
      </w:r>
      <w:r w:rsidR="00B536F2" w:rsidRPr="00AE141E">
        <w:rPr>
          <w:rFonts w:ascii="Times New Roman" w:hAnsi="Times New Roman" w:cs="Times New Roman"/>
          <w:sz w:val="24"/>
          <w:szCs w:val="24"/>
        </w:rPr>
        <w:t>As Carter has argued, racially minoritised pupils risked being prescribed ‘“self” histories’ as an ‘easy’ option in examination forms.</w:t>
      </w:r>
      <w:r w:rsidR="00B536F2" w:rsidRPr="00AE141E">
        <w:rPr>
          <w:rStyle w:val="FootnoteReference"/>
          <w:rFonts w:ascii="Times New Roman" w:hAnsi="Times New Roman" w:cs="Times New Roman"/>
          <w:sz w:val="24"/>
          <w:szCs w:val="24"/>
        </w:rPr>
        <w:footnoteReference w:id="489"/>
      </w:r>
      <w:r w:rsidR="00B536F2" w:rsidRPr="00AE141E">
        <w:rPr>
          <w:rFonts w:ascii="Times New Roman" w:hAnsi="Times New Roman" w:cs="Times New Roman"/>
          <w:sz w:val="24"/>
          <w:szCs w:val="24"/>
        </w:rPr>
        <w:t xml:space="preserve"> </w:t>
      </w:r>
    </w:p>
    <w:p w14:paraId="01283313" w14:textId="2F45E07D" w:rsidR="00795F1B" w:rsidRPr="00AE141E" w:rsidRDefault="00CE5D8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Encouraged by </w:t>
      </w:r>
      <w:r w:rsidR="00D16604" w:rsidRPr="00AE141E">
        <w:rPr>
          <w:rFonts w:ascii="Times New Roman" w:hAnsi="Times New Roman" w:cs="Times New Roman"/>
          <w:sz w:val="24"/>
          <w:szCs w:val="24"/>
        </w:rPr>
        <w:t>the campaigning work of</w:t>
      </w:r>
      <w:r w:rsidR="00E702AD" w:rsidRPr="00AE141E">
        <w:rPr>
          <w:rFonts w:ascii="Times New Roman" w:hAnsi="Times New Roman" w:cs="Times New Roman"/>
          <w:sz w:val="24"/>
          <w:szCs w:val="24"/>
        </w:rPr>
        <w:t xml:space="preserve"> Teachers </w:t>
      </w:r>
      <w:r w:rsidR="00A77EA6" w:rsidRPr="00AE141E">
        <w:rPr>
          <w:rFonts w:ascii="Times New Roman" w:hAnsi="Times New Roman" w:cs="Times New Roman"/>
          <w:sz w:val="24"/>
          <w:szCs w:val="24"/>
        </w:rPr>
        <w:t>A</w:t>
      </w:r>
      <w:r w:rsidR="00E702AD" w:rsidRPr="00AE141E">
        <w:rPr>
          <w:rFonts w:ascii="Times New Roman" w:hAnsi="Times New Roman" w:cs="Times New Roman"/>
          <w:sz w:val="24"/>
          <w:szCs w:val="24"/>
        </w:rPr>
        <w:t>gainst Racism</w:t>
      </w:r>
      <w:r w:rsidR="00293DDD" w:rsidRPr="00AE141E">
        <w:rPr>
          <w:rFonts w:ascii="Times New Roman" w:hAnsi="Times New Roman" w:cs="Times New Roman"/>
          <w:sz w:val="24"/>
          <w:szCs w:val="24"/>
        </w:rPr>
        <w:t xml:space="preserve"> (TAR)</w:t>
      </w:r>
      <w:r w:rsidR="00E702AD" w:rsidRPr="00AE141E">
        <w:rPr>
          <w:rFonts w:ascii="Times New Roman" w:hAnsi="Times New Roman" w:cs="Times New Roman"/>
          <w:sz w:val="24"/>
          <w:szCs w:val="24"/>
        </w:rPr>
        <w:t>, t</w:t>
      </w:r>
      <w:r w:rsidR="00795F1B" w:rsidRPr="00AE141E">
        <w:rPr>
          <w:rFonts w:ascii="Times New Roman" w:hAnsi="Times New Roman" w:cs="Times New Roman"/>
          <w:sz w:val="24"/>
          <w:szCs w:val="24"/>
        </w:rPr>
        <w:t>he London Borough of Lambeth piloted Black Studies in the Sixth Forms of multiple secondary schools as part of an effort to prevent crimes associated with truancy.</w:t>
      </w:r>
      <w:r w:rsidR="00795F1B" w:rsidRPr="00AE141E">
        <w:rPr>
          <w:rStyle w:val="FootnoteReference"/>
          <w:rFonts w:ascii="Times New Roman" w:hAnsi="Times New Roman" w:cs="Times New Roman"/>
          <w:sz w:val="24"/>
          <w:szCs w:val="24"/>
        </w:rPr>
        <w:footnoteReference w:id="490"/>
      </w:r>
      <w:r w:rsidR="00795F1B" w:rsidRPr="00AE141E">
        <w:rPr>
          <w:rFonts w:ascii="Times New Roman" w:hAnsi="Times New Roman" w:cs="Times New Roman"/>
          <w:sz w:val="24"/>
          <w:szCs w:val="24"/>
        </w:rPr>
        <w:t xml:space="preserve"> Black Studies, in this </w:t>
      </w:r>
      <w:r w:rsidR="00FD5491" w:rsidRPr="00AE141E">
        <w:rPr>
          <w:rFonts w:ascii="Times New Roman" w:hAnsi="Times New Roman" w:cs="Times New Roman"/>
          <w:sz w:val="24"/>
          <w:szCs w:val="24"/>
        </w:rPr>
        <w:t>setting</w:t>
      </w:r>
      <w:r w:rsidR="00795F1B" w:rsidRPr="00AE141E">
        <w:rPr>
          <w:rFonts w:ascii="Times New Roman" w:hAnsi="Times New Roman" w:cs="Times New Roman"/>
          <w:sz w:val="24"/>
          <w:szCs w:val="24"/>
        </w:rPr>
        <w:t xml:space="preserve">, </w:t>
      </w:r>
      <w:r w:rsidR="006E51DC" w:rsidRPr="00AE141E">
        <w:rPr>
          <w:rFonts w:ascii="Times New Roman" w:hAnsi="Times New Roman" w:cs="Times New Roman"/>
          <w:sz w:val="24"/>
          <w:szCs w:val="24"/>
        </w:rPr>
        <w:t>certainly tried</w:t>
      </w:r>
      <w:r w:rsidR="00795F1B" w:rsidRPr="00AE141E">
        <w:rPr>
          <w:rFonts w:ascii="Times New Roman" w:hAnsi="Times New Roman" w:cs="Times New Roman"/>
          <w:sz w:val="24"/>
          <w:szCs w:val="24"/>
        </w:rPr>
        <w:t xml:space="preserve"> to exercise control over rebellious youth. Similarly, it seems no coincidence that the two clearest governmental endorsements of educational multiculturalism – the Rampton Report (1981) and the Swann Report (1985) – were both issued in the aftermath of the 1981 riots, often viewed as a form of youth rebellion against state racism.</w:t>
      </w:r>
      <w:r w:rsidR="00795F1B" w:rsidRPr="00AE141E">
        <w:rPr>
          <w:rStyle w:val="FootnoteReference"/>
          <w:rFonts w:ascii="Times New Roman" w:hAnsi="Times New Roman" w:cs="Times New Roman"/>
          <w:sz w:val="24"/>
          <w:szCs w:val="24"/>
        </w:rPr>
        <w:footnoteReference w:id="491"/>
      </w:r>
      <w:r w:rsidR="00795F1B" w:rsidRPr="00AE141E">
        <w:rPr>
          <w:rFonts w:ascii="Times New Roman" w:hAnsi="Times New Roman" w:cs="Times New Roman"/>
          <w:sz w:val="24"/>
          <w:szCs w:val="24"/>
        </w:rPr>
        <w:t xml:space="preserve"> The Rampton Committee was created by the Labour government prior to their dramatic loss in the </w:t>
      </w:r>
      <w:r w:rsidR="00795F1B" w:rsidRPr="00AE141E">
        <w:rPr>
          <w:rFonts w:ascii="Times New Roman" w:hAnsi="Times New Roman" w:cs="Times New Roman"/>
          <w:sz w:val="24"/>
          <w:szCs w:val="24"/>
        </w:rPr>
        <w:lastRenderedPageBreak/>
        <w:t>1979 election. The incoming Prime Minister, Margaret Thatcher, was initially eager to terminate its work. Sally Tomlinson, herself intimately involved in contemporary movements for educational justice, wrote that it was a combination of the pressure of ‘riots and reports’ which preserved the committee, now under the leadership of the Liberal Lord Swann.</w:t>
      </w:r>
      <w:r w:rsidR="00795F1B" w:rsidRPr="00AE141E">
        <w:rPr>
          <w:rStyle w:val="FootnoteReference"/>
          <w:rFonts w:ascii="Times New Roman" w:hAnsi="Times New Roman" w:cs="Times New Roman"/>
          <w:sz w:val="24"/>
          <w:szCs w:val="24"/>
        </w:rPr>
        <w:footnoteReference w:id="492"/>
      </w:r>
      <w:r w:rsidR="00795F1B" w:rsidRPr="00AE141E">
        <w:rPr>
          <w:rFonts w:ascii="Times New Roman" w:hAnsi="Times New Roman" w:cs="Times New Roman"/>
          <w:sz w:val="24"/>
          <w:szCs w:val="24"/>
        </w:rPr>
        <w:t xml:space="preserve"> </w:t>
      </w:r>
    </w:p>
    <w:p w14:paraId="7E3C10AD" w14:textId="55D40023" w:rsidR="00795F1B" w:rsidRPr="00AE141E" w:rsidRDefault="00795F1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history was important to </w:t>
      </w:r>
      <w:r w:rsidR="00480E27" w:rsidRPr="00AE141E">
        <w:rPr>
          <w:rFonts w:ascii="Times New Roman" w:hAnsi="Times New Roman" w:cs="Times New Roman"/>
          <w:sz w:val="24"/>
          <w:szCs w:val="24"/>
        </w:rPr>
        <w:t>the feared</w:t>
      </w:r>
      <w:r w:rsidRPr="00AE141E">
        <w:rPr>
          <w:rFonts w:ascii="Times New Roman" w:hAnsi="Times New Roman" w:cs="Times New Roman"/>
          <w:sz w:val="24"/>
          <w:szCs w:val="24"/>
        </w:rPr>
        <w:t xml:space="preserve"> youth movements, so too was it prioritised in multicultural curricula. One parent, pained by – yet understanding of – their child’s educational disengagement, argued that ‘factions like Rastafarians’ gained power from a situation in which young people were desperately ‘trying to identify with something they can call their own’.</w:t>
      </w:r>
      <w:r w:rsidRPr="00AE141E">
        <w:rPr>
          <w:rStyle w:val="FootnoteReference"/>
          <w:rFonts w:ascii="Times New Roman" w:hAnsi="Times New Roman" w:cs="Times New Roman"/>
          <w:sz w:val="24"/>
          <w:szCs w:val="24"/>
        </w:rPr>
        <w:footnoteReference w:id="493"/>
      </w:r>
      <w:r w:rsidRPr="00AE141E">
        <w:rPr>
          <w:rFonts w:ascii="Times New Roman" w:hAnsi="Times New Roman" w:cs="Times New Roman"/>
          <w:sz w:val="24"/>
          <w:szCs w:val="24"/>
        </w:rPr>
        <w:t xml:space="preserve"> If history classrooms could be transformed into a site in which Black identities were valorised, then Rastafari would ‘lose out’</w:t>
      </w:r>
      <w:r w:rsidR="00D870B4" w:rsidRPr="00AE141E">
        <w:rPr>
          <w:rFonts w:ascii="Times New Roman" w:hAnsi="Times New Roman" w:cs="Times New Roman"/>
          <w:sz w:val="24"/>
          <w:szCs w:val="24"/>
        </w:rPr>
        <w:t>. T</w:t>
      </w:r>
      <w:r w:rsidRPr="00AE141E">
        <w:rPr>
          <w:rFonts w:ascii="Times New Roman" w:hAnsi="Times New Roman" w:cs="Times New Roman"/>
          <w:sz w:val="24"/>
          <w:szCs w:val="24"/>
        </w:rPr>
        <w:t xml:space="preserve">he parent in question certainly wasn’t interested in the radical Blackness constructed by the BEM’s engagement with Black history. If Black history was to be integrated into mainstream education, as an aid to Black students’ peaceful integration and inclusion within that system, the </w:t>
      </w:r>
      <w:r w:rsidR="00C50D9A" w:rsidRPr="00AE141E">
        <w:rPr>
          <w:rFonts w:ascii="Times New Roman" w:hAnsi="Times New Roman" w:cs="Times New Roman"/>
          <w:sz w:val="24"/>
          <w:szCs w:val="24"/>
        </w:rPr>
        <w:t xml:space="preserve">object </w:t>
      </w:r>
      <w:r w:rsidRPr="00AE141E">
        <w:rPr>
          <w:rFonts w:ascii="Times New Roman" w:hAnsi="Times New Roman" w:cs="Times New Roman"/>
          <w:sz w:val="24"/>
          <w:szCs w:val="24"/>
        </w:rPr>
        <w:t xml:space="preserve">of study could not be constitutive of a political identity which sought alternatives outside the system. South Asian parents sometimes articulated a similar reasoning. An AFFOR interviewee claimed that ‘there are quite a few subjects on the school curriculum at the moment where we as Asians do not get a look in, but where we could quite easily do so </w:t>
      </w:r>
      <w:r w:rsidRPr="00AE141E">
        <w:rPr>
          <w:rFonts w:ascii="Times New Roman" w:hAnsi="Times New Roman" w:cs="Times New Roman"/>
          <w:i/>
          <w:sz w:val="24"/>
          <w:szCs w:val="24"/>
        </w:rPr>
        <w:t>without causing any kind of upsetting the system</w:t>
      </w:r>
      <w:r w:rsidRPr="00AE141E">
        <w:rPr>
          <w:rFonts w:ascii="Times New Roman" w:hAnsi="Times New Roman" w:cs="Times New Roman"/>
          <w:sz w:val="24"/>
          <w:szCs w:val="24"/>
        </w:rPr>
        <w:t xml:space="preserve"> [emphasis added]’, citing the example of History.</w:t>
      </w:r>
      <w:r w:rsidRPr="00AE141E">
        <w:rPr>
          <w:rStyle w:val="FootnoteReference"/>
          <w:rFonts w:ascii="Times New Roman" w:hAnsi="Times New Roman" w:cs="Times New Roman"/>
          <w:sz w:val="24"/>
          <w:szCs w:val="24"/>
        </w:rPr>
        <w:footnoteReference w:id="494"/>
      </w:r>
      <w:r w:rsidRPr="00AE141E">
        <w:rPr>
          <w:rFonts w:ascii="Times New Roman" w:hAnsi="Times New Roman" w:cs="Times New Roman"/>
          <w:sz w:val="24"/>
          <w:szCs w:val="24"/>
        </w:rPr>
        <w:t xml:space="preserve"> Plural histories were here valued as an ameliorative concession designed to curb more radical political possibilities; the intention was to preserve the </w:t>
      </w:r>
      <w:r w:rsidRPr="00AE141E">
        <w:rPr>
          <w:rFonts w:ascii="Times New Roman" w:hAnsi="Times New Roman" w:cs="Times New Roman"/>
          <w:i/>
          <w:sz w:val="24"/>
          <w:szCs w:val="24"/>
        </w:rPr>
        <w:t xml:space="preserve">status quo </w:t>
      </w:r>
      <w:r w:rsidRPr="00AE141E">
        <w:rPr>
          <w:rFonts w:ascii="Times New Roman" w:hAnsi="Times New Roman" w:cs="Times New Roman"/>
          <w:sz w:val="24"/>
          <w:szCs w:val="24"/>
        </w:rPr>
        <w:t xml:space="preserve">as far as possible, by achieving consent from racially minoritised youth. </w:t>
      </w:r>
    </w:p>
    <w:p w14:paraId="2456D002" w14:textId="3ADC2CD4" w:rsidR="009D5630" w:rsidRPr="00AE141E" w:rsidRDefault="00F7541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Black Studies</w:t>
      </w:r>
      <w:r w:rsidR="00E804CC" w:rsidRPr="00AE141E">
        <w:rPr>
          <w:rFonts w:ascii="Times New Roman" w:hAnsi="Times New Roman" w:cs="Times New Roman"/>
          <w:sz w:val="24"/>
          <w:szCs w:val="24"/>
        </w:rPr>
        <w:t xml:space="preserve"> courses were immediately controversial.</w:t>
      </w:r>
      <w:r w:rsidR="00810E5F" w:rsidRPr="00AE141E">
        <w:rPr>
          <w:rFonts w:ascii="Times New Roman" w:hAnsi="Times New Roman" w:cs="Times New Roman"/>
          <w:sz w:val="24"/>
          <w:szCs w:val="24"/>
        </w:rPr>
        <w:t xml:space="preserve"> Critics argued that the </w:t>
      </w:r>
      <w:r w:rsidR="0022769F" w:rsidRPr="00AE141E">
        <w:rPr>
          <w:rFonts w:ascii="Times New Roman" w:hAnsi="Times New Roman" w:cs="Times New Roman"/>
          <w:sz w:val="24"/>
          <w:szCs w:val="24"/>
        </w:rPr>
        <w:t>message</w:t>
      </w:r>
      <w:r w:rsidR="00810E5F" w:rsidRPr="00AE141E">
        <w:rPr>
          <w:rFonts w:ascii="Times New Roman" w:hAnsi="Times New Roman" w:cs="Times New Roman"/>
          <w:sz w:val="24"/>
          <w:szCs w:val="24"/>
        </w:rPr>
        <w:t xml:space="preserve"> of Black Studies </w:t>
      </w:r>
      <w:r w:rsidR="0022769F" w:rsidRPr="00AE141E">
        <w:rPr>
          <w:rFonts w:ascii="Times New Roman" w:hAnsi="Times New Roman" w:cs="Times New Roman"/>
          <w:sz w:val="24"/>
          <w:szCs w:val="24"/>
        </w:rPr>
        <w:t>would be</w:t>
      </w:r>
      <w:r w:rsidR="00810E5F" w:rsidRPr="00AE141E">
        <w:rPr>
          <w:rFonts w:ascii="Times New Roman" w:hAnsi="Times New Roman" w:cs="Times New Roman"/>
          <w:sz w:val="24"/>
          <w:szCs w:val="24"/>
        </w:rPr>
        <w:t xml:space="preserve"> devalued and undercut </w:t>
      </w:r>
      <w:r w:rsidR="0022769F" w:rsidRPr="00AE141E">
        <w:rPr>
          <w:rFonts w:ascii="Times New Roman" w:hAnsi="Times New Roman" w:cs="Times New Roman"/>
          <w:sz w:val="24"/>
          <w:szCs w:val="24"/>
        </w:rPr>
        <w:t>if</w:t>
      </w:r>
      <w:r w:rsidR="00810E5F" w:rsidRPr="00AE141E">
        <w:rPr>
          <w:rFonts w:ascii="Times New Roman" w:hAnsi="Times New Roman" w:cs="Times New Roman"/>
          <w:sz w:val="24"/>
          <w:szCs w:val="24"/>
        </w:rPr>
        <w:t xml:space="preserve"> the </w:t>
      </w:r>
      <w:r w:rsidR="002847E3" w:rsidRPr="00AE141E">
        <w:rPr>
          <w:rFonts w:ascii="Times New Roman" w:hAnsi="Times New Roman" w:cs="Times New Roman"/>
          <w:sz w:val="24"/>
          <w:szCs w:val="24"/>
        </w:rPr>
        <w:t>remainder of the school curriculum</w:t>
      </w:r>
      <w:r w:rsidR="0022769F" w:rsidRPr="00AE141E">
        <w:rPr>
          <w:rFonts w:ascii="Times New Roman" w:hAnsi="Times New Roman" w:cs="Times New Roman"/>
          <w:sz w:val="24"/>
          <w:szCs w:val="24"/>
        </w:rPr>
        <w:t xml:space="preserve"> was left unchanged</w:t>
      </w:r>
      <w:r w:rsidR="002847E3" w:rsidRPr="00AE141E">
        <w:rPr>
          <w:rFonts w:ascii="Times New Roman" w:hAnsi="Times New Roman" w:cs="Times New Roman"/>
          <w:sz w:val="24"/>
          <w:szCs w:val="24"/>
        </w:rPr>
        <w:t>.</w:t>
      </w:r>
      <w:r w:rsidR="0022769F" w:rsidRPr="00AE141E">
        <w:rPr>
          <w:rFonts w:ascii="Times New Roman" w:hAnsi="Times New Roman" w:cs="Times New Roman"/>
          <w:sz w:val="24"/>
          <w:szCs w:val="24"/>
        </w:rPr>
        <w:t xml:space="preserve"> </w:t>
      </w:r>
      <w:r w:rsidR="00810E5F" w:rsidRPr="00AE141E">
        <w:rPr>
          <w:rFonts w:ascii="Times New Roman" w:hAnsi="Times New Roman" w:cs="Times New Roman"/>
          <w:sz w:val="24"/>
          <w:szCs w:val="24"/>
        </w:rPr>
        <w:t>B</w:t>
      </w:r>
      <w:r w:rsidR="00381BEB" w:rsidRPr="00AE141E">
        <w:rPr>
          <w:rFonts w:ascii="Times New Roman" w:hAnsi="Times New Roman" w:cs="Times New Roman"/>
          <w:sz w:val="24"/>
          <w:szCs w:val="24"/>
        </w:rPr>
        <w:t xml:space="preserve">everley Bryan, Stella Dadzie, and Suzanne Scafe </w:t>
      </w:r>
      <w:r w:rsidR="00946B66" w:rsidRPr="00AE141E">
        <w:rPr>
          <w:rFonts w:ascii="Times New Roman" w:hAnsi="Times New Roman" w:cs="Times New Roman"/>
          <w:sz w:val="24"/>
          <w:szCs w:val="24"/>
        </w:rPr>
        <w:t xml:space="preserve">observed the </w:t>
      </w:r>
      <w:r w:rsidR="0022769F" w:rsidRPr="00AE141E">
        <w:rPr>
          <w:rFonts w:ascii="Times New Roman" w:hAnsi="Times New Roman" w:cs="Times New Roman"/>
          <w:sz w:val="24"/>
          <w:szCs w:val="24"/>
        </w:rPr>
        <w:t>irony of teaching</w:t>
      </w:r>
      <w:r w:rsidR="00065E68" w:rsidRPr="00AE141E">
        <w:rPr>
          <w:rFonts w:ascii="Times New Roman" w:hAnsi="Times New Roman" w:cs="Times New Roman"/>
          <w:sz w:val="24"/>
          <w:szCs w:val="24"/>
        </w:rPr>
        <w:t xml:space="preserve"> Black Studies</w:t>
      </w:r>
      <w:r w:rsidR="007102D7" w:rsidRPr="00AE141E">
        <w:rPr>
          <w:rFonts w:ascii="Times New Roman" w:hAnsi="Times New Roman" w:cs="Times New Roman"/>
          <w:sz w:val="24"/>
          <w:szCs w:val="24"/>
        </w:rPr>
        <w:t xml:space="preserve"> alongside</w:t>
      </w:r>
      <w:r w:rsidR="00065E68" w:rsidRPr="00AE141E">
        <w:rPr>
          <w:rFonts w:ascii="Times New Roman" w:hAnsi="Times New Roman" w:cs="Times New Roman"/>
          <w:sz w:val="24"/>
          <w:szCs w:val="24"/>
        </w:rPr>
        <w:t xml:space="preserve"> </w:t>
      </w:r>
      <w:r w:rsidR="008573EE" w:rsidRPr="00AE141E">
        <w:rPr>
          <w:rFonts w:ascii="Times New Roman" w:hAnsi="Times New Roman" w:cs="Times New Roman"/>
          <w:sz w:val="24"/>
          <w:szCs w:val="24"/>
        </w:rPr>
        <w:t>geography lessons</w:t>
      </w:r>
      <w:r w:rsidR="00065E68" w:rsidRPr="00AE141E">
        <w:rPr>
          <w:rFonts w:ascii="Times New Roman" w:hAnsi="Times New Roman" w:cs="Times New Roman"/>
          <w:sz w:val="24"/>
          <w:szCs w:val="24"/>
        </w:rPr>
        <w:t xml:space="preserve"> ‘which depicted the “developing” Third World as being totally dependent upon western generosity’, and history class</w:t>
      </w:r>
      <w:r w:rsidR="008573EE" w:rsidRPr="00AE141E">
        <w:rPr>
          <w:rFonts w:ascii="Times New Roman" w:hAnsi="Times New Roman" w:cs="Times New Roman"/>
          <w:sz w:val="24"/>
          <w:szCs w:val="24"/>
        </w:rPr>
        <w:t>es</w:t>
      </w:r>
      <w:r w:rsidR="00065E68" w:rsidRPr="00AE141E">
        <w:rPr>
          <w:rFonts w:ascii="Times New Roman" w:hAnsi="Times New Roman" w:cs="Times New Roman"/>
          <w:sz w:val="24"/>
          <w:szCs w:val="24"/>
        </w:rPr>
        <w:t xml:space="preserve"> ‘which concentrated on glorious white conquest’.</w:t>
      </w:r>
      <w:r w:rsidR="00D13652" w:rsidRPr="00AE141E">
        <w:rPr>
          <w:rStyle w:val="FootnoteReference"/>
          <w:rFonts w:ascii="Times New Roman" w:hAnsi="Times New Roman" w:cs="Times New Roman"/>
          <w:sz w:val="24"/>
          <w:szCs w:val="24"/>
        </w:rPr>
        <w:footnoteReference w:id="495"/>
      </w:r>
      <w:r w:rsidR="00065E68" w:rsidRPr="00AE141E">
        <w:rPr>
          <w:rFonts w:ascii="Times New Roman" w:hAnsi="Times New Roman" w:cs="Times New Roman"/>
          <w:sz w:val="24"/>
          <w:szCs w:val="24"/>
        </w:rPr>
        <w:t xml:space="preserve"> </w:t>
      </w:r>
      <w:r w:rsidR="001C2159" w:rsidRPr="00AE141E">
        <w:rPr>
          <w:rFonts w:ascii="Times New Roman" w:hAnsi="Times New Roman" w:cs="Times New Roman"/>
          <w:sz w:val="24"/>
          <w:szCs w:val="24"/>
        </w:rPr>
        <w:t>C</w:t>
      </w:r>
      <w:r w:rsidR="00795F1B" w:rsidRPr="00AE141E">
        <w:rPr>
          <w:rFonts w:ascii="Times New Roman" w:hAnsi="Times New Roman" w:cs="Times New Roman"/>
          <w:sz w:val="24"/>
          <w:szCs w:val="24"/>
        </w:rPr>
        <w:t xml:space="preserve">riticism </w:t>
      </w:r>
      <w:r w:rsidR="001C2159" w:rsidRPr="00AE141E">
        <w:rPr>
          <w:rFonts w:ascii="Times New Roman" w:hAnsi="Times New Roman" w:cs="Times New Roman"/>
          <w:sz w:val="24"/>
          <w:szCs w:val="24"/>
        </w:rPr>
        <w:t xml:space="preserve">also </w:t>
      </w:r>
      <w:r w:rsidR="00CC5896" w:rsidRPr="00AE141E">
        <w:rPr>
          <w:rFonts w:ascii="Times New Roman" w:hAnsi="Times New Roman" w:cs="Times New Roman"/>
          <w:sz w:val="24"/>
          <w:szCs w:val="24"/>
        </w:rPr>
        <w:t xml:space="preserve">focused on the paucity of </w:t>
      </w:r>
      <w:r w:rsidR="00CC5896" w:rsidRPr="00AE141E">
        <w:rPr>
          <w:rFonts w:ascii="Times New Roman" w:hAnsi="Times New Roman" w:cs="Times New Roman"/>
          <w:sz w:val="24"/>
          <w:szCs w:val="24"/>
        </w:rPr>
        <w:lastRenderedPageBreak/>
        <w:t xml:space="preserve">provision for White </w:t>
      </w:r>
      <w:r w:rsidR="00FD0A7C" w:rsidRPr="00AE141E">
        <w:rPr>
          <w:rFonts w:ascii="Times New Roman" w:hAnsi="Times New Roman" w:cs="Times New Roman"/>
          <w:sz w:val="24"/>
          <w:szCs w:val="24"/>
        </w:rPr>
        <w:t>pupils</w:t>
      </w:r>
      <w:r w:rsidR="0024542D" w:rsidRPr="00AE141E">
        <w:rPr>
          <w:rFonts w:ascii="Times New Roman" w:hAnsi="Times New Roman" w:cs="Times New Roman"/>
          <w:sz w:val="24"/>
          <w:szCs w:val="24"/>
        </w:rPr>
        <w:t xml:space="preserve">, whose racist assumptions were left unchallenged by educational interventions </w:t>
      </w:r>
      <w:r w:rsidR="00FD0A7C" w:rsidRPr="00AE141E">
        <w:rPr>
          <w:rFonts w:ascii="Times New Roman" w:hAnsi="Times New Roman" w:cs="Times New Roman"/>
          <w:sz w:val="24"/>
          <w:szCs w:val="24"/>
        </w:rPr>
        <w:t>targeting the specific needs of students of colour.</w:t>
      </w:r>
      <w:r w:rsidR="002B6B64" w:rsidRPr="00AE141E">
        <w:rPr>
          <w:rFonts w:ascii="Times New Roman" w:hAnsi="Times New Roman" w:cs="Times New Roman"/>
          <w:sz w:val="24"/>
          <w:szCs w:val="24"/>
        </w:rPr>
        <w:t xml:space="preserve"> </w:t>
      </w:r>
      <w:r w:rsidR="00FD0A7C" w:rsidRPr="00AE141E">
        <w:rPr>
          <w:rFonts w:ascii="Times New Roman" w:hAnsi="Times New Roman" w:cs="Times New Roman"/>
          <w:sz w:val="24"/>
          <w:szCs w:val="24"/>
        </w:rPr>
        <w:t>T</w:t>
      </w:r>
      <w:r w:rsidR="00795F1B" w:rsidRPr="00AE141E">
        <w:rPr>
          <w:rFonts w:ascii="Times New Roman" w:hAnsi="Times New Roman" w:cs="Times New Roman"/>
          <w:sz w:val="24"/>
          <w:szCs w:val="24"/>
        </w:rPr>
        <w:t xml:space="preserve">eachers </w:t>
      </w:r>
      <w:r w:rsidR="00FD0A7C" w:rsidRPr="00AE141E">
        <w:rPr>
          <w:rFonts w:ascii="Times New Roman" w:hAnsi="Times New Roman" w:cs="Times New Roman"/>
          <w:sz w:val="24"/>
          <w:szCs w:val="24"/>
        </w:rPr>
        <w:t xml:space="preserve">were increasingly </w:t>
      </w:r>
      <w:r w:rsidR="00795F1B" w:rsidRPr="00AE141E">
        <w:rPr>
          <w:rFonts w:ascii="Times New Roman" w:hAnsi="Times New Roman" w:cs="Times New Roman"/>
          <w:sz w:val="24"/>
          <w:szCs w:val="24"/>
        </w:rPr>
        <w:t>concerned with youth racism and the resurgence of British fascism – embodied in the growing power of the National Front.</w:t>
      </w:r>
      <w:r w:rsidR="00795F1B" w:rsidRPr="00AE141E">
        <w:rPr>
          <w:rStyle w:val="FootnoteReference"/>
          <w:rFonts w:ascii="Times New Roman" w:hAnsi="Times New Roman" w:cs="Times New Roman"/>
          <w:sz w:val="24"/>
          <w:szCs w:val="24"/>
        </w:rPr>
        <w:footnoteReference w:id="496"/>
      </w:r>
      <w:r w:rsidR="00795F1B" w:rsidRPr="00AE141E">
        <w:rPr>
          <w:rFonts w:ascii="Times New Roman" w:hAnsi="Times New Roman" w:cs="Times New Roman"/>
          <w:sz w:val="24"/>
          <w:szCs w:val="24"/>
        </w:rPr>
        <w:t xml:space="preserve"> Rampton noted the experience of a London secondary school which had instituted a Black Studies curriculum, only to find that racial tensions were heightened; White pupils, along with ‘many of the staff</w:t>
      </w:r>
      <w:r w:rsidR="005A209F">
        <w:rPr>
          <w:rFonts w:ascii="Times New Roman" w:hAnsi="Times New Roman" w:cs="Times New Roman"/>
          <w:sz w:val="24"/>
          <w:szCs w:val="24"/>
        </w:rPr>
        <w:t>’</w:t>
      </w:r>
      <w:r w:rsidR="00795F1B" w:rsidRPr="00AE141E">
        <w:rPr>
          <w:rFonts w:ascii="Times New Roman" w:hAnsi="Times New Roman" w:cs="Times New Roman"/>
          <w:sz w:val="24"/>
          <w:szCs w:val="24"/>
        </w:rPr>
        <w:t>, resented and reacted against the ‘special treatment’ of West Indian students.</w:t>
      </w:r>
      <w:r w:rsidR="00795F1B" w:rsidRPr="00AE141E">
        <w:rPr>
          <w:rStyle w:val="FootnoteReference"/>
          <w:rFonts w:ascii="Times New Roman" w:hAnsi="Times New Roman" w:cs="Times New Roman"/>
          <w:sz w:val="24"/>
          <w:szCs w:val="24"/>
        </w:rPr>
        <w:footnoteReference w:id="497"/>
      </w:r>
      <w:r w:rsidR="00795F1B" w:rsidRPr="00AE141E">
        <w:rPr>
          <w:rFonts w:ascii="Times New Roman" w:hAnsi="Times New Roman" w:cs="Times New Roman"/>
          <w:sz w:val="24"/>
          <w:szCs w:val="24"/>
        </w:rPr>
        <w:t xml:space="preserve"> </w:t>
      </w:r>
    </w:p>
    <w:p w14:paraId="37782C10" w14:textId="2679D888" w:rsidR="00521E2A" w:rsidRPr="00AE141E" w:rsidRDefault="0027156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the place of separate Black Studies courses, Rampton expressed support for a multicultural approach which encompassed the totality of the curriculum.</w:t>
      </w:r>
      <w:r w:rsidR="00065CAB" w:rsidRPr="00AE141E">
        <w:rPr>
          <w:rFonts w:ascii="Times New Roman" w:hAnsi="Times New Roman" w:cs="Times New Roman"/>
          <w:sz w:val="24"/>
          <w:szCs w:val="24"/>
        </w:rPr>
        <w:t xml:space="preserve"> </w:t>
      </w:r>
      <w:r w:rsidR="00795F1B" w:rsidRPr="00AE141E">
        <w:rPr>
          <w:rFonts w:ascii="Times New Roman" w:hAnsi="Times New Roman" w:cs="Times New Roman"/>
          <w:sz w:val="24"/>
          <w:szCs w:val="24"/>
        </w:rPr>
        <w:t xml:space="preserve">In this iteration, multiculturalism was linked to a concept of good citizenship and the crafting of a governable civil society, in what was sometimes </w:t>
      </w:r>
      <w:r w:rsidR="008E1631" w:rsidRPr="00AE141E">
        <w:rPr>
          <w:rFonts w:ascii="Times New Roman" w:hAnsi="Times New Roman" w:cs="Times New Roman"/>
          <w:sz w:val="24"/>
          <w:szCs w:val="24"/>
        </w:rPr>
        <w:t>perceived</w:t>
      </w:r>
      <w:r w:rsidR="00795F1B" w:rsidRPr="00AE141E">
        <w:rPr>
          <w:rFonts w:ascii="Times New Roman" w:hAnsi="Times New Roman" w:cs="Times New Roman"/>
          <w:sz w:val="24"/>
          <w:szCs w:val="24"/>
        </w:rPr>
        <w:t xml:space="preserve"> as a ‘retooling of old race relations models’ which envisaged racism as an essentially interpersonal affair.</w:t>
      </w:r>
      <w:r w:rsidR="00795F1B" w:rsidRPr="00AE141E">
        <w:rPr>
          <w:rStyle w:val="FootnoteReference"/>
          <w:rFonts w:ascii="Times New Roman" w:hAnsi="Times New Roman" w:cs="Times New Roman"/>
          <w:sz w:val="24"/>
          <w:szCs w:val="24"/>
        </w:rPr>
        <w:footnoteReference w:id="498"/>
      </w:r>
      <w:r w:rsidR="00795F1B" w:rsidRPr="00AE141E">
        <w:rPr>
          <w:rFonts w:ascii="Times New Roman" w:hAnsi="Times New Roman" w:cs="Times New Roman"/>
          <w:sz w:val="24"/>
          <w:szCs w:val="24"/>
        </w:rPr>
        <w:t xml:space="preserve"> It promoted peaceful coexistence within and between diverse communities by incorporating them all within a broad, ostensibly deracialised, concept of English/British nationhood</w:t>
      </w:r>
      <w:r w:rsidR="00521E2A" w:rsidRPr="00AE141E">
        <w:rPr>
          <w:rFonts w:ascii="Times New Roman" w:hAnsi="Times New Roman" w:cs="Times New Roman"/>
          <w:sz w:val="24"/>
          <w:szCs w:val="24"/>
        </w:rPr>
        <w:t>; m</w:t>
      </w:r>
      <w:r w:rsidR="00795F1B" w:rsidRPr="00AE141E">
        <w:rPr>
          <w:rFonts w:ascii="Times New Roman" w:hAnsi="Times New Roman" w:cs="Times New Roman"/>
          <w:sz w:val="24"/>
          <w:szCs w:val="24"/>
        </w:rPr>
        <w:t>ulticultural education was as important in predominantly White areas as it was in those with a high proportion of people of colour.</w:t>
      </w:r>
      <w:r w:rsidR="00795F1B" w:rsidRPr="00AE141E">
        <w:rPr>
          <w:rStyle w:val="FootnoteReference"/>
          <w:rFonts w:ascii="Times New Roman" w:hAnsi="Times New Roman" w:cs="Times New Roman"/>
          <w:sz w:val="24"/>
          <w:szCs w:val="24"/>
        </w:rPr>
        <w:footnoteReference w:id="499"/>
      </w:r>
      <w:r w:rsidR="00795F1B" w:rsidRPr="00AE141E">
        <w:rPr>
          <w:rFonts w:ascii="Times New Roman" w:hAnsi="Times New Roman" w:cs="Times New Roman"/>
          <w:sz w:val="24"/>
          <w:szCs w:val="24"/>
        </w:rPr>
        <w:t xml:space="preserve"> </w:t>
      </w:r>
    </w:p>
    <w:p w14:paraId="41F781E7" w14:textId="18610C32" w:rsidR="00D73F36" w:rsidRPr="00AE141E" w:rsidRDefault="00795F1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This argument was founded on a belief that ignorance was the root cause of prejudice amongst young people. Much like the supporters of world history, governmental advocates of multicultural education argued that the changing relationship between the UK and the wider world necessitated a shift in the content of teaching if students were to leave school equipped to understand that reality. Unlike </w:t>
      </w:r>
      <w:r w:rsidR="00315B6F" w:rsidRPr="00AE141E">
        <w:rPr>
          <w:rFonts w:ascii="Times New Roman" w:hAnsi="Times New Roman" w:cs="Times New Roman"/>
          <w:sz w:val="24"/>
          <w:szCs w:val="24"/>
        </w:rPr>
        <w:t>most</w:t>
      </w:r>
      <w:r w:rsidRPr="00AE141E">
        <w:rPr>
          <w:rFonts w:ascii="Times New Roman" w:hAnsi="Times New Roman" w:cs="Times New Roman"/>
          <w:sz w:val="24"/>
          <w:szCs w:val="24"/>
        </w:rPr>
        <w:t xml:space="preserve"> </w:t>
      </w:r>
      <w:r w:rsidR="00315B6F" w:rsidRPr="00AE141E">
        <w:rPr>
          <w:rFonts w:ascii="Times New Roman" w:hAnsi="Times New Roman" w:cs="Times New Roman"/>
          <w:sz w:val="24"/>
          <w:szCs w:val="24"/>
        </w:rPr>
        <w:t>proponents</w:t>
      </w:r>
      <w:r w:rsidRPr="00AE141E">
        <w:rPr>
          <w:rFonts w:ascii="Times New Roman" w:hAnsi="Times New Roman" w:cs="Times New Roman"/>
          <w:sz w:val="24"/>
          <w:szCs w:val="24"/>
        </w:rPr>
        <w:t xml:space="preserve"> of world history, multiculturalists also turned their gaze inwards. They acknowledged that the UK’s shifting position on the world-stage </w:t>
      </w:r>
      <w:r w:rsidR="001273F3" w:rsidRPr="00AE141E">
        <w:rPr>
          <w:rFonts w:ascii="Times New Roman" w:hAnsi="Times New Roman" w:cs="Times New Roman"/>
          <w:sz w:val="24"/>
          <w:szCs w:val="24"/>
        </w:rPr>
        <w:t>had engendered</w:t>
      </w:r>
      <w:r w:rsidRPr="00AE141E">
        <w:rPr>
          <w:rFonts w:ascii="Times New Roman" w:hAnsi="Times New Roman" w:cs="Times New Roman"/>
          <w:sz w:val="24"/>
          <w:szCs w:val="24"/>
        </w:rPr>
        <w:t xml:space="preserve"> major changes in the fabric of quotidian life – including the reality of mass migration – and sought to represent these changes in the school curriculum</w:t>
      </w:r>
      <w:r w:rsidR="00675167" w:rsidRPr="00AE141E">
        <w:rPr>
          <w:rFonts w:ascii="Times New Roman" w:hAnsi="Times New Roman" w:cs="Times New Roman"/>
          <w:sz w:val="24"/>
          <w:szCs w:val="24"/>
        </w:rPr>
        <w:t>.</w:t>
      </w:r>
      <w:r w:rsidRPr="00AE141E">
        <w:rPr>
          <w:rFonts w:ascii="Times New Roman" w:hAnsi="Times New Roman" w:cs="Times New Roman"/>
          <w:sz w:val="24"/>
          <w:szCs w:val="24"/>
        </w:rPr>
        <w:t xml:space="preserve"> </w:t>
      </w:r>
      <w:r w:rsidR="00D12A75" w:rsidRPr="00AE141E">
        <w:rPr>
          <w:rFonts w:ascii="Times New Roman" w:hAnsi="Times New Roman" w:cs="Times New Roman"/>
          <w:sz w:val="24"/>
          <w:szCs w:val="24"/>
        </w:rPr>
        <w:t>The realities of internal</w:t>
      </w:r>
      <w:r w:rsidR="00D12A75" w:rsidRPr="00AE141E">
        <w:rPr>
          <w:rFonts w:ascii="Times New Roman" w:hAnsi="Times New Roman" w:cs="Times New Roman"/>
          <w:i/>
          <w:sz w:val="24"/>
          <w:szCs w:val="24"/>
        </w:rPr>
        <w:t xml:space="preserve"> </w:t>
      </w:r>
      <w:r w:rsidR="00D12A75" w:rsidRPr="00AE141E">
        <w:rPr>
          <w:rFonts w:ascii="Times New Roman" w:hAnsi="Times New Roman" w:cs="Times New Roman"/>
          <w:sz w:val="24"/>
          <w:szCs w:val="24"/>
        </w:rPr>
        <w:t xml:space="preserve">migration were also recognised: children brought up in predominantly </w:t>
      </w:r>
      <w:r w:rsidR="00D12A75" w:rsidRPr="00AE141E">
        <w:rPr>
          <w:rFonts w:ascii="Times New Roman" w:hAnsi="Times New Roman" w:cs="Times New Roman"/>
          <w:sz w:val="24"/>
          <w:szCs w:val="24"/>
        </w:rPr>
        <w:lastRenderedPageBreak/>
        <w:t>White areas could not be expected to remain there forever. Nor would teachers trained in mainly White areas or institutions be guaranteed employment there.</w:t>
      </w:r>
      <w:r w:rsidR="00FF0CC8" w:rsidRPr="00AE141E">
        <w:rPr>
          <w:rFonts w:ascii="Times New Roman" w:hAnsi="Times New Roman" w:cs="Times New Roman"/>
          <w:sz w:val="24"/>
          <w:szCs w:val="24"/>
        </w:rPr>
        <w:t xml:space="preserve"> </w:t>
      </w:r>
      <w:r w:rsidR="009548A6" w:rsidRPr="00AE141E">
        <w:rPr>
          <w:rFonts w:ascii="Times New Roman" w:hAnsi="Times New Roman" w:cs="Times New Roman"/>
          <w:sz w:val="24"/>
          <w:szCs w:val="24"/>
        </w:rPr>
        <w:t xml:space="preserve">To ignore these shifts would be to pave the way to future conflict and </w:t>
      </w:r>
      <w:r w:rsidR="00675167" w:rsidRPr="00AE141E">
        <w:rPr>
          <w:rFonts w:ascii="Times New Roman" w:hAnsi="Times New Roman" w:cs="Times New Roman"/>
          <w:sz w:val="24"/>
          <w:szCs w:val="24"/>
        </w:rPr>
        <w:t>misunderstanding.</w:t>
      </w:r>
      <w:r w:rsidR="00675167" w:rsidRPr="00AE141E">
        <w:rPr>
          <w:rStyle w:val="FootnoteReference"/>
          <w:rFonts w:ascii="Times New Roman" w:hAnsi="Times New Roman" w:cs="Times New Roman"/>
          <w:sz w:val="24"/>
          <w:szCs w:val="24"/>
        </w:rPr>
        <w:footnoteReference w:id="500"/>
      </w:r>
    </w:p>
    <w:p w14:paraId="72773F36" w14:textId="03AF531E" w:rsidR="00044DEB" w:rsidRPr="00AE141E" w:rsidRDefault="00795F1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teaching of history was </w:t>
      </w:r>
      <w:r w:rsidR="002E4197" w:rsidRPr="00AE141E">
        <w:rPr>
          <w:rFonts w:ascii="Times New Roman" w:hAnsi="Times New Roman" w:cs="Times New Roman"/>
          <w:sz w:val="24"/>
          <w:szCs w:val="24"/>
        </w:rPr>
        <w:t>seen as</w:t>
      </w:r>
      <w:r w:rsidRPr="00AE141E">
        <w:rPr>
          <w:rFonts w:ascii="Times New Roman" w:hAnsi="Times New Roman" w:cs="Times New Roman"/>
          <w:sz w:val="24"/>
          <w:szCs w:val="24"/>
        </w:rPr>
        <w:t xml:space="preserve"> </w:t>
      </w:r>
      <w:r w:rsidR="002E4197" w:rsidRPr="00AE141E">
        <w:rPr>
          <w:rFonts w:ascii="Times New Roman" w:hAnsi="Times New Roman" w:cs="Times New Roman"/>
          <w:sz w:val="24"/>
          <w:szCs w:val="24"/>
        </w:rPr>
        <w:t>fundamental to</w:t>
      </w:r>
      <w:r w:rsidRPr="00AE141E">
        <w:rPr>
          <w:rFonts w:ascii="Times New Roman" w:hAnsi="Times New Roman" w:cs="Times New Roman"/>
          <w:sz w:val="24"/>
          <w:szCs w:val="24"/>
        </w:rPr>
        <w:t xml:space="preserve"> </w:t>
      </w:r>
      <w:r w:rsidR="009B5B43" w:rsidRPr="00AE141E">
        <w:rPr>
          <w:rFonts w:ascii="Times New Roman" w:hAnsi="Times New Roman" w:cs="Times New Roman"/>
          <w:sz w:val="24"/>
          <w:szCs w:val="24"/>
        </w:rPr>
        <w:t>this</w:t>
      </w:r>
      <w:r w:rsidRPr="00AE141E">
        <w:rPr>
          <w:rFonts w:ascii="Times New Roman" w:hAnsi="Times New Roman" w:cs="Times New Roman"/>
          <w:sz w:val="24"/>
          <w:szCs w:val="24"/>
        </w:rPr>
        <w:t xml:space="preserve"> pedagogy of empathy. A paper produced </w:t>
      </w:r>
      <w:r w:rsidR="00DF6527" w:rsidRPr="00AE141E">
        <w:rPr>
          <w:rFonts w:ascii="Times New Roman" w:hAnsi="Times New Roman" w:cs="Times New Roman"/>
          <w:sz w:val="24"/>
          <w:szCs w:val="24"/>
        </w:rPr>
        <w:t>by</w:t>
      </w:r>
      <w:r w:rsidRPr="00AE141E">
        <w:rPr>
          <w:rFonts w:ascii="Times New Roman" w:hAnsi="Times New Roman" w:cs="Times New Roman"/>
          <w:sz w:val="24"/>
          <w:szCs w:val="24"/>
        </w:rPr>
        <w:t xml:space="preserve"> the Extramural Division of </w:t>
      </w:r>
      <w:r w:rsidR="009A043F" w:rsidRPr="00AE141E">
        <w:rPr>
          <w:rFonts w:ascii="Times New Roman" w:hAnsi="Times New Roman" w:cs="Times New Roman"/>
          <w:sz w:val="24"/>
          <w:szCs w:val="24"/>
        </w:rPr>
        <w:t xml:space="preserve">SOAS </w:t>
      </w:r>
      <w:r w:rsidRPr="00AE141E">
        <w:rPr>
          <w:rFonts w:ascii="Times New Roman" w:hAnsi="Times New Roman" w:cs="Times New Roman"/>
          <w:sz w:val="24"/>
          <w:szCs w:val="24"/>
        </w:rPr>
        <w:t>claimed that history had the power to make the distant familiar and showcased the importance of understanding other cultures on their own terms. Thus, ‘Susan living in London will no longer regard medieval pilgrims or African chiefs as “funny” just because they lived, dressed and earned their living in totally different ways from her’.</w:t>
      </w:r>
      <w:r w:rsidRPr="00AE141E">
        <w:rPr>
          <w:rStyle w:val="FootnoteReference"/>
          <w:rFonts w:ascii="Times New Roman" w:hAnsi="Times New Roman" w:cs="Times New Roman"/>
          <w:sz w:val="24"/>
          <w:szCs w:val="24"/>
        </w:rPr>
        <w:footnoteReference w:id="501"/>
      </w:r>
      <w:r w:rsidRPr="00AE141E">
        <w:rPr>
          <w:rFonts w:ascii="Times New Roman" w:hAnsi="Times New Roman" w:cs="Times New Roman"/>
          <w:sz w:val="24"/>
          <w:szCs w:val="24"/>
        </w:rPr>
        <w:t xml:space="preserve"> The same document expressed faith that the </w:t>
      </w:r>
      <w:r w:rsidRPr="00AE141E">
        <w:rPr>
          <w:rFonts w:ascii="Times New Roman" w:hAnsi="Times New Roman" w:cs="Times New Roman"/>
          <w:i/>
          <w:sz w:val="24"/>
          <w:szCs w:val="24"/>
        </w:rPr>
        <w:t>practice</w:t>
      </w:r>
      <w:r w:rsidRPr="00AE141E">
        <w:rPr>
          <w:rFonts w:ascii="Times New Roman" w:hAnsi="Times New Roman" w:cs="Times New Roman"/>
          <w:sz w:val="24"/>
          <w:szCs w:val="24"/>
        </w:rPr>
        <w:t xml:space="preserve"> of history – the critical evaluation of sources, the weighing of evidence, and the importance of perspective – would inoculate students against the appeal of fascist ideology. </w:t>
      </w:r>
      <w:r w:rsidR="00744884" w:rsidRPr="00AE141E">
        <w:rPr>
          <w:rFonts w:ascii="Times New Roman" w:hAnsi="Times New Roman" w:cs="Times New Roman"/>
          <w:sz w:val="24"/>
          <w:szCs w:val="24"/>
        </w:rPr>
        <w:t>M</w:t>
      </w:r>
      <w:r w:rsidR="002D26B1" w:rsidRPr="00AE141E">
        <w:rPr>
          <w:rFonts w:ascii="Times New Roman" w:hAnsi="Times New Roman" w:cs="Times New Roman"/>
          <w:sz w:val="24"/>
          <w:szCs w:val="24"/>
        </w:rPr>
        <w:t xml:space="preserve">ulticultural reformers’ </w:t>
      </w:r>
      <w:r w:rsidR="00A8448D" w:rsidRPr="00AE141E">
        <w:rPr>
          <w:rFonts w:ascii="Times New Roman" w:hAnsi="Times New Roman" w:cs="Times New Roman"/>
          <w:sz w:val="24"/>
          <w:szCs w:val="24"/>
        </w:rPr>
        <w:t>preoccupation</w:t>
      </w:r>
      <w:r w:rsidR="002D26B1" w:rsidRPr="00AE141E">
        <w:rPr>
          <w:rFonts w:ascii="Times New Roman" w:hAnsi="Times New Roman" w:cs="Times New Roman"/>
          <w:sz w:val="24"/>
          <w:szCs w:val="24"/>
        </w:rPr>
        <w:t xml:space="preserve"> with</w:t>
      </w:r>
      <w:r w:rsidR="00A219DE" w:rsidRPr="00AE141E">
        <w:rPr>
          <w:rFonts w:ascii="Times New Roman" w:hAnsi="Times New Roman" w:cs="Times New Roman"/>
          <w:sz w:val="24"/>
          <w:szCs w:val="24"/>
        </w:rPr>
        <w:t xml:space="preserve"> the historical method</w:t>
      </w:r>
      <w:r w:rsidR="00A8448D" w:rsidRPr="00AE141E">
        <w:rPr>
          <w:rFonts w:ascii="Times New Roman" w:hAnsi="Times New Roman" w:cs="Times New Roman"/>
          <w:sz w:val="24"/>
          <w:szCs w:val="24"/>
        </w:rPr>
        <w:t xml:space="preserve"> might be linked </w:t>
      </w:r>
      <w:r w:rsidR="00780061" w:rsidRPr="00AE141E">
        <w:rPr>
          <w:rFonts w:ascii="Times New Roman" w:hAnsi="Times New Roman" w:cs="Times New Roman"/>
          <w:sz w:val="24"/>
          <w:szCs w:val="24"/>
        </w:rPr>
        <w:t>to t</w:t>
      </w:r>
      <w:r w:rsidR="00CE1B77" w:rsidRPr="00AE141E">
        <w:rPr>
          <w:rFonts w:ascii="Times New Roman" w:hAnsi="Times New Roman" w:cs="Times New Roman"/>
          <w:sz w:val="24"/>
          <w:szCs w:val="24"/>
        </w:rPr>
        <w:t>he</w:t>
      </w:r>
      <w:r w:rsidR="00493A4D" w:rsidRPr="00AE141E">
        <w:rPr>
          <w:rFonts w:ascii="Times New Roman" w:hAnsi="Times New Roman" w:cs="Times New Roman"/>
          <w:sz w:val="24"/>
          <w:szCs w:val="24"/>
        </w:rPr>
        <w:t xml:space="preserve"> </w:t>
      </w:r>
      <w:r w:rsidR="00CE1B77" w:rsidRPr="00AE141E">
        <w:rPr>
          <w:rFonts w:ascii="Times New Roman" w:hAnsi="Times New Roman" w:cs="Times New Roman"/>
          <w:sz w:val="24"/>
          <w:szCs w:val="24"/>
        </w:rPr>
        <w:t xml:space="preserve">wider shift towards </w:t>
      </w:r>
      <w:r w:rsidR="00493A4D" w:rsidRPr="00AE141E">
        <w:rPr>
          <w:rFonts w:ascii="Times New Roman" w:hAnsi="Times New Roman" w:cs="Times New Roman"/>
          <w:sz w:val="24"/>
          <w:szCs w:val="24"/>
        </w:rPr>
        <w:t>skills-based learning</w:t>
      </w:r>
      <w:r w:rsidR="00CE1B77" w:rsidRPr="00AE141E">
        <w:rPr>
          <w:rFonts w:ascii="Times New Roman" w:hAnsi="Times New Roman" w:cs="Times New Roman"/>
          <w:sz w:val="24"/>
          <w:szCs w:val="24"/>
        </w:rPr>
        <w:t>, as discussed in Chapter 2</w:t>
      </w:r>
      <w:r w:rsidR="00493A4D" w:rsidRPr="00AE141E">
        <w:rPr>
          <w:rFonts w:ascii="Times New Roman" w:hAnsi="Times New Roman" w:cs="Times New Roman"/>
          <w:sz w:val="24"/>
          <w:szCs w:val="24"/>
        </w:rPr>
        <w:t>.</w:t>
      </w:r>
      <w:r w:rsidR="00780061" w:rsidRPr="00AE141E">
        <w:rPr>
          <w:rFonts w:ascii="Times New Roman" w:hAnsi="Times New Roman" w:cs="Times New Roman"/>
          <w:sz w:val="24"/>
          <w:szCs w:val="24"/>
        </w:rPr>
        <w:t xml:space="preserve"> </w:t>
      </w:r>
      <w:r w:rsidR="00493A4D" w:rsidRPr="00AE141E">
        <w:rPr>
          <w:rFonts w:ascii="Times New Roman" w:hAnsi="Times New Roman" w:cs="Times New Roman"/>
          <w:sz w:val="24"/>
          <w:szCs w:val="24"/>
        </w:rPr>
        <w:t xml:space="preserve">Advocates of the ‘new history’ </w:t>
      </w:r>
      <w:r w:rsidR="0045107D" w:rsidRPr="00AE141E">
        <w:rPr>
          <w:rFonts w:ascii="Times New Roman" w:hAnsi="Times New Roman" w:cs="Times New Roman"/>
          <w:sz w:val="24"/>
          <w:szCs w:val="24"/>
        </w:rPr>
        <w:t>alleged</w:t>
      </w:r>
      <w:r w:rsidR="00A504BB" w:rsidRPr="00AE141E">
        <w:rPr>
          <w:rFonts w:ascii="Times New Roman" w:hAnsi="Times New Roman" w:cs="Times New Roman"/>
          <w:sz w:val="24"/>
          <w:szCs w:val="24"/>
        </w:rPr>
        <w:t xml:space="preserve"> that a</w:t>
      </w:r>
      <w:r w:rsidR="009C2E43" w:rsidRPr="00AE141E">
        <w:rPr>
          <w:rFonts w:ascii="Times New Roman" w:hAnsi="Times New Roman" w:cs="Times New Roman"/>
          <w:sz w:val="24"/>
          <w:szCs w:val="24"/>
        </w:rPr>
        <w:t xml:space="preserve"> </w:t>
      </w:r>
      <w:r w:rsidR="00036BE5" w:rsidRPr="00AE141E">
        <w:rPr>
          <w:rFonts w:ascii="Times New Roman" w:hAnsi="Times New Roman" w:cs="Times New Roman"/>
          <w:sz w:val="24"/>
          <w:szCs w:val="24"/>
        </w:rPr>
        <w:t>‘</w:t>
      </w:r>
      <w:r w:rsidR="004D43F5" w:rsidRPr="00AE141E">
        <w:rPr>
          <w:rFonts w:ascii="Times New Roman" w:hAnsi="Times New Roman" w:cs="Times New Roman"/>
          <w:sz w:val="24"/>
          <w:szCs w:val="24"/>
        </w:rPr>
        <w:t>tidy factual approach</w:t>
      </w:r>
      <w:r w:rsidR="00036BE5" w:rsidRPr="00AE141E">
        <w:rPr>
          <w:rFonts w:ascii="Times New Roman" w:hAnsi="Times New Roman" w:cs="Times New Roman"/>
          <w:sz w:val="24"/>
          <w:szCs w:val="24"/>
        </w:rPr>
        <w:t xml:space="preserve">’ </w:t>
      </w:r>
      <w:r w:rsidR="001947EA" w:rsidRPr="00AE141E">
        <w:rPr>
          <w:rFonts w:ascii="Times New Roman" w:hAnsi="Times New Roman" w:cs="Times New Roman"/>
          <w:sz w:val="24"/>
          <w:szCs w:val="24"/>
        </w:rPr>
        <w:t xml:space="preserve">which </w:t>
      </w:r>
      <w:r w:rsidR="00641877" w:rsidRPr="00AE141E">
        <w:rPr>
          <w:rFonts w:ascii="Times New Roman" w:hAnsi="Times New Roman" w:cs="Times New Roman"/>
          <w:sz w:val="24"/>
          <w:szCs w:val="24"/>
        </w:rPr>
        <w:t>reduced history to the crude</w:t>
      </w:r>
      <w:r w:rsidR="001947EA" w:rsidRPr="00AE141E">
        <w:rPr>
          <w:rFonts w:ascii="Times New Roman" w:hAnsi="Times New Roman" w:cs="Times New Roman"/>
          <w:sz w:val="24"/>
          <w:szCs w:val="24"/>
        </w:rPr>
        <w:t xml:space="preserve"> memorisation of a ‘</w:t>
      </w:r>
      <w:r w:rsidR="004D43F5" w:rsidRPr="00AE141E">
        <w:rPr>
          <w:rFonts w:ascii="Times New Roman" w:hAnsi="Times New Roman" w:cs="Times New Roman"/>
          <w:sz w:val="24"/>
          <w:szCs w:val="24"/>
        </w:rPr>
        <w:t>shopping-list</w:t>
      </w:r>
      <w:r w:rsidR="001947EA" w:rsidRPr="00AE141E">
        <w:rPr>
          <w:rFonts w:ascii="Times New Roman" w:hAnsi="Times New Roman" w:cs="Times New Roman"/>
          <w:sz w:val="24"/>
          <w:szCs w:val="24"/>
        </w:rPr>
        <w:t xml:space="preserve">’ left </w:t>
      </w:r>
      <w:r w:rsidR="00A504BB" w:rsidRPr="00AE141E">
        <w:rPr>
          <w:rFonts w:ascii="Times New Roman" w:hAnsi="Times New Roman" w:cs="Times New Roman"/>
          <w:sz w:val="24"/>
          <w:szCs w:val="24"/>
        </w:rPr>
        <w:t>students bereft of analytical capacities</w:t>
      </w:r>
      <w:r w:rsidR="00E37FC4" w:rsidRPr="00AE141E">
        <w:rPr>
          <w:rFonts w:ascii="Times New Roman" w:hAnsi="Times New Roman" w:cs="Times New Roman"/>
          <w:sz w:val="24"/>
          <w:szCs w:val="24"/>
        </w:rPr>
        <w:t>.</w:t>
      </w:r>
      <w:r w:rsidR="0054363E" w:rsidRPr="00AE141E">
        <w:rPr>
          <w:rStyle w:val="FootnoteReference"/>
          <w:rFonts w:ascii="Times New Roman" w:hAnsi="Times New Roman" w:cs="Times New Roman"/>
          <w:sz w:val="24"/>
          <w:szCs w:val="24"/>
        </w:rPr>
        <w:footnoteReference w:id="502"/>
      </w:r>
      <w:r w:rsidR="00E37FC4" w:rsidRPr="00AE141E">
        <w:rPr>
          <w:rFonts w:ascii="Times New Roman" w:hAnsi="Times New Roman" w:cs="Times New Roman"/>
          <w:sz w:val="24"/>
          <w:szCs w:val="24"/>
        </w:rPr>
        <w:t xml:space="preserve"> </w:t>
      </w:r>
      <w:r w:rsidR="00F34183" w:rsidRPr="00AE141E">
        <w:rPr>
          <w:rFonts w:ascii="Times New Roman" w:hAnsi="Times New Roman" w:cs="Times New Roman"/>
          <w:sz w:val="24"/>
          <w:szCs w:val="24"/>
        </w:rPr>
        <w:t>Multiculturalis</w:t>
      </w:r>
      <w:r w:rsidR="00014736" w:rsidRPr="00AE141E">
        <w:rPr>
          <w:rFonts w:ascii="Times New Roman" w:hAnsi="Times New Roman" w:cs="Times New Roman"/>
          <w:sz w:val="24"/>
          <w:szCs w:val="24"/>
        </w:rPr>
        <w:t>m argued that the traditi</w:t>
      </w:r>
      <w:r w:rsidR="00D0239A" w:rsidRPr="00AE141E">
        <w:rPr>
          <w:rFonts w:ascii="Times New Roman" w:hAnsi="Times New Roman" w:cs="Times New Roman"/>
          <w:sz w:val="24"/>
          <w:szCs w:val="24"/>
        </w:rPr>
        <w:t xml:space="preserve">onal approach not only produced </w:t>
      </w:r>
      <w:r w:rsidR="0054363E" w:rsidRPr="00AE141E">
        <w:rPr>
          <w:rFonts w:ascii="Times New Roman" w:hAnsi="Times New Roman" w:cs="Times New Roman"/>
          <w:sz w:val="24"/>
          <w:szCs w:val="24"/>
        </w:rPr>
        <w:t>defective</w:t>
      </w:r>
      <w:r w:rsidR="00D0239A" w:rsidRPr="00AE141E">
        <w:rPr>
          <w:rFonts w:ascii="Times New Roman" w:hAnsi="Times New Roman" w:cs="Times New Roman"/>
          <w:sz w:val="24"/>
          <w:szCs w:val="24"/>
        </w:rPr>
        <w:t xml:space="preserve"> historians, but </w:t>
      </w:r>
      <w:r w:rsidR="0054363E" w:rsidRPr="00AE141E">
        <w:rPr>
          <w:rFonts w:ascii="Times New Roman" w:hAnsi="Times New Roman" w:cs="Times New Roman"/>
          <w:sz w:val="24"/>
          <w:szCs w:val="24"/>
        </w:rPr>
        <w:t>deficient citizens.</w:t>
      </w:r>
    </w:p>
    <w:p w14:paraId="009CC845" w14:textId="217552E5" w:rsidR="00CC4043" w:rsidRPr="00AE141E" w:rsidRDefault="00795F1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Carter has affirmed the importance of ‘pupils, teachers, and educationists’ in crafting the discipline of history in schools, often independently of, or in contradistinction to, developments in academic history.</w:t>
      </w:r>
      <w:r w:rsidRPr="00AE141E">
        <w:rPr>
          <w:rStyle w:val="FootnoteReference"/>
          <w:rFonts w:ascii="Times New Roman" w:hAnsi="Times New Roman" w:cs="Times New Roman"/>
          <w:sz w:val="24"/>
          <w:szCs w:val="24"/>
        </w:rPr>
        <w:footnoteReference w:id="503"/>
      </w:r>
      <w:r w:rsidRPr="00AE141E">
        <w:rPr>
          <w:rFonts w:ascii="Times New Roman" w:hAnsi="Times New Roman" w:cs="Times New Roman"/>
          <w:sz w:val="24"/>
          <w:szCs w:val="24"/>
        </w:rPr>
        <w:t xml:space="preserve"> Multiculturalism was one product of this demotic historical tradition – and was recognised as such by contemporaries. A 1982 Discussion Paper published by the </w:t>
      </w:r>
      <w:r w:rsidR="005C18BB" w:rsidRPr="00AE141E">
        <w:rPr>
          <w:rFonts w:ascii="Times New Roman" w:hAnsi="Times New Roman" w:cs="Times New Roman"/>
          <w:sz w:val="24"/>
          <w:szCs w:val="24"/>
        </w:rPr>
        <w:t>HA</w:t>
      </w:r>
      <w:r w:rsidRPr="00AE141E">
        <w:rPr>
          <w:rFonts w:ascii="Times New Roman" w:hAnsi="Times New Roman" w:cs="Times New Roman"/>
          <w:sz w:val="24"/>
          <w:szCs w:val="24"/>
        </w:rPr>
        <w:t xml:space="preserve"> credited the multicultural turn to ‘educationists, special interest groups and bureaucrats’ in place of ‘professional historians</w:t>
      </w:r>
      <w:r w:rsidR="00286C2F" w:rsidRPr="00AE141E">
        <w:rPr>
          <w:rFonts w:ascii="Times New Roman" w:hAnsi="Times New Roman" w:cs="Times New Roman"/>
          <w:sz w:val="24"/>
          <w:szCs w:val="24"/>
        </w:rPr>
        <w:t>’</w:t>
      </w:r>
      <w:r w:rsidRPr="00AE141E">
        <w:rPr>
          <w:rFonts w:ascii="Times New Roman" w:hAnsi="Times New Roman" w:cs="Times New Roman"/>
          <w:sz w:val="24"/>
          <w:szCs w:val="24"/>
        </w:rPr>
        <w:t>.</w:t>
      </w:r>
      <w:r w:rsidRPr="00AE141E">
        <w:rPr>
          <w:rStyle w:val="FootnoteReference"/>
          <w:rFonts w:ascii="Times New Roman" w:hAnsi="Times New Roman" w:cs="Times New Roman"/>
          <w:sz w:val="24"/>
          <w:szCs w:val="24"/>
        </w:rPr>
        <w:footnoteReference w:id="504"/>
      </w:r>
      <w:r w:rsidRPr="00AE141E">
        <w:rPr>
          <w:rFonts w:ascii="Times New Roman" w:hAnsi="Times New Roman" w:cs="Times New Roman"/>
          <w:sz w:val="24"/>
          <w:szCs w:val="24"/>
        </w:rPr>
        <w:t xml:space="preserve"> The initial drive for curricular change occurred at a local level, in individual schools and classrooms (principally those in which students of colour were most heavily represented).</w:t>
      </w:r>
      <w:r w:rsidRPr="00AE141E">
        <w:rPr>
          <w:rStyle w:val="FootnoteReference"/>
          <w:rFonts w:ascii="Times New Roman" w:hAnsi="Times New Roman" w:cs="Times New Roman"/>
          <w:sz w:val="24"/>
          <w:szCs w:val="24"/>
        </w:rPr>
        <w:footnoteReference w:id="505"/>
      </w:r>
      <w:r w:rsidRPr="00AE141E">
        <w:rPr>
          <w:rFonts w:ascii="Times New Roman" w:hAnsi="Times New Roman" w:cs="Times New Roman"/>
          <w:sz w:val="24"/>
          <w:szCs w:val="24"/>
        </w:rPr>
        <w:t xml:space="preserve"> </w:t>
      </w:r>
      <w:r w:rsidR="00CC4043" w:rsidRPr="00AE141E">
        <w:rPr>
          <w:rFonts w:ascii="Times New Roman" w:hAnsi="Times New Roman" w:cs="Times New Roman"/>
          <w:sz w:val="24"/>
          <w:szCs w:val="24"/>
        </w:rPr>
        <w:t xml:space="preserve">In a reversal of conventional classroom hierarchies, teachers sometimes portrayed students of colour as their own </w:t>
      </w:r>
      <w:r w:rsidR="00CC4043" w:rsidRPr="00AE141E">
        <w:rPr>
          <w:rFonts w:ascii="Times New Roman" w:hAnsi="Times New Roman" w:cs="Times New Roman"/>
          <w:sz w:val="24"/>
          <w:szCs w:val="24"/>
        </w:rPr>
        <w:lastRenderedPageBreak/>
        <w:t>educators. The racism experienced by young people – made visible in classroom conversations and the discriminatory functions of the education system itself – provoked revisions to accepted notions of history and national identity. Educators struggled to reconcile ‘the colour bar and the Nottingham and Notting Hill race riots’ with ‘the Whig interpretation of history, where Britain was the land of an ever-extending freedom and tolerance’.</w:t>
      </w:r>
      <w:r w:rsidR="00CC4043" w:rsidRPr="00AE141E">
        <w:rPr>
          <w:rStyle w:val="FootnoteReference"/>
          <w:rFonts w:ascii="Times New Roman" w:hAnsi="Times New Roman" w:cs="Times New Roman"/>
          <w:sz w:val="24"/>
          <w:szCs w:val="24"/>
        </w:rPr>
        <w:footnoteReference w:id="506"/>
      </w:r>
      <w:r w:rsidR="00CC4043" w:rsidRPr="00AE141E">
        <w:rPr>
          <w:rFonts w:ascii="Times New Roman" w:hAnsi="Times New Roman" w:cs="Times New Roman"/>
          <w:sz w:val="24"/>
          <w:szCs w:val="24"/>
        </w:rPr>
        <w:t xml:space="preserve"> Douglas Thorburn, a history teacher at a Lewisham secondary school, credited ‘a relatively small group of children of post-war settlers’ with crystallising a challenge to the cultural assumptions which had long ‘forged the Imperial school of history teaching’</w:t>
      </w:r>
      <w:r w:rsidR="00B56929">
        <w:rPr>
          <w:rFonts w:ascii="Times New Roman" w:hAnsi="Times New Roman" w:cs="Times New Roman"/>
          <w:sz w:val="24"/>
          <w:szCs w:val="24"/>
        </w:rPr>
        <w:t>.</w:t>
      </w:r>
      <w:r w:rsidR="00B56929">
        <w:rPr>
          <w:rStyle w:val="FootnoteReference"/>
          <w:rFonts w:ascii="Times New Roman" w:hAnsi="Times New Roman" w:cs="Times New Roman"/>
          <w:sz w:val="24"/>
          <w:szCs w:val="24"/>
        </w:rPr>
        <w:footnoteReference w:id="507"/>
      </w:r>
    </w:p>
    <w:p w14:paraId="70BD9DD3" w14:textId="45EBCC9C" w:rsidR="000D50F2" w:rsidRPr="00AE141E" w:rsidRDefault="00795F1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Pressure from below led </w:t>
      </w:r>
      <w:r w:rsidR="0016620D">
        <w:rPr>
          <w:rFonts w:ascii="Times New Roman" w:hAnsi="Times New Roman" w:cs="Times New Roman"/>
          <w:sz w:val="24"/>
          <w:szCs w:val="24"/>
        </w:rPr>
        <w:t xml:space="preserve">to </w:t>
      </w:r>
      <w:r w:rsidR="00992E4E">
        <w:rPr>
          <w:rFonts w:ascii="Times New Roman" w:hAnsi="Times New Roman" w:cs="Times New Roman"/>
          <w:sz w:val="24"/>
          <w:szCs w:val="24"/>
        </w:rPr>
        <w:t>a gradual endorsement of multicultural education by state institutions</w:t>
      </w:r>
      <w:r w:rsidR="009D31E1">
        <w:rPr>
          <w:rFonts w:ascii="Times New Roman" w:hAnsi="Times New Roman" w:cs="Times New Roman"/>
          <w:sz w:val="24"/>
          <w:szCs w:val="24"/>
        </w:rPr>
        <w:t>,</w:t>
      </w:r>
      <w:r w:rsidRPr="00AE141E">
        <w:rPr>
          <w:rFonts w:ascii="Times New Roman" w:hAnsi="Times New Roman" w:cs="Times New Roman"/>
          <w:sz w:val="24"/>
          <w:szCs w:val="24"/>
        </w:rPr>
        <w:t xml:space="preserve"> including</w:t>
      </w:r>
      <w:r w:rsidR="009A043F" w:rsidRPr="00AE141E">
        <w:rPr>
          <w:rFonts w:ascii="Times New Roman" w:hAnsi="Times New Roman" w:cs="Times New Roman"/>
          <w:sz w:val="24"/>
          <w:szCs w:val="24"/>
        </w:rPr>
        <w:t xml:space="preserve"> LEAs</w:t>
      </w:r>
      <w:r w:rsidRPr="00AE141E">
        <w:rPr>
          <w:rFonts w:ascii="Times New Roman" w:hAnsi="Times New Roman" w:cs="Times New Roman"/>
          <w:sz w:val="24"/>
          <w:szCs w:val="24"/>
        </w:rPr>
        <w:t xml:space="preserve">, the Schools Council, </w:t>
      </w:r>
      <w:r w:rsidR="00332667" w:rsidRPr="00AE141E">
        <w:rPr>
          <w:rFonts w:ascii="Times New Roman" w:hAnsi="Times New Roman" w:cs="Times New Roman"/>
          <w:sz w:val="24"/>
          <w:szCs w:val="24"/>
        </w:rPr>
        <w:t>DES</w:t>
      </w:r>
      <w:r w:rsidRPr="00AE141E">
        <w:rPr>
          <w:rFonts w:ascii="Times New Roman" w:hAnsi="Times New Roman" w:cs="Times New Roman"/>
          <w:sz w:val="24"/>
          <w:szCs w:val="24"/>
        </w:rPr>
        <w:t xml:space="preserve">, and the Home Affairs Committee. </w:t>
      </w:r>
      <w:r w:rsidR="00A356CD" w:rsidRPr="00AE141E">
        <w:rPr>
          <w:rFonts w:ascii="Times New Roman" w:hAnsi="Times New Roman" w:cs="Times New Roman"/>
          <w:sz w:val="24"/>
          <w:szCs w:val="24"/>
        </w:rPr>
        <w:t>However, g</w:t>
      </w:r>
      <w:r w:rsidRPr="00AE141E">
        <w:rPr>
          <w:rFonts w:ascii="Times New Roman" w:hAnsi="Times New Roman" w:cs="Times New Roman"/>
          <w:sz w:val="24"/>
          <w:szCs w:val="24"/>
        </w:rPr>
        <w:t>overnment interventions could meet with considerable backlash from teachers who felt patronised or insulted that their best-judgement and professional prerogatives were being infringed upon by outsiders. This was especially pertinent where racism was brought into the conversation. Rampton observed that the mere ‘suggestion that teachers are in any way racist’ aroused ‘very strong reactions’ from the profession and was often simply rejected out of hand.</w:t>
      </w:r>
      <w:r w:rsidRPr="00AE141E">
        <w:rPr>
          <w:rStyle w:val="FootnoteReference"/>
          <w:rFonts w:ascii="Times New Roman" w:hAnsi="Times New Roman" w:cs="Times New Roman"/>
          <w:sz w:val="24"/>
          <w:szCs w:val="24"/>
        </w:rPr>
        <w:footnoteReference w:id="508"/>
      </w:r>
      <w:r w:rsidRPr="00AE141E">
        <w:rPr>
          <w:rFonts w:ascii="Times New Roman" w:hAnsi="Times New Roman" w:cs="Times New Roman"/>
          <w:sz w:val="24"/>
          <w:szCs w:val="24"/>
        </w:rPr>
        <w:t xml:space="preserve">  The Schools Council, responsible for the administration of school examinations in England and Wales and hence intimately involved in curriculum design, reported an overwhelmingly negative response to its lectures on multicultural education, delivered to an audience of teachers.</w:t>
      </w:r>
      <w:r w:rsidRPr="00AE141E">
        <w:rPr>
          <w:rStyle w:val="FootnoteReference"/>
          <w:rFonts w:ascii="Times New Roman" w:hAnsi="Times New Roman" w:cs="Times New Roman"/>
          <w:sz w:val="24"/>
          <w:szCs w:val="24"/>
        </w:rPr>
        <w:footnoteReference w:id="509"/>
      </w:r>
      <w:r w:rsidRPr="00AE141E">
        <w:rPr>
          <w:rFonts w:ascii="Times New Roman" w:hAnsi="Times New Roman" w:cs="Times New Roman"/>
          <w:sz w:val="24"/>
          <w:szCs w:val="24"/>
        </w:rPr>
        <w:t xml:space="preserve"> Speakers – largely drawn from academic or policy-making backgrounds – were criticised for their lack of direct classroom experience. </w:t>
      </w:r>
      <w:r w:rsidR="0090181B" w:rsidRPr="00AE141E">
        <w:rPr>
          <w:rFonts w:ascii="Times New Roman" w:hAnsi="Times New Roman" w:cs="Times New Roman"/>
          <w:sz w:val="24"/>
          <w:szCs w:val="24"/>
        </w:rPr>
        <w:t>Some t</w:t>
      </w:r>
      <w:r w:rsidRPr="00AE141E">
        <w:rPr>
          <w:rFonts w:ascii="Times New Roman" w:hAnsi="Times New Roman" w:cs="Times New Roman"/>
          <w:sz w:val="24"/>
          <w:szCs w:val="24"/>
        </w:rPr>
        <w:t xml:space="preserve">eachers seem to have felt patronised by recommendations given by outsiders, and by the lack of credit given to their own intelligence and good-will towards students. A lecture which took the position that ‘Asian children were insufficiently catered for’ by current teaching practices provoked an especially strong, defensive reaction. One attendee complained that the speaker left a ‘huge number of </w:t>
      </w:r>
      <w:r w:rsidRPr="00AE141E">
        <w:rPr>
          <w:rFonts w:ascii="Times New Roman" w:hAnsi="Times New Roman" w:cs="Times New Roman"/>
          <w:i/>
          <w:sz w:val="24"/>
          <w:szCs w:val="24"/>
        </w:rPr>
        <w:t>very</w:t>
      </w:r>
      <w:r w:rsidRPr="00AE141E">
        <w:rPr>
          <w:rFonts w:ascii="Times New Roman" w:hAnsi="Times New Roman" w:cs="Times New Roman"/>
          <w:sz w:val="24"/>
          <w:szCs w:val="24"/>
        </w:rPr>
        <w:t xml:space="preserve"> disgusted teachers [emphasis in original]’ in his wake. The </w:t>
      </w:r>
      <w:r w:rsidRPr="00AE141E">
        <w:rPr>
          <w:rFonts w:ascii="Times New Roman" w:hAnsi="Times New Roman" w:cs="Times New Roman"/>
          <w:sz w:val="24"/>
          <w:szCs w:val="24"/>
        </w:rPr>
        <w:lastRenderedPageBreak/>
        <w:t>prevailing mood was one of affronted injustice at being told that ‘few of us [teachers] did our job properly’.</w:t>
      </w:r>
    </w:p>
    <w:p w14:paraId="1F3BF8D7" w14:textId="55A803A7" w:rsidR="00E44696" w:rsidRPr="00AE141E" w:rsidRDefault="00E44696"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Criticisms</w:t>
      </w:r>
      <w:r w:rsidR="001B605F" w:rsidRPr="00AE141E">
        <w:rPr>
          <w:rFonts w:ascii="Times New Roman" w:hAnsi="Times New Roman" w:cs="Times New Roman"/>
          <w:b/>
          <w:bCs/>
          <w:sz w:val="24"/>
          <w:szCs w:val="24"/>
        </w:rPr>
        <w:t xml:space="preserve"> of Existing Practice</w:t>
      </w:r>
    </w:p>
    <w:p w14:paraId="77521F00" w14:textId="564F9397" w:rsidR="00CD0609" w:rsidRPr="00AE141E" w:rsidRDefault="00D80D8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Multicultural education was formulated in opposition to existing practice.</w:t>
      </w:r>
      <w:r w:rsidR="00852D3D" w:rsidRPr="00AE141E">
        <w:rPr>
          <w:rFonts w:ascii="Times New Roman" w:hAnsi="Times New Roman" w:cs="Times New Roman"/>
          <w:sz w:val="24"/>
          <w:szCs w:val="24"/>
        </w:rPr>
        <w:t xml:space="preserve"> </w:t>
      </w:r>
      <w:r w:rsidR="00CD0609" w:rsidRPr="00AE141E">
        <w:rPr>
          <w:rFonts w:ascii="Times New Roman" w:hAnsi="Times New Roman" w:cs="Times New Roman"/>
          <w:sz w:val="24"/>
          <w:szCs w:val="24"/>
        </w:rPr>
        <w:t xml:space="preserve">As </w:t>
      </w:r>
      <w:r w:rsidR="004C0F8F" w:rsidRPr="00AE141E">
        <w:rPr>
          <w:rFonts w:ascii="Times New Roman" w:hAnsi="Times New Roman" w:cs="Times New Roman"/>
          <w:sz w:val="24"/>
          <w:szCs w:val="24"/>
        </w:rPr>
        <w:t xml:space="preserve">Chapter </w:t>
      </w:r>
      <w:r w:rsidR="00CD7CE4" w:rsidRPr="00AE141E">
        <w:rPr>
          <w:rFonts w:ascii="Times New Roman" w:hAnsi="Times New Roman" w:cs="Times New Roman"/>
          <w:sz w:val="24"/>
          <w:szCs w:val="24"/>
        </w:rPr>
        <w:t>2</w:t>
      </w:r>
      <w:r w:rsidR="00397EFB" w:rsidRPr="00AE141E">
        <w:rPr>
          <w:rFonts w:ascii="Times New Roman" w:hAnsi="Times New Roman" w:cs="Times New Roman"/>
          <w:sz w:val="24"/>
          <w:szCs w:val="24"/>
        </w:rPr>
        <w:t xml:space="preserve"> made clear</w:t>
      </w:r>
      <w:r w:rsidR="00CD0609" w:rsidRPr="00AE141E">
        <w:rPr>
          <w:rFonts w:ascii="Times New Roman" w:hAnsi="Times New Roman" w:cs="Times New Roman"/>
          <w:sz w:val="24"/>
          <w:szCs w:val="24"/>
        </w:rPr>
        <w:t>, schools</w:t>
      </w:r>
      <w:r w:rsidR="00397EFB" w:rsidRPr="00AE141E">
        <w:rPr>
          <w:rFonts w:ascii="Times New Roman" w:hAnsi="Times New Roman" w:cs="Times New Roman"/>
          <w:sz w:val="24"/>
          <w:szCs w:val="24"/>
        </w:rPr>
        <w:t xml:space="preserve"> </w:t>
      </w:r>
      <w:r w:rsidR="00CD0609" w:rsidRPr="00AE141E">
        <w:rPr>
          <w:rFonts w:ascii="Times New Roman" w:hAnsi="Times New Roman" w:cs="Times New Roman"/>
          <w:sz w:val="24"/>
          <w:szCs w:val="24"/>
        </w:rPr>
        <w:t xml:space="preserve">struggled with the financial demands of replacing textbooks; it was not unusual for </w:t>
      </w:r>
      <w:r w:rsidR="00397EFB" w:rsidRPr="00AE141E">
        <w:rPr>
          <w:rFonts w:ascii="Times New Roman" w:hAnsi="Times New Roman" w:cs="Times New Roman"/>
          <w:sz w:val="24"/>
          <w:szCs w:val="24"/>
        </w:rPr>
        <w:t>classes</w:t>
      </w:r>
      <w:r w:rsidR="00CD0609" w:rsidRPr="00AE141E">
        <w:rPr>
          <w:rFonts w:ascii="Times New Roman" w:hAnsi="Times New Roman" w:cs="Times New Roman"/>
          <w:sz w:val="24"/>
          <w:szCs w:val="24"/>
        </w:rPr>
        <w:t xml:space="preserve"> in the early 1970s to be using texts published in the 1930s.</w:t>
      </w:r>
      <w:r w:rsidR="001C184B" w:rsidRPr="00AE141E">
        <w:rPr>
          <w:rStyle w:val="FootnoteReference"/>
          <w:rFonts w:ascii="Times New Roman" w:hAnsi="Times New Roman" w:cs="Times New Roman"/>
          <w:sz w:val="24"/>
          <w:szCs w:val="24"/>
        </w:rPr>
        <w:footnoteReference w:id="510"/>
      </w:r>
      <w:r w:rsidR="00CD0609" w:rsidRPr="00AE141E">
        <w:rPr>
          <w:rFonts w:ascii="Times New Roman" w:hAnsi="Times New Roman" w:cs="Times New Roman"/>
          <w:sz w:val="24"/>
          <w:szCs w:val="24"/>
        </w:rPr>
        <w:t xml:space="preserve"> The humanities frequently found themselves at the bottom of the priority list when it came to funding allocations, owing to a popular belief that – unlike the sciences or maths – ‘history doesn't change’.</w:t>
      </w:r>
      <w:r w:rsidR="00C17512" w:rsidRPr="00AE141E">
        <w:rPr>
          <w:rStyle w:val="FootnoteReference"/>
          <w:rFonts w:ascii="Times New Roman" w:hAnsi="Times New Roman" w:cs="Times New Roman"/>
          <w:sz w:val="24"/>
          <w:szCs w:val="24"/>
        </w:rPr>
        <w:footnoteReference w:id="511"/>
      </w:r>
      <w:r w:rsidR="00CD0609" w:rsidRPr="00AE141E">
        <w:rPr>
          <w:rFonts w:ascii="Times New Roman" w:hAnsi="Times New Roman" w:cs="Times New Roman"/>
          <w:sz w:val="24"/>
          <w:szCs w:val="24"/>
        </w:rPr>
        <w:t xml:space="preserve"> History was a rigid, immutable narrative to be passed down from generation to generation. Economies of scale further also affected the content of history textbooks. The cheapest sets of books were usually those which had been reprinted multiple times, usually with minimal editorial revision. In a very literal sense, then, the ‘myths of the past’ continued to ‘damage […] the present’.</w:t>
      </w:r>
      <w:r w:rsidR="00347EB4" w:rsidRPr="00AE141E">
        <w:rPr>
          <w:rStyle w:val="FootnoteReference"/>
          <w:rFonts w:ascii="Times New Roman" w:hAnsi="Times New Roman" w:cs="Times New Roman"/>
          <w:sz w:val="24"/>
          <w:szCs w:val="24"/>
        </w:rPr>
        <w:footnoteReference w:id="512"/>
      </w:r>
      <w:r w:rsidR="00CD0609" w:rsidRPr="00AE141E">
        <w:rPr>
          <w:rFonts w:ascii="Times New Roman" w:hAnsi="Times New Roman" w:cs="Times New Roman"/>
          <w:sz w:val="24"/>
          <w:szCs w:val="24"/>
        </w:rPr>
        <w:t xml:space="preserve"> </w:t>
      </w:r>
    </w:p>
    <w:p w14:paraId="1CCA2041" w14:textId="77777777" w:rsidR="00F92B26" w:rsidRPr="00AE141E" w:rsidRDefault="00CD060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Sometimes, the problem was one of simple factual inaccuracies which appeared to pause history at the moment of first publication</w:t>
      </w:r>
      <w:r w:rsidR="0030398F" w:rsidRPr="00AE141E">
        <w:rPr>
          <w:rFonts w:ascii="Times New Roman" w:hAnsi="Times New Roman" w:cs="Times New Roman"/>
          <w:sz w:val="24"/>
          <w:szCs w:val="24"/>
        </w:rPr>
        <w:t xml:space="preserve">. </w:t>
      </w:r>
      <w:r w:rsidR="00C15547" w:rsidRPr="00AE141E">
        <w:rPr>
          <w:rFonts w:ascii="Times New Roman" w:hAnsi="Times New Roman" w:cs="Times New Roman"/>
          <w:sz w:val="24"/>
          <w:szCs w:val="24"/>
        </w:rPr>
        <w:t xml:space="preserve">Textbooks which had been published </w:t>
      </w:r>
      <w:r w:rsidRPr="00AE141E">
        <w:rPr>
          <w:rFonts w:ascii="Times New Roman" w:hAnsi="Times New Roman" w:cs="Times New Roman"/>
          <w:sz w:val="24"/>
          <w:szCs w:val="24"/>
        </w:rPr>
        <w:t xml:space="preserve">prior to the political independence of </w:t>
      </w:r>
      <w:r w:rsidR="00C15547" w:rsidRPr="00AE141E">
        <w:rPr>
          <w:rFonts w:ascii="Times New Roman" w:hAnsi="Times New Roman" w:cs="Times New Roman"/>
          <w:sz w:val="24"/>
          <w:szCs w:val="24"/>
        </w:rPr>
        <w:t>Britain’s former</w:t>
      </w:r>
      <w:r w:rsidRPr="00AE141E">
        <w:rPr>
          <w:rFonts w:ascii="Times New Roman" w:hAnsi="Times New Roman" w:cs="Times New Roman"/>
          <w:sz w:val="24"/>
          <w:szCs w:val="24"/>
        </w:rPr>
        <w:t xml:space="preserve"> colonies</w:t>
      </w:r>
      <w:r w:rsidR="00C15547" w:rsidRPr="00AE141E">
        <w:rPr>
          <w:rFonts w:ascii="Times New Roman" w:hAnsi="Times New Roman" w:cs="Times New Roman"/>
          <w:sz w:val="24"/>
          <w:szCs w:val="24"/>
        </w:rPr>
        <w:t xml:space="preserve"> remained in </w:t>
      </w:r>
      <w:r w:rsidR="00F92B26" w:rsidRPr="00AE141E">
        <w:rPr>
          <w:rFonts w:ascii="Times New Roman" w:hAnsi="Times New Roman" w:cs="Times New Roman"/>
          <w:sz w:val="24"/>
          <w:szCs w:val="24"/>
        </w:rPr>
        <w:t>widespread circulation</w:t>
      </w:r>
      <w:r w:rsidRPr="00AE141E">
        <w:rPr>
          <w:rFonts w:ascii="Times New Roman" w:hAnsi="Times New Roman" w:cs="Times New Roman"/>
          <w:sz w:val="24"/>
          <w:szCs w:val="24"/>
        </w:rPr>
        <w:t xml:space="preserve">. Such texts painted an image of a world in which Britain retained political primacy, and in which the colonised held minimal political agency; they were at once inaccurate and inadvertently nostalgic. The feedback loop they created may have reinforced the carelessness with which authors of more modern textbooks labelled the world outside Europe. For example, P.W.R. Foot’s </w:t>
      </w:r>
      <w:r w:rsidRPr="00AE141E">
        <w:rPr>
          <w:rFonts w:ascii="Times New Roman" w:hAnsi="Times New Roman" w:cs="Times New Roman"/>
          <w:i/>
          <w:sz w:val="24"/>
          <w:szCs w:val="24"/>
        </w:rPr>
        <w:t>The Child in the Twentieth Century</w:t>
      </w:r>
      <w:r w:rsidRPr="00AE141E">
        <w:rPr>
          <w:rFonts w:ascii="Times New Roman" w:hAnsi="Times New Roman" w:cs="Times New Roman"/>
          <w:sz w:val="24"/>
          <w:szCs w:val="24"/>
        </w:rPr>
        <w:t xml:space="preserve">, published in 1968, used Tanzania’s colonial </w:t>
      </w:r>
      <w:r w:rsidR="009803EF" w:rsidRPr="00AE141E">
        <w:rPr>
          <w:rFonts w:ascii="Times New Roman" w:hAnsi="Times New Roman" w:cs="Times New Roman"/>
          <w:sz w:val="24"/>
          <w:szCs w:val="24"/>
        </w:rPr>
        <w:t>designation</w:t>
      </w:r>
      <w:r w:rsidRPr="00AE141E">
        <w:rPr>
          <w:rFonts w:ascii="Times New Roman" w:hAnsi="Times New Roman" w:cs="Times New Roman"/>
          <w:sz w:val="24"/>
          <w:szCs w:val="24"/>
        </w:rPr>
        <w:t xml:space="preserve"> </w:t>
      </w:r>
      <w:r w:rsidR="009803EF" w:rsidRPr="00AE141E">
        <w:rPr>
          <w:rFonts w:ascii="Times New Roman" w:hAnsi="Times New Roman" w:cs="Times New Roman"/>
          <w:sz w:val="24"/>
          <w:szCs w:val="24"/>
        </w:rPr>
        <w:t>(</w:t>
      </w:r>
      <w:r w:rsidRPr="00AE141E">
        <w:rPr>
          <w:rFonts w:ascii="Times New Roman" w:hAnsi="Times New Roman" w:cs="Times New Roman"/>
          <w:sz w:val="24"/>
          <w:szCs w:val="24"/>
        </w:rPr>
        <w:t>Tanganyika</w:t>
      </w:r>
      <w:r w:rsidR="009803EF" w:rsidRPr="00AE141E">
        <w:rPr>
          <w:rFonts w:ascii="Times New Roman" w:hAnsi="Times New Roman" w:cs="Times New Roman"/>
          <w:sz w:val="24"/>
          <w:szCs w:val="24"/>
        </w:rPr>
        <w:t>)</w:t>
      </w:r>
      <w:r w:rsidR="009C1C9F" w:rsidRPr="00AE141E">
        <w:rPr>
          <w:rFonts w:ascii="Times New Roman" w:hAnsi="Times New Roman" w:cs="Times New Roman"/>
          <w:sz w:val="24"/>
          <w:szCs w:val="24"/>
        </w:rPr>
        <w:t>. At this time, Tanzania had been independent</w:t>
      </w:r>
      <w:r w:rsidRPr="00AE141E">
        <w:rPr>
          <w:rFonts w:ascii="Times New Roman" w:hAnsi="Times New Roman" w:cs="Times New Roman"/>
          <w:sz w:val="24"/>
          <w:szCs w:val="24"/>
        </w:rPr>
        <w:t xml:space="preserve"> </w:t>
      </w:r>
      <w:r w:rsidR="00F92B26" w:rsidRPr="00AE141E">
        <w:rPr>
          <w:rFonts w:ascii="Times New Roman" w:hAnsi="Times New Roman" w:cs="Times New Roman"/>
          <w:sz w:val="24"/>
          <w:szCs w:val="24"/>
        </w:rPr>
        <w:t>for a full four years</w:t>
      </w:r>
      <w:r w:rsidRPr="00AE141E">
        <w:rPr>
          <w:rFonts w:ascii="Times New Roman" w:hAnsi="Times New Roman" w:cs="Times New Roman"/>
          <w:sz w:val="24"/>
          <w:szCs w:val="24"/>
        </w:rPr>
        <w:t>.</w:t>
      </w:r>
      <w:r w:rsidRPr="00AE141E">
        <w:rPr>
          <w:rStyle w:val="FootnoteReference"/>
          <w:rFonts w:ascii="Times New Roman" w:hAnsi="Times New Roman" w:cs="Times New Roman"/>
          <w:sz w:val="24"/>
          <w:szCs w:val="24"/>
        </w:rPr>
        <w:footnoteReference w:id="513"/>
      </w:r>
      <w:r w:rsidR="00F92B26" w:rsidRPr="00AE141E">
        <w:rPr>
          <w:rFonts w:ascii="Times New Roman" w:hAnsi="Times New Roman" w:cs="Times New Roman"/>
          <w:sz w:val="24"/>
          <w:szCs w:val="24"/>
        </w:rPr>
        <w:t xml:space="preserve"> </w:t>
      </w:r>
      <w:r w:rsidRPr="00AE141E">
        <w:rPr>
          <w:rFonts w:ascii="Times New Roman" w:hAnsi="Times New Roman" w:cs="Times New Roman"/>
          <w:sz w:val="24"/>
          <w:szCs w:val="24"/>
        </w:rPr>
        <w:t>In other cases, the problem was more explicitly narrative</w:t>
      </w:r>
      <w:r w:rsidR="00B22619"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Proctor mourned the </w:t>
      </w:r>
      <w:r w:rsidR="005A6F71" w:rsidRPr="00AE141E">
        <w:rPr>
          <w:rFonts w:ascii="Times New Roman" w:hAnsi="Times New Roman" w:cs="Times New Roman"/>
          <w:sz w:val="24"/>
          <w:szCs w:val="24"/>
        </w:rPr>
        <w:t>‘</w:t>
      </w:r>
      <w:r w:rsidRPr="00AE141E">
        <w:rPr>
          <w:rFonts w:ascii="Times New Roman" w:hAnsi="Times New Roman" w:cs="Times New Roman"/>
          <w:sz w:val="24"/>
          <w:szCs w:val="24"/>
        </w:rPr>
        <w:t>sad fact</w:t>
      </w:r>
      <w:r w:rsidR="00446928" w:rsidRPr="00AE141E">
        <w:rPr>
          <w:rFonts w:ascii="Times New Roman" w:hAnsi="Times New Roman" w:cs="Times New Roman"/>
          <w:sz w:val="24"/>
          <w:szCs w:val="24"/>
        </w:rPr>
        <w:t>’</w:t>
      </w:r>
      <w:r w:rsidRPr="00AE141E">
        <w:rPr>
          <w:rFonts w:ascii="Times New Roman" w:hAnsi="Times New Roman" w:cs="Times New Roman"/>
          <w:sz w:val="24"/>
          <w:szCs w:val="24"/>
        </w:rPr>
        <w:t xml:space="preserve"> that many of the books he cited were </w:t>
      </w:r>
      <w:r w:rsidR="005A6F71" w:rsidRPr="00AE141E">
        <w:rPr>
          <w:rFonts w:ascii="Times New Roman" w:hAnsi="Times New Roman" w:cs="Times New Roman"/>
          <w:sz w:val="24"/>
          <w:szCs w:val="24"/>
        </w:rPr>
        <w:t>only recently written</w:t>
      </w:r>
      <w:r w:rsidRPr="00AE141E">
        <w:rPr>
          <w:rFonts w:ascii="Times New Roman" w:hAnsi="Times New Roman" w:cs="Times New Roman"/>
          <w:sz w:val="24"/>
          <w:szCs w:val="24"/>
        </w:rPr>
        <w:t>.</w:t>
      </w:r>
      <w:r w:rsidR="00301679" w:rsidRPr="00AE141E">
        <w:rPr>
          <w:rStyle w:val="FootnoteReference"/>
          <w:rFonts w:ascii="Times New Roman" w:hAnsi="Times New Roman" w:cs="Times New Roman"/>
          <w:sz w:val="24"/>
          <w:szCs w:val="24"/>
        </w:rPr>
        <w:footnoteReference w:id="514"/>
      </w:r>
      <w:r w:rsidR="00812278" w:rsidRPr="00AE141E">
        <w:rPr>
          <w:rFonts w:ascii="Times New Roman" w:hAnsi="Times New Roman" w:cs="Times New Roman"/>
          <w:sz w:val="24"/>
          <w:szCs w:val="24"/>
        </w:rPr>
        <w:t xml:space="preserve"> </w:t>
      </w:r>
      <w:r w:rsidR="00092041" w:rsidRPr="00AE141E">
        <w:rPr>
          <w:rFonts w:ascii="Times New Roman" w:hAnsi="Times New Roman" w:cs="Times New Roman"/>
          <w:sz w:val="24"/>
          <w:szCs w:val="24"/>
        </w:rPr>
        <w:t xml:space="preserve">Or, as </w:t>
      </w:r>
      <w:r w:rsidR="00AB30FC" w:rsidRPr="00AE141E">
        <w:rPr>
          <w:rFonts w:ascii="Times New Roman" w:hAnsi="Times New Roman" w:cs="Times New Roman"/>
          <w:sz w:val="24"/>
          <w:szCs w:val="24"/>
        </w:rPr>
        <w:t>D</w:t>
      </w:r>
      <w:r w:rsidR="006D4888" w:rsidRPr="00AE141E">
        <w:rPr>
          <w:rFonts w:ascii="Times New Roman" w:hAnsi="Times New Roman" w:cs="Times New Roman"/>
          <w:sz w:val="24"/>
          <w:szCs w:val="24"/>
        </w:rPr>
        <w:t xml:space="preserve">orothy Kuya put it, </w:t>
      </w:r>
      <w:r w:rsidR="001D371C" w:rsidRPr="00AE141E">
        <w:rPr>
          <w:rFonts w:ascii="Times New Roman" w:hAnsi="Times New Roman" w:cs="Times New Roman"/>
          <w:sz w:val="24"/>
          <w:szCs w:val="24"/>
        </w:rPr>
        <w:t>‘</w:t>
      </w:r>
      <w:r w:rsidR="00476B5C" w:rsidRPr="00AE141E">
        <w:rPr>
          <w:rFonts w:ascii="Times New Roman" w:hAnsi="Times New Roman" w:cs="Times New Roman"/>
          <w:sz w:val="24"/>
          <w:szCs w:val="24"/>
        </w:rPr>
        <w:t>m</w:t>
      </w:r>
      <w:r w:rsidR="001D371C" w:rsidRPr="00AE141E">
        <w:rPr>
          <w:rFonts w:ascii="Times New Roman" w:hAnsi="Times New Roman" w:cs="Times New Roman"/>
          <w:sz w:val="24"/>
          <w:szCs w:val="24"/>
        </w:rPr>
        <w:t xml:space="preserve">any schoolbooks written in the seventies appear to be more colourful versions of books </w:t>
      </w:r>
      <w:r w:rsidR="001D371C" w:rsidRPr="00AE141E">
        <w:rPr>
          <w:rFonts w:ascii="Times New Roman" w:hAnsi="Times New Roman" w:cs="Times New Roman"/>
          <w:sz w:val="24"/>
          <w:szCs w:val="24"/>
        </w:rPr>
        <w:lastRenderedPageBreak/>
        <w:t>written in the forties, with no change of approach in the handling of subjects, or the ideas within them. Colonial poses are struck; the white man is still in charge</w:t>
      </w:r>
      <w:r w:rsidR="00476B5C" w:rsidRPr="00AE141E">
        <w:rPr>
          <w:rFonts w:ascii="Times New Roman" w:hAnsi="Times New Roman" w:cs="Times New Roman"/>
          <w:sz w:val="24"/>
          <w:szCs w:val="24"/>
        </w:rPr>
        <w:t>’.</w:t>
      </w:r>
      <w:r w:rsidR="00476B5C" w:rsidRPr="00AE141E">
        <w:rPr>
          <w:rStyle w:val="FootnoteReference"/>
          <w:rFonts w:ascii="Times New Roman" w:hAnsi="Times New Roman" w:cs="Times New Roman"/>
          <w:sz w:val="24"/>
          <w:szCs w:val="24"/>
        </w:rPr>
        <w:footnoteReference w:id="515"/>
      </w:r>
      <w:r w:rsidR="00476B5C" w:rsidRPr="00AE141E">
        <w:rPr>
          <w:rFonts w:ascii="Times New Roman" w:hAnsi="Times New Roman" w:cs="Times New Roman"/>
          <w:sz w:val="24"/>
          <w:szCs w:val="24"/>
        </w:rPr>
        <w:t xml:space="preserve"> </w:t>
      </w:r>
    </w:p>
    <w:p w14:paraId="2CCBAF77" w14:textId="4F9041B1" w:rsidR="00881116" w:rsidRPr="00AE141E" w:rsidRDefault="0081227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World history texts, </w:t>
      </w:r>
      <w:r w:rsidR="00A93B14" w:rsidRPr="00AE141E">
        <w:rPr>
          <w:rFonts w:ascii="Times New Roman" w:hAnsi="Times New Roman" w:cs="Times New Roman"/>
          <w:sz w:val="24"/>
          <w:szCs w:val="24"/>
        </w:rPr>
        <w:t xml:space="preserve">though self-consciously </w:t>
      </w:r>
      <w:r w:rsidR="00D6316E" w:rsidRPr="00AE141E">
        <w:rPr>
          <w:rFonts w:ascii="Times New Roman" w:hAnsi="Times New Roman" w:cs="Times New Roman"/>
          <w:sz w:val="24"/>
          <w:szCs w:val="24"/>
        </w:rPr>
        <w:t xml:space="preserve">positioned as </w:t>
      </w:r>
      <w:r w:rsidR="005E42F3" w:rsidRPr="00AE141E">
        <w:rPr>
          <w:rFonts w:ascii="Times New Roman" w:hAnsi="Times New Roman" w:cs="Times New Roman"/>
          <w:sz w:val="24"/>
          <w:szCs w:val="24"/>
        </w:rPr>
        <w:t xml:space="preserve">innovative, were not exempt. </w:t>
      </w:r>
      <w:r w:rsidR="001F2319" w:rsidRPr="00AE141E">
        <w:rPr>
          <w:rFonts w:ascii="Times New Roman" w:hAnsi="Times New Roman" w:cs="Times New Roman"/>
          <w:sz w:val="24"/>
          <w:szCs w:val="24"/>
        </w:rPr>
        <w:t>Critics argued</w:t>
      </w:r>
      <w:r w:rsidR="00580394" w:rsidRPr="00AE141E">
        <w:rPr>
          <w:rFonts w:ascii="Times New Roman" w:hAnsi="Times New Roman" w:cs="Times New Roman"/>
          <w:sz w:val="24"/>
          <w:szCs w:val="24"/>
        </w:rPr>
        <w:t xml:space="preserve"> that the </w:t>
      </w:r>
      <w:r w:rsidR="00580394" w:rsidRPr="00AE141E">
        <w:rPr>
          <w:rFonts w:ascii="Times New Roman" w:hAnsi="Times New Roman" w:cs="Times New Roman"/>
          <w:i/>
          <w:sz w:val="24"/>
          <w:szCs w:val="24"/>
        </w:rPr>
        <w:t>way</w:t>
      </w:r>
      <w:r w:rsidR="00580394" w:rsidRPr="00AE141E">
        <w:rPr>
          <w:rFonts w:ascii="Times New Roman" w:hAnsi="Times New Roman" w:cs="Times New Roman"/>
          <w:sz w:val="24"/>
          <w:szCs w:val="24"/>
        </w:rPr>
        <w:t xml:space="preserve"> histories of the non-European world </w:t>
      </w:r>
      <w:r w:rsidR="00F91808" w:rsidRPr="00AE141E">
        <w:rPr>
          <w:rFonts w:ascii="Times New Roman" w:hAnsi="Times New Roman" w:cs="Times New Roman"/>
          <w:sz w:val="24"/>
          <w:szCs w:val="24"/>
        </w:rPr>
        <w:t>were</w:t>
      </w:r>
      <w:r w:rsidR="00580394" w:rsidRPr="00AE141E">
        <w:rPr>
          <w:rFonts w:ascii="Times New Roman" w:hAnsi="Times New Roman" w:cs="Times New Roman"/>
          <w:sz w:val="24"/>
          <w:szCs w:val="24"/>
        </w:rPr>
        <w:t xml:space="preserve"> presented in the classroom </w:t>
      </w:r>
      <w:r w:rsidR="00F91808" w:rsidRPr="00AE141E">
        <w:rPr>
          <w:rFonts w:ascii="Times New Roman" w:hAnsi="Times New Roman" w:cs="Times New Roman"/>
          <w:sz w:val="24"/>
          <w:szCs w:val="24"/>
        </w:rPr>
        <w:t>was</w:t>
      </w:r>
      <w:r w:rsidR="00580394" w:rsidRPr="00AE141E">
        <w:rPr>
          <w:rFonts w:ascii="Times New Roman" w:hAnsi="Times New Roman" w:cs="Times New Roman"/>
          <w:sz w:val="24"/>
          <w:szCs w:val="24"/>
        </w:rPr>
        <w:t xml:space="preserve"> </w:t>
      </w:r>
      <w:r w:rsidR="00F91808" w:rsidRPr="00AE141E">
        <w:rPr>
          <w:rFonts w:ascii="Times New Roman" w:hAnsi="Times New Roman" w:cs="Times New Roman"/>
          <w:sz w:val="24"/>
          <w:szCs w:val="24"/>
        </w:rPr>
        <w:t>‘</w:t>
      </w:r>
      <w:r w:rsidR="00580394" w:rsidRPr="00AE141E">
        <w:rPr>
          <w:rFonts w:ascii="Times New Roman" w:hAnsi="Times New Roman" w:cs="Times New Roman"/>
          <w:sz w:val="24"/>
          <w:szCs w:val="24"/>
        </w:rPr>
        <w:t>more important than the actual amount’.</w:t>
      </w:r>
      <w:r w:rsidR="00580394" w:rsidRPr="00AE141E">
        <w:rPr>
          <w:rStyle w:val="FootnoteReference"/>
          <w:rFonts w:ascii="Times New Roman" w:hAnsi="Times New Roman" w:cs="Times New Roman"/>
          <w:sz w:val="24"/>
          <w:szCs w:val="24"/>
        </w:rPr>
        <w:footnoteReference w:id="516"/>
      </w:r>
      <w:r w:rsidR="00580394" w:rsidRPr="00AE141E">
        <w:rPr>
          <w:rFonts w:ascii="Times New Roman" w:hAnsi="Times New Roman" w:cs="Times New Roman"/>
          <w:sz w:val="24"/>
          <w:szCs w:val="24"/>
        </w:rPr>
        <w:t xml:space="preserve"> </w:t>
      </w:r>
      <w:r w:rsidR="00C031D1" w:rsidRPr="00AE141E">
        <w:rPr>
          <w:rFonts w:ascii="Times New Roman" w:hAnsi="Times New Roman" w:cs="Times New Roman"/>
          <w:sz w:val="24"/>
          <w:szCs w:val="24"/>
        </w:rPr>
        <w:t>Accusations of ‘Eurocentri</w:t>
      </w:r>
      <w:r w:rsidR="000F4F51" w:rsidRPr="00AE141E">
        <w:rPr>
          <w:rFonts w:ascii="Times New Roman" w:hAnsi="Times New Roman" w:cs="Times New Roman"/>
          <w:sz w:val="24"/>
          <w:szCs w:val="24"/>
        </w:rPr>
        <w:t>c</w:t>
      </w:r>
      <w:r w:rsidR="008E2CF0" w:rsidRPr="00AE141E">
        <w:rPr>
          <w:rFonts w:ascii="Times New Roman" w:hAnsi="Times New Roman" w:cs="Times New Roman"/>
          <w:sz w:val="24"/>
          <w:szCs w:val="24"/>
        </w:rPr>
        <w:t>ity</w:t>
      </w:r>
      <w:r w:rsidR="00C031D1" w:rsidRPr="00AE141E">
        <w:rPr>
          <w:rFonts w:ascii="Times New Roman" w:hAnsi="Times New Roman" w:cs="Times New Roman"/>
          <w:sz w:val="24"/>
          <w:szCs w:val="24"/>
        </w:rPr>
        <w:t xml:space="preserve">’ </w:t>
      </w:r>
      <w:r w:rsidR="001070FB" w:rsidRPr="00AE141E">
        <w:rPr>
          <w:rFonts w:ascii="Times New Roman" w:hAnsi="Times New Roman" w:cs="Times New Roman"/>
          <w:sz w:val="24"/>
          <w:szCs w:val="24"/>
        </w:rPr>
        <w:t xml:space="preserve">and ‘cultural imperialism’ </w:t>
      </w:r>
      <w:r w:rsidR="00D964F4" w:rsidRPr="00AE141E">
        <w:rPr>
          <w:rFonts w:ascii="Times New Roman" w:hAnsi="Times New Roman" w:cs="Times New Roman"/>
          <w:sz w:val="24"/>
          <w:szCs w:val="24"/>
        </w:rPr>
        <w:t>abounded</w:t>
      </w:r>
      <w:r w:rsidR="00690E30" w:rsidRPr="00AE141E">
        <w:rPr>
          <w:rFonts w:ascii="Times New Roman" w:hAnsi="Times New Roman" w:cs="Times New Roman"/>
          <w:sz w:val="24"/>
          <w:szCs w:val="24"/>
        </w:rPr>
        <w:t>.</w:t>
      </w:r>
      <w:r w:rsidR="00073C9E" w:rsidRPr="00AE141E">
        <w:rPr>
          <w:rStyle w:val="FootnoteReference"/>
          <w:rFonts w:ascii="Times New Roman" w:hAnsi="Times New Roman" w:cs="Times New Roman"/>
          <w:sz w:val="24"/>
          <w:szCs w:val="24"/>
        </w:rPr>
        <w:footnoteReference w:id="517"/>
      </w:r>
      <w:r w:rsidR="0008526B" w:rsidRPr="00AE141E">
        <w:rPr>
          <w:rFonts w:ascii="Times New Roman" w:hAnsi="Times New Roman" w:cs="Times New Roman"/>
          <w:sz w:val="24"/>
          <w:szCs w:val="24"/>
        </w:rPr>
        <w:t xml:space="preserve"> </w:t>
      </w:r>
      <w:r w:rsidR="00CF512C" w:rsidRPr="00AE141E">
        <w:rPr>
          <w:rFonts w:ascii="Times New Roman" w:hAnsi="Times New Roman" w:cs="Times New Roman"/>
          <w:sz w:val="24"/>
          <w:szCs w:val="24"/>
        </w:rPr>
        <w:t xml:space="preserve">David </w:t>
      </w:r>
      <w:r w:rsidR="00BE4924" w:rsidRPr="00AE141E">
        <w:rPr>
          <w:rFonts w:ascii="Times New Roman" w:hAnsi="Times New Roman" w:cs="Times New Roman"/>
          <w:sz w:val="24"/>
          <w:szCs w:val="24"/>
        </w:rPr>
        <w:t>Killingray</w:t>
      </w:r>
      <w:r w:rsidR="00CF512C" w:rsidRPr="00AE141E">
        <w:rPr>
          <w:rFonts w:ascii="Times New Roman" w:hAnsi="Times New Roman" w:cs="Times New Roman"/>
          <w:sz w:val="24"/>
          <w:szCs w:val="24"/>
        </w:rPr>
        <w:t xml:space="preserve">, </w:t>
      </w:r>
      <w:r w:rsidR="00356B0B" w:rsidRPr="00AE141E">
        <w:rPr>
          <w:rFonts w:ascii="Times New Roman" w:hAnsi="Times New Roman" w:cs="Times New Roman"/>
          <w:sz w:val="24"/>
          <w:szCs w:val="24"/>
        </w:rPr>
        <w:t>a</w:t>
      </w:r>
      <w:r w:rsidR="00420F71" w:rsidRPr="00AE141E">
        <w:rPr>
          <w:rFonts w:ascii="Times New Roman" w:hAnsi="Times New Roman" w:cs="Times New Roman"/>
          <w:sz w:val="24"/>
          <w:szCs w:val="24"/>
        </w:rPr>
        <w:t xml:space="preserve"> teacher, teacher-trainer, and a</w:t>
      </w:r>
      <w:r w:rsidR="00356B0B" w:rsidRPr="00AE141E">
        <w:rPr>
          <w:rFonts w:ascii="Times New Roman" w:hAnsi="Times New Roman" w:cs="Times New Roman"/>
          <w:sz w:val="24"/>
          <w:szCs w:val="24"/>
        </w:rPr>
        <w:t xml:space="preserve"> historian of empire, </w:t>
      </w:r>
      <w:r w:rsidR="00F96F3D" w:rsidRPr="00AE141E">
        <w:rPr>
          <w:rFonts w:ascii="Times New Roman" w:hAnsi="Times New Roman" w:cs="Times New Roman"/>
          <w:sz w:val="24"/>
          <w:szCs w:val="24"/>
        </w:rPr>
        <w:t xml:space="preserve">felt compelled to inform </w:t>
      </w:r>
      <w:r w:rsidR="00AE2BE3" w:rsidRPr="00AE141E">
        <w:rPr>
          <w:rFonts w:ascii="Times New Roman" w:hAnsi="Times New Roman" w:cs="Times New Roman"/>
          <w:sz w:val="24"/>
          <w:szCs w:val="24"/>
        </w:rPr>
        <w:t>fellow educators</w:t>
      </w:r>
      <w:r w:rsidR="00F96F3D" w:rsidRPr="00AE141E">
        <w:rPr>
          <w:rFonts w:ascii="Times New Roman" w:hAnsi="Times New Roman" w:cs="Times New Roman"/>
          <w:sz w:val="24"/>
          <w:szCs w:val="24"/>
        </w:rPr>
        <w:t xml:space="preserve"> that</w:t>
      </w:r>
      <w:r w:rsidR="00BE4924" w:rsidRPr="00AE141E">
        <w:rPr>
          <w:rFonts w:ascii="Times New Roman" w:hAnsi="Times New Roman" w:cs="Times New Roman"/>
          <w:sz w:val="24"/>
          <w:szCs w:val="24"/>
        </w:rPr>
        <w:t xml:space="preserve"> </w:t>
      </w:r>
      <w:r w:rsidR="00F96F3D" w:rsidRPr="00AE141E">
        <w:rPr>
          <w:rFonts w:ascii="Times New Roman" w:hAnsi="Times New Roman" w:cs="Times New Roman"/>
          <w:sz w:val="24"/>
          <w:szCs w:val="24"/>
        </w:rPr>
        <w:t>it was preferable to</w:t>
      </w:r>
      <w:r w:rsidR="00593236" w:rsidRPr="00AE141E">
        <w:rPr>
          <w:rFonts w:ascii="Times New Roman" w:hAnsi="Times New Roman" w:cs="Times New Roman"/>
          <w:sz w:val="24"/>
          <w:szCs w:val="24"/>
        </w:rPr>
        <w:t xml:space="preserve"> </w:t>
      </w:r>
      <w:r w:rsidR="00D44134" w:rsidRPr="00AE141E">
        <w:rPr>
          <w:rFonts w:ascii="Times New Roman" w:hAnsi="Times New Roman" w:cs="Times New Roman"/>
          <w:sz w:val="24"/>
          <w:szCs w:val="24"/>
        </w:rPr>
        <w:t>traverse</w:t>
      </w:r>
      <w:r w:rsidR="00A83534" w:rsidRPr="00AE141E">
        <w:rPr>
          <w:rFonts w:ascii="Times New Roman" w:hAnsi="Times New Roman" w:cs="Times New Roman"/>
          <w:sz w:val="24"/>
          <w:szCs w:val="24"/>
        </w:rPr>
        <w:t xml:space="preserve"> ‘</w:t>
      </w:r>
      <w:r w:rsidR="00FF0576" w:rsidRPr="00AE141E">
        <w:rPr>
          <w:rFonts w:ascii="Times New Roman" w:hAnsi="Times New Roman" w:cs="Times New Roman"/>
          <w:sz w:val="24"/>
          <w:szCs w:val="24"/>
        </w:rPr>
        <w:t>the well-ploughed fields of Tudor England</w:t>
      </w:r>
      <w:r w:rsidR="00D44134" w:rsidRPr="00AE141E">
        <w:rPr>
          <w:rFonts w:ascii="Times New Roman" w:hAnsi="Times New Roman" w:cs="Times New Roman"/>
          <w:sz w:val="24"/>
          <w:szCs w:val="24"/>
        </w:rPr>
        <w:t>’</w:t>
      </w:r>
      <w:r w:rsidR="00FF0576" w:rsidRPr="00AE141E">
        <w:rPr>
          <w:rFonts w:ascii="Times New Roman" w:hAnsi="Times New Roman" w:cs="Times New Roman"/>
          <w:sz w:val="24"/>
          <w:szCs w:val="24"/>
        </w:rPr>
        <w:t xml:space="preserve"> than</w:t>
      </w:r>
      <w:r w:rsidR="00D44134" w:rsidRPr="00AE141E">
        <w:rPr>
          <w:rFonts w:ascii="Times New Roman" w:hAnsi="Times New Roman" w:cs="Times New Roman"/>
          <w:sz w:val="24"/>
          <w:szCs w:val="24"/>
        </w:rPr>
        <w:t xml:space="preserve"> </w:t>
      </w:r>
      <w:r w:rsidR="00F96F3D" w:rsidRPr="00AE141E">
        <w:rPr>
          <w:rFonts w:ascii="Times New Roman" w:hAnsi="Times New Roman" w:cs="Times New Roman"/>
          <w:sz w:val="24"/>
          <w:szCs w:val="24"/>
        </w:rPr>
        <w:t xml:space="preserve">to </w:t>
      </w:r>
      <w:r w:rsidR="00D44134" w:rsidRPr="00AE141E">
        <w:rPr>
          <w:rFonts w:ascii="Times New Roman" w:hAnsi="Times New Roman" w:cs="Times New Roman"/>
          <w:sz w:val="24"/>
          <w:szCs w:val="24"/>
        </w:rPr>
        <w:t>indulge in</w:t>
      </w:r>
      <w:r w:rsidR="00307351" w:rsidRPr="00AE141E">
        <w:rPr>
          <w:rFonts w:ascii="Times New Roman" w:hAnsi="Times New Roman" w:cs="Times New Roman"/>
          <w:sz w:val="24"/>
          <w:szCs w:val="24"/>
        </w:rPr>
        <w:t xml:space="preserve"> a misdirected ‘</w:t>
      </w:r>
      <w:r w:rsidR="00FF0576" w:rsidRPr="00AE141E">
        <w:rPr>
          <w:rFonts w:ascii="Times New Roman" w:hAnsi="Times New Roman" w:cs="Times New Roman"/>
          <w:sz w:val="24"/>
          <w:szCs w:val="24"/>
        </w:rPr>
        <w:t>wandering over the grasslands of central Africa</w:t>
      </w:r>
      <w:r w:rsidR="00A83534" w:rsidRPr="00AE141E">
        <w:rPr>
          <w:rFonts w:ascii="Times New Roman" w:hAnsi="Times New Roman" w:cs="Times New Roman"/>
          <w:sz w:val="24"/>
          <w:szCs w:val="24"/>
        </w:rPr>
        <w:t>’.</w:t>
      </w:r>
      <w:r w:rsidR="00AE2BE3" w:rsidRPr="00AE141E">
        <w:rPr>
          <w:rStyle w:val="FootnoteReference"/>
          <w:rFonts w:ascii="Times New Roman" w:hAnsi="Times New Roman" w:cs="Times New Roman"/>
          <w:sz w:val="24"/>
          <w:szCs w:val="24"/>
        </w:rPr>
        <w:footnoteReference w:id="518"/>
      </w:r>
      <w:r w:rsidR="00A83534" w:rsidRPr="00AE141E">
        <w:rPr>
          <w:rFonts w:ascii="Times New Roman" w:hAnsi="Times New Roman" w:cs="Times New Roman"/>
          <w:sz w:val="24"/>
          <w:szCs w:val="24"/>
        </w:rPr>
        <w:t xml:space="preserve"> </w:t>
      </w:r>
      <w:r w:rsidR="00AE2BE3" w:rsidRPr="00AE141E">
        <w:rPr>
          <w:rFonts w:ascii="Times New Roman" w:hAnsi="Times New Roman" w:cs="Times New Roman"/>
          <w:sz w:val="24"/>
          <w:szCs w:val="24"/>
        </w:rPr>
        <w:t>Others</w:t>
      </w:r>
      <w:r w:rsidR="00020C31" w:rsidRPr="00AE141E">
        <w:rPr>
          <w:rFonts w:ascii="Times New Roman" w:hAnsi="Times New Roman" w:cs="Times New Roman"/>
          <w:sz w:val="24"/>
          <w:szCs w:val="24"/>
        </w:rPr>
        <w:t xml:space="preserve"> stressed the dangers</w:t>
      </w:r>
      <w:r w:rsidR="00C26EAD" w:rsidRPr="00AE141E">
        <w:rPr>
          <w:rFonts w:ascii="Times New Roman" w:hAnsi="Times New Roman" w:cs="Times New Roman"/>
          <w:sz w:val="24"/>
          <w:szCs w:val="24"/>
        </w:rPr>
        <w:t xml:space="preserve"> </w:t>
      </w:r>
      <w:r w:rsidR="00020C31" w:rsidRPr="00AE141E">
        <w:rPr>
          <w:rFonts w:ascii="Times New Roman" w:hAnsi="Times New Roman" w:cs="Times New Roman"/>
          <w:sz w:val="24"/>
          <w:szCs w:val="24"/>
        </w:rPr>
        <w:t xml:space="preserve">of </w:t>
      </w:r>
      <w:r w:rsidR="00502942" w:rsidRPr="00AE141E">
        <w:rPr>
          <w:rFonts w:ascii="Times New Roman" w:hAnsi="Times New Roman" w:cs="Times New Roman"/>
          <w:sz w:val="24"/>
          <w:szCs w:val="24"/>
        </w:rPr>
        <w:t>exotic</w:t>
      </w:r>
      <w:r w:rsidR="00C26EAD" w:rsidRPr="00AE141E">
        <w:rPr>
          <w:rFonts w:ascii="Times New Roman" w:hAnsi="Times New Roman" w:cs="Times New Roman"/>
          <w:sz w:val="24"/>
          <w:szCs w:val="24"/>
        </w:rPr>
        <w:t>ism</w:t>
      </w:r>
      <w:r w:rsidR="00502942" w:rsidRPr="00AE141E">
        <w:rPr>
          <w:rFonts w:ascii="Times New Roman" w:hAnsi="Times New Roman" w:cs="Times New Roman"/>
          <w:sz w:val="24"/>
          <w:szCs w:val="24"/>
        </w:rPr>
        <w:t xml:space="preserve">: to offer a ‘Cook’s tour’ </w:t>
      </w:r>
      <w:r w:rsidR="000A41D1" w:rsidRPr="00AE141E">
        <w:rPr>
          <w:rFonts w:ascii="Times New Roman" w:hAnsi="Times New Roman" w:cs="Times New Roman"/>
          <w:sz w:val="24"/>
          <w:szCs w:val="24"/>
        </w:rPr>
        <w:t xml:space="preserve">of the world would merely serve to </w:t>
      </w:r>
      <w:r w:rsidR="00235CD9" w:rsidRPr="00AE141E">
        <w:rPr>
          <w:rFonts w:ascii="Times New Roman" w:hAnsi="Times New Roman" w:cs="Times New Roman"/>
          <w:sz w:val="24"/>
          <w:szCs w:val="24"/>
        </w:rPr>
        <w:t>reduce other histories and cultures to a caricatured notion of</w:t>
      </w:r>
      <w:r w:rsidR="000A41D1" w:rsidRPr="00AE141E">
        <w:rPr>
          <w:rFonts w:ascii="Times New Roman" w:hAnsi="Times New Roman" w:cs="Times New Roman"/>
          <w:sz w:val="24"/>
          <w:szCs w:val="24"/>
        </w:rPr>
        <w:t xml:space="preserve"> </w:t>
      </w:r>
      <w:r w:rsidR="00235CD9" w:rsidRPr="00AE141E">
        <w:rPr>
          <w:rFonts w:ascii="Times New Roman" w:hAnsi="Times New Roman" w:cs="Times New Roman"/>
          <w:sz w:val="24"/>
          <w:szCs w:val="24"/>
        </w:rPr>
        <w:t>‘</w:t>
      </w:r>
      <w:r w:rsidR="000A41D1" w:rsidRPr="00AE141E">
        <w:rPr>
          <w:rFonts w:ascii="Times New Roman" w:hAnsi="Times New Roman" w:cs="Times New Roman"/>
          <w:sz w:val="24"/>
          <w:szCs w:val="24"/>
        </w:rPr>
        <w:t>difference</w:t>
      </w:r>
      <w:r w:rsidR="00235CD9" w:rsidRPr="00AE141E">
        <w:rPr>
          <w:rFonts w:ascii="Times New Roman" w:hAnsi="Times New Roman" w:cs="Times New Roman"/>
          <w:sz w:val="24"/>
          <w:szCs w:val="24"/>
        </w:rPr>
        <w:t>’, while presenting them as peripheral to the main current of the past.</w:t>
      </w:r>
      <w:r w:rsidR="00235CD9" w:rsidRPr="00AE141E">
        <w:rPr>
          <w:rStyle w:val="FootnoteReference"/>
          <w:rFonts w:ascii="Times New Roman" w:hAnsi="Times New Roman" w:cs="Times New Roman"/>
          <w:sz w:val="24"/>
          <w:szCs w:val="24"/>
        </w:rPr>
        <w:footnoteReference w:id="519"/>
      </w:r>
      <w:r w:rsidR="001518C2" w:rsidRPr="00AE141E">
        <w:rPr>
          <w:rFonts w:ascii="Times New Roman" w:hAnsi="Times New Roman" w:cs="Times New Roman"/>
          <w:sz w:val="24"/>
          <w:szCs w:val="24"/>
        </w:rPr>
        <w:t xml:space="preserve"> One might recall here </w:t>
      </w:r>
      <w:r w:rsidR="00C92C69" w:rsidRPr="00AE141E">
        <w:rPr>
          <w:rFonts w:ascii="Times New Roman" w:hAnsi="Times New Roman" w:cs="Times New Roman"/>
          <w:sz w:val="24"/>
          <w:szCs w:val="24"/>
        </w:rPr>
        <w:t>the contention made by</w:t>
      </w:r>
      <w:r w:rsidR="00BC6BB7" w:rsidRPr="00AE141E">
        <w:rPr>
          <w:rFonts w:ascii="Times New Roman" w:hAnsi="Times New Roman" w:cs="Times New Roman"/>
          <w:sz w:val="24"/>
          <w:szCs w:val="24"/>
        </w:rPr>
        <w:t xml:space="preserve"> Chapter 2</w:t>
      </w:r>
      <w:r w:rsidR="00C92C69" w:rsidRPr="00AE141E">
        <w:rPr>
          <w:rFonts w:ascii="Times New Roman" w:hAnsi="Times New Roman" w:cs="Times New Roman"/>
          <w:sz w:val="24"/>
          <w:szCs w:val="24"/>
        </w:rPr>
        <w:t>:</w:t>
      </w:r>
      <w:r w:rsidR="008249D0" w:rsidRPr="00AE141E">
        <w:rPr>
          <w:rFonts w:ascii="Times New Roman" w:hAnsi="Times New Roman" w:cs="Times New Roman"/>
          <w:sz w:val="24"/>
          <w:szCs w:val="24"/>
        </w:rPr>
        <w:t xml:space="preserve"> a picturesque account of world history,</w:t>
      </w:r>
      <w:r w:rsidR="00D6273B" w:rsidRPr="00AE141E">
        <w:rPr>
          <w:rFonts w:ascii="Times New Roman" w:hAnsi="Times New Roman" w:cs="Times New Roman"/>
          <w:sz w:val="24"/>
          <w:szCs w:val="24"/>
        </w:rPr>
        <w:t xml:space="preserve"> allegedly </w:t>
      </w:r>
      <w:r w:rsidR="00C92C69" w:rsidRPr="00AE141E">
        <w:rPr>
          <w:rFonts w:ascii="Times New Roman" w:hAnsi="Times New Roman" w:cs="Times New Roman"/>
          <w:sz w:val="24"/>
          <w:szCs w:val="24"/>
        </w:rPr>
        <w:t>seen through the eyes of an (exoticised) Other, offered a means of escape from reflection on the im</w:t>
      </w:r>
      <w:r w:rsidR="004B7753" w:rsidRPr="00AE141E">
        <w:rPr>
          <w:rFonts w:ascii="Times New Roman" w:hAnsi="Times New Roman" w:cs="Times New Roman"/>
          <w:sz w:val="24"/>
          <w:szCs w:val="24"/>
        </w:rPr>
        <w:t>pact of empire.</w:t>
      </w:r>
    </w:p>
    <w:p w14:paraId="509FBBB4" w14:textId="2ACD2DF9" w:rsidR="00766C7D" w:rsidRPr="00AE141E" w:rsidRDefault="008D030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World history was also accused of creating</w:t>
      </w:r>
      <w:r w:rsidR="00766C7D" w:rsidRPr="00AE141E">
        <w:rPr>
          <w:rFonts w:ascii="Times New Roman" w:hAnsi="Times New Roman" w:cs="Times New Roman"/>
          <w:sz w:val="24"/>
          <w:szCs w:val="24"/>
        </w:rPr>
        <w:t xml:space="preserve"> a false dichotomy between the domestic and foreign, national and global. These binaries ignored the complex, mutually influential nature of the relationship between colony and metropole. Amongst the most tangible legacies of this relationship was the multiracial, multicultural character of contemporary British society.</w:t>
      </w:r>
      <w:r w:rsidR="00766C7D" w:rsidRPr="00AE141E">
        <w:rPr>
          <w:rStyle w:val="FootnoteReference"/>
          <w:rFonts w:ascii="Times New Roman" w:hAnsi="Times New Roman" w:cs="Times New Roman"/>
          <w:sz w:val="24"/>
          <w:szCs w:val="24"/>
        </w:rPr>
        <w:footnoteReference w:id="520"/>
      </w:r>
      <w:r w:rsidR="00766C7D" w:rsidRPr="00AE141E">
        <w:rPr>
          <w:rFonts w:ascii="Times New Roman" w:hAnsi="Times New Roman" w:cs="Times New Roman"/>
          <w:sz w:val="24"/>
          <w:szCs w:val="24"/>
        </w:rPr>
        <w:t xml:space="preserve"> </w:t>
      </w:r>
      <w:r w:rsidR="00A90AE9">
        <w:rPr>
          <w:rFonts w:ascii="Times New Roman" w:hAnsi="Times New Roman" w:cs="Times New Roman"/>
          <w:sz w:val="24"/>
          <w:szCs w:val="24"/>
        </w:rPr>
        <w:t>T</w:t>
      </w:r>
      <w:r w:rsidR="00A90AE9" w:rsidRPr="00AE141E">
        <w:rPr>
          <w:rFonts w:ascii="Times New Roman" w:hAnsi="Times New Roman" w:cs="Times New Roman"/>
          <w:sz w:val="24"/>
          <w:szCs w:val="24"/>
        </w:rPr>
        <w:t xml:space="preserve">he National Association for Multi-Racial Education (NAME) </w:t>
      </w:r>
      <w:r w:rsidR="00766C7D" w:rsidRPr="00AE141E">
        <w:rPr>
          <w:rFonts w:ascii="Times New Roman" w:hAnsi="Times New Roman" w:cs="Times New Roman"/>
          <w:sz w:val="24"/>
          <w:szCs w:val="24"/>
        </w:rPr>
        <w:t xml:space="preserve">noted that ‘British history has been connected with that of Africa and the Caribbean’ for at least four centuries and </w:t>
      </w:r>
      <w:r w:rsidR="00766C7D" w:rsidRPr="00AE141E">
        <w:rPr>
          <w:rFonts w:ascii="Times New Roman" w:hAnsi="Times New Roman" w:cs="Times New Roman"/>
          <w:sz w:val="24"/>
          <w:szCs w:val="24"/>
        </w:rPr>
        <w:lastRenderedPageBreak/>
        <w:t>advocated for all children to be given the opportunity to explore such connections.</w:t>
      </w:r>
      <w:r w:rsidR="00766C7D" w:rsidRPr="00AE141E">
        <w:rPr>
          <w:rStyle w:val="FootnoteReference"/>
          <w:rFonts w:ascii="Times New Roman" w:hAnsi="Times New Roman" w:cs="Times New Roman"/>
          <w:sz w:val="24"/>
          <w:szCs w:val="24"/>
        </w:rPr>
        <w:footnoteReference w:id="521"/>
      </w:r>
      <w:r w:rsidR="00766C7D" w:rsidRPr="00AE141E">
        <w:rPr>
          <w:rFonts w:ascii="Times New Roman" w:hAnsi="Times New Roman" w:cs="Times New Roman"/>
          <w:sz w:val="24"/>
          <w:szCs w:val="24"/>
        </w:rPr>
        <w:t xml:space="preserve"> </w:t>
      </w:r>
      <w:r w:rsidRPr="00AE141E">
        <w:rPr>
          <w:rFonts w:ascii="Times New Roman" w:hAnsi="Times New Roman" w:cs="Times New Roman"/>
          <w:sz w:val="24"/>
          <w:szCs w:val="24"/>
        </w:rPr>
        <w:t>In the Caribbean context, one teacher suggested that an adequate course would include ‘teaching about Ciboney, Arawak, and Carib peoples, about popular protest in the European period, and about the process by which imperial colonies eventually became free and independent states’.</w:t>
      </w:r>
      <w:r w:rsidRPr="00AE141E">
        <w:rPr>
          <w:rStyle w:val="FootnoteReference"/>
          <w:rFonts w:ascii="Times New Roman" w:hAnsi="Times New Roman" w:cs="Times New Roman"/>
          <w:sz w:val="24"/>
          <w:szCs w:val="24"/>
        </w:rPr>
        <w:footnoteReference w:id="522"/>
      </w:r>
      <w:r w:rsidRPr="00AE141E">
        <w:rPr>
          <w:rFonts w:ascii="Times New Roman" w:hAnsi="Times New Roman" w:cs="Times New Roman"/>
          <w:sz w:val="24"/>
          <w:szCs w:val="24"/>
        </w:rPr>
        <w:t xml:space="preserve"> </w:t>
      </w:r>
    </w:p>
    <w:p w14:paraId="5F43BE9C" w14:textId="56C928C6" w:rsidR="00CA2BBE" w:rsidRPr="00AE141E" w:rsidRDefault="001518C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By contrast, </w:t>
      </w:r>
      <w:r w:rsidR="00381A00" w:rsidRPr="00AE141E">
        <w:rPr>
          <w:rFonts w:ascii="Times New Roman" w:hAnsi="Times New Roman" w:cs="Times New Roman"/>
          <w:sz w:val="24"/>
          <w:szCs w:val="24"/>
        </w:rPr>
        <w:t>some curricula continued to present</w:t>
      </w:r>
      <w:r w:rsidR="004C39B9" w:rsidRPr="00AE141E">
        <w:rPr>
          <w:rFonts w:ascii="Times New Roman" w:hAnsi="Times New Roman" w:cs="Times New Roman"/>
          <w:sz w:val="24"/>
          <w:szCs w:val="24"/>
        </w:rPr>
        <w:t xml:space="preserve"> imperial and</w:t>
      </w:r>
      <w:r w:rsidR="00381A00" w:rsidRPr="00AE141E">
        <w:rPr>
          <w:rFonts w:ascii="Times New Roman" w:hAnsi="Times New Roman" w:cs="Times New Roman"/>
          <w:sz w:val="24"/>
          <w:szCs w:val="24"/>
        </w:rPr>
        <w:t xml:space="preserve"> ‘world’ histories as a</w:t>
      </w:r>
      <w:r w:rsidR="00DC435E" w:rsidRPr="00AE141E">
        <w:rPr>
          <w:rFonts w:ascii="Times New Roman" w:hAnsi="Times New Roman" w:cs="Times New Roman"/>
          <w:sz w:val="24"/>
          <w:szCs w:val="24"/>
        </w:rPr>
        <w:t xml:space="preserve"> mere</w:t>
      </w:r>
      <w:r w:rsidR="00402F2F" w:rsidRPr="00AE141E">
        <w:rPr>
          <w:rFonts w:ascii="Times New Roman" w:hAnsi="Times New Roman" w:cs="Times New Roman"/>
          <w:sz w:val="24"/>
          <w:szCs w:val="24"/>
        </w:rPr>
        <w:t xml:space="preserve"> appendage of Britain’s past. </w:t>
      </w:r>
      <w:r w:rsidR="00A50AD6" w:rsidRPr="00AE141E">
        <w:rPr>
          <w:rFonts w:ascii="Times New Roman" w:hAnsi="Times New Roman" w:cs="Times New Roman"/>
          <w:sz w:val="24"/>
          <w:szCs w:val="24"/>
        </w:rPr>
        <w:t>The S</w:t>
      </w:r>
      <w:r w:rsidR="004E1D52" w:rsidRPr="00AE141E">
        <w:rPr>
          <w:rFonts w:ascii="Times New Roman" w:hAnsi="Times New Roman" w:cs="Times New Roman"/>
          <w:sz w:val="24"/>
          <w:szCs w:val="24"/>
        </w:rPr>
        <w:t xml:space="preserve">chools Council project, </w:t>
      </w:r>
      <w:r w:rsidR="004E1D52" w:rsidRPr="00AE141E">
        <w:rPr>
          <w:rFonts w:ascii="Times New Roman" w:hAnsi="Times New Roman" w:cs="Times New Roman"/>
          <w:i/>
          <w:sz w:val="24"/>
          <w:szCs w:val="24"/>
        </w:rPr>
        <w:t xml:space="preserve">Education for a Multiracial Society: Curriculum and Context 5-13, </w:t>
      </w:r>
      <w:r w:rsidR="004E1D52" w:rsidRPr="00AE141E">
        <w:rPr>
          <w:rFonts w:ascii="Times New Roman" w:hAnsi="Times New Roman" w:cs="Times New Roman"/>
          <w:sz w:val="24"/>
          <w:szCs w:val="24"/>
        </w:rPr>
        <w:t>criticised a</w:t>
      </w:r>
      <w:r w:rsidR="00C86412" w:rsidRPr="00AE141E">
        <w:rPr>
          <w:rFonts w:ascii="Times New Roman" w:hAnsi="Times New Roman" w:cs="Times New Roman"/>
          <w:sz w:val="24"/>
          <w:szCs w:val="24"/>
        </w:rPr>
        <w:t xml:space="preserve"> comprehensive </w:t>
      </w:r>
      <w:r w:rsidR="006C3606">
        <w:rPr>
          <w:rFonts w:ascii="Times New Roman" w:hAnsi="Times New Roman" w:cs="Times New Roman"/>
          <w:sz w:val="24"/>
          <w:szCs w:val="24"/>
        </w:rPr>
        <w:t xml:space="preserve">secondary </w:t>
      </w:r>
      <w:r w:rsidR="00C86412" w:rsidRPr="00AE141E">
        <w:rPr>
          <w:rFonts w:ascii="Times New Roman" w:hAnsi="Times New Roman" w:cs="Times New Roman"/>
          <w:sz w:val="24"/>
          <w:szCs w:val="24"/>
        </w:rPr>
        <w:t>school’s</w:t>
      </w:r>
      <w:r w:rsidR="004E1D52" w:rsidRPr="00AE141E">
        <w:rPr>
          <w:rFonts w:ascii="Times New Roman" w:hAnsi="Times New Roman" w:cs="Times New Roman"/>
          <w:sz w:val="24"/>
          <w:szCs w:val="24"/>
        </w:rPr>
        <w:t xml:space="preserve"> humanities unit </w:t>
      </w:r>
      <w:r w:rsidR="00C86412" w:rsidRPr="00AE141E">
        <w:rPr>
          <w:rFonts w:ascii="Times New Roman" w:hAnsi="Times New Roman" w:cs="Times New Roman"/>
          <w:sz w:val="24"/>
          <w:szCs w:val="24"/>
        </w:rPr>
        <w:t xml:space="preserve">on Africa </w:t>
      </w:r>
      <w:r w:rsidR="00402F2F" w:rsidRPr="00AE141E">
        <w:rPr>
          <w:rFonts w:ascii="Times New Roman" w:hAnsi="Times New Roman" w:cs="Times New Roman"/>
          <w:sz w:val="24"/>
          <w:szCs w:val="24"/>
        </w:rPr>
        <w:t>in exactly these terms</w:t>
      </w:r>
      <w:r w:rsidR="007E1188" w:rsidRPr="00AE141E">
        <w:rPr>
          <w:rFonts w:ascii="Times New Roman" w:hAnsi="Times New Roman" w:cs="Times New Roman"/>
          <w:sz w:val="24"/>
          <w:szCs w:val="24"/>
        </w:rPr>
        <w:t xml:space="preserve">. </w:t>
      </w:r>
      <w:r w:rsidR="00C86412" w:rsidRPr="00AE141E">
        <w:rPr>
          <w:rFonts w:ascii="Times New Roman" w:hAnsi="Times New Roman" w:cs="Times New Roman"/>
          <w:sz w:val="24"/>
          <w:szCs w:val="24"/>
        </w:rPr>
        <w:t xml:space="preserve">The bulk of the unit dealt </w:t>
      </w:r>
      <w:r w:rsidR="0006099D" w:rsidRPr="00AE141E">
        <w:rPr>
          <w:rFonts w:ascii="Times New Roman" w:hAnsi="Times New Roman" w:cs="Times New Roman"/>
          <w:sz w:val="24"/>
          <w:szCs w:val="24"/>
        </w:rPr>
        <w:t xml:space="preserve">primarily </w:t>
      </w:r>
      <w:r w:rsidR="00C86412" w:rsidRPr="00AE141E">
        <w:rPr>
          <w:rFonts w:ascii="Times New Roman" w:hAnsi="Times New Roman" w:cs="Times New Roman"/>
          <w:sz w:val="24"/>
          <w:szCs w:val="24"/>
        </w:rPr>
        <w:t>with</w:t>
      </w:r>
      <w:r w:rsidR="00FB7EA6" w:rsidRPr="00AE141E">
        <w:rPr>
          <w:rFonts w:ascii="Times New Roman" w:hAnsi="Times New Roman" w:cs="Times New Roman"/>
          <w:sz w:val="24"/>
          <w:szCs w:val="24"/>
        </w:rPr>
        <w:t xml:space="preserve"> ‘</w:t>
      </w:r>
      <w:r w:rsidR="00C86412" w:rsidRPr="00AE141E">
        <w:rPr>
          <w:rFonts w:ascii="Times New Roman" w:hAnsi="Times New Roman" w:cs="Times New Roman"/>
          <w:sz w:val="24"/>
          <w:szCs w:val="24"/>
        </w:rPr>
        <w:t>explorers</w:t>
      </w:r>
      <w:r w:rsidR="00FB7EA6" w:rsidRPr="00AE141E">
        <w:rPr>
          <w:rFonts w:ascii="Times New Roman" w:hAnsi="Times New Roman" w:cs="Times New Roman"/>
          <w:sz w:val="24"/>
          <w:szCs w:val="24"/>
        </w:rPr>
        <w:t>’</w:t>
      </w:r>
      <w:r w:rsidR="00C86412" w:rsidRPr="00AE141E">
        <w:rPr>
          <w:rFonts w:ascii="Times New Roman" w:hAnsi="Times New Roman" w:cs="Times New Roman"/>
          <w:sz w:val="24"/>
          <w:szCs w:val="24"/>
        </w:rPr>
        <w:t xml:space="preserve"> </w:t>
      </w:r>
      <w:r w:rsidR="00E20971" w:rsidRPr="00AE141E">
        <w:rPr>
          <w:rFonts w:ascii="Times New Roman" w:hAnsi="Times New Roman" w:cs="Times New Roman"/>
          <w:sz w:val="24"/>
          <w:szCs w:val="24"/>
        </w:rPr>
        <w:t>(</w:t>
      </w:r>
      <w:r w:rsidR="00C86412" w:rsidRPr="00AE141E">
        <w:rPr>
          <w:rFonts w:ascii="Times New Roman" w:hAnsi="Times New Roman" w:cs="Times New Roman"/>
          <w:sz w:val="24"/>
          <w:szCs w:val="24"/>
        </w:rPr>
        <w:t>Vasco</w:t>
      </w:r>
      <w:r w:rsidR="00FB7EA6" w:rsidRPr="00AE141E">
        <w:rPr>
          <w:rFonts w:ascii="Times New Roman" w:hAnsi="Times New Roman" w:cs="Times New Roman"/>
          <w:sz w:val="24"/>
          <w:szCs w:val="24"/>
        </w:rPr>
        <w:t xml:space="preserve"> </w:t>
      </w:r>
      <w:r w:rsidR="00C86412" w:rsidRPr="00AE141E">
        <w:rPr>
          <w:rFonts w:ascii="Times New Roman" w:hAnsi="Times New Roman" w:cs="Times New Roman"/>
          <w:sz w:val="24"/>
          <w:szCs w:val="24"/>
        </w:rPr>
        <w:t xml:space="preserve">da Gama, David Livingstone, Mungo Park, </w:t>
      </w:r>
      <w:r w:rsidR="009C50D3" w:rsidRPr="00AE141E">
        <w:rPr>
          <w:rFonts w:ascii="Times New Roman" w:hAnsi="Times New Roman" w:cs="Times New Roman"/>
          <w:sz w:val="24"/>
          <w:szCs w:val="24"/>
        </w:rPr>
        <w:t xml:space="preserve">Richard Francis </w:t>
      </w:r>
      <w:r w:rsidR="00C86412" w:rsidRPr="00AE141E">
        <w:rPr>
          <w:rFonts w:ascii="Times New Roman" w:hAnsi="Times New Roman" w:cs="Times New Roman"/>
          <w:sz w:val="24"/>
          <w:szCs w:val="24"/>
        </w:rPr>
        <w:t>Burton</w:t>
      </w:r>
      <w:r w:rsidR="00FB7EA6" w:rsidRPr="00AE141E">
        <w:rPr>
          <w:rFonts w:ascii="Times New Roman" w:hAnsi="Times New Roman" w:cs="Times New Roman"/>
          <w:sz w:val="24"/>
          <w:szCs w:val="24"/>
        </w:rPr>
        <w:t>,</w:t>
      </w:r>
      <w:r w:rsidR="00C86412" w:rsidRPr="00AE141E">
        <w:rPr>
          <w:rFonts w:ascii="Times New Roman" w:hAnsi="Times New Roman" w:cs="Times New Roman"/>
          <w:sz w:val="24"/>
          <w:szCs w:val="24"/>
        </w:rPr>
        <w:t xml:space="preserve"> and </w:t>
      </w:r>
      <w:r w:rsidR="00FB7EA6" w:rsidRPr="00AE141E">
        <w:rPr>
          <w:rFonts w:ascii="Times New Roman" w:hAnsi="Times New Roman" w:cs="Times New Roman"/>
          <w:sz w:val="24"/>
          <w:szCs w:val="24"/>
        </w:rPr>
        <w:t xml:space="preserve">John Hanning </w:t>
      </w:r>
      <w:r w:rsidR="00C86412" w:rsidRPr="00AE141E">
        <w:rPr>
          <w:rFonts w:ascii="Times New Roman" w:hAnsi="Times New Roman" w:cs="Times New Roman"/>
          <w:sz w:val="24"/>
          <w:szCs w:val="24"/>
        </w:rPr>
        <w:t>Speke</w:t>
      </w:r>
      <w:r w:rsidR="0006099D" w:rsidRPr="00AE141E">
        <w:rPr>
          <w:rFonts w:ascii="Times New Roman" w:hAnsi="Times New Roman" w:cs="Times New Roman"/>
          <w:sz w:val="24"/>
          <w:szCs w:val="24"/>
        </w:rPr>
        <w:t>) alongside</w:t>
      </w:r>
      <w:r w:rsidR="00C86412" w:rsidRPr="00AE141E">
        <w:rPr>
          <w:rFonts w:ascii="Times New Roman" w:hAnsi="Times New Roman" w:cs="Times New Roman"/>
          <w:sz w:val="24"/>
          <w:szCs w:val="24"/>
        </w:rPr>
        <w:t xml:space="preserve"> the</w:t>
      </w:r>
      <w:r w:rsidR="002716A8" w:rsidRPr="00AE141E">
        <w:rPr>
          <w:rFonts w:ascii="Times New Roman" w:hAnsi="Times New Roman" w:cs="Times New Roman"/>
          <w:sz w:val="24"/>
          <w:szCs w:val="24"/>
        </w:rPr>
        <w:t xml:space="preserve"> ‘</w:t>
      </w:r>
      <w:r w:rsidR="00C86412" w:rsidRPr="00AE141E">
        <w:rPr>
          <w:rFonts w:ascii="Times New Roman" w:hAnsi="Times New Roman" w:cs="Times New Roman"/>
          <w:sz w:val="24"/>
          <w:szCs w:val="24"/>
        </w:rPr>
        <w:t xml:space="preserve">struggle for power in South Africa </w:t>
      </w:r>
      <w:r w:rsidR="002716A8" w:rsidRPr="00AE141E">
        <w:rPr>
          <w:rFonts w:ascii="Times New Roman" w:hAnsi="Times New Roman" w:cs="Times New Roman"/>
          <w:sz w:val="24"/>
          <w:szCs w:val="24"/>
        </w:rPr>
        <w:t xml:space="preserve">[…] </w:t>
      </w:r>
      <w:r w:rsidR="00C86412" w:rsidRPr="00AE141E">
        <w:rPr>
          <w:rFonts w:ascii="Times New Roman" w:hAnsi="Times New Roman" w:cs="Times New Roman"/>
          <w:sz w:val="24"/>
          <w:szCs w:val="24"/>
        </w:rPr>
        <w:t>between the British, the Boers and the Zulus</w:t>
      </w:r>
      <w:r w:rsidR="002716A8" w:rsidRPr="00AE141E">
        <w:rPr>
          <w:rFonts w:ascii="Times New Roman" w:hAnsi="Times New Roman" w:cs="Times New Roman"/>
          <w:sz w:val="24"/>
          <w:szCs w:val="24"/>
        </w:rPr>
        <w:t>’.</w:t>
      </w:r>
      <w:r w:rsidR="009F058A" w:rsidRPr="00AE141E">
        <w:rPr>
          <w:rStyle w:val="FootnoteReference"/>
          <w:rFonts w:ascii="Times New Roman" w:hAnsi="Times New Roman" w:cs="Times New Roman"/>
          <w:sz w:val="24"/>
          <w:szCs w:val="24"/>
        </w:rPr>
        <w:footnoteReference w:id="523"/>
      </w:r>
      <w:r w:rsidR="002716A8" w:rsidRPr="00AE141E">
        <w:rPr>
          <w:rFonts w:ascii="Times New Roman" w:hAnsi="Times New Roman" w:cs="Times New Roman"/>
          <w:sz w:val="24"/>
          <w:szCs w:val="24"/>
        </w:rPr>
        <w:t xml:space="preserve"> </w:t>
      </w:r>
      <w:r w:rsidR="009526FC" w:rsidRPr="00AE141E">
        <w:rPr>
          <w:rFonts w:ascii="Times New Roman" w:hAnsi="Times New Roman" w:cs="Times New Roman"/>
          <w:sz w:val="24"/>
          <w:szCs w:val="24"/>
        </w:rPr>
        <w:t>This was not an isolated case</w:t>
      </w:r>
      <w:r w:rsidR="00202AE0" w:rsidRPr="00AE141E">
        <w:rPr>
          <w:rFonts w:ascii="Times New Roman" w:hAnsi="Times New Roman" w:cs="Times New Roman"/>
          <w:sz w:val="24"/>
          <w:szCs w:val="24"/>
        </w:rPr>
        <w:t xml:space="preserve">. </w:t>
      </w:r>
      <w:r w:rsidR="0067106F" w:rsidRPr="00AE141E">
        <w:rPr>
          <w:rFonts w:ascii="Times New Roman" w:hAnsi="Times New Roman" w:cs="Times New Roman"/>
          <w:sz w:val="24"/>
          <w:szCs w:val="24"/>
        </w:rPr>
        <w:t xml:space="preserve">In 1977, </w:t>
      </w:r>
      <w:r w:rsidR="00A90AE9">
        <w:rPr>
          <w:rFonts w:ascii="Times New Roman" w:hAnsi="Times New Roman" w:cs="Times New Roman"/>
          <w:sz w:val="24"/>
          <w:szCs w:val="24"/>
        </w:rPr>
        <w:t>NAME</w:t>
      </w:r>
      <w:r w:rsidR="0067106F" w:rsidRPr="00AE141E">
        <w:rPr>
          <w:rFonts w:ascii="Times New Roman" w:hAnsi="Times New Roman" w:cs="Times New Roman"/>
          <w:sz w:val="24"/>
          <w:szCs w:val="24"/>
        </w:rPr>
        <w:t xml:space="preserve"> set out to expose the ‘serious distortions and omissions’ prevalent within British textbooks on African history.</w:t>
      </w:r>
      <w:r w:rsidR="0067106F" w:rsidRPr="00AE141E">
        <w:rPr>
          <w:rStyle w:val="FootnoteReference"/>
          <w:rFonts w:ascii="Times New Roman" w:hAnsi="Times New Roman" w:cs="Times New Roman"/>
          <w:sz w:val="24"/>
          <w:szCs w:val="24"/>
        </w:rPr>
        <w:footnoteReference w:id="524"/>
      </w:r>
      <w:r w:rsidR="0067106F" w:rsidRPr="00AE141E">
        <w:rPr>
          <w:rFonts w:ascii="Times New Roman" w:hAnsi="Times New Roman" w:cs="Times New Roman"/>
          <w:sz w:val="24"/>
          <w:szCs w:val="24"/>
        </w:rPr>
        <w:t xml:space="preserve"> A survey of 21 books revealed that the following topics dominated syllabi: ‘exploration’ and ‘discovery’; the partition of Africa (the ‘Scramble’); and the Transatlantic Slave Trade. All were treated as primarily ‘European events’, directed exclusively by White participants.</w:t>
      </w:r>
    </w:p>
    <w:p w14:paraId="05FE1B4A" w14:textId="48BE94A5" w:rsidR="00D242F9" w:rsidRPr="00AE141E" w:rsidRDefault="00CA2BB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problem was exemplified by the </w:t>
      </w:r>
      <w:r w:rsidRPr="00AE141E">
        <w:rPr>
          <w:rFonts w:ascii="Times New Roman" w:hAnsi="Times New Roman" w:cs="Times New Roman"/>
          <w:i/>
          <w:sz w:val="24"/>
          <w:szCs w:val="24"/>
        </w:rPr>
        <w:t xml:space="preserve">Jackdaw </w:t>
      </w:r>
      <w:r w:rsidRPr="00AE141E">
        <w:rPr>
          <w:rFonts w:ascii="Times New Roman" w:hAnsi="Times New Roman" w:cs="Times New Roman"/>
          <w:sz w:val="24"/>
          <w:szCs w:val="24"/>
        </w:rPr>
        <w:t xml:space="preserve">series. </w:t>
      </w:r>
      <w:r w:rsidRPr="00AE141E">
        <w:rPr>
          <w:rFonts w:ascii="Times New Roman" w:hAnsi="Times New Roman" w:cs="Times New Roman"/>
          <w:i/>
          <w:sz w:val="24"/>
          <w:szCs w:val="24"/>
        </w:rPr>
        <w:t>Jackdaws,</w:t>
      </w:r>
      <w:r w:rsidRPr="00AE141E">
        <w:rPr>
          <w:rFonts w:ascii="Times New Roman" w:hAnsi="Times New Roman" w:cs="Times New Roman"/>
          <w:sz w:val="24"/>
          <w:szCs w:val="24"/>
        </w:rPr>
        <w:t xml:space="preserve"> a creation of the early 1960s, were collections of facsimile historical documents intended for classroom use. Raphael Samuel presented them as the cutting edge of historical pedagogy, offering young people a sense of personal ownership of the past which was emblematic of contemporary child-centred approaches to learning.</w:t>
      </w:r>
      <w:r w:rsidRPr="00AE141E">
        <w:rPr>
          <w:rStyle w:val="FootnoteReference"/>
          <w:rFonts w:ascii="Times New Roman" w:hAnsi="Times New Roman" w:cs="Times New Roman"/>
          <w:sz w:val="24"/>
          <w:szCs w:val="24"/>
        </w:rPr>
        <w:footnoteReference w:id="525"/>
      </w:r>
      <w:r w:rsidRPr="00AE141E">
        <w:rPr>
          <w:rFonts w:ascii="Times New Roman" w:hAnsi="Times New Roman" w:cs="Times New Roman"/>
          <w:sz w:val="24"/>
          <w:szCs w:val="24"/>
        </w:rPr>
        <w:t xml:space="preserve"> </w:t>
      </w:r>
      <w:r w:rsidR="00484498" w:rsidRPr="00AE141E">
        <w:rPr>
          <w:rFonts w:ascii="Times New Roman" w:hAnsi="Times New Roman" w:cs="Times New Roman"/>
          <w:sz w:val="24"/>
          <w:szCs w:val="24"/>
        </w:rPr>
        <w:t>Samuel acknowledged that the ‘choice of subject was quite conservative, as befitted a mainstream publisher’, and that the series tended to cover the traditional timeline of British political and constitutional history</w:t>
      </w:r>
      <w:r w:rsidR="00484498">
        <w:rPr>
          <w:rFonts w:ascii="Times New Roman" w:hAnsi="Times New Roman" w:cs="Times New Roman"/>
          <w:sz w:val="24"/>
          <w:szCs w:val="24"/>
        </w:rPr>
        <w:t xml:space="preserve">. </w:t>
      </w:r>
      <w:r w:rsidRPr="00AE141E">
        <w:rPr>
          <w:rFonts w:ascii="Times New Roman" w:hAnsi="Times New Roman" w:cs="Times New Roman"/>
          <w:sz w:val="24"/>
          <w:szCs w:val="24"/>
        </w:rPr>
        <w:t xml:space="preserve">Indeed, of the 100 </w:t>
      </w:r>
      <w:r w:rsidRPr="00AE141E">
        <w:rPr>
          <w:rFonts w:ascii="Times New Roman" w:hAnsi="Times New Roman" w:cs="Times New Roman"/>
          <w:i/>
          <w:sz w:val="24"/>
          <w:szCs w:val="24"/>
        </w:rPr>
        <w:t>Jackdaw</w:t>
      </w:r>
      <w:r w:rsidRPr="00AE141E">
        <w:rPr>
          <w:rFonts w:ascii="Times New Roman" w:hAnsi="Times New Roman" w:cs="Times New Roman"/>
          <w:sz w:val="24"/>
          <w:szCs w:val="24"/>
        </w:rPr>
        <w:t xml:space="preserve"> titles available in 1982, only four were ‘devoted to specifically non-European topics’.</w:t>
      </w:r>
      <w:r w:rsidRPr="00AE141E">
        <w:rPr>
          <w:rStyle w:val="FootnoteReference"/>
          <w:rFonts w:ascii="Times New Roman" w:hAnsi="Times New Roman" w:cs="Times New Roman"/>
          <w:sz w:val="24"/>
          <w:szCs w:val="24"/>
        </w:rPr>
        <w:footnoteReference w:id="526"/>
      </w:r>
      <w:r w:rsidRPr="00AE141E">
        <w:rPr>
          <w:rFonts w:ascii="Times New Roman" w:hAnsi="Times New Roman" w:cs="Times New Roman"/>
          <w:sz w:val="24"/>
          <w:szCs w:val="24"/>
        </w:rPr>
        <w:t xml:space="preserve"> </w:t>
      </w:r>
      <w:r w:rsidR="00484498" w:rsidRPr="00AE141E">
        <w:rPr>
          <w:rFonts w:ascii="Times New Roman" w:hAnsi="Times New Roman" w:cs="Times New Roman"/>
          <w:sz w:val="24"/>
          <w:szCs w:val="24"/>
        </w:rPr>
        <w:t xml:space="preserve">The </w:t>
      </w:r>
      <w:r w:rsidR="00484498" w:rsidRPr="00AE141E">
        <w:rPr>
          <w:rFonts w:ascii="Times New Roman" w:hAnsi="Times New Roman" w:cs="Times New Roman"/>
          <w:sz w:val="24"/>
          <w:szCs w:val="24"/>
        </w:rPr>
        <w:lastRenderedPageBreak/>
        <w:t xml:space="preserve">teacher and multicultural advocate David </w:t>
      </w:r>
      <w:r w:rsidRPr="00AE141E">
        <w:rPr>
          <w:rFonts w:ascii="Times New Roman" w:hAnsi="Times New Roman" w:cs="Times New Roman"/>
          <w:sz w:val="24"/>
          <w:szCs w:val="24"/>
        </w:rPr>
        <w:t xml:space="preserve">Edgington </w:t>
      </w:r>
      <w:r w:rsidR="00CC52EA">
        <w:rPr>
          <w:rFonts w:ascii="Times New Roman" w:hAnsi="Times New Roman" w:cs="Times New Roman"/>
          <w:sz w:val="24"/>
          <w:szCs w:val="24"/>
        </w:rPr>
        <w:t>observed</w:t>
      </w:r>
      <w:r w:rsidRPr="00AE141E">
        <w:rPr>
          <w:rFonts w:ascii="Times New Roman" w:hAnsi="Times New Roman" w:cs="Times New Roman"/>
          <w:sz w:val="24"/>
          <w:szCs w:val="24"/>
        </w:rPr>
        <w:t xml:space="preserve"> that there were other </w:t>
      </w:r>
      <w:r w:rsidRPr="00AE141E">
        <w:rPr>
          <w:rFonts w:ascii="Times New Roman" w:hAnsi="Times New Roman" w:cs="Times New Roman"/>
          <w:i/>
          <w:sz w:val="24"/>
          <w:szCs w:val="24"/>
        </w:rPr>
        <w:t>Jackdaws</w:t>
      </w:r>
      <w:r w:rsidRPr="00AE141E">
        <w:rPr>
          <w:rFonts w:ascii="Times New Roman" w:hAnsi="Times New Roman" w:cs="Times New Roman"/>
          <w:sz w:val="24"/>
          <w:szCs w:val="24"/>
        </w:rPr>
        <w:t xml:space="preserve"> devoted to what he described as ‘Third World subjects’ but, in line with Dummett’s thesis, these were chiefly ‘preoccupied with Europeans’ involvement there: e.g. Livingstone in Africa, Clive in India, etc.’.</w:t>
      </w:r>
      <w:r w:rsidR="00CC52EA">
        <w:rPr>
          <w:rStyle w:val="FootnoteReference"/>
          <w:rFonts w:ascii="Times New Roman" w:hAnsi="Times New Roman" w:cs="Times New Roman"/>
          <w:sz w:val="24"/>
          <w:szCs w:val="24"/>
        </w:rPr>
        <w:footnoteReference w:id="527"/>
      </w:r>
      <w:r w:rsidRPr="00AE141E">
        <w:rPr>
          <w:rFonts w:ascii="Times New Roman" w:hAnsi="Times New Roman" w:cs="Times New Roman"/>
          <w:sz w:val="24"/>
          <w:szCs w:val="24"/>
        </w:rPr>
        <w:t xml:space="preserve"> </w:t>
      </w:r>
      <w:r w:rsidR="00202AE0" w:rsidRPr="00AE141E">
        <w:rPr>
          <w:rFonts w:ascii="Times New Roman" w:hAnsi="Times New Roman" w:cs="Times New Roman"/>
          <w:sz w:val="24"/>
          <w:szCs w:val="24"/>
        </w:rPr>
        <w:t xml:space="preserve"> </w:t>
      </w:r>
      <w:r w:rsidR="0044777F" w:rsidRPr="00AE141E">
        <w:rPr>
          <w:rFonts w:ascii="Times New Roman" w:hAnsi="Times New Roman" w:cs="Times New Roman"/>
          <w:sz w:val="24"/>
          <w:szCs w:val="24"/>
        </w:rPr>
        <w:t xml:space="preserve">The effect was to </w:t>
      </w:r>
      <w:r w:rsidR="006D6098" w:rsidRPr="00AE141E">
        <w:rPr>
          <w:rFonts w:ascii="Times New Roman" w:hAnsi="Times New Roman" w:cs="Times New Roman"/>
          <w:sz w:val="24"/>
          <w:szCs w:val="24"/>
        </w:rPr>
        <w:t>treat</w:t>
      </w:r>
      <w:r w:rsidR="0044777F" w:rsidRPr="00AE141E">
        <w:rPr>
          <w:rFonts w:ascii="Times New Roman" w:hAnsi="Times New Roman" w:cs="Times New Roman"/>
          <w:sz w:val="24"/>
          <w:szCs w:val="24"/>
        </w:rPr>
        <w:t xml:space="preserve"> </w:t>
      </w:r>
      <w:r w:rsidR="00256563" w:rsidRPr="00AE141E">
        <w:rPr>
          <w:rFonts w:ascii="Times New Roman" w:hAnsi="Times New Roman" w:cs="Times New Roman"/>
          <w:sz w:val="24"/>
          <w:szCs w:val="24"/>
        </w:rPr>
        <w:t xml:space="preserve">colonised peoples </w:t>
      </w:r>
      <w:r w:rsidR="006D6098" w:rsidRPr="00AE141E">
        <w:rPr>
          <w:rFonts w:ascii="Times New Roman" w:hAnsi="Times New Roman" w:cs="Times New Roman"/>
          <w:sz w:val="24"/>
          <w:szCs w:val="24"/>
        </w:rPr>
        <w:t>as objects of European policy, rather than as historical agents in their own right</w:t>
      </w:r>
      <w:r w:rsidR="002B4B38" w:rsidRPr="00AE141E">
        <w:rPr>
          <w:rFonts w:ascii="Times New Roman" w:hAnsi="Times New Roman" w:cs="Times New Roman"/>
          <w:sz w:val="24"/>
          <w:szCs w:val="24"/>
        </w:rPr>
        <w:t xml:space="preserve">. </w:t>
      </w:r>
      <w:r w:rsidR="00BF69B8" w:rsidRPr="00AE141E">
        <w:rPr>
          <w:rFonts w:ascii="Times New Roman" w:hAnsi="Times New Roman" w:cs="Times New Roman"/>
          <w:sz w:val="24"/>
          <w:szCs w:val="24"/>
        </w:rPr>
        <w:t xml:space="preserve">Racial hierarchies in which White colonisers were positioned as </w:t>
      </w:r>
      <w:r w:rsidR="009864EA" w:rsidRPr="00AE141E">
        <w:rPr>
          <w:rFonts w:ascii="Times New Roman" w:hAnsi="Times New Roman" w:cs="Times New Roman"/>
          <w:sz w:val="24"/>
          <w:szCs w:val="24"/>
        </w:rPr>
        <w:t xml:space="preserve">the agents of civilisational development were implicitly reaffirmed. </w:t>
      </w:r>
    </w:p>
    <w:p w14:paraId="4F3044A1" w14:textId="0F82596F" w:rsidR="00103829" w:rsidRPr="00AE141E" w:rsidRDefault="00B91140" w:rsidP="00AE141E">
      <w:pPr>
        <w:spacing w:line="360" w:lineRule="auto"/>
        <w:jc w:val="both"/>
        <w:rPr>
          <w:rFonts w:ascii="Times New Roman" w:hAnsi="Times New Roman" w:cs="Times New Roman"/>
          <w:sz w:val="24"/>
          <w:szCs w:val="24"/>
        </w:rPr>
      </w:pPr>
      <w:r w:rsidRPr="00AE141E">
        <w:rPr>
          <w:rFonts w:ascii="Times New Roman" w:hAnsi="Times New Roman" w:cs="Times New Roman"/>
          <w:sz w:val="24"/>
          <w:szCs w:val="24"/>
        </w:rPr>
        <w:t xml:space="preserve">In some cases, a discourse of colonial justification was </w:t>
      </w:r>
      <w:r w:rsidR="00E843F1" w:rsidRPr="00AE141E">
        <w:rPr>
          <w:rFonts w:ascii="Times New Roman" w:hAnsi="Times New Roman" w:cs="Times New Roman"/>
          <w:sz w:val="24"/>
          <w:szCs w:val="24"/>
        </w:rPr>
        <w:t xml:space="preserve">made more explicit. </w:t>
      </w:r>
      <w:r w:rsidR="00A40BE2" w:rsidRPr="00AE141E">
        <w:rPr>
          <w:rFonts w:ascii="Times New Roman" w:hAnsi="Times New Roman" w:cs="Times New Roman"/>
          <w:sz w:val="24"/>
          <w:szCs w:val="24"/>
        </w:rPr>
        <w:t>Edgington</w:t>
      </w:r>
      <w:r w:rsidR="00E843F1" w:rsidRPr="00AE141E">
        <w:rPr>
          <w:rFonts w:ascii="Times New Roman" w:hAnsi="Times New Roman" w:cs="Times New Roman"/>
          <w:sz w:val="24"/>
          <w:szCs w:val="24"/>
        </w:rPr>
        <w:t xml:space="preserve"> astutely </w:t>
      </w:r>
      <w:r w:rsidR="00A40BE2" w:rsidRPr="00AE141E">
        <w:rPr>
          <w:rFonts w:ascii="Times New Roman" w:hAnsi="Times New Roman" w:cs="Times New Roman"/>
          <w:sz w:val="24"/>
          <w:szCs w:val="24"/>
        </w:rPr>
        <w:t>noted that the teleological approach to history (‘the idea of history as progress’) was inescapably bound up with notions of racial and civilisational hierarchy</w:t>
      </w:r>
      <w:r w:rsidR="00A16657" w:rsidRPr="00AE141E">
        <w:rPr>
          <w:rFonts w:ascii="Times New Roman" w:hAnsi="Times New Roman" w:cs="Times New Roman"/>
          <w:sz w:val="24"/>
          <w:szCs w:val="24"/>
        </w:rPr>
        <w:t>. I</w:t>
      </w:r>
      <w:r w:rsidR="00A40BE2" w:rsidRPr="00AE141E">
        <w:rPr>
          <w:rFonts w:ascii="Times New Roman" w:hAnsi="Times New Roman" w:cs="Times New Roman"/>
          <w:sz w:val="24"/>
          <w:szCs w:val="24"/>
        </w:rPr>
        <w:t>n presenting a White, western European and north American way of life as the desirable end-point of history, the historical narrative placed ‘the white man on a higher level than the rest’.</w:t>
      </w:r>
      <w:r w:rsidR="00A40BE2" w:rsidRPr="00AE141E">
        <w:rPr>
          <w:rStyle w:val="FootnoteReference"/>
          <w:rFonts w:ascii="Times New Roman" w:hAnsi="Times New Roman" w:cs="Times New Roman"/>
          <w:sz w:val="24"/>
          <w:szCs w:val="24"/>
        </w:rPr>
        <w:footnoteReference w:id="528"/>
      </w:r>
      <w:r w:rsidR="00A40BE2" w:rsidRPr="00AE141E">
        <w:rPr>
          <w:rFonts w:ascii="Times New Roman" w:hAnsi="Times New Roman" w:cs="Times New Roman"/>
          <w:sz w:val="24"/>
          <w:szCs w:val="24"/>
        </w:rPr>
        <w:t xml:space="preserve"> Edgington observed that the teleological approach had fewer advocates than it had enjoyed thirty years previously, but that ‘concepts of progress’ still lingered on in many history textbooks.</w:t>
      </w:r>
      <w:r w:rsidR="00056CCF" w:rsidRPr="00AE141E">
        <w:rPr>
          <w:rFonts w:ascii="Times New Roman" w:hAnsi="Times New Roman" w:cs="Times New Roman"/>
          <w:sz w:val="24"/>
          <w:szCs w:val="24"/>
        </w:rPr>
        <w:t xml:space="preserve"> Thus, the </w:t>
      </w:r>
      <w:r w:rsidR="00103829" w:rsidRPr="00AE141E">
        <w:rPr>
          <w:rFonts w:ascii="Times New Roman" w:hAnsi="Times New Roman" w:cs="Times New Roman"/>
          <w:sz w:val="24"/>
          <w:szCs w:val="24"/>
        </w:rPr>
        <w:t>explanatory materials accompanying the</w:t>
      </w:r>
      <w:r w:rsidR="00056CCF" w:rsidRPr="00AE141E">
        <w:rPr>
          <w:rFonts w:ascii="Times New Roman" w:hAnsi="Times New Roman" w:cs="Times New Roman"/>
          <w:sz w:val="24"/>
          <w:szCs w:val="24"/>
        </w:rPr>
        <w:t xml:space="preserve"> </w:t>
      </w:r>
      <w:r w:rsidR="00056CCF" w:rsidRPr="00AE141E">
        <w:rPr>
          <w:rFonts w:ascii="Times New Roman" w:hAnsi="Times New Roman" w:cs="Times New Roman"/>
          <w:i/>
          <w:sz w:val="24"/>
          <w:szCs w:val="24"/>
        </w:rPr>
        <w:t>Jackdaw</w:t>
      </w:r>
      <w:r w:rsidR="00103829" w:rsidRPr="00AE141E">
        <w:rPr>
          <w:rFonts w:ascii="Times New Roman" w:hAnsi="Times New Roman" w:cs="Times New Roman"/>
          <w:sz w:val="24"/>
          <w:szCs w:val="24"/>
        </w:rPr>
        <w:t xml:space="preserve"> pack titled </w:t>
      </w:r>
      <w:r w:rsidR="00103829" w:rsidRPr="00AE141E">
        <w:rPr>
          <w:rFonts w:ascii="Times New Roman" w:hAnsi="Times New Roman" w:cs="Times New Roman"/>
          <w:i/>
          <w:sz w:val="24"/>
          <w:szCs w:val="24"/>
        </w:rPr>
        <w:t>The Indian Mutiny</w:t>
      </w:r>
      <w:r w:rsidR="00056CCF" w:rsidRPr="00AE141E">
        <w:rPr>
          <w:rFonts w:ascii="Times New Roman" w:hAnsi="Times New Roman" w:cs="Times New Roman"/>
          <w:sz w:val="24"/>
          <w:szCs w:val="24"/>
        </w:rPr>
        <w:t xml:space="preserve"> </w:t>
      </w:r>
      <w:r w:rsidR="00103829" w:rsidRPr="00AE141E">
        <w:rPr>
          <w:rFonts w:ascii="Times New Roman" w:hAnsi="Times New Roman" w:cs="Times New Roman"/>
          <w:sz w:val="24"/>
          <w:szCs w:val="24"/>
        </w:rPr>
        <w:t xml:space="preserve">offered an unabashed justification for British rule in India </w:t>
      </w:r>
      <w:r w:rsidR="003975CE" w:rsidRPr="00AE141E">
        <w:rPr>
          <w:rFonts w:ascii="Times New Roman" w:hAnsi="Times New Roman" w:cs="Times New Roman"/>
          <w:sz w:val="24"/>
          <w:szCs w:val="24"/>
        </w:rPr>
        <w:t>on the basis of progress</w:t>
      </w:r>
      <w:r w:rsidR="00103829" w:rsidRPr="00AE141E">
        <w:rPr>
          <w:rFonts w:ascii="Times New Roman" w:hAnsi="Times New Roman" w:cs="Times New Roman"/>
          <w:sz w:val="24"/>
          <w:szCs w:val="24"/>
        </w:rPr>
        <w:t>:</w:t>
      </w:r>
    </w:p>
    <w:p w14:paraId="09C5AB8F" w14:textId="77777777" w:rsidR="00103829" w:rsidRPr="00AE141E" w:rsidRDefault="00103829"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Today we can understand that people do not wish their countries to be colonized or parts of other people’s empires; they would rather make their own decisions, </w:t>
      </w:r>
      <w:r w:rsidRPr="00AE141E">
        <w:rPr>
          <w:rFonts w:ascii="Times New Roman" w:hAnsi="Times New Roman" w:cs="Times New Roman"/>
          <w:i/>
          <w:sz w:val="24"/>
          <w:szCs w:val="24"/>
        </w:rPr>
        <w:t>even if the wrong ones</w:t>
      </w:r>
      <w:r w:rsidRPr="00AE141E">
        <w:rPr>
          <w:rFonts w:ascii="Times New Roman" w:hAnsi="Times New Roman" w:cs="Times New Roman"/>
          <w:sz w:val="24"/>
          <w:szCs w:val="24"/>
        </w:rPr>
        <w:t xml:space="preserve">, than receive benefits from a foreign ruling race. It is part of human nature to resent other people’s interference, even though it is intended to be </w:t>
      </w:r>
      <w:r w:rsidRPr="00AE141E">
        <w:rPr>
          <w:rFonts w:ascii="Times New Roman" w:hAnsi="Times New Roman" w:cs="Times New Roman"/>
          <w:i/>
          <w:sz w:val="24"/>
          <w:szCs w:val="24"/>
        </w:rPr>
        <w:t xml:space="preserve">for one’s own good </w:t>
      </w:r>
      <w:r w:rsidRPr="00AE141E">
        <w:rPr>
          <w:rFonts w:ascii="Times New Roman" w:hAnsi="Times New Roman" w:cs="Times New Roman"/>
          <w:sz w:val="24"/>
          <w:szCs w:val="24"/>
        </w:rPr>
        <w:t>[emphasis added].</w:t>
      </w:r>
      <w:r w:rsidRPr="00AE141E">
        <w:rPr>
          <w:rStyle w:val="FootnoteReference"/>
          <w:rFonts w:ascii="Times New Roman" w:hAnsi="Times New Roman" w:cs="Times New Roman"/>
          <w:sz w:val="24"/>
          <w:szCs w:val="24"/>
        </w:rPr>
        <w:footnoteReference w:id="529"/>
      </w:r>
    </w:p>
    <w:p w14:paraId="42696497" w14:textId="04294AF7" w:rsidR="00582DBD" w:rsidRPr="00AE141E" w:rsidRDefault="0010382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document endorsed an understanding of British colonisation as a civilising mission which tried selflessly to guide lesser peoples towards a state of prosperity and good governance. Significantly, it</w:t>
      </w:r>
      <w:r w:rsidR="0024085F" w:rsidRPr="00AE141E">
        <w:rPr>
          <w:rFonts w:ascii="Times New Roman" w:hAnsi="Times New Roman" w:cs="Times New Roman"/>
          <w:sz w:val="24"/>
          <w:szCs w:val="24"/>
        </w:rPr>
        <w:t xml:space="preserve"> also</w:t>
      </w:r>
      <w:r w:rsidRPr="00AE141E">
        <w:rPr>
          <w:rFonts w:ascii="Times New Roman" w:hAnsi="Times New Roman" w:cs="Times New Roman"/>
          <w:sz w:val="24"/>
          <w:szCs w:val="24"/>
        </w:rPr>
        <w:t xml:space="preserve"> justifie</w:t>
      </w:r>
      <w:r w:rsidR="00917D9B" w:rsidRPr="00AE141E">
        <w:rPr>
          <w:rFonts w:ascii="Times New Roman" w:hAnsi="Times New Roman" w:cs="Times New Roman"/>
          <w:sz w:val="24"/>
          <w:szCs w:val="24"/>
        </w:rPr>
        <w:t>d</w:t>
      </w:r>
      <w:r w:rsidRPr="00AE141E">
        <w:rPr>
          <w:rFonts w:ascii="Times New Roman" w:hAnsi="Times New Roman" w:cs="Times New Roman"/>
          <w:sz w:val="24"/>
          <w:szCs w:val="24"/>
        </w:rPr>
        <w:t xml:space="preserve"> colonisation by constructing an insuperable divide between the intellectual worlds of past and present; colonisers were bound to a mentality viewed as fundamentally and incontrovertibly imperialistic. As previously identified, Gopal exposes this justification as a historical fiction.</w:t>
      </w:r>
      <w:r w:rsidRPr="00AE141E">
        <w:rPr>
          <w:rStyle w:val="FootnoteReference"/>
          <w:rFonts w:ascii="Times New Roman" w:hAnsi="Times New Roman" w:cs="Times New Roman"/>
          <w:sz w:val="24"/>
          <w:szCs w:val="24"/>
        </w:rPr>
        <w:footnoteReference w:id="530"/>
      </w:r>
      <w:r w:rsidR="006E54E1" w:rsidRPr="00AE141E">
        <w:rPr>
          <w:rFonts w:ascii="Times New Roman" w:hAnsi="Times New Roman" w:cs="Times New Roman"/>
          <w:sz w:val="24"/>
          <w:szCs w:val="24"/>
        </w:rPr>
        <w:t xml:space="preserve"> </w:t>
      </w:r>
      <w:r w:rsidR="00A11EE7" w:rsidRPr="00AE141E">
        <w:rPr>
          <w:rFonts w:ascii="Times New Roman" w:hAnsi="Times New Roman" w:cs="Times New Roman"/>
          <w:sz w:val="24"/>
          <w:szCs w:val="24"/>
        </w:rPr>
        <w:t xml:space="preserve">The result was to release White </w:t>
      </w:r>
      <w:r w:rsidR="005C2BA5" w:rsidRPr="00AE141E">
        <w:rPr>
          <w:rFonts w:ascii="Times New Roman" w:hAnsi="Times New Roman" w:cs="Times New Roman"/>
          <w:sz w:val="24"/>
          <w:szCs w:val="24"/>
        </w:rPr>
        <w:t xml:space="preserve">readers </w:t>
      </w:r>
      <w:r w:rsidR="005C2BA5" w:rsidRPr="00AE141E">
        <w:rPr>
          <w:rFonts w:ascii="Times New Roman" w:hAnsi="Times New Roman" w:cs="Times New Roman"/>
          <w:sz w:val="24"/>
          <w:szCs w:val="24"/>
        </w:rPr>
        <w:lastRenderedPageBreak/>
        <w:t xml:space="preserve">from the burden of guilt: </w:t>
      </w:r>
      <w:r w:rsidR="00771AAC" w:rsidRPr="00AE141E">
        <w:rPr>
          <w:rFonts w:ascii="Times New Roman" w:hAnsi="Times New Roman" w:cs="Times New Roman"/>
          <w:sz w:val="24"/>
          <w:szCs w:val="24"/>
        </w:rPr>
        <w:t xml:space="preserve">imperialism was safely confined to an unreachable past, </w:t>
      </w:r>
      <w:r w:rsidR="002F2B66" w:rsidRPr="00AE141E">
        <w:rPr>
          <w:rFonts w:ascii="Times New Roman" w:hAnsi="Times New Roman" w:cs="Times New Roman"/>
          <w:sz w:val="24"/>
          <w:szCs w:val="24"/>
        </w:rPr>
        <w:t xml:space="preserve">in which </w:t>
      </w:r>
      <w:r w:rsidR="004163E4" w:rsidRPr="00AE141E">
        <w:rPr>
          <w:rFonts w:ascii="Times New Roman" w:hAnsi="Times New Roman" w:cs="Times New Roman"/>
          <w:sz w:val="24"/>
          <w:szCs w:val="24"/>
        </w:rPr>
        <w:t xml:space="preserve">it was nothing less than a historical inevitability. </w:t>
      </w:r>
    </w:p>
    <w:p w14:paraId="330DE412" w14:textId="2E39C626" w:rsidR="0048191E" w:rsidRPr="00AE141E" w:rsidRDefault="00321CB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same logic was at play in</w:t>
      </w:r>
      <w:r w:rsidR="00AF40CF" w:rsidRPr="00AE141E">
        <w:rPr>
          <w:rFonts w:ascii="Times New Roman" w:hAnsi="Times New Roman" w:cs="Times New Roman"/>
          <w:sz w:val="24"/>
          <w:szCs w:val="24"/>
        </w:rPr>
        <w:t xml:space="preserve"> comparative</w:t>
      </w:r>
      <w:r w:rsidRPr="00AE141E">
        <w:rPr>
          <w:rFonts w:ascii="Times New Roman" w:hAnsi="Times New Roman" w:cs="Times New Roman"/>
          <w:sz w:val="24"/>
          <w:szCs w:val="24"/>
        </w:rPr>
        <w:t xml:space="preserve"> discussions of</w:t>
      </w:r>
      <w:r w:rsidR="00AF40CF" w:rsidRPr="00AE141E">
        <w:rPr>
          <w:rFonts w:ascii="Times New Roman" w:hAnsi="Times New Roman" w:cs="Times New Roman"/>
          <w:sz w:val="24"/>
          <w:szCs w:val="24"/>
        </w:rPr>
        <w:t xml:space="preserve"> other colonial projects</w:t>
      </w:r>
      <w:r w:rsidRPr="00AE141E">
        <w:rPr>
          <w:rFonts w:ascii="Times New Roman" w:hAnsi="Times New Roman" w:cs="Times New Roman"/>
          <w:sz w:val="24"/>
          <w:szCs w:val="24"/>
        </w:rPr>
        <w:t xml:space="preserve">. Edgington noted the </w:t>
      </w:r>
      <w:r w:rsidR="00250C4A" w:rsidRPr="00AE141E">
        <w:rPr>
          <w:rFonts w:ascii="Times New Roman" w:hAnsi="Times New Roman" w:cs="Times New Roman"/>
          <w:sz w:val="24"/>
          <w:szCs w:val="24"/>
        </w:rPr>
        <w:t>defensive</w:t>
      </w:r>
      <w:r w:rsidRPr="00AE141E">
        <w:rPr>
          <w:rFonts w:ascii="Times New Roman" w:hAnsi="Times New Roman" w:cs="Times New Roman"/>
          <w:sz w:val="24"/>
          <w:szCs w:val="24"/>
        </w:rPr>
        <w:t xml:space="preserve"> tone taken by textbook authors who delivered a ‘unilateral rationalization of “our” actions’.</w:t>
      </w:r>
      <w:r w:rsidRPr="00AE141E">
        <w:rPr>
          <w:rStyle w:val="FootnoteReference"/>
          <w:rFonts w:ascii="Times New Roman" w:hAnsi="Times New Roman" w:cs="Times New Roman"/>
          <w:sz w:val="24"/>
          <w:szCs w:val="24"/>
        </w:rPr>
        <w:footnoteReference w:id="531"/>
      </w:r>
      <w:r w:rsidRPr="00AE141E">
        <w:rPr>
          <w:rFonts w:ascii="Times New Roman" w:hAnsi="Times New Roman" w:cs="Times New Roman"/>
          <w:sz w:val="24"/>
          <w:szCs w:val="24"/>
        </w:rPr>
        <w:t xml:space="preserve"> Such writers simultaneously constructed a national community, founded on shared historical memory, and enfolded their readers within it. The British national character – defined by ‘fair play’ and ‘commitment to the native people’ </w:t>
      </w:r>
      <w:r w:rsidR="000375C0">
        <w:rPr>
          <w:rFonts w:ascii="Times New Roman" w:hAnsi="Times New Roman" w:cs="Times New Roman"/>
          <w:sz w:val="24"/>
          <w:szCs w:val="24"/>
        </w:rPr>
        <w:t>–</w:t>
      </w:r>
      <w:r w:rsidRPr="00AE141E">
        <w:rPr>
          <w:rFonts w:ascii="Times New Roman" w:hAnsi="Times New Roman" w:cs="Times New Roman"/>
          <w:sz w:val="24"/>
          <w:szCs w:val="24"/>
        </w:rPr>
        <w:t xml:space="preserve"> was</w:t>
      </w:r>
      <w:r w:rsidR="000375C0">
        <w:rPr>
          <w:rFonts w:ascii="Times New Roman" w:hAnsi="Times New Roman" w:cs="Times New Roman"/>
          <w:sz w:val="24"/>
          <w:szCs w:val="24"/>
        </w:rPr>
        <w:t xml:space="preserve"> </w:t>
      </w:r>
      <w:r w:rsidRPr="00AE141E">
        <w:rPr>
          <w:rFonts w:ascii="Times New Roman" w:hAnsi="Times New Roman" w:cs="Times New Roman"/>
          <w:sz w:val="24"/>
          <w:szCs w:val="24"/>
        </w:rPr>
        <w:t xml:space="preserve">forged in a dual relationship with empire, and with other imperial powers. Teaching on nineteenth century imperial conquest in the African continent, for example, would commonly focus on the ‘cruelty of Leopold II of Belgium’. The supposed humanity and goodwill of British imperialism was constructed in opposition to Belgian depredations. Meanwhile, in representing Belgian imperialism as exceptional in its violence, writers could avoid passing judgement on the imperial system </w:t>
      </w:r>
      <w:r w:rsidRPr="00AE141E">
        <w:rPr>
          <w:rFonts w:ascii="Times New Roman" w:hAnsi="Times New Roman" w:cs="Times New Roman"/>
          <w:i/>
          <w:sz w:val="24"/>
          <w:szCs w:val="24"/>
        </w:rPr>
        <w:t>in totum.</w:t>
      </w:r>
    </w:p>
    <w:p w14:paraId="5D981DA1" w14:textId="38E223E2" w:rsidR="00EB49B2" w:rsidRPr="00AE141E" w:rsidRDefault="0030312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texts studied by NAME seem largely to have taken a different</w:t>
      </w:r>
      <w:r w:rsidR="005430AD" w:rsidRPr="00AE141E">
        <w:rPr>
          <w:rFonts w:ascii="Times New Roman" w:hAnsi="Times New Roman" w:cs="Times New Roman"/>
          <w:sz w:val="24"/>
          <w:szCs w:val="24"/>
        </w:rPr>
        <w:t>, though no less exculpato</w:t>
      </w:r>
      <w:r w:rsidR="00D85E45" w:rsidRPr="00AE141E">
        <w:rPr>
          <w:rFonts w:ascii="Times New Roman" w:hAnsi="Times New Roman" w:cs="Times New Roman"/>
          <w:sz w:val="24"/>
          <w:szCs w:val="24"/>
        </w:rPr>
        <w:t>ry,</w:t>
      </w:r>
      <w:r w:rsidRPr="00AE141E">
        <w:rPr>
          <w:rFonts w:ascii="Times New Roman" w:hAnsi="Times New Roman" w:cs="Times New Roman"/>
          <w:sz w:val="24"/>
          <w:szCs w:val="24"/>
        </w:rPr>
        <w:t xml:space="preserve"> approach to the question of</w:t>
      </w:r>
      <w:r w:rsidR="006E54E1" w:rsidRPr="00AE141E">
        <w:rPr>
          <w:rFonts w:ascii="Times New Roman" w:hAnsi="Times New Roman" w:cs="Times New Roman"/>
          <w:sz w:val="24"/>
          <w:szCs w:val="24"/>
        </w:rPr>
        <w:t xml:space="preserve"> historical </w:t>
      </w:r>
      <w:r w:rsidR="00AF6A9A" w:rsidRPr="00AE141E">
        <w:rPr>
          <w:rFonts w:ascii="Times New Roman" w:hAnsi="Times New Roman" w:cs="Times New Roman"/>
          <w:sz w:val="24"/>
          <w:szCs w:val="24"/>
        </w:rPr>
        <w:t xml:space="preserve">responsibility. The organisation </w:t>
      </w:r>
      <w:r w:rsidR="00052DD5" w:rsidRPr="00AE141E">
        <w:rPr>
          <w:rFonts w:ascii="Times New Roman" w:hAnsi="Times New Roman" w:cs="Times New Roman"/>
          <w:sz w:val="24"/>
          <w:szCs w:val="24"/>
        </w:rPr>
        <w:t>noted that Cecil Rhodes</w:t>
      </w:r>
      <w:r w:rsidR="00AD6F58" w:rsidRPr="00AE141E">
        <w:rPr>
          <w:rFonts w:ascii="Times New Roman" w:hAnsi="Times New Roman" w:cs="Times New Roman"/>
          <w:sz w:val="24"/>
          <w:szCs w:val="24"/>
        </w:rPr>
        <w:t xml:space="preserve"> was usually portrayed as </w:t>
      </w:r>
      <w:r w:rsidR="00BC4636" w:rsidRPr="00AE141E">
        <w:rPr>
          <w:rFonts w:ascii="Times New Roman" w:hAnsi="Times New Roman" w:cs="Times New Roman"/>
          <w:sz w:val="24"/>
          <w:szCs w:val="24"/>
        </w:rPr>
        <w:t xml:space="preserve">an </w:t>
      </w:r>
      <w:r w:rsidR="00AD6F58" w:rsidRPr="00AE141E">
        <w:rPr>
          <w:rFonts w:ascii="Times New Roman" w:hAnsi="Times New Roman" w:cs="Times New Roman"/>
          <w:sz w:val="24"/>
          <w:szCs w:val="24"/>
        </w:rPr>
        <w:t>‘ambitious and greedy’</w:t>
      </w:r>
      <w:r w:rsidR="00BC4636" w:rsidRPr="00AE141E">
        <w:rPr>
          <w:rFonts w:ascii="Times New Roman" w:hAnsi="Times New Roman" w:cs="Times New Roman"/>
          <w:sz w:val="24"/>
          <w:szCs w:val="24"/>
        </w:rPr>
        <w:t xml:space="preserve"> character who had used </w:t>
      </w:r>
      <w:r w:rsidR="00197F2E" w:rsidRPr="00AE141E">
        <w:rPr>
          <w:rFonts w:ascii="Times New Roman" w:hAnsi="Times New Roman" w:cs="Times New Roman"/>
          <w:sz w:val="24"/>
          <w:szCs w:val="24"/>
        </w:rPr>
        <w:t>‘</w:t>
      </w:r>
      <w:r w:rsidR="00AD6F58" w:rsidRPr="00AE141E">
        <w:rPr>
          <w:rFonts w:ascii="Times New Roman" w:hAnsi="Times New Roman" w:cs="Times New Roman"/>
          <w:sz w:val="24"/>
          <w:szCs w:val="24"/>
        </w:rPr>
        <w:t>devious methods</w:t>
      </w:r>
      <w:r w:rsidR="00197F2E" w:rsidRPr="00AE141E">
        <w:rPr>
          <w:rFonts w:ascii="Times New Roman" w:hAnsi="Times New Roman" w:cs="Times New Roman"/>
          <w:sz w:val="24"/>
          <w:szCs w:val="24"/>
        </w:rPr>
        <w:t>’</w:t>
      </w:r>
      <w:r w:rsidR="00BC4636" w:rsidRPr="00AE141E">
        <w:rPr>
          <w:rFonts w:ascii="Times New Roman" w:hAnsi="Times New Roman" w:cs="Times New Roman"/>
          <w:sz w:val="24"/>
          <w:szCs w:val="24"/>
        </w:rPr>
        <w:t xml:space="preserve"> to achieve his ends</w:t>
      </w:r>
      <w:r w:rsidR="00AD6F58" w:rsidRPr="00AE141E">
        <w:rPr>
          <w:rFonts w:ascii="Times New Roman" w:hAnsi="Times New Roman" w:cs="Times New Roman"/>
          <w:sz w:val="24"/>
          <w:szCs w:val="24"/>
        </w:rPr>
        <w:t>.</w:t>
      </w:r>
      <w:r w:rsidR="008A1E92" w:rsidRPr="00AE141E">
        <w:rPr>
          <w:rStyle w:val="FootnoteReference"/>
          <w:rFonts w:ascii="Times New Roman" w:hAnsi="Times New Roman" w:cs="Times New Roman"/>
          <w:sz w:val="24"/>
          <w:szCs w:val="24"/>
        </w:rPr>
        <w:footnoteReference w:id="532"/>
      </w:r>
      <w:r w:rsidR="00AD6F58" w:rsidRPr="00AE141E">
        <w:rPr>
          <w:rFonts w:ascii="Times New Roman" w:hAnsi="Times New Roman" w:cs="Times New Roman"/>
          <w:sz w:val="24"/>
          <w:szCs w:val="24"/>
        </w:rPr>
        <w:t xml:space="preserve"> </w:t>
      </w:r>
      <w:r w:rsidR="005B28C3" w:rsidRPr="00AE141E">
        <w:rPr>
          <w:rFonts w:ascii="Times New Roman" w:hAnsi="Times New Roman" w:cs="Times New Roman"/>
          <w:sz w:val="24"/>
          <w:szCs w:val="24"/>
        </w:rPr>
        <w:t>By ripping Rhodes from</w:t>
      </w:r>
      <w:r w:rsidR="00954461" w:rsidRPr="00AE141E">
        <w:rPr>
          <w:rFonts w:ascii="Times New Roman" w:hAnsi="Times New Roman" w:cs="Times New Roman"/>
          <w:sz w:val="24"/>
          <w:szCs w:val="24"/>
        </w:rPr>
        <w:t xml:space="preserve"> the wider context of British imperialism and presenting him as an abstract embodiment of </w:t>
      </w:r>
      <w:r w:rsidR="0067027C" w:rsidRPr="00AE141E">
        <w:rPr>
          <w:rFonts w:ascii="Times New Roman" w:hAnsi="Times New Roman" w:cs="Times New Roman"/>
          <w:sz w:val="24"/>
          <w:szCs w:val="24"/>
        </w:rPr>
        <w:t>evil</w:t>
      </w:r>
      <w:r w:rsidR="00954461" w:rsidRPr="00AE141E">
        <w:rPr>
          <w:rFonts w:ascii="Times New Roman" w:hAnsi="Times New Roman" w:cs="Times New Roman"/>
          <w:sz w:val="24"/>
          <w:szCs w:val="24"/>
        </w:rPr>
        <w:t xml:space="preserve">, </w:t>
      </w:r>
      <w:r w:rsidR="005D1B2A" w:rsidRPr="00AE141E">
        <w:rPr>
          <w:rFonts w:ascii="Times New Roman" w:hAnsi="Times New Roman" w:cs="Times New Roman"/>
          <w:sz w:val="24"/>
          <w:szCs w:val="24"/>
        </w:rPr>
        <w:t xml:space="preserve">these texts absolved </w:t>
      </w:r>
      <w:r w:rsidR="00030681" w:rsidRPr="00AE141E">
        <w:rPr>
          <w:rFonts w:ascii="Times New Roman" w:hAnsi="Times New Roman" w:cs="Times New Roman"/>
          <w:sz w:val="24"/>
          <w:szCs w:val="24"/>
        </w:rPr>
        <w:t>the nation-state of all guilt. Imperialism was transformed from a systematic to a personal form of violence</w:t>
      </w:r>
      <w:r w:rsidR="00B04BB5" w:rsidRPr="00AE141E">
        <w:rPr>
          <w:rFonts w:ascii="Times New Roman" w:hAnsi="Times New Roman" w:cs="Times New Roman"/>
          <w:sz w:val="24"/>
          <w:szCs w:val="24"/>
        </w:rPr>
        <w:t>.</w:t>
      </w:r>
      <w:r w:rsidR="00064FB8" w:rsidRPr="00AE141E">
        <w:rPr>
          <w:rFonts w:ascii="Times New Roman" w:hAnsi="Times New Roman" w:cs="Times New Roman"/>
          <w:sz w:val="24"/>
          <w:szCs w:val="24"/>
        </w:rPr>
        <w:t xml:space="preserve"> </w:t>
      </w:r>
      <w:r w:rsidR="00F74ED7" w:rsidRPr="00AE141E">
        <w:rPr>
          <w:rFonts w:ascii="Times New Roman" w:hAnsi="Times New Roman" w:cs="Times New Roman"/>
          <w:sz w:val="24"/>
          <w:szCs w:val="24"/>
        </w:rPr>
        <w:t xml:space="preserve">The ‘superficial balance’ which saw individuals like Rhodes indicted with </w:t>
      </w:r>
      <w:r w:rsidR="00B233DC" w:rsidRPr="00AE141E">
        <w:rPr>
          <w:rFonts w:ascii="Times New Roman" w:hAnsi="Times New Roman" w:cs="Times New Roman"/>
          <w:sz w:val="24"/>
          <w:szCs w:val="24"/>
        </w:rPr>
        <w:t>offen</w:t>
      </w:r>
      <w:r w:rsidR="00A80202">
        <w:rPr>
          <w:rFonts w:ascii="Times New Roman" w:hAnsi="Times New Roman" w:cs="Times New Roman"/>
          <w:sz w:val="24"/>
          <w:szCs w:val="24"/>
        </w:rPr>
        <w:t>c</w:t>
      </w:r>
      <w:r w:rsidR="00B233DC" w:rsidRPr="00AE141E">
        <w:rPr>
          <w:rFonts w:ascii="Times New Roman" w:hAnsi="Times New Roman" w:cs="Times New Roman"/>
          <w:sz w:val="24"/>
          <w:szCs w:val="24"/>
        </w:rPr>
        <w:t xml:space="preserve">es against </w:t>
      </w:r>
      <w:r w:rsidR="00071BB3" w:rsidRPr="00AE141E">
        <w:rPr>
          <w:rFonts w:ascii="Times New Roman" w:hAnsi="Times New Roman" w:cs="Times New Roman"/>
          <w:sz w:val="24"/>
          <w:szCs w:val="24"/>
        </w:rPr>
        <w:t xml:space="preserve">morality sat in easy </w:t>
      </w:r>
      <w:r w:rsidR="007E0F11" w:rsidRPr="00AE141E">
        <w:rPr>
          <w:rFonts w:ascii="Times New Roman" w:hAnsi="Times New Roman" w:cs="Times New Roman"/>
          <w:sz w:val="24"/>
          <w:szCs w:val="24"/>
        </w:rPr>
        <w:t xml:space="preserve">concord with </w:t>
      </w:r>
      <w:r w:rsidR="001275C8" w:rsidRPr="00AE141E">
        <w:rPr>
          <w:rFonts w:ascii="Times New Roman" w:hAnsi="Times New Roman" w:cs="Times New Roman"/>
          <w:sz w:val="24"/>
          <w:szCs w:val="24"/>
        </w:rPr>
        <w:t xml:space="preserve">an account of decolonisation which excised African participation. </w:t>
      </w:r>
      <w:r w:rsidR="00DB0BF0" w:rsidRPr="00AE141E">
        <w:rPr>
          <w:rFonts w:ascii="Times New Roman" w:hAnsi="Times New Roman" w:cs="Times New Roman"/>
          <w:sz w:val="24"/>
          <w:szCs w:val="24"/>
        </w:rPr>
        <w:t xml:space="preserve">An </w:t>
      </w:r>
      <w:r w:rsidR="00DB0BF0" w:rsidRPr="00AE141E">
        <w:rPr>
          <w:rFonts w:ascii="Times New Roman" w:hAnsi="Times New Roman" w:cs="Times New Roman"/>
          <w:i/>
          <w:sz w:val="24"/>
          <w:szCs w:val="24"/>
        </w:rPr>
        <w:t>inherently</w:t>
      </w:r>
      <w:r w:rsidR="00DB0BF0" w:rsidRPr="00AE141E">
        <w:rPr>
          <w:rFonts w:ascii="Times New Roman" w:hAnsi="Times New Roman" w:cs="Times New Roman"/>
          <w:sz w:val="24"/>
          <w:szCs w:val="24"/>
        </w:rPr>
        <w:t xml:space="preserve"> violent system might have been expected to arouse resistance.</w:t>
      </w:r>
      <w:r w:rsidR="00F146DC" w:rsidRPr="00AE141E">
        <w:rPr>
          <w:rFonts w:ascii="Times New Roman" w:hAnsi="Times New Roman" w:cs="Times New Roman"/>
          <w:sz w:val="24"/>
          <w:szCs w:val="24"/>
        </w:rPr>
        <w:t xml:space="preserve"> Thus, to preserve</w:t>
      </w:r>
      <w:r w:rsidR="00C15115" w:rsidRPr="00AE141E">
        <w:rPr>
          <w:rFonts w:ascii="Times New Roman" w:hAnsi="Times New Roman" w:cs="Times New Roman"/>
          <w:sz w:val="24"/>
          <w:szCs w:val="24"/>
        </w:rPr>
        <w:t xml:space="preserve"> a narrative we might call Rhodesian exceptionalism</w:t>
      </w:r>
      <w:r w:rsidR="00F15B7A" w:rsidRPr="00AE141E">
        <w:rPr>
          <w:rFonts w:ascii="Times New Roman" w:hAnsi="Times New Roman" w:cs="Times New Roman"/>
          <w:sz w:val="24"/>
          <w:szCs w:val="24"/>
        </w:rPr>
        <w:t>, independence must necessarily be presented as something granted, rather than taken.</w:t>
      </w:r>
      <w:r w:rsidR="00F146DC" w:rsidRPr="00AE141E">
        <w:rPr>
          <w:rFonts w:ascii="Times New Roman" w:hAnsi="Times New Roman" w:cs="Times New Roman"/>
          <w:sz w:val="24"/>
          <w:szCs w:val="24"/>
        </w:rPr>
        <w:t xml:space="preserve"> </w:t>
      </w:r>
    </w:p>
    <w:p w14:paraId="11B6E803" w14:textId="77777777" w:rsidR="006B1CFC" w:rsidRPr="00AE141E" w:rsidRDefault="006B1CF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Criticism of existing resources raised the question of what should be done with them. Teachers were advised to critically examine the texts they used for evidence of bias and the possibility of harm caused to students of colour. Organisations including ACER, NAME, and the National Union of Students (NUS) published checklists and guidelines against which teachers could evaluate resources, themselves often drawing on work previously issued by a </w:t>
      </w:r>
      <w:r w:rsidRPr="00AE141E">
        <w:rPr>
          <w:rFonts w:ascii="Times New Roman" w:hAnsi="Times New Roman" w:cs="Times New Roman"/>
          <w:sz w:val="24"/>
          <w:szCs w:val="24"/>
        </w:rPr>
        <w:lastRenderedPageBreak/>
        <w:t>range of international anti-racist organisations.</w:t>
      </w:r>
      <w:r w:rsidRPr="00AE141E">
        <w:rPr>
          <w:rStyle w:val="FootnoteReference"/>
          <w:rFonts w:ascii="Times New Roman" w:hAnsi="Times New Roman" w:cs="Times New Roman"/>
          <w:sz w:val="24"/>
          <w:szCs w:val="24"/>
        </w:rPr>
        <w:footnoteReference w:id="533"/>
      </w:r>
      <w:r w:rsidRPr="00AE141E">
        <w:rPr>
          <w:rFonts w:ascii="Times New Roman" w:hAnsi="Times New Roman" w:cs="Times New Roman"/>
          <w:sz w:val="24"/>
          <w:szCs w:val="24"/>
        </w:rPr>
        <w:t xml:space="preserve"> These invited teachers to view historical writing as a subjective process guided by unequal power relations. A guide originally issued by the Birmingham-based anti-racist organisation the World Council of Churches (WCC), and later republished by ACER, asked educators to ask the following questions of their textbooks, amongst many others:</w:t>
      </w:r>
    </w:p>
    <w:p w14:paraId="30EF8605" w14:textId="77777777" w:rsidR="006B1CFC" w:rsidRPr="00AE141E" w:rsidRDefault="006B1CFC"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Is European development regarded as the highest stage?</w:t>
      </w:r>
    </w:p>
    <w:p w14:paraId="6FF539DE" w14:textId="77777777" w:rsidR="006B1CFC" w:rsidRPr="00AE141E" w:rsidRDefault="006B1CFC"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Is there an explanation of historical events of the dominated group from its own point of view?</w:t>
      </w:r>
    </w:p>
    <w:p w14:paraId="2DB9E180" w14:textId="35822A1B" w:rsidR="006B1CFC" w:rsidRPr="00AE141E" w:rsidRDefault="006B1CFC"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Are the customs</w:t>
      </w:r>
      <w:r w:rsidR="00130516">
        <w:rPr>
          <w:rFonts w:ascii="Times New Roman" w:hAnsi="Times New Roman" w:cs="Times New Roman"/>
          <w:sz w:val="24"/>
          <w:szCs w:val="24"/>
        </w:rPr>
        <w:t xml:space="preserve"> […] </w:t>
      </w:r>
      <w:r w:rsidRPr="00AE141E">
        <w:rPr>
          <w:rFonts w:ascii="Times New Roman" w:hAnsi="Times New Roman" w:cs="Times New Roman"/>
          <w:sz w:val="24"/>
          <w:szCs w:val="24"/>
        </w:rPr>
        <w:t>presented as exotica?</w:t>
      </w:r>
    </w:p>
    <w:p w14:paraId="4F0CBC0C" w14:textId="77777777" w:rsidR="006B1CFC" w:rsidRPr="00AE141E" w:rsidRDefault="006B1CFC"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Are the internal differences of former colonies cited as proof of innate inability of the peoples to govern themselves successfully?</w:t>
      </w:r>
      <w:r w:rsidRPr="00AE141E">
        <w:rPr>
          <w:rStyle w:val="FootnoteReference"/>
          <w:rFonts w:ascii="Times New Roman" w:hAnsi="Times New Roman" w:cs="Times New Roman"/>
          <w:sz w:val="24"/>
          <w:szCs w:val="24"/>
        </w:rPr>
        <w:footnoteReference w:id="534"/>
      </w:r>
    </w:p>
    <w:p w14:paraId="3696FC51" w14:textId="77777777" w:rsidR="006B1CFC" w:rsidRPr="00AE141E" w:rsidRDefault="006B1CF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There were calls for a national, coordinated response to the problem of harmful teaching resources. The NUS claimed to be ‘building up a list of books which act counter to the aim of creating a true multi-racial [sic.] and multiethnic society’.</w:t>
      </w:r>
      <w:r w:rsidRPr="00AE141E">
        <w:rPr>
          <w:rStyle w:val="FootnoteReference"/>
          <w:rFonts w:ascii="Times New Roman" w:hAnsi="Times New Roman" w:cs="Times New Roman"/>
          <w:sz w:val="24"/>
          <w:szCs w:val="24"/>
        </w:rPr>
        <w:footnoteReference w:id="535"/>
      </w:r>
      <w:r w:rsidRPr="00AE141E">
        <w:rPr>
          <w:rFonts w:ascii="Times New Roman" w:hAnsi="Times New Roman" w:cs="Times New Roman"/>
          <w:sz w:val="24"/>
          <w:szCs w:val="24"/>
        </w:rPr>
        <w:t xml:space="preserve"> As far as I can tell, no trace of this list has been preserved, and it does not seem to have been cited as a useful aid by contemporary teachers. This perhaps indicates the difficulty in formulating a collective response to a problem which was so profoundly individual – operating at the level of a single school or even single classroom. </w:t>
      </w:r>
    </w:p>
    <w:p w14:paraId="595A6EBD" w14:textId="77777777" w:rsidR="006B1CFC" w:rsidRPr="00AE141E" w:rsidRDefault="006B1CF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Another common response to the problem of racist history textbooks was to urge their creative recycling as primary sources. Nigel File, a notable early adopter of multicultural approaches at Tulse Hill, advised that a ‘good teaching point’ could be made from textbooks </w:t>
      </w:r>
      <w:r w:rsidRPr="00AE141E">
        <w:rPr>
          <w:rFonts w:ascii="Times New Roman" w:hAnsi="Times New Roman" w:cs="Times New Roman"/>
          <w:sz w:val="24"/>
          <w:szCs w:val="24"/>
        </w:rPr>
        <w:lastRenderedPageBreak/>
        <w:t>which described processes of European exploration and conquest as ‘discovery’.</w:t>
      </w:r>
      <w:r w:rsidRPr="00AE141E">
        <w:rPr>
          <w:rStyle w:val="FootnoteReference"/>
          <w:rFonts w:ascii="Times New Roman" w:hAnsi="Times New Roman" w:cs="Times New Roman"/>
          <w:sz w:val="24"/>
          <w:szCs w:val="24"/>
        </w:rPr>
        <w:footnoteReference w:id="536"/>
      </w:r>
      <w:r w:rsidRPr="00AE141E">
        <w:rPr>
          <w:rFonts w:ascii="Times New Roman" w:hAnsi="Times New Roman" w:cs="Times New Roman"/>
          <w:sz w:val="24"/>
          <w:szCs w:val="24"/>
        </w:rPr>
        <w:t xml:space="preserve"> Such histories laid bare the complicity of the historian in the colonising process, as an agent of erasure and dehumanisation of indigenous communities. Similar approaches were taken by the National Union of Teachers (NUT) and ACER, albeit with important qualifiers. Guidelines produced by the NUT advised members to use ‘out of date’ resources with ‘extreme caution’.</w:t>
      </w:r>
      <w:r w:rsidRPr="00AE141E">
        <w:rPr>
          <w:rStyle w:val="FootnoteReference"/>
          <w:rFonts w:ascii="Times New Roman" w:hAnsi="Times New Roman" w:cs="Times New Roman"/>
          <w:sz w:val="24"/>
          <w:szCs w:val="24"/>
        </w:rPr>
        <w:footnoteReference w:id="537"/>
      </w:r>
      <w:r w:rsidRPr="00AE141E">
        <w:rPr>
          <w:rFonts w:ascii="Times New Roman" w:hAnsi="Times New Roman" w:cs="Times New Roman"/>
          <w:sz w:val="24"/>
          <w:szCs w:val="24"/>
        </w:rPr>
        <w:t xml:space="preserve"> The Union acknowledged the potential benefits of presenting tangible evidence of Britain’s colonial past to young learners, though it stressed the ‘potentially divisive effect’ on classroom dynamics. Ultimately, teachers were left to make their own judgement calls based on a sensitive understanding of interpersonal relations within their classroom. The NUT concluded by noting that some texts were ‘so abhorrent’ that they would inevitably cause offence in the multicultural classroom and must therefore be avoided in all circumstances. ACER likewise suggested that teachers and students might both benefit from the critical analysis of their textbooks – as long as teachers held the knowledge, sensitivity, and trust required to ‘openly discuss stereotypes with students’.</w:t>
      </w:r>
      <w:r w:rsidRPr="00AE141E">
        <w:rPr>
          <w:rStyle w:val="FootnoteReference"/>
          <w:rFonts w:ascii="Times New Roman" w:hAnsi="Times New Roman" w:cs="Times New Roman"/>
          <w:sz w:val="24"/>
          <w:szCs w:val="24"/>
        </w:rPr>
        <w:footnoteReference w:id="538"/>
      </w:r>
    </w:p>
    <w:p w14:paraId="2042638F" w14:textId="25A44A1F" w:rsidR="00AC216F" w:rsidRPr="00AE141E" w:rsidRDefault="00AC216F"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Changing the Narrative</w:t>
      </w:r>
      <w:r w:rsidR="00C75196" w:rsidRPr="00AE141E">
        <w:rPr>
          <w:rFonts w:ascii="Times New Roman" w:hAnsi="Times New Roman" w:cs="Times New Roman"/>
          <w:b/>
          <w:bCs/>
          <w:sz w:val="24"/>
          <w:szCs w:val="24"/>
        </w:rPr>
        <w:t xml:space="preserve">: Resourcing </w:t>
      </w:r>
      <w:r w:rsidR="00F278B1" w:rsidRPr="00AE141E">
        <w:rPr>
          <w:rFonts w:ascii="Times New Roman" w:hAnsi="Times New Roman" w:cs="Times New Roman"/>
          <w:b/>
          <w:bCs/>
          <w:sz w:val="24"/>
          <w:szCs w:val="24"/>
        </w:rPr>
        <w:t xml:space="preserve">and Teaching </w:t>
      </w:r>
      <w:r w:rsidR="00C75196" w:rsidRPr="00AE141E">
        <w:rPr>
          <w:rFonts w:ascii="Times New Roman" w:hAnsi="Times New Roman" w:cs="Times New Roman"/>
          <w:b/>
          <w:bCs/>
          <w:sz w:val="24"/>
          <w:szCs w:val="24"/>
        </w:rPr>
        <w:t>Multicultural History</w:t>
      </w:r>
    </w:p>
    <w:p w14:paraId="20AB0F8C" w14:textId="50FC7A87" w:rsidR="001350B8" w:rsidRDefault="004F648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There was a substantial demand for new resources to replace those deemed damaging. </w:t>
      </w:r>
      <w:r w:rsidR="006D470B" w:rsidRPr="00AE141E">
        <w:rPr>
          <w:rFonts w:ascii="Times New Roman" w:hAnsi="Times New Roman" w:cs="Times New Roman"/>
          <w:sz w:val="24"/>
          <w:szCs w:val="24"/>
        </w:rPr>
        <w:t>The availability of resources with a self-consciously multicultural orientation increased rapidly from the beginning of the 1970s. Douglas Thorburn, the Lewisham secondary school teacher quoted above, reflected favourably on the resources available to those seeking to construct a Caribbean history curriculum in 1981. He noted that, just a decade prior, there had been ‘very few commercially produced resources available’.</w:t>
      </w:r>
      <w:r w:rsidR="00933AB6" w:rsidRPr="00AE141E">
        <w:rPr>
          <w:rStyle w:val="FootnoteReference"/>
          <w:rFonts w:ascii="Times New Roman" w:hAnsi="Times New Roman" w:cs="Times New Roman"/>
          <w:sz w:val="24"/>
          <w:szCs w:val="24"/>
        </w:rPr>
        <w:footnoteReference w:id="539"/>
      </w:r>
      <w:r w:rsidR="006D470B" w:rsidRPr="00AE141E">
        <w:rPr>
          <w:rFonts w:ascii="Times New Roman" w:hAnsi="Times New Roman" w:cs="Times New Roman"/>
          <w:sz w:val="24"/>
          <w:szCs w:val="24"/>
        </w:rPr>
        <w:t xml:space="preserve"> The overall effect would have been discouraging, although eager teachers had responded to the difficulties as best they could. Some had created their own materials to supplement the ‘one good textbook series’, alongside the meagre pickings of travelogue films and a ‘variety of unimpressive Eurocentric books’. By the start of the 1980s, teachers could choose from a broader range of options. The </w:t>
      </w:r>
      <w:r w:rsidR="006D470B" w:rsidRPr="00AE141E">
        <w:rPr>
          <w:rFonts w:ascii="Times New Roman" w:hAnsi="Times New Roman" w:cs="Times New Roman"/>
          <w:sz w:val="24"/>
          <w:szCs w:val="24"/>
        </w:rPr>
        <w:lastRenderedPageBreak/>
        <w:t>situation was no doubt helped by textbooks designed for the history courses</w:t>
      </w:r>
      <w:r w:rsidR="00C401EF">
        <w:rPr>
          <w:rFonts w:ascii="Times New Roman" w:hAnsi="Times New Roman" w:cs="Times New Roman"/>
          <w:sz w:val="24"/>
          <w:szCs w:val="24"/>
        </w:rPr>
        <w:t xml:space="preserve"> of</w:t>
      </w:r>
      <w:r w:rsidR="006D470B" w:rsidRPr="00AE141E">
        <w:rPr>
          <w:rFonts w:ascii="Times New Roman" w:hAnsi="Times New Roman" w:cs="Times New Roman"/>
          <w:sz w:val="24"/>
          <w:szCs w:val="24"/>
        </w:rPr>
        <w:t xml:space="preserve"> newly independent countries, which were frequently Anglophone (a legacy of colonisation) and increasingly available on the British market.</w:t>
      </w:r>
      <w:r w:rsidR="004F347C" w:rsidRPr="00AE141E">
        <w:rPr>
          <w:rStyle w:val="FootnoteReference"/>
          <w:rFonts w:ascii="Times New Roman" w:hAnsi="Times New Roman" w:cs="Times New Roman"/>
          <w:sz w:val="24"/>
          <w:szCs w:val="24"/>
        </w:rPr>
        <w:footnoteReference w:id="540"/>
      </w:r>
      <w:r w:rsidR="006D470B" w:rsidRPr="00AE141E">
        <w:rPr>
          <w:rFonts w:ascii="Times New Roman" w:hAnsi="Times New Roman" w:cs="Times New Roman"/>
          <w:sz w:val="24"/>
          <w:szCs w:val="24"/>
        </w:rPr>
        <w:t xml:space="preserve"> The African-Caribbean historian Edward Brathwaite’s series,</w:t>
      </w:r>
      <w:r w:rsidR="006D470B" w:rsidRPr="00AE141E">
        <w:rPr>
          <w:rFonts w:ascii="Times New Roman" w:hAnsi="Times New Roman" w:cs="Times New Roman"/>
          <w:i/>
          <w:sz w:val="24"/>
          <w:szCs w:val="24"/>
        </w:rPr>
        <w:t xml:space="preserve"> The People Who Came</w:t>
      </w:r>
      <w:r w:rsidR="006D470B" w:rsidRPr="00AE141E">
        <w:rPr>
          <w:rFonts w:ascii="Times New Roman" w:hAnsi="Times New Roman" w:cs="Times New Roman"/>
          <w:sz w:val="24"/>
          <w:szCs w:val="24"/>
        </w:rPr>
        <w:t xml:space="preserve">, originally intended for use in Caribbean secondary schools, was the </w:t>
      </w:r>
      <w:r w:rsidR="00091FCC" w:rsidRPr="00AE141E">
        <w:rPr>
          <w:rFonts w:ascii="Times New Roman" w:hAnsi="Times New Roman" w:cs="Times New Roman"/>
          <w:sz w:val="24"/>
          <w:szCs w:val="24"/>
        </w:rPr>
        <w:t>‘</w:t>
      </w:r>
      <w:r w:rsidR="006D470B" w:rsidRPr="00AE141E">
        <w:rPr>
          <w:rFonts w:ascii="Times New Roman" w:hAnsi="Times New Roman" w:cs="Times New Roman"/>
          <w:sz w:val="24"/>
          <w:szCs w:val="24"/>
        </w:rPr>
        <w:t xml:space="preserve">one good </w:t>
      </w:r>
      <w:r w:rsidR="00091FCC" w:rsidRPr="00AE141E">
        <w:rPr>
          <w:rFonts w:ascii="Times New Roman" w:hAnsi="Times New Roman" w:cs="Times New Roman"/>
          <w:sz w:val="24"/>
          <w:szCs w:val="24"/>
        </w:rPr>
        <w:t xml:space="preserve">[…] series’ </w:t>
      </w:r>
      <w:r w:rsidR="004A6240" w:rsidRPr="00AE141E">
        <w:rPr>
          <w:rFonts w:ascii="Times New Roman" w:hAnsi="Times New Roman" w:cs="Times New Roman"/>
          <w:sz w:val="24"/>
          <w:szCs w:val="24"/>
        </w:rPr>
        <w:t>to which Thorburn previously referred</w:t>
      </w:r>
      <w:r w:rsidR="006D470B" w:rsidRPr="00AE141E">
        <w:rPr>
          <w:rFonts w:ascii="Times New Roman" w:hAnsi="Times New Roman" w:cs="Times New Roman"/>
          <w:sz w:val="24"/>
          <w:szCs w:val="24"/>
        </w:rPr>
        <w:t xml:space="preserve">. </w:t>
      </w:r>
      <w:r w:rsidR="000F49B1" w:rsidRPr="00AE141E">
        <w:rPr>
          <w:rFonts w:ascii="Times New Roman" w:hAnsi="Times New Roman" w:cs="Times New Roman"/>
          <w:sz w:val="24"/>
          <w:szCs w:val="24"/>
        </w:rPr>
        <w:t xml:space="preserve">The more recently available texts Thorburn recommended included </w:t>
      </w:r>
      <w:r w:rsidR="00E83FC5" w:rsidRPr="00AE141E">
        <w:rPr>
          <w:rFonts w:ascii="Times New Roman" w:hAnsi="Times New Roman" w:cs="Times New Roman"/>
          <w:sz w:val="24"/>
          <w:szCs w:val="24"/>
        </w:rPr>
        <w:t xml:space="preserve">Vic Reid’s </w:t>
      </w:r>
      <w:r w:rsidR="00E83FC5" w:rsidRPr="00AE141E">
        <w:rPr>
          <w:rFonts w:ascii="Times New Roman" w:hAnsi="Times New Roman" w:cs="Times New Roman"/>
          <w:i/>
          <w:sz w:val="24"/>
          <w:szCs w:val="24"/>
        </w:rPr>
        <w:t xml:space="preserve">The Young Warriors </w:t>
      </w:r>
      <w:r w:rsidR="00E83FC5" w:rsidRPr="00AE141E">
        <w:rPr>
          <w:rFonts w:ascii="Times New Roman" w:hAnsi="Times New Roman" w:cs="Times New Roman"/>
          <w:sz w:val="24"/>
          <w:szCs w:val="24"/>
        </w:rPr>
        <w:t xml:space="preserve">and Phyllis M. Cousins’ </w:t>
      </w:r>
      <w:r w:rsidR="00E83FC5" w:rsidRPr="00AE141E">
        <w:rPr>
          <w:rFonts w:ascii="Times New Roman" w:hAnsi="Times New Roman" w:cs="Times New Roman"/>
          <w:i/>
          <w:sz w:val="24"/>
          <w:szCs w:val="24"/>
        </w:rPr>
        <w:t>Queen of the Mountain</w:t>
      </w:r>
      <w:r w:rsidR="00E83FC5" w:rsidRPr="00AE141E">
        <w:rPr>
          <w:rFonts w:ascii="Times New Roman" w:hAnsi="Times New Roman" w:cs="Times New Roman"/>
          <w:sz w:val="24"/>
          <w:szCs w:val="24"/>
        </w:rPr>
        <w:t>, both of which</w:t>
      </w:r>
      <w:r w:rsidR="007D64C4" w:rsidRPr="00AE141E">
        <w:rPr>
          <w:rFonts w:ascii="Times New Roman" w:hAnsi="Times New Roman" w:cs="Times New Roman"/>
          <w:sz w:val="24"/>
          <w:szCs w:val="24"/>
        </w:rPr>
        <w:t xml:space="preserve">, as we have seen, featured prominently on Supplementary School reading lists. </w:t>
      </w:r>
      <w:r w:rsidR="006D470B" w:rsidRPr="00AE141E">
        <w:rPr>
          <w:rFonts w:ascii="Times New Roman" w:hAnsi="Times New Roman" w:cs="Times New Roman"/>
          <w:sz w:val="24"/>
          <w:szCs w:val="24"/>
        </w:rPr>
        <w:t xml:space="preserve">The 1984 text </w:t>
      </w:r>
      <w:r w:rsidR="006D470B" w:rsidRPr="00AE141E">
        <w:rPr>
          <w:rFonts w:ascii="Times New Roman" w:hAnsi="Times New Roman" w:cs="Times New Roman"/>
          <w:i/>
          <w:sz w:val="24"/>
          <w:szCs w:val="24"/>
        </w:rPr>
        <w:t>Curriculum Opportunities in a Multicultural Society</w:t>
      </w:r>
      <w:r w:rsidR="006D470B" w:rsidRPr="00AE141E">
        <w:rPr>
          <w:rFonts w:ascii="Times New Roman" w:hAnsi="Times New Roman" w:cs="Times New Roman"/>
          <w:sz w:val="24"/>
          <w:szCs w:val="24"/>
        </w:rPr>
        <w:t xml:space="preserve"> </w:t>
      </w:r>
      <w:r w:rsidR="0027616F" w:rsidRPr="00AE141E">
        <w:rPr>
          <w:rFonts w:ascii="Times New Roman" w:hAnsi="Times New Roman" w:cs="Times New Roman"/>
          <w:sz w:val="24"/>
          <w:szCs w:val="24"/>
        </w:rPr>
        <w:t xml:space="preserve">likewise </w:t>
      </w:r>
      <w:r w:rsidR="006D470B" w:rsidRPr="00AE141E">
        <w:rPr>
          <w:rFonts w:ascii="Times New Roman" w:hAnsi="Times New Roman" w:cs="Times New Roman"/>
          <w:sz w:val="24"/>
          <w:szCs w:val="24"/>
        </w:rPr>
        <w:t>advised history teachers to draw upon the materials published by ‘teachers from Africa, Asia and the Caribbean’</w:t>
      </w:r>
      <w:r w:rsidR="0027616F" w:rsidRPr="00AE141E">
        <w:rPr>
          <w:rFonts w:ascii="Times New Roman" w:hAnsi="Times New Roman" w:cs="Times New Roman"/>
          <w:sz w:val="24"/>
          <w:szCs w:val="24"/>
        </w:rPr>
        <w:t>.</w:t>
      </w:r>
      <w:r w:rsidR="007D64C4" w:rsidRPr="00AE141E">
        <w:rPr>
          <w:rStyle w:val="FootnoteReference"/>
          <w:rFonts w:ascii="Times New Roman" w:hAnsi="Times New Roman" w:cs="Times New Roman"/>
          <w:sz w:val="24"/>
          <w:szCs w:val="24"/>
        </w:rPr>
        <w:footnoteReference w:id="541"/>
      </w:r>
      <w:r w:rsidR="001350B8">
        <w:rPr>
          <w:rFonts w:ascii="Times New Roman" w:hAnsi="Times New Roman" w:cs="Times New Roman"/>
          <w:sz w:val="24"/>
          <w:szCs w:val="24"/>
        </w:rPr>
        <w:t xml:space="preserve"> </w:t>
      </w:r>
      <w:r w:rsidR="006D470B" w:rsidRPr="00AE141E">
        <w:rPr>
          <w:rFonts w:ascii="Times New Roman" w:hAnsi="Times New Roman" w:cs="Times New Roman"/>
          <w:sz w:val="24"/>
          <w:szCs w:val="24"/>
        </w:rPr>
        <w:t xml:space="preserve">Nevertheless, Thorburn’s account </w:t>
      </w:r>
      <w:r w:rsidR="002A76FB" w:rsidRPr="00AE141E">
        <w:rPr>
          <w:rFonts w:ascii="Times New Roman" w:hAnsi="Times New Roman" w:cs="Times New Roman"/>
          <w:sz w:val="24"/>
          <w:szCs w:val="24"/>
        </w:rPr>
        <w:t>was</w:t>
      </w:r>
      <w:r w:rsidR="006D470B" w:rsidRPr="00AE141E">
        <w:rPr>
          <w:rFonts w:ascii="Times New Roman" w:hAnsi="Times New Roman" w:cs="Times New Roman"/>
          <w:sz w:val="24"/>
          <w:szCs w:val="24"/>
        </w:rPr>
        <w:t xml:space="preserve"> not entirely encouraging. He identified the ‘ILEA World History Packs’ as the most substantial resource available for the lower secondary level, which was more poorly served by new materials than the higher age groups.</w:t>
      </w:r>
      <w:r w:rsidR="002418C3" w:rsidRPr="00AE141E">
        <w:rPr>
          <w:rStyle w:val="FootnoteReference"/>
          <w:rFonts w:ascii="Times New Roman" w:hAnsi="Times New Roman" w:cs="Times New Roman"/>
          <w:sz w:val="24"/>
          <w:szCs w:val="24"/>
        </w:rPr>
        <w:footnoteReference w:id="542"/>
      </w:r>
      <w:r w:rsidR="006D470B" w:rsidRPr="00AE141E">
        <w:rPr>
          <w:rFonts w:ascii="Times New Roman" w:hAnsi="Times New Roman" w:cs="Times New Roman"/>
          <w:sz w:val="24"/>
          <w:szCs w:val="24"/>
        </w:rPr>
        <w:t xml:space="preserve"> As</w:t>
      </w:r>
      <w:r w:rsidR="002A76FB" w:rsidRPr="00AE141E">
        <w:rPr>
          <w:rFonts w:ascii="Times New Roman" w:hAnsi="Times New Roman" w:cs="Times New Roman"/>
          <w:sz w:val="24"/>
          <w:szCs w:val="24"/>
        </w:rPr>
        <w:t xml:space="preserve"> argued in Chapter 2</w:t>
      </w:r>
      <w:r w:rsidR="006D470B" w:rsidRPr="00AE141E">
        <w:rPr>
          <w:rFonts w:ascii="Times New Roman" w:hAnsi="Times New Roman" w:cs="Times New Roman"/>
          <w:sz w:val="24"/>
          <w:szCs w:val="24"/>
        </w:rPr>
        <w:t xml:space="preserve">, the ILEA’s World History Curriculum Project was conceived as a trailblazer in multicultural educational practice, but would nevertheless have failed many of the tests set by the WCC and outlined above. </w:t>
      </w:r>
    </w:p>
    <w:p w14:paraId="63CA9AD8" w14:textId="022A0268" w:rsidR="00746F55" w:rsidRPr="00AE141E" w:rsidRDefault="002D6AF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w:t>
      </w:r>
      <w:r w:rsidR="00AB794E" w:rsidRPr="00AE141E">
        <w:rPr>
          <w:rFonts w:ascii="Times New Roman" w:hAnsi="Times New Roman" w:cs="Times New Roman"/>
          <w:sz w:val="24"/>
          <w:szCs w:val="24"/>
        </w:rPr>
        <w:t xml:space="preserve"> 198</w:t>
      </w:r>
      <w:r w:rsidRPr="00AE141E">
        <w:rPr>
          <w:rFonts w:ascii="Times New Roman" w:hAnsi="Times New Roman" w:cs="Times New Roman"/>
          <w:sz w:val="24"/>
          <w:szCs w:val="24"/>
        </w:rPr>
        <w:t xml:space="preserve">1, a </w:t>
      </w:r>
      <w:r w:rsidR="00AB794E" w:rsidRPr="00AE141E">
        <w:rPr>
          <w:rFonts w:ascii="Times New Roman" w:hAnsi="Times New Roman" w:cs="Times New Roman"/>
          <w:sz w:val="24"/>
          <w:szCs w:val="24"/>
        </w:rPr>
        <w:t xml:space="preserve">Schools Council investigation </w:t>
      </w:r>
      <w:r w:rsidRPr="00AE141E">
        <w:rPr>
          <w:rFonts w:ascii="Times New Roman" w:hAnsi="Times New Roman" w:cs="Times New Roman"/>
          <w:sz w:val="24"/>
          <w:szCs w:val="24"/>
        </w:rPr>
        <w:t xml:space="preserve">reported on </w:t>
      </w:r>
      <w:r w:rsidR="00262278" w:rsidRPr="00AE141E">
        <w:rPr>
          <w:rFonts w:ascii="Times New Roman" w:hAnsi="Times New Roman" w:cs="Times New Roman"/>
          <w:sz w:val="24"/>
          <w:szCs w:val="24"/>
        </w:rPr>
        <w:t xml:space="preserve">recent curricular change in a </w:t>
      </w:r>
      <w:r w:rsidR="00122506" w:rsidRPr="00AE141E">
        <w:rPr>
          <w:rFonts w:ascii="Times New Roman" w:hAnsi="Times New Roman" w:cs="Times New Roman"/>
          <w:sz w:val="24"/>
          <w:szCs w:val="24"/>
        </w:rPr>
        <w:t xml:space="preserve">multiracial comprehensive school. </w:t>
      </w:r>
      <w:r w:rsidR="00A60DF0" w:rsidRPr="00AE141E">
        <w:rPr>
          <w:rFonts w:ascii="Times New Roman" w:hAnsi="Times New Roman" w:cs="Times New Roman"/>
          <w:sz w:val="24"/>
          <w:szCs w:val="24"/>
        </w:rPr>
        <w:t xml:space="preserve">History </w:t>
      </w:r>
      <w:r w:rsidR="00273771" w:rsidRPr="00AE141E">
        <w:rPr>
          <w:rFonts w:ascii="Times New Roman" w:hAnsi="Times New Roman" w:cs="Times New Roman"/>
          <w:sz w:val="24"/>
          <w:szCs w:val="24"/>
        </w:rPr>
        <w:t xml:space="preserve">represented a single unit within an </w:t>
      </w:r>
      <w:r w:rsidR="003644E1">
        <w:rPr>
          <w:rFonts w:ascii="Times New Roman" w:hAnsi="Times New Roman" w:cs="Times New Roman"/>
          <w:sz w:val="24"/>
          <w:szCs w:val="24"/>
        </w:rPr>
        <w:t>‘I</w:t>
      </w:r>
      <w:r w:rsidR="00273771" w:rsidRPr="00AE141E">
        <w:rPr>
          <w:rFonts w:ascii="Times New Roman" w:hAnsi="Times New Roman" w:cs="Times New Roman"/>
          <w:sz w:val="24"/>
          <w:szCs w:val="24"/>
        </w:rPr>
        <w:t xml:space="preserve">ntegrated </w:t>
      </w:r>
      <w:r w:rsidR="003644E1">
        <w:rPr>
          <w:rFonts w:ascii="Times New Roman" w:hAnsi="Times New Roman" w:cs="Times New Roman"/>
          <w:sz w:val="24"/>
          <w:szCs w:val="24"/>
        </w:rPr>
        <w:t>H</w:t>
      </w:r>
      <w:r w:rsidR="00273771" w:rsidRPr="00AE141E">
        <w:rPr>
          <w:rFonts w:ascii="Times New Roman" w:hAnsi="Times New Roman" w:cs="Times New Roman"/>
          <w:sz w:val="24"/>
          <w:szCs w:val="24"/>
        </w:rPr>
        <w:t>umanities</w:t>
      </w:r>
      <w:r w:rsidR="003644E1">
        <w:rPr>
          <w:rFonts w:ascii="Times New Roman" w:hAnsi="Times New Roman" w:cs="Times New Roman"/>
          <w:sz w:val="24"/>
          <w:szCs w:val="24"/>
        </w:rPr>
        <w:t>’</w:t>
      </w:r>
      <w:r w:rsidR="00273771" w:rsidRPr="00AE141E">
        <w:rPr>
          <w:rFonts w:ascii="Times New Roman" w:hAnsi="Times New Roman" w:cs="Times New Roman"/>
          <w:sz w:val="24"/>
          <w:szCs w:val="24"/>
        </w:rPr>
        <w:t xml:space="preserve"> course delivered to students </w:t>
      </w:r>
      <w:r w:rsidR="00897CBE" w:rsidRPr="00AE141E">
        <w:rPr>
          <w:rFonts w:ascii="Times New Roman" w:hAnsi="Times New Roman" w:cs="Times New Roman"/>
          <w:sz w:val="24"/>
          <w:szCs w:val="24"/>
        </w:rPr>
        <w:t xml:space="preserve">in </w:t>
      </w:r>
      <w:r w:rsidR="002B0879" w:rsidRPr="00AE141E">
        <w:rPr>
          <w:rFonts w:ascii="Times New Roman" w:hAnsi="Times New Roman" w:cs="Times New Roman"/>
          <w:sz w:val="24"/>
          <w:szCs w:val="24"/>
        </w:rPr>
        <w:t xml:space="preserve">their second year of </w:t>
      </w:r>
      <w:r w:rsidR="00273771" w:rsidRPr="00AE141E">
        <w:rPr>
          <w:rFonts w:ascii="Times New Roman" w:hAnsi="Times New Roman" w:cs="Times New Roman"/>
          <w:sz w:val="24"/>
          <w:szCs w:val="24"/>
        </w:rPr>
        <w:t xml:space="preserve">secondary education. The </w:t>
      </w:r>
      <w:r w:rsidR="00556128" w:rsidRPr="00AE141E">
        <w:rPr>
          <w:rFonts w:ascii="Times New Roman" w:hAnsi="Times New Roman" w:cs="Times New Roman"/>
          <w:sz w:val="24"/>
          <w:szCs w:val="24"/>
        </w:rPr>
        <w:t>unit focused on west Afric</w:t>
      </w:r>
      <w:r w:rsidR="0080614A" w:rsidRPr="00AE141E">
        <w:rPr>
          <w:rFonts w:ascii="Times New Roman" w:hAnsi="Times New Roman" w:cs="Times New Roman"/>
          <w:sz w:val="24"/>
          <w:szCs w:val="24"/>
        </w:rPr>
        <w:t>a</w:t>
      </w:r>
      <w:r w:rsidR="00556128" w:rsidRPr="00AE141E">
        <w:rPr>
          <w:rFonts w:ascii="Times New Roman" w:hAnsi="Times New Roman" w:cs="Times New Roman"/>
          <w:sz w:val="24"/>
          <w:szCs w:val="24"/>
        </w:rPr>
        <w:t>n history</w:t>
      </w:r>
      <w:r w:rsidR="0080614A" w:rsidRPr="00AE141E">
        <w:rPr>
          <w:rFonts w:ascii="Times New Roman" w:hAnsi="Times New Roman" w:cs="Times New Roman"/>
          <w:sz w:val="24"/>
          <w:szCs w:val="24"/>
        </w:rPr>
        <w:t xml:space="preserve">, divided into </w:t>
      </w:r>
      <w:r w:rsidR="00746F55" w:rsidRPr="00AE141E">
        <w:rPr>
          <w:rFonts w:ascii="Times New Roman" w:hAnsi="Times New Roman" w:cs="Times New Roman"/>
          <w:sz w:val="24"/>
          <w:szCs w:val="24"/>
        </w:rPr>
        <w:t>five</w:t>
      </w:r>
      <w:r w:rsidR="0080614A" w:rsidRPr="00AE141E">
        <w:rPr>
          <w:rFonts w:ascii="Times New Roman" w:hAnsi="Times New Roman" w:cs="Times New Roman"/>
          <w:sz w:val="24"/>
          <w:szCs w:val="24"/>
        </w:rPr>
        <w:t xml:space="preserve"> topics: ‘The </w:t>
      </w:r>
      <w:r w:rsidR="00F5666E" w:rsidRPr="00AE141E">
        <w:rPr>
          <w:rFonts w:ascii="Times New Roman" w:hAnsi="Times New Roman" w:cs="Times New Roman"/>
          <w:sz w:val="24"/>
          <w:szCs w:val="24"/>
        </w:rPr>
        <w:t>B</w:t>
      </w:r>
      <w:r w:rsidR="0080614A" w:rsidRPr="00AE141E">
        <w:rPr>
          <w:rFonts w:ascii="Times New Roman" w:hAnsi="Times New Roman" w:cs="Times New Roman"/>
          <w:sz w:val="24"/>
          <w:szCs w:val="24"/>
        </w:rPr>
        <w:t xml:space="preserve">eginnings of </w:t>
      </w:r>
      <w:r w:rsidR="00F5666E" w:rsidRPr="00AE141E">
        <w:rPr>
          <w:rFonts w:ascii="Times New Roman" w:hAnsi="Times New Roman" w:cs="Times New Roman"/>
          <w:sz w:val="24"/>
          <w:szCs w:val="24"/>
        </w:rPr>
        <w:t>C</w:t>
      </w:r>
      <w:r w:rsidR="0080614A" w:rsidRPr="00AE141E">
        <w:rPr>
          <w:rFonts w:ascii="Times New Roman" w:hAnsi="Times New Roman" w:cs="Times New Roman"/>
          <w:sz w:val="24"/>
          <w:szCs w:val="24"/>
        </w:rPr>
        <w:t xml:space="preserve">ivilised </w:t>
      </w:r>
      <w:r w:rsidR="00F5666E" w:rsidRPr="00AE141E">
        <w:rPr>
          <w:rFonts w:ascii="Times New Roman" w:hAnsi="Times New Roman" w:cs="Times New Roman"/>
          <w:sz w:val="24"/>
          <w:szCs w:val="24"/>
        </w:rPr>
        <w:t>L</w:t>
      </w:r>
      <w:r w:rsidR="0080614A" w:rsidRPr="00AE141E">
        <w:rPr>
          <w:rFonts w:ascii="Times New Roman" w:hAnsi="Times New Roman" w:cs="Times New Roman"/>
          <w:sz w:val="24"/>
          <w:szCs w:val="24"/>
        </w:rPr>
        <w:t>ife’; ‘The “Dark Continent”’;</w:t>
      </w:r>
      <w:r w:rsidR="0033599E" w:rsidRPr="00AE141E">
        <w:rPr>
          <w:rFonts w:ascii="Times New Roman" w:hAnsi="Times New Roman" w:cs="Times New Roman"/>
          <w:sz w:val="24"/>
          <w:szCs w:val="24"/>
        </w:rPr>
        <w:t xml:space="preserve"> ‘</w:t>
      </w:r>
      <w:r w:rsidR="0080614A" w:rsidRPr="00AE141E">
        <w:rPr>
          <w:rFonts w:ascii="Times New Roman" w:hAnsi="Times New Roman" w:cs="Times New Roman"/>
          <w:sz w:val="24"/>
          <w:szCs w:val="24"/>
        </w:rPr>
        <w:t>The Slave Trade</w:t>
      </w:r>
      <w:r w:rsidR="0033599E" w:rsidRPr="00AE141E">
        <w:rPr>
          <w:rFonts w:ascii="Times New Roman" w:hAnsi="Times New Roman" w:cs="Times New Roman"/>
          <w:sz w:val="24"/>
          <w:szCs w:val="24"/>
        </w:rPr>
        <w:t>’; ‘</w:t>
      </w:r>
      <w:r w:rsidR="0080614A" w:rsidRPr="00AE141E">
        <w:rPr>
          <w:rFonts w:ascii="Times New Roman" w:hAnsi="Times New Roman" w:cs="Times New Roman"/>
          <w:sz w:val="24"/>
          <w:szCs w:val="24"/>
        </w:rPr>
        <w:t xml:space="preserve">The </w:t>
      </w:r>
      <w:r w:rsidR="0033599E" w:rsidRPr="00AE141E">
        <w:rPr>
          <w:rFonts w:ascii="Times New Roman" w:hAnsi="Times New Roman" w:cs="Times New Roman"/>
          <w:sz w:val="24"/>
          <w:szCs w:val="24"/>
        </w:rPr>
        <w:t>e</w:t>
      </w:r>
      <w:r w:rsidR="0080614A" w:rsidRPr="00AE141E">
        <w:rPr>
          <w:rFonts w:ascii="Times New Roman" w:hAnsi="Times New Roman" w:cs="Times New Roman"/>
          <w:sz w:val="24"/>
          <w:szCs w:val="24"/>
        </w:rPr>
        <w:t>xplorers and missionaries</w:t>
      </w:r>
      <w:r w:rsidR="0033599E" w:rsidRPr="00AE141E">
        <w:rPr>
          <w:rFonts w:ascii="Times New Roman" w:hAnsi="Times New Roman" w:cs="Times New Roman"/>
          <w:sz w:val="24"/>
          <w:szCs w:val="24"/>
        </w:rPr>
        <w:t>’; and ‘</w:t>
      </w:r>
      <w:r w:rsidR="0080614A" w:rsidRPr="00AE141E">
        <w:rPr>
          <w:rFonts w:ascii="Times New Roman" w:hAnsi="Times New Roman" w:cs="Times New Roman"/>
          <w:sz w:val="24"/>
          <w:szCs w:val="24"/>
        </w:rPr>
        <w:t>The British in West Africa</w:t>
      </w:r>
      <w:r w:rsidR="0033599E" w:rsidRPr="00AE141E">
        <w:rPr>
          <w:rFonts w:ascii="Times New Roman" w:hAnsi="Times New Roman" w:cs="Times New Roman"/>
          <w:sz w:val="24"/>
          <w:szCs w:val="24"/>
        </w:rPr>
        <w:t>’.</w:t>
      </w:r>
      <w:r w:rsidR="002418C3" w:rsidRPr="00AE141E">
        <w:rPr>
          <w:rStyle w:val="FootnoteReference"/>
          <w:rFonts w:ascii="Times New Roman" w:hAnsi="Times New Roman" w:cs="Times New Roman"/>
          <w:sz w:val="24"/>
          <w:szCs w:val="24"/>
        </w:rPr>
        <w:footnoteReference w:id="543"/>
      </w:r>
      <w:r w:rsidR="0033599E" w:rsidRPr="00AE141E">
        <w:rPr>
          <w:rFonts w:ascii="Times New Roman" w:hAnsi="Times New Roman" w:cs="Times New Roman"/>
          <w:sz w:val="24"/>
          <w:szCs w:val="24"/>
        </w:rPr>
        <w:t xml:space="preserve"> The unit was conceived as </w:t>
      </w:r>
      <w:r w:rsidR="00772B72" w:rsidRPr="00AE141E">
        <w:rPr>
          <w:rFonts w:ascii="Times New Roman" w:hAnsi="Times New Roman" w:cs="Times New Roman"/>
          <w:sz w:val="24"/>
          <w:szCs w:val="24"/>
        </w:rPr>
        <w:t>‘</w:t>
      </w:r>
      <w:r w:rsidR="0033599E" w:rsidRPr="00AE141E">
        <w:rPr>
          <w:rFonts w:ascii="Times New Roman" w:hAnsi="Times New Roman" w:cs="Times New Roman"/>
          <w:sz w:val="24"/>
          <w:szCs w:val="24"/>
        </w:rPr>
        <w:t xml:space="preserve">an </w:t>
      </w:r>
      <w:r w:rsidR="0080614A" w:rsidRPr="00AE141E">
        <w:rPr>
          <w:rFonts w:ascii="Times New Roman" w:hAnsi="Times New Roman" w:cs="Times New Roman"/>
          <w:sz w:val="24"/>
          <w:szCs w:val="24"/>
        </w:rPr>
        <w:t>attempt</w:t>
      </w:r>
      <w:r w:rsidR="0033599E" w:rsidRPr="00AE141E">
        <w:rPr>
          <w:rFonts w:ascii="Times New Roman" w:hAnsi="Times New Roman" w:cs="Times New Roman"/>
          <w:sz w:val="24"/>
          <w:szCs w:val="24"/>
        </w:rPr>
        <w:t xml:space="preserve"> </w:t>
      </w:r>
      <w:r w:rsidR="0080614A" w:rsidRPr="00AE141E">
        <w:rPr>
          <w:rFonts w:ascii="Times New Roman" w:hAnsi="Times New Roman" w:cs="Times New Roman"/>
          <w:sz w:val="24"/>
          <w:szCs w:val="24"/>
        </w:rPr>
        <w:t>to place the traditional Eurocentric elements of slavery and explorers within an African perspective</w:t>
      </w:r>
      <w:r w:rsidR="00772B72" w:rsidRPr="00AE141E">
        <w:rPr>
          <w:rFonts w:ascii="Times New Roman" w:hAnsi="Times New Roman" w:cs="Times New Roman"/>
          <w:sz w:val="24"/>
          <w:szCs w:val="24"/>
        </w:rPr>
        <w:t xml:space="preserve">’. The Schools Council </w:t>
      </w:r>
      <w:r w:rsidR="00EA4434" w:rsidRPr="00AE141E">
        <w:rPr>
          <w:rFonts w:ascii="Times New Roman" w:hAnsi="Times New Roman" w:cs="Times New Roman"/>
          <w:sz w:val="24"/>
          <w:szCs w:val="24"/>
        </w:rPr>
        <w:t xml:space="preserve">were critical of the degree to which these aims </w:t>
      </w:r>
      <w:r w:rsidR="00D04614" w:rsidRPr="00AE141E">
        <w:rPr>
          <w:rFonts w:ascii="Times New Roman" w:hAnsi="Times New Roman" w:cs="Times New Roman"/>
          <w:sz w:val="24"/>
          <w:szCs w:val="24"/>
        </w:rPr>
        <w:t>were</w:t>
      </w:r>
      <w:r w:rsidR="00EA4434" w:rsidRPr="00AE141E">
        <w:rPr>
          <w:rFonts w:ascii="Times New Roman" w:hAnsi="Times New Roman" w:cs="Times New Roman"/>
          <w:sz w:val="24"/>
          <w:szCs w:val="24"/>
        </w:rPr>
        <w:t xml:space="preserve"> met</w:t>
      </w:r>
      <w:r w:rsidR="006439C5" w:rsidRPr="00AE141E">
        <w:rPr>
          <w:rFonts w:ascii="Times New Roman" w:hAnsi="Times New Roman" w:cs="Times New Roman"/>
          <w:sz w:val="24"/>
          <w:szCs w:val="24"/>
        </w:rPr>
        <w:t xml:space="preserve">. </w:t>
      </w:r>
      <w:r w:rsidR="00746F55" w:rsidRPr="00AE141E">
        <w:rPr>
          <w:rFonts w:ascii="Times New Roman" w:hAnsi="Times New Roman" w:cs="Times New Roman"/>
          <w:sz w:val="24"/>
          <w:szCs w:val="24"/>
        </w:rPr>
        <w:t xml:space="preserve">Teachers running the course found that they were forced to allot a </w:t>
      </w:r>
      <w:r w:rsidR="0054128B" w:rsidRPr="00AE141E">
        <w:rPr>
          <w:rFonts w:ascii="Times New Roman" w:hAnsi="Times New Roman" w:cs="Times New Roman"/>
          <w:sz w:val="24"/>
          <w:szCs w:val="24"/>
        </w:rPr>
        <w:t>‘</w:t>
      </w:r>
      <w:r w:rsidR="00746F55" w:rsidRPr="00AE141E">
        <w:rPr>
          <w:rFonts w:ascii="Times New Roman" w:hAnsi="Times New Roman" w:cs="Times New Roman"/>
          <w:sz w:val="24"/>
          <w:szCs w:val="24"/>
        </w:rPr>
        <w:t>disproportionate amount of time</w:t>
      </w:r>
      <w:r w:rsidR="0054128B" w:rsidRPr="00AE141E">
        <w:rPr>
          <w:rFonts w:ascii="Times New Roman" w:hAnsi="Times New Roman" w:cs="Times New Roman"/>
          <w:sz w:val="24"/>
          <w:szCs w:val="24"/>
        </w:rPr>
        <w:t>’ to the third and fourth sections (‘The Slave Trade’ and ‘The explorers and missionaries’) in part due to the greater availability of</w:t>
      </w:r>
      <w:r w:rsidR="00746F55" w:rsidRPr="00AE141E">
        <w:rPr>
          <w:rFonts w:ascii="Times New Roman" w:hAnsi="Times New Roman" w:cs="Times New Roman"/>
          <w:sz w:val="24"/>
          <w:szCs w:val="24"/>
        </w:rPr>
        <w:t xml:space="preserve"> material covering those </w:t>
      </w:r>
      <w:r w:rsidR="00BC1669" w:rsidRPr="00AE141E">
        <w:rPr>
          <w:rFonts w:ascii="Times New Roman" w:hAnsi="Times New Roman" w:cs="Times New Roman"/>
          <w:sz w:val="24"/>
          <w:szCs w:val="24"/>
        </w:rPr>
        <w:t>topics.</w:t>
      </w:r>
      <w:r w:rsidR="000E10DA" w:rsidRPr="00AE141E">
        <w:rPr>
          <w:rFonts w:ascii="Times New Roman" w:hAnsi="Times New Roman" w:cs="Times New Roman"/>
          <w:sz w:val="24"/>
          <w:szCs w:val="24"/>
        </w:rPr>
        <w:t xml:space="preserve"> </w:t>
      </w:r>
      <w:r w:rsidR="00D04DAA" w:rsidRPr="00AE141E">
        <w:rPr>
          <w:rFonts w:ascii="Times New Roman" w:hAnsi="Times New Roman" w:cs="Times New Roman"/>
          <w:sz w:val="24"/>
          <w:szCs w:val="24"/>
        </w:rPr>
        <w:t xml:space="preserve">The teachers seem to have attributed the </w:t>
      </w:r>
      <w:r w:rsidR="00D04DAA" w:rsidRPr="00AE141E">
        <w:rPr>
          <w:rFonts w:ascii="Times New Roman" w:hAnsi="Times New Roman" w:cs="Times New Roman"/>
          <w:sz w:val="24"/>
          <w:szCs w:val="24"/>
        </w:rPr>
        <w:lastRenderedPageBreak/>
        <w:t>enduring Eurocentrism of the</w:t>
      </w:r>
      <w:r w:rsidR="009067C4" w:rsidRPr="00AE141E">
        <w:rPr>
          <w:rFonts w:ascii="Times New Roman" w:hAnsi="Times New Roman" w:cs="Times New Roman"/>
          <w:sz w:val="24"/>
          <w:szCs w:val="24"/>
        </w:rPr>
        <w:t xml:space="preserve">ir curriculum to </w:t>
      </w:r>
      <w:r w:rsidR="00592650" w:rsidRPr="00AE141E">
        <w:rPr>
          <w:rFonts w:ascii="Times New Roman" w:hAnsi="Times New Roman" w:cs="Times New Roman"/>
          <w:sz w:val="24"/>
          <w:szCs w:val="24"/>
        </w:rPr>
        <w:t>such resource</w:t>
      </w:r>
      <w:r w:rsidR="000E10DA" w:rsidRPr="00AE141E">
        <w:rPr>
          <w:rFonts w:ascii="Times New Roman" w:hAnsi="Times New Roman" w:cs="Times New Roman"/>
          <w:sz w:val="24"/>
          <w:szCs w:val="24"/>
        </w:rPr>
        <w:t xml:space="preserve"> </w:t>
      </w:r>
      <w:r w:rsidR="00592650" w:rsidRPr="00AE141E">
        <w:rPr>
          <w:rFonts w:ascii="Times New Roman" w:hAnsi="Times New Roman" w:cs="Times New Roman"/>
          <w:sz w:val="24"/>
          <w:szCs w:val="24"/>
        </w:rPr>
        <w:t>constraints</w:t>
      </w:r>
      <w:r w:rsidR="000E10DA" w:rsidRPr="00AE141E">
        <w:rPr>
          <w:rFonts w:ascii="Times New Roman" w:hAnsi="Times New Roman" w:cs="Times New Roman"/>
          <w:sz w:val="24"/>
          <w:szCs w:val="24"/>
        </w:rPr>
        <w:t xml:space="preserve"> – </w:t>
      </w:r>
      <w:r w:rsidR="00634FF2" w:rsidRPr="00AE141E">
        <w:rPr>
          <w:rFonts w:ascii="Times New Roman" w:hAnsi="Times New Roman" w:cs="Times New Roman"/>
          <w:sz w:val="24"/>
          <w:szCs w:val="24"/>
        </w:rPr>
        <w:t>the</w:t>
      </w:r>
      <w:r w:rsidR="000E10DA" w:rsidRPr="00AE141E">
        <w:rPr>
          <w:rFonts w:ascii="Times New Roman" w:hAnsi="Times New Roman" w:cs="Times New Roman"/>
          <w:sz w:val="24"/>
          <w:szCs w:val="24"/>
        </w:rPr>
        <w:t xml:space="preserve"> </w:t>
      </w:r>
      <w:r w:rsidR="00592650" w:rsidRPr="00AE141E">
        <w:rPr>
          <w:rFonts w:ascii="Times New Roman" w:hAnsi="Times New Roman" w:cs="Times New Roman"/>
          <w:sz w:val="24"/>
          <w:szCs w:val="24"/>
        </w:rPr>
        <w:t>majority</w:t>
      </w:r>
      <w:r w:rsidR="000E10DA" w:rsidRPr="00AE141E">
        <w:rPr>
          <w:rFonts w:ascii="Times New Roman" w:hAnsi="Times New Roman" w:cs="Times New Roman"/>
          <w:sz w:val="24"/>
          <w:szCs w:val="24"/>
        </w:rPr>
        <w:t xml:space="preserve"> </w:t>
      </w:r>
      <w:r w:rsidR="00592650" w:rsidRPr="00AE141E">
        <w:rPr>
          <w:rFonts w:ascii="Times New Roman" w:hAnsi="Times New Roman" w:cs="Times New Roman"/>
          <w:sz w:val="24"/>
          <w:szCs w:val="24"/>
        </w:rPr>
        <w:t xml:space="preserve">of </w:t>
      </w:r>
      <w:r w:rsidR="00A7678B" w:rsidRPr="00AE141E">
        <w:rPr>
          <w:rFonts w:ascii="Times New Roman" w:hAnsi="Times New Roman" w:cs="Times New Roman"/>
          <w:sz w:val="24"/>
          <w:szCs w:val="24"/>
        </w:rPr>
        <w:t>materials apparently adopted a ‘traditional’</w:t>
      </w:r>
      <w:r w:rsidR="006D0AC0" w:rsidRPr="00AE141E">
        <w:rPr>
          <w:rFonts w:ascii="Times New Roman" w:hAnsi="Times New Roman" w:cs="Times New Roman"/>
          <w:sz w:val="24"/>
          <w:szCs w:val="24"/>
        </w:rPr>
        <w:t xml:space="preserve"> (White, European) narrative standpoint.</w:t>
      </w:r>
      <w:r w:rsidR="00A0301C" w:rsidRPr="00AE141E">
        <w:rPr>
          <w:rFonts w:ascii="Times New Roman" w:hAnsi="Times New Roman" w:cs="Times New Roman"/>
          <w:sz w:val="24"/>
          <w:szCs w:val="24"/>
        </w:rPr>
        <w:t xml:space="preserve"> </w:t>
      </w:r>
    </w:p>
    <w:p w14:paraId="0C92E50D" w14:textId="464B9F94" w:rsidR="00930B93" w:rsidRPr="00AE141E" w:rsidRDefault="00DF3D8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Teachers </w:t>
      </w:r>
      <w:r w:rsidR="00DC33E5" w:rsidRPr="00AE141E">
        <w:rPr>
          <w:rFonts w:ascii="Times New Roman" w:hAnsi="Times New Roman" w:cs="Times New Roman"/>
          <w:sz w:val="24"/>
          <w:szCs w:val="24"/>
        </w:rPr>
        <w:t xml:space="preserve">sometimes </w:t>
      </w:r>
      <w:r w:rsidRPr="00AE141E">
        <w:rPr>
          <w:rFonts w:ascii="Times New Roman" w:hAnsi="Times New Roman" w:cs="Times New Roman"/>
          <w:sz w:val="24"/>
          <w:szCs w:val="24"/>
        </w:rPr>
        <w:t xml:space="preserve">responded to </w:t>
      </w:r>
      <w:r w:rsidR="00DC33E5" w:rsidRPr="00AE141E">
        <w:rPr>
          <w:rFonts w:ascii="Times New Roman" w:hAnsi="Times New Roman" w:cs="Times New Roman"/>
          <w:sz w:val="24"/>
          <w:szCs w:val="24"/>
        </w:rPr>
        <w:t xml:space="preserve">resource constraints by authoring their own materials. </w:t>
      </w:r>
      <w:r w:rsidR="009875B6" w:rsidRPr="00AE141E">
        <w:rPr>
          <w:rFonts w:ascii="Times New Roman" w:hAnsi="Times New Roman" w:cs="Times New Roman"/>
          <w:sz w:val="24"/>
          <w:szCs w:val="24"/>
        </w:rPr>
        <w:t xml:space="preserve">As </w:t>
      </w:r>
      <w:r w:rsidR="00CB2F51" w:rsidRPr="00AE141E">
        <w:rPr>
          <w:rFonts w:ascii="Times New Roman" w:hAnsi="Times New Roman" w:cs="Times New Roman"/>
          <w:sz w:val="24"/>
          <w:szCs w:val="24"/>
        </w:rPr>
        <w:t xml:space="preserve">the availability and sophistication of </w:t>
      </w:r>
      <w:r w:rsidR="009875B6" w:rsidRPr="00AE141E">
        <w:rPr>
          <w:rFonts w:ascii="Times New Roman" w:hAnsi="Times New Roman" w:cs="Times New Roman"/>
          <w:sz w:val="24"/>
          <w:szCs w:val="24"/>
        </w:rPr>
        <w:t xml:space="preserve">reprographic technologies </w:t>
      </w:r>
      <w:r w:rsidR="00CB2F51" w:rsidRPr="00AE141E">
        <w:rPr>
          <w:rFonts w:ascii="Times New Roman" w:hAnsi="Times New Roman" w:cs="Times New Roman"/>
          <w:sz w:val="24"/>
          <w:szCs w:val="24"/>
        </w:rPr>
        <w:t xml:space="preserve">increased, the ‘home-brewed textbook’ </w:t>
      </w:r>
      <w:r w:rsidR="00EF35F9" w:rsidRPr="00AE141E">
        <w:rPr>
          <w:rFonts w:ascii="Times New Roman" w:hAnsi="Times New Roman" w:cs="Times New Roman"/>
          <w:sz w:val="24"/>
          <w:szCs w:val="24"/>
        </w:rPr>
        <w:t>was made available as a</w:t>
      </w:r>
      <w:r w:rsidR="00B72D2D" w:rsidRPr="00AE141E">
        <w:rPr>
          <w:rFonts w:ascii="Times New Roman" w:hAnsi="Times New Roman" w:cs="Times New Roman"/>
          <w:sz w:val="24"/>
          <w:szCs w:val="24"/>
        </w:rPr>
        <w:t xml:space="preserve"> </w:t>
      </w:r>
      <w:r w:rsidR="00DE5888" w:rsidRPr="00AE141E">
        <w:rPr>
          <w:rFonts w:ascii="Times New Roman" w:hAnsi="Times New Roman" w:cs="Times New Roman"/>
          <w:sz w:val="24"/>
          <w:szCs w:val="24"/>
        </w:rPr>
        <w:t xml:space="preserve">means </w:t>
      </w:r>
      <w:r w:rsidR="00BE7869" w:rsidRPr="00AE141E">
        <w:rPr>
          <w:rFonts w:ascii="Times New Roman" w:hAnsi="Times New Roman" w:cs="Times New Roman"/>
          <w:sz w:val="24"/>
          <w:szCs w:val="24"/>
        </w:rPr>
        <w:t xml:space="preserve">by which </w:t>
      </w:r>
      <w:r w:rsidR="00AF75AF" w:rsidRPr="00AE141E">
        <w:rPr>
          <w:rFonts w:ascii="Times New Roman" w:hAnsi="Times New Roman" w:cs="Times New Roman"/>
          <w:sz w:val="24"/>
          <w:szCs w:val="24"/>
        </w:rPr>
        <w:t>the ‘</w:t>
      </w:r>
      <w:r w:rsidR="00EF35F9" w:rsidRPr="00AE141E">
        <w:rPr>
          <w:rFonts w:ascii="Times New Roman" w:hAnsi="Times New Roman" w:cs="Times New Roman"/>
          <w:sz w:val="24"/>
          <w:szCs w:val="24"/>
        </w:rPr>
        <w:t>gaps left by the professiona</w:t>
      </w:r>
      <w:r w:rsidR="00BE7869" w:rsidRPr="00AE141E">
        <w:rPr>
          <w:rFonts w:ascii="Times New Roman" w:hAnsi="Times New Roman" w:cs="Times New Roman"/>
          <w:sz w:val="24"/>
          <w:szCs w:val="24"/>
        </w:rPr>
        <w:t>ls’ could be filled.</w:t>
      </w:r>
      <w:r w:rsidR="002B6173" w:rsidRPr="00AE141E">
        <w:rPr>
          <w:rStyle w:val="FootnoteReference"/>
          <w:rFonts w:ascii="Times New Roman" w:hAnsi="Times New Roman" w:cs="Times New Roman"/>
          <w:sz w:val="24"/>
          <w:szCs w:val="24"/>
        </w:rPr>
        <w:footnoteReference w:id="544"/>
      </w:r>
      <w:r w:rsidR="00BE7869" w:rsidRPr="00AE141E">
        <w:rPr>
          <w:rFonts w:ascii="Times New Roman" w:hAnsi="Times New Roman" w:cs="Times New Roman"/>
          <w:sz w:val="24"/>
          <w:szCs w:val="24"/>
        </w:rPr>
        <w:t xml:space="preserve"> </w:t>
      </w:r>
      <w:r w:rsidR="0035029F" w:rsidRPr="00AE141E">
        <w:rPr>
          <w:rFonts w:ascii="Times New Roman" w:hAnsi="Times New Roman" w:cs="Times New Roman"/>
          <w:sz w:val="24"/>
          <w:szCs w:val="24"/>
        </w:rPr>
        <w:t>The technique was reported to enjoy particular popular</w:t>
      </w:r>
      <w:r w:rsidR="00301CCF" w:rsidRPr="00AE141E">
        <w:rPr>
          <w:rFonts w:ascii="Times New Roman" w:hAnsi="Times New Roman" w:cs="Times New Roman"/>
          <w:sz w:val="24"/>
          <w:szCs w:val="24"/>
        </w:rPr>
        <w:t>ity</w:t>
      </w:r>
      <w:r w:rsidR="0035029F" w:rsidRPr="00AE141E">
        <w:rPr>
          <w:rFonts w:ascii="Times New Roman" w:hAnsi="Times New Roman" w:cs="Times New Roman"/>
          <w:sz w:val="24"/>
          <w:szCs w:val="24"/>
        </w:rPr>
        <w:t xml:space="preserve"> amongst teachers of local and world history courses</w:t>
      </w:r>
      <w:r w:rsidR="007B7E63" w:rsidRPr="00AE141E">
        <w:rPr>
          <w:rFonts w:ascii="Times New Roman" w:hAnsi="Times New Roman" w:cs="Times New Roman"/>
          <w:sz w:val="24"/>
          <w:szCs w:val="24"/>
        </w:rPr>
        <w:t xml:space="preserve"> </w:t>
      </w:r>
      <w:r w:rsidR="00100462" w:rsidRPr="00AE141E">
        <w:rPr>
          <w:rFonts w:ascii="Times New Roman" w:hAnsi="Times New Roman" w:cs="Times New Roman"/>
          <w:sz w:val="24"/>
          <w:szCs w:val="24"/>
        </w:rPr>
        <w:t>who found their work ill-served by published resources.</w:t>
      </w:r>
      <w:r w:rsidR="009575D0" w:rsidRPr="00AE141E">
        <w:rPr>
          <w:rFonts w:ascii="Times New Roman" w:hAnsi="Times New Roman" w:cs="Times New Roman"/>
          <w:sz w:val="24"/>
          <w:szCs w:val="24"/>
        </w:rPr>
        <w:t xml:space="preserve"> David Warnes, a history teacher at Ipswich School</w:t>
      </w:r>
      <w:r w:rsidR="00EA578E" w:rsidRPr="00AE141E">
        <w:rPr>
          <w:rFonts w:ascii="Times New Roman" w:hAnsi="Times New Roman" w:cs="Times New Roman"/>
          <w:sz w:val="24"/>
          <w:szCs w:val="24"/>
        </w:rPr>
        <w:t xml:space="preserve">, wrote in </w:t>
      </w:r>
      <w:r w:rsidR="00BD1FB5" w:rsidRPr="00AE141E">
        <w:rPr>
          <w:rFonts w:ascii="Times New Roman" w:hAnsi="Times New Roman" w:cs="Times New Roman"/>
          <w:sz w:val="24"/>
          <w:szCs w:val="24"/>
        </w:rPr>
        <w:t xml:space="preserve">1981 of his struggles with locating world history textbooks adequate to his needs. </w:t>
      </w:r>
      <w:r w:rsidR="00301CCF" w:rsidRPr="00AE141E">
        <w:rPr>
          <w:rFonts w:ascii="Times New Roman" w:hAnsi="Times New Roman" w:cs="Times New Roman"/>
          <w:sz w:val="24"/>
          <w:szCs w:val="24"/>
        </w:rPr>
        <w:t>General textbooks</w:t>
      </w:r>
      <w:r w:rsidR="00512F2A" w:rsidRPr="00AE141E">
        <w:rPr>
          <w:rFonts w:ascii="Times New Roman" w:hAnsi="Times New Roman" w:cs="Times New Roman"/>
          <w:sz w:val="24"/>
          <w:szCs w:val="24"/>
        </w:rPr>
        <w:t>, Warnes argued,</w:t>
      </w:r>
      <w:r w:rsidR="00301CCF" w:rsidRPr="00AE141E">
        <w:rPr>
          <w:rFonts w:ascii="Times New Roman" w:hAnsi="Times New Roman" w:cs="Times New Roman"/>
          <w:sz w:val="24"/>
          <w:szCs w:val="24"/>
        </w:rPr>
        <w:t xml:space="preserve"> </w:t>
      </w:r>
      <w:r w:rsidR="00512F2A" w:rsidRPr="00AE141E">
        <w:rPr>
          <w:rFonts w:ascii="Times New Roman" w:hAnsi="Times New Roman" w:cs="Times New Roman"/>
          <w:sz w:val="24"/>
          <w:szCs w:val="24"/>
        </w:rPr>
        <w:t>tended to</w:t>
      </w:r>
      <w:r w:rsidR="00301CCF" w:rsidRPr="00AE141E">
        <w:rPr>
          <w:rFonts w:ascii="Times New Roman" w:hAnsi="Times New Roman" w:cs="Times New Roman"/>
          <w:sz w:val="24"/>
          <w:szCs w:val="24"/>
        </w:rPr>
        <w:t xml:space="preserve"> </w:t>
      </w:r>
      <w:r w:rsidR="00371830" w:rsidRPr="00AE141E">
        <w:rPr>
          <w:rFonts w:ascii="Times New Roman" w:hAnsi="Times New Roman" w:cs="Times New Roman"/>
          <w:sz w:val="24"/>
          <w:szCs w:val="24"/>
        </w:rPr>
        <w:t>concentrate</w:t>
      </w:r>
      <w:r w:rsidR="00301CCF" w:rsidRPr="00AE141E">
        <w:rPr>
          <w:rFonts w:ascii="Times New Roman" w:hAnsi="Times New Roman" w:cs="Times New Roman"/>
          <w:sz w:val="24"/>
          <w:szCs w:val="24"/>
        </w:rPr>
        <w:t xml:space="preserve"> on the </w:t>
      </w:r>
      <w:r w:rsidR="00512F2A" w:rsidRPr="00AE141E">
        <w:rPr>
          <w:rFonts w:ascii="Times New Roman" w:hAnsi="Times New Roman" w:cs="Times New Roman"/>
          <w:sz w:val="24"/>
          <w:szCs w:val="24"/>
        </w:rPr>
        <w:t>‘</w:t>
      </w:r>
      <w:r w:rsidR="00301CCF" w:rsidRPr="00AE141E">
        <w:rPr>
          <w:rFonts w:ascii="Times New Roman" w:hAnsi="Times New Roman" w:cs="Times New Roman"/>
          <w:sz w:val="24"/>
          <w:szCs w:val="24"/>
        </w:rPr>
        <w:t>First and Second Worlds at the expense of the Third</w:t>
      </w:r>
      <w:r w:rsidR="00512F2A" w:rsidRPr="00AE141E">
        <w:rPr>
          <w:rFonts w:ascii="Times New Roman" w:hAnsi="Times New Roman" w:cs="Times New Roman"/>
          <w:sz w:val="24"/>
          <w:szCs w:val="24"/>
        </w:rPr>
        <w:t>’</w:t>
      </w:r>
      <w:r w:rsidR="00301CCF" w:rsidRPr="00AE141E">
        <w:rPr>
          <w:rFonts w:ascii="Times New Roman" w:hAnsi="Times New Roman" w:cs="Times New Roman"/>
          <w:sz w:val="24"/>
          <w:szCs w:val="24"/>
        </w:rPr>
        <w:t>.</w:t>
      </w:r>
      <w:r w:rsidR="00371830" w:rsidRPr="00AE141E">
        <w:rPr>
          <w:rStyle w:val="FootnoteReference"/>
          <w:rFonts w:ascii="Times New Roman" w:hAnsi="Times New Roman" w:cs="Times New Roman"/>
          <w:sz w:val="24"/>
          <w:szCs w:val="24"/>
        </w:rPr>
        <w:footnoteReference w:id="545"/>
      </w:r>
      <w:r w:rsidR="00512F2A" w:rsidRPr="00AE141E">
        <w:rPr>
          <w:rFonts w:ascii="Times New Roman" w:hAnsi="Times New Roman" w:cs="Times New Roman"/>
          <w:sz w:val="24"/>
          <w:szCs w:val="24"/>
        </w:rPr>
        <w:t xml:space="preserve"> </w:t>
      </w:r>
      <w:r w:rsidR="003E1E25" w:rsidRPr="00AE141E">
        <w:rPr>
          <w:rFonts w:ascii="Times New Roman" w:hAnsi="Times New Roman" w:cs="Times New Roman"/>
          <w:sz w:val="24"/>
          <w:szCs w:val="24"/>
        </w:rPr>
        <w:t xml:space="preserve">Furthermore, their contents could quickly be invalidated and made anachronistic by </w:t>
      </w:r>
      <w:r w:rsidR="00EC27F7" w:rsidRPr="00AE141E">
        <w:rPr>
          <w:rFonts w:ascii="Times New Roman" w:hAnsi="Times New Roman" w:cs="Times New Roman"/>
          <w:sz w:val="24"/>
          <w:szCs w:val="24"/>
        </w:rPr>
        <w:t>political changes.</w:t>
      </w:r>
      <w:r w:rsidR="00301CCF" w:rsidRPr="00AE141E">
        <w:rPr>
          <w:rFonts w:ascii="Times New Roman" w:hAnsi="Times New Roman" w:cs="Times New Roman"/>
          <w:sz w:val="24"/>
          <w:szCs w:val="24"/>
        </w:rPr>
        <w:t xml:space="preserve"> </w:t>
      </w:r>
      <w:r w:rsidR="00EC27F7" w:rsidRPr="00AE141E">
        <w:rPr>
          <w:rFonts w:ascii="Times New Roman" w:hAnsi="Times New Roman" w:cs="Times New Roman"/>
          <w:sz w:val="24"/>
          <w:szCs w:val="24"/>
        </w:rPr>
        <w:t>Warnes</w:t>
      </w:r>
      <w:r w:rsidR="00A25DDD">
        <w:rPr>
          <w:rFonts w:ascii="Times New Roman" w:hAnsi="Times New Roman" w:cs="Times New Roman"/>
          <w:sz w:val="24"/>
          <w:szCs w:val="24"/>
        </w:rPr>
        <w:t>’s</w:t>
      </w:r>
      <w:r w:rsidR="00EC27F7" w:rsidRPr="00AE141E">
        <w:rPr>
          <w:rFonts w:ascii="Times New Roman" w:hAnsi="Times New Roman" w:cs="Times New Roman"/>
          <w:sz w:val="24"/>
          <w:szCs w:val="24"/>
        </w:rPr>
        <w:t xml:space="preserve"> own ‘</w:t>
      </w:r>
      <w:r w:rsidR="00301CCF" w:rsidRPr="00AE141E">
        <w:rPr>
          <w:rFonts w:ascii="Times New Roman" w:hAnsi="Times New Roman" w:cs="Times New Roman"/>
          <w:sz w:val="24"/>
          <w:szCs w:val="24"/>
        </w:rPr>
        <w:t>home-brewed pamphle</w:t>
      </w:r>
      <w:r w:rsidR="00EC27F7" w:rsidRPr="00AE141E">
        <w:rPr>
          <w:rFonts w:ascii="Times New Roman" w:hAnsi="Times New Roman" w:cs="Times New Roman"/>
          <w:sz w:val="24"/>
          <w:szCs w:val="24"/>
        </w:rPr>
        <w:t>t’</w:t>
      </w:r>
      <w:r w:rsidR="00301CCF" w:rsidRPr="00AE141E">
        <w:rPr>
          <w:rFonts w:ascii="Times New Roman" w:hAnsi="Times New Roman" w:cs="Times New Roman"/>
          <w:sz w:val="24"/>
          <w:szCs w:val="24"/>
        </w:rPr>
        <w:t xml:space="preserve"> on the history of Zimbabwe </w:t>
      </w:r>
      <w:r w:rsidR="00EC27F7" w:rsidRPr="00AE141E">
        <w:rPr>
          <w:rFonts w:ascii="Times New Roman" w:hAnsi="Times New Roman" w:cs="Times New Roman"/>
          <w:sz w:val="24"/>
          <w:szCs w:val="24"/>
        </w:rPr>
        <w:t>aimed</w:t>
      </w:r>
      <w:r w:rsidR="00301CCF" w:rsidRPr="00AE141E">
        <w:rPr>
          <w:rFonts w:ascii="Times New Roman" w:hAnsi="Times New Roman" w:cs="Times New Roman"/>
          <w:sz w:val="24"/>
          <w:szCs w:val="24"/>
        </w:rPr>
        <w:t xml:space="preserve"> to provide </w:t>
      </w:r>
      <w:r w:rsidR="00037E5A" w:rsidRPr="00AE141E">
        <w:rPr>
          <w:rFonts w:ascii="Times New Roman" w:hAnsi="Times New Roman" w:cs="Times New Roman"/>
          <w:sz w:val="24"/>
          <w:szCs w:val="24"/>
        </w:rPr>
        <w:t>a</w:t>
      </w:r>
      <w:r w:rsidR="00CB5BEF" w:rsidRPr="00AE141E">
        <w:rPr>
          <w:rFonts w:ascii="Times New Roman" w:hAnsi="Times New Roman" w:cs="Times New Roman"/>
          <w:sz w:val="24"/>
          <w:szCs w:val="24"/>
        </w:rPr>
        <w:t xml:space="preserve"> level</w:t>
      </w:r>
      <w:r w:rsidR="00301CCF" w:rsidRPr="00AE141E">
        <w:rPr>
          <w:rFonts w:ascii="Times New Roman" w:hAnsi="Times New Roman" w:cs="Times New Roman"/>
          <w:sz w:val="24"/>
          <w:szCs w:val="24"/>
        </w:rPr>
        <w:t xml:space="preserve"> of detail </w:t>
      </w:r>
      <w:r w:rsidR="003564C4" w:rsidRPr="00AE141E">
        <w:rPr>
          <w:rFonts w:ascii="Times New Roman" w:hAnsi="Times New Roman" w:cs="Times New Roman"/>
          <w:sz w:val="24"/>
          <w:szCs w:val="24"/>
        </w:rPr>
        <w:t>not available in general texts,</w:t>
      </w:r>
      <w:r w:rsidR="00301CCF" w:rsidRPr="00AE141E">
        <w:rPr>
          <w:rFonts w:ascii="Times New Roman" w:hAnsi="Times New Roman" w:cs="Times New Roman"/>
          <w:sz w:val="24"/>
          <w:szCs w:val="24"/>
        </w:rPr>
        <w:t xml:space="preserve"> and to </w:t>
      </w:r>
      <w:r w:rsidR="003564C4" w:rsidRPr="00AE141E">
        <w:rPr>
          <w:rFonts w:ascii="Times New Roman" w:hAnsi="Times New Roman" w:cs="Times New Roman"/>
          <w:sz w:val="24"/>
          <w:szCs w:val="24"/>
        </w:rPr>
        <w:t>‘</w:t>
      </w:r>
      <w:r w:rsidR="00301CCF" w:rsidRPr="00AE141E">
        <w:rPr>
          <w:rFonts w:ascii="Times New Roman" w:hAnsi="Times New Roman" w:cs="Times New Roman"/>
          <w:sz w:val="24"/>
          <w:szCs w:val="24"/>
        </w:rPr>
        <w:t>bring the story right up to da</w:t>
      </w:r>
      <w:r w:rsidR="00CD2D4C" w:rsidRPr="00AE141E">
        <w:rPr>
          <w:rFonts w:ascii="Times New Roman" w:hAnsi="Times New Roman" w:cs="Times New Roman"/>
          <w:sz w:val="24"/>
          <w:szCs w:val="24"/>
        </w:rPr>
        <w:t>te</w:t>
      </w:r>
      <w:r w:rsidR="00644EE3" w:rsidRPr="00AE141E">
        <w:rPr>
          <w:rFonts w:ascii="Times New Roman" w:hAnsi="Times New Roman" w:cs="Times New Roman"/>
          <w:sz w:val="24"/>
          <w:szCs w:val="24"/>
        </w:rPr>
        <w:t>’ –</w:t>
      </w:r>
      <w:r w:rsidR="00BF3854" w:rsidRPr="00AE141E">
        <w:rPr>
          <w:rFonts w:ascii="Times New Roman" w:hAnsi="Times New Roman" w:cs="Times New Roman"/>
          <w:sz w:val="24"/>
          <w:szCs w:val="24"/>
        </w:rPr>
        <w:t xml:space="preserve"> the</w:t>
      </w:r>
      <w:r w:rsidR="00644EE3" w:rsidRPr="00AE141E">
        <w:rPr>
          <w:rFonts w:ascii="Times New Roman" w:hAnsi="Times New Roman" w:cs="Times New Roman"/>
          <w:sz w:val="24"/>
          <w:szCs w:val="24"/>
        </w:rPr>
        <w:t xml:space="preserve"> </w:t>
      </w:r>
      <w:r w:rsidR="00BF3854" w:rsidRPr="00AE141E">
        <w:rPr>
          <w:rFonts w:ascii="Times New Roman" w:hAnsi="Times New Roman" w:cs="Times New Roman"/>
          <w:sz w:val="24"/>
          <w:szCs w:val="24"/>
        </w:rPr>
        <w:t xml:space="preserve">format’s flexibility allowed him to add new </w:t>
      </w:r>
      <w:r w:rsidR="00930B93" w:rsidRPr="00AE141E">
        <w:rPr>
          <w:rFonts w:ascii="Times New Roman" w:hAnsi="Times New Roman" w:cs="Times New Roman"/>
          <w:sz w:val="24"/>
          <w:szCs w:val="24"/>
        </w:rPr>
        <w:t>information on the recent past, as and when it became available.</w:t>
      </w:r>
      <w:r w:rsidR="00BF3854" w:rsidRPr="00AE141E">
        <w:rPr>
          <w:rFonts w:ascii="Times New Roman" w:hAnsi="Times New Roman" w:cs="Times New Roman"/>
          <w:sz w:val="24"/>
          <w:szCs w:val="24"/>
        </w:rPr>
        <w:t xml:space="preserve"> </w:t>
      </w:r>
    </w:p>
    <w:p w14:paraId="602A1320" w14:textId="2C49B5D2" w:rsidR="008C0C5F" w:rsidRPr="00AE141E" w:rsidRDefault="000C10F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Teachers </w:t>
      </w:r>
      <w:r w:rsidR="00146D3E" w:rsidRPr="00AE141E">
        <w:rPr>
          <w:rFonts w:ascii="Times New Roman" w:hAnsi="Times New Roman" w:cs="Times New Roman"/>
          <w:sz w:val="24"/>
          <w:szCs w:val="24"/>
        </w:rPr>
        <w:t xml:space="preserve">who chose to produce their own </w:t>
      </w:r>
      <w:r w:rsidR="00292101" w:rsidRPr="00AE141E">
        <w:rPr>
          <w:rFonts w:ascii="Times New Roman" w:hAnsi="Times New Roman" w:cs="Times New Roman"/>
          <w:sz w:val="24"/>
          <w:szCs w:val="24"/>
        </w:rPr>
        <w:t>resources</w:t>
      </w:r>
      <w:r w:rsidR="00146D3E" w:rsidRPr="00AE141E">
        <w:rPr>
          <w:rFonts w:ascii="Times New Roman" w:hAnsi="Times New Roman" w:cs="Times New Roman"/>
          <w:sz w:val="24"/>
          <w:szCs w:val="24"/>
        </w:rPr>
        <w:t xml:space="preserve"> </w:t>
      </w:r>
      <w:r w:rsidR="000C7956" w:rsidRPr="00AE141E">
        <w:rPr>
          <w:rFonts w:ascii="Times New Roman" w:hAnsi="Times New Roman" w:cs="Times New Roman"/>
          <w:sz w:val="24"/>
          <w:szCs w:val="24"/>
        </w:rPr>
        <w:t>often</w:t>
      </w:r>
      <w:r w:rsidR="00CB755C" w:rsidRPr="00AE141E">
        <w:rPr>
          <w:rFonts w:ascii="Times New Roman" w:hAnsi="Times New Roman" w:cs="Times New Roman"/>
          <w:sz w:val="24"/>
          <w:szCs w:val="24"/>
        </w:rPr>
        <w:t xml:space="preserve"> </w:t>
      </w:r>
      <w:r w:rsidR="00292101" w:rsidRPr="00AE141E">
        <w:rPr>
          <w:rFonts w:ascii="Times New Roman" w:hAnsi="Times New Roman" w:cs="Times New Roman"/>
          <w:sz w:val="24"/>
          <w:szCs w:val="24"/>
        </w:rPr>
        <w:t>began by locating source materials</w:t>
      </w:r>
      <w:r w:rsidR="009A7CA5" w:rsidRPr="00AE141E">
        <w:rPr>
          <w:rFonts w:ascii="Times New Roman" w:hAnsi="Times New Roman" w:cs="Times New Roman"/>
          <w:sz w:val="24"/>
          <w:szCs w:val="24"/>
        </w:rPr>
        <w:t xml:space="preserve">. </w:t>
      </w:r>
      <w:r w:rsidR="00BE7044" w:rsidRPr="00AE141E">
        <w:rPr>
          <w:rFonts w:ascii="Times New Roman" w:hAnsi="Times New Roman" w:cs="Times New Roman"/>
          <w:sz w:val="24"/>
          <w:szCs w:val="24"/>
        </w:rPr>
        <w:t>Universities invested in the multicultural project sometimes attempted to make recent research available to teachers</w:t>
      </w:r>
      <w:r w:rsidR="001724B1" w:rsidRPr="00AE141E">
        <w:rPr>
          <w:rFonts w:ascii="Times New Roman" w:hAnsi="Times New Roman" w:cs="Times New Roman"/>
          <w:sz w:val="24"/>
          <w:szCs w:val="24"/>
        </w:rPr>
        <w:t>. I</w:t>
      </w:r>
      <w:r w:rsidR="00BE7044" w:rsidRPr="00AE141E">
        <w:rPr>
          <w:rFonts w:ascii="Times New Roman" w:hAnsi="Times New Roman" w:cs="Times New Roman"/>
          <w:sz w:val="24"/>
          <w:szCs w:val="24"/>
        </w:rPr>
        <w:t xml:space="preserve">n 1979, </w:t>
      </w:r>
      <w:r w:rsidR="009A043F" w:rsidRPr="00AE141E">
        <w:rPr>
          <w:rFonts w:ascii="Times New Roman" w:hAnsi="Times New Roman" w:cs="Times New Roman"/>
          <w:sz w:val="24"/>
          <w:szCs w:val="24"/>
        </w:rPr>
        <w:t>SOAS</w:t>
      </w:r>
      <w:r w:rsidR="00BE7044" w:rsidRPr="00AE141E">
        <w:rPr>
          <w:rFonts w:ascii="Times New Roman" w:hAnsi="Times New Roman" w:cs="Times New Roman"/>
          <w:sz w:val="24"/>
          <w:szCs w:val="24"/>
        </w:rPr>
        <w:t xml:space="preserve"> issued </w:t>
      </w:r>
      <w:r w:rsidR="00E827E9" w:rsidRPr="00AE141E">
        <w:rPr>
          <w:rFonts w:ascii="Times New Roman" w:hAnsi="Times New Roman" w:cs="Times New Roman"/>
          <w:sz w:val="24"/>
          <w:szCs w:val="24"/>
        </w:rPr>
        <w:t xml:space="preserve">a source book for </w:t>
      </w:r>
      <w:r w:rsidR="00E41A96" w:rsidRPr="00AE141E">
        <w:rPr>
          <w:rFonts w:ascii="Times New Roman" w:hAnsi="Times New Roman" w:cs="Times New Roman"/>
          <w:sz w:val="24"/>
          <w:szCs w:val="24"/>
        </w:rPr>
        <w:t>schoolteachers</w:t>
      </w:r>
      <w:r w:rsidR="00E827E9" w:rsidRPr="00AE141E">
        <w:rPr>
          <w:rFonts w:ascii="Times New Roman" w:hAnsi="Times New Roman" w:cs="Times New Roman"/>
          <w:sz w:val="24"/>
          <w:szCs w:val="24"/>
        </w:rPr>
        <w:t xml:space="preserve"> which </w:t>
      </w:r>
      <w:r w:rsidR="00F00721" w:rsidRPr="00AE141E">
        <w:rPr>
          <w:rFonts w:ascii="Times New Roman" w:hAnsi="Times New Roman" w:cs="Times New Roman"/>
          <w:sz w:val="24"/>
          <w:szCs w:val="24"/>
        </w:rPr>
        <w:t>surveyed contemporary knowledge of Chinese history, geography, economics, and culture.</w:t>
      </w:r>
      <w:r w:rsidR="005A6FC1" w:rsidRPr="00AE141E">
        <w:rPr>
          <w:rStyle w:val="FootnoteReference"/>
          <w:rFonts w:ascii="Times New Roman" w:hAnsi="Times New Roman" w:cs="Times New Roman"/>
          <w:sz w:val="24"/>
          <w:szCs w:val="24"/>
        </w:rPr>
        <w:footnoteReference w:id="546"/>
      </w:r>
      <w:r w:rsidR="00A41DE1" w:rsidRPr="00AE141E">
        <w:rPr>
          <w:rFonts w:ascii="Times New Roman" w:hAnsi="Times New Roman" w:cs="Times New Roman"/>
          <w:sz w:val="24"/>
          <w:szCs w:val="24"/>
        </w:rPr>
        <w:t xml:space="preserve"> In other cases, teachers were themselves forced to take on the role of researchers.</w:t>
      </w:r>
      <w:r w:rsidR="006678CB" w:rsidRPr="00AE141E">
        <w:rPr>
          <w:rFonts w:ascii="Times New Roman" w:hAnsi="Times New Roman" w:cs="Times New Roman"/>
          <w:sz w:val="24"/>
          <w:szCs w:val="24"/>
        </w:rPr>
        <w:t xml:space="preserve"> Requests </w:t>
      </w:r>
      <w:r w:rsidR="00A67D80" w:rsidRPr="00AE141E">
        <w:rPr>
          <w:rFonts w:ascii="Times New Roman" w:hAnsi="Times New Roman" w:cs="Times New Roman"/>
          <w:sz w:val="24"/>
          <w:szCs w:val="24"/>
        </w:rPr>
        <w:t xml:space="preserve">to embassies for information on the countries they represented </w:t>
      </w:r>
      <w:r w:rsidR="001724B1" w:rsidRPr="00AE141E">
        <w:rPr>
          <w:rFonts w:ascii="Times New Roman" w:hAnsi="Times New Roman" w:cs="Times New Roman"/>
          <w:sz w:val="24"/>
          <w:szCs w:val="24"/>
        </w:rPr>
        <w:t>appear</w:t>
      </w:r>
      <w:r w:rsidR="00A67D80" w:rsidRPr="00AE141E">
        <w:rPr>
          <w:rFonts w:ascii="Times New Roman" w:hAnsi="Times New Roman" w:cs="Times New Roman"/>
          <w:sz w:val="24"/>
          <w:szCs w:val="24"/>
        </w:rPr>
        <w:t xml:space="preserve"> to have been common</w:t>
      </w:r>
      <w:r w:rsidR="00C74D1F" w:rsidRPr="00AE141E">
        <w:rPr>
          <w:rFonts w:ascii="Times New Roman" w:hAnsi="Times New Roman" w:cs="Times New Roman"/>
          <w:sz w:val="24"/>
          <w:szCs w:val="24"/>
        </w:rPr>
        <w:t xml:space="preserve"> – so </w:t>
      </w:r>
      <w:r w:rsidR="00400BE3" w:rsidRPr="00AE141E">
        <w:rPr>
          <w:rFonts w:ascii="Times New Roman" w:hAnsi="Times New Roman" w:cs="Times New Roman"/>
          <w:sz w:val="24"/>
          <w:szCs w:val="24"/>
        </w:rPr>
        <w:t>much so</w:t>
      </w:r>
      <w:r w:rsidR="00C74D1F" w:rsidRPr="00AE141E">
        <w:rPr>
          <w:rFonts w:ascii="Times New Roman" w:hAnsi="Times New Roman" w:cs="Times New Roman"/>
          <w:sz w:val="24"/>
          <w:szCs w:val="24"/>
        </w:rPr>
        <w:t xml:space="preserve"> that</w:t>
      </w:r>
      <w:r w:rsidR="001724B1" w:rsidRPr="00AE141E">
        <w:rPr>
          <w:rFonts w:ascii="Times New Roman" w:hAnsi="Times New Roman" w:cs="Times New Roman"/>
          <w:sz w:val="24"/>
          <w:szCs w:val="24"/>
        </w:rPr>
        <w:t xml:space="preserve"> embassy</w:t>
      </w:r>
      <w:r w:rsidR="00C74D1F" w:rsidRPr="00AE141E">
        <w:rPr>
          <w:rFonts w:ascii="Times New Roman" w:hAnsi="Times New Roman" w:cs="Times New Roman"/>
          <w:sz w:val="24"/>
          <w:szCs w:val="24"/>
        </w:rPr>
        <w:t xml:space="preserve"> staff expressed frustration a</w:t>
      </w:r>
      <w:r w:rsidR="00400BE3" w:rsidRPr="00AE141E">
        <w:rPr>
          <w:rFonts w:ascii="Times New Roman" w:hAnsi="Times New Roman" w:cs="Times New Roman"/>
          <w:sz w:val="24"/>
          <w:szCs w:val="24"/>
        </w:rPr>
        <w:t>t their inundation with letters from teachers and students conducting topic work.</w:t>
      </w:r>
      <w:r w:rsidR="00A665B0" w:rsidRPr="00AE141E">
        <w:rPr>
          <w:rStyle w:val="FootnoteReference"/>
          <w:rFonts w:ascii="Times New Roman" w:hAnsi="Times New Roman" w:cs="Times New Roman"/>
          <w:sz w:val="24"/>
          <w:szCs w:val="24"/>
        </w:rPr>
        <w:footnoteReference w:id="547"/>
      </w:r>
      <w:r w:rsidR="00400BE3" w:rsidRPr="00AE141E">
        <w:rPr>
          <w:rFonts w:ascii="Times New Roman" w:hAnsi="Times New Roman" w:cs="Times New Roman"/>
          <w:sz w:val="24"/>
          <w:szCs w:val="24"/>
        </w:rPr>
        <w:t xml:space="preserve"> </w:t>
      </w:r>
      <w:r w:rsidR="007F7881" w:rsidRPr="00AE141E">
        <w:rPr>
          <w:rFonts w:ascii="Times New Roman" w:hAnsi="Times New Roman" w:cs="Times New Roman"/>
          <w:i/>
          <w:sz w:val="24"/>
          <w:szCs w:val="24"/>
        </w:rPr>
        <w:t>Clio</w:t>
      </w:r>
      <w:r w:rsidR="007F7881" w:rsidRPr="00AE141E">
        <w:rPr>
          <w:rFonts w:ascii="Times New Roman" w:hAnsi="Times New Roman" w:cs="Times New Roman"/>
          <w:sz w:val="24"/>
          <w:szCs w:val="24"/>
        </w:rPr>
        <w:t xml:space="preserve"> responded to complaints with an article which detailed </w:t>
      </w:r>
      <w:r w:rsidR="000B6FE6" w:rsidRPr="00AE141E">
        <w:rPr>
          <w:rFonts w:ascii="Times New Roman" w:hAnsi="Times New Roman" w:cs="Times New Roman"/>
          <w:sz w:val="24"/>
          <w:szCs w:val="24"/>
        </w:rPr>
        <w:t xml:space="preserve">guidelines for appropriate conduct when contacting </w:t>
      </w:r>
      <w:r w:rsidR="000A1985" w:rsidRPr="00AE141E">
        <w:rPr>
          <w:rFonts w:ascii="Times New Roman" w:hAnsi="Times New Roman" w:cs="Times New Roman"/>
          <w:sz w:val="24"/>
          <w:szCs w:val="24"/>
        </w:rPr>
        <w:t>embassies</w:t>
      </w:r>
      <w:r w:rsidR="007F32D9" w:rsidRPr="00AE141E">
        <w:rPr>
          <w:rFonts w:ascii="Times New Roman" w:hAnsi="Times New Roman" w:cs="Times New Roman"/>
          <w:sz w:val="24"/>
          <w:szCs w:val="24"/>
        </w:rPr>
        <w:t xml:space="preserve">, in an effort to </w:t>
      </w:r>
      <w:r w:rsidR="007F7881" w:rsidRPr="00AE141E">
        <w:rPr>
          <w:rFonts w:ascii="Times New Roman" w:hAnsi="Times New Roman" w:cs="Times New Roman"/>
          <w:sz w:val="24"/>
          <w:szCs w:val="24"/>
        </w:rPr>
        <w:t>conserve time</w:t>
      </w:r>
      <w:r w:rsidR="00CF6BD3" w:rsidRPr="00AE141E">
        <w:rPr>
          <w:rFonts w:ascii="Times New Roman" w:hAnsi="Times New Roman" w:cs="Times New Roman"/>
          <w:sz w:val="24"/>
          <w:szCs w:val="24"/>
        </w:rPr>
        <w:t xml:space="preserve">, </w:t>
      </w:r>
      <w:r w:rsidR="007F7881" w:rsidRPr="00AE141E">
        <w:rPr>
          <w:rFonts w:ascii="Times New Roman" w:hAnsi="Times New Roman" w:cs="Times New Roman"/>
          <w:sz w:val="24"/>
          <w:szCs w:val="24"/>
        </w:rPr>
        <w:t>resources</w:t>
      </w:r>
      <w:r w:rsidR="00CF6BD3" w:rsidRPr="00AE141E">
        <w:rPr>
          <w:rFonts w:ascii="Times New Roman" w:hAnsi="Times New Roman" w:cs="Times New Roman"/>
          <w:sz w:val="24"/>
          <w:szCs w:val="24"/>
        </w:rPr>
        <w:t xml:space="preserve">, and goodwill. </w:t>
      </w:r>
      <w:r w:rsidR="00A41DE1" w:rsidRPr="00AE141E">
        <w:rPr>
          <w:rFonts w:ascii="Times New Roman" w:hAnsi="Times New Roman" w:cs="Times New Roman"/>
          <w:sz w:val="24"/>
          <w:szCs w:val="24"/>
        </w:rPr>
        <w:t xml:space="preserve">Warnes recommended </w:t>
      </w:r>
      <w:r w:rsidR="00CD2D4C" w:rsidRPr="00AE141E">
        <w:rPr>
          <w:rFonts w:ascii="Times New Roman" w:hAnsi="Times New Roman" w:cs="Times New Roman"/>
          <w:sz w:val="24"/>
          <w:szCs w:val="24"/>
        </w:rPr>
        <w:t>Keesing</w:t>
      </w:r>
      <w:r w:rsidR="007932D9" w:rsidRPr="00AE141E">
        <w:rPr>
          <w:rFonts w:ascii="Times New Roman" w:hAnsi="Times New Roman" w:cs="Times New Roman"/>
          <w:sz w:val="24"/>
          <w:szCs w:val="24"/>
        </w:rPr>
        <w:t>’</w:t>
      </w:r>
      <w:r w:rsidR="00CD2D4C" w:rsidRPr="00AE141E">
        <w:rPr>
          <w:rFonts w:ascii="Times New Roman" w:hAnsi="Times New Roman" w:cs="Times New Roman"/>
          <w:sz w:val="24"/>
          <w:szCs w:val="24"/>
        </w:rPr>
        <w:t>s Contemporary Archives</w:t>
      </w:r>
      <w:r w:rsidR="007932D9" w:rsidRPr="00AE141E">
        <w:rPr>
          <w:rFonts w:ascii="Times New Roman" w:hAnsi="Times New Roman" w:cs="Times New Roman"/>
          <w:sz w:val="24"/>
          <w:szCs w:val="24"/>
        </w:rPr>
        <w:t>, a summary of worl</w:t>
      </w:r>
      <w:r w:rsidR="00B12656" w:rsidRPr="00AE141E">
        <w:rPr>
          <w:rFonts w:ascii="Times New Roman" w:hAnsi="Times New Roman" w:cs="Times New Roman"/>
          <w:sz w:val="24"/>
          <w:szCs w:val="24"/>
        </w:rPr>
        <w:t xml:space="preserve">d news, as </w:t>
      </w:r>
      <w:r w:rsidR="00CD2D4C" w:rsidRPr="00AE141E">
        <w:rPr>
          <w:rFonts w:ascii="Times New Roman" w:hAnsi="Times New Roman" w:cs="Times New Roman"/>
          <w:sz w:val="24"/>
          <w:szCs w:val="24"/>
        </w:rPr>
        <w:t xml:space="preserve">a </w:t>
      </w:r>
      <w:r w:rsidR="00B12656" w:rsidRPr="00AE141E">
        <w:rPr>
          <w:rFonts w:ascii="Times New Roman" w:hAnsi="Times New Roman" w:cs="Times New Roman"/>
          <w:sz w:val="24"/>
          <w:szCs w:val="24"/>
        </w:rPr>
        <w:t>useful</w:t>
      </w:r>
      <w:r w:rsidR="00CD2D4C" w:rsidRPr="00AE141E">
        <w:rPr>
          <w:rFonts w:ascii="Times New Roman" w:hAnsi="Times New Roman" w:cs="Times New Roman"/>
          <w:sz w:val="24"/>
          <w:szCs w:val="24"/>
        </w:rPr>
        <w:t xml:space="preserve"> source of facts, </w:t>
      </w:r>
      <w:r w:rsidR="00B12656" w:rsidRPr="00AE141E">
        <w:rPr>
          <w:rFonts w:ascii="Times New Roman" w:hAnsi="Times New Roman" w:cs="Times New Roman"/>
          <w:sz w:val="24"/>
          <w:szCs w:val="24"/>
        </w:rPr>
        <w:t xml:space="preserve">but cautioned </w:t>
      </w:r>
      <w:r w:rsidR="008F12A2" w:rsidRPr="00AE141E">
        <w:rPr>
          <w:rFonts w:ascii="Times New Roman" w:hAnsi="Times New Roman" w:cs="Times New Roman"/>
          <w:sz w:val="24"/>
          <w:szCs w:val="24"/>
        </w:rPr>
        <w:t>his colleagues that</w:t>
      </w:r>
      <w:r w:rsidR="00CD2D4C" w:rsidRPr="00AE141E">
        <w:rPr>
          <w:rFonts w:ascii="Times New Roman" w:hAnsi="Times New Roman" w:cs="Times New Roman"/>
          <w:sz w:val="24"/>
          <w:szCs w:val="24"/>
        </w:rPr>
        <w:t xml:space="preserve"> </w:t>
      </w:r>
      <w:r w:rsidR="008F12A2" w:rsidRPr="00AE141E">
        <w:rPr>
          <w:rFonts w:ascii="Times New Roman" w:hAnsi="Times New Roman" w:cs="Times New Roman"/>
          <w:sz w:val="24"/>
          <w:szCs w:val="24"/>
        </w:rPr>
        <w:t>‘</w:t>
      </w:r>
      <w:r w:rsidR="00CD2D4C" w:rsidRPr="00AE141E">
        <w:rPr>
          <w:rFonts w:ascii="Times New Roman" w:hAnsi="Times New Roman" w:cs="Times New Roman"/>
          <w:sz w:val="24"/>
          <w:szCs w:val="24"/>
        </w:rPr>
        <w:t xml:space="preserve">it doesn't always provide the interpretation and analysis that the ignorant researcher </w:t>
      </w:r>
      <w:r w:rsidR="00CD2D4C" w:rsidRPr="00AE141E">
        <w:rPr>
          <w:rFonts w:ascii="Times New Roman" w:hAnsi="Times New Roman" w:cs="Times New Roman"/>
          <w:sz w:val="24"/>
          <w:szCs w:val="24"/>
        </w:rPr>
        <w:lastRenderedPageBreak/>
        <w:t>needs</w:t>
      </w:r>
      <w:r w:rsidR="008F12A2" w:rsidRPr="00AE141E">
        <w:rPr>
          <w:rFonts w:ascii="Times New Roman" w:hAnsi="Times New Roman" w:cs="Times New Roman"/>
          <w:sz w:val="24"/>
          <w:szCs w:val="24"/>
        </w:rPr>
        <w:t>’</w:t>
      </w:r>
      <w:r w:rsidR="00CD2D4C" w:rsidRPr="00AE141E">
        <w:rPr>
          <w:rFonts w:ascii="Times New Roman" w:hAnsi="Times New Roman" w:cs="Times New Roman"/>
          <w:sz w:val="24"/>
          <w:szCs w:val="24"/>
        </w:rPr>
        <w:t>.</w:t>
      </w:r>
      <w:r w:rsidR="00A665B0" w:rsidRPr="00AE141E">
        <w:rPr>
          <w:rStyle w:val="FootnoteReference"/>
          <w:rFonts w:ascii="Times New Roman" w:hAnsi="Times New Roman" w:cs="Times New Roman"/>
          <w:sz w:val="24"/>
          <w:szCs w:val="24"/>
        </w:rPr>
        <w:footnoteReference w:id="548"/>
      </w:r>
      <w:r w:rsidR="00CD2D4C" w:rsidRPr="00AE141E">
        <w:rPr>
          <w:rFonts w:ascii="Times New Roman" w:hAnsi="Times New Roman" w:cs="Times New Roman"/>
          <w:sz w:val="24"/>
          <w:szCs w:val="24"/>
        </w:rPr>
        <w:t xml:space="preserve"> </w:t>
      </w:r>
      <w:r w:rsidR="0032656D" w:rsidRPr="00AE141E">
        <w:rPr>
          <w:rFonts w:ascii="Times New Roman" w:hAnsi="Times New Roman" w:cs="Times New Roman"/>
          <w:sz w:val="24"/>
          <w:szCs w:val="24"/>
        </w:rPr>
        <w:t xml:space="preserve">The authors of home-brewed textbooks enjoyed few opportunities to test </w:t>
      </w:r>
      <w:r w:rsidR="00790ACC" w:rsidRPr="00AE141E">
        <w:rPr>
          <w:rFonts w:ascii="Times New Roman" w:hAnsi="Times New Roman" w:cs="Times New Roman"/>
          <w:sz w:val="24"/>
          <w:szCs w:val="24"/>
        </w:rPr>
        <w:t xml:space="preserve">their assumptions against other accounts of events, or to </w:t>
      </w:r>
      <w:r w:rsidR="00F331F5" w:rsidRPr="00AE141E">
        <w:rPr>
          <w:rFonts w:ascii="Times New Roman" w:hAnsi="Times New Roman" w:cs="Times New Roman"/>
          <w:sz w:val="24"/>
          <w:szCs w:val="24"/>
        </w:rPr>
        <w:t xml:space="preserve">access varied historiographical </w:t>
      </w:r>
      <w:r w:rsidR="00795CA7" w:rsidRPr="00AE141E">
        <w:rPr>
          <w:rFonts w:ascii="Times New Roman" w:hAnsi="Times New Roman" w:cs="Times New Roman"/>
          <w:sz w:val="24"/>
          <w:szCs w:val="24"/>
        </w:rPr>
        <w:t xml:space="preserve">perspectives. </w:t>
      </w:r>
      <w:r w:rsidR="002E6BED" w:rsidRPr="00AE141E">
        <w:rPr>
          <w:rFonts w:ascii="Times New Roman" w:hAnsi="Times New Roman" w:cs="Times New Roman"/>
          <w:sz w:val="24"/>
          <w:szCs w:val="24"/>
        </w:rPr>
        <w:t xml:space="preserve">Edgington noted that </w:t>
      </w:r>
      <w:r w:rsidR="0011430B" w:rsidRPr="00AE141E">
        <w:rPr>
          <w:rFonts w:ascii="Times New Roman" w:hAnsi="Times New Roman" w:cs="Times New Roman"/>
          <w:sz w:val="24"/>
          <w:szCs w:val="24"/>
        </w:rPr>
        <w:t xml:space="preserve">innovative multicultural history courses had tended to </w:t>
      </w:r>
      <w:r w:rsidR="00863206" w:rsidRPr="00AE141E">
        <w:rPr>
          <w:rFonts w:ascii="Times New Roman" w:hAnsi="Times New Roman" w:cs="Times New Roman"/>
          <w:sz w:val="24"/>
          <w:szCs w:val="24"/>
        </w:rPr>
        <w:t xml:space="preserve">produce their own course books to meet the specific needs of the individual school, but cautioned that this was a ‘counsel of excellence’ – an option out of the reach of many </w:t>
      </w:r>
      <w:r w:rsidR="00B2338D" w:rsidRPr="00AE141E">
        <w:rPr>
          <w:rFonts w:ascii="Times New Roman" w:hAnsi="Times New Roman" w:cs="Times New Roman"/>
          <w:sz w:val="24"/>
          <w:szCs w:val="24"/>
        </w:rPr>
        <w:t>teachers who already found their time and resources stretched by the realities of quotidian working life.</w:t>
      </w:r>
      <w:r w:rsidR="00385CAC" w:rsidRPr="00AE141E">
        <w:rPr>
          <w:rStyle w:val="FootnoteReference"/>
          <w:rFonts w:ascii="Times New Roman" w:hAnsi="Times New Roman" w:cs="Times New Roman"/>
          <w:sz w:val="24"/>
          <w:szCs w:val="24"/>
        </w:rPr>
        <w:footnoteReference w:id="549"/>
      </w:r>
      <w:r w:rsidR="00B2338D" w:rsidRPr="00AE141E">
        <w:rPr>
          <w:rFonts w:ascii="Times New Roman" w:hAnsi="Times New Roman" w:cs="Times New Roman"/>
          <w:sz w:val="24"/>
          <w:szCs w:val="24"/>
        </w:rPr>
        <w:t xml:space="preserve"> </w:t>
      </w:r>
      <w:r w:rsidR="00530C69" w:rsidRPr="00AE141E">
        <w:rPr>
          <w:rFonts w:ascii="Times New Roman" w:hAnsi="Times New Roman" w:cs="Times New Roman"/>
          <w:sz w:val="24"/>
          <w:szCs w:val="24"/>
        </w:rPr>
        <w:t xml:space="preserve">Demand from such teachers would eventually lead to the publication and distribution of materials used in </w:t>
      </w:r>
      <w:r w:rsidR="00385CAC" w:rsidRPr="00AE141E">
        <w:rPr>
          <w:rFonts w:ascii="Times New Roman" w:hAnsi="Times New Roman" w:cs="Times New Roman"/>
          <w:sz w:val="24"/>
          <w:szCs w:val="24"/>
        </w:rPr>
        <w:t>experimental programmes like that at Tulse Hill.</w:t>
      </w:r>
    </w:p>
    <w:p w14:paraId="0949697C" w14:textId="0943C2AF" w:rsidR="00ED2A2D" w:rsidRPr="00AE141E" w:rsidRDefault="00453C5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Unsurprisingly, schools which had pioneered Black Studies were often at the forefront of attempts to introduce a permeative multicultural curriculum, as the tide turned in favour of the latter. </w:t>
      </w:r>
      <w:r w:rsidR="00F63970" w:rsidRPr="00AE141E">
        <w:rPr>
          <w:rFonts w:ascii="Times New Roman" w:hAnsi="Times New Roman" w:cs="Times New Roman"/>
          <w:sz w:val="24"/>
          <w:szCs w:val="24"/>
        </w:rPr>
        <w:t>By the mid-1970s,</w:t>
      </w:r>
      <w:r w:rsidR="00CD581B" w:rsidRPr="00AE141E">
        <w:rPr>
          <w:rFonts w:ascii="Times New Roman" w:hAnsi="Times New Roman" w:cs="Times New Roman"/>
          <w:sz w:val="24"/>
          <w:szCs w:val="24"/>
        </w:rPr>
        <w:t xml:space="preserve"> </w:t>
      </w:r>
      <w:r w:rsidR="00CD581B" w:rsidRPr="00AE141E">
        <w:rPr>
          <w:rFonts w:ascii="Times New Roman" w:hAnsi="Times New Roman" w:cs="Times New Roman"/>
          <w:i/>
          <w:sz w:val="24"/>
          <w:szCs w:val="24"/>
        </w:rPr>
        <w:t xml:space="preserve">Race Today </w:t>
      </w:r>
      <w:r w:rsidR="00CD581B" w:rsidRPr="00AE141E">
        <w:rPr>
          <w:rFonts w:ascii="Times New Roman" w:hAnsi="Times New Roman" w:cs="Times New Roman"/>
          <w:sz w:val="24"/>
          <w:szCs w:val="24"/>
        </w:rPr>
        <w:t>reported,</w:t>
      </w:r>
      <w:r w:rsidR="00F63970" w:rsidRPr="00AE141E">
        <w:rPr>
          <w:rFonts w:ascii="Times New Roman" w:hAnsi="Times New Roman" w:cs="Times New Roman"/>
          <w:sz w:val="24"/>
          <w:szCs w:val="24"/>
        </w:rPr>
        <w:t xml:space="preserve"> </w:t>
      </w:r>
      <w:r w:rsidR="00C166E7" w:rsidRPr="00AE141E">
        <w:rPr>
          <w:rFonts w:ascii="Times New Roman" w:hAnsi="Times New Roman" w:cs="Times New Roman"/>
          <w:sz w:val="24"/>
          <w:szCs w:val="24"/>
        </w:rPr>
        <w:t>the majority of students in attendance in</w:t>
      </w:r>
      <w:r w:rsidR="00CD581B" w:rsidRPr="00AE141E">
        <w:rPr>
          <w:rFonts w:ascii="Times New Roman" w:hAnsi="Times New Roman" w:cs="Times New Roman"/>
          <w:sz w:val="24"/>
          <w:szCs w:val="24"/>
        </w:rPr>
        <w:t xml:space="preserve"> Tulse Hill’s</w:t>
      </w:r>
      <w:r w:rsidR="00C166E7" w:rsidRPr="00AE141E">
        <w:rPr>
          <w:rFonts w:ascii="Times New Roman" w:hAnsi="Times New Roman" w:cs="Times New Roman"/>
          <w:sz w:val="24"/>
          <w:szCs w:val="24"/>
        </w:rPr>
        <w:t xml:space="preserve"> Black Studies </w:t>
      </w:r>
      <w:r w:rsidR="00007CF1" w:rsidRPr="00AE141E">
        <w:rPr>
          <w:rFonts w:ascii="Times New Roman" w:hAnsi="Times New Roman" w:cs="Times New Roman"/>
          <w:sz w:val="24"/>
          <w:szCs w:val="24"/>
        </w:rPr>
        <w:t xml:space="preserve">classes </w:t>
      </w:r>
      <w:r w:rsidR="00C166E7" w:rsidRPr="00AE141E">
        <w:rPr>
          <w:rFonts w:ascii="Times New Roman" w:hAnsi="Times New Roman" w:cs="Times New Roman"/>
          <w:sz w:val="24"/>
          <w:szCs w:val="24"/>
        </w:rPr>
        <w:t>were</w:t>
      </w:r>
      <w:r w:rsidR="00C71828" w:rsidRPr="00AE141E">
        <w:rPr>
          <w:rFonts w:ascii="Times New Roman" w:hAnsi="Times New Roman" w:cs="Times New Roman"/>
          <w:sz w:val="24"/>
          <w:szCs w:val="24"/>
        </w:rPr>
        <w:t xml:space="preserve"> in fact</w:t>
      </w:r>
      <w:r w:rsidR="00C166E7" w:rsidRPr="00AE141E">
        <w:rPr>
          <w:rFonts w:ascii="Times New Roman" w:hAnsi="Times New Roman" w:cs="Times New Roman"/>
          <w:sz w:val="24"/>
          <w:szCs w:val="24"/>
        </w:rPr>
        <w:t xml:space="preserve"> White.</w:t>
      </w:r>
      <w:r w:rsidR="004937BC" w:rsidRPr="00AE141E">
        <w:rPr>
          <w:rStyle w:val="FootnoteReference"/>
          <w:rFonts w:ascii="Times New Roman" w:hAnsi="Times New Roman" w:cs="Times New Roman"/>
          <w:sz w:val="24"/>
          <w:szCs w:val="24"/>
        </w:rPr>
        <w:footnoteReference w:id="550"/>
      </w:r>
      <w:r w:rsidR="008A7D6D" w:rsidRPr="00AE141E">
        <w:rPr>
          <w:rFonts w:ascii="Times New Roman" w:hAnsi="Times New Roman" w:cs="Times New Roman"/>
          <w:sz w:val="24"/>
          <w:szCs w:val="24"/>
        </w:rPr>
        <w:t xml:space="preserve"> </w:t>
      </w:r>
      <w:r w:rsidR="008A7D6D" w:rsidRPr="00AE141E">
        <w:rPr>
          <w:rFonts w:ascii="Times New Roman" w:hAnsi="Times New Roman" w:cs="Times New Roman"/>
          <w:i/>
          <w:sz w:val="24"/>
          <w:szCs w:val="24"/>
        </w:rPr>
        <w:t xml:space="preserve">Race Today </w:t>
      </w:r>
      <w:r w:rsidR="004923E7" w:rsidRPr="00AE141E">
        <w:rPr>
          <w:rFonts w:ascii="Times New Roman" w:hAnsi="Times New Roman" w:cs="Times New Roman"/>
          <w:sz w:val="24"/>
          <w:szCs w:val="24"/>
        </w:rPr>
        <w:t>interpreted</w:t>
      </w:r>
      <w:r w:rsidR="00AA153C" w:rsidRPr="00AE141E">
        <w:rPr>
          <w:rFonts w:ascii="Times New Roman" w:hAnsi="Times New Roman" w:cs="Times New Roman"/>
          <w:sz w:val="24"/>
          <w:szCs w:val="24"/>
        </w:rPr>
        <w:t xml:space="preserve"> the unanticipated </w:t>
      </w:r>
      <w:r w:rsidR="00AA3B70" w:rsidRPr="00AE141E">
        <w:rPr>
          <w:rFonts w:ascii="Times New Roman" w:hAnsi="Times New Roman" w:cs="Times New Roman"/>
          <w:sz w:val="24"/>
          <w:szCs w:val="24"/>
        </w:rPr>
        <w:t>popularity of the course with</w:t>
      </w:r>
      <w:r w:rsidR="001E28DA" w:rsidRPr="00AE141E">
        <w:rPr>
          <w:rFonts w:ascii="Times New Roman" w:hAnsi="Times New Roman" w:cs="Times New Roman"/>
          <w:sz w:val="24"/>
          <w:szCs w:val="24"/>
        </w:rPr>
        <w:t xml:space="preserve"> White </w:t>
      </w:r>
      <w:r w:rsidR="009E0630" w:rsidRPr="00AE141E">
        <w:rPr>
          <w:rFonts w:ascii="Times New Roman" w:hAnsi="Times New Roman" w:cs="Times New Roman"/>
          <w:sz w:val="24"/>
          <w:szCs w:val="24"/>
        </w:rPr>
        <w:t>pupils</w:t>
      </w:r>
      <w:r w:rsidR="001E28DA" w:rsidRPr="00AE141E">
        <w:rPr>
          <w:rFonts w:ascii="Times New Roman" w:hAnsi="Times New Roman" w:cs="Times New Roman"/>
          <w:sz w:val="24"/>
          <w:szCs w:val="24"/>
        </w:rPr>
        <w:t xml:space="preserve"> </w:t>
      </w:r>
      <w:r w:rsidR="00AA3B70" w:rsidRPr="00AE141E">
        <w:rPr>
          <w:rFonts w:ascii="Times New Roman" w:hAnsi="Times New Roman" w:cs="Times New Roman"/>
          <w:sz w:val="24"/>
          <w:szCs w:val="24"/>
        </w:rPr>
        <w:t xml:space="preserve">as a </w:t>
      </w:r>
      <w:r w:rsidR="009E0630" w:rsidRPr="00AE141E">
        <w:rPr>
          <w:rFonts w:ascii="Times New Roman" w:hAnsi="Times New Roman" w:cs="Times New Roman"/>
          <w:sz w:val="24"/>
          <w:szCs w:val="24"/>
        </w:rPr>
        <w:t>sign that all</w:t>
      </w:r>
      <w:r w:rsidR="009E0630" w:rsidRPr="00AE141E">
        <w:rPr>
          <w:rFonts w:ascii="Times New Roman" w:hAnsi="Times New Roman" w:cs="Times New Roman"/>
          <w:i/>
          <w:sz w:val="24"/>
          <w:szCs w:val="24"/>
        </w:rPr>
        <w:t xml:space="preserve"> </w:t>
      </w:r>
      <w:r w:rsidR="009E0630" w:rsidRPr="00AE141E">
        <w:rPr>
          <w:rFonts w:ascii="Times New Roman" w:hAnsi="Times New Roman" w:cs="Times New Roman"/>
          <w:sz w:val="24"/>
          <w:szCs w:val="24"/>
        </w:rPr>
        <w:t>students</w:t>
      </w:r>
      <w:r w:rsidR="002D7D46" w:rsidRPr="00AE141E">
        <w:rPr>
          <w:rFonts w:ascii="Times New Roman" w:hAnsi="Times New Roman" w:cs="Times New Roman"/>
          <w:sz w:val="24"/>
          <w:szCs w:val="24"/>
        </w:rPr>
        <w:t>, irrespective of race,</w:t>
      </w:r>
      <w:r w:rsidR="009E0630" w:rsidRPr="00AE141E">
        <w:rPr>
          <w:rFonts w:ascii="Times New Roman" w:hAnsi="Times New Roman" w:cs="Times New Roman"/>
          <w:sz w:val="24"/>
          <w:szCs w:val="24"/>
        </w:rPr>
        <w:t xml:space="preserve"> sought </w:t>
      </w:r>
      <w:r w:rsidR="000C662A" w:rsidRPr="00AE141E">
        <w:rPr>
          <w:rFonts w:ascii="Times New Roman" w:hAnsi="Times New Roman" w:cs="Times New Roman"/>
          <w:sz w:val="24"/>
          <w:szCs w:val="24"/>
        </w:rPr>
        <w:t>knowledge of ‘revolutionary histor</w:t>
      </w:r>
      <w:r w:rsidR="00036ABC" w:rsidRPr="00AE141E">
        <w:rPr>
          <w:rFonts w:ascii="Times New Roman" w:hAnsi="Times New Roman" w:cs="Times New Roman"/>
          <w:sz w:val="24"/>
          <w:szCs w:val="24"/>
        </w:rPr>
        <w:t>y</w:t>
      </w:r>
      <w:r w:rsidR="000C662A" w:rsidRPr="00AE141E">
        <w:rPr>
          <w:rFonts w:ascii="Times New Roman" w:hAnsi="Times New Roman" w:cs="Times New Roman"/>
          <w:sz w:val="24"/>
          <w:szCs w:val="24"/>
        </w:rPr>
        <w:t xml:space="preserve">’ </w:t>
      </w:r>
      <w:r w:rsidR="002D7D46" w:rsidRPr="00AE141E">
        <w:rPr>
          <w:rFonts w:ascii="Times New Roman" w:hAnsi="Times New Roman" w:cs="Times New Roman"/>
          <w:sz w:val="24"/>
          <w:szCs w:val="24"/>
        </w:rPr>
        <w:t>not contained within the general curriculum.</w:t>
      </w:r>
      <w:r w:rsidR="00007CF1" w:rsidRPr="00AE141E">
        <w:rPr>
          <w:rFonts w:ascii="Times New Roman" w:hAnsi="Times New Roman" w:cs="Times New Roman"/>
          <w:sz w:val="24"/>
          <w:szCs w:val="24"/>
        </w:rPr>
        <w:t xml:space="preserve"> </w:t>
      </w:r>
      <w:r w:rsidR="002D7D46" w:rsidRPr="00AE141E">
        <w:rPr>
          <w:rFonts w:ascii="Times New Roman" w:hAnsi="Times New Roman" w:cs="Times New Roman"/>
          <w:sz w:val="24"/>
          <w:szCs w:val="24"/>
        </w:rPr>
        <w:t>Thei</w:t>
      </w:r>
      <w:r w:rsidR="00D378C6" w:rsidRPr="00AE141E">
        <w:rPr>
          <w:rFonts w:ascii="Times New Roman" w:hAnsi="Times New Roman" w:cs="Times New Roman"/>
          <w:sz w:val="24"/>
          <w:szCs w:val="24"/>
        </w:rPr>
        <w:t xml:space="preserve">r demand </w:t>
      </w:r>
      <w:r w:rsidR="00B256AC" w:rsidRPr="00AE141E">
        <w:rPr>
          <w:rFonts w:ascii="Times New Roman" w:hAnsi="Times New Roman" w:cs="Times New Roman"/>
          <w:sz w:val="24"/>
          <w:szCs w:val="24"/>
        </w:rPr>
        <w:t xml:space="preserve">was taken seriously by </w:t>
      </w:r>
      <w:r w:rsidR="00D378C6" w:rsidRPr="00AE141E">
        <w:rPr>
          <w:rFonts w:ascii="Times New Roman" w:hAnsi="Times New Roman" w:cs="Times New Roman"/>
          <w:sz w:val="24"/>
          <w:szCs w:val="24"/>
        </w:rPr>
        <w:t>Tulse Hill</w:t>
      </w:r>
      <w:r w:rsidR="00B256AC" w:rsidRPr="00AE141E">
        <w:rPr>
          <w:rFonts w:ascii="Times New Roman" w:hAnsi="Times New Roman" w:cs="Times New Roman"/>
          <w:sz w:val="24"/>
          <w:szCs w:val="24"/>
        </w:rPr>
        <w:t>. In 1973, a whole-school conference, supported by the ILEA</w:t>
      </w:r>
      <w:r w:rsidR="000E6A6B" w:rsidRPr="00AE141E">
        <w:rPr>
          <w:rFonts w:ascii="Times New Roman" w:hAnsi="Times New Roman" w:cs="Times New Roman"/>
          <w:sz w:val="24"/>
          <w:szCs w:val="24"/>
        </w:rPr>
        <w:t xml:space="preserve">, was held in </w:t>
      </w:r>
      <w:r w:rsidR="00F31229" w:rsidRPr="00AE141E">
        <w:rPr>
          <w:rFonts w:ascii="Times New Roman" w:hAnsi="Times New Roman" w:cs="Times New Roman"/>
          <w:sz w:val="24"/>
          <w:szCs w:val="24"/>
        </w:rPr>
        <w:t>Eastbourne</w:t>
      </w:r>
      <w:r w:rsidR="000E6A6B" w:rsidRPr="00AE141E">
        <w:rPr>
          <w:rFonts w:ascii="Times New Roman" w:hAnsi="Times New Roman" w:cs="Times New Roman"/>
          <w:sz w:val="24"/>
          <w:szCs w:val="24"/>
        </w:rPr>
        <w:t xml:space="preserve">. </w:t>
      </w:r>
      <w:r w:rsidR="00E53007" w:rsidRPr="00AE141E">
        <w:rPr>
          <w:rFonts w:ascii="Times New Roman" w:hAnsi="Times New Roman" w:cs="Times New Roman"/>
          <w:sz w:val="24"/>
          <w:szCs w:val="24"/>
        </w:rPr>
        <w:t xml:space="preserve">Inspectors and other local authority workers attended alongside parents, senior students, and members of </w:t>
      </w:r>
      <w:r w:rsidR="008824CD" w:rsidRPr="00AE141E">
        <w:rPr>
          <w:rFonts w:ascii="Times New Roman" w:hAnsi="Times New Roman" w:cs="Times New Roman"/>
          <w:sz w:val="24"/>
          <w:szCs w:val="24"/>
        </w:rPr>
        <w:t>the wider community from which the school drew its pupils.</w:t>
      </w:r>
      <w:r w:rsidR="00D630A6" w:rsidRPr="00AE141E">
        <w:rPr>
          <w:rStyle w:val="FootnoteReference"/>
          <w:rFonts w:ascii="Times New Roman" w:hAnsi="Times New Roman" w:cs="Times New Roman"/>
          <w:sz w:val="24"/>
          <w:szCs w:val="24"/>
        </w:rPr>
        <w:footnoteReference w:id="551"/>
      </w:r>
      <w:r w:rsidR="008A7D6D" w:rsidRPr="00AE141E">
        <w:rPr>
          <w:rFonts w:ascii="Times New Roman" w:hAnsi="Times New Roman" w:cs="Times New Roman"/>
          <w:sz w:val="24"/>
          <w:szCs w:val="24"/>
        </w:rPr>
        <w:t xml:space="preserve"> The conference concluded that </w:t>
      </w:r>
      <w:r w:rsidR="00D378C6" w:rsidRPr="00AE141E">
        <w:rPr>
          <w:rFonts w:ascii="Times New Roman" w:hAnsi="Times New Roman" w:cs="Times New Roman"/>
          <w:sz w:val="24"/>
          <w:szCs w:val="24"/>
        </w:rPr>
        <w:t xml:space="preserve">the standard history syllabus ‘did not cater for the interests of black pupils and that it did not provide enough </w:t>
      </w:r>
      <w:r w:rsidR="006C3828" w:rsidRPr="00AE141E">
        <w:rPr>
          <w:rFonts w:ascii="Times New Roman" w:hAnsi="Times New Roman" w:cs="Times New Roman"/>
          <w:sz w:val="24"/>
          <w:szCs w:val="24"/>
        </w:rPr>
        <w:t>working-class</w:t>
      </w:r>
      <w:r w:rsidR="00D378C6" w:rsidRPr="00AE141E">
        <w:rPr>
          <w:rFonts w:ascii="Times New Roman" w:hAnsi="Times New Roman" w:cs="Times New Roman"/>
          <w:sz w:val="24"/>
          <w:szCs w:val="24"/>
        </w:rPr>
        <w:t xml:space="preserve"> history.’ Henceforward, </w:t>
      </w:r>
      <w:r w:rsidR="00151C10" w:rsidRPr="00AE141E">
        <w:rPr>
          <w:rFonts w:ascii="Times New Roman" w:hAnsi="Times New Roman" w:cs="Times New Roman"/>
          <w:sz w:val="24"/>
          <w:szCs w:val="24"/>
        </w:rPr>
        <w:t xml:space="preserve">the school’s history department was to embark on a course of total curriculum revision, </w:t>
      </w:r>
      <w:r w:rsidR="008C39B3" w:rsidRPr="00AE141E">
        <w:rPr>
          <w:rFonts w:ascii="Times New Roman" w:hAnsi="Times New Roman" w:cs="Times New Roman"/>
          <w:sz w:val="24"/>
          <w:szCs w:val="24"/>
        </w:rPr>
        <w:t xml:space="preserve">integrating the lessons of </w:t>
      </w:r>
      <w:r w:rsidR="005A5452" w:rsidRPr="00AE141E">
        <w:rPr>
          <w:rFonts w:ascii="Times New Roman" w:hAnsi="Times New Roman" w:cs="Times New Roman"/>
          <w:sz w:val="24"/>
          <w:szCs w:val="24"/>
        </w:rPr>
        <w:t>Black Studies into its general taught content.</w:t>
      </w:r>
    </w:p>
    <w:p w14:paraId="35E34C48" w14:textId="534E7D4F" w:rsidR="005E7A59" w:rsidRPr="00AE141E" w:rsidRDefault="00232F6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new history curriculum, pioneered by Nigel File</w:t>
      </w:r>
      <w:r w:rsidR="00E7367C" w:rsidRPr="00AE141E">
        <w:rPr>
          <w:rFonts w:ascii="Times New Roman" w:hAnsi="Times New Roman" w:cs="Times New Roman"/>
          <w:sz w:val="24"/>
          <w:szCs w:val="24"/>
        </w:rPr>
        <w:t xml:space="preserve">, </w:t>
      </w:r>
      <w:r w:rsidRPr="00AE141E">
        <w:rPr>
          <w:rFonts w:ascii="Times New Roman" w:hAnsi="Times New Roman" w:cs="Times New Roman"/>
          <w:sz w:val="24"/>
          <w:szCs w:val="24"/>
        </w:rPr>
        <w:t>Chris Power,</w:t>
      </w:r>
      <w:r w:rsidR="00E7367C" w:rsidRPr="00AE141E">
        <w:rPr>
          <w:rFonts w:ascii="Times New Roman" w:hAnsi="Times New Roman" w:cs="Times New Roman"/>
          <w:sz w:val="24"/>
          <w:szCs w:val="24"/>
        </w:rPr>
        <w:t xml:space="preserve"> and Donald Hinds,</w:t>
      </w:r>
      <w:r w:rsidRPr="00AE141E">
        <w:rPr>
          <w:rFonts w:ascii="Times New Roman" w:hAnsi="Times New Roman" w:cs="Times New Roman"/>
          <w:sz w:val="24"/>
          <w:szCs w:val="24"/>
        </w:rPr>
        <w:t xml:space="preserve"> </w:t>
      </w:r>
      <w:r w:rsidR="00AE579B" w:rsidRPr="00AE141E">
        <w:rPr>
          <w:rFonts w:ascii="Times New Roman" w:hAnsi="Times New Roman" w:cs="Times New Roman"/>
          <w:sz w:val="24"/>
          <w:szCs w:val="24"/>
        </w:rPr>
        <w:t xml:space="preserve">embraced what Carter has described as </w:t>
      </w:r>
      <w:r w:rsidR="000608EB" w:rsidRPr="00AE141E">
        <w:rPr>
          <w:rFonts w:ascii="Times New Roman" w:hAnsi="Times New Roman" w:cs="Times New Roman"/>
          <w:sz w:val="24"/>
          <w:szCs w:val="24"/>
        </w:rPr>
        <w:t xml:space="preserve">the ‘history of everyday life’; </w:t>
      </w:r>
      <w:r w:rsidR="00AE579B" w:rsidRPr="00AE141E">
        <w:rPr>
          <w:rFonts w:ascii="Times New Roman" w:hAnsi="Times New Roman" w:cs="Times New Roman"/>
          <w:iCs/>
          <w:sz w:val="24"/>
          <w:szCs w:val="24"/>
        </w:rPr>
        <w:t>a vision of the past which privileged</w:t>
      </w:r>
      <w:r w:rsidR="0046280E" w:rsidRPr="00AE141E">
        <w:rPr>
          <w:rFonts w:ascii="Times New Roman" w:hAnsi="Times New Roman" w:cs="Times New Roman"/>
          <w:sz w:val="24"/>
          <w:szCs w:val="24"/>
        </w:rPr>
        <w:t xml:space="preserve"> the</w:t>
      </w:r>
      <w:r w:rsidR="00AE579B" w:rsidRPr="00AE141E">
        <w:rPr>
          <w:rFonts w:ascii="Times New Roman" w:hAnsi="Times New Roman" w:cs="Times New Roman"/>
          <w:iCs/>
          <w:sz w:val="24"/>
          <w:szCs w:val="24"/>
        </w:rPr>
        <w:t xml:space="preserve"> ‘</w:t>
      </w:r>
      <w:r w:rsidR="000608EB" w:rsidRPr="00AE141E">
        <w:rPr>
          <w:rFonts w:ascii="Times New Roman" w:hAnsi="Times New Roman" w:cs="Times New Roman"/>
          <w:sz w:val="24"/>
          <w:szCs w:val="24"/>
        </w:rPr>
        <w:t>ordinary’</w:t>
      </w:r>
      <w:r w:rsidR="0046280E" w:rsidRPr="00AE141E">
        <w:rPr>
          <w:rFonts w:ascii="Times New Roman" w:hAnsi="Times New Roman" w:cs="Times New Roman"/>
          <w:sz w:val="24"/>
          <w:szCs w:val="24"/>
        </w:rPr>
        <w:t xml:space="preserve">, often expressed through personal anecdote or </w:t>
      </w:r>
      <w:r w:rsidR="00F1185F" w:rsidRPr="00AE141E">
        <w:rPr>
          <w:rFonts w:ascii="Times New Roman" w:hAnsi="Times New Roman" w:cs="Times New Roman"/>
          <w:sz w:val="24"/>
          <w:szCs w:val="24"/>
        </w:rPr>
        <w:t xml:space="preserve">material </w:t>
      </w:r>
      <w:r w:rsidR="00F1185F" w:rsidRPr="00AE141E">
        <w:rPr>
          <w:rFonts w:ascii="Times New Roman" w:hAnsi="Times New Roman" w:cs="Times New Roman"/>
          <w:sz w:val="24"/>
          <w:szCs w:val="24"/>
        </w:rPr>
        <w:lastRenderedPageBreak/>
        <w:t>culture</w:t>
      </w:r>
      <w:r w:rsidR="00AE579B" w:rsidRPr="00AE141E">
        <w:rPr>
          <w:rFonts w:ascii="Times New Roman" w:hAnsi="Times New Roman" w:cs="Times New Roman"/>
          <w:iCs/>
          <w:sz w:val="24"/>
          <w:szCs w:val="24"/>
        </w:rPr>
        <w:t>.</w:t>
      </w:r>
      <w:r w:rsidR="006070F9" w:rsidRPr="00AE141E">
        <w:rPr>
          <w:rStyle w:val="FootnoteReference"/>
          <w:rFonts w:ascii="Times New Roman" w:hAnsi="Times New Roman" w:cs="Times New Roman"/>
          <w:sz w:val="24"/>
          <w:szCs w:val="24"/>
        </w:rPr>
        <w:footnoteReference w:id="552"/>
      </w:r>
      <w:r w:rsidR="00AE579B" w:rsidRPr="00AE141E">
        <w:rPr>
          <w:rFonts w:ascii="Times New Roman" w:hAnsi="Times New Roman" w:cs="Times New Roman"/>
          <w:iCs/>
          <w:sz w:val="24"/>
          <w:szCs w:val="24"/>
        </w:rPr>
        <w:t xml:space="preserve"> </w:t>
      </w:r>
      <w:r w:rsidR="00796EA2" w:rsidRPr="00AE141E">
        <w:rPr>
          <w:rFonts w:ascii="Times New Roman" w:hAnsi="Times New Roman" w:cs="Times New Roman"/>
          <w:sz w:val="24"/>
          <w:szCs w:val="24"/>
        </w:rPr>
        <w:t xml:space="preserve">File and </w:t>
      </w:r>
      <w:r w:rsidR="00EA5597" w:rsidRPr="00AE141E">
        <w:rPr>
          <w:rFonts w:ascii="Times New Roman" w:hAnsi="Times New Roman" w:cs="Times New Roman"/>
          <w:sz w:val="24"/>
          <w:szCs w:val="24"/>
        </w:rPr>
        <w:t>Hinds</w:t>
      </w:r>
      <w:r w:rsidR="00796EA2" w:rsidRPr="00AE141E">
        <w:rPr>
          <w:rFonts w:ascii="Times New Roman" w:hAnsi="Times New Roman" w:cs="Times New Roman"/>
          <w:sz w:val="24"/>
          <w:szCs w:val="24"/>
        </w:rPr>
        <w:t xml:space="preserve"> condemned the </w:t>
      </w:r>
      <w:r w:rsidR="00B1746D" w:rsidRPr="00AE141E">
        <w:rPr>
          <w:rFonts w:ascii="Times New Roman" w:hAnsi="Times New Roman" w:cs="Times New Roman"/>
          <w:sz w:val="24"/>
          <w:szCs w:val="24"/>
        </w:rPr>
        <w:t>reduction of history to a chronicle of ‘</w:t>
      </w:r>
      <w:r w:rsidR="00F45A0D" w:rsidRPr="00AE141E">
        <w:rPr>
          <w:rFonts w:ascii="Times New Roman" w:hAnsi="Times New Roman" w:cs="Times New Roman"/>
          <w:sz w:val="24"/>
          <w:szCs w:val="24"/>
        </w:rPr>
        <w:t>careers of leaders, kings and presidents</w:t>
      </w:r>
      <w:r w:rsidR="00B1746D" w:rsidRPr="00AE141E">
        <w:rPr>
          <w:rFonts w:ascii="Times New Roman" w:hAnsi="Times New Roman" w:cs="Times New Roman"/>
          <w:sz w:val="24"/>
          <w:szCs w:val="24"/>
        </w:rPr>
        <w:t>’</w:t>
      </w:r>
      <w:r w:rsidR="00F45A0D" w:rsidRPr="00AE141E">
        <w:rPr>
          <w:rFonts w:ascii="Times New Roman" w:hAnsi="Times New Roman" w:cs="Times New Roman"/>
          <w:sz w:val="24"/>
          <w:szCs w:val="24"/>
        </w:rPr>
        <w:t>.</w:t>
      </w:r>
      <w:r w:rsidR="00F64B55" w:rsidRPr="00AE141E">
        <w:rPr>
          <w:rStyle w:val="FootnoteReference"/>
          <w:rFonts w:ascii="Times New Roman" w:hAnsi="Times New Roman" w:cs="Times New Roman"/>
          <w:sz w:val="24"/>
          <w:szCs w:val="24"/>
        </w:rPr>
        <w:footnoteReference w:id="553"/>
      </w:r>
      <w:r w:rsidR="008B0C93" w:rsidRPr="00AE141E">
        <w:rPr>
          <w:rFonts w:ascii="Times New Roman" w:hAnsi="Times New Roman" w:cs="Times New Roman"/>
          <w:sz w:val="24"/>
          <w:szCs w:val="24"/>
        </w:rPr>
        <w:t xml:space="preserve"> </w:t>
      </w:r>
      <w:r w:rsidR="000712EE" w:rsidRPr="00AE141E">
        <w:rPr>
          <w:rFonts w:ascii="Times New Roman" w:hAnsi="Times New Roman" w:cs="Times New Roman"/>
          <w:sz w:val="24"/>
          <w:szCs w:val="24"/>
        </w:rPr>
        <w:t>H</w:t>
      </w:r>
      <w:r w:rsidR="005B68E1" w:rsidRPr="00AE141E">
        <w:rPr>
          <w:rFonts w:ascii="Times New Roman" w:hAnsi="Times New Roman" w:cs="Times New Roman"/>
          <w:sz w:val="24"/>
          <w:szCs w:val="24"/>
        </w:rPr>
        <w:t>istory was of greatest interest, and greatest use, to students when</w:t>
      </w:r>
      <w:r w:rsidR="008E0414" w:rsidRPr="00AE141E">
        <w:rPr>
          <w:rFonts w:ascii="Times New Roman" w:hAnsi="Times New Roman" w:cs="Times New Roman"/>
          <w:sz w:val="24"/>
          <w:szCs w:val="24"/>
        </w:rPr>
        <w:t xml:space="preserve"> it was</w:t>
      </w:r>
      <w:r w:rsidR="005B68E1" w:rsidRPr="00AE141E">
        <w:rPr>
          <w:rFonts w:ascii="Times New Roman" w:hAnsi="Times New Roman" w:cs="Times New Roman"/>
          <w:sz w:val="24"/>
          <w:szCs w:val="24"/>
        </w:rPr>
        <w:t xml:space="preserve"> ‘personalised’. The </w:t>
      </w:r>
      <w:r w:rsidR="000665FB" w:rsidRPr="00AE141E">
        <w:rPr>
          <w:rFonts w:ascii="Times New Roman" w:hAnsi="Times New Roman" w:cs="Times New Roman"/>
          <w:sz w:val="24"/>
          <w:szCs w:val="24"/>
        </w:rPr>
        <w:t xml:space="preserve">presence of ‘one’s own ancestors’ in the historical narrative was guaranteed to </w:t>
      </w:r>
      <w:r w:rsidR="00301321" w:rsidRPr="00AE141E">
        <w:rPr>
          <w:rFonts w:ascii="Times New Roman" w:hAnsi="Times New Roman" w:cs="Times New Roman"/>
          <w:sz w:val="24"/>
          <w:szCs w:val="24"/>
        </w:rPr>
        <w:t xml:space="preserve">instil a sense of belonging in the historian. The challenge, then, was to ‘unlock the doors of the past and learn what they were doing’. </w:t>
      </w:r>
      <w:r w:rsidR="00D421A4" w:rsidRPr="00AE141E">
        <w:rPr>
          <w:rFonts w:ascii="Times New Roman" w:hAnsi="Times New Roman" w:cs="Times New Roman"/>
          <w:sz w:val="24"/>
          <w:szCs w:val="24"/>
        </w:rPr>
        <w:t xml:space="preserve">File and </w:t>
      </w:r>
      <w:r w:rsidR="00EA5597" w:rsidRPr="00AE141E">
        <w:rPr>
          <w:rFonts w:ascii="Times New Roman" w:hAnsi="Times New Roman" w:cs="Times New Roman"/>
          <w:sz w:val="24"/>
          <w:szCs w:val="24"/>
        </w:rPr>
        <w:t>Hinds</w:t>
      </w:r>
      <w:r w:rsidR="00D421A4" w:rsidRPr="00AE141E">
        <w:rPr>
          <w:rFonts w:ascii="Times New Roman" w:hAnsi="Times New Roman" w:cs="Times New Roman"/>
          <w:sz w:val="24"/>
          <w:szCs w:val="24"/>
        </w:rPr>
        <w:t xml:space="preserve"> cited </w:t>
      </w:r>
      <w:r w:rsidR="00D421A4" w:rsidRPr="00AE141E">
        <w:rPr>
          <w:rFonts w:ascii="Times New Roman" w:hAnsi="Times New Roman" w:cs="Times New Roman"/>
          <w:i/>
          <w:sz w:val="24"/>
          <w:szCs w:val="24"/>
        </w:rPr>
        <w:t xml:space="preserve">Roots </w:t>
      </w:r>
      <w:r w:rsidR="00D421A4" w:rsidRPr="00AE141E">
        <w:rPr>
          <w:rFonts w:ascii="Times New Roman" w:hAnsi="Times New Roman" w:cs="Times New Roman"/>
          <w:sz w:val="24"/>
          <w:szCs w:val="24"/>
        </w:rPr>
        <w:t xml:space="preserve">as </w:t>
      </w:r>
      <w:r w:rsidR="00070A31" w:rsidRPr="00AE141E">
        <w:rPr>
          <w:rFonts w:ascii="Times New Roman" w:hAnsi="Times New Roman" w:cs="Times New Roman"/>
          <w:sz w:val="24"/>
          <w:szCs w:val="24"/>
        </w:rPr>
        <w:t xml:space="preserve">an exemplar of </w:t>
      </w:r>
      <w:r w:rsidR="0053101A" w:rsidRPr="00AE141E">
        <w:rPr>
          <w:rFonts w:ascii="Times New Roman" w:hAnsi="Times New Roman" w:cs="Times New Roman"/>
          <w:sz w:val="24"/>
          <w:szCs w:val="24"/>
        </w:rPr>
        <w:t>historical research which started from the personal</w:t>
      </w:r>
      <w:r w:rsidR="0009567D" w:rsidRPr="00AE141E">
        <w:rPr>
          <w:rFonts w:ascii="Times New Roman" w:hAnsi="Times New Roman" w:cs="Times New Roman"/>
          <w:sz w:val="24"/>
          <w:szCs w:val="24"/>
        </w:rPr>
        <w:t xml:space="preserve"> and familiar in its effort to understand the past. </w:t>
      </w:r>
    </w:p>
    <w:p w14:paraId="1143174E" w14:textId="6DB1E7F2" w:rsidR="00280023" w:rsidRPr="00AE141E" w:rsidRDefault="00EA3AE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Tulse Hill’s </w:t>
      </w:r>
      <w:r w:rsidR="003644E1">
        <w:rPr>
          <w:rFonts w:ascii="Times New Roman" w:hAnsi="Times New Roman" w:cs="Times New Roman"/>
          <w:sz w:val="24"/>
          <w:szCs w:val="24"/>
        </w:rPr>
        <w:t>‘</w:t>
      </w:r>
      <w:r w:rsidR="005121CE" w:rsidRPr="00AE141E">
        <w:rPr>
          <w:rFonts w:ascii="Times New Roman" w:hAnsi="Times New Roman" w:cs="Times New Roman"/>
          <w:sz w:val="24"/>
          <w:szCs w:val="24"/>
        </w:rPr>
        <w:t>Integrated Humanities</w:t>
      </w:r>
      <w:r w:rsidR="003644E1">
        <w:rPr>
          <w:rFonts w:ascii="Times New Roman" w:hAnsi="Times New Roman" w:cs="Times New Roman"/>
          <w:sz w:val="24"/>
          <w:szCs w:val="24"/>
        </w:rPr>
        <w:t>’</w:t>
      </w:r>
      <w:r w:rsidR="005121CE" w:rsidRPr="00AE141E">
        <w:rPr>
          <w:rFonts w:ascii="Times New Roman" w:hAnsi="Times New Roman" w:cs="Times New Roman"/>
          <w:sz w:val="24"/>
          <w:szCs w:val="24"/>
        </w:rPr>
        <w:t xml:space="preserve"> course, which combined the teaching of English, </w:t>
      </w:r>
      <w:r w:rsidR="003644E1">
        <w:rPr>
          <w:rFonts w:ascii="Times New Roman" w:hAnsi="Times New Roman" w:cs="Times New Roman"/>
          <w:sz w:val="24"/>
          <w:szCs w:val="24"/>
        </w:rPr>
        <w:t>g</w:t>
      </w:r>
      <w:r w:rsidR="005121CE" w:rsidRPr="00AE141E">
        <w:rPr>
          <w:rFonts w:ascii="Times New Roman" w:hAnsi="Times New Roman" w:cs="Times New Roman"/>
          <w:sz w:val="24"/>
          <w:szCs w:val="24"/>
        </w:rPr>
        <w:t xml:space="preserve">eography, and </w:t>
      </w:r>
      <w:r w:rsidR="003644E1">
        <w:rPr>
          <w:rFonts w:ascii="Times New Roman" w:hAnsi="Times New Roman" w:cs="Times New Roman"/>
          <w:sz w:val="24"/>
          <w:szCs w:val="24"/>
        </w:rPr>
        <w:t>h</w:t>
      </w:r>
      <w:r w:rsidR="005121CE" w:rsidRPr="00AE141E">
        <w:rPr>
          <w:rFonts w:ascii="Times New Roman" w:hAnsi="Times New Roman" w:cs="Times New Roman"/>
          <w:sz w:val="24"/>
          <w:szCs w:val="24"/>
        </w:rPr>
        <w:t>ist</w:t>
      </w:r>
      <w:r w:rsidR="001B0AFE" w:rsidRPr="00AE141E">
        <w:rPr>
          <w:rFonts w:ascii="Times New Roman" w:hAnsi="Times New Roman" w:cs="Times New Roman"/>
          <w:sz w:val="24"/>
          <w:szCs w:val="24"/>
        </w:rPr>
        <w:t xml:space="preserve">ory </w:t>
      </w:r>
      <w:r w:rsidR="009616AF" w:rsidRPr="00AE141E">
        <w:rPr>
          <w:rFonts w:ascii="Times New Roman" w:hAnsi="Times New Roman" w:cs="Times New Roman"/>
          <w:sz w:val="24"/>
          <w:szCs w:val="24"/>
        </w:rPr>
        <w:t>at lower secondary level, was revised</w:t>
      </w:r>
      <w:r w:rsidR="0096593B" w:rsidRPr="00AE141E">
        <w:rPr>
          <w:rFonts w:ascii="Times New Roman" w:hAnsi="Times New Roman" w:cs="Times New Roman"/>
          <w:sz w:val="24"/>
          <w:szCs w:val="24"/>
        </w:rPr>
        <w:t xml:space="preserve"> to encompass a profoundly local orientation</w:t>
      </w:r>
      <w:r w:rsidR="001B0AFE" w:rsidRPr="00AE141E">
        <w:rPr>
          <w:rFonts w:ascii="Times New Roman" w:hAnsi="Times New Roman" w:cs="Times New Roman"/>
          <w:sz w:val="24"/>
          <w:szCs w:val="24"/>
        </w:rPr>
        <w:t xml:space="preserve">. The new course posited the question </w:t>
      </w:r>
      <w:r w:rsidR="00751C38" w:rsidRPr="00AE141E">
        <w:rPr>
          <w:rFonts w:ascii="Times New Roman" w:hAnsi="Times New Roman" w:cs="Times New Roman"/>
          <w:sz w:val="24"/>
          <w:szCs w:val="24"/>
        </w:rPr>
        <w:t>‘</w:t>
      </w:r>
      <w:r w:rsidR="001B0AFE" w:rsidRPr="00AE141E">
        <w:rPr>
          <w:rFonts w:ascii="Times New Roman" w:hAnsi="Times New Roman" w:cs="Times New Roman"/>
          <w:sz w:val="24"/>
          <w:szCs w:val="24"/>
        </w:rPr>
        <w:t>Who are the British?’</w:t>
      </w:r>
      <w:r w:rsidR="00FA2230" w:rsidRPr="00AE141E">
        <w:rPr>
          <w:rFonts w:ascii="Times New Roman" w:hAnsi="Times New Roman" w:cs="Times New Roman"/>
          <w:sz w:val="24"/>
          <w:szCs w:val="24"/>
        </w:rPr>
        <w:t>.</w:t>
      </w:r>
      <w:r w:rsidR="001546E0" w:rsidRPr="00AE141E">
        <w:rPr>
          <w:rStyle w:val="FootnoteReference"/>
          <w:rFonts w:ascii="Times New Roman" w:hAnsi="Times New Roman" w:cs="Times New Roman"/>
          <w:sz w:val="24"/>
          <w:szCs w:val="24"/>
        </w:rPr>
        <w:footnoteReference w:id="554"/>
      </w:r>
      <w:r w:rsidR="00FA2230" w:rsidRPr="00AE141E">
        <w:rPr>
          <w:rFonts w:ascii="Times New Roman" w:hAnsi="Times New Roman" w:cs="Times New Roman"/>
          <w:sz w:val="24"/>
          <w:szCs w:val="24"/>
        </w:rPr>
        <w:t xml:space="preserve"> Pupils studied </w:t>
      </w:r>
      <w:r w:rsidR="000D2BF5" w:rsidRPr="00AE141E">
        <w:rPr>
          <w:rFonts w:ascii="Times New Roman" w:hAnsi="Times New Roman" w:cs="Times New Roman"/>
          <w:sz w:val="24"/>
          <w:szCs w:val="24"/>
        </w:rPr>
        <w:t xml:space="preserve">the migration and settlement of </w:t>
      </w:r>
      <w:r w:rsidR="00D541A9" w:rsidRPr="00AE141E">
        <w:rPr>
          <w:rFonts w:ascii="Times New Roman" w:hAnsi="Times New Roman" w:cs="Times New Roman"/>
          <w:sz w:val="24"/>
          <w:szCs w:val="24"/>
        </w:rPr>
        <w:t>the Celts, Romans, and Anglo-Saxons</w:t>
      </w:r>
      <w:r w:rsidR="00AF7CD4" w:rsidRPr="00AE141E">
        <w:rPr>
          <w:rFonts w:ascii="Times New Roman" w:hAnsi="Times New Roman" w:cs="Times New Roman"/>
          <w:sz w:val="24"/>
          <w:szCs w:val="24"/>
        </w:rPr>
        <w:t xml:space="preserve"> in their first year</w:t>
      </w:r>
      <w:r w:rsidR="0033115D" w:rsidRPr="00AE141E">
        <w:rPr>
          <w:rFonts w:ascii="Times New Roman" w:hAnsi="Times New Roman" w:cs="Times New Roman"/>
          <w:sz w:val="24"/>
          <w:szCs w:val="24"/>
        </w:rPr>
        <w:t>, and the Vikings, Normans, Jewish communities, African-Caribbeans and Huguenots</w:t>
      </w:r>
      <w:r w:rsidR="000446E1" w:rsidRPr="00AE141E">
        <w:rPr>
          <w:rFonts w:ascii="Times New Roman" w:hAnsi="Times New Roman" w:cs="Times New Roman"/>
          <w:sz w:val="24"/>
          <w:szCs w:val="24"/>
        </w:rPr>
        <w:t xml:space="preserve"> in their second. </w:t>
      </w:r>
      <w:r w:rsidR="002263EF" w:rsidRPr="00AE141E">
        <w:rPr>
          <w:rFonts w:ascii="Times New Roman" w:hAnsi="Times New Roman" w:cs="Times New Roman"/>
          <w:sz w:val="24"/>
          <w:szCs w:val="24"/>
        </w:rPr>
        <w:t>The course did not pr</w:t>
      </w:r>
      <w:r w:rsidR="001C77D1" w:rsidRPr="00AE141E">
        <w:rPr>
          <w:rFonts w:ascii="Times New Roman" w:hAnsi="Times New Roman" w:cs="Times New Roman"/>
          <w:sz w:val="24"/>
          <w:szCs w:val="24"/>
        </w:rPr>
        <w:t>esent a fixed, pre-conceived notion of British national identity</w:t>
      </w:r>
      <w:r w:rsidR="00877855" w:rsidRPr="00AE141E">
        <w:rPr>
          <w:rFonts w:ascii="Times New Roman" w:hAnsi="Times New Roman" w:cs="Times New Roman"/>
          <w:sz w:val="24"/>
          <w:szCs w:val="24"/>
        </w:rPr>
        <w:t>. S</w:t>
      </w:r>
      <w:r w:rsidR="003119CE" w:rsidRPr="00AE141E">
        <w:rPr>
          <w:rFonts w:ascii="Times New Roman" w:hAnsi="Times New Roman" w:cs="Times New Roman"/>
          <w:sz w:val="24"/>
          <w:szCs w:val="24"/>
        </w:rPr>
        <w:t xml:space="preserve">tudents were instead expected to consider </w:t>
      </w:r>
      <w:r w:rsidR="00465E48" w:rsidRPr="00AE141E">
        <w:rPr>
          <w:rFonts w:ascii="Times New Roman" w:hAnsi="Times New Roman" w:cs="Times New Roman"/>
          <w:sz w:val="24"/>
          <w:szCs w:val="24"/>
        </w:rPr>
        <w:t xml:space="preserve">questions of identity formation and </w:t>
      </w:r>
      <w:r w:rsidR="00D2510C" w:rsidRPr="00AE141E">
        <w:rPr>
          <w:rFonts w:ascii="Times New Roman" w:hAnsi="Times New Roman" w:cs="Times New Roman"/>
          <w:sz w:val="24"/>
          <w:szCs w:val="24"/>
        </w:rPr>
        <w:t>the construction of the national idea</w:t>
      </w:r>
      <w:r w:rsidR="003119CE" w:rsidRPr="00AE141E">
        <w:rPr>
          <w:rFonts w:ascii="Times New Roman" w:hAnsi="Times New Roman" w:cs="Times New Roman"/>
          <w:sz w:val="24"/>
          <w:szCs w:val="24"/>
        </w:rPr>
        <w:t>.</w:t>
      </w:r>
      <w:r w:rsidR="00CC1BE6" w:rsidRPr="00AE141E">
        <w:rPr>
          <w:rFonts w:ascii="Times New Roman" w:hAnsi="Times New Roman" w:cs="Times New Roman"/>
          <w:sz w:val="24"/>
          <w:szCs w:val="24"/>
        </w:rPr>
        <w:t xml:space="preserve"> </w:t>
      </w:r>
      <w:r w:rsidR="0096593B" w:rsidRPr="00AE141E">
        <w:rPr>
          <w:rFonts w:ascii="Times New Roman" w:hAnsi="Times New Roman" w:cs="Times New Roman"/>
          <w:sz w:val="24"/>
          <w:szCs w:val="24"/>
        </w:rPr>
        <w:t xml:space="preserve">Teaching emphasised the </w:t>
      </w:r>
      <w:r w:rsidR="0032596B" w:rsidRPr="00AE141E">
        <w:rPr>
          <w:rFonts w:ascii="Times New Roman" w:hAnsi="Times New Roman" w:cs="Times New Roman"/>
          <w:sz w:val="24"/>
          <w:szCs w:val="24"/>
        </w:rPr>
        <w:t>‘</w:t>
      </w:r>
      <w:r w:rsidR="00B342C7" w:rsidRPr="00AE141E">
        <w:rPr>
          <w:rFonts w:ascii="Times New Roman" w:hAnsi="Times New Roman" w:cs="Times New Roman"/>
          <w:sz w:val="24"/>
          <w:szCs w:val="24"/>
        </w:rPr>
        <w:t>material survivals</w:t>
      </w:r>
      <w:r w:rsidR="0032596B" w:rsidRPr="00AE141E">
        <w:rPr>
          <w:rFonts w:ascii="Times New Roman" w:hAnsi="Times New Roman" w:cs="Times New Roman"/>
          <w:sz w:val="24"/>
          <w:szCs w:val="24"/>
        </w:rPr>
        <w:t xml:space="preserve">’ of the past as a central theme – inviting young people to study the legacy of the past as it manifested in quotidian </w:t>
      </w:r>
      <w:r w:rsidR="00AC40B6" w:rsidRPr="00AE141E">
        <w:rPr>
          <w:rFonts w:ascii="Times New Roman" w:hAnsi="Times New Roman" w:cs="Times New Roman"/>
          <w:sz w:val="24"/>
          <w:szCs w:val="24"/>
        </w:rPr>
        <w:t>life</w:t>
      </w:r>
      <w:r w:rsidR="0032596B" w:rsidRPr="00AE141E">
        <w:rPr>
          <w:rFonts w:ascii="Times New Roman" w:hAnsi="Times New Roman" w:cs="Times New Roman"/>
          <w:sz w:val="24"/>
          <w:szCs w:val="24"/>
        </w:rPr>
        <w:t xml:space="preserve">. </w:t>
      </w:r>
      <w:r w:rsidR="003A35FC" w:rsidRPr="00AE141E">
        <w:rPr>
          <w:rFonts w:ascii="Times New Roman" w:hAnsi="Times New Roman" w:cs="Times New Roman"/>
          <w:sz w:val="24"/>
          <w:szCs w:val="24"/>
        </w:rPr>
        <w:t>T</w:t>
      </w:r>
      <w:r w:rsidR="005E1C5A" w:rsidRPr="00AE141E">
        <w:rPr>
          <w:rFonts w:ascii="Times New Roman" w:hAnsi="Times New Roman" w:cs="Times New Roman"/>
          <w:sz w:val="24"/>
          <w:szCs w:val="24"/>
        </w:rPr>
        <w:t>o this end, th</w:t>
      </w:r>
      <w:r w:rsidR="004D432B" w:rsidRPr="00AE141E">
        <w:rPr>
          <w:rFonts w:ascii="Times New Roman" w:hAnsi="Times New Roman" w:cs="Times New Roman"/>
          <w:sz w:val="24"/>
          <w:szCs w:val="24"/>
        </w:rPr>
        <w:t xml:space="preserve">e history of the community in which </w:t>
      </w:r>
      <w:r w:rsidR="001E22E2" w:rsidRPr="00AE141E">
        <w:rPr>
          <w:rFonts w:ascii="Times New Roman" w:hAnsi="Times New Roman" w:cs="Times New Roman"/>
          <w:sz w:val="24"/>
          <w:szCs w:val="24"/>
        </w:rPr>
        <w:t xml:space="preserve">the school was </w:t>
      </w:r>
      <w:r w:rsidR="00280023" w:rsidRPr="00AE141E">
        <w:rPr>
          <w:rFonts w:ascii="Times New Roman" w:hAnsi="Times New Roman" w:cs="Times New Roman"/>
          <w:sz w:val="24"/>
          <w:szCs w:val="24"/>
        </w:rPr>
        <w:t>situated</w:t>
      </w:r>
      <w:r w:rsidR="001E22E2" w:rsidRPr="00AE141E">
        <w:rPr>
          <w:rFonts w:ascii="Times New Roman" w:hAnsi="Times New Roman" w:cs="Times New Roman"/>
          <w:sz w:val="24"/>
          <w:szCs w:val="24"/>
        </w:rPr>
        <w:t xml:space="preserve"> was </w:t>
      </w:r>
      <w:r w:rsidR="009E2DE2" w:rsidRPr="00AE141E">
        <w:rPr>
          <w:rFonts w:ascii="Times New Roman" w:hAnsi="Times New Roman" w:cs="Times New Roman"/>
          <w:sz w:val="24"/>
          <w:szCs w:val="24"/>
        </w:rPr>
        <w:t>utilised</w:t>
      </w:r>
      <w:r w:rsidR="001E22E2" w:rsidRPr="00AE141E">
        <w:rPr>
          <w:rFonts w:ascii="Times New Roman" w:hAnsi="Times New Roman" w:cs="Times New Roman"/>
          <w:sz w:val="24"/>
          <w:szCs w:val="24"/>
        </w:rPr>
        <w:t>.</w:t>
      </w:r>
      <w:r w:rsidR="00280023" w:rsidRPr="00AE141E">
        <w:rPr>
          <w:rFonts w:ascii="Times New Roman" w:hAnsi="Times New Roman" w:cs="Times New Roman"/>
          <w:sz w:val="24"/>
          <w:szCs w:val="24"/>
        </w:rPr>
        <w:t xml:space="preserve"> </w:t>
      </w:r>
    </w:p>
    <w:p w14:paraId="6E2C622D" w14:textId="28946690" w:rsidR="0072090D" w:rsidRPr="00AE141E" w:rsidRDefault="0028002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1981, the course was developed into a textbook, </w:t>
      </w:r>
      <w:r w:rsidRPr="00AE141E">
        <w:rPr>
          <w:rFonts w:ascii="Times New Roman" w:hAnsi="Times New Roman" w:cs="Times New Roman"/>
          <w:i/>
          <w:sz w:val="24"/>
          <w:szCs w:val="24"/>
        </w:rPr>
        <w:t>Black Settlers in Britain, 1555-1958</w:t>
      </w:r>
      <w:r w:rsidR="004837AC" w:rsidRPr="00AE141E">
        <w:rPr>
          <w:rFonts w:ascii="Times New Roman" w:hAnsi="Times New Roman" w:cs="Times New Roman"/>
          <w:sz w:val="24"/>
          <w:szCs w:val="24"/>
        </w:rPr>
        <w:t>. W</w:t>
      </w:r>
      <w:r w:rsidR="00D32309" w:rsidRPr="00AE141E">
        <w:rPr>
          <w:rFonts w:ascii="Times New Roman" w:hAnsi="Times New Roman" w:cs="Times New Roman"/>
          <w:sz w:val="24"/>
          <w:szCs w:val="24"/>
        </w:rPr>
        <w:t xml:space="preserve">hen placed in dialogue with teachers’ </w:t>
      </w:r>
      <w:r w:rsidR="000B2158" w:rsidRPr="00AE141E">
        <w:rPr>
          <w:rFonts w:ascii="Times New Roman" w:hAnsi="Times New Roman" w:cs="Times New Roman"/>
          <w:sz w:val="24"/>
          <w:szCs w:val="24"/>
        </w:rPr>
        <w:t>reflections on the course, this</w:t>
      </w:r>
      <w:r w:rsidR="00D32309" w:rsidRPr="00AE141E">
        <w:rPr>
          <w:rFonts w:ascii="Times New Roman" w:hAnsi="Times New Roman" w:cs="Times New Roman"/>
          <w:sz w:val="24"/>
          <w:szCs w:val="24"/>
        </w:rPr>
        <w:t xml:space="preserve"> allows </w:t>
      </w:r>
      <w:r w:rsidR="008B4B07" w:rsidRPr="00AE141E">
        <w:rPr>
          <w:rFonts w:ascii="Times New Roman" w:hAnsi="Times New Roman" w:cs="Times New Roman"/>
          <w:sz w:val="24"/>
          <w:szCs w:val="24"/>
        </w:rPr>
        <w:t>us to reconstruct what might have been taught at Tulse Hill.</w:t>
      </w:r>
      <w:r w:rsidR="00357512" w:rsidRPr="00AE141E">
        <w:rPr>
          <w:rFonts w:ascii="Times New Roman" w:hAnsi="Times New Roman" w:cs="Times New Roman"/>
          <w:sz w:val="24"/>
          <w:szCs w:val="24"/>
        </w:rPr>
        <w:t xml:space="preserve"> The </w:t>
      </w:r>
      <w:r w:rsidR="000B2158" w:rsidRPr="00AE141E">
        <w:rPr>
          <w:rFonts w:ascii="Times New Roman" w:hAnsi="Times New Roman" w:cs="Times New Roman"/>
          <w:sz w:val="24"/>
          <w:szCs w:val="24"/>
        </w:rPr>
        <w:t xml:space="preserve">textbook used the </w:t>
      </w:r>
      <w:r w:rsidR="00357512" w:rsidRPr="00AE141E">
        <w:rPr>
          <w:rFonts w:ascii="Times New Roman" w:hAnsi="Times New Roman" w:cs="Times New Roman"/>
          <w:sz w:val="24"/>
          <w:szCs w:val="24"/>
        </w:rPr>
        <w:t xml:space="preserve">term </w:t>
      </w:r>
      <w:r w:rsidR="00CB1305" w:rsidRPr="00AE141E">
        <w:rPr>
          <w:rFonts w:ascii="Times New Roman" w:hAnsi="Times New Roman" w:cs="Times New Roman"/>
          <w:sz w:val="24"/>
          <w:szCs w:val="24"/>
        </w:rPr>
        <w:t>‘black’ somewhat ambiguously.</w:t>
      </w:r>
      <w:r w:rsidR="002E675E" w:rsidRPr="00AE141E">
        <w:rPr>
          <w:rFonts w:ascii="Times New Roman" w:hAnsi="Times New Roman" w:cs="Times New Roman"/>
          <w:sz w:val="24"/>
          <w:szCs w:val="24"/>
        </w:rPr>
        <w:t xml:space="preserve"> </w:t>
      </w:r>
      <w:r w:rsidR="00D139EF" w:rsidRPr="00AE141E">
        <w:rPr>
          <w:rFonts w:ascii="Times New Roman" w:hAnsi="Times New Roman" w:cs="Times New Roman"/>
          <w:sz w:val="24"/>
          <w:szCs w:val="24"/>
        </w:rPr>
        <w:t>File and Hinds</w:t>
      </w:r>
      <w:r w:rsidR="001F67CE" w:rsidRPr="00AE141E">
        <w:rPr>
          <w:rFonts w:ascii="Times New Roman" w:hAnsi="Times New Roman" w:cs="Times New Roman"/>
          <w:sz w:val="24"/>
          <w:szCs w:val="24"/>
        </w:rPr>
        <w:t xml:space="preserve"> </w:t>
      </w:r>
      <w:r w:rsidR="00D139EF" w:rsidRPr="00AE141E">
        <w:rPr>
          <w:rFonts w:ascii="Times New Roman" w:hAnsi="Times New Roman" w:cs="Times New Roman"/>
          <w:sz w:val="24"/>
          <w:szCs w:val="24"/>
        </w:rPr>
        <w:t xml:space="preserve">expressed </w:t>
      </w:r>
      <w:r w:rsidR="001A3CEF" w:rsidRPr="00AE141E">
        <w:rPr>
          <w:rFonts w:ascii="Times New Roman" w:hAnsi="Times New Roman" w:cs="Times New Roman"/>
          <w:sz w:val="24"/>
          <w:szCs w:val="24"/>
        </w:rPr>
        <w:t>a</w:t>
      </w:r>
      <w:r w:rsidR="0071430B" w:rsidRPr="00AE141E">
        <w:rPr>
          <w:rFonts w:ascii="Times New Roman" w:hAnsi="Times New Roman" w:cs="Times New Roman"/>
          <w:sz w:val="24"/>
          <w:szCs w:val="24"/>
        </w:rPr>
        <w:t xml:space="preserve"> </w:t>
      </w:r>
      <w:r w:rsidR="001A3CEF" w:rsidRPr="00AE141E">
        <w:rPr>
          <w:rFonts w:ascii="Times New Roman" w:hAnsi="Times New Roman" w:cs="Times New Roman"/>
          <w:sz w:val="24"/>
          <w:szCs w:val="24"/>
        </w:rPr>
        <w:t>‘</w:t>
      </w:r>
      <w:r w:rsidR="0071430B" w:rsidRPr="00AE141E">
        <w:rPr>
          <w:rFonts w:ascii="Times New Roman" w:hAnsi="Times New Roman" w:cs="Times New Roman"/>
          <w:sz w:val="24"/>
          <w:szCs w:val="24"/>
        </w:rPr>
        <w:t>personal view</w:t>
      </w:r>
      <w:r w:rsidR="001A3CEF" w:rsidRPr="00AE141E">
        <w:rPr>
          <w:rFonts w:ascii="Times New Roman" w:hAnsi="Times New Roman" w:cs="Times New Roman"/>
          <w:sz w:val="24"/>
          <w:szCs w:val="24"/>
        </w:rPr>
        <w:t>’</w:t>
      </w:r>
      <w:r w:rsidR="0071430B" w:rsidRPr="00AE141E">
        <w:rPr>
          <w:rFonts w:ascii="Times New Roman" w:hAnsi="Times New Roman" w:cs="Times New Roman"/>
          <w:sz w:val="24"/>
          <w:szCs w:val="24"/>
        </w:rPr>
        <w:t xml:space="preserve"> that </w:t>
      </w:r>
      <w:r w:rsidR="004C2687" w:rsidRPr="00AE141E">
        <w:rPr>
          <w:rFonts w:ascii="Times New Roman" w:hAnsi="Times New Roman" w:cs="Times New Roman"/>
          <w:sz w:val="24"/>
          <w:szCs w:val="24"/>
        </w:rPr>
        <w:t>blackness</w:t>
      </w:r>
      <w:r w:rsidR="00D139EF" w:rsidRPr="00AE141E">
        <w:rPr>
          <w:rFonts w:ascii="Times New Roman" w:hAnsi="Times New Roman" w:cs="Times New Roman"/>
          <w:sz w:val="24"/>
          <w:szCs w:val="24"/>
        </w:rPr>
        <w:t xml:space="preserve"> encompassed</w:t>
      </w:r>
      <w:r w:rsidR="006B308F" w:rsidRPr="00AE141E">
        <w:rPr>
          <w:rFonts w:ascii="Times New Roman" w:hAnsi="Times New Roman" w:cs="Times New Roman"/>
          <w:sz w:val="24"/>
          <w:szCs w:val="24"/>
        </w:rPr>
        <w:t xml:space="preserve"> those drawn from ‘</w:t>
      </w:r>
      <w:r w:rsidR="0071430B" w:rsidRPr="00AE141E">
        <w:rPr>
          <w:rFonts w:ascii="Times New Roman" w:hAnsi="Times New Roman" w:cs="Times New Roman"/>
          <w:sz w:val="24"/>
          <w:szCs w:val="24"/>
        </w:rPr>
        <w:t>Afro-Asian-Caribbean</w:t>
      </w:r>
      <w:r w:rsidR="006B308F" w:rsidRPr="00AE141E">
        <w:rPr>
          <w:rFonts w:ascii="Times New Roman" w:hAnsi="Times New Roman" w:cs="Times New Roman"/>
          <w:sz w:val="24"/>
          <w:szCs w:val="24"/>
        </w:rPr>
        <w:t>’</w:t>
      </w:r>
      <w:r w:rsidR="0071430B" w:rsidRPr="00AE141E">
        <w:rPr>
          <w:rFonts w:ascii="Times New Roman" w:hAnsi="Times New Roman" w:cs="Times New Roman"/>
          <w:sz w:val="24"/>
          <w:szCs w:val="24"/>
        </w:rPr>
        <w:t xml:space="preserve"> background</w:t>
      </w:r>
      <w:r w:rsidR="006B308F" w:rsidRPr="00AE141E">
        <w:rPr>
          <w:rFonts w:ascii="Times New Roman" w:hAnsi="Times New Roman" w:cs="Times New Roman"/>
          <w:sz w:val="24"/>
          <w:szCs w:val="24"/>
        </w:rPr>
        <w:t>s</w:t>
      </w:r>
      <w:r w:rsidR="00452693" w:rsidRPr="00AE141E">
        <w:rPr>
          <w:rFonts w:ascii="Times New Roman" w:hAnsi="Times New Roman" w:cs="Times New Roman"/>
          <w:sz w:val="24"/>
          <w:szCs w:val="24"/>
        </w:rPr>
        <w:t xml:space="preserve">, </w:t>
      </w:r>
      <w:r w:rsidR="006B308F" w:rsidRPr="00AE141E">
        <w:rPr>
          <w:rFonts w:ascii="Times New Roman" w:hAnsi="Times New Roman" w:cs="Times New Roman"/>
          <w:sz w:val="24"/>
          <w:szCs w:val="24"/>
        </w:rPr>
        <w:t>but they</w:t>
      </w:r>
      <w:r w:rsidR="003D682C" w:rsidRPr="00AE141E">
        <w:rPr>
          <w:rFonts w:ascii="Times New Roman" w:hAnsi="Times New Roman" w:cs="Times New Roman"/>
          <w:sz w:val="24"/>
          <w:szCs w:val="24"/>
        </w:rPr>
        <w:t xml:space="preserve"> argued that readers</w:t>
      </w:r>
      <w:r w:rsidR="006A4018" w:rsidRPr="00AE141E">
        <w:rPr>
          <w:rFonts w:ascii="Times New Roman" w:hAnsi="Times New Roman" w:cs="Times New Roman"/>
          <w:sz w:val="24"/>
          <w:szCs w:val="24"/>
        </w:rPr>
        <w:t xml:space="preserve"> </w:t>
      </w:r>
      <w:r w:rsidR="00EB14BC">
        <w:rPr>
          <w:rFonts w:ascii="Times New Roman" w:hAnsi="Times New Roman" w:cs="Times New Roman"/>
          <w:sz w:val="24"/>
          <w:szCs w:val="24"/>
        </w:rPr>
        <w:t xml:space="preserve">should </w:t>
      </w:r>
      <w:r w:rsidR="006A4018" w:rsidRPr="00AE141E">
        <w:rPr>
          <w:rFonts w:ascii="Times New Roman" w:hAnsi="Times New Roman" w:cs="Times New Roman"/>
          <w:sz w:val="24"/>
          <w:szCs w:val="24"/>
        </w:rPr>
        <w:t>‘come to their own understanding’.</w:t>
      </w:r>
      <w:r w:rsidR="00434537" w:rsidRPr="00AE141E">
        <w:rPr>
          <w:rStyle w:val="FootnoteReference"/>
          <w:rFonts w:ascii="Times New Roman" w:hAnsi="Times New Roman" w:cs="Times New Roman"/>
          <w:sz w:val="24"/>
          <w:szCs w:val="24"/>
        </w:rPr>
        <w:footnoteReference w:id="555"/>
      </w:r>
      <w:r w:rsidR="006A4018" w:rsidRPr="00AE141E">
        <w:rPr>
          <w:rFonts w:ascii="Times New Roman" w:hAnsi="Times New Roman" w:cs="Times New Roman"/>
          <w:sz w:val="24"/>
          <w:szCs w:val="24"/>
        </w:rPr>
        <w:t xml:space="preserve"> In practice, the </w:t>
      </w:r>
      <w:r w:rsidR="00B603B1" w:rsidRPr="00AE141E">
        <w:rPr>
          <w:rFonts w:ascii="Times New Roman" w:hAnsi="Times New Roman" w:cs="Times New Roman"/>
          <w:sz w:val="24"/>
          <w:szCs w:val="24"/>
        </w:rPr>
        <w:t xml:space="preserve">course materials focused exclusively on </w:t>
      </w:r>
      <w:r w:rsidR="003D682C" w:rsidRPr="00AE141E">
        <w:rPr>
          <w:rFonts w:ascii="Times New Roman" w:hAnsi="Times New Roman" w:cs="Times New Roman"/>
          <w:sz w:val="24"/>
          <w:szCs w:val="24"/>
        </w:rPr>
        <w:t>people</w:t>
      </w:r>
      <w:r w:rsidR="00B603B1" w:rsidRPr="00AE141E">
        <w:rPr>
          <w:rFonts w:ascii="Times New Roman" w:hAnsi="Times New Roman" w:cs="Times New Roman"/>
          <w:sz w:val="24"/>
          <w:szCs w:val="24"/>
        </w:rPr>
        <w:t xml:space="preserve"> of African-Caribbean heritage</w:t>
      </w:r>
      <w:r w:rsidR="004A6B09" w:rsidRPr="00AE141E">
        <w:rPr>
          <w:rFonts w:ascii="Times New Roman" w:hAnsi="Times New Roman" w:cs="Times New Roman"/>
          <w:sz w:val="24"/>
          <w:szCs w:val="24"/>
        </w:rPr>
        <w:t xml:space="preserve"> – a product of </w:t>
      </w:r>
      <w:r w:rsidR="005619B8" w:rsidRPr="00AE141E">
        <w:rPr>
          <w:rFonts w:ascii="Times New Roman" w:hAnsi="Times New Roman" w:cs="Times New Roman"/>
          <w:sz w:val="24"/>
          <w:szCs w:val="24"/>
        </w:rPr>
        <w:t xml:space="preserve">the </w:t>
      </w:r>
      <w:r w:rsidR="00C41A7E" w:rsidRPr="00AE141E">
        <w:rPr>
          <w:rFonts w:ascii="Times New Roman" w:hAnsi="Times New Roman" w:cs="Times New Roman"/>
          <w:sz w:val="24"/>
          <w:szCs w:val="24"/>
        </w:rPr>
        <w:t xml:space="preserve">racial makeup of Tulse Hill school, </w:t>
      </w:r>
      <w:r w:rsidR="00C41A7E" w:rsidRPr="00AE141E">
        <w:rPr>
          <w:rFonts w:ascii="Times New Roman" w:hAnsi="Times New Roman" w:cs="Times New Roman"/>
          <w:sz w:val="24"/>
          <w:szCs w:val="24"/>
        </w:rPr>
        <w:lastRenderedPageBreak/>
        <w:t xml:space="preserve">which </w:t>
      </w:r>
      <w:r w:rsidR="0025521B" w:rsidRPr="00AE141E">
        <w:rPr>
          <w:rFonts w:ascii="Times New Roman" w:hAnsi="Times New Roman" w:cs="Times New Roman"/>
          <w:sz w:val="24"/>
          <w:szCs w:val="24"/>
        </w:rPr>
        <w:t xml:space="preserve">drew the majority of its pupils from this community. </w:t>
      </w:r>
      <w:r w:rsidR="00452693" w:rsidRPr="00AE141E">
        <w:rPr>
          <w:rFonts w:ascii="Times New Roman" w:hAnsi="Times New Roman" w:cs="Times New Roman"/>
          <w:sz w:val="24"/>
          <w:szCs w:val="24"/>
        </w:rPr>
        <w:t xml:space="preserve">In </w:t>
      </w:r>
      <w:r w:rsidR="002E4CC6" w:rsidRPr="00AE141E">
        <w:rPr>
          <w:rFonts w:ascii="Times New Roman" w:hAnsi="Times New Roman" w:cs="Times New Roman"/>
          <w:sz w:val="24"/>
          <w:szCs w:val="24"/>
        </w:rPr>
        <w:t>describing the course, I will therefore use ‘Black’ in preference to ‘black’.</w:t>
      </w:r>
      <w:r w:rsidR="0072090D" w:rsidRPr="00AE141E">
        <w:rPr>
          <w:rFonts w:ascii="Times New Roman" w:hAnsi="Times New Roman" w:cs="Times New Roman"/>
          <w:sz w:val="24"/>
          <w:szCs w:val="24"/>
        </w:rPr>
        <w:t xml:space="preserve"> </w:t>
      </w:r>
    </w:p>
    <w:p w14:paraId="791740CB" w14:textId="02258A16" w:rsidR="00D01496" w:rsidRPr="00AE141E" w:rsidRDefault="008B4B0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course</w:t>
      </w:r>
      <w:r w:rsidR="00702873" w:rsidRPr="00AE141E">
        <w:rPr>
          <w:rFonts w:ascii="Times New Roman" w:hAnsi="Times New Roman" w:cs="Times New Roman"/>
          <w:sz w:val="24"/>
          <w:szCs w:val="24"/>
        </w:rPr>
        <w:t xml:space="preserve"> moved in chronological order through </w:t>
      </w:r>
      <w:r w:rsidR="00E366E9" w:rsidRPr="00AE141E">
        <w:rPr>
          <w:rFonts w:ascii="Times New Roman" w:hAnsi="Times New Roman" w:cs="Times New Roman"/>
          <w:sz w:val="24"/>
          <w:szCs w:val="24"/>
        </w:rPr>
        <w:t>significant</w:t>
      </w:r>
      <w:r w:rsidR="00F429F0" w:rsidRPr="00AE141E">
        <w:rPr>
          <w:rFonts w:ascii="Times New Roman" w:hAnsi="Times New Roman" w:cs="Times New Roman"/>
          <w:sz w:val="24"/>
          <w:szCs w:val="24"/>
        </w:rPr>
        <w:t xml:space="preserve"> themes and</w:t>
      </w:r>
      <w:r w:rsidR="00E366E9" w:rsidRPr="00AE141E">
        <w:rPr>
          <w:rFonts w:ascii="Times New Roman" w:hAnsi="Times New Roman" w:cs="Times New Roman"/>
          <w:sz w:val="24"/>
          <w:szCs w:val="24"/>
        </w:rPr>
        <w:t xml:space="preserve"> events in Black British history</w:t>
      </w:r>
      <w:r w:rsidR="002F680D" w:rsidRPr="00AE141E">
        <w:rPr>
          <w:rFonts w:ascii="Times New Roman" w:hAnsi="Times New Roman" w:cs="Times New Roman"/>
          <w:sz w:val="24"/>
          <w:szCs w:val="24"/>
        </w:rPr>
        <w:t xml:space="preserve"> –</w:t>
      </w:r>
      <w:r w:rsidR="008A414A" w:rsidRPr="00AE141E">
        <w:rPr>
          <w:rFonts w:ascii="Times New Roman" w:hAnsi="Times New Roman" w:cs="Times New Roman"/>
          <w:sz w:val="24"/>
          <w:szCs w:val="24"/>
        </w:rPr>
        <w:t xml:space="preserve"> including</w:t>
      </w:r>
      <w:r w:rsidR="002F680D" w:rsidRPr="00AE141E">
        <w:rPr>
          <w:rFonts w:ascii="Times New Roman" w:hAnsi="Times New Roman" w:cs="Times New Roman"/>
          <w:sz w:val="24"/>
          <w:szCs w:val="24"/>
        </w:rPr>
        <w:t xml:space="preserve"> </w:t>
      </w:r>
      <w:r w:rsidR="008A414A" w:rsidRPr="00AE141E">
        <w:rPr>
          <w:rFonts w:ascii="Times New Roman" w:hAnsi="Times New Roman" w:cs="Times New Roman"/>
          <w:sz w:val="24"/>
          <w:szCs w:val="24"/>
        </w:rPr>
        <w:t>slavery, resistance, abolition</w:t>
      </w:r>
      <w:r w:rsidR="000D747E" w:rsidRPr="00AE141E">
        <w:rPr>
          <w:rFonts w:ascii="Times New Roman" w:hAnsi="Times New Roman" w:cs="Times New Roman"/>
          <w:sz w:val="24"/>
          <w:szCs w:val="24"/>
        </w:rPr>
        <w:t xml:space="preserve">, the Sierra Leone Resettlement Scheme, both World Wars, and </w:t>
      </w:r>
      <w:r w:rsidR="00BE4DB0" w:rsidRPr="00AE141E">
        <w:rPr>
          <w:rFonts w:ascii="Times New Roman" w:hAnsi="Times New Roman" w:cs="Times New Roman"/>
          <w:sz w:val="24"/>
          <w:szCs w:val="24"/>
        </w:rPr>
        <w:t>the Notting Hill and Nottingham race riots of 1958</w:t>
      </w:r>
      <w:r w:rsidR="00555E9D" w:rsidRPr="00AE141E">
        <w:rPr>
          <w:rFonts w:ascii="Times New Roman" w:hAnsi="Times New Roman" w:cs="Times New Roman"/>
          <w:sz w:val="24"/>
          <w:szCs w:val="24"/>
        </w:rPr>
        <w:t>.</w:t>
      </w:r>
      <w:r w:rsidR="0006451D" w:rsidRPr="00AE141E">
        <w:rPr>
          <w:rFonts w:ascii="Times New Roman" w:hAnsi="Times New Roman" w:cs="Times New Roman"/>
          <w:sz w:val="24"/>
          <w:szCs w:val="24"/>
        </w:rPr>
        <w:t xml:space="preserve"> </w:t>
      </w:r>
      <w:r w:rsidR="00555E9D" w:rsidRPr="00AE141E">
        <w:rPr>
          <w:rFonts w:ascii="Times New Roman" w:hAnsi="Times New Roman" w:cs="Times New Roman"/>
          <w:sz w:val="24"/>
          <w:szCs w:val="24"/>
        </w:rPr>
        <w:t>T</w:t>
      </w:r>
      <w:r w:rsidR="0006451D" w:rsidRPr="00AE141E">
        <w:rPr>
          <w:rFonts w:ascii="Times New Roman" w:hAnsi="Times New Roman" w:cs="Times New Roman"/>
          <w:sz w:val="24"/>
          <w:szCs w:val="24"/>
        </w:rPr>
        <w:t xml:space="preserve">opics were </w:t>
      </w:r>
      <w:r w:rsidR="00555E9D" w:rsidRPr="00AE141E">
        <w:rPr>
          <w:rFonts w:ascii="Times New Roman" w:hAnsi="Times New Roman" w:cs="Times New Roman"/>
          <w:sz w:val="24"/>
          <w:szCs w:val="24"/>
        </w:rPr>
        <w:t xml:space="preserve">generally </w:t>
      </w:r>
      <w:r w:rsidR="00015716" w:rsidRPr="00AE141E">
        <w:rPr>
          <w:rFonts w:ascii="Times New Roman" w:hAnsi="Times New Roman" w:cs="Times New Roman"/>
          <w:sz w:val="24"/>
          <w:szCs w:val="24"/>
        </w:rPr>
        <w:t>viewed through Black eyes</w:t>
      </w:r>
      <w:r w:rsidR="00F67ED0" w:rsidRPr="00AE141E">
        <w:rPr>
          <w:rFonts w:ascii="Times New Roman" w:hAnsi="Times New Roman" w:cs="Times New Roman"/>
          <w:sz w:val="24"/>
          <w:szCs w:val="24"/>
        </w:rPr>
        <w:t>, and often</w:t>
      </w:r>
      <w:r w:rsidR="00FE5EA8" w:rsidRPr="00AE141E">
        <w:rPr>
          <w:rFonts w:ascii="Times New Roman" w:hAnsi="Times New Roman" w:cs="Times New Roman"/>
          <w:sz w:val="24"/>
          <w:szCs w:val="24"/>
        </w:rPr>
        <w:t xml:space="preserve"> </w:t>
      </w:r>
      <w:r w:rsidR="00F67ED0" w:rsidRPr="00AE141E">
        <w:rPr>
          <w:rFonts w:ascii="Times New Roman" w:hAnsi="Times New Roman" w:cs="Times New Roman"/>
          <w:sz w:val="24"/>
          <w:szCs w:val="24"/>
        </w:rPr>
        <w:t>had some local connection</w:t>
      </w:r>
      <w:r w:rsidR="00FE5EA8" w:rsidRPr="00AE141E">
        <w:rPr>
          <w:rFonts w:ascii="Times New Roman" w:hAnsi="Times New Roman" w:cs="Times New Roman"/>
          <w:sz w:val="24"/>
          <w:szCs w:val="24"/>
        </w:rPr>
        <w:t>.</w:t>
      </w:r>
      <w:r w:rsidR="00546A38" w:rsidRPr="00AE141E">
        <w:rPr>
          <w:rFonts w:ascii="Times New Roman" w:hAnsi="Times New Roman" w:cs="Times New Roman"/>
          <w:sz w:val="24"/>
          <w:szCs w:val="24"/>
        </w:rPr>
        <w:t xml:space="preserve"> </w:t>
      </w:r>
      <w:r w:rsidR="005373A3" w:rsidRPr="00AE141E">
        <w:rPr>
          <w:rFonts w:ascii="Times New Roman" w:hAnsi="Times New Roman" w:cs="Times New Roman"/>
          <w:sz w:val="24"/>
          <w:szCs w:val="24"/>
        </w:rPr>
        <w:t xml:space="preserve">Slavery and </w:t>
      </w:r>
      <w:r w:rsidR="004C7138" w:rsidRPr="00AE141E">
        <w:rPr>
          <w:rFonts w:ascii="Times New Roman" w:hAnsi="Times New Roman" w:cs="Times New Roman"/>
          <w:sz w:val="24"/>
          <w:szCs w:val="24"/>
        </w:rPr>
        <w:t xml:space="preserve">Black resistance were explored through the lives of </w:t>
      </w:r>
      <w:r w:rsidR="0086577F" w:rsidRPr="00AE141E">
        <w:rPr>
          <w:rFonts w:ascii="Times New Roman" w:hAnsi="Times New Roman" w:cs="Times New Roman"/>
          <w:sz w:val="24"/>
          <w:szCs w:val="24"/>
        </w:rPr>
        <w:t xml:space="preserve">Francis Barber and </w:t>
      </w:r>
      <w:r w:rsidR="006A7093" w:rsidRPr="00AE141E">
        <w:rPr>
          <w:rFonts w:ascii="Times New Roman" w:hAnsi="Times New Roman" w:cs="Times New Roman"/>
          <w:sz w:val="24"/>
          <w:szCs w:val="24"/>
        </w:rPr>
        <w:t xml:space="preserve">Olaudah Equiano – former </w:t>
      </w:r>
      <w:r w:rsidR="00D5734D" w:rsidRPr="00AE141E">
        <w:rPr>
          <w:rFonts w:ascii="Times New Roman" w:hAnsi="Times New Roman" w:cs="Times New Roman"/>
          <w:sz w:val="24"/>
          <w:szCs w:val="24"/>
        </w:rPr>
        <w:t>residents</w:t>
      </w:r>
      <w:r w:rsidR="006A7093" w:rsidRPr="00AE141E">
        <w:rPr>
          <w:rFonts w:ascii="Times New Roman" w:hAnsi="Times New Roman" w:cs="Times New Roman"/>
          <w:sz w:val="24"/>
          <w:szCs w:val="24"/>
        </w:rPr>
        <w:t xml:space="preserve"> of </w:t>
      </w:r>
      <w:r w:rsidR="00D5734D" w:rsidRPr="00AE141E">
        <w:rPr>
          <w:rFonts w:ascii="Times New Roman" w:hAnsi="Times New Roman" w:cs="Times New Roman"/>
          <w:sz w:val="24"/>
          <w:szCs w:val="24"/>
        </w:rPr>
        <w:t>Streatham and Blackheath, respectively.</w:t>
      </w:r>
      <w:r w:rsidR="00D21F00" w:rsidRPr="00AE141E">
        <w:rPr>
          <w:rStyle w:val="FootnoteReference"/>
          <w:rFonts w:ascii="Times New Roman" w:hAnsi="Times New Roman" w:cs="Times New Roman"/>
          <w:sz w:val="24"/>
          <w:szCs w:val="24"/>
        </w:rPr>
        <w:footnoteReference w:id="556"/>
      </w:r>
      <w:r w:rsidR="00D27925" w:rsidRPr="00AE141E">
        <w:rPr>
          <w:rFonts w:ascii="Times New Roman" w:hAnsi="Times New Roman" w:cs="Times New Roman"/>
          <w:sz w:val="24"/>
          <w:szCs w:val="24"/>
        </w:rPr>
        <w:t xml:space="preserve"> Black cultural achievement was symbolised by </w:t>
      </w:r>
      <w:r w:rsidR="00E71A99" w:rsidRPr="00AE141E">
        <w:rPr>
          <w:rFonts w:ascii="Times New Roman" w:hAnsi="Times New Roman" w:cs="Times New Roman"/>
          <w:sz w:val="24"/>
          <w:szCs w:val="24"/>
        </w:rPr>
        <w:t xml:space="preserve">the actor </w:t>
      </w:r>
      <w:r w:rsidR="00D27925" w:rsidRPr="00AE141E">
        <w:rPr>
          <w:rFonts w:ascii="Times New Roman" w:hAnsi="Times New Roman" w:cs="Times New Roman"/>
          <w:sz w:val="24"/>
          <w:szCs w:val="24"/>
        </w:rPr>
        <w:t>Ira Aldridge</w:t>
      </w:r>
      <w:r w:rsidR="00E71A99" w:rsidRPr="00AE141E">
        <w:rPr>
          <w:rFonts w:ascii="Times New Roman" w:hAnsi="Times New Roman" w:cs="Times New Roman"/>
          <w:sz w:val="24"/>
          <w:szCs w:val="24"/>
        </w:rPr>
        <w:t xml:space="preserve">, of Upper Norwood, and </w:t>
      </w:r>
      <w:r w:rsidR="00827244" w:rsidRPr="00AE141E">
        <w:rPr>
          <w:rFonts w:ascii="Times New Roman" w:hAnsi="Times New Roman" w:cs="Times New Roman"/>
          <w:sz w:val="24"/>
          <w:szCs w:val="24"/>
        </w:rPr>
        <w:t xml:space="preserve">the musician Samuel Coleridge-Taylor, of Croydon. </w:t>
      </w:r>
      <w:r w:rsidR="00046727" w:rsidRPr="00AE141E">
        <w:rPr>
          <w:rFonts w:ascii="Times New Roman" w:hAnsi="Times New Roman" w:cs="Times New Roman"/>
          <w:sz w:val="24"/>
          <w:szCs w:val="24"/>
        </w:rPr>
        <w:t>Tulse Hill’s teachers thus r</w:t>
      </w:r>
      <w:r w:rsidR="001A3346" w:rsidRPr="00AE141E">
        <w:rPr>
          <w:rFonts w:ascii="Times New Roman" w:hAnsi="Times New Roman" w:cs="Times New Roman"/>
          <w:sz w:val="24"/>
          <w:szCs w:val="24"/>
        </w:rPr>
        <w:t>eworked the biographical school of history</w:t>
      </w:r>
      <w:r w:rsidR="001D2EE0" w:rsidRPr="00AE141E">
        <w:rPr>
          <w:rFonts w:ascii="Times New Roman" w:hAnsi="Times New Roman" w:cs="Times New Roman"/>
          <w:sz w:val="24"/>
          <w:szCs w:val="24"/>
        </w:rPr>
        <w:t xml:space="preserve"> –</w:t>
      </w:r>
      <w:r w:rsidR="001A3346" w:rsidRPr="00AE141E">
        <w:rPr>
          <w:rFonts w:ascii="Times New Roman" w:hAnsi="Times New Roman" w:cs="Times New Roman"/>
          <w:sz w:val="24"/>
          <w:szCs w:val="24"/>
        </w:rPr>
        <w:t xml:space="preserve"> whic</w:t>
      </w:r>
      <w:r w:rsidR="001D2EE0" w:rsidRPr="00AE141E">
        <w:rPr>
          <w:rFonts w:ascii="Times New Roman" w:hAnsi="Times New Roman" w:cs="Times New Roman"/>
          <w:sz w:val="24"/>
          <w:szCs w:val="24"/>
        </w:rPr>
        <w:t xml:space="preserve">h </w:t>
      </w:r>
      <w:r w:rsidR="001A3346" w:rsidRPr="00AE141E">
        <w:rPr>
          <w:rFonts w:ascii="Times New Roman" w:hAnsi="Times New Roman" w:cs="Times New Roman"/>
          <w:sz w:val="24"/>
          <w:szCs w:val="24"/>
        </w:rPr>
        <w:t xml:space="preserve">had traditionally been used to </w:t>
      </w:r>
      <w:r w:rsidR="001C67B5" w:rsidRPr="00AE141E">
        <w:rPr>
          <w:rFonts w:ascii="Times New Roman" w:hAnsi="Times New Roman" w:cs="Times New Roman"/>
          <w:sz w:val="24"/>
          <w:szCs w:val="24"/>
        </w:rPr>
        <w:t>engage younger and ‘low-ability’ students, drawing on the lives of kings and queens</w:t>
      </w:r>
      <w:r w:rsidR="001D2EE0" w:rsidRPr="00AE141E">
        <w:rPr>
          <w:rFonts w:ascii="Times New Roman" w:hAnsi="Times New Roman" w:cs="Times New Roman"/>
          <w:sz w:val="24"/>
          <w:szCs w:val="24"/>
        </w:rPr>
        <w:t xml:space="preserve"> – </w:t>
      </w:r>
      <w:r w:rsidR="001C67B5" w:rsidRPr="00AE141E">
        <w:rPr>
          <w:rFonts w:ascii="Times New Roman" w:hAnsi="Times New Roman" w:cs="Times New Roman"/>
          <w:sz w:val="24"/>
          <w:szCs w:val="24"/>
        </w:rPr>
        <w:t>from</w:t>
      </w:r>
      <w:r w:rsidR="001D2EE0" w:rsidRPr="00AE141E">
        <w:rPr>
          <w:rFonts w:ascii="Times New Roman" w:hAnsi="Times New Roman" w:cs="Times New Roman"/>
          <w:sz w:val="24"/>
          <w:szCs w:val="24"/>
        </w:rPr>
        <w:t xml:space="preserve"> </w:t>
      </w:r>
      <w:r w:rsidR="001C67B5" w:rsidRPr="00AE141E">
        <w:rPr>
          <w:rFonts w:ascii="Times New Roman" w:hAnsi="Times New Roman" w:cs="Times New Roman"/>
          <w:sz w:val="24"/>
          <w:szCs w:val="24"/>
        </w:rPr>
        <w:t>a</w:t>
      </w:r>
      <w:r w:rsidR="001D2EE0" w:rsidRPr="00AE141E">
        <w:rPr>
          <w:rFonts w:ascii="Times New Roman" w:hAnsi="Times New Roman" w:cs="Times New Roman"/>
          <w:sz w:val="24"/>
          <w:szCs w:val="24"/>
        </w:rPr>
        <w:t xml:space="preserve"> </w:t>
      </w:r>
      <w:r w:rsidR="001C67B5" w:rsidRPr="00AE141E">
        <w:rPr>
          <w:rFonts w:ascii="Times New Roman" w:hAnsi="Times New Roman" w:cs="Times New Roman"/>
          <w:sz w:val="24"/>
          <w:szCs w:val="24"/>
        </w:rPr>
        <w:t>more egalitarian perspective</w:t>
      </w:r>
      <w:r w:rsidR="001D2EE0" w:rsidRPr="00AE141E">
        <w:rPr>
          <w:rFonts w:ascii="Times New Roman" w:hAnsi="Times New Roman" w:cs="Times New Roman"/>
          <w:sz w:val="24"/>
          <w:szCs w:val="24"/>
        </w:rPr>
        <w:t>.</w:t>
      </w:r>
    </w:p>
    <w:p w14:paraId="75AB4004" w14:textId="5547D709" w:rsidR="00633044" w:rsidRPr="00AE141E" w:rsidRDefault="0037112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File and Power, who co-authored </w:t>
      </w:r>
      <w:r w:rsidR="00DC6A15" w:rsidRPr="00AE141E">
        <w:rPr>
          <w:rFonts w:ascii="Times New Roman" w:hAnsi="Times New Roman" w:cs="Times New Roman"/>
          <w:i/>
          <w:iCs/>
          <w:sz w:val="24"/>
          <w:szCs w:val="24"/>
        </w:rPr>
        <w:t>Black Settlers</w:t>
      </w:r>
      <w:r w:rsidRPr="00AE141E">
        <w:rPr>
          <w:rFonts w:ascii="Times New Roman" w:hAnsi="Times New Roman" w:cs="Times New Roman"/>
          <w:sz w:val="24"/>
          <w:szCs w:val="24"/>
        </w:rPr>
        <w:t>, recognised</w:t>
      </w:r>
      <w:r w:rsidR="00A21490" w:rsidRPr="00AE141E">
        <w:rPr>
          <w:rFonts w:ascii="Times New Roman" w:hAnsi="Times New Roman" w:cs="Times New Roman"/>
          <w:sz w:val="24"/>
          <w:szCs w:val="24"/>
        </w:rPr>
        <w:t xml:space="preserve"> biographies</w:t>
      </w:r>
      <w:r w:rsidRPr="00AE141E">
        <w:rPr>
          <w:rFonts w:ascii="Times New Roman" w:hAnsi="Times New Roman" w:cs="Times New Roman"/>
          <w:sz w:val="24"/>
          <w:szCs w:val="24"/>
        </w:rPr>
        <w:t>’ capacity</w:t>
      </w:r>
      <w:r w:rsidR="00A21490" w:rsidRPr="00AE141E">
        <w:rPr>
          <w:rFonts w:ascii="Times New Roman" w:hAnsi="Times New Roman" w:cs="Times New Roman"/>
          <w:sz w:val="24"/>
          <w:szCs w:val="24"/>
        </w:rPr>
        <w:t xml:space="preserve"> to add</w:t>
      </w:r>
      <w:r w:rsidR="00F96B7A" w:rsidRPr="00AE141E">
        <w:rPr>
          <w:rFonts w:ascii="Times New Roman" w:hAnsi="Times New Roman" w:cs="Times New Roman"/>
          <w:sz w:val="24"/>
          <w:szCs w:val="24"/>
        </w:rPr>
        <w:t xml:space="preserve"> human interest</w:t>
      </w:r>
      <w:r w:rsidR="00A21490" w:rsidRPr="00AE141E">
        <w:rPr>
          <w:rFonts w:ascii="Times New Roman" w:hAnsi="Times New Roman" w:cs="Times New Roman"/>
          <w:sz w:val="24"/>
          <w:szCs w:val="24"/>
        </w:rPr>
        <w:t xml:space="preserve"> to </w:t>
      </w:r>
      <w:r w:rsidR="002004FB" w:rsidRPr="00AE141E">
        <w:rPr>
          <w:rFonts w:ascii="Times New Roman" w:hAnsi="Times New Roman" w:cs="Times New Roman"/>
          <w:sz w:val="24"/>
          <w:szCs w:val="24"/>
        </w:rPr>
        <w:t>history and engage the empathy of pupil</w:t>
      </w:r>
      <w:r w:rsidRPr="00AE141E">
        <w:rPr>
          <w:rFonts w:ascii="Times New Roman" w:hAnsi="Times New Roman" w:cs="Times New Roman"/>
          <w:sz w:val="24"/>
          <w:szCs w:val="24"/>
        </w:rPr>
        <w:t>s</w:t>
      </w:r>
      <w:r w:rsidR="002004FB" w:rsidRPr="00AE141E">
        <w:rPr>
          <w:rFonts w:ascii="Times New Roman" w:hAnsi="Times New Roman" w:cs="Times New Roman"/>
          <w:sz w:val="24"/>
          <w:szCs w:val="24"/>
        </w:rPr>
        <w:t>. However, t</w:t>
      </w:r>
      <w:r w:rsidR="0071535D" w:rsidRPr="00AE141E">
        <w:rPr>
          <w:rFonts w:ascii="Times New Roman" w:hAnsi="Times New Roman" w:cs="Times New Roman"/>
          <w:sz w:val="24"/>
          <w:szCs w:val="24"/>
        </w:rPr>
        <w:t>heir writing</w:t>
      </w:r>
      <w:r w:rsidR="006259CF" w:rsidRPr="00AE141E">
        <w:rPr>
          <w:rFonts w:ascii="Times New Roman" w:hAnsi="Times New Roman" w:cs="Times New Roman"/>
          <w:sz w:val="24"/>
          <w:szCs w:val="24"/>
        </w:rPr>
        <w:t xml:space="preserve"> offer</w:t>
      </w:r>
      <w:r w:rsidR="0071535D" w:rsidRPr="00AE141E">
        <w:rPr>
          <w:rFonts w:ascii="Times New Roman" w:hAnsi="Times New Roman" w:cs="Times New Roman"/>
          <w:sz w:val="24"/>
          <w:szCs w:val="24"/>
        </w:rPr>
        <w:t>s</w:t>
      </w:r>
      <w:r w:rsidR="006259CF" w:rsidRPr="00AE141E">
        <w:rPr>
          <w:rFonts w:ascii="Times New Roman" w:hAnsi="Times New Roman" w:cs="Times New Roman"/>
          <w:sz w:val="24"/>
          <w:szCs w:val="24"/>
        </w:rPr>
        <w:t xml:space="preserve"> no </w:t>
      </w:r>
      <w:r w:rsidR="004B7924" w:rsidRPr="00AE141E">
        <w:rPr>
          <w:rFonts w:ascii="Times New Roman" w:hAnsi="Times New Roman" w:cs="Times New Roman"/>
          <w:sz w:val="24"/>
          <w:szCs w:val="24"/>
        </w:rPr>
        <w:t xml:space="preserve">hint that </w:t>
      </w:r>
      <w:r w:rsidR="00BC18A1" w:rsidRPr="00AE141E">
        <w:rPr>
          <w:rFonts w:ascii="Times New Roman" w:hAnsi="Times New Roman" w:cs="Times New Roman"/>
          <w:sz w:val="24"/>
          <w:szCs w:val="24"/>
        </w:rPr>
        <w:t>analysis was sacrificed for storytelling</w:t>
      </w:r>
      <w:r w:rsidR="00EE5F39" w:rsidRPr="00AE141E">
        <w:rPr>
          <w:rFonts w:ascii="Times New Roman" w:hAnsi="Times New Roman" w:cs="Times New Roman"/>
          <w:sz w:val="24"/>
          <w:szCs w:val="24"/>
        </w:rPr>
        <w:t>.</w:t>
      </w:r>
      <w:r w:rsidR="000C4832" w:rsidRPr="00AE141E">
        <w:rPr>
          <w:rFonts w:ascii="Times New Roman" w:hAnsi="Times New Roman" w:cs="Times New Roman"/>
          <w:sz w:val="24"/>
          <w:szCs w:val="24"/>
        </w:rPr>
        <w:t xml:space="preserve"> </w:t>
      </w:r>
      <w:r w:rsidR="00DC6A15" w:rsidRPr="00AE141E">
        <w:rPr>
          <w:rFonts w:ascii="Times New Roman" w:hAnsi="Times New Roman" w:cs="Times New Roman"/>
          <w:iCs/>
          <w:sz w:val="24"/>
          <w:szCs w:val="24"/>
        </w:rPr>
        <w:t>The textbook</w:t>
      </w:r>
      <w:r w:rsidR="000A3FBD" w:rsidRPr="00AE141E">
        <w:rPr>
          <w:rFonts w:ascii="Times New Roman" w:hAnsi="Times New Roman" w:cs="Times New Roman"/>
          <w:sz w:val="24"/>
          <w:szCs w:val="24"/>
        </w:rPr>
        <w:t xml:space="preserve"> kept</w:t>
      </w:r>
      <w:r w:rsidR="000C4832" w:rsidRPr="00AE141E">
        <w:rPr>
          <w:rFonts w:ascii="Times New Roman" w:hAnsi="Times New Roman" w:cs="Times New Roman"/>
          <w:sz w:val="24"/>
          <w:szCs w:val="24"/>
        </w:rPr>
        <w:t xml:space="preserve"> commentary</w:t>
      </w:r>
      <w:r w:rsidR="000A3FBD" w:rsidRPr="00AE141E">
        <w:rPr>
          <w:rFonts w:ascii="Times New Roman" w:hAnsi="Times New Roman" w:cs="Times New Roman"/>
          <w:sz w:val="24"/>
          <w:szCs w:val="24"/>
        </w:rPr>
        <w:t xml:space="preserve"> to a minimum </w:t>
      </w:r>
      <w:r w:rsidR="00D13B91" w:rsidRPr="00AE141E">
        <w:rPr>
          <w:rFonts w:ascii="Times New Roman" w:hAnsi="Times New Roman" w:cs="Times New Roman"/>
          <w:sz w:val="24"/>
          <w:szCs w:val="24"/>
        </w:rPr>
        <w:t xml:space="preserve">to allow </w:t>
      </w:r>
      <w:r w:rsidRPr="00AE141E">
        <w:rPr>
          <w:rFonts w:ascii="Times New Roman" w:hAnsi="Times New Roman" w:cs="Times New Roman"/>
          <w:sz w:val="24"/>
          <w:szCs w:val="24"/>
        </w:rPr>
        <w:t xml:space="preserve">space </w:t>
      </w:r>
      <w:r w:rsidR="00D13B91" w:rsidRPr="00AE141E">
        <w:rPr>
          <w:rFonts w:ascii="Times New Roman" w:hAnsi="Times New Roman" w:cs="Times New Roman"/>
          <w:sz w:val="24"/>
          <w:szCs w:val="24"/>
        </w:rPr>
        <w:t>for full-page reproductions of original documents.</w:t>
      </w:r>
      <w:r w:rsidR="000A3FBD" w:rsidRPr="00AE141E">
        <w:rPr>
          <w:rFonts w:ascii="Times New Roman" w:hAnsi="Times New Roman" w:cs="Times New Roman"/>
          <w:sz w:val="24"/>
          <w:szCs w:val="24"/>
        </w:rPr>
        <w:t xml:space="preserve"> </w:t>
      </w:r>
      <w:r w:rsidR="006566F5" w:rsidRPr="00AE141E">
        <w:rPr>
          <w:rFonts w:ascii="Times New Roman" w:hAnsi="Times New Roman" w:cs="Times New Roman"/>
          <w:sz w:val="24"/>
          <w:szCs w:val="24"/>
        </w:rPr>
        <w:t xml:space="preserve"> </w:t>
      </w:r>
      <w:r w:rsidR="00266140" w:rsidRPr="00AE141E">
        <w:rPr>
          <w:rFonts w:ascii="Times New Roman" w:hAnsi="Times New Roman" w:cs="Times New Roman"/>
          <w:sz w:val="24"/>
          <w:szCs w:val="24"/>
        </w:rPr>
        <w:t xml:space="preserve">The </w:t>
      </w:r>
      <w:r w:rsidR="001E143D" w:rsidRPr="00AE141E">
        <w:rPr>
          <w:rFonts w:ascii="Times New Roman" w:hAnsi="Times New Roman" w:cs="Times New Roman"/>
          <w:sz w:val="24"/>
          <w:szCs w:val="24"/>
        </w:rPr>
        <w:t xml:space="preserve">inclusion of these primary sources, first in Tulse Hill’s internal publications and later </w:t>
      </w:r>
      <w:r w:rsidR="0071535D" w:rsidRPr="00AE141E">
        <w:rPr>
          <w:rFonts w:ascii="Times New Roman" w:hAnsi="Times New Roman" w:cs="Times New Roman"/>
          <w:sz w:val="24"/>
          <w:szCs w:val="24"/>
        </w:rPr>
        <w:t xml:space="preserve">in the </w:t>
      </w:r>
      <w:r w:rsidR="00B07CE6" w:rsidRPr="00AE141E">
        <w:rPr>
          <w:rFonts w:ascii="Times New Roman" w:hAnsi="Times New Roman" w:cs="Times New Roman"/>
          <w:sz w:val="24"/>
          <w:szCs w:val="24"/>
        </w:rPr>
        <w:t>publicly</w:t>
      </w:r>
      <w:r w:rsidR="0071535D" w:rsidRPr="00AE141E">
        <w:rPr>
          <w:rFonts w:ascii="Times New Roman" w:hAnsi="Times New Roman" w:cs="Times New Roman"/>
          <w:sz w:val="24"/>
          <w:szCs w:val="24"/>
        </w:rPr>
        <w:t xml:space="preserve"> avai</w:t>
      </w:r>
      <w:r w:rsidR="009515F7" w:rsidRPr="00AE141E">
        <w:rPr>
          <w:rFonts w:ascii="Times New Roman" w:hAnsi="Times New Roman" w:cs="Times New Roman"/>
          <w:sz w:val="24"/>
          <w:szCs w:val="24"/>
        </w:rPr>
        <w:t xml:space="preserve">lable textbook, </w:t>
      </w:r>
      <w:r w:rsidR="009B7443" w:rsidRPr="00AE141E">
        <w:rPr>
          <w:rFonts w:ascii="Times New Roman" w:hAnsi="Times New Roman" w:cs="Times New Roman"/>
          <w:sz w:val="24"/>
          <w:szCs w:val="24"/>
        </w:rPr>
        <w:t xml:space="preserve">was part of a self-conscious attempt to democratise </w:t>
      </w:r>
      <w:r w:rsidR="001C14A7" w:rsidRPr="00AE141E">
        <w:rPr>
          <w:rFonts w:ascii="Times New Roman" w:hAnsi="Times New Roman" w:cs="Times New Roman"/>
          <w:sz w:val="24"/>
          <w:szCs w:val="24"/>
        </w:rPr>
        <w:t xml:space="preserve">the </w:t>
      </w:r>
      <w:r w:rsidR="006804D7" w:rsidRPr="00AE141E">
        <w:rPr>
          <w:rFonts w:ascii="Times New Roman" w:hAnsi="Times New Roman" w:cs="Times New Roman"/>
          <w:sz w:val="24"/>
          <w:szCs w:val="24"/>
        </w:rPr>
        <w:t>narration</w:t>
      </w:r>
      <w:r w:rsidR="001C14A7" w:rsidRPr="00AE141E">
        <w:rPr>
          <w:rFonts w:ascii="Times New Roman" w:hAnsi="Times New Roman" w:cs="Times New Roman"/>
          <w:sz w:val="24"/>
          <w:szCs w:val="24"/>
        </w:rPr>
        <w:t xml:space="preserve"> of history</w:t>
      </w:r>
      <w:r w:rsidR="00B07CE6" w:rsidRPr="00AE141E">
        <w:rPr>
          <w:rFonts w:ascii="Times New Roman" w:hAnsi="Times New Roman" w:cs="Times New Roman"/>
          <w:sz w:val="24"/>
          <w:szCs w:val="24"/>
        </w:rPr>
        <w:t xml:space="preserve">. </w:t>
      </w:r>
      <w:r w:rsidR="001C14A7" w:rsidRPr="00AE141E">
        <w:rPr>
          <w:rFonts w:ascii="Times New Roman" w:hAnsi="Times New Roman" w:cs="Times New Roman"/>
          <w:sz w:val="24"/>
          <w:szCs w:val="24"/>
        </w:rPr>
        <w:t>In the authors’ view, t</w:t>
      </w:r>
      <w:r w:rsidR="00D670B5" w:rsidRPr="00AE141E">
        <w:rPr>
          <w:rFonts w:ascii="Times New Roman" w:hAnsi="Times New Roman" w:cs="Times New Roman"/>
          <w:sz w:val="24"/>
          <w:szCs w:val="24"/>
        </w:rPr>
        <w:t>he opa</w:t>
      </w:r>
      <w:r w:rsidR="00907CCB" w:rsidRPr="00AE141E">
        <w:rPr>
          <w:rFonts w:ascii="Times New Roman" w:hAnsi="Times New Roman" w:cs="Times New Roman"/>
          <w:sz w:val="24"/>
          <w:szCs w:val="24"/>
        </w:rPr>
        <w:t>city and exclusivity of ‘</w:t>
      </w:r>
      <w:r w:rsidR="00B07CE6" w:rsidRPr="00AE141E">
        <w:rPr>
          <w:rFonts w:ascii="Times New Roman" w:hAnsi="Times New Roman" w:cs="Times New Roman"/>
          <w:sz w:val="24"/>
          <w:szCs w:val="24"/>
        </w:rPr>
        <w:t>restricted-entry, specialist collections’</w:t>
      </w:r>
      <w:r w:rsidR="001C14A7" w:rsidRPr="00AE141E">
        <w:rPr>
          <w:rFonts w:ascii="Times New Roman" w:hAnsi="Times New Roman" w:cs="Times New Roman"/>
          <w:sz w:val="24"/>
          <w:szCs w:val="24"/>
        </w:rPr>
        <w:t xml:space="preserve"> </w:t>
      </w:r>
      <w:r w:rsidR="009426F6" w:rsidRPr="00AE141E">
        <w:rPr>
          <w:rFonts w:ascii="Times New Roman" w:hAnsi="Times New Roman" w:cs="Times New Roman"/>
          <w:sz w:val="24"/>
          <w:szCs w:val="24"/>
        </w:rPr>
        <w:t>impinged upon the rights of communities to access ‘materials that are part of their cultural past’.</w:t>
      </w:r>
      <w:r w:rsidR="00D21F00" w:rsidRPr="00AE141E">
        <w:rPr>
          <w:rStyle w:val="FootnoteReference"/>
          <w:rFonts w:ascii="Times New Roman" w:hAnsi="Times New Roman" w:cs="Times New Roman"/>
          <w:sz w:val="24"/>
          <w:szCs w:val="24"/>
        </w:rPr>
        <w:footnoteReference w:id="557"/>
      </w:r>
      <w:r w:rsidR="009426F6" w:rsidRPr="00AE141E">
        <w:rPr>
          <w:rFonts w:ascii="Times New Roman" w:hAnsi="Times New Roman" w:cs="Times New Roman"/>
          <w:sz w:val="24"/>
          <w:szCs w:val="24"/>
        </w:rPr>
        <w:t xml:space="preserve"> </w:t>
      </w:r>
      <w:r w:rsidR="00C52A39" w:rsidRPr="00AE141E">
        <w:rPr>
          <w:rFonts w:ascii="Times New Roman" w:hAnsi="Times New Roman" w:cs="Times New Roman"/>
          <w:i/>
          <w:sz w:val="24"/>
          <w:szCs w:val="24"/>
        </w:rPr>
        <w:t xml:space="preserve">Black Settlers </w:t>
      </w:r>
      <w:r w:rsidR="00C52A39" w:rsidRPr="00AE141E">
        <w:rPr>
          <w:rFonts w:ascii="Times New Roman" w:hAnsi="Times New Roman" w:cs="Times New Roman"/>
          <w:sz w:val="24"/>
          <w:szCs w:val="24"/>
        </w:rPr>
        <w:t xml:space="preserve">aimed to place the tools of historical </w:t>
      </w:r>
      <w:r w:rsidR="001C14A7" w:rsidRPr="00AE141E">
        <w:rPr>
          <w:rFonts w:ascii="Times New Roman" w:hAnsi="Times New Roman" w:cs="Times New Roman"/>
          <w:sz w:val="24"/>
          <w:szCs w:val="24"/>
        </w:rPr>
        <w:t>interpretation and understanding</w:t>
      </w:r>
      <w:r w:rsidR="00C52A39" w:rsidRPr="00AE141E">
        <w:rPr>
          <w:rFonts w:ascii="Times New Roman" w:hAnsi="Times New Roman" w:cs="Times New Roman"/>
          <w:sz w:val="24"/>
          <w:szCs w:val="24"/>
        </w:rPr>
        <w:t xml:space="preserve"> in the hands </w:t>
      </w:r>
      <w:r w:rsidR="006804D7" w:rsidRPr="00AE141E">
        <w:rPr>
          <w:rFonts w:ascii="Times New Roman" w:hAnsi="Times New Roman" w:cs="Times New Roman"/>
          <w:sz w:val="24"/>
          <w:szCs w:val="24"/>
        </w:rPr>
        <w:t xml:space="preserve">of those </w:t>
      </w:r>
      <w:r w:rsidR="004F3B67" w:rsidRPr="00AE141E">
        <w:rPr>
          <w:rFonts w:ascii="Times New Roman" w:hAnsi="Times New Roman" w:cs="Times New Roman"/>
          <w:sz w:val="24"/>
          <w:szCs w:val="24"/>
        </w:rPr>
        <w:t xml:space="preserve">excluded from, or denied agency by, </w:t>
      </w:r>
      <w:r w:rsidR="00084C86" w:rsidRPr="00AE141E">
        <w:rPr>
          <w:rFonts w:ascii="Times New Roman" w:hAnsi="Times New Roman" w:cs="Times New Roman"/>
          <w:sz w:val="24"/>
          <w:szCs w:val="24"/>
        </w:rPr>
        <w:t xml:space="preserve">existing </w:t>
      </w:r>
      <w:r w:rsidR="007404C2" w:rsidRPr="00AE141E">
        <w:rPr>
          <w:rFonts w:ascii="Times New Roman" w:hAnsi="Times New Roman" w:cs="Times New Roman"/>
          <w:sz w:val="24"/>
          <w:szCs w:val="24"/>
        </w:rPr>
        <w:t xml:space="preserve">histories. </w:t>
      </w:r>
      <w:r w:rsidR="00812877" w:rsidRPr="00AE141E">
        <w:rPr>
          <w:rFonts w:ascii="Times New Roman" w:hAnsi="Times New Roman" w:cs="Times New Roman"/>
          <w:sz w:val="24"/>
          <w:szCs w:val="24"/>
        </w:rPr>
        <w:t xml:space="preserve">Those taking the course </w:t>
      </w:r>
      <w:r w:rsidR="000A3FBD" w:rsidRPr="00AE141E">
        <w:rPr>
          <w:rFonts w:ascii="Times New Roman" w:hAnsi="Times New Roman" w:cs="Times New Roman"/>
          <w:sz w:val="24"/>
          <w:szCs w:val="24"/>
        </w:rPr>
        <w:t xml:space="preserve">were expected to reconstruct the lives of featured </w:t>
      </w:r>
      <w:r w:rsidR="00D01496" w:rsidRPr="00AE141E">
        <w:rPr>
          <w:rFonts w:ascii="Times New Roman" w:hAnsi="Times New Roman" w:cs="Times New Roman"/>
          <w:sz w:val="24"/>
          <w:szCs w:val="24"/>
        </w:rPr>
        <w:t>individuals</w:t>
      </w:r>
      <w:r w:rsidR="000A3FBD" w:rsidRPr="00AE141E">
        <w:rPr>
          <w:rFonts w:ascii="Times New Roman" w:hAnsi="Times New Roman" w:cs="Times New Roman"/>
          <w:sz w:val="24"/>
          <w:szCs w:val="24"/>
        </w:rPr>
        <w:t xml:space="preserve"> from</w:t>
      </w:r>
      <w:r w:rsidR="00D13B91" w:rsidRPr="00AE141E">
        <w:rPr>
          <w:rFonts w:ascii="Times New Roman" w:hAnsi="Times New Roman" w:cs="Times New Roman"/>
          <w:sz w:val="24"/>
          <w:szCs w:val="24"/>
        </w:rPr>
        <w:t xml:space="preserve"> primary sources</w:t>
      </w:r>
      <w:r w:rsidR="005C1935" w:rsidRPr="00AE141E">
        <w:rPr>
          <w:rFonts w:ascii="Times New Roman" w:hAnsi="Times New Roman" w:cs="Times New Roman"/>
          <w:sz w:val="24"/>
          <w:szCs w:val="24"/>
        </w:rPr>
        <w:t>.</w:t>
      </w:r>
      <w:r w:rsidR="00812877" w:rsidRPr="00AE141E">
        <w:rPr>
          <w:rFonts w:ascii="Times New Roman" w:hAnsi="Times New Roman" w:cs="Times New Roman"/>
          <w:sz w:val="24"/>
          <w:szCs w:val="24"/>
        </w:rPr>
        <w:t xml:space="preserve"> In this sense, </w:t>
      </w:r>
      <w:r w:rsidR="00812877" w:rsidRPr="00AE141E">
        <w:rPr>
          <w:rFonts w:ascii="Times New Roman" w:hAnsi="Times New Roman" w:cs="Times New Roman"/>
          <w:i/>
          <w:sz w:val="24"/>
          <w:szCs w:val="24"/>
        </w:rPr>
        <w:t xml:space="preserve">Black Settlers </w:t>
      </w:r>
      <w:r w:rsidR="00812877" w:rsidRPr="00AE141E">
        <w:rPr>
          <w:rFonts w:ascii="Times New Roman" w:hAnsi="Times New Roman" w:cs="Times New Roman"/>
          <w:sz w:val="24"/>
          <w:szCs w:val="24"/>
        </w:rPr>
        <w:t xml:space="preserve">might be seen as a multicultural answer to </w:t>
      </w:r>
      <w:r w:rsidR="00812877" w:rsidRPr="00AE141E">
        <w:rPr>
          <w:rFonts w:ascii="Times New Roman" w:hAnsi="Times New Roman" w:cs="Times New Roman"/>
          <w:i/>
          <w:sz w:val="24"/>
          <w:szCs w:val="24"/>
        </w:rPr>
        <w:t>Jackdaws</w:t>
      </w:r>
      <w:r w:rsidR="00A8179C" w:rsidRPr="00AE141E">
        <w:rPr>
          <w:rFonts w:ascii="Times New Roman" w:hAnsi="Times New Roman" w:cs="Times New Roman"/>
          <w:i/>
          <w:sz w:val="24"/>
          <w:szCs w:val="24"/>
        </w:rPr>
        <w:t xml:space="preserve"> </w:t>
      </w:r>
      <w:r w:rsidR="00A8179C" w:rsidRPr="00AE141E">
        <w:rPr>
          <w:rFonts w:ascii="Times New Roman" w:hAnsi="Times New Roman" w:cs="Times New Roman"/>
          <w:iCs/>
          <w:sz w:val="24"/>
          <w:szCs w:val="24"/>
        </w:rPr>
        <w:t>or SCHP</w:t>
      </w:r>
      <w:r w:rsidR="00812877" w:rsidRPr="00AE141E">
        <w:rPr>
          <w:rFonts w:ascii="Times New Roman" w:hAnsi="Times New Roman" w:cs="Times New Roman"/>
          <w:sz w:val="24"/>
          <w:szCs w:val="24"/>
        </w:rPr>
        <w:t>.</w:t>
      </w:r>
      <w:r w:rsidR="004A2EEB" w:rsidRPr="00AE141E">
        <w:rPr>
          <w:rFonts w:ascii="Times New Roman" w:hAnsi="Times New Roman" w:cs="Times New Roman"/>
          <w:sz w:val="24"/>
          <w:szCs w:val="24"/>
        </w:rPr>
        <w:t xml:space="preserve"> </w:t>
      </w:r>
      <w:r w:rsidR="00633044" w:rsidRPr="00AE141E">
        <w:rPr>
          <w:rFonts w:ascii="Times New Roman" w:hAnsi="Times New Roman" w:cs="Times New Roman"/>
          <w:sz w:val="24"/>
          <w:szCs w:val="24"/>
        </w:rPr>
        <w:t>Young people were treated as historians in their own right, with a unique contribution to make to</w:t>
      </w:r>
      <w:r w:rsidR="005C1935" w:rsidRPr="00AE141E">
        <w:rPr>
          <w:rFonts w:ascii="Times New Roman" w:hAnsi="Times New Roman" w:cs="Times New Roman"/>
          <w:sz w:val="24"/>
          <w:szCs w:val="24"/>
        </w:rPr>
        <w:t xml:space="preserve"> the collective understanding of the past.</w:t>
      </w:r>
    </w:p>
    <w:p w14:paraId="457B4B81" w14:textId="61512BA1" w:rsidR="00EF0E02" w:rsidRPr="00AE141E" w:rsidRDefault="00EF0E0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w:t>
      </w:r>
      <w:r w:rsidR="00ED2E9E" w:rsidRPr="00AE141E">
        <w:rPr>
          <w:rFonts w:ascii="Times New Roman" w:hAnsi="Times New Roman" w:cs="Times New Roman"/>
          <w:sz w:val="24"/>
          <w:szCs w:val="24"/>
        </w:rPr>
        <w:t>is</w:t>
      </w:r>
      <w:r w:rsidRPr="00AE141E">
        <w:rPr>
          <w:rFonts w:ascii="Times New Roman" w:hAnsi="Times New Roman" w:cs="Times New Roman"/>
          <w:sz w:val="24"/>
          <w:szCs w:val="24"/>
        </w:rPr>
        <w:t xml:space="preserve"> </w:t>
      </w:r>
      <w:r w:rsidR="00ED2E9E" w:rsidRPr="00AE141E">
        <w:rPr>
          <w:rFonts w:ascii="Times New Roman" w:hAnsi="Times New Roman" w:cs="Times New Roman"/>
          <w:sz w:val="24"/>
          <w:szCs w:val="24"/>
        </w:rPr>
        <w:t xml:space="preserve">entailed </w:t>
      </w:r>
      <w:r w:rsidRPr="00AE141E">
        <w:rPr>
          <w:rFonts w:ascii="Times New Roman" w:hAnsi="Times New Roman" w:cs="Times New Roman"/>
          <w:sz w:val="24"/>
          <w:szCs w:val="24"/>
        </w:rPr>
        <w:t xml:space="preserve">a reconceptualisation of the relative roles of teacher and student which went beyond </w:t>
      </w:r>
      <w:r w:rsidR="00052867" w:rsidRPr="00AE141E">
        <w:rPr>
          <w:rFonts w:ascii="Times New Roman" w:hAnsi="Times New Roman" w:cs="Times New Roman"/>
          <w:sz w:val="24"/>
          <w:szCs w:val="24"/>
        </w:rPr>
        <w:t>the duty of care and responsiveness demanded by ‘child-centred</w:t>
      </w:r>
      <w:r w:rsidR="00A235FC" w:rsidRPr="00AE141E">
        <w:rPr>
          <w:rFonts w:ascii="Times New Roman" w:hAnsi="Times New Roman" w:cs="Times New Roman"/>
          <w:sz w:val="24"/>
          <w:szCs w:val="24"/>
        </w:rPr>
        <w:t xml:space="preserve">’ </w:t>
      </w:r>
      <w:r w:rsidR="00052867" w:rsidRPr="00AE141E">
        <w:rPr>
          <w:rFonts w:ascii="Times New Roman" w:hAnsi="Times New Roman" w:cs="Times New Roman"/>
          <w:sz w:val="24"/>
          <w:szCs w:val="24"/>
        </w:rPr>
        <w:t xml:space="preserve">learning. </w:t>
      </w:r>
      <w:r w:rsidR="005050BA" w:rsidRPr="00AE141E">
        <w:rPr>
          <w:rFonts w:ascii="Times New Roman" w:hAnsi="Times New Roman" w:cs="Times New Roman"/>
          <w:sz w:val="24"/>
          <w:szCs w:val="24"/>
        </w:rPr>
        <w:t>The course anticipated</w:t>
      </w:r>
      <w:r w:rsidR="006C7FD6">
        <w:rPr>
          <w:rFonts w:ascii="Times New Roman" w:hAnsi="Times New Roman" w:cs="Times New Roman"/>
          <w:sz w:val="24"/>
          <w:szCs w:val="24"/>
        </w:rPr>
        <w:t xml:space="preserve"> the mobilisation of an expansive</w:t>
      </w:r>
      <w:r w:rsidR="005050BA" w:rsidRPr="00AE141E">
        <w:rPr>
          <w:rFonts w:ascii="Times New Roman" w:hAnsi="Times New Roman" w:cs="Times New Roman"/>
          <w:sz w:val="24"/>
          <w:szCs w:val="24"/>
        </w:rPr>
        <w:t xml:space="preserve"> community</w:t>
      </w:r>
      <w:r w:rsidR="006C7FD6">
        <w:rPr>
          <w:rFonts w:ascii="Times New Roman" w:hAnsi="Times New Roman" w:cs="Times New Roman"/>
          <w:sz w:val="24"/>
          <w:szCs w:val="24"/>
        </w:rPr>
        <w:t xml:space="preserve"> – encompassing parents, teachers, students, and locality </w:t>
      </w:r>
      <w:r w:rsidR="00AB7206">
        <w:rPr>
          <w:rFonts w:ascii="Times New Roman" w:hAnsi="Times New Roman" w:cs="Times New Roman"/>
          <w:sz w:val="24"/>
          <w:szCs w:val="24"/>
        </w:rPr>
        <w:t>–</w:t>
      </w:r>
      <w:r w:rsidR="005050BA" w:rsidRPr="00AE141E">
        <w:rPr>
          <w:rFonts w:ascii="Times New Roman" w:hAnsi="Times New Roman" w:cs="Times New Roman"/>
          <w:sz w:val="24"/>
          <w:szCs w:val="24"/>
        </w:rPr>
        <w:t xml:space="preserve"> in</w:t>
      </w:r>
      <w:r w:rsidR="00AB7206">
        <w:rPr>
          <w:rFonts w:ascii="Times New Roman" w:hAnsi="Times New Roman" w:cs="Times New Roman"/>
          <w:sz w:val="24"/>
          <w:szCs w:val="24"/>
        </w:rPr>
        <w:t xml:space="preserve"> </w:t>
      </w:r>
      <w:r w:rsidR="005050BA" w:rsidRPr="00AE141E">
        <w:rPr>
          <w:rFonts w:ascii="Times New Roman" w:hAnsi="Times New Roman" w:cs="Times New Roman"/>
          <w:sz w:val="24"/>
          <w:szCs w:val="24"/>
        </w:rPr>
        <w:t xml:space="preserve">the pursuit of historical knowledge and multicultural </w:t>
      </w:r>
      <w:r w:rsidR="00BB5B94" w:rsidRPr="00AE141E">
        <w:rPr>
          <w:rFonts w:ascii="Times New Roman" w:hAnsi="Times New Roman" w:cs="Times New Roman"/>
          <w:sz w:val="24"/>
          <w:szCs w:val="24"/>
        </w:rPr>
        <w:lastRenderedPageBreak/>
        <w:t>consciousness</w:t>
      </w:r>
      <w:r w:rsidR="005050BA" w:rsidRPr="00AE141E">
        <w:rPr>
          <w:rFonts w:ascii="Times New Roman" w:hAnsi="Times New Roman" w:cs="Times New Roman"/>
          <w:sz w:val="24"/>
          <w:szCs w:val="24"/>
        </w:rPr>
        <w:t>.</w:t>
      </w:r>
      <w:r w:rsidR="00BB5B94" w:rsidRPr="00AE141E">
        <w:rPr>
          <w:rFonts w:ascii="Times New Roman" w:hAnsi="Times New Roman" w:cs="Times New Roman"/>
          <w:sz w:val="24"/>
          <w:szCs w:val="24"/>
        </w:rPr>
        <w:t xml:space="preserve"> </w:t>
      </w:r>
      <w:r w:rsidR="00BB5B94" w:rsidRPr="00AE141E">
        <w:rPr>
          <w:rFonts w:ascii="Times New Roman" w:hAnsi="Times New Roman" w:cs="Times New Roman"/>
          <w:i/>
          <w:sz w:val="24"/>
          <w:szCs w:val="24"/>
        </w:rPr>
        <w:t xml:space="preserve">Black Settlers </w:t>
      </w:r>
      <w:r w:rsidR="00BB5B94" w:rsidRPr="00AE141E">
        <w:rPr>
          <w:rFonts w:ascii="Times New Roman" w:hAnsi="Times New Roman" w:cs="Times New Roman"/>
          <w:sz w:val="24"/>
          <w:szCs w:val="24"/>
        </w:rPr>
        <w:t>featured the personal history of the Tulse Hill teacher Donald Hinds</w:t>
      </w:r>
      <w:r w:rsidR="009E278E" w:rsidRPr="00AE141E">
        <w:rPr>
          <w:rFonts w:ascii="Times New Roman" w:hAnsi="Times New Roman" w:cs="Times New Roman"/>
          <w:sz w:val="24"/>
          <w:szCs w:val="24"/>
        </w:rPr>
        <w:t xml:space="preserve">, whose life was used to illuminate the </w:t>
      </w:r>
      <w:r w:rsidR="00696761" w:rsidRPr="00AE141E">
        <w:rPr>
          <w:rFonts w:ascii="Times New Roman" w:hAnsi="Times New Roman" w:cs="Times New Roman"/>
          <w:sz w:val="24"/>
          <w:szCs w:val="24"/>
        </w:rPr>
        <w:t xml:space="preserve">experiences of people of African-Caribbean descent in </w:t>
      </w:r>
      <w:r w:rsidR="00691BB4" w:rsidRPr="00AE141E">
        <w:rPr>
          <w:rFonts w:ascii="Times New Roman" w:hAnsi="Times New Roman" w:cs="Times New Roman"/>
          <w:sz w:val="24"/>
          <w:szCs w:val="24"/>
        </w:rPr>
        <w:t>post-war Britain.</w:t>
      </w:r>
      <w:r w:rsidR="007D1716" w:rsidRPr="00AE141E">
        <w:rPr>
          <w:rStyle w:val="FootnoteReference"/>
          <w:rFonts w:ascii="Times New Roman" w:hAnsi="Times New Roman" w:cs="Times New Roman"/>
          <w:sz w:val="24"/>
          <w:szCs w:val="24"/>
        </w:rPr>
        <w:footnoteReference w:id="558"/>
      </w:r>
      <w:r w:rsidR="00A96872" w:rsidRPr="00AE141E">
        <w:rPr>
          <w:rFonts w:ascii="Times New Roman" w:hAnsi="Times New Roman" w:cs="Times New Roman"/>
          <w:sz w:val="24"/>
          <w:szCs w:val="24"/>
        </w:rPr>
        <w:t xml:space="preserve"> </w:t>
      </w:r>
      <w:r w:rsidR="002333F4" w:rsidRPr="00AE141E">
        <w:rPr>
          <w:rFonts w:ascii="Times New Roman" w:hAnsi="Times New Roman" w:cs="Times New Roman"/>
          <w:sz w:val="24"/>
          <w:szCs w:val="24"/>
        </w:rPr>
        <w:t xml:space="preserve">Readers were informed of </w:t>
      </w:r>
      <w:r w:rsidR="007A58E1" w:rsidRPr="00AE141E">
        <w:rPr>
          <w:rFonts w:ascii="Times New Roman" w:hAnsi="Times New Roman" w:cs="Times New Roman"/>
          <w:sz w:val="24"/>
          <w:szCs w:val="24"/>
        </w:rPr>
        <w:t>Hinds’ arrival in Plymouth in 1955, driven by the earlier migrations of close family members</w:t>
      </w:r>
      <w:r w:rsidR="00A96872" w:rsidRPr="00AE141E">
        <w:rPr>
          <w:rFonts w:ascii="Times New Roman" w:hAnsi="Times New Roman" w:cs="Times New Roman"/>
          <w:sz w:val="24"/>
          <w:szCs w:val="24"/>
        </w:rPr>
        <w:t xml:space="preserve"> </w:t>
      </w:r>
      <w:r w:rsidR="007A58E1" w:rsidRPr="00AE141E">
        <w:rPr>
          <w:rFonts w:ascii="Times New Roman" w:hAnsi="Times New Roman" w:cs="Times New Roman"/>
          <w:sz w:val="24"/>
          <w:szCs w:val="24"/>
        </w:rPr>
        <w:t xml:space="preserve">and </w:t>
      </w:r>
      <w:r w:rsidR="007C4EDD" w:rsidRPr="00AE141E">
        <w:rPr>
          <w:rFonts w:ascii="Times New Roman" w:hAnsi="Times New Roman" w:cs="Times New Roman"/>
          <w:sz w:val="24"/>
          <w:szCs w:val="24"/>
        </w:rPr>
        <w:t xml:space="preserve">by the </w:t>
      </w:r>
      <w:r w:rsidR="00A63258" w:rsidRPr="00AE141E">
        <w:rPr>
          <w:rFonts w:ascii="Times New Roman" w:hAnsi="Times New Roman" w:cs="Times New Roman"/>
          <w:sz w:val="24"/>
          <w:szCs w:val="24"/>
        </w:rPr>
        <w:t>scarcity</w:t>
      </w:r>
      <w:r w:rsidR="007C4EDD" w:rsidRPr="00AE141E">
        <w:rPr>
          <w:rFonts w:ascii="Times New Roman" w:hAnsi="Times New Roman" w:cs="Times New Roman"/>
          <w:sz w:val="24"/>
          <w:szCs w:val="24"/>
        </w:rPr>
        <w:t xml:space="preserve"> of jobs in contemporary Jamaica</w:t>
      </w:r>
      <w:r w:rsidR="00B52151" w:rsidRPr="00AE141E">
        <w:rPr>
          <w:rFonts w:ascii="Times New Roman" w:hAnsi="Times New Roman" w:cs="Times New Roman"/>
          <w:sz w:val="24"/>
          <w:szCs w:val="24"/>
        </w:rPr>
        <w:t>;</w:t>
      </w:r>
      <w:r w:rsidR="00FB7457" w:rsidRPr="00AE141E">
        <w:rPr>
          <w:rFonts w:ascii="Times New Roman" w:hAnsi="Times New Roman" w:cs="Times New Roman"/>
          <w:sz w:val="24"/>
          <w:szCs w:val="24"/>
        </w:rPr>
        <w:t xml:space="preserve"> his early encounters with housing discrimination</w:t>
      </w:r>
      <w:r w:rsidR="00B52151" w:rsidRPr="00AE141E">
        <w:rPr>
          <w:rFonts w:ascii="Times New Roman" w:hAnsi="Times New Roman" w:cs="Times New Roman"/>
          <w:sz w:val="24"/>
          <w:szCs w:val="24"/>
        </w:rPr>
        <w:t xml:space="preserve">; </w:t>
      </w:r>
      <w:r w:rsidR="00FB7457" w:rsidRPr="00AE141E">
        <w:rPr>
          <w:rFonts w:ascii="Times New Roman" w:hAnsi="Times New Roman" w:cs="Times New Roman"/>
          <w:sz w:val="24"/>
          <w:szCs w:val="24"/>
        </w:rPr>
        <w:t xml:space="preserve">and his subsequent </w:t>
      </w:r>
      <w:r w:rsidR="0099283A" w:rsidRPr="00AE141E">
        <w:rPr>
          <w:rFonts w:ascii="Times New Roman" w:hAnsi="Times New Roman" w:cs="Times New Roman"/>
          <w:sz w:val="24"/>
          <w:szCs w:val="24"/>
        </w:rPr>
        <w:t>career</w:t>
      </w:r>
      <w:r w:rsidR="00AF228E" w:rsidRPr="00AE141E">
        <w:rPr>
          <w:rFonts w:ascii="Times New Roman" w:hAnsi="Times New Roman" w:cs="Times New Roman"/>
          <w:sz w:val="24"/>
          <w:szCs w:val="24"/>
        </w:rPr>
        <w:t>s</w:t>
      </w:r>
      <w:r w:rsidR="00D15E94" w:rsidRPr="00AE141E">
        <w:rPr>
          <w:rFonts w:ascii="Times New Roman" w:hAnsi="Times New Roman" w:cs="Times New Roman"/>
          <w:sz w:val="24"/>
          <w:szCs w:val="24"/>
        </w:rPr>
        <w:t xml:space="preserve"> as a </w:t>
      </w:r>
      <w:r w:rsidR="00CF4FAC" w:rsidRPr="00AE141E">
        <w:rPr>
          <w:rFonts w:ascii="Times New Roman" w:hAnsi="Times New Roman" w:cs="Times New Roman"/>
          <w:sz w:val="24"/>
          <w:szCs w:val="24"/>
        </w:rPr>
        <w:t xml:space="preserve">student, a </w:t>
      </w:r>
      <w:r w:rsidR="00D15E94" w:rsidRPr="00AE141E">
        <w:rPr>
          <w:rFonts w:ascii="Times New Roman" w:hAnsi="Times New Roman" w:cs="Times New Roman"/>
          <w:sz w:val="24"/>
          <w:szCs w:val="24"/>
        </w:rPr>
        <w:t>bus conduct</w:t>
      </w:r>
      <w:r w:rsidR="00AF228E" w:rsidRPr="00AE141E">
        <w:rPr>
          <w:rFonts w:ascii="Times New Roman" w:hAnsi="Times New Roman" w:cs="Times New Roman"/>
          <w:sz w:val="24"/>
          <w:szCs w:val="24"/>
        </w:rPr>
        <w:t xml:space="preserve">or, </w:t>
      </w:r>
      <w:r w:rsidR="0092601E" w:rsidRPr="00AE141E">
        <w:rPr>
          <w:rFonts w:ascii="Times New Roman" w:hAnsi="Times New Roman" w:cs="Times New Roman"/>
          <w:sz w:val="24"/>
          <w:szCs w:val="24"/>
        </w:rPr>
        <w:t xml:space="preserve">writer, civil servant, and teacher. </w:t>
      </w:r>
      <w:r w:rsidR="002F33E0" w:rsidRPr="00AE141E">
        <w:rPr>
          <w:rFonts w:ascii="Times New Roman" w:hAnsi="Times New Roman" w:cs="Times New Roman"/>
          <w:sz w:val="24"/>
          <w:szCs w:val="24"/>
        </w:rPr>
        <w:t xml:space="preserve">Hinds </w:t>
      </w:r>
      <w:r w:rsidR="006D121C" w:rsidRPr="00AE141E">
        <w:rPr>
          <w:rFonts w:ascii="Times New Roman" w:hAnsi="Times New Roman" w:cs="Times New Roman"/>
          <w:sz w:val="24"/>
          <w:szCs w:val="24"/>
        </w:rPr>
        <w:t xml:space="preserve">thus opened </w:t>
      </w:r>
      <w:r w:rsidR="006F1D03" w:rsidRPr="00AE141E">
        <w:rPr>
          <w:rFonts w:ascii="Times New Roman" w:hAnsi="Times New Roman" w:cs="Times New Roman"/>
          <w:sz w:val="24"/>
          <w:szCs w:val="24"/>
        </w:rPr>
        <w:t>intimate details from his professional and personal life to his pupils.</w:t>
      </w:r>
      <w:r w:rsidR="000E7080" w:rsidRPr="00AE141E">
        <w:rPr>
          <w:rFonts w:ascii="Times New Roman" w:hAnsi="Times New Roman" w:cs="Times New Roman"/>
          <w:sz w:val="24"/>
          <w:szCs w:val="24"/>
        </w:rPr>
        <w:t xml:space="preserve"> Students were expected to use these materials responsibly </w:t>
      </w:r>
      <w:r w:rsidR="00F666DD" w:rsidRPr="00AE141E">
        <w:rPr>
          <w:rFonts w:ascii="Times New Roman" w:hAnsi="Times New Roman" w:cs="Times New Roman"/>
          <w:sz w:val="24"/>
          <w:szCs w:val="24"/>
        </w:rPr>
        <w:t>in their capacity as historians.</w:t>
      </w:r>
    </w:p>
    <w:p w14:paraId="6F6C0598" w14:textId="1BFC4F5A" w:rsidR="00185CCC" w:rsidRPr="00AE141E" w:rsidRDefault="00F771A4" w:rsidP="00AE141E">
      <w:pPr>
        <w:spacing w:line="360" w:lineRule="auto"/>
        <w:rPr>
          <w:rFonts w:ascii="Times New Roman" w:hAnsi="Times New Roman" w:cs="Times New Roman"/>
          <w:sz w:val="24"/>
          <w:szCs w:val="24"/>
        </w:rPr>
      </w:pPr>
      <w:r w:rsidRPr="00AE141E">
        <w:rPr>
          <w:rFonts w:ascii="Times New Roman" w:hAnsi="Times New Roman" w:cs="Times New Roman"/>
          <w:i/>
          <w:sz w:val="24"/>
          <w:szCs w:val="24"/>
        </w:rPr>
        <w:t xml:space="preserve">Black Settlers </w:t>
      </w:r>
      <w:r w:rsidR="00C40273" w:rsidRPr="00AE141E">
        <w:rPr>
          <w:rFonts w:ascii="Times New Roman" w:hAnsi="Times New Roman" w:cs="Times New Roman"/>
          <w:sz w:val="24"/>
          <w:szCs w:val="24"/>
        </w:rPr>
        <w:t>challenged</w:t>
      </w:r>
      <w:r w:rsidRPr="00AE141E">
        <w:rPr>
          <w:rFonts w:ascii="Times New Roman" w:hAnsi="Times New Roman" w:cs="Times New Roman"/>
          <w:sz w:val="24"/>
          <w:szCs w:val="24"/>
        </w:rPr>
        <w:t xml:space="preserve"> </w:t>
      </w:r>
      <w:r w:rsidR="00454328" w:rsidRPr="00AE141E">
        <w:rPr>
          <w:rFonts w:ascii="Times New Roman" w:hAnsi="Times New Roman" w:cs="Times New Roman"/>
          <w:sz w:val="24"/>
          <w:szCs w:val="24"/>
        </w:rPr>
        <w:t xml:space="preserve">pupils and teachers across the country </w:t>
      </w:r>
      <w:r w:rsidR="0077352E" w:rsidRPr="00AE141E">
        <w:rPr>
          <w:rFonts w:ascii="Times New Roman" w:hAnsi="Times New Roman" w:cs="Times New Roman"/>
          <w:sz w:val="24"/>
          <w:szCs w:val="24"/>
        </w:rPr>
        <w:t>to research ‘life stories’ like that of Hinds.</w:t>
      </w:r>
      <w:r w:rsidR="007D1716" w:rsidRPr="00AE141E">
        <w:rPr>
          <w:rStyle w:val="FootnoteReference"/>
          <w:rFonts w:ascii="Times New Roman" w:hAnsi="Times New Roman" w:cs="Times New Roman"/>
          <w:sz w:val="24"/>
          <w:szCs w:val="24"/>
        </w:rPr>
        <w:footnoteReference w:id="559"/>
      </w:r>
      <w:r w:rsidR="0052071C" w:rsidRPr="00AE141E">
        <w:rPr>
          <w:rFonts w:ascii="Times New Roman" w:hAnsi="Times New Roman" w:cs="Times New Roman"/>
          <w:sz w:val="24"/>
          <w:szCs w:val="24"/>
        </w:rPr>
        <w:t xml:space="preserve"> </w:t>
      </w:r>
      <w:r w:rsidR="00C40273" w:rsidRPr="00AE141E">
        <w:rPr>
          <w:rFonts w:ascii="Times New Roman" w:hAnsi="Times New Roman" w:cs="Times New Roman"/>
          <w:sz w:val="24"/>
          <w:szCs w:val="24"/>
        </w:rPr>
        <w:t xml:space="preserve">In setting this task, the authors drew </w:t>
      </w:r>
      <w:r w:rsidR="00F70401" w:rsidRPr="00AE141E">
        <w:rPr>
          <w:rFonts w:ascii="Times New Roman" w:hAnsi="Times New Roman" w:cs="Times New Roman"/>
          <w:sz w:val="24"/>
          <w:szCs w:val="24"/>
        </w:rPr>
        <w:t xml:space="preserve">on both the legacy of ‘histories of everyday life’ and </w:t>
      </w:r>
      <w:r w:rsidR="00910C80" w:rsidRPr="00AE141E">
        <w:rPr>
          <w:rFonts w:ascii="Times New Roman" w:hAnsi="Times New Roman" w:cs="Times New Roman"/>
          <w:sz w:val="24"/>
          <w:szCs w:val="24"/>
        </w:rPr>
        <w:t>the BEM.</w:t>
      </w:r>
      <w:r w:rsidR="00337EAD" w:rsidRPr="00AE141E">
        <w:rPr>
          <w:rFonts w:ascii="Times New Roman" w:hAnsi="Times New Roman" w:cs="Times New Roman"/>
          <w:sz w:val="24"/>
          <w:szCs w:val="24"/>
        </w:rPr>
        <w:t xml:space="preserve"> Supplementary schools </w:t>
      </w:r>
      <w:r w:rsidR="00022D04" w:rsidRPr="00AE141E">
        <w:rPr>
          <w:rFonts w:ascii="Times New Roman" w:hAnsi="Times New Roman" w:cs="Times New Roman"/>
          <w:sz w:val="24"/>
          <w:szCs w:val="24"/>
        </w:rPr>
        <w:t xml:space="preserve">fostered Black historical writing as a form of identity formation and declaration. Young people were </w:t>
      </w:r>
      <w:r w:rsidR="000E2315" w:rsidRPr="00AE141E">
        <w:rPr>
          <w:rFonts w:ascii="Times New Roman" w:hAnsi="Times New Roman" w:cs="Times New Roman"/>
          <w:sz w:val="24"/>
          <w:szCs w:val="24"/>
        </w:rPr>
        <w:t xml:space="preserve">encouraged to </w:t>
      </w:r>
      <w:r w:rsidR="00F62862" w:rsidRPr="00AE141E">
        <w:rPr>
          <w:rFonts w:ascii="Times New Roman" w:hAnsi="Times New Roman" w:cs="Times New Roman"/>
          <w:sz w:val="24"/>
          <w:szCs w:val="24"/>
        </w:rPr>
        <w:t xml:space="preserve">place the self in an unbroken historical tradition of </w:t>
      </w:r>
      <w:r w:rsidR="0010664C" w:rsidRPr="00AE141E">
        <w:rPr>
          <w:rFonts w:ascii="Times New Roman" w:hAnsi="Times New Roman" w:cs="Times New Roman"/>
          <w:sz w:val="24"/>
          <w:szCs w:val="24"/>
        </w:rPr>
        <w:t>pride in organised resistance</w:t>
      </w:r>
      <w:r w:rsidR="00A07B47" w:rsidRPr="00AE141E">
        <w:rPr>
          <w:rFonts w:ascii="Times New Roman" w:hAnsi="Times New Roman" w:cs="Times New Roman"/>
          <w:sz w:val="24"/>
          <w:szCs w:val="24"/>
        </w:rPr>
        <w:t xml:space="preserve">. </w:t>
      </w:r>
      <w:r w:rsidR="00185CCC" w:rsidRPr="00AE141E">
        <w:rPr>
          <w:rFonts w:ascii="Times New Roman" w:hAnsi="Times New Roman" w:cs="Times New Roman"/>
          <w:sz w:val="24"/>
          <w:szCs w:val="24"/>
        </w:rPr>
        <w:t>Within the Tulse Hill course, the emphasis shifted from</w:t>
      </w:r>
      <w:r w:rsidR="007021E8" w:rsidRPr="00AE141E">
        <w:rPr>
          <w:rFonts w:ascii="Times New Roman" w:hAnsi="Times New Roman" w:cs="Times New Roman"/>
          <w:sz w:val="24"/>
          <w:szCs w:val="24"/>
        </w:rPr>
        <w:t xml:space="preserve"> the</w:t>
      </w:r>
      <w:r w:rsidR="00185CCC" w:rsidRPr="00AE141E">
        <w:rPr>
          <w:rFonts w:ascii="Times New Roman" w:hAnsi="Times New Roman" w:cs="Times New Roman"/>
          <w:sz w:val="24"/>
          <w:szCs w:val="24"/>
        </w:rPr>
        <w:t xml:space="preserve"> </w:t>
      </w:r>
      <w:r w:rsidR="0094273D" w:rsidRPr="00AE141E">
        <w:rPr>
          <w:rFonts w:ascii="Times New Roman" w:hAnsi="Times New Roman" w:cs="Times New Roman"/>
          <w:sz w:val="24"/>
          <w:szCs w:val="24"/>
        </w:rPr>
        <w:t>self-narration</w:t>
      </w:r>
      <w:r w:rsidR="00E306DE" w:rsidRPr="00AE141E">
        <w:rPr>
          <w:rFonts w:ascii="Times New Roman" w:hAnsi="Times New Roman" w:cs="Times New Roman"/>
          <w:sz w:val="24"/>
          <w:szCs w:val="24"/>
        </w:rPr>
        <w:t xml:space="preserve"> </w:t>
      </w:r>
      <w:r w:rsidR="006A1989" w:rsidRPr="00AE141E">
        <w:rPr>
          <w:rFonts w:ascii="Times New Roman" w:hAnsi="Times New Roman" w:cs="Times New Roman"/>
          <w:sz w:val="24"/>
          <w:szCs w:val="24"/>
        </w:rPr>
        <w:t xml:space="preserve">of Black young people to </w:t>
      </w:r>
      <w:r w:rsidR="00A56293" w:rsidRPr="00AE141E">
        <w:rPr>
          <w:rFonts w:ascii="Times New Roman" w:hAnsi="Times New Roman" w:cs="Times New Roman"/>
          <w:sz w:val="24"/>
          <w:szCs w:val="24"/>
        </w:rPr>
        <w:t xml:space="preserve">self-narration of an older generation, facilitated by </w:t>
      </w:r>
      <w:r w:rsidR="00DB2B96" w:rsidRPr="00AE141E">
        <w:rPr>
          <w:rFonts w:ascii="Times New Roman" w:hAnsi="Times New Roman" w:cs="Times New Roman"/>
          <w:sz w:val="24"/>
          <w:szCs w:val="24"/>
        </w:rPr>
        <w:t>the pupil as historian.</w:t>
      </w:r>
      <w:r w:rsidR="006D1BEB" w:rsidRPr="00AE141E">
        <w:rPr>
          <w:rFonts w:ascii="Times New Roman" w:hAnsi="Times New Roman" w:cs="Times New Roman"/>
          <w:sz w:val="24"/>
          <w:szCs w:val="24"/>
        </w:rPr>
        <w:t xml:space="preserve"> </w:t>
      </w:r>
      <w:r w:rsidR="00DF6A8E" w:rsidRPr="00AE141E">
        <w:rPr>
          <w:rFonts w:ascii="Times New Roman" w:hAnsi="Times New Roman" w:cs="Times New Roman"/>
          <w:sz w:val="24"/>
          <w:szCs w:val="24"/>
        </w:rPr>
        <w:t xml:space="preserve">The goal here was </w:t>
      </w:r>
      <w:r w:rsidR="0066568B" w:rsidRPr="00AE141E">
        <w:rPr>
          <w:rFonts w:ascii="Times New Roman" w:hAnsi="Times New Roman" w:cs="Times New Roman"/>
          <w:sz w:val="24"/>
          <w:szCs w:val="24"/>
        </w:rPr>
        <w:t>not</w:t>
      </w:r>
      <w:r w:rsidR="00DF6A8E" w:rsidRPr="00AE141E">
        <w:rPr>
          <w:rFonts w:ascii="Times New Roman" w:hAnsi="Times New Roman" w:cs="Times New Roman"/>
          <w:sz w:val="24"/>
          <w:szCs w:val="24"/>
        </w:rPr>
        <w:t xml:space="preserve"> </w:t>
      </w:r>
      <w:r w:rsidR="00232152" w:rsidRPr="00AE141E">
        <w:rPr>
          <w:rFonts w:ascii="Times New Roman" w:hAnsi="Times New Roman" w:cs="Times New Roman"/>
          <w:sz w:val="24"/>
          <w:szCs w:val="24"/>
        </w:rPr>
        <w:t>to</w:t>
      </w:r>
      <w:r w:rsidR="00DF6A8E" w:rsidRPr="00AE141E">
        <w:rPr>
          <w:rFonts w:ascii="Times New Roman" w:hAnsi="Times New Roman" w:cs="Times New Roman"/>
          <w:sz w:val="24"/>
          <w:szCs w:val="24"/>
        </w:rPr>
        <w:t xml:space="preserve"> inculc</w:t>
      </w:r>
      <w:r w:rsidR="00232152" w:rsidRPr="00AE141E">
        <w:rPr>
          <w:rFonts w:ascii="Times New Roman" w:hAnsi="Times New Roman" w:cs="Times New Roman"/>
          <w:sz w:val="24"/>
          <w:szCs w:val="24"/>
        </w:rPr>
        <w:t xml:space="preserve">ate </w:t>
      </w:r>
      <w:r w:rsidR="00DF6A8E" w:rsidRPr="00AE141E">
        <w:rPr>
          <w:rFonts w:ascii="Times New Roman" w:hAnsi="Times New Roman" w:cs="Times New Roman"/>
          <w:sz w:val="24"/>
          <w:szCs w:val="24"/>
        </w:rPr>
        <w:t>a radical Black consciousness</w:t>
      </w:r>
      <w:r w:rsidR="00FA0652" w:rsidRPr="00AE141E">
        <w:rPr>
          <w:rFonts w:ascii="Times New Roman" w:hAnsi="Times New Roman" w:cs="Times New Roman"/>
          <w:sz w:val="24"/>
          <w:szCs w:val="24"/>
        </w:rPr>
        <w:t>, but rather</w:t>
      </w:r>
      <w:r w:rsidR="00EF2B82" w:rsidRPr="00AE141E">
        <w:rPr>
          <w:rFonts w:ascii="Times New Roman" w:hAnsi="Times New Roman" w:cs="Times New Roman"/>
          <w:sz w:val="24"/>
          <w:szCs w:val="24"/>
        </w:rPr>
        <w:t xml:space="preserve"> to</w:t>
      </w:r>
      <w:r w:rsidR="00F41168" w:rsidRPr="00AE141E">
        <w:rPr>
          <w:rFonts w:ascii="Times New Roman" w:hAnsi="Times New Roman" w:cs="Times New Roman"/>
          <w:sz w:val="24"/>
          <w:szCs w:val="24"/>
        </w:rPr>
        <w:t xml:space="preserve"> reaffirm</w:t>
      </w:r>
      <w:r w:rsidR="004347CA" w:rsidRPr="00AE141E">
        <w:rPr>
          <w:rFonts w:ascii="Times New Roman" w:hAnsi="Times New Roman" w:cs="Times New Roman"/>
          <w:sz w:val="24"/>
          <w:szCs w:val="24"/>
        </w:rPr>
        <w:t xml:space="preserve"> the place of Black Britons within the national story </w:t>
      </w:r>
      <w:r w:rsidR="0066568B" w:rsidRPr="00AE141E">
        <w:rPr>
          <w:rFonts w:ascii="Times New Roman" w:hAnsi="Times New Roman" w:cs="Times New Roman"/>
          <w:sz w:val="24"/>
          <w:szCs w:val="24"/>
        </w:rPr>
        <w:t>a</w:t>
      </w:r>
      <w:r w:rsidR="00FA0652" w:rsidRPr="00AE141E">
        <w:rPr>
          <w:rFonts w:ascii="Times New Roman" w:hAnsi="Times New Roman" w:cs="Times New Roman"/>
          <w:sz w:val="24"/>
          <w:szCs w:val="24"/>
        </w:rPr>
        <w:t xml:space="preserve">nd – to </w:t>
      </w:r>
      <w:r w:rsidR="00EF2B82" w:rsidRPr="00AE141E">
        <w:rPr>
          <w:rFonts w:ascii="Times New Roman" w:hAnsi="Times New Roman" w:cs="Times New Roman"/>
          <w:sz w:val="24"/>
          <w:szCs w:val="24"/>
        </w:rPr>
        <w:t>paraphrase E.P. Thompson</w:t>
      </w:r>
      <w:r w:rsidR="00FA0652" w:rsidRPr="00AE141E">
        <w:rPr>
          <w:rFonts w:ascii="Times New Roman" w:hAnsi="Times New Roman" w:cs="Times New Roman"/>
          <w:sz w:val="24"/>
          <w:szCs w:val="24"/>
        </w:rPr>
        <w:t xml:space="preserve"> – to save </w:t>
      </w:r>
      <w:r w:rsidR="006630D7" w:rsidRPr="00AE141E">
        <w:rPr>
          <w:rFonts w:ascii="Times New Roman" w:hAnsi="Times New Roman" w:cs="Times New Roman"/>
          <w:sz w:val="24"/>
          <w:szCs w:val="24"/>
        </w:rPr>
        <w:t xml:space="preserve">Black voices from the </w:t>
      </w:r>
      <w:r w:rsidR="00771490" w:rsidRPr="00AE141E">
        <w:rPr>
          <w:rFonts w:ascii="Times New Roman" w:hAnsi="Times New Roman" w:cs="Times New Roman"/>
          <w:sz w:val="24"/>
          <w:szCs w:val="24"/>
        </w:rPr>
        <w:t>‘</w:t>
      </w:r>
      <w:r w:rsidR="006630D7" w:rsidRPr="00AE141E">
        <w:rPr>
          <w:rFonts w:ascii="Times New Roman" w:hAnsi="Times New Roman" w:cs="Times New Roman"/>
          <w:sz w:val="24"/>
          <w:szCs w:val="24"/>
        </w:rPr>
        <w:t>enormous condescension of posterity</w:t>
      </w:r>
      <w:r w:rsidR="00771490" w:rsidRPr="00AE141E">
        <w:rPr>
          <w:rFonts w:ascii="Times New Roman" w:hAnsi="Times New Roman" w:cs="Times New Roman"/>
          <w:sz w:val="24"/>
          <w:szCs w:val="24"/>
        </w:rPr>
        <w:t>’.</w:t>
      </w:r>
      <w:r w:rsidR="00D459DB" w:rsidRPr="00AE141E">
        <w:rPr>
          <w:rStyle w:val="FootnoteReference"/>
          <w:rFonts w:ascii="Times New Roman" w:hAnsi="Times New Roman" w:cs="Times New Roman"/>
          <w:sz w:val="24"/>
          <w:szCs w:val="24"/>
        </w:rPr>
        <w:footnoteReference w:id="560"/>
      </w:r>
    </w:p>
    <w:p w14:paraId="2CDFD876" w14:textId="226F0924" w:rsidR="00B33250" w:rsidRPr="00AE141E" w:rsidRDefault="005F2B0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textbook expressed an earnest hope that they would record as many stories as possible, by tape or on paper. </w:t>
      </w:r>
      <w:r w:rsidR="00E052DF" w:rsidRPr="00AE141E">
        <w:rPr>
          <w:rFonts w:ascii="Times New Roman" w:hAnsi="Times New Roman" w:cs="Times New Roman"/>
          <w:sz w:val="24"/>
          <w:szCs w:val="24"/>
        </w:rPr>
        <w:t xml:space="preserve">Students were advised that </w:t>
      </w:r>
      <w:r w:rsidR="0065306C" w:rsidRPr="00AE141E">
        <w:rPr>
          <w:rFonts w:ascii="Times New Roman" w:hAnsi="Times New Roman" w:cs="Times New Roman"/>
          <w:sz w:val="24"/>
          <w:szCs w:val="24"/>
        </w:rPr>
        <w:t>it would be easy to find individuals who had lived through the war.</w:t>
      </w:r>
      <w:r w:rsidR="00976F85" w:rsidRPr="00AE141E">
        <w:rPr>
          <w:rStyle w:val="FootnoteReference"/>
          <w:rFonts w:ascii="Times New Roman" w:hAnsi="Times New Roman" w:cs="Times New Roman"/>
          <w:sz w:val="24"/>
          <w:szCs w:val="24"/>
        </w:rPr>
        <w:footnoteReference w:id="561"/>
      </w:r>
      <w:r w:rsidR="00380A88" w:rsidRPr="00AE141E">
        <w:rPr>
          <w:rFonts w:ascii="Times New Roman" w:hAnsi="Times New Roman" w:cs="Times New Roman"/>
          <w:sz w:val="24"/>
          <w:szCs w:val="24"/>
        </w:rPr>
        <w:t xml:space="preserve"> Black veterans were to be encouraged to tell their stories, as Alfred Moore and Theo Campbell had done in </w:t>
      </w:r>
      <w:r w:rsidR="00380A88" w:rsidRPr="00AE141E">
        <w:rPr>
          <w:rFonts w:ascii="Times New Roman" w:hAnsi="Times New Roman" w:cs="Times New Roman"/>
          <w:i/>
          <w:sz w:val="24"/>
          <w:szCs w:val="24"/>
        </w:rPr>
        <w:t xml:space="preserve">Black </w:t>
      </w:r>
      <w:r w:rsidR="006E48CB" w:rsidRPr="00AE141E">
        <w:rPr>
          <w:rFonts w:ascii="Times New Roman" w:hAnsi="Times New Roman" w:cs="Times New Roman"/>
          <w:i/>
          <w:sz w:val="24"/>
          <w:szCs w:val="24"/>
        </w:rPr>
        <w:t xml:space="preserve">Settlers. </w:t>
      </w:r>
      <w:r w:rsidR="006E48CB" w:rsidRPr="00AE141E">
        <w:rPr>
          <w:rFonts w:ascii="Times New Roman" w:hAnsi="Times New Roman" w:cs="Times New Roman"/>
          <w:sz w:val="24"/>
          <w:szCs w:val="24"/>
        </w:rPr>
        <w:t xml:space="preserve">White interviewees should be questioned </w:t>
      </w:r>
      <w:r w:rsidR="00342200" w:rsidRPr="00AE141E">
        <w:rPr>
          <w:rFonts w:ascii="Times New Roman" w:hAnsi="Times New Roman" w:cs="Times New Roman"/>
          <w:sz w:val="24"/>
          <w:szCs w:val="24"/>
        </w:rPr>
        <w:t xml:space="preserve">on their memories of Black </w:t>
      </w:r>
      <w:r w:rsidR="00BF1A54" w:rsidRPr="00AE141E">
        <w:rPr>
          <w:rFonts w:ascii="Times New Roman" w:hAnsi="Times New Roman" w:cs="Times New Roman"/>
          <w:sz w:val="24"/>
          <w:szCs w:val="24"/>
        </w:rPr>
        <w:t>people and their reception in war-time Britain.</w:t>
      </w:r>
      <w:r w:rsidR="00665738" w:rsidRPr="00AE141E">
        <w:rPr>
          <w:rFonts w:ascii="Times New Roman" w:hAnsi="Times New Roman" w:cs="Times New Roman"/>
          <w:sz w:val="24"/>
          <w:szCs w:val="24"/>
        </w:rPr>
        <w:t xml:space="preserve"> </w:t>
      </w:r>
      <w:r w:rsidR="00FB230E" w:rsidRPr="00AE141E">
        <w:rPr>
          <w:rFonts w:ascii="Times New Roman" w:hAnsi="Times New Roman" w:cs="Times New Roman"/>
          <w:sz w:val="24"/>
          <w:szCs w:val="24"/>
        </w:rPr>
        <w:t xml:space="preserve">Pupils who were especially lucky might </w:t>
      </w:r>
      <w:r w:rsidR="007F0269" w:rsidRPr="00AE141E">
        <w:rPr>
          <w:rFonts w:ascii="Times New Roman" w:hAnsi="Times New Roman" w:cs="Times New Roman"/>
          <w:sz w:val="24"/>
          <w:szCs w:val="24"/>
        </w:rPr>
        <w:t>also</w:t>
      </w:r>
      <w:r w:rsidR="00FB230E" w:rsidRPr="00AE141E">
        <w:rPr>
          <w:rFonts w:ascii="Times New Roman" w:hAnsi="Times New Roman" w:cs="Times New Roman"/>
          <w:sz w:val="24"/>
          <w:szCs w:val="24"/>
        </w:rPr>
        <w:t xml:space="preserve"> find links with Black people who </w:t>
      </w:r>
      <w:r w:rsidR="00115E62" w:rsidRPr="00AE141E">
        <w:rPr>
          <w:rFonts w:ascii="Times New Roman" w:hAnsi="Times New Roman" w:cs="Times New Roman"/>
          <w:sz w:val="24"/>
          <w:szCs w:val="24"/>
        </w:rPr>
        <w:t>lived in Britain prior to the Second World War, especially if they</w:t>
      </w:r>
      <w:r w:rsidR="00401EF4" w:rsidRPr="00AE141E">
        <w:rPr>
          <w:rFonts w:ascii="Times New Roman" w:hAnsi="Times New Roman" w:cs="Times New Roman"/>
          <w:sz w:val="24"/>
          <w:szCs w:val="24"/>
        </w:rPr>
        <w:t xml:space="preserve"> were residents of </w:t>
      </w:r>
      <w:r w:rsidR="006638C9" w:rsidRPr="00AE141E">
        <w:rPr>
          <w:rFonts w:ascii="Times New Roman" w:hAnsi="Times New Roman" w:cs="Times New Roman"/>
          <w:sz w:val="24"/>
          <w:szCs w:val="24"/>
        </w:rPr>
        <w:t>Bristol, Cardiff, Liverpool, South Shields or London.</w:t>
      </w:r>
      <w:r w:rsidR="00CC1E53" w:rsidRPr="00AE141E">
        <w:rPr>
          <w:rFonts w:ascii="Times New Roman" w:hAnsi="Times New Roman" w:cs="Times New Roman"/>
          <w:sz w:val="24"/>
          <w:szCs w:val="24"/>
        </w:rPr>
        <w:t xml:space="preserve"> Nevertheless, </w:t>
      </w:r>
      <w:r w:rsidR="00CC1E53" w:rsidRPr="00AE141E">
        <w:rPr>
          <w:rFonts w:ascii="Times New Roman" w:hAnsi="Times New Roman" w:cs="Times New Roman"/>
          <w:i/>
          <w:sz w:val="24"/>
          <w:szCs w:val="24"/>
        </w:rPr>
        <w:t xml:space="preserve">Black Settlers </w:t>
      </w:r>
      <w:r w:rsidR="00027963" w:rsidRPr="00AE141E">
        <w:rPr>
          <w:rFonts w:ascii="Times New Roman" w:hAnsi="Times New Roman" w:cs="Times New Roman"/>
          <w:sz w:val="24"/>
          <w:szCs w:val="24"/>
        </w:rPr>
        <w:t>was careful to inform learners that ‘everyone has their own story to tell’</w:t>
      </w:r>
      <w:r w:rsidR="00971B7B" w:rsidRPr="00AE141E">
        <w:rPr>
          <w:rFonts w:ascii="Times New Roman" w:hAnsi="Times New Roman" w:cs="Times New Roman"/>
          <w:sz w:val="24"/>
          <w:szCs w:val="24"/>
        </w:rPr>
        <w:t xml:space="preserve">. The </w:t>
      </w:r>
      <w:r w:rsidR="00CF395C" w:rsidRPr="00AE141E">
        <w:rPr>
          <w:rFonts w:ascii="Times New Roman" w:hAnsi="Times New Roman" w:cs="Times New Roman"/>
          <w:sz w:val="24"/>
          <w:szCs w:val="24"/>
        </w:rPr>
        <w:t>life-histories</w:t>
      </w:r>
      <w:r w:rsidR="00971B7B" w:rsidRPr="00AE141E">
        <w:rPr>
          <w:rFonts w:ascii="Times New Roman" w:hAnsi="Times New Roman" w:cs="Times New Roman"/>
          <w:sz w:val="24"/>
          <w:szCs w:val="24"/>
        </w:rPr>
        <w:t xml:space="preserve"> of the 1960s, 1970s, and 1980s </w:t>
      </w:r>
      <w:r w:rsidR="003228EB" w:rsidRPr="00AE141E">
        <w:rPr>
          <w:rFonts w:ascii="Times New Roman" w:hAnsi="Times New Roman" w:cs="Times New Roman"/>
          <w:sz w:val="24"/>
          <w:szCs w:val="24"/>
        </w:rPr>
        <w:t>had</w:t>
      </w:r>
      <w:r w:rsidR="00CF395C" w:rsidRPr="00AE141E">
        <w:rPr>
          <w:rFonts w:ascii="Times New Roman" w:hAnsi="Times New Roman" w:cs="Times New Roman"/>
          <w:sz w:val="24"/>
          <w:szCs w:val="24"/>
        </w:rPr>
        <w:t xml:space="preserve"> </w:t>
      </w:r>
      <w:r w:rsidR="00CF395C" w:rsidRPr="00AE141E">
        <w:rPr>
          <w:rFonts w:ascii="Times New Roman" w:hAnsi="Times New Roman" w:cs="Times New Roman"/>
          <w:sz w:val="24"/>
          <w:szCs w:val="24"/>
        </w:rPr>
        <w:lastRenderedPageBreak/>
        <w:t>equal</w:t>
      </w:r>
      <w:r w:rsidR="003228EB" w:rsidRPr="00AE141E">
        <w:rPr>
          <w:rFonts w:ascii="Times New Roman" w:hAnsi="Times New Roman" w:cs="Times New Roman"/>
          <w:sz w:val="24"/>
          <w:szCs w:val="24"/>
        </w:rPr>
        <w:t xml:space="preserve"> intrinsic historical value </w:t>
      </w:r>
      <w:r w:rsidR="00A827B1" w:rsidRPr="00AE141E">
        <w:rPr>
          <w:rFonts w:ascii="Times New Roman" w:hAnsi="Times New Roman" w:cs="Times New Roman"/>
          <w:sz w:val="24"/>
          <w:szCs w:val="24"/>
        </w:rPr>
        <w:t xml:space="preserve">and </w:t>
      </w:r>
      <w:r w:rsidR="00BD3A5D" w:rsidRPr="00AE141E">
        <w:rPr>
          <w:rFonts w:ascii="Times New Roman" w:hAnsi="Times New Roman" w:cs="Times New Roman"/>
          <w:sz w:val="24"/>
          <w:szCs w:val="24"/>
        </w:rPr>
        <w:t xml:space="preserve">could be accessed in the everyday </w:t>
      </w:r>
      <w:r w:rsidR="00F155DA" w:rsidRPr="00AE141E">
        <w:rPr>
          <w:rFonts w:ascii="Times New Roman" w:hAnsi="Times New Roman" w:cs="Times New Roman"/>
          <w:sz w:val="24"/>
          <w:szCs w:val="24"/>
        </w:rPr>
        <w:t xml:space="preserve">worlds of young people. </w:t>
      </w:r>
      <w:r w:rsidR="00CE499E" w:rsidRPr="00AE141E">
        <w:rPr>
          <w:rFonts w:ascii="Times New Roman" w:hAnsi="Times New Roman" w:cs="Times New Roman"/>
          <w:sz w:val="24"/>
          <w:szCs w:val="24"/>
        </w:rPr>
        <w:t xml:space="preserve">As </w:t>
      </w:r>
      <w:r w:rsidR="00A06E91" w:rsidRPr="00AE141E">
        <w:rPr>
          <w:rFonts w:ascii="Times New Roman" w:hAnsi="Times New Roman" w:cs="Times New Roman"/>
          <w:sz w:val="24"/>
          <w:szCs w:val="24"/>
        </w:rPr>
        <w:t>File</w:t>
      </w:r>
      <w:r w:rsidR="00CE499E" w:rsidRPr="00AE141E">
        <w:rPr>
          <w:rFonts w:ascii="Times New Roman" w:hAnsi="Times New Roman" w:cs="Times New Roman"/>
          <w:sz w:val="24"/>
          <w:szCs w:val="24"/>
        </w:rPr>
        <w:t xml:space="preserve"> and </w:t>
      </w:r>
      <w:r w:rsidR="00A06E91" w:rsidRPr="00AE141E">
        <w:rPr>
          <w:rFonts w:ascii="Times New Roman" w:hAnsi="Times New Roman" w:cs="Times New Roman"/>
          <w:sz w:val="24"/>
          <w:szCs w:val="24"/>
        </w:rPr>
        <w:t>Hinds</w:t>
      </w:r>
      <w:r w:rsidR="00CE499E" w:rsidRPr="00AE141E">
        <w:rPr>
          <w:rFonts w:ascii="Times New Roman" w:hAnsi="Times New Roman" w:cs="Times New Roman"/>
          <w:sz w:val="24"/>
          <w:szCs w:val="24"/>
        </w:rPr>
        <w:t xml:space="preserve"> put it, the Tulse Hill curriculum</w:t>
      </w:r>
      <w:r w:rsidR="00733685" w:rsidRPr="00AE141E">
        <w:rPr>
          <w:rFonts w:ascii="Times New Roman" w:hAnsi="Times New Roman" w:cs="Times New Roman"/>
          <w:sz w:val="24"/>
          <w:szCs w:val="24"/>
        </w:rPr>
        <w:t xml:space="preserve"> – drawing as it did on the knowledge of pupils, teachers, and the wider community – produced</w:t>
      </w:r>
      <w:r w:rsidR="00EA3DA7" w:rsidRPr="00AE141E">
        <w:rPr>
          <w:rFonts w:ascii="Times New Roman" w:hAnsi="Times New Roman" w:cs="Times New Roman"/>
          <w:sz w:val="24"/>
          <w:szCs w:val="24"/>
        </w:rPr>
        <w:t xml:space="preserve"> history ‘</w:t>
      </w:r>
      <w:r w:rsidR="00D86739" w:rsidRPr="00AE141E">
        <w:rPr>
          <w:rFonts w:ascii="Times New Roman" w:hAnsi="Times New Roman" w:cs="Times New Roman"/>
          <w:sz w:val="24"/>
          <w:szCs w:val="24"/>
        </w:rPr>
        <w:t>not only from the bottom up, but sideways as well</w:t>
      </w:r>
      <w:r w:rsidR="00EA3DA7" w:rsidRPr="00AE141E">
        <w:rPr>
          <w:rFonts w:ascii="Times New Roman" w:hAnsi="Times New Roman" w:cs="Times New Roman"/>
          <w:sz w:val="24"/>
          <w:szCs w:val="24"/>
        </w:rPr>
        <w:t>’</w:t>
      </w:r>
      <w:r w:rsidR="00D86739" w:rsidRPr="00AE141E">
        <w:rPr>
          <w:rFonts w:ascii="Times New Roman" w:hAnsi="Times New Roman" w:cs="Times New Roman"/>
          <w:sz w:val="24"/>
          <w:szCs w:val="24"/>
        </w:rPr>
        <w:t>.</w:t>
      </w:r>
      <w:r w:rsidR="00E316E8" w:rsidRPr="00AE141E">
        <w:rPr>
          <w:rStyle w:val="FootnoteReference"/>
          <w:rFonts w:ascii="Times New Roman" w:hAnsi="Times New Roman" w:cs="Times New Roman"/>
          <w:sz w:val="24"/>
          <w:szCs w:val="24"/>
        </w:rPr>
        <w:footnoteReference w:id="562"/>
      </w:r>
    </w:p>
    <w:p w14:paraId="4A89E765" w14:textId="0BA7B287" w:rsidR="005A08E5" w:rsidRPr="00AE141E" w:rsidRDefault="00847B5E" w:rsidP="00AE141E">
      <w:pPr>
        <w:spacing w:line="360" w:lineRule="auto"/>
        <w:rPr>
          <w:rFonts w:ascii="Times New Roman" w:hAnsi="Times New Roman" w:cs="Times New Roman"/>
          <w:sz w:val="24"/>
          <w:szCs w:val="24"/>
        </w:rPr>
      </w:pPr>
      <w:r w:rsidRPr="00AE141E">
        <w:rPr>
          <w:rFonts w:ascii="Times New Roman" w:hAnsi="Times New Roman" w:cs="Times New Roman"/>
          <w:i/>
          <w:sz w:val="24"/>
          <w:szCs w:val="24"/>
        </w:rPr>
        <w:t>Black Settlers</w:t>
      </w:r>
      <w:r w:rsidRPr="00AE141E">
        <w:rPr>
          <w:rFonts w:ascii="Times New Roman" w:hAnsi="Times New Roman" w:cs="Times New Roman"/>
          <w:sz w:val="24"/>
          <w:szCs w:val="24"/>
        </w:rPr>
        <w:t xml:space="preserve"> was not unique in its engagement of</w:t>
      </w:r>
      <w:r w:rsidR="00DA042D" w:rsidRPr="00AE141E">
        <w:rPr>
          <w:rFonts w:ascii="Times New Roman" w:hAnsi="Times New Roman" w:cs="Times New Roman"/>
          <w:sz w:val="24"/>
          <w:szCs w:val="24"/>
        </w:rPr>
        <w:t xml:space="preserve"> </w:t>
      </w:r>
      <w:r w:rsidR="000C0C06" w:rsidRPr="00AE141E">
        <w:rPr>
          <w:rFonts w:ascii="Times New Roman" w:hAnsi="Times New Roman" w:cs="Times New Roman"/>
          <w:sz w:val="24"/>
          <w:szCs w:val="24"/>
        </w:rPr>
        <w:t>local histor</w:t>
      </w:r>
      <w:r w:rsidRPr="00AE141E">
        <w:rPr>
          <w:rFonts w:ascii="Times New Roman" w:hAnsi="Times New Roman" w:cs="Times New Roman"/>
          <w:sz w:val="24"/>
          <w:szCs w:val="24"/>
        </w:rPr>
        <w:t>ies</w:t>
      </w:r>
      <w:r w:rsidR="000C0C06" w:rsidRPr="00AE141E">
        <w:rPr>
          <w:rFonts w:ascii="Times New Roman" w:hAnsi="Times New Roman" w:cs="Times New Roman"/>
          <w:sz w:val="24"/>
          <w:szCs w:val="24"/>
        </w:rPr>
        <w:t xml:space="preserve"> </w:t>
      </w:r>
      <w:r w:rsidRPr="00AE141E">
        <w:rPr>
          <w:rFonts w:ascii="Times New Roman" w:hAnsi="Times New Roman" w:cs="Times New Roman"/>
          <w:sz w:val="24"/>
          <w:szCs w:val="24"/>
        </w:rPr>
        <w:t>and respect for</w:t>
      </w:r>
      <w:r w:rsidR="003E798A" w:rsidRPr="00AE141E">
        <w:rPr>
          <w:rFonts w:ascii="Times New Roman" w:hAnsi="Times New Roman" w:cs="Times New Roman"/>
          <w:sz w:val="24"/>
          <w:szCs w:val="24"/>
        </w:rPr>
        <w:t xml:space="preserve"> the</w:t>
      </w:r>
      <w:r w:rsidR="0006238B" w:rsidRPr="00AE141E">
        <w:rPr>
          <w:rFonts w:ascii="Times New Roman" w:hAnsi="Times New Roman" w:cs="Times New Roman"/>
          <w:sz w:val="24"/>
          <w:szCs w:val="24"/>
        </w:rPr>
        <w:t xml:space="preserve"> </w:t>
      </w:r>
      <w:r w:rsidR="003E798A" w:rsidRPr="00AE141E">
        <w:rPr>
          <w:rFonts w:ascii="Times New Roman" w:hAnsi="Times New Roman" w:cs="Times New Roman"/>
          <w:sz w:val="24"/>
          <w:szCs w:val="24"/>
        </w:rPr>
        <w:t>pupil-as-historian</w:t>
      </w:r>
      <w:r w:rsidR="00DA042D" w:rsidRPr="00AE141E">
        <w:rPr>
          <w:rFonts w:ascii="Times New Roman" w:hAnsi="Times New Roman" w:cs="Times New Roman"/>
          <w:sz w:val="24"/>
          <w:szCs w:val="24"/>
        </w:rPr>
        <w:t>.</w:t>
      </w:r>
      <w:r w:rsidR="008D4FA8" w:rsidRPr="00AE141E">
        <w:rPr>
          <w:rFonts w:ascii="Times New Roman" w:hAnsi="Times New Roman" w:cs="Times New Roman"/>
          <w:sz w:val="24"/>
          <w:szCs w:val="24"/>
        </w:rPr>
        <w:t xml:space="preserve"> </w:t>
      </w:r>
      <w:r w:rsidR="003D51CD" w:rsidRPr="00AE141E">
        <w:rPr>
          <w:rFonts w:ascii="Times New Roman" w:hAnsi="Times New Roman" w:cs="Times New Roman"/>
          <w:sz w:val="24"/>
          <w:szCs w:val="24"/>
        </w:rPr>
        <w:t xml:space="preserve">Hackney Downs School, </w:t>
      </w:r>
      <w:r w:rsidR="00203287" w:rsidRPr="00AE141E">
        <w:rPr>
          <w:rFonts w:ascii="Times New Roman" w:hAnsi="Times New Roman" w:cs="Times New Roman"/>
          <w:sz w:val="24"/>
          <w:szCs w:val="24"/>
        </w:rPr>
        <w:t>a north</w:t>
      </w:r>
      <w:r w:rsidR="003D51CD" w:rsidRPr="00AE141E">
        <w:rPr>
          <w:rFonts w:ascii="Times New Roman" w:hAnsi="Times New Roman" w:cs="Times New Roman"/>
          <w:sz w:val="24"/>
          <w:szCs w:val="24"/>
        </w:rPr>
        <w:t xml:space="preserve"> London comprehensive, </w:t>
      </w:r>
      <w:r w:rsidR="00730795" w:rsidRPr="00AE141E">
        <w:rPr>
          <w:rFonts w:ascii="Times New Roman" w:hAnsi="Times New Roman" w:cs="Times New Roman"/>
          <w:sz w:val="24"/>
          <w:szCs w:val="24"/>
        </w:rPr>
        <w:t xml:space="preserve">structured their </w:t>
      </w:r>
      <w:r w:rsidR="003644E1">
        <w:rPr>
          <w:rFonts w:ascii="Times New Roman" w:hAnsi="Times New Roman" w:cs="Times New Roman"/>
          <w:sz w:val="24"/>
          <w:szCs w:val="24"/>
        </w:rPr>
        <w:t>‘</w:t>
      </w:r>
      <w:r w:rsidR="00730795" w:rsidRPr="00AE141E">
        <w:rPr>
          <w:rFonts w:ascii="Times New Roman" w:hAnsi="Times New Roman" w:cs="Times New Roman"/>
          <w:sz w:val="24"/>
          <w:szCs w:val="24"/>
        </w:rPr>
        <w:t xml:space="preserve">Integrated </w:t>
      </w:r>
      <w:r w:rsidR="00EB0D8F" w:rsidRPr="00AE141E">
        <w:rPr>
          <w:rFonts w:ascii="Times New Roman" w:hAnsi="Times New Roman" w:cs="Times New Roman"/>
          <w:sz w:val="24"/>
          <w:szCs w:val="24"/>
        </w:rPr>
        <w:t>Humanities</w:t>
      </w:r>
      <w:r w:rsidR="003644E1">
        <w:rPr>
          <w:rFonts w:ascii="Times New Roman" w:hAnsi="Times New Roman" w:cs="Times New Roman"/>
          <w:sz w:val="24"/>
          <w:szCs w:val="24"/>
        </w:rPr>
        <w:t>’</w:t>
      </w:r>
      <w:r w:rsidR="00EB0D8F" w:rsidRPr="00AE141E">
        <w:rPr>
          <w:rFonts w:ascii="Times New Roman" w:hAnsi="Times New Roman" w:cs="Times New Roman"/>
          <w:sz w:val="24"/>
          <w:szCs w:val="24"/>
        </w:rPr>
        <w:t xml:space="preserve"> course in a similar manner to Tulse Hill. Their thematic approach included a study on ‘The Movement of People’</w:t>
      </w:r>
      <w:r w:rsidR="006C3327" w:rsidRPr="00AE141E">
        <w:rPr>
          <w:rFonts w:ascii="Times New Roman" w:hAnsi="Times New Roman" w:cs="Times New Roman"/>
          <w:sz w:val="24"/>
          <w:szCs w:val="24"/>
        </w:rPr>
        <w:t>.</w:t>
      </w:r>
      <w:r w:rsidR="006F364E" w:rsidRPr="00AE141E">
        <w:rPr>
          <w:rStyle w:val="FootnoteReference"/>
          <w:rFonts w:ascii="Times New Roman" w:hAnsi="Times New Roman" w:cs="Times New Roman"/>
          <w:sz w:val="24"/>
          <w:szCs w:val="24"/>
        </w:rPr>
        <w:footnoteReference w:id="563"/>
      </w:r>
      <w:r w:rsidR="0066598A" w:rsidRPr="00AE141E">
        <w:rPr>
          <w:rFonts w:ascii="Times New Roman" w:hAnsi="Times New Roman" w:cs="Times New Roman"/>
          <w:sz w:val="24"/>
          <w:szCs w:val="24"/>
        </w:rPr>
        <w:t xml:space="preserve"> The historical dimensions of migration were explored</w:t>
      </w:r>
      <w:r w:rsidR="002E5C43" w:rsidRPr="00AE141E">
        <w:rPr>
          <w:rFonts w:ascii="Times New Roman" w:hAnsi="Times New Roman" w:cs="Times New Roman"/>
          <w:sz w:val="24"/>
          <w:szCs w:val="24"/>
        </w:rPr>
        <w:t xml:space="preserve"> through the Angles and Saxons, the nineteenth century Irish</w:t>
      </w:r>
      <w:r w:rsidR="00544599" w:rsidRPr="00AE141E">
        <w:rPr>
          <w:rFonts w:ascii="Times New Roman" w:hAnsi="Times New Roman" w:cs="Times New Roman"/>
          <w:sz w:val="24"/>
          <w:szCs w:val="24"/>
        </w:rPr>
        <w:t>, and ‘</w:t>
      </w:r>
      <w:r w:rsidR="002E5C43" w:rsidRPr="00AE141E">
        <w:rPr>
          <w:rFonts w:ascii="Times New Roman" w:hAnsi="Times New Roman" w:cs="Times New Roman"/>
          <w:sz w:val="24"/>
          <w:szCs w:val="24"/>
        </w:rPr>
        <w:t>the continued and complex movements of the people of the Caribbean</w:t>
      </w:r>
      <w:r w:rsidR="00544599" w:rsidRPr="00AE141E">
        <w:rPr>
          <w:rFonts w:ascii="Times New Roman" w:hAnsi="Times New Roman" w:cs="Times New Roman"/>
          <w:sz w:val="24"/>
          <w:szCs w:val="24"/>
        </w:rPr>
        <w:t>’</w:t>
      </w:r>
      <w:r w:rsidR="002E5C43" w:rsidRPr="00AE141E">
        <w:rPr>
          <w:rFonts w:ascii="Times New Roman" w:hAnsi="Times New Roman" w:cs="Times New Roman"/>
          <w:sz w:val="24"/>
          <w:szCs w:val="24"/>
        </w:rPr>
        <w:t>.</w:t>
      </w:r>
      <w:r w:rsidR="00544599" w:rsidRPr="00AE141E">
        <w:rPr>
          <w:rFonts w:ascii="Times New Roman" w:hAnsi="Times New Roman" w:cs="Times New Roman"/>
          <w:sz w:val="24"/>
          <w:szCs w:val="24"/>
        </w:rPr>
        <w:t xml:space="preserve"> </w:t>
      </w:r>
      <w:r w:rsidR="00C95223" w:rsidRPr="00AE141E">
        <w:rPr>
          <w:rFonts w:ascii="Times New Roman" w:hAnsi="Times New Roman" w:cs="Times New Roman"/>
          <w:sz w:val="24"/>
          <w:szCs w:val="24"/>
        </w:rPr>
        <w:t xml:space="preserve">The course </w:t>
      </w:r>
      <w:r w:rsidR="008E671B" w:rsidRPr="00AE141E">
        <w:rPr>
          <w:rFonts w:ascii="Times New Roman" w:hAnsi="Times New Roman" w:cs="Times New Roman"/>
          <w:sz w:val="24"/>
          <w:szCs w:val="24"/>
        </w:rPr>
        <w:t xml:space="preserve">valorised </w:t>
      </w:r>
      <w:r w:rsidR="00C95223" w:rsidRPr="00AE141E">
        <w:rPr>
          <w:rFonts w:ascii="Times New Roman" w:hAnsi="Times New Roman" w:cs="Times New Roman"/>
          <w:sz w:val="24"/>
          <w:szCs w:val="24"/>
        </w:rPr>
        <w:t>‘</w:t>
      </w:r>
      <w:r w:rsidR="002E5C43" w:rsidRPr="00AE141E">
        <w:rPr>
          <w:rFonts w:ascii="Times New Roman" w:hAnsi="Times New Roman" w:cs="Times New Roman"/>
          <w:sz w:val="24"/>
          <w:szCs w:val="24"/>
        </w:rPr>
        <w:t>personal anecdote</w:t>
      </w:r>
      <w:r w:rsidR="008E671B" w:rsidRPr="00AE141E">
        <w:rPr>
          <w:rFonts w:ascii="Times New Roman" w:hAnsi="Times New Roman" w:cs="Times New Roman"/>
          <w:sz w:val="24"/>
          <w:szCs w:val="24"/>
        </w:rPr>
        <w:t>’</w:t>
      </w:r>
      <w:r w:rsidR="00BA689D" w:rsidRPr="00AE141E">
        <w:rPr>
          <w:rFonts w:ascii="Times New Roman" w:hAnsi="Times New Roman" w:cs="Times New Roman"/>
          <w:sz w:val="24"/>
          <w:szCs w:val="24"/>
        </w:rPr>
        <w:t>, treating the</w:t>
      </w:r>
      <w:r w:rsidR="008921A2" w:rsidRPr="00AE141E">
        <w:rPr>
          <w:rFonts w:ascii="Times New Roman" w:hAnsi="Times New Roman" w:cs="Times New Roman"/>
          <w:sz w:val="24"/>
          <w:szCs w:val="24"/>
        </w:rPr>
        <w:t xml:space="preserve"> </w:t>
      </w:r>
      <w:r w:rsidR="00170B55" w:rsidRPr="00AE141E">
        <w:rPr>
          <w:rFonts w:ascii="Times New Roman" w:hAnsi="Times New Roman" w:cs="Times New Roman"/>
          <w:sz w:val="24"/>
          <w:szCs w:val="24"/>
        </w:rPr>
        <w:t>life-stories of young people and their families</w:t>
      </w:r>
      <w:r w:rsidR="00BA689D" w:rsidRPr="00AE141E">
        <w:rPr>
          <w:rFonts w:ascii="Times New Roman" w:hAnsi="Times New Roman" w:cs="Times New Roman"/>
          <w:sz w:val="24"/>
          <w:szCs w:val="24"/>
        </w:rPr>
        <w:t xml:space="preserve"> as legitimate historical sources</w:t>
      </w:r>
      <w:r w:rsidR="000009A7" w:rsidRPr="00AE141E">
        <w:rPr>
          <w:rFonts w:ascii="Times New Roman" w:hAnsi="Times New Roman" w:cs="Times New Roman"/>
          <w:sz w:val="24"/>
          <w:szCs w:val="24"/>
        </w:rPr>
        <w:t xml:space="preserve">. </w:t>
      </w:r>
      <w:r w:rsidR="00170B55" w:rsidRPr="00AE141E">
        <w:rPr>
          <w:rFonts w:ascii="Times New Roman" w:hAnsi="Times New Roman" w:cs="Times New Roman"/>
          <w:sz w:val="24"/>
          <w:szCs w:val="24"/>
        </w:rPr>
        <w:t xml:space="preserve">Confronted with the experiential knowledge of their peers, pupils </w:t>
      </w:r>
      <w:r w:rsidR="006B2C6E" w:rsidRPr="00AE141E">
        <w:rPr>
          <w:rFonts w:ascii="Times New Roman" w:hAnsi="Times New Roman" w:cs="Times New Roman"/>
          <w:sz w:val="24"/>
          <w:szCs w:val="24"/>
        </w:rPr>
        <w:t xml:space="preserve">and teachers were expected to gain insight into the </w:t>
      </w:r>
      <w:r w:rsidR="00F85277" w:rsidRPr="00AE141E">
        <w:rPr>
          <w:rFonts w:ascii="Times New Roman" w:hAnsi="Times New Roman" w:cs="Times New Roman"/>
          <w:sz w:val="24"/>
          <w:szCs w:val="24"/>
        </w:rPr>
        <w:t xml:space="preserve">affective dimensions of migration, alongside the </w:t>
      </w:r>
      <w:r w:rsidR="00404F14" w:rsidRPr="00AE141E">
        <w:rPr>
          <w:rFonts w:ascii="Times New Roman" w:hAnsi="Times New Roman" w:cs="Times New Roman"/>
          <w:sz w:val="24"/>
          <w:szCs w:val="24"/>
        </w:rPr>
        <w:t>drier, more abstract ‘</w:t>
      </w:r>
      <w:r w:rsidR="005A29C6" w:rsidRPr="00AE141E">
        <w:rPr>
          <w:rFonts w:ascii="Times New Roman" w:hAnsi="Times New Roman" w:cs="Times New Roman"/>
          <w:sz w:val="24"/>
          <w:szCs w:val="24"/>
        </w:rPr>
        <w:t>network of social and economic factors</w:t>
      </w:r>
      <w:r w:rsidR="00404F14" w:rsidRPr="00AE141E">
        <w:rPr>
          <w:rFonts w:ascii="Times New Roman" w:hAnsi="Times New Roman" w:cs="Times New Roman"/>
          <w:sz w:val="24"/>
          <w:szCs w:val="24"/>
        </w:rPr>
        <w:t>’ which exerted push and pull</w:t>
      </w:r>
      <w:r w:rsidR="005A29C6" w:rsidRPr="00AE141E">
        <w:rPr>
          <w:rFonts w:ascii="Times New Roman" w:hAnsi="Times New Roman" w:cs="Times New Roman"/>
          <w:sz w:val="24"/>
          <w:szCs w:val="24"/>
        </w:rPr>
        <w:t xml:space="preserve"> </w:t>
      </w:r>
      <w:r w:rsidR="00094635" w:rsidRPr="00AE141E">
        <w:rPr>
          <w:rFonts w:ascii="Times New Roman" w:hAnsi="Times New Roman" w:cs="Times New Roman"/>
          <w:sz w:val="24"/>
          <w:szCs w:val="24"/>
        </w:rPr>
        <w:t>influences on</w:t>
      </w:r>
      <w:r w:rsidR="005A29C6" w:rsidRPr="00AE141E">
        <w:rPr>
          <w:rFonts w:ascii="Times New Roman" w:hAnsi="Times New Roman" w:cs="Times New Roman"/>
          <w:sz w:val="24"/>
          <w:szCs w:val="24"/>
        </w:rPr>
        <w:t xml:space="preserve"> </w:t>
      </w:r>
      <w:r w:rsidR="00094635" w:rsidRPr="00AE141E">
        <w:rPr>
          <w:rFonts w:ascii="Times New Roman" w:hAnsi="Times New Roman" w:cs="Times New Roman"/>
          <w:sz w:val="24"/>
          <w:szCs w:val="24"/>
        </w:rPr>
        <w:t>migrants</w:t>
      </w:r>
      <w:r w:rsidR="0066089E" w:rsidRPr="00AE141E">
        <w:rPr>
          <w:rFonts w:ascii="Times New Roman" w:hAnsi="Times New Roman" w:cs="Times New Roman"/>
          <w:sz w:val="24"/>
          <w:szCs w:val="24"/>
        </w:rPr>
        <w:t>.</w:t>
      </w:r>
      <w:r w:rsidR="005A08E5" w:rsidRPr="00AE141E">
        <w:rPr>
          <w:rFonts w:ascii="Times New Roman" w:hAnsi="Times New Roman" w:cs="Times New Roman"/>
          <w:sz w:val="24"/>
          <w:szCs w:val="24"/>
        </w:rPr>
        <w:t xml:space="preserve"> </w:t>
      </w:r>
    </w:p>
    <w:p w14:paraId="2BA79012" w14:textId="46200320" w:rsidR="0066089E" w:rsidRPr="00AE141E" w:rsidRDefault="005A08E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biographies of local people exemplified imperial relationships and could be used to uncover the centrality of empire to modern British life. This approach was best articulated by Sylvia L. Collicott, a member of the Multicultural Curriculum Support Group in the neighbouring borough of Haringey. </w:t>
      </w:r>
      <w:r w:rsidR="0066089E" w:rsidRPr="00AE141E">
        <w:rPr>
          <w:rFonts w:ascii="Times New Roman" w:hAnsi="Times New Roman" w:cs="Times New Roman"/>
          <w:sz w:val="24"/>
          <w:szCs w:val="24"/>
        </w:rPr>
        <w:t>Collicott</w:t>
      </w:r>
      <w:r w:rsidRPr="00AE141E">
        <w:rPr>
          <w:rFonts w:ascii="Times New Roman" w:hAnsi="Times New Roman" w:cs="Times New Roman"/>
          <w:sz w:val="24"/>
          <w:szCs w:val="24"/>
        </w:rPr>
        <w:t xml:space="preserve"> argued that the</w:t>
      </w:r>
      <w:r w:rsidR="0066089E" w:rsidRPr="00AE141E">
        <w:rPr>
          <w:rFonts w:ascii="Times New Roman" w:hAnsi="Times New Roman" w:cs="Times New Roman"/>
          <w:sz w:val="24"/>
          <w:szCs w:val="24"/>
        </w:rPr>
        <w:t xml:space="preserve"> life stories of </w:t>
      </w:r>
      <w:r w:rsidR="00AB7BCD" w:rsidRPr="00AE141E">
        <w:rPr>
          <w:rFonts w:ascii="Times New Roman" w:hAnsi="Times New Roman" w:cs="Times New Roman"/>
          <w:sz w:val="24"/>
          <w:szCs w:val="24"/>
        </w:rPr>
        <w:t>local inhabitants</w:t>
      </w:r>
      <w:r w:rsidR="0066089E" w:rsidRPr="00AE141E">
        <w:rPr>
          <w:rFonts w:ascii="Times New Roman" w:hAnsi="Times New Roman" w:cs="Times New Roman"/>
          <w:sz w:val="24"/>
          <w:szCs w:val="24"/>
        </w:rPr>
        <w:t xml:space="preserve">, whether ‘soldiers, nurses, colonial civil servants, traders’, or simply </w:t>
      </w:r>
      <w:r w:rsidR="00DC30C0" w:rsidRPr="00AE141E">
        <w:rPr>
          <w:rFonts w:ascii="Times New Roman" w:hAnsi="Times New Roman" w:cs="Times New Roman"/>
          <w:sz w:val="24"/>
          <w:szCs w:val="24"/>
        </w:rPr>
        <w:t xml:space="preserve">ordinary </w:t>
      </w:r>
      <w:r w:rsidR="0066089E" w:rsidRPr="00AE141E">
        <w:rPr>
          <w:rFonts w:ascii="Times New Roman" w:hAnsi="Times New Roman" w:cs="Times New Roman"/>
          <w:sz w:val="24"/>
          <w:szCs w:val="24"/>
        </w:rPr>
        <w:t xml:space="preserve">people </w:t>
      </w:r>
      <w:r w:rsidR="00DC30C0" w:rsidRPr="00AE141E">
        <w:rPr>
          <w:rFonts w:ascii="Times New Roman" w:hAnsi="Times New Roman" w:cs="Times New Roman"/>
          <w:sz w:val="24"/>
          <w:szCs w:val="24"/>
        </w:rPr>
        <w:t>‘</w:t>
      </w:r>
      <w:r w:rsidR="0066089E" w:rsidRPr="00AE141E">
        <w:rPr>
          <w:rFonts w:ascii="Times New Roman" w:hAnsi="Times New Roman" w:cs="Times New Roman"/>
          <w:sz w:val="24"/>
          <w:szCs w:val="24"/>
        </w:rPr>
        <w:t>who benefitted from a higher standard of living’, were evidence of the formative impact of the empire on British society.</w:t>
      </w:r>
      <w:r w:rsidR="001776C6" w:rsidRPr="00AE141E">
        <w:rPr>
          <w:rStyle w:val="FootnoteReference"/>
          <w:rFonts w:ascii="Times New Roman" w:hAnsi="Times New Roman" w:cs="Times New Roman"/>
          <w:sz w:val="24"/>
          <w:szCs w:val="24"/>
        </w:rPr>
        <w:footnoteReference w:id="564"/>
      </w:r>
      <w:r w:rsidR="0066089E" w:rsidRPr="00AE141E">
        <w:rPr>
          <w:rFonts w:ascii="Times New Roman" w:hAnsi="Times New Roman" w:cs="Times New Roman"/>
          <w:sz w:val="24"/>
          <w:szCs w:val="24"/>
        </w:rPr>
        <w:t xml:space="preserve"> Framed in these terms, imperialism could not be understood as an abstract phenomenon ‘divorced from the main stream [</w:t>
      </w:r>
      <w:r w:rsidR="0066089E" w:rsidRPr="00AE141E">
        <w:rPr>
          <w:rFonts w:ascii="Times New Roman" w:hAnsi="Times New Roman" w:cs="Times New Roman"/>
          <w:i/>
          <w:sz w:val="24"/>
          <w:szCs w:val="24"/>
        </w:rPr>
        <w:t>sic</w:t>
      </w:r>
      <w:r w:rsidR="0066089E" w:rsidRPr="00AE141E">
        <w:rPr>
          <w:rFonts w:ascii="Times New Roman" w:hAnsi="Times New Roman" w:cs="Times New Roman"/>
          <w:sz w:val="24"/>
          <w:szCs w:val="24"/>
        </w:rPr>
        <w:t xml:space="preserve">] of British history’. </w:t>
      </w:r>
      <w:r w:rsidR="00312233" w:rsidRPr="00AE141E">
        <w:rPr>
          <w:rFonts w:ascii="Times New Roman" w:hAnsi="Times New Roman" w:cs="Times New Roman"/>
          <w:sz w:val="24"/>
          <w:szCs w:val="24"/>
        </w:rPr>
        <w:t>The study of l</w:t>
      </w:r>
      <w:r w:rsidR="0066089E" w:rsidRPr="00AE141E">
        <w:rPr>
          <w:rFonts w:ascii="Times New Roman" w:hAnsi="Times New Roman" w:cs="Times New Roman"/>
          <w:sz w:val="24"/>
          <w:szCs w:val="24"/>
        </w:rPr>
        <w:t>ocal</w:t>
      </w:r>
      <w:r w:rsidR="00312233" w:rsidRPr="00AE141E">
        <w:rPr>
          <w:rFonts w:ascii="Times New Roman" w:hAnsi="Times New Roman" w:cs="Times New Roman"/>
          <w:sz w:val="24"/>
          <w:szCs w:val="24"/>
        </w:rPr>
        <w:t xml:space="preserve"> history</w:t>
      </w:r>
      <w:r w:rsidR="0066089E" w:rsidRPr="00AE141E">
        <w:rPr>
          <w:rFonts w:ascii="Times New Roman" w:hAnsi="Times New Roman" w:cs="Times New Roman"/>
          <w:sz w:val="24"/>
          <w:szCs w:val="24"/>
        </w:rPr>
        <w:t xml:space="preserve"> helped to reveal a nation whose ‘industrial and political’ processes were </w:t>
      </w:r>
      <w:r w:rsidR="0066089E" w:rsidRPr="00AE141E">
        <w:rPr>
          <w:rFonts w:ascii="Times New Roman" w:hAnsi="Times New Roman" w:cs="Times New Roman"/>
          <w:sz w:val="24"/>
          <w:szCs w:val="24"/>
        </w:rPr>
        <w:lastRenderedPageBreak/>
        <w:t>moulded by extraction from the wider world.</w:t>
      </w:r>
      <w:r w:rsidR="00307A3A" w:rsidRPr="00AE141E">
        <w:rPr>
          <w:rStyle w:val="FootnoteReference"/>
          <w:rFonts w:ascii="Times New Roman" w:hAnsi="Times New Roman" w:cs="Times New Roman"/>
          <w:sz w:val="24"/>
          <w:szCs w:val="24"/>
        </w:rPr>
        <w:footnoteReference w:id="565"/>
      </w:r>
      <w:r w:rsidR="00E925BC" w:rsidRPr="00AE141E">
        <w:rPr>
          <w:rFonts w:ascii="Times New Roman" w:hAnsi="Times New Roman" w:cs="Times New Roman"/>
          <w:sz w:val="24"/>
          <w:szCs w:val="24"/>
        </w:rPr>
        <w:t xml:space="preserve"> </w:t>
      </w:r>
      <w:r w:rsidR="00733911" w:rsidRPr="00AE141E">
        <w:rPr>
          <w:rFonts w:ascii="Times New Roman" w:hAnsi="Times New Roman" w:cs="Times New Roman"/>
          <w:sz w:val="24"/>
          <w:szCs w:val="24"/>
        </w:rPr>
        <w:t>Likewise</w:t>
      </w:r>
      <w:r w:rsidR="008131C8" w:rsidRPr="00AE141E">
        <w:rPr>
          <w:rFonts w:ascii="Times New Roman" w:hAnsi="Times New Roman" w:cs="Times New Roman"/>
          <w:sz w:val="24"/>
          <w:szCs w:val="24"/>
        </w:rPr>
        <w:t xml:space="preserve">, </w:t>
      </w:r>
      <w:r w:rsidR="00733911" w:rsidRPr="00AE141E">
        <w:rPr>
          <w:rFonts w:ascii="Times New Roman" w:hAnsi="Times New Roman" w:cs="Times New Roman"/>
          <w:sz w:val="24"/>
          <w:szCs w:val="24"/>
        </w:rPr>
        <w:t>a teacher</w:t>
      </w:r>
      <w:r w:rsidR="00470901" w:rsidRPr="00AE141E">
        <w:rPr>
          <w:rFonts w:ascii="Times New Roman" w:hAnsi="Times New Roman" w:cs="Times New Roman"/>
          <w:sz w:val="24"/>
          <w:szCs w:val="24"/>
        </w:rPr>
        <w:t xml:space="preserve"> </w:t>
      </w:r>
      <w:r w:rsidR="002878A2" w:rsidRPr="00AE141E">
        <w:rPr>
          <w:rFonts w:ascii="Times New Roman" w:hAnsi="Times New Roman" w:cs="Times New Roman"/>
          <w:sz w:val="24"/>
          <w:szCs w:val="24"/>
        </w:rPr>
        <w:t xml:space="preserve">in Whitehaven </w:t>
      </w:r>
      <w:r w:rsidR="006F10AE" w:rsidRPr="00AE141E">
        <w:rPr>
          <w:rFonts w:ascii="Times New Roman" w:hAnsi="Times New Roman" w:cs="Times New Roman"/>
          <w:sz w:val="24"/>
          <w:szCs w:val="24"/>
        </w:rPr>
        <w:t>– a port town on England’s north-west coast –</w:t>
      </w:r>
      <w:r w:rsidR="002878A2" w:rsidRPr="00AE141E">
        <w:rPr>
          <w:rFonts w:ascii="Times New Roman" w:hAnsi="Times New Roman" w:cs="Times New Roman"/>
          <w:sz w:val="24"/>
          <w:szCs w:val="24"/>
        </w:rPr>
        <w:t xml:space="preserve"> reflected</w:t>
      </w:r>
      <w:r w:rsidR="006F10AE" w:rsidRPr="00AE141E">
        <w:rPr>
          <w:rFonts w:ascii="Times New Roman" w:hAnsi="Times New Roman" w:cs="Times New Roman"/>
          <w:sz w:val="24"/>
          <w:szCs w:val="24"/>
        </w:rPr>
        <w:t xml:space="preserve"> </w:t>
      </w:r>
      <w:r w:rsidR="002878A2" w:rsidRPr="00AE141E">
        <w:rPr>
          <w:rFonts w:ascii="Times New Roman" w:hAnsi="Times New Roman" w:cs="Times New Roman"/>
          <w:sz w:val="24"/>
          <w:szCs w:val="24"/>
        </w:rPr>
        <w:t>that the</w:t>
      </w:r>
      <w:r w:rsidR="006F10AE" w:rsidRPr="00AE141E">
        <w:rPr>
          <w:rFonts w:ascii="Times New Roman" w:hAnsi="Times New Roman" w:cs="Times New Roman"/>
          <w:sz w:val="24"/>
          <w:szCs w:val="24"/>
        </w:rPr>
        <w:t>ir</w:t>
      </w:r>
      <w:r w:rsidR="002878A2" w:rsidRPr="00AE141E">
        <w:rPr>
          <w:rFonts w:ascii="Times New Roman" w:hAnsi="Times New Roman" w:cs="Times New Roman"/>
          <w:sz w:val="24"/>
          <w:szCs w:val="24"/>
        </w:rPr>
        <w:t xml:space="preserve"> predominantly White student body seemed to find it easier to </w:t>
      </w:r>
      <w:r w:rsidR="00A65C14" w:rsidRPr="00AE141E">
        <w:rPr>
          <w:rFonts w:ascii="Times New Roman" w:hAnsi="Times New Roman" w:cs="Times New Roman"/>
          <w:sz w:val="24"/>
          <w:szCs w:val="24"/>
        </w:rPr>
        <w:t xml:space="preserve">empathise with enslaved people when this history was presented in </w:t>
      </w:r>
      <w:r w:rsidR="00DE11B9" w:rsidRPr="00AE141E">
        <w:rPr>
          <w:rFonts w:ascii="Times New Roman" w:hAnsi="Times New Roman" w:cs="Times New Roman"/>
          <w:sz w:val="24"/>
          <w:szCs w:val="24"/>
        </w:rPr>
        <w:t xml:space="preserve">connection with </w:t>
      </w:r>
      <w:r w:rsidR="00CC643C" w:rsidRPr="00AE141E">
        <w:rPr>
          <w:rFonts w:ascii="Times New Roman" w:hAnsi="Times New Roman" w:cs="Times New Roman"/>
          <w:sz w:val="24"/>
          <w:szCs w:val="24"/>
        </w:rPr>
        <w:t xml:space="preserve">their town’s history </w:t>
      </w:r>
      <w:r w:rsidR="0038358E" w:rsidRPr="00AE141E">
        <w:rPr>
          <w:rFonts w:ascii="Times New Roman" w:hAnsi="Times New Roman" w:cs="Times New Roman"/>
          <w:sz w:val="24"/>
          <w:szCs w:val="24"/>
        </w:rPr>
        <w:t>of complicity in the slave trade.</w:t>
      </w:r>
      <w:r w:rsidR="0038358E" w:rsidRPr="00AE141E">
        <w:rPr>
          <w:rStyle w:val="FootnoteReference"/>
          <w:rFonts w:ascii="Times New Roman" w:hAnsi="Times New Roman" w:cs="Times New Roman"/>
          <w:sz w:val="24"/>
          <w:szCs w:val="24"/>
        </w:rPr>
        <w:footnoteReference w:id="566"/>
      </w:r>
    </w:p>
    <w:p w14:paraId="1CEDA047" w14:textId="7064A08A" w:rsidR="00966532" w:rsidRPr="00AE141E" w:rsidRDefault="003E586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establishment of an affective identification with historical figures</w:t>
      </w:r>
      <w:r w:rsidR="00DC1382" w:rsidRPr="00AE141E">
        <w:rPr>
          <w:rFonts w:ascii="Times New Roman" w:hAnsi="Times New Roman" w:cs="Times New Roman"/>
          <w:sz w:val="24"/>
          <w:szCs w:val="24"/>
        </w:rPr>
        <w:t xml:space="preserve"> also appeared in the curriculum of </w:t>
      </w:r>
      <w:r w:rsidR="00AC6328" w:rsidRPr="00AE141E">
        <w:rPr>
          <w:rFonts w:ascii="Times New Roman" w:hAnsi="Times New Roman" w:cs="Times New Roman"/>
          <w:sz w:val="24"/>
          <w:szCs w:val="24"/>
        </w:rPr>
        <w:t>Vauxhall M</w:t>
      </w:r>
      <w:r w:rsidR="004F1D94" w:rsidRPr="00AE141E">
        <w:rPr>
          <w:rFonts w:ascii="Times New Roman" w:hAnsi="Times New Roman" w:cs="Times New Roman"/>
          <w:sz w:val="24"/>
          <w:szCs w:val="24"/>
        </w:rPr>
        <w:t>anor Girls</w:t>
      </w:r>
      <w:r w:rsidR="002479B6">
        <w:rPr>
          <w:rFonts w:ascii="Times New Roman" w:hAnsi="Times New Roman" w:cs="Times New Roman"/>
          <w:sz w:val="24"/>
          <w:szCs w:val="24"/>
        </w:rPr>
        <w:t>’</w:t>
      </w:r>
      <w:r w:rsidR="004F1D94" w:rsidRPr="00AE141E">
        <w:rPr>
          <w:rFonts w:ascii="Times New Roman" w:hAnsi="Times New Roman" w:cs="Times New Roman"/>
          <w:sz w:val="24"/>
          <w:szCs w:val="24"/>
        </w:rPr>
        <w:t xml:space="preserve"> School</w:t>
      </w:r>
      <w:r w:rsidR="00F91602" w:rsidRPr="00AE141E">
        <w:rPr>
          <w:rFonts w:ascii="Times New Roman" w:hAnsi="Times New Roman" w:cs="Times New Roman"/>
          <w:sz w:val="24"/>
          <w:szCs w:val="24"/>
        </w:rPr>
        <w:t xml:space="preserve"> </w:t>
      </w:r>
      <w:r w:rsidR="00DC1382" w:rsidRPr="00AE141E">
        <w:rPr>
          <w:rFonts w:ascii="Times New Roman" w:hAnsi="Times New Roman" w:cs="Times New Roman"/>
          <w:sz w:val="24"/>
          <w:szCs w:val="24"/>
        </w:rPr>
        <w:t xml:space="preserve">– </w:t>
      </w:r>
      <w:r w:rsidR="00203287" w:rsidRPr="00AE141E">
        <w:rPr>
          <w:rFonts w:ascii="Times New Roman" w:hAnsi="Times New Roman" w:cs="Times New Roman"/>
          <w:sz w:val="24"/>
          <w:szCs w:val="24"/>
        </w:rPr>
        <w:t>a</w:t>
      </w:r>
      <w:r w:rsidR="00DC1382" w:rsidRPr="00AE141E">
        <w:rPr>
          <w:rFonts w:ascii="Times New Roman" w:hAnsi="Times New Roman" w:cs="Times New Roman"/>
          <w:sz w:val="24"/>
          <w:szCs w:val="24"/>
        </w:rPr>
        <w:t xml:space="preserve"> </w:t>
      </w:r>
      <w:r w:rsidR="00203287" w:rsidRPr="00AE141E">
        <w:rPr>
          <w:rFonts w:ascii="Times New Roman" w:hAnsi="Times New Roman" w:cs="Times New Roman"/>
          <w:sz w:val="24"/>
          <w:szCs w:val="24"/>
        </w:rPr>
        <w:t xml:space="preserve">south London comprehensive </w:t>
      </w:r>
      <w:r w:rsidR="00C24D0E" w:rsidRPr="00AE141E">
        <w:rPr>
          <w:rFonts w:ascii="Times New Roman" w:hAnsi="Times New Roman" w:cs="Times New Roman"/>
          <w:sz w:val="24"/>
          <w:szCs w:val="24"/>
        </w:rPr>
        <w:t>whose pupils were</w:t>
      </w:r>
      <w:r w:rsidR="00203287" w:rsidRPr="00AE141E">
        <w:rPr>
          <w:rFonts w:ascii="Times New Roman" w:hAnsi="Times New Roman" w:cs="Times New Roman"/>
          <w:sz w:val="24"/>
          <w:szCs w:val="24"/>
        </w:rPr>
        <w:t xml:space="preserve"> predominantly </w:t>
      </w:r>
      <w:r w:rsidR="00C24D0E" w:rsidRPr="00AE141E">
        <w:rPr>
          <w:rFonts w:ascii="Times New Roman" w:hAnsi="Times New Roman" w:cs="Times New Roman"/>
          <w:sz w:val="24"/>
          <w:szCs w:val="24"/>
        </w:rPr>
        <w:t xml:space="preserve">of </w:t>
      </w:r>
      <w:r w:rsidR="00203287" w:rsidRPr="00AE141E">
        <w:rPr>
          <w:rFonts w:ascii="Times New Roman" w:hAnsi="Times New Roman" w:cs="Times New Roman"/>
          <w:sz w:val="24"/>
          <w:szCs w:val="24"/>
        </w:rPr>
        <w:t xml:space="preserve">African-Caribbean descent. </w:t>
      </w:r>
      <w:r w:rsidR="00DC1382" w:rsidRPr="00AE141E">
        <w:rPr>
          <w:rFonts w:ascii="Times New Roman" w:hAnsi="Times New Roman" w:cs="Times New Roman"/>
          <w:sz w:val="24"/>
          <w:szCs w:val="24"/>
        </w:rPr>
        <w:t>Vauxhall</w:t>
      </w:r>
      <w:r w:rsidR="00203287" w:rsidRPr="00AE141E">
        <w:rPr>
          <w:rFonts w:ascii="Times New Roman" w:hAnsi="Times New Roman" w:cs="Times New Roman"/>
          <w:sz w:val="24"/>
          <w:szCs w:val="24"/>
        </w:rPr>
        <w:t xml:space="preserve"> </w:t>
      </w:r>
      <w:r w:rsidR="00DC1382" w:rsidRPr="00AE141E">
        <w:rPr>
          <w:rFonts w:ascii="Times New Roman" w:hAnsi="Times New Roman" w:cs="Times New Roman"/>
          <w:sz w:val="24"/>
          <w:szCs w:val="24"/>
        </w:rPr>
        <w:t xml:space="preserve">Manor </w:t>
      </w:r>
      <w:r w:rsidR="00F2138B" w:rsidRPr="00AE141E">
        <w:rPr>
          <w:rFonts w:ascii="Times New Roman" w:hAnsi="Times New Roman" w:cs="Times New Roman"/>
          <w:sz w:val="24"/>
          <w:szCs w:val="24"/>
        </w:rPr>
        <w:t xml:space="preserve">offered a </w:t>
      </w:r>
      <w:r w:rsidR="00535EFB" w:rsidRPr="00AE141E">
        <w:rPr>
          <w:rFonts w:ascii="Times New Roman" w:hAnsi="Times New Roman" w:cs="Times New Roman"/>
          <w:sz w:val="24"/>
          <w:szCs w:val="24"/>
        </w:rPr>
        <w:t>third-year</w:t>
      </w:r>
      <w:r w:rsidR="00F2138B" w:rsidRPr="00AE141E">
        <w:rPr>
          <w:rFonts w:ascii="Times New Roman" w:hAnsi="Times New Roman" w:cs="Times New Roman"/>
          <w:sz w:val="24"/>
          <w:szCs w:val="24"/>
        </w:rPr>
        <w:t xml:space="preserve"> history course, ‘People on the Move to Britain</w:t>
      </w:r>
      <w:r w:rsidR="0004557B" w:rsidRPr="00AE141E">
        <w:rPr>
          <w:rFonts w:ascii="Times New Roman" w:hAnsi="Times New Roman" w:cs="Times New Roman"/>
          <w:sz w:val="24"/>
          <w:szCs w:val="24"/>
        </w:rPr>
        <w:t>’</w:t>
      </w:r>
      <w:r w:rsidR="00F2138B" w:rsidRPr="00AE141E">
        <w:rPr>
          <w:rFonts w:ascii="Times New Roman" w:hAnsi="Times New Roman" w:cs="Times New Roman"/>
          <w:sz w:val="24"/>
          <w:szCs w:val="24"/>
        </w:rPr>
        <w:t xml:space="preserve">, which </w:t>
      </w:r>
      <w:r w:rsidR="00423881" w:rsidRPr="00AE141E">
        <w:rPr>
          <w:rFonts w:ascii="Times New Roman" w:hAnsi="Times New Roman" w:cs="Times New Roman"/>
          <w:sz w:val="24"/>
          <w:szCs w:val="24"/>
        </w:rPr>
        <w:t>used drama to foster empathy and emotional understanding amongst pupils.</w:t>
      </w:r>
      <w:r w:rsidR="0004557B" w:rsidRPr="00AE141E">
        <w:rPr>
          <w:rStyle w:val="FootnoteReference"/>
          <w:rFonts w:ascii="Times New Roman" w:hAnsi="Times New Roman" w:cs="Times New Roman"/>
          <w:sz w:val="24"/>
          <w:szCs w:val="24"/>
        </w:rPr>
        <w:footnoteReference w:id="567"/>
      </w:r>
      <w:r w:rsidR="00423881" w:rsidRPr="00AE141E">
        <w:rPr>
          <w:rFonts w:ascii="Times New Roman" w:hAnsi="Times New Roman" w:cs="Times New Roman"/>
          <w:sz w:val="24"/>
          <w:szCs w:val="24"/>
        </w:rPr>
        <w:t xml:space="preserve"> </w:t>
      </w:r>
      <w:r w:rsidR="00DA7521" w:rsidRPr="00AE141E">
        <w:rPr>
          <w:rFonts w:ascii="Times New Roman" w:hAnsi="Times New Roman" w:cs="Times New Roman"/>
          <w:sz w:val="24"/>
          <w:szCs w:val="24"/>
        </w:rPr>
        <w:t>The course featured a case study on the</w:t>
      </w:r>
      <w:r w:rsidR="00423881" w:rsidRPr="00AE141E">
        <w:rPr>
          <w:rFonts w:ascii="Times New Roman" w:hAnsi="Times New Roman" w:cs="Times New Roman"/>
          <w:sz w:val="24"/>
          <w:szCs w:val="24"/>
        </w:rPr>
        <w:t xml:space="preserve"> </w:t>
      </w:r>
      <w:r w:rsidR="00292064" w:rsidRPr="00AE141E">
        <w:rPr>
          <w:rFonts w:ascii="Times New Roman" w:hAnsi="Times New Roman" w:cs="Times New Roman"/>
          <w:sz w:val="24"/>
          <w:szCs w:val="24"/>
        </w:rPr>
        <w:t xml:space="preserve">1786 </w:t>
      </w:r>
      <w:r w:rsidR="00423881" w:rsidRPr="00AE141E">
        <w:rPr>
          <w:rFonts w:ascii="Times New Roman" w:hAnsi="Times New Roman" w:cs="Times New Roman"/>
          <w:sz w:val="24"/>
          <w:szCs w:val="24"/>
        </w:rPr>
        <w:t>Committ</w:t>
      </w:r>
      <w:r w:rsidR="00DA7521" w:rsidRPr="00AE141E">
        <w:rPr>
          <w:rFonts w:ascii="Times New Roman" w:hAnsi="Times New Roman" w:cs="Times New Roman"/>
          <w:sz w:val="24"/>
          <w:szCs w:val="24"/>
        </w:rPr>
        <w:t>e</w:t>
      </w:r>
      <w:r w:rsidR="00423881" w:rsidRPr="00AE141E">
        <w:rPr>
          <w:rFonts w:ascii="Times New Roman" w:hAnsi="Times New Roman" w:cs="Times New Roman"/>
          <w:sz w:val="24"/>
          <w:szCs w:val="24"/>
        </w:rPr>
        <w:t xml:space="preserve">e for the Relief of the Black Poor, </w:t>
      </w:r>
      <w:r w:rsidR="004A095E" w:rsidRPr="00AE141E">
        <w:rPr>
          <w:rFonts w:ascii="Times New Roman" w:hAnsi="Times New Roman" w:cs="Times New Roman"/>
          <w:sz w:val="24"/>
          <w:szCs w:val="24"/>
        </w:rPr>
        <w:t xml:space="preserve">a </w:t>
      </w:r>
      <w:r w:rsidR="00292064" w:rsidRPr="00AE141E">
        <w:rPr>
          <w:rFonts w:ascii="Times New Roman" w:hAnsi="Times New Roman" w:cs="Times New Roman"/>
          <w:sz w:val="24"/>
          <w:szCs w:val="24"/>
        </w:rPr>
        <w:t>coercive</w:t>
      </w:r>
      <w:r w:rsidR="004A095E" w:rsidRPr="00AE141E">
        <w:rPr>
          <w:rFonts w:ascii="Times New Roman" w:hAnsi="Times New Roman" w:cs="Times New Roman"/>
          <w:sz w:val="24"/>
          <w:szCs w:val="24"/>
        </w:rPr>
        <w:t xml:space="preserve"> scheme which sought to ‘repatriate’ London’s</w:t>
      </w:r>
      <w:r w:rsidR="00C478C1" w:rsidRPr="00AE141E">
        <w:rPr>
          <w:rFonts w:ascii="Times New Roman" w:hAnsi="Times New Roman" w:cs="Times New Roman"/>
          <w:sz w:val="24"/>
          <w:szCs w:val="24"/>
        </w:rPr>
        <w:t xml:space="preserve"> ‘Black Poor’ </w:t>
      </w:r>
      <w:r w:rsidR="00A12E99" w:rsidRPr="00AE141E">
        <w:rPr>
          <w:rFonts w:ascii="Times New Roman" w:hAnsi="Times New Roman" w:cs="Times New Roman"/>
          <w:sz w:val="24"/>
          <w:szCs w:val="24"/>
        </w:rPr>
        <w:t>(a</w:t>
      </w:r>
      <w:r w:rsidR="00307A3A" w:rsidRPr="00AE141E">
        <w:rPr>
          <w:rFonts w:ascii="Times New Roman" w:hAnsi="Times New Roman" w:cs="Times New Roman"/>
          <w:sz w:val="24"/>
          <w:szCs w:val="24"/>
        </w:rPr>
        <w:t xml:space="preserve"> </w:t>
      </w:r>
      <w:r w:rsidR="00A12E99" w:rsidRPr="00AE141E">
        <w:rPr>
          <w:rFonts w:ascii="Times New Roman" w:hAnsi="Times New Roman" w:cs="Times New Roman"/>
          <w:sz w:val="24"/>
          <w:szCs w:val="24"/>
        </w:rPr>
        <w:t xml:space="preserve">community consisting </w:t>
      </w:r>
      <w:r w:rsidR="003E798A" w:rsidRPr="00AE141E">
        <w:rPr>
          <w:rFonts w:ascii="Times New Roman" w:hAnsi="Times New Roman" w:cs="Times New Roman"/>
          <w:sz w:val="24"/>
          <w:szCs w:val="24"/>
        </w:rPr>
        <w:t xml:space="preserve">primarily </w:t>
      </w:r>
      <w:r w:rsidR="00D9021D" w:rsidRPr="00AE141E">
        <w:rPr>
          <w:rFonts w:ascii="Times New Roman" w:hAnsi="Times New Roman" w:cs="Times New Roman"/>
          <w:sz w:val="24"/>
          <w:szCs w:val="24"/>
        </w:rPr>
        <w:t>of formerly enslaved people and their descendants</w:t>
      </w:r>
      <w:r w:rsidR="00A12E99" w:rsidRPr="00AE141E">
        <w:rPr>
          <w:rFonts w:ascii="Times New Roman" w:hAnsi="Times New Roman" w:cs="Times New Roman"/>
          <w:sz w:val="24"/>
          <w:szCs w:val="24"/>
        </w:rPr>
        <w:t>)</w:t>
      </w:r>
      <w:r w:rsidR="00D9021D" w:rsidRPr="00AE141E">
        <w:rPr>
          <w:rFonts w:ascii="Times New Roman" w:hAnsi="Times New Roman" w:cs="Times New Roman"/>
          <w:sz w:val="24"/>
          <w:szCs w:val="24"/>
        </w:rPr>
        <w:t xml:space="preserve"> to Sierra Leone</w:t>
      </w:r>
      <w:r w:rsidR="00346950" w:rsidRPr="00AE141E">
        <w:rPr>
          <w:rFonts w:ascii="Times New Roman" w:hAnsi="Times New Roman" w:cs="Times New Roman"/>
          <w:sz w:val="24"/>
          <w:szCs w:val="24"/>
        </w:rPr>
        <w:t>.</w:t>
      </w:r>
      <w:r w:rsidR="00292064" w:rsidRPr="00AE141E">
        <w:rPr>
          <w:rFonts w:ascii="Times New Roman" w:hAnsi="Times New Roman" w:cs="Times New Roman"/>
          <w:sz w:val="24"/>
          <w:szCs w:val="24"/>
        </w:rPr>
        <w:t xml:space="preserve"> </w:t>
      </w:r>
      <w:r w:rsidR="00C85001" w:rsidRPr="00AE141E">
        <w:rPr>
          <w:rFonts w:ascii="Times New Roman" w:hAnsi="Times New Roman" w:cs="Times New Roman"/>
          <w:sz w:val="24"/>
          <w:szCs w:val="24"/>
        </w:rPr>
        <w:t xml:space="preserve">Pupils were </w:t>
      </w:r>
      <w:r w:rsidR="00292064" w:rsidRPr="00AE141E">
        <w:rPr>
          <w:rFonts w:ascii="Times New Roman" w:hAnsi="Times New Roman" w:cs="Times New Roman"/>
          <w:sz w:val="24"/>
          <w:szCs w:val="24"/>
        </w:rPr>
        <w:t>encouraged to take on the role of</w:t>
      </w:r>
      <w:r w:rsidR="00C85001" w:rsidRPr="00AE141E">
        <w:rPr>
          <w:rFonts w:ascii="Times New Roman" w:hAnsi="Times New Roman" w:cs="Times New Roman"/>
          <w:sz w:val="24"/>
          <w:szCs w:val="24"/>
        </w:rPr>
        <w:t xml:space="preserve"> the ‘Black Poor’ while </w:t>
      </w:r>
      <w:r w:rsidR="00346950" w:rsidRPr="00AE141E">
        <w:rPr>
          <w:rFonts w:ascii="Times New Roman" w:hAnsi="Times New Roman" w:cs="Times New Roman"/>
          <w:sz w:val="24"/>
          <w:szCs w:val="24"/>
        </w:rPr>
        <w:t>contemporary</w:t>
      </w:r>
      <w:r w:rsidR="00423881" w:rsidRPr="00AE141E">
        <w:rPr>
          <w:rFonts w:ascii="Times New Roman" w:hAnsi="Times New Roman" w:cs="Times New Roman"/>
          <w:sz w:val="24"/>
          <w:szCs w:val="24"/>
        </w:rPr>
        <w:t xml:space="preserve"> newspaper accounts were read to them, and then</w:t>
      </w:r>
      <w:r w:rsidR="00C85001" w:rsidRPr="00AE141E">
        <w:rPr>
          <w:rFonts w:ascii="Times New Roman" w:hAnsi="Times New Roman" w:cs="Times New Roman"/>
          <w:sz w:val="24"/>
          <w:szCs w:val="24"/>
        </w:rPr>
        <w:t xml:space="preserve"> to</w:t>
      </w:r>
      <w:r w:rsidR="00423881" w:rsidRPr="00AE141E">
        <w:rPr>
          <w:rFonts w:ascii="Times New Roman" w:hAnsi="Times New Roman" w:cs="Times New Roman"/>
          <w:sz w:val="24"/>
          <w:szCs w:val="24"/>
        </w:rPr>
        <w:t xml:space="preserve"> articulate their feelings in character</w:t>
      </w:r>
      <w:r w:rsidR="00C85001" w:rsidRPr="00AE141E">
        <w:rPr>
          <w:rFonts w:ascii="Times New Roman" w:hAnsi="Times New Roman" w:cs="Times New Roman"/>
          <w:sz w:val="24"/>
          <w:szCs w:val="24"/>
        </w:rPr>
        <w:t>.</w:t>
      </w:r>
      <w:r w:rsidR="003147CA" w:rsidRPr="00AE141E">
        <w:rPr>
          <w:rFonts w:ascii="Times New Roman" w:hAnsi="Times New Roman" w:cs="Times New Roman"/>
          <w:sz w:val="24"/>
          <w:szCs w:val="24"/>
        </w:rPr>
        <w:t xml:space="preserve"> </w:t>
      </w:r>
      <w:r w:rsidR="008F52F2" w:rsidRPr="00AE141E">
        <w:rPr>
          <w:rFonts w:ascii="Times New Roman" w:hAnsi="Times New Roman" w:cs="Times New Roman"/>
          <w:sz w:val="24"/>
          <w:szCs w:val="24"/>
        </w:rPr>
        <w:t xml:space="preserve">It was hoped that the exercise would </w:t>
      </w:r>
      <w:r w:rsidR="00486E47" w:rsidRPr="00AE141E">
        <w:rPr>
          <w:rFonts w:ascii="Times New Roman" w:hAnsi="Times New Roman" w:cs="Times New Roman"/>
          <w:sz w:val="24"/>
          <w:szCs w:val="24"/>
        </w:rPr>
        <w:t xml:space="preserve">historicise the </w:t>
      </w:r>
      <w:r w:rsidR="00AB1246" w:rsidRPr="00AE141E">
        <w:rPr>
          <w:rFonts w:ascii="Times New Roman" w:hAnsi="Times New Roman" w:cs="Times New Roman"/>
          <w:sz w:val="24"/>
          <w:szCs w:val="24"/>
        </w:rPr>
        <w:t xml:space="preserve">mutable yet durable </w:t>
      </w:r>
      <w:r w:rsidR="00B70908" w:rsidRPr="00AE141E">
        <w:rPr>
          <w:rFonts w:ascii="Times New Roman" w:hAnsi="Times New Roman" w:cs="Times New Roman"/>
          <w:sz w:val="24"/>
          <w:szCs w:val="24"/>
        </w:rPr>
        <w:t xml:space="preserve">nature of racism as a system of oppression </w:t>
      </w:r>
      <w:r w:rsidR="00EE07A7" w:rsidRPr="00AE141E">
        <w:rPr>
          <w:rFonts w:ascii="Times New Roman" w:hAnsi="Times New Roman" w:cs="Times New Roman"/>
          <w:sz w:val="24"/>
          <w:szCs w:val="24"/>
        </w:rPr>
        <w:t xml:space="preserve">– and </w:t>
      </w:r>
      <w:r w:rsidR="0095283E" w:rsidRPr="00AE141E">
        <w:rPr>
          <w:rFonts w:ascii="Times New Roman" w:hAnsi="Times New Roman" w:cs="Times New Roman"/>
          <w:sz w:val="24"/>
          <w:szCs w:val="24"/>
        </w:rPr>
        <w:t>locate</w:t>
      </w:r>
      <w:r w:rsidR="00EE07A7" w:rsidRPr="00AE141E">
        <w:rPr>
          <w:rFonts w:ascii="Times New Roman" w:hAnsi="Times New Roman" w:cs="Times New Roman"/>
          <w:sz w:val="24"/>
          <w:szCs w:val="24"/>
        </w:rPr>
        <w:t xml:space="preserve"> the roots of </w:t>
      </w:r>
      <w:r w:rsidR="0095283E" w:rsidRPr="00AE141E">
        <w:rPr>
          <w:rFonts w:ascii="Times New Roman" w:hAnsi="Times New Roman" w:cs="Times New Roman"/>
          <w:sz w:val="24"/>
          <w:szCs w:val="24"/>
        </w:rPr>
        <w:t>students’</w:t>
      </w:r>
      <w:r w:rsidR="00EE07A7" w:rsidRPr="00AE141E">
        <w:rPr>
          <w:rFonts w:ascii="Times New Roman" w:hAnsi="Times New Roman" w:cs="Times New Roman"/>
          <w:sz w:val="24"/>
          <w:szCs w:val="24"/>
        </w:rPr>
        <w:t xml:space="preserve"> own experiences in the </w:t>
      </w:r>
      <w:r w:rsidR="0095283E" w:rsidRPr="00AE141E">
        <w:rPr>
          <w:rFonts w:ascii="Times New Roman" w:hAnsi="Times New Roman" w:cs="Times New Roman"/>
          <w:sz w:val="24"/>
          <w:szCs w:val="24"/>
        </w:rPr>
        <w:t>imperial</w:t>
      </w:r>
      <w:r w:rsidR="00AB1246" w:rsidRPr="00AE141E">
        <w:rPr>
          <w:rFonts w:ascii="Times New Roman" w:hAnsi="Times New Roman" w:cs="Times New Roman"/>
          <w:sz w:val="24"/>
          <w:szCs w:val="24"/>
        </w:rPr>
        <w:t xml:space="preserve"> past. </w:t>
      </w:r>
    </w:p>
    <w:p w14:paraId="4AB59FFC" w14:textId="4FB8AFAB" w:rsidR="008C7282" w:rsidRPr="00AE141E" w:rsidRDefault="00DD690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Vauxhall Manor’s drama department, </w:t>
      </w:r>
      <w:r w:rsidR="00CE5546" w:rsidRPr="00AE141E">
        <w:rPr>
          <w:rFonts w:ascii="Times New Roman" w:hAnsi="Times New Roman" w:cs="Times New Roman"/>
          <w:sz w:val="24"/>
          <w:szCs w:val="24"/>
        </w:rPr>
        <w:t>headed</w:t>
      </w:r>
      <w:r w:rsidRPr="00AE141E">
        <w:rPr>
          <w:rFonts w:ascii="Times New Roman" w:hAnsi="Times New Roman" w:cs="Times New Roman"/>
          <w:sz w:val="24"/>
          <w:szCs w:val="24"/>
        </w:rPr>
        <w:t xml:space="preserve"> by Elyse Dodgson, worked closely with the history department to co-produce the </w:t>
      </w:r>
      <w:r w:rsidR="006C519E" w:rsidRPr="00AE141E">
        <w:rPr>
          <w:rFonts w:ascii="Times New Roman" w:hAnsi="Times New Roman" w:cs="Times New Roman"/>
          <w:sz w:val="24"/>
          <w:szCs w:val="24"/>
        </w:rPr>
        <w:t>third-year</w:t>
      </w:r>
      <w:r w:rsidRPr="00AE141E">
        <w:rPr>
          <w:rFonts w:ascii="Times New Roman" w:hAnsi="Times New Roman" w:cs="Times New Roman"/>
          <w:sz w:val="24"/>
          <w:szCs w:val="24"/>
        </w:rPr>
        <w:t xml:space="preserve"> course.</w:t>
      </w:r>
      <w:r w:rsidR="0075277B" w:rsidRPr="00AE141E">
        <w:rPr>
          <w:rStyle w:val="FootnoteReference"/>
          <w:rFonts w:ascii="Times New Roman" w:hAnsi="Times New Roman" w:cs="Times New Roman"/>
          <w:sz w:val="24"/>
          <w:szCs w:val="24"/>
        </w:rPr>
        <w:footnoteReference w:id="568"/>
      </w:r>
      <w:r w:rsidR="00CE5546" w:rsidRPr="00AE141E">
        <w:rPr>
          <w:rFonts w:ascii="Times New Roman" w:hAnsi="Times New Roman" w:cs="Times New Roman"/>
          <w:sz w:val="24"/>
          <w:szCs w:val="24"/>
        </w:rPr>
        <w:t xml:space="preserve"> Under Dodgson’s leadership, the </w:t>
      </w:r>
      <w:r w:rsidR="00CE5546" w:rsidRPr="00AE141E">
        <w:rPr>
          <w:rFonts w:ascii="Times New Roman" w:hAnsi="Times New Roman" w:cs="Times New Roman"/>
          <w:sz w:val="24"/>
          <w:szCs w:val="24"/>
        </w:rPr>
        <w:lastRenderedPageBreak/>
        <w:t>drama department also pursued independent historical ventures</w:t>
      </w:r>
      <w:r w:rsidR="007F3DF7" w:rsidRPr="00AE141E">
        <w:rPr>
          <w:rFonts w:ascii="Times New Roman" w:hAnsi="Times New Roman" w:cs="Times New Roman"/>
          <w:sz w:val="24"/>
          <w:szCs w:val="24"/>
        </w:rPr>
        <w:t xml:space="preserve"> – most notably, the development of the play </w:t>
      </w:r>
      <w:r w:rsidR="007F3DF7" w:rsidRPr="00AE141E">
        <w:rPr>
          <w:rFonts w:ascii="Times New Roman" w:hAnsi="Times New Roman" w:cs="Times New Roman"/>
          <w:i/>
          <w:sz w:val="24"/>
          <w:szCs w:val="24"/>
        </w:rPr>
        <w:t>Motherland</w:t>
      </w:r>
      <w:r w:rsidR="007F3DF7" w:rsidRPr="00AE141E">
        <w:rPr>
          <w:rFonts w:ascii="Times New Roman" w:hAnsi="Times New Roman" w:cs="Times New Roman"/>
          <w:sz w:val="24"/>
          <w:szCs w:val="24"/>
        </w:rPr>
        <w:t xml:space="preserve">. </w:t>
      </w:r>
      <w:r w:rsidR="00A06794" w:rsidRPr="00AE141E">
        <w:rPr>
          <w:rFonts w:ascii="Times New Roman" w:hAnsi="Times New Roman" w:cs="Times New Roman"/>
          <w:sz w:val="24"/>
          <w:szCs w:val="24"/>
        </w:rPr>
        <w:t xml:space="preserve">In 1981, </w:t>
      </w:r>
      <w:r w:rsidR="000F1D0A" w:rsidRPr="00AE141E">
        <w:rPr>
          <w:rFonts w:ascii="Times New Roman" w:hAnsi="Times New Roman" w:cs="Times New Roman"/>
          <w:sz w:val="24"/>
          <w:szCs w:val="24"/>
        </w:rPr>
        <w:t xml:space="preserve">former pupil </w:t>
      </w:r>
      <w:r w:rsidR="00505DA4" w:rsidRPr="00AE141E">
        <w:rPr>
          <w:rFonts w:ascii="Times New Roman" w:hAnsi="Times New Roman" w:cs="Times New Roman"/>
          <w:sz w:val="24"/>
          <w:szCs w:val="24"/>
        </w:rPr>
        <w:t>Marcia Smith was awarded a G</w:t>
      </w:r>
      <w:r w:rsidR="000F1D0A" w:rsidRPr="00AE141E">
        <w:rPr>
          <w:rFonts w:ascii="Times New Roman" w:hAnsi="Times New Roman" w:cs="Times New Roman"/>
          <w:sz w:val="24"/>
          <w:szCs w:val="24"/>
        </w:rPr>
        <w:t xml:space="preserve">reater </w:t>
      </w:r>
      <w:r w:rsidR="00505DA4" w:rsidRPr="00AE141E">
        <w:rPr>
          <w:rFonts w:ascii="Times New Roman" w:hAnsi="Times New Roman" w:cs="Times New Roman"/>
          <w:sz w:val="24"/>
          <w:szCs w:val="24"/>
        </w:rPr>
        <w:t>L</w:t>
      </w:r>
      <w:r w:rsidR="000F1D0A" w:rsidRPr="00AE141E">
        <w:rPr>
          <w:rFonts w:ascii="Times New Roman" w:hAnsi="Times New Roman" w:cs="Times New Roman"/>
          <w:sz w:val="24"/>
          <w:szCs w:val="24"/>
        </w:rPr>
        <w:t xml:space="preserve">ondon </w:t>
      </w:r>
      <w:r w:rsidR="00505DA4" w:rsidRPr="00AE141E">
        <w:rPr>
          <w:rFonts w:ascii="Times New Roman" w:hAnsi="Times New Roman" w:cs="Times New Roman"/>
          <w:sz w:val="24"/>
          <w:szCs w:val="24"/>
        </w:rPr>
        <w:t>C</w:t>
      </w:r>
      <w:r w:rsidR="000F1D0A" w:rsidRPr="00AE141E">
        <w:rPr>
          <w:rFonts w:ascii="Times New Roman" w:hAnsi="Times New Roman" w:cs="Times New Roman"/>
          <w:sz w:val="24"/>
          <w:szCs w:val="24"/>
        </w:rPr>
        <w:t xml:space="preserve">ouncil </w:t>
      </w:r>
      <w:r w:rsidR="00056A62" w:rsidRPr="00AE141E">
        <w:rPr>
          <w:rFonts w:ascii="Times New Roman" w:hAnsi="Times New Roman" w:cs="Times New Roman"/>
          <w:sz w:val="24"/>
          <w:szCs w:val="24"/>
        </w:rPr>
        <w:t>(GLC)</w:t>
      </w:r>
      <w:r w:rsidR="00505DA4" w:rsidRPr="00AE141E">
        <w:rPr>
          <w:rFonts w:ascii="Times New Roman" w:hAnsi="Times New Roman" w:cs="Times New Roman"/>
          <w:sz w:val="24"/>
          <w:szCs w:val="24"/>
        </w:rPr>
        <w:t xml:space="preserve"> grant to </w:t>
      </w:r>
      <w:r w:rsidR="003511F4" w:rsidRPr="00AE141E">
        <w:rPr>
          <w:rFonts w:ascii="Times New Roman" w:hAnsi="Times New Roman" w:cs="Times New Roman"/>
          <w:sz w:val="24"/>
          <w:szCs w:val="24"/>
        </w:rPr>
        <w:t>‘</w:t>
      </w:r>
      <w:r w:rsidR="00505DA4" w:rsidRPr="00AE141E">
        <w:rPr>
          <w:rFonts w:ascii="Times New Roman" w:hAnsi="Times New Roman" w:cs="Times New Roman"/>
          <w:sz w:val="24"/>
          <w:szCs w:val="24"/>
        </w:rPr>
        <w:t>interview her mother</w:t>
      </w:r>
      <w:r w:rsidR="003511F4" w:rsidRPr="00AE141E">
        <w:rPr>
          <w:rFonts w:ascii="Times New Roman" w:hAnsi="Times New Roman" w:cs="Times New Roman"/>
          <w:sz w:val="24"/>
          <w:szCs w:val="24"/>
        </w:rPr>
        <w:t>’</w:t>
      </w:r>
      <w:r w:rsidR="00505DA4" w:rsidRPr="00AE141E">
        <w:rPr>
          <w:rFonts w:ascii="Times New Roman" w:hAnsi="Times New Roman" w:cs="Times New Roman"/>
          <w:sz w:val="24"/>
          <w:szCs w:val="24"/>
        </w:rPr>
        <w:t>s generation of West Indian Women in the local community</w:t>
      </w:r>
      <w:r w:rsidR="003511F4" w:rsidRPr="00AE141E">
        <w:rPr>
          <w:rFonts w:ascii="Times New Roman" w:hAnsi="Times New Roman" w:cs="Times New Roman"/>
          <w:sz w:val="24"/>
          <w:szCs w:val="24"/>
        </w:rPr>
        <w:t>’</w:t>
      </w:r>
      <w:r w:rsidR="00505DA4" w:rsidRPr="00AE141E">
        <w:rPr>
          <w:rFonts w:ascii="Times New Roman" w:hAnsi="Times New Roman" w:cs="Times New Roman"/>
          <w:sz w:val="24"/>
          <w:szCs w:val="24"/>
        </w:rPr>
        <w:t>.</w:t>
      </w:r>
      <w:r w:rsidR="0070626B" w:rsidRPr="00AE141E">
        <w:rPr>
          <w:rStyle w:val="FootnoteReference"/>
          <w:rFonts w:ascii="Times New Roman" w:hAnsi="Times New Roman" w:cs="Times New Roman"/>
          <w:sz w:val="24"/>
          <w:szCs w:val="24"/>
        </w:rPr>
        <w:footnoteReference w:id="569"/>
      </w:r>
      <w:r w:rsidR="00505DA4" w:rsidRPr="00AE141E">
        <w:rPr>
          <w:rFonts w:ascii="Times New Roman" w:hAnsi="Times New Roman" w:cs="Times New Roman"/>
          <w:sz w:val="24"/>
          <w:szCs w:val="24"/>
        </w:rPr>
        <w:t xml:space="preserve"> </w:t>
      </w:r>
      <w:r w:rsidR="003511F4" w:rsidRPr="00AE141E">
        <w:rPr>
          <w:rFonts w:ascii="Times New Roman" w:hAnsi="Times New Roman" w:cs="Times New Roman"/>
          <w:sz w:val="24"/>
          <w:szCs w:val="24"/>
        </w:rPr>
        <w:t xml:space="preserve">Dodgson </w:t>
      </w:r>
      <w:r w:rsidR="00505DA4" w:rsidRPr="00AE141E">
        <w:rPr>
          <w:rFonts w:ascii="Times New Roman" w:hAnsi="Times New Roman" w:cs="Times New Roman"/>
          <w:sz w:val="24"/>
          <w:szCs w:val="24"/>
        </w:rPr>
        <w:t>was</w:t>
      </w:r>
      <w:r w:rsidR="003511F4" w:rsidRPr="00AE141E">
        <w:rPr>
          <w:rFonts w:ascii="Times New Roman" w:hAnsi="Times New Roman" w:cs="Times New Roman"/>
          <w:sz w:val="24"/>
          <w:szCs w:val="24"/>
        </w:rPr>
        <w:t xml:space="preserve"> simultaneously</w:t>
      </w:r>
      <w:r w:rsidR="00505DA4" w:rsidRPr="00AE141E">
        <w:rPr>
          <w:rFonts w:ascii="Times New Roman" w:hAnsi="Times New Roman" w:cs="Times New Roman"/>
          <w:sz w:val="24"/>
          <w:szCs w:val="24"/>
        </w:rPr>
        <w:t xml:space="preserve"> funded by ILEA to </w:t>
      </w:r>
      <w:r w:rsidR="003511F4" w:rsidRPr="00AE141E">
        <w:rPr>
          <w:rFonts w:ascii="Times New Roman" w:hAnsi="Times New Roman" w:cs="Times New Roman"/>
          <w:sz w:val="24"/>
          <w:szCs w:val="24"/>
        </w:rPr>
        <w:t>‘</w:t>
      </w:r>
      <w:r w:rsidR="00505DA4" w:rsidRPr="00AE141E">
        <w:rPr>
          <w:rFonts w:ascii="Times New Roman" w:hAnsi="Times New Roman" w:cs="Times New Roman"/>
          <w:sz w:val="24"/>
          <w:szCs w:val="24"/>
        </w:rPr>
        <w:t>develop materials which would help teachers to confront, through drama, issues in women's studies and multi-cultural education</w:t>
      </w:r>
      <w:r w:rsidR="00595AF4" w:rsidRPr="00AE141E">
        <w:rPr>
          <w:rFonts w:ascii="Times New Roman" w:hAnsi="Times New Roman" w:cs="Times New Roman"/>
          <w:sz w:val="24"/>
          <w:szCs w:val="24"/>
        </w:rPr>
        <w:t>’</w:t>
      </w:r>
      <w:r w:rsidR="00505DA4" w:rsidRPr="00AE141E">
        <w:rPr>
          <w:rFonts w:ascii="Times New Roman" w:hAnsi="Times New Roman" w:cs="Times New Roman"/>
          <w:sz w:val="24"/>
          <w:szCs w:val="24"/>
        </w:rPr>
        <w:t>.</w:t>
      </w:r>
      <w:r w:rsidR="00D421D6" w:rsidRPr="00AE141E">
        <w:rPr>
          <w:rFonts w:ascii="Times New Roman" w:hAnsi="Times New Roman" w:cs="Times New Roman"/>
          <w:sz w:val="24"/>
          <w:szCs w:val="24"/>
        </w:rPr>
        <w:t xml:space="preserve"> </w:t>
      </w:r>
      <w:r w:rsidR="00595AF4" w:rsidRPr="00AE141E">
        <w:rPr>
          <w:rFonts w:ascii="Times New Roman" w:hAnsi="Times New Roman" w:cs="Times New Roman"/>
          <w:sz w:val="24"/>
          <w:szCs w:val="24"/>
        </w:rPr>
        <w:t>Smith and Dodgson combined their projects to produce a play focusing on the migration experiences of West Indian women in the 1950s. Smith</w:t>
      </w:r>
      <w:r w:rsidR="00603794" w:rsidRPr="00AE141E">
        <w:rPr>
          <w:rFonts w:ascii="Times New Roman" w:hAnsi="Times New Roman" w:cs="Times New Roman"/>
          <w:sz w:val="24"/>
          <w:szCs w:val="24"/>
        </w:rPr>
        <w:t>’s initial interviews took her own mother and other female relatives as their subjects</w:t>
      </w:r>
      <w:r w:rsidR="00FB6E32" w:rsidRPr="00AE141E">
        <w:rPr>
          <w:rFonts w:ascii="Times New Roman" w:hAnsi="Times New Roman" w:cs="Times New Roman"/>
          <w:sz w:val="24"/>
          <w:szCs w:val="24"/>
        </w:rPr>
        <w:t xml:space="preserve"> and gradually </w:t>
      </w:r>
      <w:r w:rsidR="006C4826" w:rsidRPr="00AE141E">
        <w:rPr>
          <w:rFonts w:ascii="Times New Roman" w:hAnsi="Times New Roman" w:cs="Times New Roman"/>
          <w:sz w:val="24"/>
          <w:szCs w:val="24"/>
        </w:rPr>
        <w:t xml:space="preserve">expanded to encompass </w:t>
      </w:r>
      <w:r w:rsidR="008D46AB" w:rsidRPr="00AE141E">
        <w:rPr>
          <w:rFonts w:ascii="Times New Roman" w:hAnsi="Times New Roman" w:cs="Times New Roman"/>
          <w:sz w:val="24"/>
          <w:szCs w:val="24"/>
        </w:rPr>
        <w:t>twenty-three</w:t>
      </w:r>
      <w:r w:rsidR="006C4826" w:rsidRPr="00AE141E">
        <w:rPr>
          <w:rFonts w:ascii="Times New Roman" w:hAnsi="Times New Roman" w:cs="Times New Roman"/>
          <w:sz w:val="24"/>
          <w:szCs w:val="24"/>
        </w:rPr>
        <w:t xml:space="preserve"> members of the</w:t>
      </w:r>
      <w:r w:rsidR="008D46AB" w:rsidRPr="00AE141E">
        <w:rPr>
          <w:rFonts w:ascii="Times New Roman" w:hAnsi="Times New Roman" w:cs="Times New Roman"/>
          <w:sz w:val="24"/>
          <w:szCs w:val="24"/>
        </w:rPr>
        <w:t xml:space="preserve"> local</w:t>
      </w:r>
      <w:r w:rsidR="006C4826" w:rsidRPr="00AE141E">
        <w:rPr>
          <w:rFonts w:ascii="Times New Roman" w:hAnsi="Times New Roman" w:cs="Times New Roman"/>
          <w:sz w:val="24"/>
          <w:szCs w:val="24"/>
        </w:rPr>
        <w:t xml:space="preserve"> community.</w:t>
      </w:r>
      <w:r w:rsidR="000C76AD" w:rsidRPr="00AE141E">
        <w:rPr>
          <w:rFonts w:ascii="Times New Roman" w:hAnsi="Times New Roman" w:cs="Times New Roman"/>
          <w:sz w:val="24"/>
          <w:szCs w:val="24"/>
        </w:rPr>
        <w:t xml:space="preserve"> </w:t>
      </w:r>
      <w:r w:rsidR="00F229C2" w:rsidRPr="00AE141E">
        <w:rPr>
          <w:rFonts w:ascii="Times New Roman" w:hAnsi="Times New Roman" w:cs="Times New Roman"/>
          <w:sz w:val="24"/>
          <w:szCs w:val="24"/>
        </w:rPr>
        <w:t>R</w:t>
      </w:r>
      <w:r w:rsidR="000C76AD" w:rsidRPr="00AE141E">
        <w:rPr>
          <w:rFonts w:ascii="Times New Roman" w:hAnsi="Times New Roman" w:cs="Times New Roman"/>
          <w:sz w:val="24"/>
          <w:szCs w:val="24"/>
        </w:rPr>
        <w:t>ecord</w:t>
      </w:r>
      <w:r w:rsidR="00F229C2" w:rsidRPr="00AE141E">
        <w:rPr>
          <w:rFonts w:ascii="Times New Roman" w:hAnsi="Times New Roman" w:cs="Times New Roman"/>
          <w:sz w:val="24"/>
          <w:szCs w:val="24"/>
        </w:rPr>
        <w:t>ings</w:t>
      </w:r>
      <w:r w:rsidR="000C76AD" w:rsidRPr="00AE141E">
        <w:rPr>
          <w:rFonts w:ascii="Times New Roman" w:hAnsi="Times New Roman" w:cs="Times New Roman"/>
          <w:sz w:val="24"/>
          <w:szCs w:val="24"/>
        </w:rPr>
        <w:t xml:space="preserve"> of their experiences provided the basis for </w:t>
      </w:r>
      <w:r w:rsidR="00F229C2" w:rsidRPr="00AE141E">
        <w:rPr>
          <w:rFonts w:ascii="Times New Roman" w:hAnsi="Times New Roman" w:cs="Times New Roman"/>
          <w:sz w:val="24"/>
          <w:szCs w:val="24"/>
        </w:rPr>
        <w:t xml:space="preserve">an initial script, developed and </w:t>
      </w:r>
      <w:r w:rsidR="00596054" w:rsidRPr="00AE141E">
        <w:rPr>
          <w:rFonts w:ascii="Times New Roman" w:hAnsi="Times New Roman" w:cs="Times New Roman"/>
          <w:sz w:val="24"/>
          <w:szCs w:val="24"/>
        </w:rPr>
        <w:t xml:space="preserve">acted by Vauxhall Manor students. Over half the interviewees were mothers of girls in the play. </w:t>
      </w:r>
    </w:p>
    <w:p w14:paraId="441FD9B1" w14:textId="1FC8B724" w:rsidR="00784E07" w:rsidRPr="00AE141E" w:rsidRDefault="0059605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Rehearsals were open to </w:t>
      </w:r>
      <w:r w:rsidR="00A70C26" w:rsidRPr="00AE141E">
        <w:rPr>
          <w:rFonts w:ascii="Times New Roman" w:hAnsi="Times New Roman" w:cs="Times New Roman"/>
          <w:sz w:val="24"/>
          <w:szCs w:val="24"/>
        </w:rPr>
        <w:t>interviewees</w:t>
      </w:r>
      <w:r w:rsidR="00681E89" w:rsidRPr="00AE141E">
        <w:rPr>
          <w:rFonts w:ascii="Times New Roman" w:hAnsi="Times New Roman" w:cs="Times New Roman"/>
          <w:sz w:val="24"/>
          <w:szCs w:val="24"/>
        </w:rPr>
        <w:t xml:space="preserve"> and the script was</w:t>
      </w:r>
      <w:r w:rsidR="00EC7575" w:rsidRPr="00AE141E">
        <w:rPr>
          <w:rFonts w:ascii="Times New Roman" w:hAnsi="Times New Roman" w:cs="Times New Roman"/>
          <w:sz w:val="24"/>
          <w:szCs w:val="24"/>
        </w:rPr>
        <w:t xml:space="preserve"> placed</w:t>
      </w:r>
      <w:r w:rsidR="00681E89" w:rsidRPr="00AE141E">
        <w:rPr>
          <w:rFonts w:ascii="Times New Roman" w:hAnsi="Times New Roman" w:cs="Times New Roman"/>
          <w:sz w:val="24"/>
          <w:szCs w:val="24"/>
        </w:rPr>
        <w:t xml:space="preserve"> under a continual process of revision until the first performance</w:t>
      </w:r>
      <w:r w:rsidR="004F4810" w:rsidRPr="00AE141E">
        <w:rPr>
          <w:rFonts w:ascii="Times New Roman" w:hAnsi="Times New Roman" w:cs="Times New Roman"/>
          <w:sz w:val="24"/>
          <w:szCs w:val="24"/>
        </w:rPr>
        <w:t xml:space="preserve">; the actors were accountable to their </w:t>
      </w:r>
      <w:r w:rsidR="00864796" w:rsidRPr="00AE141E">
        <w:rPr>
          <w:rFonts w:ascii="Times New Roman" w:hAnsi="Times New Roman" w:cs="Times New Roman"/>
          <w:sz w:val="24"/>
          <w:szCs w:val="24"/>
        </w:rPr>
        <w:t>elders and</w:t>
      </w:r>
      <w:r w:rsidR="00F065DB" w:rsidRPr="00AE141E">
        <w:rPr>
          <w:rFonts w:ascii="Times New Roman" w:hAnsi="Times New Roman" w:cs="Times New Roman"/>
          <w:sz w:val="24"/>
          <w:szCs w:val="24"/>
        </w:rPr>
        <w:t xml:space="preserve"> were eager to ensure that the older generation were </w:t>
      </w:r>
      <w:r w:rsidR="008A4315" w:rsidRPr="00AE141E">
        <w:rPr>
          <w:rFonts w:ascii="Times New Roman" w:hAnsi="Times New Roman" w:cs="Times New Roman"/>
          <w:sz w:val="24"/>
          <w:szCs w:val="24"/>
        </w:rPr>
        <w:t>comfortable with the interpretation of their life-stories offered by the play.</w:t>
      </w:r>
      <w:r w:rsidR="00C44353" w:rsidRPr="00AE141E">
        <w:rPr>
          <w:rStyle w:val="FootnoteReference"/>
          <w:rFonts w:ascii="Times New Roman" w:hAnsi="Times New Roman" w:cs="Times New Roman"/>
          <w:sz w:val="24"/>
          <w:szCs w:val="24"/>
        </w:rPr>
        <w:footnoteReference w:id="570"/>
      </w:r>
      <w:r w:rsidR="002C0C7E" w:rsidRPr="00AE141E">
        <w:rPr>
          <w:rFonts w:ascii="Times New Roman" w:hAnsi="Times New Roman" w:cs="Times New Roman"/>
          <w:sz w:val="24"/>
          <w:szCs w:val="24"/>
        </w:rPr>
        <w:t xml:space="preserve"> As such,</w:t>
      </w:r>
      <w:r w:rsidR="00304489" w:rsidRPr="00AE141E">
        <w:rPr>
          <w:rFonts w:ascii="Times New Roman" w:hAnsi="Times New Roman" w:cs="Times New Roman"/>
          <w:sz w:val="24"/>
          <w:szCs w:val="24"/>
        </w:rPr>
        <w:t xml:space="preserve"> </w:t>
      </w:r>
      <w:r w:rsidR="00304489" w:rsidRPr="00AE141E">
        <w:rPr>
          <w:rFonts w:ascii="Times New Roman" w:hAnsi="Times New Roman" w:cs="Times New Roman"/>
          <w:i/>
          <w:sz w:val="24"/>
          <w:szCs w:val="24"/>
        </w:rPr>
        <w:t xml:space="preserve">Motherland </w:t>
      </w:r>
      <w:r w:rsidR="00304489" w:rsidRPr="00AE141E">
        <w:rPr>
          <w:rFonts w:ascii="Times New Roman" w:hAnsi="Times New Roman" w:cs="Times New Roman"/>
          <w:sz w:val="24"/>
          <w:szCs w:val="24"/>
        </w:rPr>
        <w:t xml:space="preserve">was an expression of rich intergenerational dialogue. </w:t>
      </w:r>
      <w:r w:rsidR="00F4233B" w:rsidRPr="00AE141E">
        <w:rPr>
          <w:rFonts w:ascii="Times New Roman" w:hAnsi="Times New Roman" w:cs="Times New Roman"/>
          <w:sz w:val="24"/>
          <w:szCs w:val="24"/>
        </w:rPr>
        <w:t>One student described participation</w:t>
      </w:r>
      <w:r w:rsidR="00362810" w:rsidRPr="00AE141E">
        <w:rPr>
          <w:rFonts w:ascii="Times New Roman" w:hAnsi="Times New Roman" w:cs="Times New Roman"/>
          <w:sz w:val="24"/>
          <w:szCs w:val="24"/>
        </w:rPr>
        <w:t xml:space="preserve"> in the play</w:t>
      </w:r>
      <w:r w:rsidR="00F4233B" w:rsidRPr="00AE141E">
        <w:rPr>
          <w:rFonts w:ascii="Times New Roman" w:hAnsi="Times New Roman" w:cs="Times New Roman"/>
          <w:sz w:val="24"/>
          <w:szCs w:val="24"/>
        </w:rPr>
        <w:t xml:space="preserve"> as an exercise in </w:t>
      </w:r>
      <w:r w:rsidR="00362810" w:rsidRPr="00AE141E">
        <w:rPr>
          <w:rFonts w:ascii="Times New Roman" w:hAnsi="Times New Roman" w:cs="Times New Roman"/>
          <w:sz w:val="24"/>
          <w:szCs w:val="24"/>
        </w:rPr>
        <w:t>finally understanding</w:t>
      </w:r>
      <w:r w:rsidR="00F4233B" w:rsidRPr="00AE141E">
        <w:rPr>
          <w:rFonts w:ascii="Times New Roman" w:hAnsi="Times New Roman" w:cs="Times New Roman"/>
          <w:sz w:val="24"/>
          <w:szCs w:val="24"/>
        </w:rPr>
        <w:t xml:space="preserve"> ‘what your parents always told you</w:t>
      </w:r>
      <w:r w:rsidR="00362810" w:rsidRPr="00AE141E">
        <w:rPr>
          <w:rFonts w:ascii="Times New Roman" w:hAnsi="Times New Roman" w:cs="Times New Roman"/>
          <w:sz w:val="24"/>
          <w:szCs w:val="24"/>
        </w:rPr>
        <w:t xml:space="preserve">’. </w:t>
      </w:r>
      <w:r w:rsidR="008945F8" w:rsidRPr="00AE141E">
        <w:rPr>
          <w:rFonts w:ascii="Times New Roman" w:hAnsi="Times New Roman" w:cs="Times New Roman"/>
          <w:sz w:val="24"/>
          <w:szCs w:val="24"/>
        </w:rPr>
        <w:t xml:space="preserve">For Dodgson, </w:t>
      </w:r>
      <w:r w:rsidR="008945F8" w:rsidRPr="00AE141E">
        <w:rPr>
          <w:rFonts w:ascii="Times New Roman" w:hAnsi="Times New Roman" w:cs="Times New Roman"/>
          <w:i/>
          <w:sz w:val="24"/>
          <w:szCs w:val="24"/>
        </w:rPr>
        <w:t xml:space="preserve">Motherland </w:t>
      </w:r>
      <w:r w:rsidR="008945F8" w:rsidRPr="00AE141E">
        <w:rPr>
          <w:rFonts w:ascii="Times New Roman" w:hAnsi="Times New Roman" w:cs="Times New Roman"/>
          <w:sz w:val="24"/>
          <w:szCs w:val="24"/>
        </w:rPr>
        <w:t xml:space="preserve">represented an exercise in historical empathy; it </w:t>
      </w:r>
      <w:r w:rsidR="004E0071" w:rsidRPr="00AE141E">
        <w:rPr>
          <w:rFonts w:ascii="Times New Roman" w:hAnsi="Times New Roman" w:cs="Times New Roman"/>
          <w:sz w:val="24"/>
          <w:szCs w:val="24"/>
        </w:rPr>
        <w:t xml:space="preserve">enabled students to </w:t>
      </w:r>
      <w:r w:rsidR="0015399B" w:rsidRPr="00AE141E">
        <w:rPr>
          <w:rFonts w:ascii="Times New Roman" w:hAnsi="Times New Roman" w:cs="Times New Roman"/>
          <w:sz w:val="24"/>
          <w:szCs w:val="24"/>
        </w:rPr>
        <w:t>draw connections</w:t>
      </w:r>
      <w:r w:rsidR="00304489" w:rsidRPr="00AE141E">
        <w:rPr>
          <w:rFonts w:ascii="Times New Roman" w:hAnsi="Times New Roman" w:cs="Times New Roman"/>
          <w:sz w:val="24"/>
          <w:szCs w:val="24"/>
        </w:rPr>
        <w:t xml:space="preserve"> between their own experience and that of th</w:t>
      </w:r>
      <w:r w:rsidR="008C7282" w:rsidRPr="00AE141E">
        <w:rPr>
          <w:rFonts w:ascii="Times New Roman" w:hAnsi="Times New Roman" w:cs="Times New Roman"/>
          <w:sz w:val="24"/>
          <w:szCs w:val="24"/>
        </w:rPr>
        <w:t>e interviewees.</w:t>
      </w:r>
      <w:r w:rsidR="00B558E3" w:rsidRPr="00AE141E">
        <w:rPr>
          <w:rStyle w:val="FootnoteReference"/>
          <w:rFonts w:ascii="Times New Roman" w:hAnsi="Times New Roman" w:cs="Times New Roman"/>
          <w:sz w:val="24"/>
          <w:szCs w:val="24"/>
        </w:rPr>
        <w:footnoteReference w:id="571"/>
      </w:r>
      <w:r w:rsidR="008C7282" w:rsidRPr="00AE141E">
        <w:rPr>
          <w:rFonts w:ascii="Times New Roman" w:hAnsi="Times New Roman" w:cs="Times New Roman"/>
          <w:sz w:val="24"/>
          <w:szCs w:val="24"/>
        </w:rPr>
        <w:t xml:space="preserve"> </w:t>
      </w:r>
      <w:r w:rsidR="006A0E5A" w:rsidRPr="00AE141E">
        <w:rPr>
          <w:rFonts w:ascii="Times New Roman" w:hAnsi="Times New Roman" w:cs="Times New Roman"/>
          <w:sz w:val="24"/>
          <w:szCs w:val="24"/>
        </w:rPr>
        <w:t xml:space="preserve">To be an oral historian was to reevaluate the relationship between past and present, to understand the living dimensions of history and the centrality of memory to social identity. </w:t>
      </w:r>
      <w:r w:rsidR="00E054C2" w:rsidRPr="00AE141E">
        <w:rPr>
          <w:rFonts w:ascii="Times New Roman" w:hAnsi="Times New Roman" w:cs="Times New Roman"/>
          <w:sz w:val="24"/>
          <w:szCs w:val="24"/>
        </w:rPr>
        <w:t xml:space="preserve">The </w:t>
      </w:r>
      <w:r w:rsidR="001B48B5" w:rsidRPr="00AE141E">
        <w:rPr>
          <w:rFonts w:ascii="Times New Roman" w:hAnsi="Times New Roman" w:cs="Times New Roman"/>
          <w:sz w:val="24"/>
          <w:szCs w:val="24"/>
        </w:rPr>
        <w:t>strengthening</w:t>
      </w:r>
      <w:r w:rsidR="00E054C2" w:rsidRPr="00AE141E">
        <w:rPr>
          <w:rFonts w:ascii="Times New Roman" w:hAnsi="Times New Roman" w:cs="Times New Roman"/>
          <w:sz w:val="24"/>
          <w:szCs w:val="24"/>
        </w:rPr>
        <w:t xml:space="preserve"> of community</w:t>
      </w:r>
      <w:r w:rsidR="005A29E7" w:rsidRPr="00AE141E">
        <w:rPr>
          <w:rFonts w:ascii="Times New Roman" w:hAnsi="Times New Roman" w:cs="Times New Roman"/>
          <w:sz w:val="24"/>
          <w:szCs w:val="24"/>
        </w:rPr>
        <w:t xml:space="preserve"> – a potential bulwark against racism – was the anticipated result. </w:t>
      </w:r>
      <w:r w:rsidR="005669C7" w:rsidRPr="00AE141E">
        <w:rPr>
          <w:rFonts w:ascii="Times New Roman" w:hAnsi="Times New Roman" w:cs="Times New Roman"/>
          <w:sz w:val="24"/>
          <w:szCs w:val="24"/>
        </w:rPr>
        <w:t xml:space="preserve">Like </w:t>
      </w:r>
      <w:r w:rsidR="005669C7" w:rsidRPr="00AE141E">
        <w:rPr>
          <w:rFonts w:ascii="Times New Roman" w:hAnsi="Times New Roman" w:cs="Times New Roman"/>
          <w:i/>
          <w:sz w:val="24"/>
          <w:szCs w:val="24"/>
        </w:rPr>
        <w:t xml:space="preserve">Black Settlers, </w:t>
      </w:r>
      <w:r w:rsidR="005669C7" w:rsidRPr="00AE141E">
        <w:rPr>
          <w:rFonts w:ascii="Times New Roman" w:hAnsi="Times New Roman" w:cs="Times New Roman"/>
          <w:sz w:val="24"/>
          <w:szCs w:val="24"/>
        </w:rPr>
        <w:t xml:space="preserve">the project was </w:t>
      </w:r>
      <w:r w:rsidR="004A5633" w:rsidRPr="00AE141E">
        <w:rPr>
          <w:rFonts w:ascii="Times New Roman" w:hAnsi="Times New Roman" w:cs="Times New Roman"/>
          <w:sz w:val="24"/>
          <w:szCs w:val="24"/>
        </w:rPr>
        <w:t xml:space="preserve">made available for broader dissemination through </w:t>
      </w:r>
      <w:r w:rsidR="00921190" w:rsidRPr="00AE141E">
        <w:rPr>
          <w:rFonts w:ascii="Times New Roman" w:hAnsi="Times New Roman" w:cs="Times New Roman"/>
          <w:sz w:val="24"/>
          <w:szCs w:val="24"/>
        </w:rPr>
        <w:t>its publication</w:t>
      </w:r>
      <w:r w:rsidR="005669C7" w:rsidRPr="00AE141E">
        <w:rPr>
          <w:rFonts w:ascii="Times New Roman" w:hAnsi="Times New Roman" w:cs="Times New Roman"/>
          <w:sz w:val="24"/>
          <w:szCs w:val="24"/>
        </w:rPr>
        <w:t xml:space="preserve"> by Heinemann</w:t>
      </w:r>
      <w:r w:rsidR="00921190" w:rsidRPr="00AE141E">
        <w:rPr>
          <w:rFonts w:ascii="Times New Roman" w:hAnsi="Times New Roman" w:cs="Times New Roman"/>
          <w:sz w:val="24"/>
          <w:szCs w:val="24"/>
        </w:rPr>
        <w:t>,</w:t>
      </w:r>
      <w:r w:rsidR="005669C7" w:rsidRPr="00AE141E">
        <w:rPr>
          <w:rFonts w:ascii="Times New Roman" w:hAnsi="Times New Roman" w:cs="Times New Roman"/>
          <w:sz w:val="24"/>
          <w:szCs w:val="24"/>
        </w:rPr>
        <w:t xml:space="preserve"> </w:t>
      </w:r>
      <w:r w:rsidR="00921190" w:rsidRPr="00AE141E">
        <w:rPr>
          <w:rFonts w:ascii="Times New Roman" w:hAnsi="Times New Roman" w:cs="Times New Roman"/>
          <w:sz w:val="24"/>
          <w:szCs w:val="24"/>
        </w:rPr>
        <w:t>in the form of a</w:t>
      </w:r>
      <w:r w:rsidR="005669C7" w:rsidRPr="00AE141E">
        <w:rPr>
          <w:rFonts w:ascii="Times New Roman" w:hAnsi="Times New Roman" w:cs="Times New Roman"/>
          <w:sz w:val="24"/>
          <w:szCs w:val="24"/>
        </w:rPr>
        <w:t xml:space="preserve"> textbook </w:t>
      </w:r>
      <w:r w:rsidR="003742E9" w:rsidRPr="00AE141E">
        <w:rPr>
          <w:rFonts w:ascii="Times New Roman" w:hAnsi="Times New Roman" w:cs="Times New Roman"/>
          <w:sz w:val="24"/>
          <w:szCs w:val="24"/>
        </w:rPr>
        <w:t>(</w:t>
      </w:r>
      <w:r w:rsidR="00CA788D" w:rsidRPr="00AE141E">
        <w:rPr>
          <w:rFonts w:ascii="Times New Roman" w:hAnsi="Times New Roman" w:cs="Times New Roman"/>
          <w:i/>
          <w:sz w:val="24"/>
          <w:szCs w:val="24"/>
        </w:rPr>
        <w:t>Motherland: West Indian Women to Britain in the 1950</w:t>
      </w:r>
      <w:r w:rsidR="00052684" w:rsidRPr="00AE141E">
        <w:rPr>
          <w:rFonts w:ascii="Times New Roman" w:hAnsi="Times New Roman" w:cs="Times New Roman"/>
          <w:i/>
          <w:sz w:val="24"/>
          <w:szCs w:val="24"/>
        </w:rPr>
        <w:t>s</w:t>
      </w:r>
      <w:r w:rsidR="003742E9" w:rsidRPr="00AE141E">
        <w:rPr>
          <w:rFonts w:ascii="Times New Roman" w:hAnsi="Times New Roman" w:cs="Times New Roman"/>
          <w:sz w:val="24"/>
          <w:szCs w:val="24"/>
        </w:rPr>
        <w:t>)</w:t>
      </w:r>
      <w:r w:rsidR="008605A2" w:rsidRPr="00AE141E">
        <w:rPr>
          <w:rFonts w:ascii="Times New Roman" w:hAnsi="Times New Roman" w:cs="Times New Roman"/>
          <w:sz w:val="24"/>
          <w:szCs w:val="24"/>
        </w:rPr>
        <w:t>.</w:t>
      </w:r>
      <w:r w:rsidR="00C41C4B" w:rsidRPr="00AE141E">
        <w:rPr>
          <w:rStyle w:val="FootnoteReference"/>
          <w:rFonts w:ascii="Times New Roman" w:hAnsi="Times New Roman" w:cs="Times New Roman"/>
          <w:sz w:val="24"/>
          <w:szCs w:val="24"/>
        </w:rPr>
        <w:footnoteReference w:id="572"/>
      </w:r>
    </w:p>
    <w:p w14:paraId="6068C968" w14:textId="3B81370B" w:rsidR="00DA7A4D" w:rsidRPr="00AE141E" w:rsidRDefault="00B1121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The </w:t>
      </w:r>
      <w:r w:rsidR="002260DE" w:rsidRPr="00AE141E">
        <w:rPr>
          <w:rFonts w:ascii="Times New Roman" w:hAnsi="Times New Roman" w:cs="Times New Roman"/>
          <w:sz w:val="24"/>
          <w:szCs w:val="24"/>
        </w:rPr>
        <w:t xml:space="preserve">pupil-as-historian seems to have been a common enough </w:t>
      </w:r>
      <w:r w:rsidR="00B421CE" w:rsidRPr="00AE141E">
        <w:rPr>
          <w:rFonts w:ascii="Times New Roman" w:hAnsi="Times New Roman" w:cs="Times New Roman"/>
          <w:sz w:val="24"/>
          <w:szCs w:val="24"/>
        </w:rPr>
        <w:t>feature of multicultural history</w:t>
      </w:r>
      <w:r w:rsidR="002260DE" w:rsidRPr="00AE141E">
        <w:rPr>
          <w:rFonts w:ascii="Times New Roman" w:hAnsi="Times New Roman" w:cs="Times New Roman"/>
          <w:sz w:val="24"/>
          <w:szCs w:val="24"/>
        </w:rPr>
        <w:t xml:space="preserve"> to merit a note of caution </w:t>
      </w:r>
      <w:r w:rsidR="00F27177" w:rsidRPr="00AE141E">
        <w:rPr>
          <w:rFonts w:ascii="Times New Roman" w:hAnsi="Times New Roman" w:cs="Times New Roman"/>
          <w:sz w:val="24"/>
          <w:szCs w:val="24"/>
        </w:rPr>
        <w:t xml:space="preserve">in </w:t>
      </w:r>
      <w:r w:rsidR="00F27177" w:rsidRPr="00AE141E">
        <w:rPr>
          <w:rFonts w:ascii="Times New Roman" w:hAnsi="Times New Roman" w:cs="Times New Roman"/>
          <w:i/>
          <w:sz w:val="24"/>
          <w:szCs w:val="24"/>
        </w:rPr>
        <w:t xml:space="preserve">Clio. </w:t>
      </w:r>
      <w:r w:rsidR="00F27177" w:rsidRPr="00AE141E">
        <w:rPr>
          <w:rFonts w:ascii="Times New Roman" w:hAnsi="Times New Roman" w:cs="Times New Roman"/>
          <w:sz w:val="24"/>
          <w:szCs w:val="24"/>
        </w:rPr>
        <w:t>Caroline Adams, who had previously authored a</w:t>
      </w:r>
      <w:r w:rsidR="00BA4C25" w:rsidRPr="00AE141E">
        <w:rPr>
          <w:rFonts w:ascii="Times New Roman" w:hAnsi="Times New Roman" w:cs="Times New Roman"/>
          <w:sz w:val="24"/>
          <w:szCs w:val="24"/>
        </w:rPr>
        <w:t xml:space="preserve">n oral history drawing on the memories of </w:t>
      </w:r>
      <w:r w:rsidR="00C135BA" w:rsidRPr="00AE141E">
        <w:rPr>
          <w:rFonts w:ascii="Times New Roman" w:hAnsi="Times New Roman" w:cs="Times New Roman"/>
          <w:sz w:val="24"/>
          <w:szCs w:val="24"/>
        </w:rPr>
        <w:t xml:space="preserve">older members of London’s Bangladeshi community, </w:t>
      </w:r>
      <w:r w:rsidR="00ED76B4" w:rsidRPr="00AE141E">
        <w:rPr>
          <w:rFonts w:ascii="Times New Roman" w:hAnsi="Times New Roman" w:cs="Times New Roman"/>
          <w:sz w:val="24"/>
          <w:szCs w:val="24"/>
        </w:rPr>
        <w:t xml:space="preserve">warned teachers that </w:t>
      </w:r>
      <w:r w:rsidR="0089557A" w:rsidRPr="00AE141E">
        <w:rPr>
          <w:rFonts w:ascii="Times New Roman" w:hAnsi="Times New Roman" w:cs="Times New Roman"/>
          <w:sz w:val="24"/>
          <w:szCs w:val="24"/>
        </w:rPr>
        <w:t>oral history was not s</w:t>
      </w:r>
      <w:r w:rsidR="00451E07" w:rsidRPr="00AE141E">
        <w:rPr>
          <w:rFonts w:ascii="Times New Roman" w:hAnsi="Times New Roman" w:cs="Times New Roman"/>
          <w:sz w:val="24"/>
          <w:szCs w:val="24"/>
        </w:rPr>
        <w:t>imply ‘</w:t>
      </w:r>
      <w:r w:rsidR="004F13FE" w:rsidRPr="00AE141E">
        <w:rPr>
          <w:rFonts w:ascii="Times New Roman" w:hAnsi="Times New Roman" w:cs="Times New Roman"/>
          <w:sz w:val="24"/>
          <w:szCs w:val="24"/>
        </w:rPr>
        <w:t>a matter of sending children out with tape recorders</w:t>
      </w:r>
      <w:r w:rsidR="00451E07" w:rsidRPr="00AE141E">
        <w:rPr>
          <w:rFonts w:ascii="Times New Roman" w:hAnsi="Times New Roman" w:cs="Times New Roman"/>
          <w:sz w:val="24"/>
          <w:szCs w:val="24"/>
        </w:rPr>
        <w:t>’</w:t>
      </w:r>
      <w:r w:rsidR="004F13FE" w:rsidRPr="00AE141E">
        <w:rPr>
          <w:rFonts w:ascii="Times New Roman" w:hAnsi="Times New Roman" w:cs="Times New Roman"/>
          <w:sz w:val="24"/>
          <w:szCs w:val="24"/>
        </w:rPr>
        <w:t>.</w:t>
      </w:r>
      <w:r w:rsidR="00A617D5" w:rsidRPr="00AE141E">
        <w:rPr>
          <w:rStyle w:val="FootnoteReference"/>
          <w:rFonts w:ascii="Times New Roman" w:hAnsi="Times New Roman" w:cs="Times New Roman"/>
          <w:sz w:val="24"/>
          <w:szCs w:val="24"/>
        </w:rPr>
        <w:footnoteReference w:id="573"/>
      </w:r>
      <w:r w:rsidR="00146869" w:rsidRPr="00AE141E">
        <w:rPr>
          <w:rFonts w:ascii="Times New Roman" w:hAnsi="Times New Roman" w:cs="Times New Roman"/>
          <w:sz w:val="24"/>
          <w:szCs w:val="24"/>
        </w:rPr>
        <w:t xml:space="preserve"> Young people needed significant contextual knowledge about the historical periods in question to be able to ask questions and understand the answers which they were given. More importantly, el</w:t>
      </w:r>
      <w:r w:rsidR="00AA2212" w:rsidRPr="00AE141E">
        <w:rPr>
          <w:rFonts w:ascii="Times New Roman" w:hAnsi="Times New Roman" w:cs="Times New Roman"/>
          <w:sz w:val="24"/>
          <w:szCs w:val="24"/>
        </w:rPr>
        <w:t>derly people were ‘not just alternative “people’s” history books’,</w:t>
      </w:r>
      <w:r w:rsidR="00146869" w:rsidRPr="00AE141E">
        <w:rPr>
          <w:rFonts w:ascii="Times New Roman" w:hAnsi="Times New Roman" w:cs="Times New Roman"/>
          <w:sz w:val="24"/>
          <w:szCs w:val="24"/>
        </w:rPr>
        <w:t xml:space="preserve"> or mines of historical information waiting to be extracted by the young</w:t>
      </w:r>
      <w:r w:rsidR="00AA2212" w:rsidRPr="00AE141E">
        <w:rPr>
          <w:rFonts w:ascii="Times New Roman" w:hAnsi="Times New Roman" w:cs="Times New Roman"/>
          <w:sz w:val="24"/>
          <w:szCs w:val="24"/>
        </w:rPr>
        <w:t>.</w:t>
      </w:r>
      <w:r w:rsidR="00146869" w:rsidRPr="00AE141E">
        <w:rPr>
          <w:rFonts w:ascii="Times New Roman" w:hAnsi="Times New Roman" w:cs="Times New Roman"/>
          <w:sz w:val="24"/>
          <w:szCs w:val="24"/>
        </w:rPr>
        <w:t xml:space="preserve"> </w:t>
      </w:r>
      <w:r w:rsidR="00B421CE" w:rsidRPr="00AE141E">
        <w:rPr>
          <w:rFonts w:ascii="Times New Roman" w:hAnsi="Times New Roman" w:cs="Times New Roman"/>
          <w:sz w:val="24"/>
          <w:szCs w:val="24"/>
        </w:rPr>
        <w:t xml:space="preserve">Interviewers must respect and recognise interviewees’ </w:t>
      </w:r>
      <w:r w:rsidR="00146869" w:rsidRPr="00AE141E">
        <w:rPr>
          <w:rFonts w:ascii="Times New Roman" w:hAnsi="Times New Roman" w:cs="Times New Roman"/>
          <w:sz w:val="24"/>
          <w:szCs w:val="24"/>
        </w:rPr>
        <w:t>full humanity</w:t>
      </w:r>
      <w:r w:rsidR="00B421CE" w:rsidRPr="00AE141E">
        <w:rPr>
          <w:rFonts w:ascii="Times New Roman" w:hAnsi="Times New Roman" w:cs="Times New Roman"/>
          <w:sz w:val="24"/>
          <w:szCs w:val="24"/>
        </w:rPr>
        <w:t xml:space="preserve"> </w:t>
      </w:r>
      <w:r w:rsidR="00146869" w:rsidRPr="00AE141E">
        <w:rPr>
          <w:rFonts w:ascii="Times New Roman" w:hAnsi="Times New Roman" w:cs="Times New Roman"/>
          <w:sz w:val="24"/>
          <w:szCs w:val="24"/>
        </w:rPr>
        <w:t>– memories and lives must be treated with ‘care and respect</w:t>
      </w:r>
      <w:r w:rsidR="00500A09" w:rsidRPr="00AE141E">
        <w:rPr>
          <w:rFonts w:ascii="Times New Roman" w:hAnsi="Times New Roman" w:cs="Times New Roman"/>
          <w:sz w:val="24"/>
          <w:szCs w:val="24"/>
        </w:rPr>
        <w:t>’</w:t>
      </w:r>
      <w:r w:rsidR="00B10B3A" w:rsidRPr="00AE141E">
        <w:rPr>
          <w:rFonts w:ascii="Times New Roman" w:hAnsi="Times New Roman" w:cs="Times New Roman"/>
          <w:sz w:val="24"/>
          <w:szCs w:val="24"/>
        </w:rPr>
        <w:t>,</w:t>
      </w:r>
      <w:r w:rsidR="000375C0">
        <w:rPr>
          <w:rFonts w:ascii="Times New Roman" w:hAnsi="Times New Roman" w:cs="Times New Roman"/>
          <w:sz w:val="24"/>
          <w:szCs w:val="24"/>
        </w:rPr>
        <w:t xml:space="preserve"> </w:t>
      </w:r>
      <w:r w:rsidR="00500A09" w:rsidRPr="00AE141E">
        <w:rPr>
          <w:rFonts w:ascii="Times New Roman" w:hAnsi="Times New Roman" w:cs="Times New Roman"/>
          <w:sz w:val="24"/>
          <w:szCs w:val="24"/>
        </w:rPr>
        <w:t>or</w:t>
      </w:r>
      <w:r w:rsidR="00146869" w:rsidRPr="00AE141E">
        <w:rPr>
          <w:rFonts w:ascii="Times New Roman" w:hAnsi="Times New Roman" w:cs="Times New Roman"/>
          <w:sz w:val="24"/>
          <w:szCs w:val="24"/>
        </w:rPr>
        <w:t xml:space="preserve"> </w:t>
      </w:r>
      <w:r w:rsidR="00C05523">
        <w:rPr>
          <w:rFonts w:ascii="Times New Roman" w:hAnsi="Times New Roman" w:cs="Times New Roman"/>
          <w:sz w:val="24"/>
          <w:szCs w:val="24"/>
        </w:rPr>
        <w:t>produce</w:t>
      </w:r>
      <w:r w:rsidR="00500A09" w:rsidRPr="00AE141E">
        <w:rPr>
          <w:rFonts w:ascii="Times New Roman" w:hAnsi="Times New Roman" w:cs="Times New Roman"/>
          <w:sz w:val="24"/>
          <w:szCs w:val="24"/>
        </w:rPr>
        <w:t xml:space="preserve"> a legacy of</w:t>
      </w:r>
      <w:r w:rsidR="00146869" w:rsidRPr="00AE141E">
        <w:rPr>
          <w:rFonts w:ascii="Times New Roman" w:hAnsi="Times New Roman" w:cs="Times New Roman"/>
          <w:sz w:val="24"/>
          <w:szCs w:val="24"/>
        </w:rPr>
        <w:t xml:space="preserve"> damage</w:t>
      </w:r>
      <w:r w:rsidR="00500A09" w:rsidRPr="00AE141E">
        <w:rPr>
          <w:rFonts w:ascii="Times New Roman" w:hAnsi="Times New Roman" w:cs="Times New Roman"/>
          <w:sz w:val="24"/>
          <w:szCs w:val="24"/>
        </w:rPr>
        <w:t xml:space="preserve"> and mistrust</w:t>
      </w:r>
      <w:r w:rsidR="00146869" w:rsidRPr="00AE141E">
        <w:rPr>
          <w:rFonts w:ascii="Times New Roman" w:hAnsi="Times New Roman" w:cs="Times New Roman"/>
          <w:sz w:val="24"/>
          <w:szCs w:val="24"/>
        </w:rPr>
        <w:t xml:space="preserve">. </w:t>
      </w:r>
    </w:p>
    <w:p w14:paraId="33F64E53" w14:textId="25BD27EB" w:rsidR="004F13FE" w:rsidRPr="00AE141E" w:rsidRDefault="000773B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vogue for the pupil-as-historian recognised the power of young people to contribute to historical knowledge. It is therefore frustrating – and not a little sad – that the research produced by these projects has left so little trace in the archives. E</w:t>
      </w:r>
      <w:r w:rsidR="004F13FE" w:rsidRPr="00AE141E">
        <w:rPr>
          <w:rFonts w:ascii="Times New Roman" w:hAnsi="Times New Roman" w:cs="Times New Roman"/>
          <w:sz w:val="24"/>
          <w:szCs w:val="24"/>
        </w:rPr>
        <w:t xml:space="preserve">xcept from rare, published accounts like </w:t>
      </w:r>
      <w:r w:rsidRPr="00AE141E">
        <w:rPr>
          <w:rFonts w:ascii="Times New Roman" w:hAnsi="Times New Roman" w:cs="Times New Roman"/>
          <w:i/>
          <w:sz w:val="24"/>
          <w:szCs w:val="24"/>
        </w:rPr>
        <w:t>M</w:t>
      </w:r>
      <w:r w:rsidR="004F13FE" w:rsidRPr="00AE141E">
        <w:rPr>
          <w:rFonts w:ascii="Times New Roman" w:hAnsi="Times New Roman" w:cs="Times New Roman"/>
          <w:i/>
          <w:sz w:val="24"/>
          <w:szCs w:val="24"/>
        </w:rPr>
        <w:t>otherhood</w:t>
      </w:r>
      <w:r w:rsidR="004F13FE" w:rsidRPr="00AE141E">
        <w:rPr>
          <w:rFonts w:ascii="Times New Roman" w:hAnsi="Times New Roman" w:cs="Times New Roman"/>
          <w:sz w:val="24"/>
          <w:szCs w:val="24"/>
        </w:rPr>
        <w:t xml:space="preserve">, </w:t>
      </w:r>
      <w:r w:rsidR="007F5C4F" w:rsidRPr="00AE141E">
        <w:rPr>
          <w:rFonts w:ascii="Times New Roman" w:hAnsi="Times New Roman" w:cs="Times New Roman"/>
          <w:sz w:val="24"/>
          <w:szCs w:val="24"/>
        </w:rPr>
        <w:t xml:space="preserve">the many oral histories produced by school children during this period do not seem to have been deemed worthy of preservation. At best, we might hope that these histories remain ephemera collected in the attics and cupboards of former teachers and pupils. </w:t>
      </w:r>
      <w:r w:rsidR="00381099" w:rsidRPr="00AE141E">
        <w:rPr>
          <w:rFonts w:ascii="Times New Roman" w:hAnsi="Times New Roman" w:cs="Times New Roman"/>
          <w:sz w:val="24"/>
          <w:szCs w:val="24"/>
        </w:rPr>
        <w:t xml:space="preserve">Ironically, </w:t>
      </w:r>
      <w:r w:rsidR="004F13FE" w:rsidRPr="00AE141E">
        <w:rPr>
          <w:rFonts w:ascii="Times New Roman" w:hAnsi="Times New Roman" w:cs="Times New Roman"/>
          <w:i/>
          <w:sz w:val="24"/>
          <w:szCs w:val="24"/>
        </w:rPr>
        <w:t>Black Settlers</w:t>
      </w:r>
      <w:r w:rsidR="00381099" w:rsidRPr="00AE141E">
        <w:rPr>
          <w:rFonts w:ascii="Times New Roman" w:hAnsi="Times New Roman" w:cs="Times New Roman"/>
          <w:i/>
          <w:sz w:val="24"/>
          <w:szCs w:val="24"/>
        </w:rPr>
        <w:t xml:space="preserve"> </w:t>
      </w:r>
      <w:r w:rsidR="007D395A" w:rsidRPr="00AE141E">
        <w:rPr>
          <w:rFonts w:ascii="Times New Roman" w:hAnsi="Times New Roman" w:cs="Times New Roman"/>
          <w:sz w:val="24"/>
          <w:szCs w:val="24"/>
        </w:rPr>
        <w:t>chose to emphasise</w:t>
      </w:r>
      <w:r w:rsidR="004F13FE" w:rsidRPr="00AE141E">
        <w:rPr>
          <w:rFonts w:ascii="Times New Roman" w:hAnsi="Times New Roman" w:cs="Times New Roman"/>
          <w:sz w:val="24"/>
          <w:szCs w:val="24"/>
        </w:rPr>
        <w:t xml:space="preserve"> that the inherent historical value of the individual life-history applied to pupils themselves. Those following the course were advised to engage in practices of self-archiving</w:t>
      </w:r>
      <w:r w:rsidR="00381099" w:rsidRPr="00AE141E">
        <w:rPr>
          <w:rFonts w:ascii="Times New Roman" w:hAnsi="Times New Roman" w:cs="Times New Roman"/>
          <w:sz w:val="24"/>
          <w:szCs w:val="24"/>
        </w:rPr>
        <w:t>;</w:t>
      </w:r>
      <w:r w:rsidR="004F13FE" w:rsidRPr="00AE141E">
        <w:rPr>
          <w:rFonts w:ascii="Times New Roman" w:hAnsi="Times New Roman" w:cs="Times New Roman"/>
          <w:sz w:val="24"/>
          <w:szCs w:val="24"/>
        </w:rPr>
        <w:t xml:space="preserve"> </w:t>
      </w:r>
      <w:r w:rsidR="00381099" w:rsidRPr="00AE141E">
        <w:rPr>
          <w:rFonts w:ascii="Times New Roman" w:hAnsi="Times New Roman" w:cs="Times New Roman"/>
          <w:sz w:val="24"/>
          <w:szCs w:val="24"/>
        </w:rPr>
        <w:t>personal c</w:t>
      </w:r>
      <w:r w:rsidR="004F13FE" w:rsidRPr="00AE141E">
        <w:rPr>
          <w:rFonts w:ascii="Times New Roman" w:hAnsi="Times New Roman" w:cs="Times New Roman"/>
          <w:sz w:val="24"/>
          <w:szCs w:val="24"/>
        </w:rPr>
        <w:t xml:space="preserve">ollections of ‘newspapers and magazines about the experiences of black people in Britain today’ would </w:t>
      </w:r>
      <w:r w:rsidR="00381099" w:rsidRPr="00AE141E">
        <w:rPr>
          <w:rFonts w:ascii="Times New Roman" w:hAnsi="Times New Roman" w:cs="Times New Roman"/>
          <w:sz w:val="24"/>
          <w:szCs w:val="24"/>
        </w:rPr>
        <w:t>help future historians tease out the knots of the past.</w:t>
      </w:r>
      <w:r w:rsidR="007D395A" w:rsidRPr="00AE141E">
        <w:rPr>
          <w:rStyle w:val="FootnoteReference"/>
          <w:rFonts w:ascii="Times New Roman" w:hAnsi="Times New Roman" w:cs="Times New Roman"/>
          <w:sz w:val="24"/>
          <w:szCs w:val="24"/>
        </w:rPr>
        <w:footnoteReference w:id="574"/>
      </w:r>
      <w:r w:rsidR="000242F1" w:rsidRPr="00AE141E">
        <w:rPr>
          <w:rFonts w:ascii="Times New Roman" w:hAnsi="Times New Roman" w:cs="Times New Roman"/>
          <w:sz w:val="24"/>
          <w:szCs w:val="24"/>
        </w:rPr>
        <w:t xml:space="preserve"> </w:t>
      </w:r>
      <w:r w:rsidR="00381099" w:rsidRPr="00AE141E">
        <w:rPr>
          <w:rFonts w:ascii="Times New Roman" w:hAnsi="Times New Roman" w:cs="Times New Roman"/>
          <w:sz w:val="24"/>
          <w:szCs w:val="24"/>
        </w:rPr>
        <w:t>The difficulty of recovering youth-authored</w:t>
      </w:r>
      <w:r w:rsidR="004F13FE" w:rsidRPr="00AE141E">
        <w:rPr>
          <w:rFonts w:ascii="Times New Roman" w:hAnsi="Times New Roman" w:cs="Times New Roman"/>
          <w:sz w:val="24"/>
          <w:szCs w:val="24"/>
        </w:rPr>
        <w:t xml:space="preserve"> histories </w:t>
      </w:r>
      <w:r w:rsidR="00381099" w:rsidRPr="00AE141E">
        <w:rPr>
          <w:rFonts w:ascii="Times New Roman" w:hAnsi="Times New Roman" w:cs="Times New Roman"/>
          <w:sz w:val="24"/>
          <w:szCs w:val="24"/>
        </w:rPr>
        <w:t>demonstrates some of</w:t>
      </w:r>
      <w:r w:rsidR="004F13FE" w:rsidRPr="00AE141E">
        <w:rPr>
          <w:rFonts w:ascii="Times New Roman" w:hAnsi="Times New Roman" w:cs="Times New Roman"/>
          <w:sz w:val="24"/>
          <w:szCs w:val="24"/>
        </w:rPr>
        <w:t xml:space="preserve"> limitations of the multicultural history curriculum</w:t>
      </w:r>
      <w:r w:rsidR="00381099" w:rsidRPr="00AE141E">
        <w:rPr>
          <w:rFonts w:ascii="Times New Roman" w:hAnsi="Times New Roman" w:cs="Times New Roman"/>
          <w:sz w:val="24"/>
          <w:szCs w:val="24"/>
        </w:rPr>
        <w:t>, as practi</w:t>
      </w:r>
      <w:r w:rsidR="00AB3DB5">
        <w:rPr>
          <w:rFonts w:ascii="Times New Roman" w:hAnsi="Times New Roman" w:cs="Times New Roman"/>
          <w:sz w:val="24"/>
          <w:szCs w:val="24"/>
        </w:rPr>
        <w:t>s</w:t>
      </w:r>
      <w:r w:rsidR="00381099" w:rsidRPr="00AE141E">
        <w:rPr>
          <w:rFonts w:ascii="Times New Roman" w:hAnsi="Times New Roman" w:cs="Times New Roman"/>
          <w:sz w:val="24"/>
          <w:szCs w:val="24"/>
        </w:rPr>
        <w:t>ed in schools</w:t>
      </w:r>
      <w:r w:rsidR="004F13FE" w:rsidRPr="00AE141E">
        <w:rPr>
          <w:rFonts w:ascii="Times New Roman" w:hAnsi="Times New Roman" w:cs="Times New Roman"/>
          <w:sz w:val="24"/>
          <w:szCs w:val="24"/>
        </w:rPr>
        <w:t xml:space="preserve">. Beyond the enthusiasm of individual teachers, there was </w:t>
      </w:r>
      <w:r w:rsidR="00066AB7" w:rsidRPr="00AE141E">
        <w:rPr>
          <w:rFonts w:ascii="Times New Roman" w:hAnsi="Times New Roman" w:cs="Times New Roman"/>
          <w:sz w:val="24"/>
          <w:szCs w:val="24"/>
        </w:rPr>
        <w:t>limited</w:t>
      </w:r>
      <w:r w:rsidR="00381099" w:rsidRPr="00AE141E">
        <w:rPr>
          <w:rFonts w:ascii="Times New Roman" w:hAnsi="Times New Roman" w:cs="Times New Roman"/>
          <w:sz w:val="24"/>
          <w:szCs w:val="24"/>
        </w:rPr>
        <w:t xml:space="preserve"> institutional</w:t>
      </w:r>
      <w:r w:rsidR="004F13FE" w:rsidRPr="00AE141E">
        <w:rPr>
          <w:rFonts w:ascii="Times New Roman" w:hAnsi="Times New Roman" w:cs="Times New Roman"/>
          <w:sz w:val="24"/>
          <w:szCs w:val="24"/>
        </w:rPr>
        <w:t xml:space="preserve"> backing for these projects</w:t>
      </w:r>
      <w:r w:rsidR="00381099" w:rsidRPr="00AE141E">
        <w:rPr>
          <w:rFonts w:ascii="Times New Roman" w:hAnsi="Times New Roman" w:cs="Times New Roman"/>
          <w:sz w:val="24"/>
          <w:szCs w:val="24"/>
        </w:rPr>
        <w:t>:</w:t>
      </w:r>
      <w:r w:rsidR="004F13FE" w:rsidRPr="00AE141E">
        <w:rPr>
          <w:rFonts w:ascii="Times New Roman" w:hAnsi="Times New Roman" w:cs="Times New Roman"/>
          <w:sz w:val="24"/>
          <w:szCs w:val="24"/>
        </w:rPr>
        <w:t xml:space="preserve"> </w:t>
      </w:r>
      <w:r w:rsidR="00066AB7" w:rsidRPr="00AE141E">
        <w:rPr>
          <w:rFonts w:ascii="Times New Roman" w:hAnsi="Times New Roman" w:cs="Times New Roman"/>
          <w:sz w:val="24"/>
          <w:szCs w:val="24"/>
        </w:rPr>
        <w:t>children’s curation of history stopped short of being inscribed in the collections of museums, libraries, and archives</w:t>
      </w:r>
      <w:r w:rsidR="004F13FE" w:rsidRPr="00AE141E">
        <w:rPr>
          <w:rFonts w:ascii="Times New Roman" w:hAnsi="Times New Roman" w:cs="Times New Roman"/>
          <w:sz w:val="24"/>
          <w:szCs w:val="24"/>
        </w:rPr>
        <w:t xml:space="preserve">. </w:t>
      </w:r>
      <w:r w:rsidR="006737F2" w:rsidRPr="00AE141E">
        <w:rPr>
          <w:rFonts w:ascii="Times New Roman" w:hAnsi="Times New Roman" w:cs="Times New Roman"/>
          <w:sz w:val="24"/>
          <w:szCs w:val="24"/>
        </w:rPr>
        <w:t>With</w:t>
      </w:r>
      <w:r w:rsidR="004F13FE" w:rsidRPr="00AE141E">
        <w:rPr>
          <w:rFonts w:ascii="Times New Roman" w:hAnsi="Times New Roman" w:cs="Times New Roman"/>
          <w:sz w:val="24"/>
          <w:szCs w:val="24"/>
        </w:rPr>
        <w:t xml:space="preserve">in the context of the BEM, which </w:t>
      </w:r>
      <w:r w:rsidR="006737F2" w:rsidRPr="00AE141E">
        <w:rPr>
          <w:rFonts w:ascii="Times New Roman" w:hAnsi="Times New Roman" w:cs="Times New Roman"/>
          <w:sz w:val="24"/>
          <w:szCs w:val="24"/>
        </w:rPr>
        <w:t>drew on</w:t>
      </w:r>
      <w:r w:rsidR="004F13FE" w:rsidRPr="00AE141E">
        <w:rPr>
          <w:rFonts w:ascii="Times New Roman" w:hAnsi="Times New Roman" w:cs="Times New Roman"/>
          <w:sz w:val="24"/>
          <w:szCs w:val="24"/>
        </w:rPr>
        <w:t xml:space="preserve"> the resources of </w:t>
      </w:r>
      <w:r w:rsidR="006737F2" w:rsidRPr="00AE141E">
        <w:rPr>
          <w:rFonts w:ascii="Times New Roman" w:hAnsi="Times New Roman" w:cs="Times New Roman"/>
          <w:sz w:val="24"/>
          <w:szCs w:val="24"/>
        </w:rPr>
        <w:t>an organised</w:t>
      </w:r>
      <w:r w:rsidR="004F13FE" w:rsidRPr="00AE141E">
        <w:rPr>
          <w:rFonts w:ascii="Times New Roman" w:hAnsi="Times New Roman" w:cs="Times New Roman"/>
          <w:sz w:val="24"/>
          <w:szCs w:val="24"/>
        </w:rPr>
        <w:t xml:space="preserve"> community</w:t>
      </w:r>
      <w:r w:rsidR="006737F2" w:rsidRPr="00AE141E">
        <w:rPr>
          <w:rFonts w:ascii="Times New Roman" w:hAnsi="Times New Roman" w:cs="Times New Roman"/>
          <w:sz w:val="24"/>
          <w:szCs w:val="24"/>
        </w:rPr>
        <w:t>, such histories were successfully preserved</w:t>
      </w:r>
      <w:r w:rsidR="004F13FE" w:rsidRPr="00AE141E">
        <w:rPr>
          <w:rFonts w:ascii="Times New Roman" w:hAnsi="Times New Roman" w:cs="Times New Roman"/>
          <w:sz w:val="24"/>
          <w:szCs w:val="24"/>
        </w:rPr>
        <w:t xml:space="preserve">. Their ephemeral nature in the context of state schooling illustrates the problem of divorcing the educational techniques </w:t>
      </w:r>
      <w:r w:rsidR="006737F2" w:rsidRPr="00AE141E">
        <w:rPr>
          <w:rFonts w:ascii="Times New Roman" w:hAnsi="Times New Roman" w:cs="Times New Roman"/>
          <w:sz w:val="24"/>
          <w:szCs w:val="24"/>
        </w:rPr>
        <w:t xml:space="preserve">of the BEM </w:t>
      </w:r>
      <w:r w:rsidR="004F13FE" w:rsidRPr="00AE141E">
        <w:rPr>
          <w:rFonts w:ascii="Times New Roman" w:hAnsi="Times New Roman" w:cs="Times New Roman"/>
          <w:sz w:val="24"/>
          <w:szCs w:val="24"/>
        </w:rPr>
        <w:t>from their original context.</w:t>
      </w:r>
    </w:p>
    <w:p w14:paraId="096F9768" w14:textId="0005AC4D" w:rsidR="00EE33DC" w:rsidRPr="00AE141E" w:rsidRDefault="00066AB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Carter </w:t>
      </w:r>
      <w:r w:rsidR="009525D6" w:rsidRPr="00AE141E">
        <w:rPr>
          <w:rFonts w:ascii="Times New Roman" w:hAnsi="Times New Roman" w:cs="Times New Roman"/>
          <w:sz w:val="24"/>
          <w:szCs w:val="24"/>
        </w:rPr>
        <w:t>argues</w:t>
      </w:r>
      <w:r w:rsidRPr="00AE141E">
        <w:rPr>
          <w:rFonts w:ascii="Times New Roman" w:hAnsi="Times New Roman" w:cs="Times New Roman"/>
          <w:sz w:val="24"/>
          <w:szCs w:val="24"/>
        </w:rPr>
        <w:t xml:space="preserve"> that the ‘history of everyday life’ fell apart in the context of the multi-racial comprehensive school</w:t>
      </w:r>
      <w:r w:rsidR="009525D6" w:rsidRPr="00AE141E">
        <w:rPr>
          <w:rFonts w:ascii="Times New Roman" w:hAnsi="Times New Roman" w:cs="Times New Roman"/>
          <w:sz w:val="24"/>
          <w:szCs w:val="24"/>
        </w:rPr>
        <w:t>, which exposed its inability to ‘speak to issues of power’.</w:t>
      </w:r>
      <w:r w:rsidR="00B321F5" w:rsidRPr="00AE141E">
        <w:rPr>
          <w:rStyle w:val="FootnoteReference"/>
          <w:rFonts w:ascii="Times New Roman" w:hAnsi="Times New Roman" w:cs="Times New Roman"/>
          <w:sz w:val="24"/>
          <w:szCs w:val="24"/>
        </w:rPr>
        <w:footnoteReference w:id="575"/>
      </w:r>
      <w:r w:rsidR="009525D6" w:rsidRPr="00AE141E">
        <w:rPr>
          <w:rFonts w:ascii="Times New Roman" w:hAnsi="Times New Roman" w:cs="Times New Roman"/>
          <w:sz w:val="24"/>
          <w:szCs w:val="24"/>
        </w:rPr>
        <w:t xml:space="preserve"> This was a form of social history, she concludes,</w:t>
      </w:r>
      <w:r w:rsidR="00EE33DC" w:rsidRPr="00AE141E">
        <w:rPr>
          <w:rFonts w:ascii="Times New Roman" w:hAnsi="Times New Roman" w:cs="Times New Roman"/>
          <w:sz w:val="24"/>
          <w:szCs w:val="24"/>
        </w:rPr>
        <w:t xml:space="preserve"> </w:t>
      </w:r>
      <w:r w:rsidR="009525D6" w:rsidRPr="00AE141E">
        <w:rPr>
          <w:rFonts w:ascii="Times New Roman" w:hAnsi="Times New Roman" w:cs="Times New Roman"/>
          <w:sz w:val="24"/>
          <w:szCs w:val="24"/>
        </w:rPr>
        <w:t>in which ‘</w:t>
      </w:r>
      <w:r w:rsidR="00EE33DC" w:rsidRPr="00AE141E">
        <w:rPr>
          <w:rFonts w:ascii="Times New Roman" w:hAnsi="Times New Roman" w:cs="Times New Roman"/>
          <w:sz w:val="24"/>
          <w:szCs w:val="24"/>
        </w:rPr>
        <w:t xml:space="preserve">objects were not imperial, spaces were not gendered, and feelings were not burdened with class </w:t>
      </w:r>
      <w:r w:rsidRPr="00AE141E">
        <w:rPr>
          <w:rFonts w:ascii="Times New Roman" w:hAnsi="Times New Roman" w:cs="Times New Roman"/>
          <w:sz w:val="24"/>
          <w:szCs w:val="24"/>
        </w:rPr>
        <w:t>e</w:t>
      </w:r>
      <w:r w:rsidR="00EE33DC" w:rsidRPr="00AE141E">
        <w:rPr>
          <w:rFonts w:ascii="Times New Roman" w:hAnsi="Times New Roman" w:cs="Times New Roman"/>
          <w:sz w:val="24"/>
          <w:szCs w:val="24"/>
        </w:rPr>
        <w:t>ncounter</w:t>
      </w:r>
      <w:r w:rsidR="009525D6" w:rsidRPr="00AE141E">
        <w:rPr>
          <w:rFonts w:ascii="Times New Roman" w:hAnsi="Times New Roman" w:cs="Times New Roman"/>
          <w:sz w:val="24"/>
          <w:szCs w:val="24"/>
        </w:rPr>
        <w:t xml:space="preserve">’. The experiments in Tulse Hill, Hackney Downs, and Vauxhall Manor lend themselves to a different conclusion; ‘histories of everyday life’ could be used to </w:t>
      </w:r>
      <w:r w:rsidR="0066089E" w:rsidRPr="00AE141E">
        <w:rPr>
          <w:rFonts w:ascii="Times New Roman" w:hAnsi="Times New Roman" w:cs="Times New Roman"/>
          <w:sz w:val="24"/>
          <w:szCs w:val="24"/>
        </w:rPr>
        <w:t xml:space="preserve">promote affective understanding of experiences of migration and racism, and to </w:t>
      </w:r>
      <w:r w:rsidR="009525D6" w:rsidRPr="00AE141E">
        <w:rPr>
          <w:rFonts w:ascii="Times New Roman" w:hAnsi="Times New Roman" w:cs="Times New Roman"/>
          <w:sz w:val="24"/>
          <w:szCs w:val="24"/>
        </w:rPr>
        <w:t xml:space="preserve">expose </w:t>
      </w:r>
      <w:r w:rsidR="0066089E" w:rsidRPr="00AE141E">
        <w:rPr>
          <w:rFonts w:ascii="Times New Roman" w:hAnsi="Times New Roman" w:cs="Times New Roman"/>
          <w:sz w:val="24"/>
          <w:szCs w:val="24"/>
        </w:rPr>
        <w:t xml:space="preserve">the intrusion of empire into the fabric of British daily life. </w:t>
      </w:r>
      <w:r w:rsidR="00307A3A" w:rsidRPr="00AE141E">
        <w:rPr>
          <w:rFonts w:ascii="Times New Roman" w:hAnsi="Times New Roman" w:cs="Times New Roman"/>
          <w:sz w:val="24"/>
          <w:szCs w:val="24"/>
        </w:rPr>
        <w:t>These results could be achieved without prejudicing the academic attainment of young people of colour by confining them to non-examinable forms of study.</w:t>
      </w:r>
    </w:p>
    <w:p w14:paraId="3A8BEBF9" w14:textId="599FDBFF" w:rsidR="00F157ED" w:rsidRPr="00AE141E" w:rsidRDefault="00307A3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Nevertheless,</w:t>
      </w:r>
      <w:r w:rsidR="00674DE0" w:rsidRPr="00AE141E">
        <w:rPr>
          <w:rFonts w:ascii="Times New Roman" w:hAnsi="Times New Roman" w:cs="Times New Roman"/>
          <w:sz w:val="24"/>
          <w:szCs w:val="24"/>
        </w:rPr>
        <w:t xml:space="preserve"> there were undoubtedly many schools w</w:t>
      </w:r>
      <w:r w:rsidR="00397EE2" w:rsidRPr="00AE141E">
        <w:rPr>
          <w:rFonts w:ascii="Times New Roman" w:hAnsi="Times New Roman" w:cs="Times New Roman"/>
          <w:sz w:val="24"/>
          <w:szCs w:val="24"/>
        </w:rPr>
        <w:t>h</w:t>
      </w:r>
      <w:r w:rsidR="00674DE0" w:rsidRPr="00AE141E">
        <w:rPr>
          <w:rFonts w:ascii="Times New Roman" w:hAnsi="Times New Roman" w:cs="Times New Roman"/>
          <w:sz w:val="24"/>
          <w:szCs w:val="24"/>
        </w:rPr>
        <w:t xml:space="preserve">ere </w:t>
      </w:r>
      <w:r w:rsidR="00715547" w:rsidRPr="00AE141E">
        <w:rPr>
          <w:rFonts w:ascii="Times New Roman" w:hAnsi="Times New Roman" w:cs="Times New Roman"/>
          <w:sz w:val="24"/>
          <w:szCs w:val="24"/>
        </w:rPr>
        <w:t xml:space="preserve">similar techniques were </w:t>
      </w:r>
      <w:r w:rsidR="006E201F" w:rsidRPr="00AE141E">
        <w:rPr>
          <w:rFonts w:ascii="Times New Roman" w:hAnsi="Times New Roman" w:cs="Times New Roman"/>
          <w:sz w:val="24"/>
          <w:szCs w:val="24"/>
        </w:rPr>
        <w:t xml:space="preserve">moulded by racist assumptions. The fascination of the history of everyday life with object-based learning invited the performance of fixed, preconceived notions of cultural difference in multiracial settings. </w:t>
      </w:r>
      <w:r w:rsidR="00927404" w:rsidRPr="00AE141E">
        <w:rPr>
          <w:rFonts w:ascii="Times New Roman" w:hAnsi="Times New Roman" w:cs="Times New Roman"/>
          <w:sz w:val="24"/>
          <w:szCs w:val="24"/>
        </w:rPr>
        <w:t>School events designed to celebrate Britain’s cultural diversity often invited</w:t>
      </w:r>
      <w:r w:rsidR="006E201F" w:rsidRPr="00AE141E">
        <w:rPr>
          <w:rFonts w:ascii="Times New Roman" w:hAnsi="Times New Roman" w:cs="Times New Roman"/>
          <w:sz w:val="24"/>
          <w:szCs w:val="24"/>
        </w:rPr>
        <w:t xml:space="preserve"> offerings</w:t>
      </w:r>
      <w:r w:rsidR="00927404" w:rsidRPr="00AE141E">
        <w:rPr>
          <w:rFonts w:ascii="Times New Roman" w:hAnsi="Times New Roman" w:cs="Times New Roman"/>
          <w:sz w:val="24"/>
          <w:szCs w:val="24"/>
        </w:rPr>
        <w:t xml:space="preserve"> of</w:t>
      </w:r>
      <w:r w:rsidR="006E201F" w:rsidRPr="00AE141E">
        <w:rPr>
          <w:rFonts w:ascii="Times New Roman" w:hAnsi="Times New Roman" w:cs="Times New Roman"/>
          <w:sz w:val="24"/>
          <w:szCs w:val="24"/>
        </w:rPr>
        <w:t xml:space="preserve"> ‘traditional’ clothing and food</w:t>
      </w:r>
      <w:r w:rsidR="00927404" w:rsidRPr="00AE141E">
        <w:rPr>
          <w:rFonts w:ascii="Times New Roman" w:hAnsi="Times New Roman" w:cs="Times New Roman"/>
          <w:sz w:val="24"/>
          <w:szCs w:val="24"/>
        </w:rPr>
        <w:t>. Refracted through orientalist notions of</w:t>
      </w:r>
      <w:r w:rsidR="006E201F" w:rsidRPr="00AE141E">
        <w:rPr>
          <w:rFonts w:ascii="Times New Roman" w:hAnsi="Times New Roman" w:cs="Times New Roman"/>
          <w:sz w:val="24"/>
          <w:szCs w:val="24"/>
        </w:rPr>
        <w:t xml:space="preserve"> the ‘exotic’,</w:t>
      </w:r>
      <w:r w:rsidR="00DA5EA7" w:rsidRPr="00AE141E">
        <w:rPr>
          <w:rFonts w:ascii="Times New Roman" w:hAnsi="Times New Roman" w:cs="Times New Roman"/>
          <w:sz w:val="24"/>
          <w:szCs w:val="24"/>
        </w:rPr>
        <w:t xml:space="preserve"> cultures were stripped of their living dynamism, humanity and complexity.</w:t>
      </w:r>
      <w:r w:rsidR="00A643F4" w:rsidRPr="00AE141E">
        <w:rPr>
          <w:rStyle w:val="FootnoteReference"/>
          <w:rFonts w:ascii="Times New Roman" w:hAnsi="Times New Roman" w:cs="Times New Roman"/>
          <w:sz w:val="24"/>
          <w:szCs w:val="24"/>
        </w:rPr>
        <w:footnoteReference w:id="576"/>
      </w:r>
      <w:r w:rsidR="00DA5EA7" w:rsidRPr="00AE141E">
        <w:rPr>
          <w:rFonts w:ascii="Times New Roman" w:hAnsi="Times New Roman" w:cs="Times New Roman"/>
          <w:sz w:val="24"/>
          <w:szCs w:val="24"/>
        </w:rPr>
        <w:t xml:space="preserve"> As a result,</w:t>
      </w:r>
      <w:r w:rsidR="00927404" w:rsidRPr="00AE141E">
        <w:rPr>
          <w:rFonts w:ascii="Times New Roman" w:hAnsi="Times New Roman" w:cs="Times New Roman"/>
          <w:sz w:val="24"/>
          <w:szCs w:val="24"/>
        </w:rPr>
        <w:t xml:space="preserve"> these events </w:t>
      </w:r>
      <w:r w:rsidR="002B62C6" w:rsidRPr="00AE141E">
        <w:rPr>
          <w:rFonts w:ascii="Times New Roman" w:hAnsi="Times New Roman" w:cs="Times New Roman"/>
          <w:sz w:val="24"/>
          <w:szCs w:val="24"/>
        </w:rPr>
        <w:t>inadvertently</w:t>
      </w:r>
      <w:r w:rsidR="00927404" w:rsidRPr="00AE141E">
        <w:rPr>
          <w:rFonts w:ascii="Times New Roman" w:hAnsi="Times New Roman" w:cs="Times New Roman"/>
          <w:sz w:val="24"/>
          <w:szCs w:val="24"/>
        </w:rPr>
        <w:t xml:space="preserve"> </w:t>
      </w:r>
      <w:r w:rsidR="00DA5EA7" w:rsidRPr="00AE141E">
        <w:rPr>
          <w:rFonts w:ascii="Times New Roman" w:hAnsi="Times New Roman" w:cs="Times New Roman"/>
          <w:sz w:val="24"/>
          <w:szCs w:val="24"/>
        </w:rPr>
        <w:t>reaffirmed the connection between Whiteness and national belonging.</w:t>
      </w:r>
    </w:p>
    <w:p w14:paraId="285B1711" w14:textId="052A338B" w:rsidR="007C7276" w:rsidRPr="00AE141E" w:rsidRDefault="008762E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School Council’s </w:t>
      </w:r>
      <w:r w:rsidR="00D114FB" w:rsidRPr="00AE141E">
        <w:rPr>
          <w:rFonts w:ascii="Times New Roman" w:hAnsi="Times New Roman" w:cs="Times New Roman"/>
          <w:i/>
          <w:sz w:val="24"/>
          <w:szCs w:val="24"/>
        </w:rPr>
        <w:t>Education for a Multiracial Society: Curriculum and Context 5-13</w:t>
      </w:r>
      <w:r w:rsidR="00F21F86" w:rsidRPr="00AE141E">
        <w:rPr>
          <w:rFonts w:ascii="Times New Roman" w:hAnsi="Times New Roman" w:cs="Times New Roman"/>
          <w:i/>
          <w:sz w:val="24"/>
          <w:szCs w:val="24"/>
        </w:rPr>
        <w:t xml:space="preserve">, </w:t>
      </w:r>
      <w:r w:rsidRPr="00AE141E">
        <w:rPr>
          <w:rFonts w:ascii="Times New Roman" w:hAnsi="Times New Roman" w:cs="Times New Roman"/>
          <w:sz w:val="24"/>
          <w:szCs w:val="24"/>
        </w:rPr>
        <w:t>offers a</w:t>
      </w:r>
      <w:r w:rsidR="00B931F7" w:rsidRPr="00AE141E">
        <w:rPr>
          <w:rFonts w:ascii="Times New Roman" w:hAnsi="Times New Roman" w:cs="Times New Roman"/>
          <w:sz w:val="24"/>
          <w:szCs w:val="24"/>
        </w:rPr>
        <w:t xml:space="preserve">nother </w:t>
      </w:r>
      <w:r w:rsidR="00D62851" w:rsidRPr="00AE141E">
        <w:rPr>
          <w:rFonts w:ascii="Times New Roman" w:hAnsi="Times New Roman" w:cs="Times New Roman"/>
          <w:sz w:val="24"/>
          <w:szCs w:val="24"/>
        </w:rPr>
        <w:t xml:space="preserve">window into </w:t>
      </w:r>
      <w:r w:rsidR="00D873F4" w:rsidRPr="00AE141E">
        <w:rPr>
          <w:rFonts w:ascii="Times New Roman" w:hAnsi="Times New Roman" w:cs="Times New Roman"/>
          <w:sz w:val="24"/>
          <w:szCs w:val="24"/>
        </w:rPr>
        <w:t>the confluence between histories of everyday life and multicultural education in the classrooms of the early 1980s</w:t>
      </w:r>
      <w:r w:rsidR="00E05AFC" w:rsidRPr="00AE141E">
        <w:rPr>
          <w:rFonts w:ascii="Times New Roman" w:hAnsi="Times New Roman" w:cs="Times New Roman"/>
          <w:sz w:val="24"/>
          <w:szCs w:val="24"/>
        </w:rPr>
        <w:t>.</w:t>
      </w:r>
      <w:r w:rsidR="00D873F4" w:rsidRPr="00AE141E">
        <w:rPr>
          <w:rFonts w:ascii="Times New Roman" w:hAnsi="Times New Roman" w:cs="Times New Roman"/>
          <w:sz w:val="24"/>
          <w:szCs w:val="24"/>
        </w:rPr>
        <w:t xml:space="preserve"> </w:t>
      </w:r>
      <w:r w:rsidR="00E855FD" w:rsidRPr="00AE141E">
        <w:rPr>
          <w:rFonts w:ascii="Times New Roman" w:hAnsi="Times New Roman" w:cs="Times New Roman"/>
          <w:sz w:val="24"/>
          <w:szCs w:val="24"/>
        </w:rPr>
        <w:t xml:space="preserve">One school described in the survey </w:t>
      </w:r>
      <w:r w:rsidR="00A933C5" w:rsidRPr="00AE141E">
        <w:rPr>
          <w:rFonts w:ascii="Times New Roman" w:hAnsi="Times New Roman" w:cs="Times New Roman"/>
          <w:sz w:val="24"/>
          <w:szCs w:val="24"/>
        </w:rPr>
        <w:t>(</w:t>
      </w:r>
      <w:r w:rsidR="00E855FD" w:rsidRPr="00AE141E">
        <w:rPr>
          <w:rFonts w:ascii="Times New Roman" w:hAnsi="Times New Roman" w:cs="Times New Roman"/>
          <w:sz w:val="24"/>
          <w:szCs w:val="24"/>
        </w:rPr>
        <w:t xml:space="preserve">a </w:t>
      </w:r>
      <w:r w:rsidR="00F073C5" w:rsidRPr="00AE141E">
        <w:rPr>
          <w:rFonts w:ascii="Times New Roman" w:hAnsi="Times New Roman" w:cs="Times New Roman"/>
          <w:sz w:val="24"/>
          <w:szCs w:val="24"/>
        </w:rPr>
        <w:t>‘</w:t>
      </w:r>
      <w:r w:rsidR="00A933C5" w:rsidRPr="00AE141E">
        <w:rPr>
          <w:rFonts w:ascii="Times New Roman" w:hAnsi="Times New Roman" w:cs="Times New Roman"/>
          <w:sz w:val="24"/>
          <w:szCs w:val="24"/>
        </w:rPr>
        <w:t>multiracial</w:t>
      </w:r>
      <w:r w:rsidR="00F073C5" w:rsidRPr="00AE141E">
        <w:rPr>
          <w:rFonts w:ascii="Times New Roman" w:hAnsi="Times New Roman" w:cs="Times New Roman"/>
          <w:sz w:val="24"/>
          <w:szCs w:val="24"/>
        </w:rPr>
        <w:t>’</w:t>
      </w:r>
      <w:r w:rsidR="00A933C5" w:rsidRPr="00AE141E">
        <w:rPr>
          <w:rFonts w:ascii="Times New Roman" w:hAnsi="Times New Roman" w:cs="Times New Roman"/>
          <w:sz w:val="24"/>
          <w:szCs w:val="24"/>
        </w:rPr>
        <w:t xml:space="preserve"> London primary)</w:t>
      </w:r>
      <w:r w:rsidR="00506C74" w:rsidRPr="00AE141E">
        <w:rPr>
          <w:rFonts w:ascii="Times New Roman" w:hAnsi="Times New Roman" w:cs="Times New Roman"/>
          <w:sz w:val="24"/>
          <w:szCs w:val="24"/>
        </w:rPr>
        <w:t xml:space="preserve"> decided to</w:t>
      </w:r>
      <w:r w:rsidR="00A933C5" w:rsidRPr="00AE141E">
        <w:rPr>
          <w:rFonts w:ascii="Times New Roman" w:hAnsi="Times New Roman" w:cs="Times New Roman"/>
          <w:sz w:val="24"/>
          <w:szCs w:val="24"/>
        </w:rPr>
        <w:t xml:space="preserve"> conduct</w:t>
      </w:r>
      <w:r w:rsidR="00506C74" w:rsidRPr="00AE141E">
        <w:rPr>
          <w:rFonts w:ascii="Times New Roman" w:hAnsi="Times New Roman" w:cs="Times New Roman"/>
          <w:sz w:val="24"/>
          <w:szCs w:val="24"/>
        </w:rPr>
        <w:t xml:space="preserve"> a</w:t>
      </w:r>
      <w:r w:rsidR="00F1620D" w:rsidRPr="00AE141E">
        <w:rPr>
          <w:rFonts w:ascii="Times New Roman" w:hAnsi="Times New Roman" w:cs="Times New Roman"/>
          <w:sz w:val="24"/>
          <w:szCs w:val="24"/>
        </w:rPr>
        <w:t xml:space="preserve"> ‘study of India’</w:t>
      </w:r>
      <w:r w:rsidR="00A933C5" w:rsidRPr="00AE141E">
        <w:rPr>
          <w:rFonts w:ascii="Times New Roman" w:hAnsi="Times New Roman" w:cs="Times New Roman"/>
          <w:sz w:val="24"/>
          <w:szCs w:val="24"/>
        </w:rPr>
        <w:t>.</w:t>
      </w:r>
      <w:r w:rsidR="000F0850" w:rsidRPr="00AE141E">
        <w:rPr>
          <w:rStyle w:val="FootnoteReference"/>
          <w:rFonts w:ascii="Times New Roman" w:hAnsi="Times New Roman" w:cs="Times New Roman"/>
          <w:sz w:val="24"/>
          <w:szCs w:val="24"/>
        </w:rPr>
        <w:footnoteReference w:id="577"/>
      </w:r>
      <w:r w:rsidR="00A933C5" w:rsidRPr="00AE141E">
        <w:rPr>
          <w:rFonts w:ascii="Times New Roman" w:hAnsi="Times New Roman" w:cs="Times New Roman"/>
          <w:sz w:val="24"/>
          <w:szCs w:val="24"/>
        </w:rPr>
        <w:t xml:space="preserve"> </w:t>
      </w:r>
      <w:r w:rsidR="002C7209" w:rsidRPr="00AE141E">
        <w:rPr>
          <w:rFonts w:ascii="Times New Roman" w:hAnsi="Times New Roman" w:cs="Times New Roman"/>
          <w:sz w:val="24"/>
          <w:szCs w:val="24"/>
        </w:rPr>
        <w:t xml:space="preserve">Teachers </w:t>
      </w:r>
      <w:r w:rsidR="009D3535" w:rsidRPr="00AE141E">
        <w:rPr>
          <w:rFonts w:ascii="Times New Roman" w:hAnsi="Times New Roman" w:cs="Times New Roman"/>
          <w:sz w:val="24"/>
          <w:szCs w:val="24"/>
        </w:rPr>
        <w:t>used</w:t>
      </w:r>
      <w:r w:rsidR="007D63B8" w:rsidRPr="00AE141E">
        <w:rPr>
          <w:rFonts w:ascii="Times New Roman" w:hAnsi="Times New Roman" w:cs="Times New Roman"/>
          <w:sz w:val="24"/>
          <w:szCs w:val="24"/>
        </w:rPr>
        <w:t xml:space="preserve"> an array of learning resources: publications from the</w:t>
      </w:r>
      <w:r w:rsidR="00A933C5" w:rsidRPr="00AE141E">
        <w:rPr>
          <w:rFonts w:ascii="Times New Roman" w:hAnsi="Times New Roman" w:cs="Times New Roman"/>
          <w:sz w:val="24"/>
          <w:szCs w:val="24"/>
        </w:rPr>
        <w:t xml:space="preserve"> Commonwealth Institute, Oxfam,</w:t>
      </w:r>
      <w:r w:rsidR="00C72E8C" w:rsidRPr="00AE141E">
        <w:rPr>
          <w:rFonts w:ascii="Times New Roman" w:hAnsi="Times New Roman" w:cs="Times New Roman"/>
          <w:sz w:val="24"/>
          <w:szCs w:val="24"/>
        </w:rPr>
        <w:t xml:space="preserve"> a</w:t>
      </w:r>
      <w:r w:rsidR="009D3535" w:rsidRPr="00AE141E">
        <w:rPr>
          <w:rFonts w:ascii="Times New Roman" w:hAnsi="Times New Roman" w:cs="Times New Roman"/>
          <w:sz w:val="24"/>
          <w:szCs w:val="24"/>
        </w:rPr>
        <w:t>nd</w:t>
      </w:r>
      <w:r w:rsidR="00A933C5" w:rsidRPr="00AE141E">
        <w:rPr>
          <w:rFonts w:ascii="Times New Roman" w:hAnsi="Times New Roman" w:cs="Times New Roman"/>
          <w:sz w:val="24"/>
          <w:szCs w:val="24"/>
        </w:rPr>
        <w:t xml:space="preserve"> travel agencies</w:t>
      </w:r>
      <w:r w:rsidR="00DE1557" w:rsidRPr="00AE141E">
        <w:rPr>
          <w:rFonts w:ascii="Times New Roman" w:hAnsi="Times New Roman" w:cs="Times New Roman"/>
          <w:sz w:val="24"/>
          <w:szCs w:val="24"/>
        </w:rPr>
        <w:t xml:space="preserve"> were employed alongside </w:t>
      </w:r>
      <w:r w:rsidR="004A6346" w:rsidRPr="00AE141E">
        <w:rPr>
          <w:rFonts w:ascii="Times New Roman" w:hAnsi="Times New Roman" w:cs="Times New Roman"/>
          <w:sz w:val="24"/>
          <w:szCs w:val="24"/>
        </w:rPr>
        <w:t>daytrips</w:t>
      </w:r>
      <w:r w:rsidR="00DE1557" w:rsidRPr="00AE141E">
        <w:rPr>
          <w:rFonts w:ascii="Times New Roman" w:hAnsi="Times New Roman" w:cs="Times New Roman"/>
          <w:sz w:val="24"/>
          <w:szCs w:val="24"/>
        </w:rPr>
        <w:t xml:space="preserve"> to the Victoria and Albert Museum and a nearby gurdwara</w:t>
      </w:r>
      <w:r w:rsidR="004A6346" w:rsidRPr="00AE141E">
        <w:rPr>
          <w:rFonts w:ascii="Times New Roman" w:hAnsi="Times New Roman" w:cs="Times New Roman"/>
          <w:sz w:val="24"/>
          <w:szCs w:val="24"/>
        </w:rPr>
        <w:t>.</w:t>
      </w:r>
      <w:r w:rsidR="00DE1557" w:rsidRPr="00AE141E">
        <w:rPr>
          <w:rFonts w:ascii="Times New Roman" w:hAnsi="Times New Roman" w:cs="Times New Roman"/>
          <w:sz w:val="24"/>
          <w:szCs w:val="24"/>
        </w:rPr>
        <w:t xml:space="preserve"> </w:t>
      </w:r>
      <w:r w:rsidR="004A6346" w:rsidRPr="00AE141E">
        <w:rPr>
          <w:rFonts w:ascii="Times New Roman" w:hAnsi="Times New Roman" w:cs="Times New Roman"/>
          <w:sz w:val="24"/>
          <w:szCs w:val="24"/>
        </w:rPr>
        <w:t>However,</w:t>
      </w:r>
      <w:r w:rsidR="00A933C5" w:rsidRPr="00AE141E">
        <w:rPr>
          <w:rFonts w:ascii="Times New Roman" w:hAnsi="Times New Roman" w:cs="Times New Roman"/>
          <w:sz w:val="24"/>
          <w:szCs w:val="24"/>
        </w:rPr>
        <w:t xml:space="preserve"> </w:t>
      </w:r>
      <w:r w:rsidR="00613D3C" w:rsidRPr="00AE141E">
        <w:rPr>
          <w:rFonts w:ascii="Times New Roman" w:hAnsi="Times New Roman" w:cs="Times New Roman"/>
          <w:sz w:val="24"/>
          <w:szCs w:val="24"/>
        </w:rPr>
        <w:t>‘</w:t>
      </w:r>
      <w:r w:rsidR="00A933C5" w:rsidRPr="00AE141E">
        <w:rPr>
          <w:rFonts w:ascii="Times New Roman" w:hAnsi="Times New Roman" w:cs="Times New Roman"/>
          <w:sz w:val="24"/>
          <w:szCs w:val="24"/>
        </w:rPr>
        <w:t>the children themselves</w:t>
      </w:r>
      <w:r w:rsidR="004A6346" w:rsidRPr="00AE141E">
        <w:rPr>
          <w:rFonts w:ascii="Times New Roman" w:hAnsi="Times New Roman" w:cs="Times New Roman"/>
          <w:sz w:val="24"/>
          <w:szCs w:val="24"/>
        </w:rPr>
        <w:t>’</w:t>
      </w:r>
      <w:r w:rsidR="00613D3C" w:rsidRPr="00AE141E">
        <w:rPr>
          <w:rFonts w:ascii="Times New Roman" w:hAnsi="Times New Roman" w:cs="Times New Roman"/>
          <w:sz w:val="24"/>
          <w:szCs w:val="24"/>
        </w:rPr>
        <w:t xml:space="preserve"> were considered the most valuable source of information on Indian history</w:t>
      </w:r>
      <w:r w:rsidR="00F857A1" w:rsidRPr="00AE141E">
        <w:rPr>
          <w:rFonts w:ascii="Times New Roman" w:hAnsi="Times New Roman" w:cs="Times New Roman"/>
          <w:sz w:val="24"/>
          <w:szCs w:val="24"/>
        </w:rPr>
        <w:t xml:space="preserve">. </w:t>
      </w:r>
      <w:r w:rsidR="004E2C64" w:rsidRPr="00AE141E">
        <w:rPr>
          <w:rFonts w:ascii="Times New Roman" w:hAnsi="Times New Roman" w:cs="Times New Roman"/>
          <w:sz w:val="24"/>
          <w:szCs w:val="24"/>
        </w:rPr>
        <w:t>As was</w:t>
      </w:r>
      <w:r w:rsidR="00D62C0E" w:rsidRPr="00AE141E">
        <w:rPr>
          <w:rFonts w:ascii="Times New Roman" w:hAnsi="Times New Roman" w:cs="Times New Roman"/>
          <w:sz w:val="24"/>
          <w:szCs w:val="24"/>
        </w:rPr>
        <w:t xml:space="preserve"> par for the course </w:t>
      </w:r>
      <w:r w:rsidR="00A928FF" w:rsidRPr="00AE141E">
        <w:rPr>
          <w:rFonts w:ascii="Times New Roman" w:hAnsi="Times New Roman" w:cs="Times New Roman"/>
          <w:sz w:val="24"/>
          <w:szCs w:val="24"/>
        </w:rPr>
        <w:t>for</w:t>
      </w:r>
      <w:r w:rsidR="00462D9A" w:rsidRPr="00AE141E">
        <w:rPr>
          <w:rFonts w:ascii="Times New Roman" w:hAnsi="Times New Roman" w:cs="Times New Roman"/>
          <w:sz w:val="24"/>
          <w:szCs w:val="24"/>
        </w:rPr>
        <w:t xml:space="preserve"> </w:t>
      </w:r>
      <w:r w:rsidR="00AB21FE" w:rsidRPr="00AE141E">
        <w:rPr>
          <w:rFonts w:ascii="Times New Roman" w:hAnsi="Times New Roman" w:cs="Times New Roman"/>
          <w:sz w:val="24"/>
          <w:szCs w:val="24"/>
        </w:rPr>
        <w:t xml:space="preserve">school-based inquiries into the ‘history of everyday life’, the project rested on object-based learning. Pupils were encouraged </w:t>
      </w:r>
      <w:r w:rsidR="000E4134" w:rsidRPr="00AE141E">
        <w:rPr>
          <w:rFonts w:ascii="Times New Roman" w:hAnsi="Times New Roman" w:cs="Times New Roman"/>
          <w:sz w:val="24"/>
          <w:szCs w:val="24"/>
        </w:rPr>
        <w:t xml:space="preserve">to </w:t>
      </w:r>
      <w:r w:rsidR="00D663C7" w:rsidRPr="00AE141E">
        <w:rPr>
          <w:rFonts w:ascii="Times New Roman" w:hAnsi="Times New Roman" w:cs="Times New Roman"/>
          <w:sz w:val="24"/>
          <w:szCs w:val="24"/>
        </w:rPr>
        <w:t>locate</w:t>
      </w:r>
      <w:r w:rsidR="000E4134" w:rsidRPr="00AE141E">
        <w:rPr>
          <w:rFonts w:ascii="Times New Roman" w:hAnsi="Times New Roman" w:cs="Times New Roman"/>
          <w:sz w:val="24"/>
          <w:szCs w:val="24"/>
        </w:rPr>
        <w:t xml:space="preserve"> material </w:t>
      </w:r>
      <w:r w:rsidR="00D663C7" w:rsidRPr="00AE141E">
        <w:rPr>
          <w:rFonts w:ascii="Times New Roman" w:hAnsi="Times New Roman" w:cs="Times New Roman"/>
          <w:sz w:val="24"/>
          <w:szCs w:val="24"/>
        </w:rPr>
        <w:t>remnants</w:t>
      </w:r>
      <w:r w:rsidR="000E4134" w:rsidRPr="00AE141E">
        <w:rPr>
          <w:rFonts w:ascii="Times New Roman" w:hAnsi="Times New Roman" w:cs="Times New Roman"/>
          <w:sz w:val="24"/>
          <w:szCs w:val="24"/>
        </w:rPr>
        <w:t xml:space="preserve"> of the past</w:t>
      </w:r>
      <w:r w:rsidR="00D663C7" w:rsidRPr="00AE141E">
        <w:rPr>
          <w:rFonts w:ascii="Times New Roman" w:hAnsi="Times New Roman" w:cs="Times New Roman"/>
          <w:sz w:val="24"/>
          <w:szCs w:val="24"/>
        </w:rPr>
        <w:t xml:space="preserve"> </w:t>
      </w:r>
      <w:r w:rsidR="004F19E5" w:rsidRPr="00AE141E">
        <w:rPr>
          <w:rFonts w:ascii="Times New Roman" w:hAnsi="Times New Roman" w:cs="Times New Roman"/>
          <w:sz w:val="24"/>
          <w:szCs w:val="24"/>
        </w:rPr>
        <w:t xml:space="preserve">in their immediate surroundings – </w:t>
      </w:r>
      <w:r w:rsidR="004F19E5" w:rsidRPr="00AE141E">
        <w:rPr>
          <w:rFonts w:ascii="Times New Roman" w:hAnsi="Times New Roman" w:cs="Times New Roman"/>
          <w:sz w:val="24"/>
          <w:szCs w:val="24"/>
        </w:rPr>
        <w:lastRenderedPageBreak/>
        <w:t>including in the family home.</w:t>
      </w:r>
      <w:r w:rsidR="00BA3EAB" w:rsidRPr="00AE141E">
        <w:rPr>
          <w:rFonts w:ascii="Times New Roman" w:hAnsi="Times New Roman" w:cs="Times New Roman"/>
          <w:sz w:val="24"/>
          <w:szCs w:val="24"/>
        </w:rPr>
        <w:t xml:space="preserve"> </w:t>
      </w:r>
      <w:r w:rsidR="00AD02C5" w:rsidRPr="00AE141E">
        <w:rPr>
          <w:rFonts w:ascii="Times New Roman" w:hAnsi="Times New Roman" w:cs="Times New Roman"/>
          <w:sz w:val="24"/>
          <w:szCs w:val="24"/>
        </w:rPr>
        <w:t>Teachers observed that it was</w:t>
      </w:r>
      <w:r w:rsidR="000E4134" w:rsidRPr="00AE141E">
        <w:rPr>
          <w:rFonts w:ascii="Times New Roman" w:hAnsi="Times New Roman" w:cs="Times New Roman"/>
          <w:sz w:val="24"/>
          <w:szCs w:val="24"/>
        </w:rPr>
        <w:t xml:space="preserve"> </w:t>
      </w:r>
      <w:r w:rsidR="00AD02C5" w:rsidRPr="00AE141E">
        <w:rPr>
          <w:rFonts w:ascii="Times New Roman" w:hAnsi="Times New Roman" w:cs="Times New Roman"/>
          <w:sz w:val="24"/>
          <w:szCs w:val="24"/>
        </w:rPr>
        <w:t>‘</w:t>
      </w:r>
      <w:r w:rsidR="00A933C5" w:rsidRPr="00AE141E">
        <w:rPr>
          <w:rFonts w:ascii="Times New Roman" w:hAnsi="Times New Roman" w:cs="Times New Roman"/>
          <w:sz w:val="24"/>
          <w:szCs w:val="24"/>
        </w:rPr>
        <w:t>white children with Indian connections</w:t>
      </w:r>
      <w:r w:rsidR="00AD02C5" w:rsidRPr="00AE141E">
        <w:rPr>
          <w:rFonts w:ascii="Times New Roman" w:hAnsi="Times New Roman" w:cs="Times New Roman"/>
          <w:sz w:val="24"/>
          <w:szCs w:val="24"/>
        </w:rPr>
        <w:t xml:space="preserve">’ </w:t>
      </w:r>
      <w:r w:rsidR="00A933C5" w:rsidRPr="00AE141E">
        <w:rPr>
          <w:rFonts w:ascii="Times New Roman" w:hAnsi="Times New Roman" w:cs="Times New Roman"/>
          <w:sz w:val="24"/>
          <w:szCs w:val="24"/>
        </w:rPr>
        <w:t>who</w:t>
      </w:r>
      <w:r w:rsidR="00AD02C5" w:rsidRPr="00AE141E">
        <w:rPr>
          <w:rFonts w:ascii="Times New Roman" w:hAnsi="Times New Roman" w:cs="Times New Roman"/>
          <w:sz w:val="24"/>
          <w:szCs w:val="24"/>
        </w:rPr>
        <w:t xml:space="preserve"> were the first to offer ‘</w:t>
      </w:r>
      <w:r w:rsidR="00A933C5" w:rsidRPr="00AE141E">
        <w:rPr>
          <w:rFonts w:ascii="Times New Roman" w:hAnsi="Times New Roman" w:cs="Times New Roman"/>
          <w:sz w:val="24"/>
          <w:szCs w:val="24"/>
        </w:rPr>
        <w:t xml:space="preserve">artefacts and </w:t>
      </w:r>
      <w:r w:rsidR="001C6A05" w:rsidRPr="00AE141E">
        <w:rPr>
          <w:rFonts w:ascii="Times New Roman" w:hAnsi="Times New Roman" w:cs="Times New Roman"/>
          <w:sz w:val="24"/>
          <w:szCs w:val="24"/>
        </w:rPr>
        <w:t>memento’. ‘Indian connections’</w:t>
      </w:r>
      <w:r w:rsidR="00022F50" w:rsidRPr="00AE141E">
        <w:rPr>
          <w:rFonts w:ascii="Times New Roman" w:hAnsi="Times New Roman" w:cs="Times New Roman"/>
          <w:sz w:val="24"/>
          <w:szCs w:val="24"/>
        </w:rPr>
        <w:t xml:space="preserve"> was, of course, a gentle mask placed over the </w:t>
      </w:r>
      <w:r w:rsidR="007F0932" w:rsidRPr="00AE141E">
        <w:rPr>
          <w:rFonts w:ascii="Times New Roman" w:hAnsi="Times New Roman" w:cs="Times New Roman"/>
          <w:sz w:val="24"/>
          <w:szCs w:val="24"/>
        </w:rPr>
        <w:t xml:space="preserve">face of history; </w:t>
      </w:r>
      <w:r w:rsidR="00E91446" w:rsidRPr="00AE141E">
        <w:rPr>
          <w:rFonts w:ascii="Times New Roman" w:hAnsi="Times New Roman" w:cs="Times New Roman"/>
          <w:sz w:val="24"/>
          <w:szCs w:val="24"/>
        </w:rPr>
        <w:t>the dominance and subjugation of the colonial relationship</w:t>
      </w:r>
      <w:r w:rsidR="00175F8A" w:rsidRPr="00AE141E">
        <w:rPr>
          <w:rFonts w:ascii="Times New Roman" w:hAnsi="Times New Roman" w:cs="Times New Roman"/>
          <w:sz w:val="24"/>
          <w:szCs w:val="24"/>
        </w:rPr>
        <w:t xml:space="preserve"> </w:t>
      </w:r>
      <w:r w:rsidR="00E91446" w:rsidRPr="00AE141E">
        <w:rPr>
          <w:rFonts w:ascii="Times New Roman" w:hAnsi="Times New Roman" w:cs="Times New Roman"/>
          <w:sz w:val="24"/>
          <w:szCs w:val="24"/>
        </w:rPr>
        <w:t>was</w:t>
      </w:r>
      <w:r w:rsidR="00175F8A" w:rsidRPr="00AE141E">
        <w:rPr>
          <w:rFonts w:ascii="Times New Roman" w:hAnsi="Times New Roman" w:cs="Times New Roman"/>
          <w:sz w:val="24"/>
          <w:szCs w:val="24"/>
        </w:rPr>
        <w:t xml:space="preserve"> subsumed within </w:t>
      </w:r>
      <w:r w:rsidR="00A82313" w:rsidRPr="00AE141E">
        <w:rPr>
          <w:rFonts w:ascii="Times New Roman" w:hAnsi="Times New Roman" w:cs="Times New Roman"/>
          <w:sz w:val="24"/>
          <w:szCs w:val="24"/>
        </w:rPr>
        <w:t>a cosy –</w:t>
      </w:r>
      <w:r w:rsidR="00F1185F" w:rsidRPr="00AE141E">
        <w:rPr>
          <w:rFonts w:ascii="Times New Roman" w:hAnsi="Times New Roman" w:cs="Times New Roman"/>
          <w:sz w:val="24"/>
          <w:szCs w:val="24"/>
        </w:rPr>
        <w:t xml:space="preserve"> </w:t>
      </w:r>
      <w:r w:rsidR="00A82313" w:rsidRPr="00AE141E">
        <w:rPr>
          <w:rFonts w:ascii="Times New Roman" w:hAnsi="Times New Roman" w:cs="Times New Roman"/>
          <w:sz w:val="24"/>
          <w:szCs w:val="24"/>
        </w:rPr>
        <w:t xml:space="preserve">comfortingly domestic – narrative of </w:t>
      </w:r>
      <w:r w:rsidR="00707463" w:rsidRPr="00AE141E">
        <w:rPr>
          <w:rFonts w:ascii="Times New Roman" w:hAnsi="Times New Roman" w:cs="Times New Roman"/>
          <w:sz w:val="24"/>
          <w:szCs w:val="24"/>
        </w:rPr>
        <w:t xml:space="preserve">a common past. </w:t>
      </w:r>
      <w:r w:rsidR="00527565" w:rsidRPr="00AE141E">
        <w:rPr>
          <w:rFonts w:ascii="Times New Roman" w:hAnsi="Times New Roman" w:cs="Times New Roman"/>
          <w:sz w:val="24"/>
          <w:szCs w:val="24"/>
        </w:rPr>
        <w:t>This is a clear example of the</w:t>
      </w:r>
      <w:r w:rsidR="00477328" w:rsidRPr="00AE141E">
        <w:rPr>
          <w:rFonts w:ascii="Times New Roman" w:hAnsi="Times New Roman" w:cs="Times New Roman"/>
          <w:sz w:val="24"/>
          <w:szCs w:val="24"/>
        </w:rPr>
        <w:t xml:space="preserve"> ‘history of everyday </w:t>
      </w:r>
      <w:r w:rsidR="00DA3D14" w:rsidRPr="00AE141E">
        <w:rPr>
          <w:rFonts w:ascii="Times New Roman" w:hAnsi="Times New Roman" w:cs="Times New Roman"/>
          <w:sz w:val="24"/>
          <w:szCs w:val="24"/>
        </w:rPr>
        <w:t>life’s’ occlusion</w:t>
      </w:r>
      <w:r w:rsidR="00527565" w:rsidRPr="00AE141E">
        <w:rPr>
          <w:rFonts w:ascii="Times New Roman" w:hAnsi="Times New Roman" w:cs="Times New Roman"/>
          <w:sz w:val="24"/>
          <w:szCs w:val="24"/>
        </w:rPr>
        <w:t xml:space="preserve"> of</w:t>
      </w:r>
      <w:r w:rsidR="005061E9" w:rsidRPr="00AE141E">
        <w:rPr>
          <w:rFonts w:ascii="Times New Roman" w:hAnsi="Times New Roman" w:cs="Times New Roman"/>
          <w:sz w:val="24"/>
          <w:szCs w:val="24"/>
        </w:rPr>
        <w:t xml:space="preserve"> ‘issues of power’</w:t>
      </w:r>
      <w:r w:rsidR="00DA3D14" w:rsidRPr="00AE141E">
        <w:rPr>
          <w:rFonts w:ascii="Times New Roman" w:hAnsi="Times New Roman" w:cs="Times New Roman"/>
          <w:sz w:val="24"/>
          <w:szCs w:val="24"/>
        </w:rPr>
        <w:t>, as described by Carter.</w:t>
      </w:r>
      <w:r w:rsidR="00634BB6" w:rsidRPr="00AE141E">
        <w:rPr>
          <w:rStyle w:val="FootnoteReference"/>
          <w:rFonts w:ascii="Times New Roman" w:hAnsi="Times New Roman" w:cs="Times New Roman"/>
          <w:sz w:val="24"/>
          <w:szCs w:val="24"/>
        </w:rPr>
        <w:footnoteReference w:id="578"/>
      </w:r>
      <w:r w:rsidR="00A933C5" w:rsidRPr="00AE141E">
        <w:rPr>
          <w:rFonts w:ascii="Times New Roman" w:hAnsi="Times New Roman" w:cs="Times New Roman"/>
          <w:sz w:val="24"/>
          <w:szCs w:val="24"/>
        </w:rPr>
        <w:t xml:space="preserve"> </w:t>
      </w:r>
    </w:p>
    <w:p w14:paraId="42C3B20B" w14:textId="58B8D93B" w:rsidR="00C72E8C" w:rsidRPr="00AE141E" w:rsidRDefault="0057171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It does not seem to have occurred to teachers (or School Council observers) to interrogate </w:t>
      </w:r>
      <w:r w:rsidR="007C7276" w:rsidRPr="00AE141E">
        <w:rPr>
          <w:rFonts w:ascii="Times New Roman" w:hAnsi="Times New Roman" w:cs="Times New Roman"/>
          <w:sz w:val="24"/>
          <w:szCs w:val="24"/>
        </w:rPr>
        <w:t xml:space="preserve">the comparative reluctance of </w:t>
      </w:r>
      <w:r w:rsidR="00A933C5" w:rsidRPr="00AE141E">
        <w:rPr>
          <w:rFonts w:ascii="Times New Roman" w:hAnsi="Times New Roman" w:cs="Times New Roman"/>
          <w:sz w:val="24"/>
          <w:szCs w:val="24"/>
        </w:rPr>
        <w:t>Indian children</w:t>
      </w:r>
      <w:r w:rsidR="007C7276" w:rsidRPr="00AE141E">
        <w:rPr>
          <w:rFonts w:ascii="Times New Roman" w:hAnsi="Times New Roman" w:cs="Times New Roman"/>
          <w:sz w:val="24"/>
          <w:szCs w:val="24"/>
        </w:rPr>
        <w:t xml:space="preserve"> to contribute ‘offerings’ to </w:t>
      </w:r>
      <w:r w:rsidR="00F11752" w:rsidRPr="00AE141E">
        <w:rPr>
          <w:rFonts w:ascii="Times New Roman" w:hAnsi="Times New Roman" w:cs="Times New Roman"/>
          <w:sz w:val="24"/>
          <w:szCs w:val="24"/>
        </w:rPr>
        <w:t xml:space="preserve">the school display. </w:t>
      </w:r>
      <w:r w:rsidR="00F34C3E" w:rsidRPr="00AE141E">
        <w:rPr>
          <w:rFonts w:ascii="Times New Roman" w:hAnsi="Times New Roman" w:cs="Times New Roman"/>
          <w:sz w:val="24"/>
          <w:szCs w:val="24"/>
        </w:rPr>
        <w:t>These pupils’</w:t>
      </w:r>
      <w:r w:rsidR="00877390" w:rsidRPr="00AE141E">
        <w:rPr>
          <w:rFonts w:ascii="Times New Roman" w:hAnsi="Times New Roman" w:cs="Times New Roman"/>
          <w:sz w:val="24"/>
          <w:szCs w:val="24"/>
        </w:rPr>
        <w:t xml:space="preserve"> initial unwillingness</w:t>
      </w:r>
      <w:r w:rsidR="00F34C3E" w:rsidRPr="00AE141E">
        <w:rPr>
          <w:rFonts w:ascii="Times New Roman" w:hAnsi="Times New Roman" w:cs="Times New Roman"/>
          <w:sz w:val="24"/>
          <w:szCs w:val="24"/>
        </w:rPr>
        <w:t xml:space="preserve"> to particip</w:t>
      </w:r>
      <w:r w:rsidR="007441DF" w:rsidRPr="00AE141E">
        <w:rPr>
          <w:rFonts w:ascii="Times New Roman" w:hAnsi="Times New Roman" w:cs="Times New Roman"/>
          <w:sz w:val="24"/>
          <w:szCs w:val="24"/>
        </w:rPr>
        <w:t>ate was reported as an</w:t>
      </w:r>
      <w:r w:rsidR="00AE3ACA" w:rsidRPr="00AE141E">
        <w:rPr>
          <w:rFonts w:ascii="Times New Roman" w:hAnsi="Times New Roman" w:cs="Times New Roman"/>
          <w:sz w:val="24"/>
          <w:szCs w:val="24"/>
        </w:rPr>
        <w:t xml:space="preserve"> insignificant consequence of collective ‘diffidence’ which was quickly overcome.</w:t>
      </w:r>
      <w:r w:rsidR="00EF6741" w:rsidRPr="00AE141E">
        <w:rPr>
          <w:rStyle w:val="FootnoteReference"/>
          <w:rFonts w:ascii="Times New Roman" w:hAnsi="Times New Roman" w:cs="Times New Roman"/>
          <w:sz w:val="24"/>
          <w:szCs w:val="24"/>
        </w:rPr>
        <w:footnoteReference w:id="579"/>
      </w:r>
      <w:r w:rsidR="00AE3ACA" w:rsidRPr="00AE141E">
        <w:rPr>
          <w:rFonts w:ascii="Times New Roman" w:hAnsi="Times New Roman" w:cs="Times New Roman"/>
          <w:sz w:val="24"/>
          <w:szCs w:val="24"/>
        </w:rPr>
        <w:t xml:space="preserve"> </w:t>
      </w:r>
      <w:r w:rsidR="00824459" w:rsidRPr="00AE141E">
        <w:rPr>
          <w:rFonts w:ascii="Times New Roman" w:hAnsi="Times New Roman" w:cs="Times New Roman"/>
          <w:sz w:val="24"/>
          <w:szCs w:val="24"/>
        </w:rPr>
        <w:t xml:space="preserve">No mention was made of the structural </w:t>
      </w:r>
      <w:r w:rsidR="005E4F7B" w:rsidRPr="00AE141E">
        <w:rPr>
          <w:rFonts w:ascii="Times New Roman" w:hAnsi="Times New Roman" w:cs="Times New Roman"/>
          <w:sz w:val="24"/>
          <w:szCs w:val="24"/>
        </w:rPr>
        <w:t>reasons</w:t>
      </w:r>
      <w:r w:rsidR="003678BC" w:rsidRPr="00AE141E">
        <w:rPr>
          <w:rFonts w:ascii="Times New Roman" w:hAnsi="Times New Roman" w:cs="Times New Roman"/>
          <w:sz w:val="24"/>
          <w:szCs w:val="24"/>
        </w:rPr>
        <w:t xml:space="preserve"> </w:t>
      </w:r>
      <w:r w:rsidR="005E4F7B" w:rsidRPr="00AE141E">
        <w:rPr>
          <w:rFonts w:ascii="Times New Roman" w:hAnsi="Times New Roman" w:cs="Times New Roman"/>
          <w:sz w:val="24"/>
          <w:szCs w:val="24"/>
        </w:rPr>
        <w:t>for</w:t>
      </w:r>
      <w:r w:rsidR="004F2CFC" w:rsidRPr="00AE141E">
        <w:rPr>
          <w:rFonts w:ascii="Times New Roman" w:hAnsi="Times New Roman" w:cs="Times New Roman"/>
          <w:sz w:val="24"/>
          <w:szCs w:val="24"/>
        </w:rPr>
        <w:t xml:space="preserve"> which White students might feel more confident speaking of India than their Indian peers – nor of the empire</w:t>
      </w:r>
      <w:r w:rsidR="003678BC" w:rsidRPr="00AE141E">
        <w:rPr>
          <w:rFonts w:ascii="Times New Roman" w:hAnsi="Times New Roman" w:cs="Times New Roman"/>
          <w:sz w:val="24"/>
          <w:szCs w:val="24"/>
        </w:rPr>
        <w:t xml:space="preserve"> which lay at their heart, and which was supposedly the topic under examination</w:t>
      </w:r>
      <w:r w:rsidR="00426C47" w:rsidRPr="00AE141E">
        <w:rPr>
          <w:rFonts w:ascii="Times New Roman" w:hAnsi="Times New Roman" w:cs="Times New Roman"/>
          <w:sz w:val="24"/>
          <w:szCs w:val="24"/>
        </w:rPr>
        <w:t xml:space="preserve">. The project’s </w:t>
      </w:r>
      <w:r w:rsidR="005A7CAF" w:rsidRPr="00AE141E">
        <w:rPr>
          <w:rFonts w:ascii="Times New Roman" w:hAnsi="Times New Roman" w:cs="Times New Roman"/>
          <w:sz w:val="24"/>
          <w:szCs w:val="24"/>
        </w:rPr>
        <w:t>wilful</w:t>
      </w:r>
      <w:r w:rsidR="001C2761" w:rsidRPr="00AE141E">
        <w:rPr>
          <w:rFonts w:ascii="Times New Roman" w:hAnsi="Times New Roman" w:cs="Times New Roman"/>
          <w:sz w:val="24"/>
          <w:szCs w:val="24"/>
        </w:rPr>
        <w:t xml:space="preserve"> blindness to</w:t>
      </w:r>
      <w:r w:rsidR="00A40FB1" w:rsidRPr="00AE141E">
        <w:rPr>
          <w:rFonts w:ascii="Times New Roman" w:hAnsi="Times New Roman" w:cs="Times New Roman"/>
          <w:sz w:val="24"/>
          <w:szCs w:val="24"/>
        </w:rPr>
        <w:t xml:space="preserve"> of </w:t>
      </w:r>
      <w:r w:rsidR="00632B37" w:rsidRPr="00AE141E">
        <w:rPr>
          <w:rFonts w:ascii="Times New Roman" w:hAnsi="Times New Roman" w:cs="Times New Roman"/>
          <w:sz w:val="24"/>
          <w:szCs w:val="24"/>
        </w:rPr>
        <w:t xml:space="preserve">the history of racial oppression led </w:t>
      </w:r>
      <w:r w:rsidR="00BE6E5E" w:rsidRPr="00AE141E">
        <w:rPr>
          <w:rFonts w:ascii="Times New Roman" w:hAnsi="Times New Roman" w:cs="Times New Roman"/>
          <w:sz w:val="24"/>
          <w:szCs w:val="24"/>
        </w:rPr>
        <w:t>directly to its perpetuation</w:t>
      </w:r>
      <w:r w:rsidR="00304B27" w:rsidRPr="00AE141E">
        <w:rPr>
          <w:rFonts w:ascii="Times New Roman" w:hAnsi="Times New Roman" w:cs="Times New Roman"/>
          <w:sz w:val="24"/>
          <w:szCs w:val="24"/>
        </w:rPr>
        <w:t>.</w:t>
      </w:r>
      <w:r w:rsidR="005E4F7B" w:rsidRPr="00AE141E">
        <w:rPr>
          <w:rFonts w:ascii="Times New Roman" w:hAnsi="Times New Roman" w:cs="Times New Roman"/>
          <w:sz w:val="24"/>
          <w:szCs w:val="24"/>
        </w:rPr>
        <w:t xml:space="preserve"> Indian pupils </w:t>
      </w:r>
      <w:r w:rsidR="00010D01" w:rsidRPr="00AE141E">
        <w:rPr>
          <w:rFonts w:ascii="Times New Roman" w:hAnsi="Times New Roman" w:cs="Times New Roman"/>
          <w:sz w:val="24"/>
          <w:szCs w:val="24"/>
        </w:rPr>
        <w:t>were subsequently encouraged to contribute</w:t>
      </w:r>
      <w:r w:rsidR="002C6678" w:rsidRPr="00AE141E">
        <w:rPr>
          <w:rFonts w:ascii="Times New Roman" w:hAnsi="Times New Roman" w:cs="Times New Roman"/>
          <w:sz w:val="24"/>
          <w:szCs w:val="24"/>
        </w:rPr>
        <w:t xml:space="preserve"> ‘artefacts’ of their own (with some enthusiasm)</w:t>
      </w:r>
      <w:r w:rsidR="00304B27" w:rsidRPr="00AE141E">
        <w:rPr>
          <w:rFonts w:ascii="Times New Roman" w:hAnsi="Times New Roman" w:cs="Times New Roman"/>
          <w:sz w:val="24"/>
          <w:szCs w:val="24"/>
        </w:rPr>
        <w:t xml:space="preserve"> </w:t>
      </w:r>
      <w:r w:rsidR="00A933C5" w:rsidRPr="00AE141E">
        <w:rPr>
          <w:rFonts w:ascii="Times New Roman" w:hAnsi="Times New Roman" w:cs="Times New Roman"/>
          <w:sz w:val="24"/>
          <w:szCs w:val="24"/>
        </w:rPr>
        <w:t xml:space="preserve">and several Indian parents became </w:t>
      </w:r>
      <w:r w:rsidR="00010D01" w:rsidRPr="00AE141E">
        <w:rPr>
          <w:rFonts w:ascii="Times New Roman" w:hAnsi="Times New Roman" w:cs="Times New Roman"/>
          <w:sz w:val="24"/>
          <w:szCs w:val="24"/>
        </w:rPr>
        <w:t>‘</w:t>
      </w:r>
      <w:r w:rsidR="00A933C5" w:rsidRPr="00AE141E">
        <w:rPr>
          <w:rFonts w:ascii="Times New Roman" w:hAnsi="Times New Roman" w:cs="Times New Roman"/>
          <w:sz w:val="24"/>
          <w:szCs w:val="24"/>
        </w:rPr>
        <w:t>unofficial topic advisers</w:t>
      </w:r>
      <w:r w:rsidR="00010D01" w:rsidRPr="00AE141E">
        <w:rPr>
          <w:rFonts w:ascii="Times New Roman" w:hAnsi="Times New Roman" w:cs="Times New Roman"/>
          <w:sz w:val="24"/>
          <w:szCs w:val="24"/>
        </w:rPr>
        <w:t>’</w:t>
      </w:r>
      <w:r w:rsidR="00A933C5" w:rsidRPr="00AE141E">
        <w:rPr>
          <w:rFonts w:ascii="Times New Roman" w:hAnsi="Times New Roman" w:cs="Times New Roman"/>
          <w:sz w:val="24"/>
          <w:szCs w:val="24"/>
        </w:rPr>
        <w:t xml:space="preserve">. </w:t>
      </w:r>
      <w:r w:rsidR="00010D01" w:rsidRPr="00AE141E">
        <w:rPr>
          <w:rFonts w:ascii="Times New Roman" w:hAnsi="Times New Roman" w:cs="Times New Roman"/>
          <w:sz w:val="24"/>
          <w:szCs w:val="24"/>
        </w:rPr>
        <w:t xml:space="preserve">As we have seen, however, the </w:t>
      </w:r>
      <w:r w:rsidR="001F4BFD" w:rsidRPr="00AE141E">
        <w:rPr>
          <w:rFonts w:ascii="Times New Roman" w:hAnsi="Times New Roman" w:cs="Times New Roman"/>
          <w:sz w:val="24"/>
          <w:szCs w:val="24"/>
        </w:rPr>
        <w:t xml:space="preserve">participation of people of colour in ‘multicultural’ educational endeavours </w:t>
      </w:r>
      <w:r w:rsidR="00416119" w:rsidRPr="00AE141E">
        <w:rPr>
          <w:rFonts w:ascii="Times New Roman" w:hAnsi="Times New Roman" w:cs="Times New Roman"/>
          <w:sz w:val="24"/>
          <w:szCs w:val="24"/>
        </w:rPr>
        <w:t>was not a guarantee that their cultures would be represented in their</w:t>
      </w:r>
      <w:r w:rsidR="00F90BCA" w:rsidRPr="00AE141E">
        <w:rPr>
          <w:rFonts w:ascii="Times New Roman" w:hAnsi="Times New Roman" w:cs="Times New Roman"/>
          <w:sz w:val="24"/>
          <w:szCs w:val="24"/>
        </w:rPr>
        <w:t xml:space="preserve"> reality – as</w:t>
      </w:r>
      <w:r w:rsidR="005A7CAF" w:rsidRPr="00AE141E">
        <w:rPr>
          <w:rFonts w:ascii="Times New Roman" w:hAnsi="Times New Roman" w:cs="Times New Roman"/>
          <w:sz w:val="24"/>
          <w:szCs w:val="24"/>
        </w:rPr>
        <w:t xml:space="preserve"> infinitely complex,</w:t>
      </w:r>
      <w:r w:rsidR="00F90BCA" w:rsidRPr="00AE141E">
        <w:rPr>
          <w:rFonts w:ascii="Times New Roman" w:hAnsi="Times New Roman" w:cs="Times New Roman"/>
          <w:sz w:val="24"/>
          <w:szCs w:val="24"/>
        </w:rPr>
        <w:t xml:space="preserve"> living</w:t>
      </w:r>
      <w:r w:rsidR="005A7CAF" w:rsidRPr="00AE141E">
        <w:rPr>
          <w:rFonts w:ascii="Times New Roman" w:hAnsi="Times New Roman" w:cs="Times New Roman"/>
          <w:sz w:val="24"/>
          <w:szCs w:val="24"/>
        </w:rPr>
        <w:t xml:space="preserve"> entities.</w:t>
      </w:r>
      <w:r w:rsidR="009F7C35" w:rsidRPr="00AE141E">
        <w:rPr>
          <w:rFonts w:ascii="Times New Roman" w:hAnsi="Times New Roman" w:cs="Times New Roman"/>
          <w:sz w:val="24"/>
          <w:szCs w:val="24"/>
        </w:rPr>
        <w:t xml:space="preserve"> </w:t>
      </w:r>
    </w:p>
    <w:p w14:paraId="2AFA9B1C" w14:textId="0AD2B92C" w:rsidR="00317A5D" w:rsidRPr="00AE141E" w:rsidRDefault="00317A5D"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Anti-Racist Education</w:t>
      </w:r>
    </w:p>
    <w:p w14:paraId="2EBA0A8C" w14:textId="3E05DA0D" w:rsidR="008A2583" w:rsidRPr="00AE141E" w:rsidRDefault="0052465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w:t>
      </w:r>
      <w:r w:rsidR="00F9152E" w:rsidRPr="00AE141E">
        <w:rPr>
          <w:rFonts w:ascii="Times New Roman" w:hAnsi="Times New Roman" w:cs="Times New Roman"/>
          <w:sz w:val="24"/>
          <w:szCs w:val="24"/>
        </w:rPr>
        <w:t xml:space="preserve">ulticultural curricula </w:t>
      </w:r>
      <w:r w:rsidR="00960E7E" w:rsidRPr="00AE141E">
        <w:rPr>
          <w:rFonts w:ascii="Times New Roman" w:hAnsi="Times New Roman" w:cs="Times New Roman"/>
          <w:sz w:val="24"/>
          <w:szCs w:val="24"/>
        </w:rPr>
        <w:t>were able to interrogate racism</w:t>
      </w:r>
      <w:r w:rsidR="002A6F15" w:rsidRPr="00AE141E">
        <w:rPr>
          <w:rFonts w:ascii="Times New Roman" w:hAnsi="Times New Roman" w:cs="Times New Roman"/>
          <w:sz w:val="24"/>
          <w:szCs w:val="24"/>
        </w:rPr>
        <w:t xml:space="preserve">, but the multicultural approach did not </w:t>
      </w:r>
      <w:r w:rsidR="002A6F15" w:rsidRPr="00AE141E">
        <w:rPr>
          <w:rFonts w:ascii="Times New Roman" w:hAnsi="Times New Roman" w:cs="Times New Roman"/>
          <w:i/>
          <w:sz w:val="24"/>
          <w:szCs w:val="24"/>
        </w:rPr>
        <w:t>necessitate</w:t>
      </w:r>
      <w:r w:rsidR="002A6F15" w:rsidRPr="00AE141E">
        <w:rPr>
          <w:rFonts w:ascii="Times New Roman" w:hAnsi="Times New Roman" w:cs="Times New Roman"/>
          <w:sz w:val="24"/>
          <w:szCs w:val="24"/>
        </w:rPr>
        <w:t xml:space="preserve"> such engagement. </w:t>
      </w:r>
      <w:r w:rsidR="00910D50" w:rsidRPr="00AE141E">
        <w:rPr>
          <w:rFonts w:ascii="Times New Roman" w:hAnsi="Times New Roman" w:cs="Times New Roman"/>
          <w:sz w:val="24"/>
          <w:szCs w:val="24"/>
        </w:rPr>
        <w:t xml:space="preserve">Decoupled from </w:t>
      </w:r>
      <w:r w:rsidR="00BF4EB0" w:rsidRPr="00AE141E">
        <w:rPr>
          <w:rFonts w:ascii="Times New Roman" w:hAnsi="Times New Roman" w:cs="Times New Roman"/>
          <w:sz w:val="24"/>
          <w:szCs w:val="24"/>
        </w:rPr>
        <w:t>any form of social analysis, multiculturalism risked becoming an exercise in</w:t>
      </w:r>
      <w:r w:rsidR="0001263D" w:rsidRPr="00AE141E">
        <w:rPr>
          <w:rFonts w:ascii="Times New Roman" w:hAnsi="Times New Roman" w:cs="Times New Roman"/>
          <w:sz w:val="24"/>
          <w:szCs w:val="24"/>
        </w:rPr>
        <w:t xml:space="preserve"> the</w:t>
      </w:r>
      <w:r w:rsidR="00BF4EB0" w:rsidRPr="00AE141E">
        <w:rPr>
          <w:rFonts w:ascii="Times New Roman" w:hAnsi="Times New Roman" w:cs="Times New Roman"/>
          <w:sz w:val="24"/>
          <w:szCs w:val="24"/>
        </w:rPr>
        <w:t xml:space="preserve"> </w:t>
      </w:r>
      <w:r w:rsidR="0001263D" w:rsidRPr="00AE141E">
        <w:rPr>
          <w:rFonts w:ascii="Times New Roman" w:hAnsi="Times New Roman" w:cs="Times New Roman"/>
          <w:sz w:val="24"/>
          <w:szCs w:val="24"/>
        </w:rPr>
        <w:t>promotion of essentialised and depoliticised cultural identities, made palatable to White audiences. Barry Troyna referred to the ‘Three S’s approach’, in which singular cultural symbols (‘saris, samosas, and steelbands’) were marketed as metonyms for an exotic, abstracted identity</w:t>
      </w:r>
      <w:r w:rsidR="00287EB4" w:rsidRPr="00AE141E">
        <w:rPr>
          <w:rFonts w:ascii="Times New Roman" w:hAnsi="Times New Roman" w:cs="Times New Roman"/>
          <w:sz w:val="24"/>
          <w:szCs w:val="24"/>
        </w:rPr>
        <w:t>.</w:t>
      </w:r>
      <w:r w:rsidR="00287EB4" w:rsidRPr="00AE141E">
        <w:rPr>
          <w:rStyle w:val="FootnoteReference"/>
          <w:rFonts w:ascii="Times New Roman" w:hAnsi="Times New Roman" w:cs="Times New Roman"/>
          <w:sz w:val="24"/>
          <w:szCs w:val="24"/>
        </w:rPr>
        <w:footnoteReference w:id="580"/>
      </w:r>
      <w:r w:rsidR="00287EB4" w:rsidRPr="00AE141E">
        <w:rPr>
          <w:rFonts w:ascii="Times New Roman" w:hAnsi="Times New Roman" w:cs="Times New Roman"/>
          <w:sz w:val="24"/>
          <w:szCs w:val="24"/>
        </w:rPr>
        <w:t xml:space="preserve"> </w:t>
      </w:r>
      <w:r w:rsidR="001470FB" w:rsidRPr="00AE141E">
        <w:rPr>
          <w:rFonts w:ascii="Times New Roman" w:hAnsi="Times New Roman" w:cs="Times New Roman"/>
          <w:sz w:val="24"/>
          <w:szCs w:val="24"/>
        </w:rPr>
        <w:t xml:space="preserve">As the Institute of Race Relations argued in its </w:t>
      </w:r>
      <w:r w:rsidR="00316F49" w:rsidRPr="00AE141E">
        <w:rPr>
          <w:rFonts w:ascii="Times New Roman" w:hAnsi="Times New Roman" w:cs="Times New Roman"/>
          <w:sz w:val="24"/>
          <w:szCs w:val="24"/>
        </w:rPr>
        <w:t xml:space="preserve">evidence to the Rampton Committee, to learn about other cultures – </w:t>
      </w:r>
      <w:r w:rsidR="00A01E6F" w:rsidRPr="00AE141E">
        <w:rPr>
          <w:rFonts w:ascii="Times New Roman" w:hAnsi="Times New Roman" w:cs="Times New Roman"/>
          <w:sz w:val="24"/>
          <w:szCs w:val="24"/>
        </w:rPr>
        <w:t>often, of course,</w:t>
      </w:r>
      <w:r w:rsidR="00316F49" w:rsidRPr="00AE141E">
        <w:rPr>
          <w:rFonts w:ascii="Times New Roman" w:hAnsi="Times New Roman" w:cs="Times New Roman"/>
          <w:sz w:val="24"/>
          <w:szCs w:val="24"/>
        </w:rPr>
        <w:t xml:space="preserve"> the cultures of Others – did not require a critical awareness of one’s own. </w:t>
      </w:r>
      <w:r w:rsidR="00A80327" w:rsidRPr="00AE141E">
        <w:rPr>
          <w:rFonts w:ascii="Times New Roman" w:hAnsi="Times New Roman" w:cs="Times New Roman"/>
          <w:sz w:val="24"/>
          <w:szCs w:val="24"/>
        </w:rPr>
        <w:t xml:space="preserve">Thus, </w:t>
      </w:r>
      <w:r w:rsidR="00A80327" w:rsidRPr="00AE141E">
        <w:rPr>
          <w:rFonts w:ascii="Times New Roman" w:hAnsi="Times New Roman" w:cs="Times New Roman"/>
          <w:sz w:val="24"/>
          <w:szCs w:val="24"/>
        </w:rPr>
        <w:lastRenderedPageBreak/>
        <w:t xml:space="preserve">education risked becoming </w:t>
      </w:r>
      <w:r w:rsidR="00C71AED" w:rsidRPr="00AE141E">
        <w:rPr>
          <w:rFonts w:ascii="Times New Roman" w:hAnsi="Times New Roman" w:cs="Times New Roman"/>
          <w:sz w:val="24"/>
          <w:szCs w:val="24"/>
        </w:rPr>
        <w:t>‘</w:t>
      </w:r>
      <w:r w:rsidR="00241691" w:rsidRPr="00AE141E">
        <w:rPr>
          <w:rFonts w:ascii="Times New Roman" w:hAnsi="Times New Roman" w:cs="Times New Roman"/>
          <w:sz w:val="24"/>
          <w:szCs w:val="24"/>
        </w:rPr>
        <w:t xml:space="preserve">an adjustment processes </w:t>
      </w:r>
      <w:r w:rsidR="00B40E98" w:rsidRPr="00AE141E">
        <w:rPr>
          <w:rFonts w:ascii="Times New Roman" w:hAnsi="Times New Roman" w:cs="Times New Roman"/>
          <w:sz w:val="24"/>
          <w:szCs w:val="24"/>
        </w:rPr>
        <w:t xml:space="preserve">within a racialist society and not as a </w:t>
      </w:r>
      <w:r w:rsidR="008E1E98" w:rsidRPr="00AE141E">
        <w:rPr>
          <w:rFonts w:ascii="Times New Roman" w:hAnsi="Times New Roman" w:cs="Times New Roman"/>
          <w:sz w:val="24"/>
          <w:szCs w:val="24"/>
        </w:rPr>
        <w:t>force</w:t>
      </w:r>
      <w:r w:rsidR="00B40E98" w:rsidRPr="00AE141E">
        <w:rPr>
          <w:rFonts w:ascii="Times New Roman" w:hAnsi="Times New Roman" w:cs="Times New Roman"/>
          <w:sz w:val="24"/>
          <w:szCs w:val="24"/>
        </w:rPr>
        <w:t xml:space="preserve"> for changing the values that make our society racist’</w:t>
      </w:r>
      <w:r w:rsidR="00C71AED" w:rsidRPr="00AE141E">
        <w:rPr>
          <w:rFonts w:ascii="Times New Roman" w:hAnsi="Times New Roman" w:cs="Times New Roman"/>
          <w:sz w:val="24"/>
          <w:szCs w:val="24"/>
        </w:rPr>
        <w:t>.</w:t>
      </w:r>
      <w:r w:rsidR="00C71AED" w:rsidRPr="00AE141E">
        <w:rPr>
          <w:rStyle w:val="FootnoteReference"/>
          <w:rFonts w:ascii="Times New Roman" w:hAnsi="Times New Roman" w:cs="Times New Roman"/>
          <w:sz w:val="24"/>
          <w:szCs w:val="24"/>
        </w:rPr>
        <w:footnoteReference w:id="581"/>
      </w:r>
      <w:r w:rsidR="00D20ADB" w:rsidRPr="00AE141E">
        <w:rPr>
          <w:rFonts w:ascii="Times New Roman" w:hAnsi="Times New Roman" w:cs="Times New Roman"/>
          <w:sz w:val="24"/>
          <w:szCs w:val="24"/>
        </w:rPr>
        <w:t xml:space="preserve"> </w:t>
      </w:r>
    </w:p>
    <w:p w14:paraId="5740BEC7" w14:textId="77777777" w:rsidR="004B35F1" w:rsidRPr="00AE141E" w:rsidRDefault="00554E6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IRR</w:t>
      </w:r>
      <w:r w:rsidR="00253FDF" w:rsidRPr="00AE141E">
        <w:rPr>
          <w:rFonts w:ascii="Times New Roman" w:hAnsi="Times New Roman" w:cs="Times New Roman"/>
          <w:sz w:val="24"/>
          <w:szCs w:val="24"/>
        </w:rPr>
        <w:t xml:space="preserve"> spearheaded </w:t>
      </w:r>
      <w:r w:rsidRPr="00AE141E">
        <w:rPr>
          <w:rFonts w:ascii="Times New Roman" w:hAnsi="Times New Roman" w:cs="Times New Roman"/>
          <w:sz w:val="24"/>
          <w:szCs w:val="24"/>
        </w:rPr>
        <w:t>call</w:t>
      </w:r>
      <w:r w:rsidR="00253FDF" w:rsidRPr="00AE141E">
        <w:rPr>
          <w:rFonts w:ascii="Times New Roman" w:hAnsi="Times New Roman" w:cs="Times New Roman"/>
          <w:sz w:val="24"/>
          <w:szCs w:val="24"/>
        </w:rPr>
        <w:t>s</w:t>
      </w:r>
      <w:r w:rsidRPr="00AE141E">
        <w:rPr>
          <w:rFonts w:ascii="Times New Roman" w:hAnsi="Times New Roman" w:cs="Times New Roman"/>
          <w:sz w:val="24"/>
          <w:szCs w:val="24"/>
        </w:rPr>
        <w:t xml:space="preserve"> for an</w:t>
      </w:r>
      <w:r w:rsidR="00726462" w:rsidRPr="00AE141E">
        <w:rPr>
          <w:rFonts w:ascii="Times New Roman" w:hAnsi="Times New Roman" w:cs="Times New Roman"/>
          <w:sz w:val="24"/>
          <w:szCs w:val="24"/>
        </w:rPr>
        <w:t xml:space="preserve"> ‘anti-racist education’</w:t>
      </w:r>
      <w:r w:rsidR="008E2E7C" w:rsidRPr="00AE141E">
        <w:rPr>
          <w:rFonts w:ascii="Times New Roman" w:hAnsi="Times New Roman" w:cs="Times New Roman"/>
          <w:sz w:val="24"/>
          <w:szCs w:val="24"/>
        </w:rPr>
        <w:t xml:space="preserve"> </w:t>
      </w:r>
      <w:r w:rsidR="00253FDF" w:rsidRPr="00AE141E">
        <w:rPr>
          <w:rFonts w:ascii="Times New Roman" w:hAnsi="Times New Roman" w:cs="Times New Roman"/>
          <w:sz w:val="24"/>
          <w:szCs w:val="24"/>
        </w:rPr>
        <w:t xml:space="preserve">which would </w:t>
      </w:r>
      <w:r w:rsidR="00D6630C" w:rsidRPr="00AE141E">
        <w:rPr>
          <w:rFonts w:ascii="Times New Roman" w:hAnsi="Times New Roman" w:cs="Times New Roman"/>
          <w:sz w:val="24"/>
          <w:szCs w:val="24"/>
        </w:rPr>
        <w:t xml:space="preserve">foster </w:t>
      </w:r>
      <w:r w:rsidR="00161A2B" w:rsidRPr="00AE141E">
        <w:rPr>
          <w:rFonts w:ascii="Times New Roman" w:hAnsi="Times New Roman" w:cs="Times New Roman"/>
          <w:sz w:val="24"/>
          <w:szCs w:val="24"/>
        </w:rPr>
        <w:t xml:space="preserve">‘critical judgement’ of students’ (and teachers’) beliefs and </w:t>
      </w:r>
      <w:r w:rsidR="00EF70AC" w:rsidRPr="00AE141E">
        <w:rPr>
          <w:rFonts w:ascii="Times New Roman" w:hAnsi="Times New Roman" w:cs="Times New Roman"/>
          <w:sz w:val="24"/>
          <w:szCs w:val="24"/>
        </w:rPr>
        <w:t>their ‘interrelationship with the actual structure of society’</w:t>
      </w:r>
      <w:r w:rsidR="007C15AE" w:rsidRPr="00AE141E">
        <w:rPr>
          <w:rFonts w:ascii="Times New Roman" w:hAnsi="Times New Roman" w:cs="Times New Roman"/>
          <w:sz w:val="24"/>
          <w:szCs w:val="24"/>
        </w:rPr>
        <w:t>.</w:t>
      </w:r>
      <w:r w:rsidR="007C15AE" w:rsidRPr="00AE141E">
        <w:rPr>
          <w:rStyle w:val="FootnoteReference"/>
          <w:rFonts w:ascii="Times New Roman" w:hAnsi="Times New Roman" w:cs="Times New Roman"/>
          <w:sz w:val="24"/>
          <w:szCs w:val="24"/>
        </w:rPr>
        <w:footnoteReference w:id="582"/>
      </w:r>
      <w:r w:rsidR="00C0465B" w:rsidRPr="00AE141E">
        <w:rPr>
          <w:rFonts w:ascii="Times New Roman" w:hAnsi="Times New Roman" w:cs="Times New Roman"/>
          <w:sz w:val="24"/>
          <w:szCs w:val="24"/>
        </w:rPr>
        <w:t xml:space="preserve"> </w:t>
      </w:r>
      <w:r w:rsidR="00343731" w:rsidRPr="00AE141E">
        <w:rPr>
          <w:rFonts w:ascii="Times New Roman" w:hAnsi="Times New Roman" w:cs="Times New Roman"/>
          <w:sz w:val="24"/>
          <w:szCs w:val="24"/>
        </w:rPr>
        <w:t>A</w:t>
      </w:r>
      <w:r w:rsidR="005C4F07" w:rsidRPr="00AE141E">
        <w:rPr>
          <w:rFonts w:ascii="Times New Roman" w:hAnsi="Times New Roman" w:cs="Times New Roman"/>
          <w:sz w:val="24"/>
          <w:szCs w:val="24"/>
        </w:rPr>
        <w:t>s this implies, a</w:t>
      </w:r>
      <w:r w:rsidR="00343731" w:rsidRPr="00AE141E">
        <w:rPr>
          <w:rFonts w:ascii="Times New Roman" w:hAnsi="Times New Roman" w:cs="Times New Roman"/>
          <w:sz w:val="24"/>
          <w:szCs w:val="24"/>
        </w:rPr>
        <w:t>nti-racist and multicultural educ</w:t>
      </w:r>
      <w:r w:rsidR="000D474D" w:rsidRPr="00AE141E">
        <w:rPr>
          <w:rFonts w:ascii="Times New Roman" w:hAnsi="Times New Roman" w:cs="Times New Roman"/>
          <w:sz w:val="24"/>
          <w:szCs w:val="24"/>
        </w:rPr>
        <w:t xml:space="preserve">ators </w:t>
      </w:r>
      <w:r w:rsidR="006006A1" w:rsidRPr="00AE141E">
        <w:rPr>
          <w:rFonts w:ascii="Times New Roman" w:hAnsi="Times New Roman" w:cs="Times New Roman"/>
          <w:sz w:val="24"/>
          <w:szCs w:val="24"/>
        </w:rPr>
        <w:t>sometimes regarded themselves as</w:t>
      </w:r>
      <w:r w:rsidR="000D474D" w:rsidRPr="00AE141E">
        <w:rPr>
          <w:rFonts w:ascii="Times New Roman" w:hAnsi="Times New Roman" w:cs="Times New Roman"/>
          <w:sz w:val="24"/>
          <w:szCs w:val="24"/>
        </w:rPr>
        <w:t xml:space="preserve"> two mutually hostile camps</w:t>
      </w:r>
      <w:r w:rsidR="00C76C9B" w:rsidRPr="00AE141E">
        <w:rPr>
          <w:rFonts w:ascii="Times New Roman" w:hAnsi="Times New Roman" w:cs="Times New Roman"/>
          <w:sz w:val="24"/>
          <w:szCs w:val="24"/>
        </w:rPr>
        <w:t>.</w:t>
      </w:r>
      <w:r w:rsidR="006006A1" w:rsidRPr="00AE141E">
        <w:rPr>
          <w:rFonts w:ascii="Times New Roman" w:hAnsi="Times New Roman" w:cs="Times New Roman"/>
          <w:sz w:val="24"/>
          <w:szCs w:val="24"/>
        </w:rPr>
        <w:t xml:space="preserve"> </w:t>
      </w:r>
      <w:r w:rsidR="00584E54" w:rsidRPr="00AE141E">
        <w:rPr>
          <w:rFonts w:ascii="Times New Roman" w:hAnsi="Times New Roman" w:cs="Times New Roman"/>
          <w:sz w:val="24"/>
          <w:szCs w:val="24"/>
        </w:rPr>
        <w:t>Others, however, saw no</w:t>
      </w:r>
      <w:r w:rsidR="000E70FA" w:rsidRPr="00AE141E">
        <w:rPr>
          <w:rFonts w:ascii="Times New Roman" w:hAnsi="Times New Roman" w:cs="Times New Roman"/>
          <w:sz w:val="24"/>
          <w:szCs w:val="24"/>
        </w:rPr>
        <w:t xml:space="preserve"> inherent</w:t>
      </w:r>
      <w:r w:rsidR="00584E54" w:rsidRPr="00AE141E">
        <w:rPr>
          <w:rFonts w:ascii="Times New Roman" w:hAnsi="Times New Roman" w:cs="Times New Roman"/>
          <w:sz w:val="24"/>
          <w:szCs w:val="24"/>
        </w:rPr>
        <w:t xml:space="preserve"> contradiction </w:t>
      </w:r>
      <w:r w:rsidR="000E70FA" w:rsidRPr="00AE141E">
        <w:rPr>
          <w:rFonts w:ascii="Times New Roman" w:hAnsi="Times New Roman" w:cs="Times New Roman"/>
          <w:sz w:val="24"/>
          <w:szCs w:val="24"/>
        </w:rPr>
        <w:t>between anti-racist and multicultural work – a testament to the breadth</w:t>
      </w:r>
      <w:r w:rsidR="00800801" w:rsidRPr="00AE141E">
        <w:rPr>
          <w:rFonts w:ascii="Times New Roman" w:hAnsi="Times New Roman" w:cs="Times New Roman"/>
          <w:sz w:val="24"/>
          <w:szCs w:val="24"/>
        </w:rPr>
        <w:t xml:space="preserve">, </w:t>
      </w:r>
      <w:r w:rsidR="000E70FA" w:rsidRPr="00AE141E">
        <w:rPr>
          <w:rFonts w:ascii="Times New Roman" w:hAnsi="Times New Roman" w:cs="Times New Roman"/>
          <w:sz w:val="24"/>
          <w:szCs w:val="24"/>
        </w:rPr>
        <w:t>diversity</w:t>
      </w:r>
      <w:r w:rsidR="00800801" w:rsidRPr="00AE141E">
        <w:rPr>
          <w:rFonts w:ascii="Times New Roman" w:hAnsi="Times New Roman" w:cs="Times New Roman"/>
          <w:sz w:val="24"/>
          <w:szCs w:val="24"/>
        </w:rPr>
        <w:t xml:space="preserve">, and </w:t>
      </w:r>
      <w:r w:rsidR="00375CB9" w:rsidRPr="00AE141E">
        <w:rPr>
          <w:rFonts w:ascii="Times New Roman" w:hAnsi="Times New Roman" w:cs="Times New Roman"/>
          <w:sz w:val="24"/>
          <w:szCs w:val="24"/>
        </w:rPr>
        <w:t>lack of coherence</w:t>
      </w:r>
      <w:r w:rsidR="000E70FA" w:rsidRPr="00AE141E">
        <w:rPr>
          <w:rFonts w:ascii="Times New Roman" w:hAnsi="Times New Roman" w:cs="Times New Roman"/>
          <w:sz w:val="24"/>
          <w:szCs w:val="24"/>
        </w:rPr>
        <w:t xml:space="preserve"> of both movements</w:t>
      </w:r>
      <w:r w:rsidR="00992A93" w:rsidRPr="00AE141E">
        <w:rPr>
          <w:rFonts w:ascii="Times New Roman" w:hAnsi="Times New Roman" w:cs="Times New Roman"/>
          <w:sz w:val="24"/>
          <w:szCs w:val="24"/>
        </w:rPr>
        <w:t xml:space="preserve">. </w:t>
      </w:r>
      <w:r w:rsidR="00037155" w:rsidRPr="00AE141E">
        <w:rPr>
          <w:rFonts w:ascii="Times New Roman" w:hAnsi="Times New Roman" w:cs="Times New Roman"/>
          <w:sz w:val="24"/>
          <w:szCs w:val="24"/>
        </w:rPr>
        <w:t xml:space="preserve">File and Hinds </w:t>
      </w:r>
      <w:r w:rsidR="00285D55" w:rsidRPr="00AE141E">
        <w:rPr>
          <w:rFonts w:ascii="Times New Roman" w:hAnsi="Times New Roman" w:cs="Times New Roman"/>
          <w:sz w:val="24"/>
          <w:szCs w:val="24"/>
        </w:rPr>
        <w:t>of Tulse Hill</w:t>
      </w:r>
      <w:r w:rsidR="00353225" w:rsidRPr="00AE141E">
        <w:rPr>
          <w:rFonts w:ascii="Times New Roman" w:hAnsi="Times New Roman" w:cs="Times New Roman"/>
          <w:sz w:val="24"/>
          <w:szCs w:val="24"/>
        </w:rPr>
        <w:t>, for example,</w:t>
      </w:r>
      <w:r w:rsidR="00285D55" w:rsidRPr="00AE141E">
        <w:rPr>
          <w:rFonts w:ascii="Times New Roman" w:hAnsi="Times New Roman" w:cs="Times New Roman"/>
          <w:sz w:val="24"/>
          <w:szCs w:val="24"/>
        </w:rPr>
        <w:t xml:space="preserve"> were eager to emphasise that their vision of multiculturalism was </w:t>
      </w:r>
      <w:r w:rsidR="00285D55" w:rsidRPr="00AE141E">
        <w:rPr>
          <w:rFonts w:ascii="Times New Roman" w:hAnsi="Times New Roman" w:cs="Times New Roman"/>
          <w:i/>
          <w:sz w:val="24"/>
          <w:szCs w:val="24"/>
        </w:rPr>
        <w:t>not</w:t>
      </w:r>
      <w:r w:rsidR="00285D55" w:rsidRPr="00AE141E">
        <w:rPr>
          <w:rFonts w:ascii="Times New Roman" w:hAnsi="Times New Roman" w:cs="Times New Roman"/>
          <w:sz w:val="24"/>
          <w:szCs w:val="24"/>
        </w:rPr>
        <w:t xml:space="preserve"> ‘</w:t>
      </w:r>
      <w:r w:rsidR="001B0929" w:rsidRPr="00AE141E">
        <w:rPr>
          <w:rFonts w:ascii="Times New Roman" w:hAnsi="Times New Roman" w:cs="Times New Roman"/>
          <w:sz w:val="24"/>
          <w:szCs w:val="24"/>
        </w:rPr>
        <w:t>steel drums and saris</w:t>
      </w:r>
      <w:r w:rsidR="00285D55" w:rsidRPr="00AE141E">
        <w:rPr>
          <w:rFonts w:ascii="Times New Roman" w:hAnsi="Times New Roman" w:cs="Times New Roman"/>
          <w:sz w:val="24"/>
          <w:szCs w:val="24"/>
        </w:rPr>
        <w:t>’</w:t>
      </w:r>
      <w:r w:rsidR="00A937DD" w:rsidRPr="00AE141E">
        <w:rPr>
          <w:rFonts w:ascii="Times New Roman" w:hAnsi="Times New Roman" w:cs="Times New Roman"/>
          <w:sz w:val="24"/>
          <w:szCs w:val="24"/>
        </w:rPr>
        <w:t xml:space="preserve">; rather, the course’s focus on </w:t>
      </w:r>
      <w:r w:rsidR="00F01399" w:rsidRPr="00AE141E">
        <w:rPr>
          <w:rFonts w:ascii="Times New Roman" w:hAnsi="Times New Roman" w:cs="Times New Roman"/>
          <w:sz w:val="24"/>
          <w:szCs w:val="24"/>
        </w:rPr>
        <w:t xml:space="preserve">multicultural histories was laden with </w:t>
      </w:r>
      <w:r w:rsidR="00236462" w:rsidRPr="00AE141E">
        <w:rPr>
          <w:rFonts w:ascii="Times New Roman" w:hAnsi="Times New Roman" w:cs="Times New Roman"/>
          <w:sz w:val="24"/>
          <w:szCs w:val="24"/>
        </w:rPr>
        <w:t xml:space="preserve">the </w:t>
      </w:r>
      <w:r w:rsidR="00F01399" w:rsidRPr="00AE141E">
        <w:rPr>
          <w:rFonts w:ascii="Times New Roman" w:hAnsi="Times New Roman" w:cs="Times New Roman"/>
          <w:sz w:val="24"/>
          <w:szCs w:val="24"/>
        </w:rPr>
        <w:t>anti-racist potentiality</w:t>
      </w:r>
      <w:r w:rsidR="00236462" w:rsidRPr="00AE141E">
        <w:rPr>
          <w:rFonts w:ascii="Times New Roman" w:hAnsi="Times New Roman" w:cs="Times New Roman"/>
          <w:sz w:val="24"/>
          <w:szCs w:val="24"/>
        </w:rPr>
        <w:t xml:space="preserve"> of critiques of the imperial power structure</w:t>
      </w:r>
      <w:r w:rsidR="00F01399" w:rsidRPr="00AE141E">
        <w:rPr>
          <w:rFonts w:ascii="Times New Roman" w:hAnsi="Times New Roman" w:cs="Times New Roman"/>
          <w:sz w:val="24"/>
          <w:szCs w:val="24"/>
        </w:rPr>
        <w:t>.</w:t>
      </w:r>
      <w:r w:rsidR="00F01399" w:rsidRPr="00AE141E">
        <w:rPr>
          <w:rStyle w:val="FootnoteReference"/>
          <w:rFonts w:ascii="Times New Roman" w:hAnsi="Times New Roman" w:cs="Times New Roman"/>
          <w:sz w:val="24"/>
          <w:szCs w:val="24"/>
        </w:rPr>
        <w:footnoteReference w:id="583"/>
      </w:r>
      <w:r w:rsidR="006E50F2" w:rsidRPr="00AE141E">
        <w:rPr>
          <w:rFonts w:ascii="Times New Roman" w:hAnsi="Times New Roman" w:cs="Times New Roman"/>
          <w:sz w:val="24"/>
          <w:szCs w:val="24"/>
        </w:rPr>
        <w:t xml:space="preserve"> </w:t>
      </w:r>
    </w:p>
    <w:p w14:paraId="0B2ADFF1" w14:textId="3B30C590" w:rsidR="004B35F1" w:rsidRPr="00AE141E" w:rsidRDefault="0078718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Campaigns for </w:t>
      </w:r>
      <w:r w:rsidR="00F22CD2" w:rsidRPr="00AE141E">
        <w:rPr>
          <w:rFonts w:ascii="Times New Roman" w:hAnsi="Times New Roman" w:cs="Times New Roman"/>
          <w:sz w:val="24"/>
          <w:szCs w:val="24"/>
        </w:rPr>
        <w:t>anti-racist education</w:t>
      </w:r>
      <w:r w:rsidR="00DF57A8" w:rsidRPr="00AE141E">
        <w:rPr>
          <w:rFonts w:ascii="Times New Roman" w:hAnsi="Times New Roman" w:cs="Times New Roman"/>
          <w:sz w:val="24"/>
          <w:szCs w:val="24"/>
        </w:rPr>
        <w:t xml:space="preserve"> </w:t>
      </w:r>
      <w:r w:rsidR="00F22CD2" w:rsidRPr="00AE141E">
        <w:rPr>
          <w:rFonts w:ascii="Times New Roman" w:hAnsi="Times New Roman" w:cs="Times New Roman"/>
          <w:sz w:val="24"/>
          <w:szCs w:val="24"/>
        </w:rPr>
        <w:t>placed history at their very heart</w:t>
      </w:r>
      <w:r w:rsidR="00CA5FB3" w:rsidRPr="00AE141E">
        <w:rPr>
          <w:rFonts w:ascii="Times New Roman" w:hAnsi="Times New Roman" w:cs="Times New Roman"/>
          <w:sz w:val="24"/>
          <w:szCs w:val="24"/>
        </w:rPr>
        <w:t xml:space="preserve">. </w:t>
      </w:r>
      <w:r w:rsidR="00790BC7" w:rsidRPr="00AE141E">
        <w:rPr>
          <w:rFonts w:ascii="Times New Roman" w:hAnsi="Times New Roman" w:cs="Times New Roman"/>
          <w:sz w:val="24"/>
          <w:szCs w:val="24"/>
        </w:rPr>
        <w:t xml:space="preserve">All London Teachers Against Racism and Fascism (ALTARF) was a teacher-led group committed to opposing the presence of racist and fascist ideologies within </w:t>
      </w:r>
      <w:r w:rsidR="00EC767F" w:rsidRPr="00AE141E">
        <w:rPr>
          <w:rFonts w:ascii="Times New Roman" w:hAnsi="Times New Roman" w:cs="Times New Roman"/>
          <w:sz w:val="24"/>
          <w:szCs w:val="24"/>
        </w:rPr>
        <w:t>schools</w:t>
      </w:r>
      <w:r w:rsidR="00790BC7" w:rsidRPr="00AE141E">
        <w:rPr>
          <w:rFonts w:ascii="Times New Roman" w:hAnsi="Times New Roman" w:cs="Times New Roman"/>
          <w:sz w:val="24"/>
          <w:szCs w:val="24"/>
        </w:rPr>
        <w:t>.</w:t>
      </w:r>
      <w:r w:rsidR="00790BC7" w:rsidRPr="00AE141E">
        <w:rPr>
          <w:rStyle w:val="FootnoteReference"/>
          <w:rFonts w:ascii="Times New Roman" w:hAnsi="Times New Roman" w:cs="Times New Roman"/>
          <w:sz w:val="24"/>
          <w:szCs w:val="24"/>
        </w:rPr>
        <w:footnoteReference w:id="584"/>
      </w:r>
      <w:r w:rsidR="00790BC7" w:rsidRPr="00AE141E">
        <w:rPr>
          <w:rFonts w:ascii="Times New Roman" w:hAnsi="Times New Roman" w:cs="Times New Roman"/>
          <w:sz w:val="24"/>
          <w:szCs w:val="24"/>
        </w:rPr>
        <w:t xml:space="preserve"> Their curricular policies focused on </w:t>
      </w:r>
      <w:r w:rsidR="00E661AF">
        <w:rPr>
          <w:rFonts w:ascii="Times New Roman" w:hAnsi="Times New Roman" w:cs="Times New Roman"/>
          <w:sz w:val="24"/>
          <w:szCs w:val="24"/>
        </w:rPr>
        <w:t>h</w:t>
      </w:r>
      <w:r w:rsidR="00790BC7" w:rsidRPr="00AE141E">
        <w:rPr>
          <w:rFonts w:ascii="Times New Roman" w:hAnsi="Times New Roman" w:cs="Times New Roman"/>
          <w:sz w:val="24"/>
          <w:szCs w:val="24"/>
        </w:rPr>
        <w:t xml:space="preserve">istory and the </w:t>
      </w:r>
      <w:r w:rsidR="00E661AF">
        <w:rPr>
          <w:rFonts w:ascii="Times New Roman" w:hAnsi="Times New Roman" w:cs="Times New Roman"/>
          <w:sz w:val="24"/>
          <w:szCs w:val="24"/>
        </w:rPr>
        <w:t>s</w:t>
      </w:r>
      <w:r w:rsidR="00790BC7" w:rsidRPr="00AE141E">
        <w:rPr>
          <w:rFonts w:ascii="Times New Roman" w:hAnsi="Times New Roman" w:cs="Times New Roman"/>
          <w:sz w:val="24"/>
          <w:szCs w:val="24"/>
        </w:rPr>
        <w:t xml:space="preserve">ocial </w:t>
      </w:r>
      <w:r w:rsidR="00E661AF">
        <w:rPr>
          <w:rFonts w:ascii="Times New Roman" w:hAnsi="Times New Roman" w:cs="Times New Roman"/>
          <w:sz w:val="24"/>
          <w:szCs w:val="24"/>
        </w:rPr>
        <w:t>s</w:t>
      </w:r>
      <w:r w:rsidR="00790BC7" w:rsidRPr="00AE141E">
        <w:rPr>
          <w:rFonts w:ascii="Times New Roman" w:hAnsi="Times New Roman" w:cs="Times New Roman"/>
          <w:sz w:val="24"/>
          <w:szCs w:val="24"/>
        </w:rPr>
        <w:t>ciences, which ALTARF described as the ‘ideal’ subjects for anti-racist teaching. History in particular was considered to offer wide scope for exploring the ‘clear material reasons for the racism of present society’ – namely the ‘crucial issue’ of imperialism.</w:t>
      </w:r>
      <w:r w:rsidR="0092210F" w:rsidRPr="00AE141E">
        <w:rPr>
          <w:rFonts w:ascii="Times New Roman" w:hAnsi="Times New Roman" w:cs="Times New Roman"/>
          <w:sz w:val="24"/>
          <w:szCs w:val="24"/>
        </w:rPr>
        <w:t xml:space="preserve"> </w:t>
      </w:r>
    </w:p>
    <w:p w14:paraId="5B937008" w14:textId="1B5AF30C" w:rsidR="00495596" w:rsidRPr="00AE141E" w:rsidRDefault="0092210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Beginning in</w:t>
      </w:r>
      <w:r w:rsidR="00087E73" w:rsidRPr="00AE141E">
        <w:rPr>
          <w:rFonts w:ascii="Times New Roman" w:hAnsi="Times New Roman" w:cs="Times New Roman"/>
          <w:sz w:val="24"/>
          <w:szCs w:val="24"/>
        </w:rPr>
        <w:t xml:space="preserve"> 1982, </w:t>
      </w:r>
      <w:r w:rsidRPr="00AE141E">
        <w:rPr>
          <w:rFonts w:ascii="Times New Roman" w:hAnsi="Times New Roman" w:cs="Times New Roman"/>
          <w:sz w:val="24"/>
          <w:szCs w:val="24"/>
        </w:rPr>
        <w:t xml:space="preserve">the </w:t>
      </w:r>
      <w:r w:rsidR="00501754" w:rsidRPr="00AE141E">
        <w:rPr>
          <w:rFonts w:ascii="Times New Roman" w:hAnsi="Times New Roman" w:cs="Times New Roman"/>
          <w:sz w:val="24"/>
          <w:szCs w:val="24"/>
        </w:rPr>
        <w:t>IRR</w:t>
      </w:r>
      <w:r w:rsidR="00087E73" w:rsidRPr="00AE141E">
        <w:rPr>
          <w:rFonts w:ascii="Times New Roman" w:hAnsi="Times New Roman" w:cs="Times New Roman"/>
          <w:sz w:val="24"/>
          <w:szCs w:val="24"/>
        </w:rPr>
        <w:t xml:space="preserve"> published a series of </w:t>
      </w:r>
      <w:r w:rsidR="00AB151E" w:rsidRPr="00AE141E">
        <w:rPr>
          <w:rFonts w:ascii="Times New Roman" w:hAnsi="Times New Roman" w:cs="Times New Roman"/>
          <w:sz w:val="24"/>
          <w:szCs w:val="24"/>
        </w:rPr>
        <w:t>books which</w:t>
      </w:r>
      <w:r w:rsidR="00EE7270" w:rsidRPr="00AE141E">
        <w:rPr>
          <w:rFonts w:ascii="Times New Roman" w:hAnsi="Times New Roman" w:cs="Times New Roman"/>
          <w:sz w:val="24"/>
          <w:szCs w:val="24"/>
        </w:rPr>
        <w:t xml:space="preserve"> sought to teach the ‘history of black-white relations from the vantage point of the black experience’ (</w:t>
      </w:r>
      <w:r w:rsidR="00EF0641" w:rsidRPr="00AE141E">
        <w:rPr>
          <w:rFonts w:ascii="Times New Roman" w:hAnsi="Times New Roman" w:cs="Times New Roman"/>
          <w:sz w:val="24"/>
          <w:szCs w:val="24"/>
        </w:rPr>
        <w:t>‘</w:t>
      </w:r>
      <w:r w:rsidR="00A9737E" w:rsidRPr="00AE141E">
        <w:rPr>
          <w:rFonts w:ascii="Times New Roman" w:hAnsi="Times New Roman" w:cs="Times New Roman"/>
          <w:sz w:val="24"/>
          <w:szCs w:val="24"/>
        </w:rPr>
        <w:t>black</w:t>
      </w:r>
      <w:r w:rsidR="00EF0641" w:rsidRPr="00AE141E">
        <w:rPr>
          <w:rFonts w:ascii="Times New Roman" w:hAnsi="Times New Roman" w:cs="Times New Roman"/>
          <w:sz w:val="24"/>
          <w:szCs w:val="24"/>
        </w:rPr>
        <w:t>’</w:t>
      </w:r>
      <w:r w:rsidR="00A9737E" w:rsidRPr="00AE141E">
        <w:rPr>
          <w:rFonts w:ascii="Times New Roman" w:hAnsi="Times New Roman" w:cs="Times New Roman"/>
          <w:sz w:val="24"/>
          <w:szCs w:val="24"/>
        </w:rPr>
        <w:t xml:space="preserve"> being used here in its political sense).</w:t>
      </w:r>
      <w:r w:rsidR="00994BC4" w:rsidRPr="00AE141E">
        <w:rPr>
          <w:rStyle w:val="FootnoteReference"/>
          <w:rFonts w:ascii="Times New Roman" w:hAnsi="Times New Roman" w:cs="Times New Roman"/>
          <w:sz w:val="24"/>
          <w:szCs w:val="24"/>
        </w:rPr>
        <w:footnoteReference w:id="585"/>
      </w:r>
      <w:r w:rsidR="00495596" w:rsidRPr="00AE141E">
        <w:rPr>
          <w:rFonts w:ascii="Times New Roman" w:hAnsi="Times New Roman" w:cs="Times New Roman"/>
          <w:sz w:val="24"/>
          <w:szCs w:val="24"/>
        </w:rPr>
        <w:t xml:space="preserve"> Race was presented as a product of the coloniser’s need to justify the humiliation and exploitation of colonised peoples; thus historicised, the concept was </w:t>
      </w:r>
      <w:r w:rsidR="00495596" w:rsidRPr="00AE141E">
        <w:rPr>
          <w:rFonts w:ascii="Times New Roman" w:hAnsi="Times New Roman" w:cs="Times New Roman"/>
          <w:sz w:val="24"/>
          <w:szCs w:val="24"/>
        </w:rPr>
        <w:lastRenderedPageBreak/>
        <w:t>denaturalised and opened to critique. Contemporary economic divides – between White communities and people of colour in the metropole, and between Global North and Global South – were situated in the context of the imperial extraction of wealth. Young people were invited to adjust their assessment of the ‘Industrial Revolution’ – a canonical element of secondary school history teaching – in line with this information. Britain’s much-vaunted ‘industrial development’ was attributed to an ‘enormous injection of profit and wealth’ derived from the slave trade, rather than a national genius for invention.</w:t>
      </w:r>
      <w:r w:rsidR="00031792" w:rsidRPr="00AE141E">
        <w:rPr>
          <w:rStyle w:val="FootnoteReference"/>
          <w:rFonts w:ascii="Times New Roman" w:hAnsi="Times New Roman" w:cs="Times New Roman"/>
          <w:sz w:val="24"/>
          <w:szCs w:val="24"/>
        </w:rPr>
        <w:footnoteReference w:id="586"/>
      </w:r>
      <w:r w:rsidR="00495596" w:rsidRPr="00AE141E">
        <w:rPr>
          <w:rFonts w:ascii="Times New Roman" w:hAnsi="Times New Roman" w:cs="Times New Roman"/>
          <w:sz w:val="24"/>
          <w:szCs w:val="24"/>
        </w:rPr>
        <w:t xml:space="preserve"> In the IRR’s telling, empire moved to the centre of the national story. History was the tool used to expose the foundations of British life, in the hope that they would be contested by the rising generation. </w:t>
      </w:r>
    </w:p>
    <w:p w14:paraId="3EE213D7" w14:textId="751C309B" w:rsidR="00AE6351" w:rsidRPr="00AE141E" w:rsidRDefault="00F54A9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work of anti-racist campaigners bore fruit in</w:t>
      </w:r>
      <w:r w:rsidR="00994C30" w:rsidRPr="00AE141E">
        <w:rPr>
          <w:rFonts w:ascii="Times New Roman" w:hAnsi="Times New Roman" w:cs="Times New Roman"/>
          <w:sz w:val="24"/>
          <w:szCs w:val="24"/>
        </w:rPr>
        <w:t xml:space="preserve"> </w:t>
      </w:r>
      <w:r w:rsidR="00FE5300" w:rsidRPr="00AE141E">
        <w:rPr>
          <w:rFonts w:ascii="Times New Roman" w:hAnsi="Times New Roman" w:cs="Times New Roman"/>
          <w:sz w:val="24"/>
          <w:szCs w:val="24"/>
        </w:rPr>
        <w:t xml:space="preserve">changes to </w:t>
      </w:r>
      <w:r w:rsidR="00F44AD1" w:rsidRPr="00AE141E">
        <w:rPr>
          <w:rFonts w:ascii="Times New Roman" w:hAnsi="Times New Roman" w:cs="Times New Roman"/>
          <w:sz w:val="24"/>
          <w:szCs w:val="24"/>
        </w:rPr>
        <w:t>ILEA</w:t>
      </w:r>
      <w:r w:rsidRPr="00AE141E">
        <w:rPr>
          <w:rFonts w:ascii="Times New Roman" w:hAnsi="Times New Roman" w:cs="Times New Roman"/>
          <w:sz w:val="24"/>
          <w:szCs w:val="24"/>
        </w:rPr>
        <w:t xml:space="preserve"> policy</w:t>
      </w:r>
      <w:r w:rsidR="00CD0A0C" w:rsidRPr="00AE141E">
        <w:rPr>
          <w:rFonts w:ascii="Times New Roman" w:hAnsi="Times New Roman" w:cs="Times New Roman"/>
          <w:sz w:val="24"/>
          <w:szCs w:val="24"/>
        </w:rPr>
        <w:t xml:space="preserve">. </w:t>
      </w:r>
      <w:r w:rsidR="00907F8E" w:rsidRPr="00AE141E">
        <w:rPr>
          <w:rFonts w:ascii="Times New Roman" w:hAnsi="Times New Roman" w:cs="Times New Roman"/>
          <w:sz w:val="24"/>
          <w:szCs w:val="24"/>
        </w:rPr>
        <w:t xml:space="preserve">As the 1980s advanced, </w:t>
      </w:r>
      <w:r w:rsidR="00994C30" w:rsidRPr="00AE141E">
        <w:rPr>
          <w:rFonts w:ascii="Times New Roman" w:hAnsi="Times New Roman" w:cs="Times New Roman"/>
          <w:sz w:val="24"/>
          <w:szCs w:val="24"/>
        </w:rPr>
        <w:t>the authority</w:t>
      </w:r>
      <w:r w:rsidR="00462C6F" w:rsidRPr="00AE141E">
        <w:rPr>
          <w:rFonts w:ascii="Times New Roman" w:hAnsi="Times New Roman" w:cs="Times New Roman"/>
          <w:sz w:val="24"/>
          <w:szCs w:val="24"/>
        </w:rPr>
        <w:t xml:space="preserve"> began to incorporate the language of anti-racism into </w:t>
      </w:r>
      <w:r w:rsidR="00FE5300" w:rsidRPr="00AE141E">
        <w:rPr>
          <w:rFonts w:ascii="Times New Roman" w:hAnsi="Times New Roman" w:cs="Times New Roman"/>
          <w:sz w:val="24"/>
          <w:szCs w:val="24"/>
        </w:rPr>
        <w:t>official</w:t>
      </w:r>
      <w:r w:rsidR="00462C6F" w:rsidRPr="00AE141E">
        <w:rPr>
          <w:rFonts w:ascii="Times New Roman" w:hAnsi="Times New Roman" w:cs="Times New Roman"/>
          <w:sz w:val="24"/>
          <w:szCs w:val="24"/>
        </w:rPr>
        <w:t xml:space="preserve"> </w:t>
      </w:r>
      <w:r w:rsidR="00FE5300" w:rsidRPr="00AE141E">
        <w:rPr>
          <w:rFonts w:ascii="Times New Roman" w:hAnsi="Times New Roman" w:cs="Times New Roman"/>
          <w:sz w:val="24"/>
          <w:szCs w:val="24"/>
        </w:rPr>
        <w:t>publications</w:t>
      </w:r>
      <w:r w:rsidR="00462C6F" w:rsidRPr="00AE141E">
        <w:rPr>
          <w:rFonts w:ascii="Times New Roman" w:hAnsi="Times New Roman" w:cs="Times New Roman"/>
          <w:sz w:val="24"/>
          <w:szCs w:val="24"/>
        </w:rPr>
        <w:t xml:space="preserve">. </w:t>
      </w:r>
      <w:r w:rsidR="0085420C" w:rsidRPr="00AE141E">
        <w:rPr>
          <w:rFonts w:ascii="Times New Roman" w:hAnsi="Times New Roman" w:cs="Times New Roman"/>
          <w:sz w:val="24"/>
          <w:szCs w:val="24"/>
        </w:rPr>
        <w:t xml:space="preserve">The </w:t>
      </w:r>
      <w:r w:rsidR="00FE5300" w:rsidRPr="00AE141E">
        <w:rPr>
          <w:rFonts w:ascii="Times New Roman" w:hAnsi="Times New Roman" w:cs="Times New Roman"/>
          <w:sz w:val="24"/>
          <w:szCs w:val="24"/>
        </w:rPr>
        <w:t xml:space="preserve">ILEA’s </w:t>
      </w:r>
      <w:r w:rsidR="0085420C" w:rsidRPr="00AE141E">
        <w:rPr>
          <w:rFonts w:ascii="Times New Roman" w:hAnsi="Times New Roman" w:cs="Times New Roman"/>
          <w:i/>
          <w:sz w:val="24"/>
          <w:szCs w:val="24"/>
        </w:rPr>
        <w:t>Anti-Racist Statement and Guidelines</w:t>
      </w:r>
      <w:r w:rsidR="0085420C" w:rsidRPr="00AE141E">
        <w:rPr>
          <w:rFonts w:ascii="Times New Roman" w:hAnsi="Times New Roman" w:cs="Times New Roman"/>
          <w:sz w:val="24"/>
          <w:szCs w:val="24"/>
        </w:rPr>
        <w:t>, published in 1983</w:t>
      </w:r>
      <w:r w:rsidR="00AE6351" w:rsidRPr="00AE141E">
        <w:rPr>
          <w:rFonts w:ascii="Times New Roman" w:hAnsi="Times New Roman" w:cs="Times New Roman"/>
          <w:sz w:val="24"/>
          <w:szCs w:val="24"/>
        </w:rPr>
        <w:t>, noted that British racism could not be properly understood without reference to ‘historical factors’</w:t>
      </w:r>
      <w:r w:rsidR="00602489" w:rsidRPr="00AE141E">
        <w:rPr>
          <w:rFonts w:ascii="Times New Roman" w:hAnsi="Times New Roman" w:cs="Times New Roman"/>
          <w:sz w:val="24"/>
          <w:szCs w:val="24"/>
        </w:rPr>
        <w:t xml:space="preserve"> –</w:t>
      </w:r>
      <w:r w:rsidR="00AE6351" w:rsidRPr="00AE141E">
        <w:rPr>
          <w:rFonts w:ascii="Times New Roman" w:hAnsi="Times New Roman" w:cs="Times New Roman"/>
          <w:sz w:val="24"/>
          <w:szCs w:val="24"/>
        </w:rPr>
        <w:t xml:space="preserve"> including</w:t>
      </w:r>
      <w:r w:rsidR="00602489" w:rsidRPr="00AE141E">
        <w:rPr>
          <w:rFonts w:ascii="Times New Roman" w:hAnsi="Times New Roman" w:cs="Times New Roman"/>
          <w:sz w:val="24"/>
          <w:szCs w:val="24"/>
        </w:rPr>
        <w:t xml:space="preserve"> ‘</w:t>
      </w:r>
      <w:r w:rsidR="00AE6351" w:rsidRPr="00AE141E">
        <w:rPr>
          <w:rFonts w:ascii="Times New Roman" w:hAnsi="Times New Roman" w:cs="Times New Roman"/>
          <w:sz w:val="24"/>
          <w:szCs w:val="24"/>
        </w:rPr>
        <w:t>the special character of the colonial and neo-colonial relationship’ between Britain and much of the Global South.</w:t>
      </w:r>
      <w:r w:rsidR="003411CA" w:rsidRPr="00AE141E">
        <w:rPr>
          <w:rStyle w:val="FootnoteReference"/>
          <w:rFonts w:ascii="Times New Roman" w:hAnsi="Times New Roman" w:cs="Times New Roman"/>
          <w:sz w:val="24"/>
          <w:szCs w:val="24"/>
        </w:rPr>
        <w:footnoteReference w:id="587"/>
      </w:r>
      <w:r w:rsidR="00AE6351" w:rsidRPr="00AE141E">
        <w:rPr>
          <w:rFonts w:ascii="Times New Roman" w:hAnsi="Times New Roman" w:cs="Times New Roman"/>
          <w:sz w:val="24"/>
          <w:szCs w:val="24"/>
        </w:rPr>
        <w:t xml:space="preserve"> If the roots of racism – sunk deep into inherited political, economic, and social structures – were not recognised, they could not be destroyed. </w:t>
      </w:r>
      <w:r w:rsidR="00E54C89" w:rsidRPr="00AE141E">
        <w:rPr>
          <w:rFonts w:ascii="Times New Roman" w:hAnsi="Times New Roman" w:cs="Times New Roman"/>
          <w:sz w:val="24"/>
          <w:szCs w:val="24"/>
        </w:rPr>
        <w:t xml:space="preserve">Likewise, the ILEA’s </w:t>
      </w:r>
      <w:r w:rsidR="005765ED" w:rsidRPr="00AE141E">
        <w:rPr>
          <w:rFonts w:ascii="Times New Roman" w:hAnsi="Times New Roman" w:cs="Times New Roman"/>
          <w:sz w:val="24"/>
          <w:szCs w:val="24"/>
        </w:rPr>
        <w:t xml:space="preserve">guidance </w:t>
      </w:r>
      <w:r w:rsidR="00912641" w:rsidRPr="00AE141E">
        <w:rPr>
          <w:rFonts w:ascii="Times New Roman" w:hAnsi="Times New Roman" w:cs="Times New Roman"/>
          <w:sz w:val="24"/>
          <w:szCs w:val="24"/>
        </w:rPr>
        <w:t>encouraged teachers to understand immigration within ‘the wider framework of colonialism’.</w:t>
      </w:r>
      <w:r w:rsidR="00CA7928" w:rsidRPr="00AE141E">
        <w:rPr>
          <w:rStyle w:val="FootnoteReference"/>
          <w:rFonts w:ascii="Times New Roman" w:hAnsi="Times New Roman" w:cs="Times New Roman"/>
          <w:sz w:val="24"/>
          <w:szCs w:val="24"/>
        </w:rPr>
        <w:footnoteReference w:id="588"/>
      </w:r>
      <w:r w:rsidR="00912641" w:rsidRPr="00AE141E">
        <w:rPr>
          <w:rFonts w:ascii="Times New Roman" w:hAnsi="Times New Roman" w:cs="Times New Roman"/>
          <w:sz w:val="24"/>
          <w:szCs w:val="24"/>
        </w:rPr>
        <w:t xml:space="preserve"> </w:t>
      </w:r>
      <w:r w:rsidR="003922D4" w:rsidRPr="00AE141E">
        <w:rPr>
          <w:rFonts w:ascii="Times New Roman" w:hAnsi="Times New Roman" w:cs="Times New Roman"/>
          <w:sz w:val="24"/>
          <w:szCs w:val="24"/>
        </w:rPr>
        <w:t xml:space="preserve">The authority supplied a </w:t>
      </w:r>
      <w:r w:rsidR="00464F87" w:rsidRPr="00AE141E">
        <w:rPr>
          <w:rFonts w:ascii="Times New Roman" w:hAnsi="Times New Roman" w:cs="Times New Roman"/>
          <w:sz w:val="24"/>
          <w:szCs w:val="24"/>
        </w:rPr>
        <w:t>potted history of migration, stretching back to</w:t>
      </w:r>
      <w:r w:rsidR="00A70408">
        <w:rPr>
          <w:rFonts w:ascii="Times New Roman" w:hAnsi="Times New Roman" w:cs="Times New Roman"/>
          <w:sz w:val="24"/>
          <w:szCs w:val="24"/>
        </w:rPr>
        <w:t xml:space="preserve"> the</w:t>
      </w:r>
      <w:r w:rsidR="00464F87" w:rsidRPr="00AE141E">
        <w:rPr>
          <w:rFonts w:ascii="Times New Roman" w:hAnsi="Times New Roman" w:cs="Times New Roman"/>
          <w:sz w:val="24"/>
          <w:szCs w:val="24"/>
        </w:rPr>
        <w:t xml:space="preserve"> </w:t>
      </w:r>
      <w:r w:rsidR="00753F61" w:rsidRPr="00AE141E">
        <w:rPr>
          <w:rFonts w:ascii="Times New Roman" w:hAnsi="Times New Roman" w:cs="Times New Roman"/>
          <w:sz w:val="24"/>
          <w:szCs w:val="24"/>
        </w:rPr>
        <w:t>sixteenth century, which reinforced Sivanandan’s famous maxim</w:t>
      </w:r>
      <w:r w:rsidR="00EA0539" w:rsidRPr="00AE141E">
        <w:rPr>
          <w:rFonts w:ascii="Times New Roman" w:hAnsi="Times New Roman" w:cs="Times New Roman"/>
          <w:sz w:val="24"/>
          <w:szCs w:val="24"/>
        </w:rPr>
        <w:t xml:space="preserve">: ‘we are here because you were there’ (the IRR’s work was favourably quoted later in the document). </w:t>
      </w:r>
    </w:p>
    <w:p w14:paraId="790ED669" w14:textId="1B6E5AB7" w:rsidR="002E52B0" w:rsidRPr="00AE141E" w:rsidRDefault="008F4ABA" w:rsidP="00AE141E">
      <w:pPr>
        <w:spacing w:line="360" w:lineRule="auto"/>
        <w:rPr>
          <w:rStyle w:val="wixui-rich-texttext"/>
          <w:rFonts w:ascii="Times New Roman" w:hAnsi="Times New Roman" w:cs="Times New Roman"/>
          <w:color w:val="000000"/>
          <w:sz w:val="24"/>
          <w:szCs w:val="24"/>
          <w:bdr w:val="none" w:sz="0" w:space="0" w:color="auto" w:frame="1"/>
        </w:rPr>
      </w:pPr>
      <w:r w:rsidRPr="00AE141E">
        <w:rPr>
          <w:rFonts w:ascii="Times New Roman" w:hAnsi="Times New Roman" w:cs="Times New Roman"/>
          <w:sz w:val="24"/>
          <w:szCs w:val="24"/>
        </w:rPr>
        <w:t>There was</w:t>
      </w:r>
      <w:r w:rsidR="006E50F2" w:rsidRPr="00AE141E">
        <w:rPr>
          <w:rFonts w:ascii="Times New Roman" w:hAnsi="Times New Roman" w:cs="Times New Roman"/>
          <w:sz w:val="24"/>
          <w:szCs w:val="24"/>
        </w:rPr>
        <w:t xml:space="preserve"> a</w:t>
      </w:r>
      <w:r w:rsidR="00534B99" w:rsidRPr="00AE141E">
        <w:rPr>
          <w:rFonts w:ascii="Times New Roman" w:hAnsi="Times New Roman" w:cs="Times New Roman"/>
          <w:sz w:val="24"/>
          <w:szCs w:val="24"/>
        </w:rPr>
        <w:t xml:space="preserve"> clear </w:t>
      </w:r>
      <w:r w:rsidRPr="00AE141E">
        <w:rPr>
          <w:rFonts w:ascii="Times New Roman" w:hAnsi="Times New Roman" w:cs="Times New Roman"/>
          <w:sz w:val="24"/>
          <w:szCs w:val="24"/>
        </w:rPr>
        <w:t>demand for</w:t>
      </w:r>
      <w:r w:rsidR="004C79A0" w:rsidRPr="00AE141E">
        <w:rPr>
          <w:rFonts w:ascii="Times New Roman" w:hAnsi="Times New Roman" w:cs="Times New Roman"/>
          <w:sz w:val="24"/>
          <w:szCs w:val="24"/>
        </w:rPr>
        <w:t xml:space="preserve"> </w:t>
      </w:r>
      <w:r w:rsidR="007A2E0F" w:rsidRPr="00AE141E">
        <w:rPr>
          <w:rFonts w:ascii="Times New Roman" w:hAnsi="Times New Roman" w:cs="Times New Roman"/>
          <w:sz w:val="24"/>
          <w:szCs w:val="24"/>
        </w:rPr>
        <w:t>support with</w:t>
      </w:r>
      <w:r w:rsidR="00F8044A" w:rsidRPr="00AE141E">
        <w:rPr>
          <w:rFonts w:ascii="Times New Roman" w:hAnsi="Times New Roman" w:cs="Times New Roman"/>
          <w:sz w:val="24"/>
          <w:szCs w:val="24"/>
        </w:rPr>
        <w:t xml:space="preserve"> anti-racist work in the history classroom. </w:t>
      </w:r>
      <w:r w:rsidR="003736E1" w:rsidRPr="00AE141E">
        <w:rPr>
          <w:rFonts w:ascii="Times New Roman" w:hAnsi="Times New Roman" w:cs="Times New Roman"/>
          <w:sz w:val="24"/>
          <w:szCs w:val="24"/>
        </w:rPr>
        <w:t>The B</w:t>
      </w:r>
      <w:r w:rsidR="00B94F6E" w:rsidRPr="00AE141E">
        <w:rPr>
          <w:rFonts w:ascii="Times New Roman" w:hAnsi="Times New Roman" w:cs="Times New Roman"/>
          <w:sz w:val="24"/>
          <w:szCs w:val="24"/>
        </w:rPr>
        <w:t xml:space="preserve">ritish </w:t>
      </w:r>
      <w:r w:rsidR="003736E1" w:rsidRPr="00AE141E">
        <w:rPr>
          <w:rFonts w:ascii="Times New Roman" w:hAnsi="Times New Roman" w:cs="Times New Roman"/>
          <w:sz w:val="24"/>
          <w:szCs w:val="24"/>
        </w:rPr>
        <w:t>B</w:t>
      </w:r>
      <w:r w:rsidR="00B94F6E" w:rsidRPr="00AE141E">
        <w:rPr>
          <w:rFonts w:ascii="Times New Roman" w:hAnsi="Times New Roman" w:cs="Times New Roman"/>
          <w:sz w:val="24"/>
          <w:szCs w:val="24"/>
        </w:rPr>
        <w:t xml:space="preserve">roadcasting </w:t>
      </w:r>
      <w:r w:rsidR="003736E1" w:rsidRPr="00AE141E">
        <w:rPr>
          <w:rFonts w:ascii="Times New Roman" w:hAnsi="Times New Roman" w:cs="Times New Roman"/>
          <w:sz w:val="24"/>
          <w:szCs w:val="24"/>
        </w:rPr>
        <w:t>C</w:t>
      </w:r>
      <w:r w:rsidR="00B94F6E" w:rsidRPr="00AE141E">
        <w:rPr>
          <w:rFonts w:ascii="Times New Roman" w:hAnsi="Times New Roman" w:cs="Times New Roman"/>
          <w:sz w:val="24"/>
          <w:szCs w:val="24"/>
        </w:rPr>
        <w:t>orporation (BBC)</w:t>
      </w:r>
      <w:r w:rsidR="003736E1" w:rsidRPr="00AE141E">
        <w:rPr>
          <w:rFonts w:ascii="Times New Roman" w:hAnsi="Times New Roman" w:cs="Times New Roman"/>
          <w:sz w:val="24"/>
          <w:szCs w:val="24"/>
        </w:rPr>
        <w:t xml:space="preserve"> reported that the IRR’s</w:t>
      </w:r>
      <w:r w:rsidR="006964AE" w:rsidRPr="00AE141E">
        <w:rPr>
          <w:rFonts w:ascii="Times New Roman" w:hAnsi="Times New Roman" w:cs="Times New Roman"/>
          <w:sz w:val="24"/>
          <w:szCs w:val="24"/>
        </w:rPr>
        <w:t xml:space="preserve"> book series was popular </w:t>
      </w:r>
      <w:r w:rsidR="005A470F" w:rsidRPr="00AE141E">
        <w:rPr>
          <w:rFonts w:ascii="Times New Roman" w:hAnsi="Times New Roman" w:cs="Times New Roman"/>
          <w:sz w:val="24"/>
          <w:szCs w:val="24"/>
        </w:rPr>
        <w:t>and widely distributed</w:t>
      </w:r>
      <w:r w:rsidR="0022181A" w:rsidRPr="00AE141E">
        <w:rPr>
          <w:rFonts w:ascii="Times New Roman" w:hAnsi="Times New Roman" w:cs="Times New Roman"/>
          <w:sz w:val="24"/>
          <w:szCs w:val="24"/>
        </w:rPr>
        <w:t>.</w:t>
      </w:r>
      <w:r w:rsidR="00DB5B72" w:rsidRPr="00AE141E">
        <w:rPr>
          <w:rStyle w:val="FootnoteReference"/>
          <w:rFonts w:ascii="Times New Roman" w:hAnsi="Times New Roman" w:cs="Times New Roman"/>
          <w:sz w:val="24"/>
          <w:szCs w:val="24"/>
        </w:rPr>
        <w:footnoteReference w:id="589"/>
      </w:r>
      <w:r w:rsidR="0022181A" w:rsidRPr="00AE141E">
        <w:rPr>
          <w:rFonts w:ascii="Times New Roman" w:hAnsi="Times New Roman" w:cs="Times New Roman"/>
          <w:sz w:val="24"/>
          <w:szCs w:val="24"/>
        </w:rPr>
        <w:t xml:space="preserve"> </w:t>
      </w:r>
      <w:r w:rsidR="008E3087" w:rsidRPr="00AE141E">
        <w:rPr>
          <w:rFonts w:ascii="Times New Roman" w:hAnsi="Times New Roman" w:cs="Times New Roman"/>
          <w:sz w:val="24"/>
          <w:szCs w:val="24"/>
        </w:rPr>
        <w:t xml:space="preserve">So, too, was a set of twelve posters – titled </w:t>
      </w:r>
      <w:r w:rsidR="008E3087" w:rsidRPr="00AE141E">
        <w:rPr>
          <w:rFonts w:ascii="Times New Roman" w:hAnsi="Times New Roman" w:cs="Times New Roman"/>
          <w:i/>
          <w:sz w:val="24"/>
          <w:szCs w:val="24"/>
        </w:rPr>
        <w:t xml:space="preserve">Whose World is the World </w:t>
      </w:r>
      <w:r w:rsidR="008E3087" w:rsidRPr="00AE141E">
        <w:rPr>
          <w:rFonts w:ascii="Times New Roman" w:hAnsi="Times New Roman" w:cs="Times New Roman"/>
          <w:sz w:val="24"/>
          <w:szCs w:val="24"/>
        </w:rPr>
        <w:t xml:space="preserve">– which were produced by </w:t>
      </w:r>
      <w:r w:rsidR="00B325D2" w:rsidRPr="00AE141E">
        <w:rPr>
          <w:rFonts w:ascii="Times New Roman" w:hAnsi="Times New Roman" w:cs="Times New Roman"/>
          <w:sz w:val="24"/>
          <w:szCs w:val="24"/>
        </w:rPr>
        <w:t>London’s</w:t>
      </w:r>
      <w:r w:rsidR="008E3087" w:rsidRPr="00AE141E">
        <w:rPr>
          <w:rFonts w:ascii="Times New Roman" w:hAnsi="Times New Roman" w:cs="Times New Roman"/>
          <w:sz w:val="24"/>
          <w:szCs w:val="24"/>
        </w:rPr>
        <w:t xml:space="preserve"> </w:t>
      </w:r>
      <w:r w:rsidR="00B325D2" w:rsidRPr="00AE141E">
        <w:rPr>
          <w:rFonts w:ascii="Times New Roman" w:hAnsi="Times New Roman" w:cs="Times New Roman"/>
          <w:sz w:val="24"/>
          <w:szCs w:val="24"/>
        </w:rPr>
        <w:t>radical, anti-colonialist Poster Film Collective</w:t>
      </w:r>
      <w:r w:rsidR="005B537B" w:rsidRPr="00AE141E">
        <w:rPr>
          <w:rFonts w:ascii="Times New Roman" w:hAnsi="Times New Roman" w:cs="Times New Roman"/>
          <w:sz w:val="24"/>
          <w:szCs w:val="24"/>
        </w:rPr>
        <w:t xml:space="preserve"> in 1979</w:t>
      </w:r>
      <w:r w:rsidR="00B325D2" w:rsidRPr="00AE141E">
        <w:rPr>
          <w:rFonts w:ascii="Times New Roman" w:hAnsi="Times New Roman" w:cs="Times New Roman"/>
          <w:sz w:val="24"/>
          <w:szCs w:val="24"/>
        </w:rPr>
        <w:t xml:space="preserve">. The collective set out to </w:t>
      </w:r>
      <w:r w:rsidR="00661956" w:rsidRPr="00AE141E">
        <w:rPr>
          <w:rFonts w:ascii="Times New Roman" w:hAnsi="Times New Roman" w:cs="Times New Roman"/>
          <w:sz w:val="24"/>
          <w:szCs w:val="24"/>
        </w:rPr>
        <w:t xml:space="preserve">challenge </w:t>
      </w:r>
      <w:r w:rsidR="00F06D5D" w:rsidRPr="00AE141E">
        <w:rPr>
          <w:rFonts w:ascii="Times New Roman" w:hAnsi="Times New Roman" w:cs="Times New Roman"/>
          <w:color w:val="181717"/>
          <w:sz w:val="24"/>
          <w:szCs w:val="24"/>
        </w:rPr>
        <w:t xml:space="preserve">dominant </w:t>
      </w:r>
      <w:r w:rsidR="009533CD" w:rsidRPr="00AE141E">
        <w:rPr>
          <w:rFonts w:ascii="Times New Roman" w:hAnsi="Times New Roman" w:cs="Times New Roman"/>
          <w:color w:val="181717"/>
          <w:sz w:val="24"/>
          <w:szCs w:val="24"/>
        </w:rPr>
        <w:t>understandings</w:t>
      </w:r>
      <w:r w:rsidR="00F06D5D" w:rsidRPr="00AE141E">
        <w:rPr>
          <w:rFonts w:ascii="Times New Roman" w:hAnsi="Times New Roman" w:cs="Times New Roman"/>
          <w:color w:val="181717"/>
          <w:sz w:val="24"/>
          <w:szCs w:val="24"/>
        </w:rPr>
        <w:t xml:space="preserve"> of history</w:t>
      </w:r>
      <w:r w:rsidR="00CA661C" w:rsidRPr="00AE141E">
        <w:rPr>
          <w:rFonts w:ascii="Times New Roman" w:hAnsi="Times New Roman" w:cs="Times New Roman"/>
          <w:color w:val="181717"/>
          <w:sz w:val="24"/>
          <w:szCs w:val="24"/>
        </w:rPr>
        <w:t xml:space="preserve"> </w:t>
      </w:r>
      <w:r w:rsidR="005B537B" w:rsidRPr="00AE141E">
        <w:rPr>
          <w:rFonts w:ascii="Times New Roman" w:hAnsi="Times New Roman" w:cs="Times New Roman"/>
          <w:color w:val="181717"/>
          <w:sz w:val="24"/>
          <w:szCs w:val="24"/>
        </w:rPr>
        <w:t xml:space="preserve">by </w:t>
      </w:r>
      <w:r w:rsidR="00987588" w:rsidRPr="00AE141E">
        <w:rPr>
          <w:rFonts w:ascii="Times New Roman" w:hAnsi="Times New Roman" w:cs="Times New Roman"/>
          <w:color w:val="181717"/>
          <w:sz w:val="24"/>
          <w:szCs w:val="24"/>
        </w:rPr>
        <w:t xml:space="preserve">positing the </w:t>
      </w:r>
      <w:r w:rsidR="00987588" w:rsidRPr="00AE141E">
        <w:rPr>
          <w:rFonts w:ascii="Times New Roman" w:hAnsi="Times New Roman" w:cs="Times New Roman"/>
          <w:color w:val="181717"/>
          <w:sz w:val="24"/>
          <w:szCs w:val="24"/>
        </w:rPr>
        <w:lastRenderedPageBreak/>
        <w:t>colonial extraction of wealth as ‘</w:t>
      </w:r>
      <w:r w:rsidR="00043121" w:rsidRPr="00AE141E">
        <w:rPr>
          <w:rStyle w:val="wixui-rich-texttext"/>
          <w:rFonts w:ascii="Times New Roman" w:hAnsi="Times New Roman" w:cs="Times New Roman"/>
          <w:color w:val="000000"/>
          <w:sz w:val="24"/>
          <w:szCs w:val="24"/>
          <w:bdr w:val="none" w:sz="0" w:space="0" w:color="auto" w:frame="1"/>
        </w:rPr>
        <w:t>the basis for the development of Western economic power over the last 400 years</w:t>
      </w:r>
      <w:r w:rsidR="00987588" w:rsidRPr="00AE141E">
        <w:rPr>
          <w:rStyle w:val="wixui-rich-texttext"/>
          <w:rFonts w:ascii="Times New Roman" w:hAnsi="Times New Roman" w:cs="Times New Roman"/>
          <w:color w:val="000000"/>
          <w:sz w:val="24"/>
          <w:szCs w:val="24"/>
          <w:bdr w:val="none" w:sz="0" w:space="0" w:color="auto" w:frame="1"/>
        </w:rPr>
        <w:t>’</w:t>
      </w:r>
      <w:r w:rsidR="00043121" w:rsidRPr="00AE141E">
        <w:rPr>
          <w:rStyle w:val="wixui-rich-texttext"/>
          <w:rFonts w:ascii="Times New Roman" w:hAnsi="Times New Roman" w:cs="Times New Roman"/>
          <w:color w:val="000000"/>
          <w:sz w:val="24"/>
          <w:szCs w:val="24"/>
          <w:bdr w:val="none" w:sz="0" w:space="0" w:color="auto" w:frame="1"/>
        </w:rPr>
        <w:t>.</w:t>
      </w:r>
      <w:r w:rsidR="009A49C9" w:rsidRPr="00AE141E">
        <w:rPr>
          <w:rStyle w:val="FootnoteReference"/>
          <w:rFonts w:ascii="Times New Roman" w:hAnsi="Times New Roman" w:cs="Times New Roman"/>
          <w:color w:val="000000"/>
          <w:sz w:val="24"/>
          <w:szCs w:val="24"/>
          <w:bdr w:val="none" w:sz="0" w:space="0" w:color="auto" w:frame="1"/>
        </w:rPr>
        <w:footnoteReference w:id="590"/>
      </w:r>
      <w:r w:rsidR="002D4793" w:rsidRPr="00AE141E">
        <w:rPr>
          <w:rStyle w:val="wixui-rich-texttext"/>
          <w:rFonts w:ascii="Times New Roman" w:hAnsi="Times New Roman" w:cs="Times New Roman"/>
          <w:color w:val="000000"/>
          <w:sz w:val="24"/>
          <w:szCs w:val="24"/>
          <w:bdr w:val="none" w:sz="0" w:space="0" w:color="auto" w:frame="1"/>
        </w:rPr>
        <w:t xml:space="preserve"> </w:t>
      </w:r>
    </w:p>
    <w:p w14:paraId="30FC90AB" w14:textId="0198E9FE" w:rsidR="00043121" w:rsidRPr="00AE141E" w:rsidRDefault="008B1E83" w:rsidP="00AE141E">
      <w:pPr>
        <w:spacing w:line="360" w:lineRule="auto"/>
        <w:rPr>
          <w:rFonts w:ascii="Times New Roman" w:hAnsi="Times New Roman" w:cs="Times New Roman"/>
          <w:sz w:val="24"/>
          <w:szCs w:val="24"/>
        </w:rPr>
      </w:pPr>
      <w:r w:rsidRPr="00AE141E">
        <w:rPr>
          <w:rStyle w:val="wixui-rich-texttext"/>
          <w:rFonts w:ascii="Times New Roman" w:hAnsi="Times New Roman" w:cs="Times New Roman"/>
          <w:color w:val="000000"/>
          <w:sz w:val="24"/>
          <w:szCs w:val="24"/>
          <w:bdr w:val="none" w:sz="0" w:space="0" w:color="auto" w:frame="1"/>
        </w:rPr>
        <w:t xml:space="preserve">The </w:t>
      </w:r>
      <w:r w:rsidR="002E52B0" w:rsidRPr="00AE141E">
        <w:rPr>
          <w:rStyle w:val="wixui-rich-texttext"/>
          <w:rFonts w:ascii="Times New Roman" w:hAnsi="Times New Roman" w:cs="Times New Roman"/>
          <w:color w:val="000000"/>
          <w:sz w:val="24"/>
          <w:szCs w:val="24"/>
          <w:bdr w:val="none" w:sz="0" w:space="0" w:color="auto" w:frame="1"/>
        </w:rPr>
        <w:t xml:space="preserve">popular </w:t>
      </w:r>
      <w:r w:rsidR="00F14192" w:rsidRPr="00AE141E">
        <w:rPr>
          <w:rStyle w:val="wixui-rich-texttext"/>
          <w:rFonts w:ascii="Times New Roman" w:hAnsi="Times New Roman" w:cs="Times New Roman"/>
          <w:color w:val="000000"/>
          <w:sz w:val="24"/>
          <w:szCs w:val="24"/>
          <w:bdr w:val="none" w:sz="0" w:space="0" w:color="auto" w:frame="1"/>
        </w:rPr>
        <w:t xml:space="preserve">appetite for </w:t>
      </w:r>
      <w:r w:rsidR="00F76567" w:rsidRPr="00AE141E">
        <w:rPr>
          <w:rStyle w:val="wixui-rich-texttext"/>
          <w:rFonts w:ascii="Times New Roman" w:hAnsi="Times New Roman" w:cs="Times New Roman"/>
          <w:color w:val="000000"/>
          <w:sz w:val="24"/>
          <w:szCs w:val="24"/>
          <w:bdr w:val="none" w:sz="0" w:space="0" w:color="auto" w:frame="1"/>
        </w:rPr>
        <w:t>anti-racist teaching aid</w:t>
      </w:r>
      <w:r w:rsidR="00534B99" w:rsidRPr="00AE141E">
        <w:rPr>
          <w:rStyle w:val="wixui-rich-texttext"/>
          <w:rFonts w:ascii="Times New Roman" w:hAnsi="Times New Roman" w:cs="Times New Roman"/>
          <w:color w:val="000000"/>
          <w:sz w:val="24"/>
          <w:szCs w:val="24"/>
          <w:bdr w:val="none" w:sz="0" w:space="0" w:color="auto" w:frame="1"/>
        </w:rPr>
        <w:t xml:space="preserve">s was </w:t>
      </w:r>
      <w:r w:rsidR="00D850CC" w:rsidRPr="00AE141E">
        <w:rPr>
          <w:rStyle w:val="wixui-rich-texttext"/>
          <w:rFonts w:ascii="Times New Roman" w:hAnsi="Times New Roman" w:cs="Times New Roman"/>
          <w:color w:val="000000"/>
          <w:sz w:val="24"/>
          <w:szCs w:val="24"/>
          <w:bdr w:val="none" w:sz="0" w:space="0" w:color="auto" w:frame="1"/>
        </w:rPr>
        <w:t>encapsulated by the work of a</w:t>
      </w:r>
      <w:r w:rsidR="003D08F8" w:rsidRPr="00AE141E">
        <w:rPr>
          <w:rStyle w:val="wixui-rich-texttext"/>
          <w:rFonts w:ascii="Times New Roman" w:hAnsi="Times New Roman" w:cs="Times New Roman"/>
          <w:color w:val="000000"/>
          <w:sz w:val="24"/>
          <w:szCs w:val="24"/>
          <w:bdr w:val="none" w:sz="0" w:space="0" w:color="auto" w:frame="1"/>
        </w:rPr>
        <w:t xml:space="preserve"> group of practising teachers seconded to the ILEA’s ‘Anti-Racist Strategies Team’</w:t>
      </w:r>
      <w:r w:rsidR="00D850CC" w:rsidRPr="00AE141E">
        <w:rPr>
          <w:rStyle w:val="wixui-rich-texttext"/>
          <w:rFonts w:ascii="Times New Roman" w:hAnsi="Times New Roman" w:cs="Times New Roman"/>
          <w:color w:val="000000"/>
          <w:sz w:val="24"/>
          <w:szCs w:val="24"/>
          <w:bdr w:val="none" w:sz="0" w:space="0" w:color="auto" w:frame="1"/>
        </w:rPr>
        <w:t xml:space="preserve">. </w:t>
      </w:r>
      <w:r w:rsidR="008E6BB4" w:rsidRPr="00AE141E">
        <w:rPr>
          <w:rStyle w:val="wixui-rich-texttext"/>
          <w:rFonts w:ascii="Times New Roman" w:hAnsi="Times New Roman" w:cs="Times New Roman"/>
          <w:color w:val="000000"/>
          <w:sz w:val="24"/>
          <w:szCs w:val="24"/>
          <w:bdr w:val="none" w:sz="0" w:space="0" w:color="auto" w:frame="1"/>
        </w:rPr>
        <w:t xml:space="preserve">In </w:t>
      </w:r>
      <w:r w:rsidR="008E6BB4" w:rsidRPr="00AE141E">
        <w:rPr>
          <w:rFonts w:ascii="Times New Roman" w:hAnsi="Times New Roman" w:cs="Times New Roman"/>
          <w:sz w:val="24"/>
          <w:szCs w:val="24"/>
        </w:rPr>
        <w:t xml:space="preserve">the summer of 1985, </w:t>
      </w:r>
      <w:r w:rsidR="00DF6DB7" w:rsidRPr="00AE141E">
        <w:rPr>
          <w:rFonts w:ascii="Times New Roman" w:hAnsi="Times New Roman" w:cs="Times New Roman"/>
          <w:sz w:val="24"/>
          <w:szCs w:val="24"/>
        </w:rPr>
        <w:t>the team</w:t>
      </w:r>
      <w:r w:rsidR="008E6BB4" w:rsidRPr="00AE141E">
        <w:rPr>
          <w:rFonts w:ascii="Times New Roman" w:hAnsi="Times New Roman" w:cs="Times New Roman"/>
          <w:sz w:val="24"/>
          <w:szCs w:val="24"/>
        </w:rPr>
        <w:t xml:space="preserve"> requested that the ILEA T</w:t>
      </w:r>
      <w:r w:rsidR="00B94F6E" w:rsidRPr="00AE141E">
        <w:rPr>
          <w:rFonts w:ascii="Times New Roman" w:hAnsi="Times New Roman" w:cs="Times New Roman"/>
          <w:sz w:val="24"/>
          <w:szCs w:val="24"/>
        </w:rPr>
        <w:t>elevision (TV)</w:t>
      </w:r>
      <w:r w:rsidR="008E6BB4" w:rsidRPr="00AE141E">
        <w:rPr>
          <w:rFonts w:ascii="Times New Roman" w:hAnsi="Times New Roman" w:cs="Times New Roman"/>
          <w:sz w:val="24"/>
          <w:szCs w:val="24"/>
        </w:rPr>
        <w:t xml:space="preserve"> and Publishing Centre produce a video based on a set of tape-slides</w:t>
      </w:r>
      <w:r w:rsidR="00DF6DB7" w:rsidRPr="00AE141E">
        <w:rPr>
          <w:rFonts w:ascii="Times New Roman" w:hAnsi="Times New Roman" w:cs="Times New Roman"/>
          <w:sz w:val="24"/>
          <w:szCs w:val="24"/>
        </w:rPr>
        <w:t xml:space="preserve"> they had created.</w:t>
      </w:r>
      <w:r w:rsidR="006213AC" w:rsidRPr="00AE141E">
        <w:rPr>
          <w:rStyle w:val="FootnoteReference"/>
          <w:rFonts w:ascii="Times New Roman" w:hAnsi="Times New Roman" w:cs="Times New Roman"/>
          <w:sz w:val="24"/>
          <w:szCs w:val="24"/>
        </w:rPr>
        <w:footnoteReference w:id="591"/>
      </w:r>
      <w:r w:rsidR="00DF6DB7" w:rsidRPr="00AE141E">
        <w:rPr>
          <w:rFonts w:ascii="Times New Roman" w:hAnsi="Times New Roman" w:cs="Times New Roman"/>
          <w:sz w:val="24"/>
          <w:szCs w:val="24"/>
        </w:rPr>
        <w:t xml:space="preserve"> These tape-slides</w:t>
      </w:r>
      <w:r w:rsidR="008E6BB4" w:rsidRPr="00AE141E">
        <w:rPr>
          <w:rStyle w:val="wixui-rich-texttext"/>
          <w:rFonts w:ascii="Times New Roman" w:hAnsi="Times New Roman" w:cs="Times New Roman"/>
          <w:color w:val="000000"/>
          <w:sz w:val="24"/>
          <w:szCs w:val="24"/>
          <w:bdr w:val="none" w:sz="0" w:space="0" w:color="auto" w:frame="1"/>
        </w:rPr>
        <w:t xml:space="preserve"> </w:t>
      </w:r>
      <w:r w:rsidR="00DF6DB7" w:rsidRPr="00AE141E">
        <w:rPr>
          <w:rStyle w:val="wixui-rich-texttext"/>
          <w:rFonts w:ascii="Times New Roman" w:hAnsi="Times New Roman" w:cs="Times New Roman"/>
          <w:color w:val="000000"/>
          <w:sz w:val="24"/>
          <w:szCs w:val="24"/>
          <w:bdr w:val="none" w:sz="0" w:space="0" w:color="auto" w:frame="1"/>
        </w:rPr>
        <w:t>explored</w:t>
      </w:r>
      <w:r w:rsidR="00903E1A" w:rsidRPr="00AE141E">
        <w:rPr>
          <w:rStyle w:val="wixui-rich-texttext"/>
          <w:rFonts w:ascii="Times New Roman" w:hAnsi="Times New Roman" w:cs="Times New Roman"/>
          <w:color w:val="000000"/>
          <w:sz w:val="24"/>
          <w:szCs w:val="24"/>
          <w:bdr w:val="none" w:sz="0" w:space="0" w:color="auto" w:frame="1"/>
        </w:rPr>
        <w:t xml:space="preserve"> the link between Britain’s ‘</w:t>
      </w:r>
      <w:r w:rsidR="00E37C63" w:rsidRPr="00AE141E">
        <w:rPr>
          <w:rStyle w:val="wixui-rich-texttext"/>
          <w:rFonts w:ascii="Times New Roman" w:hAnsi="Times New Roman" w:cs="Times New Roman"/>
          <w:color w:val="000000"/>
          <w:sz w:val="24"/>
          <w:szCs w:val="24"/>
          <w:bdr w:val="none" w:sz="0" w:space="0" w:color="auto" w:frame="1"/>
        </w:rPr>
        <w:t>Imperialist past</w:t>
      </w:r>
      <w:r w:rsidR="00903E1A" w:rsidRPr="00AE141E">
        <w:rPr>
          <w:rStyle w:val="wixui-rich-texttext"/>
          <w:rFonts w:ascii="Times New Roman" w:hAnsi="Times New Roman" w:cs="Times New Roman"/>
          <w:color w:val="000000"/>
          <w:sz w:val="24"/>
          <w:szCs w:val="24"/>
          <w:bdr w:val="none" w:sz="0" w:space="0" w:color="auto" w:frame="1"/>
        </w:rPr>
        <w:t>’</w:t>
      </w:r>
      <w:r w:rsidR="00E37C63" w:rsidRPr="00AE141E">
        <w:rPr>
          <w:rStyle w:val="wixui-rich-texttext"/>
          <w:rFonts w:ascii="Times New Roman" w:hAnsi="Times New Roman" w:cs="Times New Roman"/>
          <w:color w:val="000000"/>
          <w:sz w:val="24"/>
          <w:szCs w:val="24"/>
          <w:bdr w:val="none" w:sz="0" w:space="0" w:color="auto" w:frame="1"/>
        </w:rPr>
        <w:t xml:space="preserve"> and </w:t>
      </w:r>
      <w:r w:rsidR="00903E1A" w:rsidRPr="00AE141E">
        <w:rPr>
          <w:rStyle w:val="wixui-rich-texttext"/>
          <w:rFonts w:ascii="Times New Roman" w:hAnsi="Times New Roman" w:cs="Times New Roman"/>
          <w:color w:val="000000"/>
          <w:sz w:val="24"/>
          <w:szCs w:val="24"/>
          <w:bdr w:val="none" w:sz="0" w:space="0" w:color="auto" w:frame="1"/>
        </w:rPr>
        <w:t>‘</w:t>
      </w:r>
      <w:r w:rsidR="00E37C63" w:rsidRPr="00AE141E">
        <w:rPr>
          <w:rStyle w:val="wixui-rich-texttext"/>
          <w:rFonts w:ascii="Times New Roman" w:hAnsi="Times New Roman" w:cs="Times New Roman"/>
          <w:color w:val="000000"/>
          <w:sz w:val="24"/>
          <w:szCs w:val="24"/>
          <w:bdr w:val="none" w:sz="0" w:space="0" w:color="auto" w:frame="1"/>
        </w:rPr>
        <w:t>“immigrant obsessed” present’.</w:t>
      </w:r>
      <w:r w:rsidR="00DF6DB7" w:rsidRPr="00AE141E">
        <w:rPr>
          <w:rFonts w:ascii="Times New Roman" w:hAnsi="Times New Roman" w:cs="Times New Roman"/>
          <w:sz w:val="24"/>
          <w:szCs w:val="24"/>
        </w:rPr>
        <w:t xml:space="preserve"> </w:t>
      </w:r>
      <w:r w:rsidR="00AE6B4B" w:rsidRPr="00AE141E">
        <w:rPr>
          <w:rFonts w:ascii="Times New Roman" w:hAnsi="Times New Roman" w:cs="Times New Roman"/>
          <w:sz w:val="24"/>
          <w:szCs w:val="24"/>
        </w:rPr>
        <w:t>The group</w:t>
      </w:r>
      <w:r w:rsidR="002826C4" w:rsidRPr="00AE141E">
        <w:rPr>
          <w:rFonts w:ascii="Times New Roman" w:hAnsi="Times New Roman" w:cs="Times New Roman"/>
          <w:sz w:val="24"/>
          <w:szCs w:val="24"/>
        </w:rPr>
        <w:t xml:space="preserve"> </w:t>
      </w:r>
      <w:r w:rsidR="00A449BE" w:rsidRPr="00AE141E">
        <w:rPr>
          <w:rFonts w:ascii="Times New Roman" w:hAnsi="Times New Roman" w:cs="Times New Roman"/>
          <w:sz w:val="24"/>
          <w:szCs w:val="24"/>
        </w:rPr>
        <w:t xml:space="preserve">contended </w:t>
      </w:r>
      <w:r w:rsidR="00717127" w:rsidRPr="00AE141E">
        <w:rPr>
          <w:rFonts w:ascii="Times New Roman" w:hAnsi="Times New Roman" w:cs="Times New Roman"/>
          <w:sz w:val="24"/>
          <w:szCs w:val="24"/>
        </w:rPr>
        <w:t xml:space="preserve">that </w:t>
      </w:r>
      <w:r w:rsidR="00675CAE" w:rsidRPr="00AE141E">
        <w:rPr>
          <w:rStyle w:val="wixui-rich-texttext"/>
          <w:rFonts w:ascii="Times New Roman" w:hAnsi="Times New Roman" w:cs="Times New Roman"/>
          <w:color w:val="000000"/>
          <w:sz w:val="24"/>
          <w:szCs w:val="24"/>
          <w:bdr w:val="none" w:sz="0" w:space="0" w:color="auto" w:frame="1"/>
        </w:rPr>
        <w:t>the authority</w:t>
      </w:r>
      <w:r w:rsidR="00AC0EE3" w:rsidRPr="00AE141E">
        <w:rPr>
          <w:rStyle w:val="wixui-rich-texttext"/>
          <w:rFonts w:ascii="Times New Roman" w:hAnsi="Times New Roman" w:cs="Times New Roman"/>
          <w:color w:val="000000"/>
          <w:sz w:val="24"/>
          <w:szCs w:val="24"/>
          <w:bdr w:val="none" w:sz="0" w:space="0" w:color="auto" w:frame="1"/>
        </w:rPr>
        <w:t xml:space="preserve"> had previously</w:t>
      </w:r>
      <w:r w:rsidR="00675CAE" w:rsidRPr="00AE141E">
        <w:rPr>
          <w:rStyle w:val="wixui-rich-texttext"/>
          <w:rFonts w:ascii="Times New Roman" w:hAnsi="Times New Roman" w:cs="Times New Roman"/>
          <w:color w:val="000000"/>
          <w:sz w:val="24"/>
          <w:szCs w:val="24"/>
          <w:bdr w:val="none" w:sz="0" w:space="0" w:color="auto" w:frame="1"/>
        </w:rPr>
        <w:t xml:space="preserve"> </w:t>
      </w:r>
      <w:r w:rsidR="00135ADE" w:rsidRPr="00AE141E">
        <w:rPr>
          <w:rStyle w:val="wixui-rich-texttext"/>
          <w:rFonts w:ascii="Times New Roman" w:hAnsi="Times New Roman" w:cs="Times New Roman"/>
          <w:color w:val="000000"/>
          <w:sz w:val="24"/>
          <w:szCs w:val="24"/>
          <w:bdr w:val="none" w:sz="0" w:space="0" w:color="auto" w:frame="1"/>
        </w:rPr>
        <w:t>offered</w:t>
      </w:r>
      <w:r w:rsidR="00BB5991" w:rsidRPr="00AE141E">
        <w:rPr>
          <w:rFonts w:ascii="Times New Roman" w:hAnsi="Times New Roman" w:cs="Times New Roman"/>
          <w:sz w:val="24"/>
          <w:szCs w:val="24"/>
        </w:rPr>
        <w:t xml:space="preserve"> </w:t>
      </w:r>
      <w:r w:rsidR="00135ADE" w:rsidRPr="00AE141E">
        <w:rPr>
          <w:rFonts w:ascii="Times New Roman" w:hAnsi="Times New Roman" w:cs="Times New Roman"/>
          <w:sz w:val="24"/>
          <w:szCs w:val="24"/>
        </w:rPr>
        <w:t>‘</w:t>
      </w:r>
      <w:r w:rsidR="00BB5991" w:rsidRPr="00AE141E">
        <w:rPr>
          <w:rFonts w:ascii="Times New Roman" w:hAnsi="Times New Roman" w:cs="Times New Roman"/>
          <w:sz w:val="24"/>
          <w:szCs w:val="24"/>
        </w:rPr>
        <w:t>no material at all on this</w:t>
      </w:r>
      <w:r w:rsidR="00135ADE" w:rsidRPr="00AE141E">
        <w:rPr>
          <w:rFonts w:ascii="Times New Roman" w:hAnsi="Times New Roman" w:cs="Times New Roman"/>
          <w:sz w:val="24"/>
          <w:szCs w:val="24"/>
        </w:rPr>
        <w:t xml:space="preserve"> topic’</w:t>
      </w:r>
      <w:r w:rsidR="00986BC4" w:rsidRPr="00AE141E">
        <w:rPr>
          <w:rFonts w:ascii="Times New Roman" w:hAnsi="Times New Roman" w:cs="Times New Roman"/>
          <w:sz w:val="24"/>
          <w:szCs w:val="24"/>
        </w:rPr>
        <w:t xml:space="preserve">, and that the gap must be filled as a matter of urgency. </w:t>
      </w:r>
      <w:r w:rsidR="00AE6B4B" w:rsidRPr="00AE141E">
        <w:rPr>
          <w:rFonts w:ascii="Times New Roman" w:hAnsi="Times New Roman" w:cs="Times New Roman"/>
          <w:sz w:val="24"/>
          <w:szCs w:val="24"/>
        </w:rPr>
        <w:t xml:space="preserve">Their </w:t>
      </w:r>
      <w:r w:rsidR="009C6976" w:rsidRPr="00AE141E">
        <w:rPr>
          <w:rFonts w:ascii="Times New Roman" w:hAnsi="Times New Roman" w:cs="Times New Roman"/>
          <w:sz w:val="24"/>
          <w:szCs w:val="24"/>
        </w:rPr>
        <w:t>accusation</w:t>
      </w:r>
      <w:r w:rsidR="00AE6B4B" w:rsidRPr="00AE141E">
        <w:rPr>
          <w:rFonts w:ascii="Times New Roman" w:hAnsi="Times New Roman" w:cs="Times New Roman"/>
          <w:sz w:val="24"/>
          <w:szCs w:val="24"/>
        </w:rPr>
        <w:t xml:space="preserve"> </w:t>
      </w:r>
      <w:r w:rsidR="00DF6DB7" w:rsidRPr="00AE141E">
        <w:rPr>
          <w:rFonts w:ascii="Times New Roman" w:hAnsi="Times New Roman" w:cs="Times New Roman"/>
          <w:sz w:val="24"/>
          <w:szCs w:val="24"/>
        </w:rPr>
        <w:t xml:space="preserve">was </w:t>
      </w:r>
      <w:r w:rsidR="009C6976" w:rsidRPr="00AE141E">
        <w:rPr>
          <w:rFonts w:ascii="Times New Roman" w:hAnsi="Times New Roman" w:cs="Times New Roman"/>
          <w:sz w:val="24"/>
          <w:szCs w:val="24"/>
        </w:rPr>
        <w:t>unfounded</w:t>
      </w:r>
      <w:r w:rsidR="00AE6B4B" w:rsidRPr="00AE141E">
        <w:rPr>
          <w:rFonts w:ascii="Times New Roman" w:hAnsi="Times New Roman" w:cs="Times New Roman"/>
          <w:sz w:val="24"/>
          <w:szCs w:val="24"/>
        </w:rPr>
        <w:t xml:space="preserve">; </w:t>
      </w:r>
      <w:r w:rsidR="00DF6DB7" w:rsidRPr="00AE141E">
        <w:rPr>
          <w:rFonts w:ascii="Times New Roman" w:hAnsi="Times New Roman" w:cs="Times New Roman"/>
          <w:sz w:val="24"/>
          <w:szCs w:val="24"/>
        </w:rPr>
        <w:t xml:space="preserve">the </w:t>
      </w:r>
      <w:r w:rsidRPr="00AE141E">
        <w:rPr>
          <w:rStyle w:val="wixui-rich-texttext"/>
          <w:rFonts w:ascii="Times New Roman" w:hAnsi="Times New Roman" w:cs="Times New Roman"/>
          <w:color w:val="000000"/>
          <w:sz w:val="24"/>
          <w:szCs w:val="24"/>
          <w:bdr w:val="none" w:sz="0" w:space="0" w:color="auto" w:frame="1"/>
        </w:rPr>
        <w:t xml:space="preserve">Poster Film Collective seem to have worked with the ILEA to distribute </w:t>
      </w:r>
      <w:r w:rsidR="00DF6DB7" w:rsidRPr="00AE141E">
        <w:rPr>
          <w:rStyle w:val="wixui-rich-texttext"/>
          <w:rFonts w:ascii="Times New Roman" w:hAnsi="Times New Roman" w:cs="Times New Roman"/>
          <w:i/>
          <w:color w:val="000000"/>
          <w:sz w:val="24"/>
          <w:szCs w:val="24"/>
          <w:bdr w:val="none" w:sz="0" w:space="0" w:color="auto" w:frame="1"/>
        </w:rPr>
        <w:t>Whose World is the World</w:t>
      </w:r>
      <w:r w:rsidR="00DF6DB7" w:rsidRPr="00AE141E">
        <w:rPr>
          <w:rStyle w:val="wixui-rich-texttext"/>
          <w:rFonts w:ascii="Times New Roman" w:hAnsi="Times New Roman" w:cs="Times New Roman"/>
          <w:color w:val="000000"/>
          <w:sz w:val="24"/>
          <w:szCs w:val="24"/>
          <w:bdr w:val="none" w:sz="0" w:space="0" w:color="auto" w:frame="1"/>
        </w:rPr>
        <w:t xml:space="preserve">, and </w:t>
      </w:r>
      <w:r w:rsidR="006539B5" w:rsidRPr="00AE141E">
        <w:rPr>
          <w:rFonts w:ascii="Times New Roman" w:hAnsi="Times New Roman" w:cs="Times New Roman"/>
          <w:i/>
          <w:sz w:val="24"/>
          <w:szCs w:val="24"/>
        </w:rPr>
        <w:t xml:space="preserve">Clio, </w:t>
      </w:r>
      <w:r w:rsidR="006539B5" w:rsidRPr="00AE141E">
        <w:rPr>
          <w:rFonts w:ascii="Times New Roman" w:hAnsi="Times New Roman" w:cs="Times New Roman"/>
          <w:sz w:val="24"/>
          <w:szCs w:val="24"/>
        </w:rPr>
        <w:t>the official</w:t>
      </w:r>
      <w:r w:rsidR="006539B5" w:rsidRPr="00AE141E">
        <w:rPr>
          <w:rFonts w:ascii="Times New Roman" w:hAnsi="Times New Roman" w:cs="Times New Roman"/>
          <w:i/>
          <w:sz w:val="24"/>
          <w:szCs w:val="24"/>
        </w:rPr>
        <w:t xml:space="preserve"> </w:t>
      </w:r>
      <w:r w:rsidR="006539B5" w:rsidRPr="00AE141E">
        <w:rPr>
          <w:rFonts w:ascii="Times New Roman" w:hAnsi="Times New Roman" w:cs="Times New Roman"/>
          <w:sz w:val="24"/>
          <w:szCs w:val="24"/>
        </w:rPr>
        <w:t xml:space="preserve">newsletter of the authority’s History and Social Sciences Teachers’ Centre, </w:t>
      </w:r>
      <w:r w:rsidR="0089220F" w:rsidRPr="00AE141E">
        <w:rPr>
          <w:rFonts w:ascii="Times New Roman" w:hAnsi="Times New Roman" w:cs="Times New Roman"/>
          <w:sz w:val="24"/>
          <w:szCs w:val="24"/>
        </w:rPr>
        <w:t>offered a sustained engagement with related histories</w:t>
      </w:r>
      <w:r w:rsidRPr="00AE141E">
        <w:rPr>
          <w:rStyle w:val="wixui-rich-texttext"/>
          <w:rFonts w:ascii="Times New Roman" w:hAnsi="Times New Roman" w:cs="Times New Roman"/>
          <w:color w:val="000000"/>
          <w:sz w:val="24"/>
          <w:szCs w:val="24"/>
          <w:bdr w:val="none" w:sz="0" w:space="0" w:color="auto" w:frame="1"/>
        </w:rPr>
        <w:t>.</w:t>
      </w:r>
      <w:r w:rsidR="00056782" w:rsidRPr="00AE141E">
        <w:rPr>
          <w:rStyle w:val="FootnoteReference"/>
          <w:rFonts w:ascii="Times New Roman" w:hAnsi="Times New Roman" w:cs="Times New Roman"/>
          <w:color w:val="000000"/>
          <w:sz w:val="24"/>
          <w:szCs w:val="24"/>
          <w:bdr w:val="none" w:sz="0" w:space="0" w:color="auto" w:frame="1"/>
        </w:rPr>
        <w:footnoteReference w:id="592"/>
      </w:r>
      <w:r w:rsidR="0089220F" w:rsidRPr="00AE141E">
        <w:rPr>
          <w:rStyle w:val="wixui-rich-texttext"/>
          <w:rFonts w:ascii="Times New Roman" w:hAnsi="Times New Roman" w:cs="Times New Roman"/>
          <w:color w:val="000000"/>
          <w:sz w:val="24"/>
          <w:szCs w:val="24"/>
          <w:bdr w:val="none" w:sz="0" w:space="0" w:color="auto" w:frame="1"/>
        </w:rPr>
        <w:t xml:space="preserve"> </w:t>
      </w:r>
      <w:r w:rsidR="00B65AA1" w:rsidRPr="00AE141E">
        <w:rPr>
          <w:rStyle w:val="wixui-rich-texttext"/>
          <w:rFonts w:ascii="Times New Roman" w:hAnsi="Times New Roman" w:cs="Times New Roman"/>
          <w:color w:val="000000"/>
          <w:sz w:val="24"/>
          <w:szCs w:val="24"/>
          <w:bdr w:val="none" w:sz="0" w:space="0" w:color="auto" w:frame="1"/>
        </w:rPr>
        <w:t xml:space="preserve">Nevertheless, subsequent events demonstrate the sheer strength of feeling on the matter. When the TV and Publishing Centre refused to </w:t>
      </w:r>
      <w:r w:rsidR="00753B77" w:rsidRPr="00AE141E">
        <w:rPr>
          <w:rStyle w:val="wixui-rich-texttext"/>
          <w:rFonts w:ascii="Times New Roman" w:hAnsi="Times New Roman" w:cs="Times New Roman"/>
          <w:color w:val="000000"/>
          <w:sz w:val="24"/>
          <w:szCs w:val="24"/>
          <w:bdr w:val="none" w:sz="0" w:space="0" w:color="auto" w:frame="1"/>
        </w:rPr>
        <w:t>accommodate the project</w:t>
      </w:r>
      <w:r w:rsidR="00B65AA1" w:rsidRPr="00AE141E">
        <w:rPr>
          <w:rStyle w:val="wixui-rich-texttext"/>
          <w:rFonts w:ascii="Times New Roman" w:hAnsi="Times New Roman" w:cs="Times New Roman"/>
          <w:color w:val="000000"/>
          <w:sz w:val="24"/>
          <w:szCs w:val="24"/>
          <w:bdr w:val="none" w:sz="0" w:space="0" w:color="auto" w:frame="1"/>
        </w:rPr>
        <w:t xml:space="preserve"> </w:t>
      </w:r>
      <w:r w:rsidR="00B35D24" w:rsidRPr="00AE141E">
        <w:rPr>
          <w:rStyle w:val="wixui-rich-texttext"/>
          <w:rFonts w:ascii="Times New Roman" w:hAnsi="Times New Roman" w:cs="Times New Roman"/>
          <w:color w:val="000000"/>
          <w:sz w:val="24"/>
          <w:szCs w:val="24"/>
          <w:bdr w:val="none" w:sz="0" w:space="0" w:color="auto" w:frame="1"/>
        </w:rPr>
        <w:t xml:space="preserve">– </w:t>
      </w:r>
      <w:r w:rsidR="00B65AA1" w:rsidRPr="00AE141E">
        <w:rPr>
          <w:rStyle w:val="wixui-rich-texttext"/>
          <w:rFonts w:ascii="Times New Roman" w:hAnsi="Times New Roman" w:cs="Times New Roman"/>
          <w:color w:val="000000"/>
          <w:sz w:val="24"/>
          <w:szCs w:val="24"/>
          <w:bdr w:val="none" w:sz="0" w:space="0" w:color="auto" w:frame="1"/>
        </w:rPr>
        <w:t>citing</w:t>
      </w:r>
      <w:r w:rsidR="00B35D24" w:rsidRPr="00AE141E">
        <w:rPr>
          <w:rStyle w:val="wixui-rich-texttext"/>
          <w:rFonts w:ascii="Times New Roman" w:hAnsi="Times New Roman" w:cs="Times New Roman"/>
          <w:color w:val="000000"/>
          <w:sz w:val="24"/>
          <w:szCs w:val="24"/>
          <w:bdr w:val="none" w:sz="0" w:space="0" w:color="auto" w:frame="1"/>
        </w:rPr>
        <w:t xml:space="preserve"> packed </w:t>
      </w:r>
      <w:r w:rsidR="00267777" w:rsidRPr="00AE141E">
        <w:rPr>
          <w:rStyle w:val="wixui-rich-texttext"/>
          <w:rFonts w:ascii="Times New Roman" w:hAnsi="Times New Roman" w:cs="Times New Roman"/>
          <w:color w:val="000000"/>
          <w:sz w:val="24"/>
          <w:szCs w:val="24"/>
          <w:bdr w:val="none" w:sz="0" w:space="0" w:color="auto" w:frame="1"/>
        </w:rPr>
        <w:t>filming schedules and</w:t>
      </w:r>
      <w:r w:rsidR="00B35D24" w:rsidRPr="00AE141E">
        <w:rPr>
          <w:rStyle w:val="wixui-rich-texttext"/>
          <w:rFonts w:ascii="Times New Roman" w:hAnsi="Times New Roman" w:cs="Times New Roman"/>
          <w:color w:val="000000"/>
          <w:sz w:val="24"/>
          <w:szCs w:val="24"/>
          <w:bdr w:val="none" w:sz="0" w:space="0" w:color="auto" w:frame="1"/>
        </w:rPr>
        <w:t xml:space="preserve"> a supposed</w:t>
      </w:r>
      <w:r w:rsidR="00267777" w:rsidRPr="00AE141E">
        <w:rPr>
          <w:rStyle w:val="wixui-rich-texttext"/>
          <w:rFonts w:ascii="Times New Roman" w:hAnsi="Times New Roman" w:cs="Times New Roman"/>
          <w:color w:val="000000"/>
          <w:sz w:val="24"/>
          <w:szCs w:val="24"/>
          <w:bdr w:val="none" w:sz="0" w:space="0" w:color="auto" w:frame="1"/>
        </w:rPr>
        <w:t xml:space="preserve"> lack of commercial viability</w:t>
      </w:r>
      <w:r w:rsidR="00B35D24" w:rsidRPr="00AE141E">
        <w:rPr>
          <w:rStyle w:val="wixui-rich-texttext"/>
          <w:rFonts w:ascii="Times New Roman" w:hAnsi="Times New Roman" w:cs="Times New Roman"/>
          <w:color w:val="000000"/>
          <w:sz w:val="24"/>
          <w:szCs w:val="24"/>
          <w:bdr w:val="none" w:sz="0" w:space="0" w:color="auto" w:frame="1"/>
        </w:rPr>
        <w:t xml:space="preserve"> – </w:t>
      </w:r>
      <w:r w:rsidR="00197E20" w:rsidRPr="00AE141E">
        <w:rPr>
          <w:rStyle w:val="wixui-rich-texttext"/>
          <w:rFonts w:ascii="Times New Roman" w:hAnsi="Times New Roman" w:cs="Times New Roman"/>
          <w:color w:val="000000"/>
          <w:sz w:val="24"/>
          <w:szCs w:val="24"/>
          <w:bdr w:val="none" w:sz="0" w:space="0" w:color="auto" w:frame="1"/>
        </w:rPr>
        <w:t>the</w:t>
      </w:r>
      <w:r w:rsidR="00B35D24" w:rsidRPr="00AE141E">
        <w:rPr>
          <w:rStyle w:val="wixui-rich-texttext"/>
          <w:rFonts w:ascii="Times New Roman" w:hAnsi="Times New Roman" w:cs="Times New Roman"/>
          <w:color w:val="000000"/>
          <w:sz w:val="24"/>
          <w:szCs w:val="24"/>
          <w:bdr w:val="none" w:sz="0" w:space="0" w:color="auto" w:frame="1"/>
        </w:rPr>
        <w:t xml:space="preserve"> </w:t>
      </w:r>
      <w:r w:rsidR="00197E20" w:rsidRPr="00AE141E">
        <w:rPr>
          <w:rStyle w:val="wixui-rich-texttext"/>
          <w:rFonts w:ascii="Times New Roman" w:hAnsi="Times New Roman" w:cs="Times New Roman"/>
          <w:color w:val="000000"/>
          <w:sz w:val="24"/>
          <w:szCs w:val="24"/>
          <w:bdr w:val="none" w:sz="0" w:space="0" w:color="auto" w:frame="1"/>
        </w:rPr>
        <w:t xml:space="preserve">teachers involved decided to </w:t>
      </w:r>
      <w:r w:rsidR="00FC36D5" w:rsidRPr="00AE141E">
        <w:rPr>
          <w:rStyle w:val="wixui-rich-texttext"/>
          <w:rFonts w:ascii="Times New Roman" w:hAnsi="Times New Roman" w:cs="Times New Roman"/>
          <w:color w:val="000000"/>
          <w:sz w:val="24"/>
          <w:szCs w:val="24"/>
          <w:bdr w:val="none" w:sz="0" w:space="0" w:color="auto" w:frame="1"/>
        </w:rPr>
        <w:t xml:space="preserve">create </w:t>
      </w:r>
      <w:r w:rsidR="007852D3" w:rsidRPr="00AE141E">
        <w:rPr>
          <w:rStyle w:val="wixui-rich-texttext"/>
          <w:rFonts w:ascii="Times New Roman" w:hAnsi="Times New Roman" w:cs="Times New Roman"/>
          <w:color w:val="000000"/>
          <w:sz w:val="24"/>
          <w:szCs w:val="24"/>
          <w:bdr w:val="none" w:sz="0" w:space="0" w:color="auto" w:frame="1"/>
        </w:rPr>
        <w:t>a</w:t>
      </w:r>
      <w:r w:rsidR="00467A15" w:rsidRPr="00AE141E">
        <w:rPr>
          <w:rStyle w:val="wixui-rich-texttext"/>
          <w:rFonts w:ascii="Times New Roman" w:hAnsi="Times New Roman" w:cs="Times New Roman"/>
          <w:color w:val="000000"/>
          <w:sz w:val="24"/>
          <w:szCs w:val="24"/>
          <w:bdr w:val="none" w:sz="0" w:space="0" w:color="auto" w:frame="1"/>
        </w:rPr>
        <w:t>n independent</w:t>
      </w:r>
      <w:r w:rsidR="00FC36D5" w:rsidRPr="00AE141E">
        <w:rPr>
          <w:rStyle w:val="wixui-rich-texttext"/>
          <w:rFonts w:ascii="Times New Roman" w:hAnsi="Times New Roman" w:cs="Times New Roman"/>
          <w:color w:val="000000"/>
          <w:sz w:val="24"/>
          <w:szCs w:val="24"/>
          <w:bdr w:val="none" w:sz="0" w:space="0" w:color="auto" w:frame="1"/>
        </w:rPr>
        <w:t xml:space="preserve"> film and publishing compan</w:t>
      </w:r>
      <w:r w:rsidR="007852D3" w:rsidRPr="00AE141E">
        <w:rPr>
          <w:rStyle w:val="wixui-rich-texttext"/>
          <w:rFonts w:ascii="Times New Roman" w:hAnsi="Times New Roman" w:cs="Times New Roman"/>
          <w:color w:val="000000"/>
          <w:sz w:val="24"/>
          <w:szCs w:val="24"/>
          <w:bdr w:val="none" w:sz="0" w:space="0" w:color="auto" w:frame="1"/>
        </w:rPr>
        <w:t>y</w:t>
      </w:r>
      <w:r w:rsidR="00467A15" w:rsidRPr="00AE141E">
        <w:rPr>
          <w:rStyle w:val="wixui-rich-texttext"/>
          <w:rFonts w:ascii="Times New Roman" w:hAnsi="Times New Roman" w:cs="Times New Roman"/>
          <w:color w:val="000000"/>
          <w:sz w:val="24"/>
          <w:szCs w:val="24"/>
          <w:bdr w:val="none" w:sz="0" w:space="0" w:color="auto" w:frame="1"/>
        </w:rPr>
        <w:t xml:space="preserve">, assisted by the </w:t>
      </w:r>
      <w:r w:rsidR="00467A15" w:rsidRPr="00AE141E">
        <w:rPr>
          <w:rFonts w:ascii="Times New Roman" w:hAnsi="Times New Roman" w:cs="Times New Roman"/>
          <w:sz w:val="24"/>
          <w:szCs w:val="24"/>
        </w:rPr>
        <w:t>Association for Curriculum Development</w:t>
      </w:r>
      <w:r w:rsidR="002817C4" w:rsidRPr="00AE141E">
        <w:rPr>
          <w:rFonts w:ascii="Times New Roman" w:hAnsi="Times New Roman" w:cs="Times New Roman"/>
          <w:sz w:val="24"/>
          <w:szCs w:val="24"/>
        </w:rPr>
        <w:t xml:space="preserve"> (the ACD)</w:t>
      </w:r>
      <w:r w:rsidR="00467A15" w:rsidRPr="00AE141E">
        <w:rPr>
          <w:rFonts w:ascii="Times New Roman" w:hAnsi="Times New Roman" w:cs="Times New Roman"/>
          <w:sz w:val="24"/>
          <w:szCs w:val="24"/>
        </w:rPr>
        <w:t>.</w:t>
      </w:r>
      <w:r w:rsidR="002817C4" w:rsidRPr="00AE141E">
        <w:rPr>
          <w:rFonts w:ascii="Times New Roman" w:hAnsi="Times New Roman" w:cs="Times New Roman"/>
          <w:sz w:val="24"/>
          <w:szCs w:val="24"/>
        </w:rPr>
        <w:t xml:space="preserve"> The ACD successfully applied for a grant from the Greater London Counci</w:t>
      </w:r>
      <w:r w:rsidR="00B911B1" w:rsidRPr="00AE141E">
        <w:rPr>
          <w:rFonts w:ascii="Times New Roman" w:hAnsi="Times New Roman" w:cs="Times New Roman"/>
          <w:sz w:val="24"/>
          <w:szCs w:val="24"/>
        </w:rPr>
        <w:t xml:space="preserve">l to buy the </w:t>
      </w:r>
      <w:r w:rsidR="007F00B2" w:rsidRPr="00AE141E">
        <w:rPr>
          <w:rFonts w:ascii="Times New Roman" w:hAnsi="Times New Roman" w:cs="Times New Roman"/>
          <w:sz w:val="24"/>
          <w:szCs w:val="24"/>
        </w:rPr>
        <w:t>video and editing equipment which would guarantee that ‘this and other anti-racist resources could be produced’.</w:t>
      </w:r>
      <w:r w:rsidR="009462EA">
        <w:rPr>
          <w:rStyle w:val="FootnoteReference"/>
          <w:rFonts w:ascii="Times New Roman" w:hAnsi="Times New Roman" w:cs="Times New Roman"/>
          <w:sz w:val="24"/>
          <w:szCs w:val="24"/>
        </w:rPr>
        <w:footnoteReference w:id="593"/>
      </w:r>
      <w:r w:rsidR="00BD7249" w:rsidRPr="00AE141E">
        <w:rPr>
          <w:rFonts w:ascii="Times New Roman" w:hAnsi="Times New Roman" w:cs="Times New Roman"/>
          <w:sz w:val="24"/>
          <w:szCs w:val="24"/>
        </w:rPr>
        <w:t xml:space="preserve"> The result was a </w:t>
      </w:r>
      <w:r w:rsidR="00CF638F" w:rsidRPr="00AE141E">
        <w:rPr>
          <w:rFonts w:ascii="Times New Roman" w:hAnsi="Times New Roman" w:cs="Times New Roman"/>
          <w:sz w:val="24"/>
          <w:szCs w:val="24"/>
        </w:rPr>
        <w:t xml:space="preserve">video and </w:t>
      </w:r>
      <w:r w:rsidR="000D3422" w:rsidRPr="00AE141E">
        <w:rPr>
          <w:rFonts w:ascii="Times New Roman" w:hAnsi="Times New Roman" w:cs="Times New Roman"/>
          <w:sz w:val="24"/>
          <w:szCs w:val="24"/>
        </w:rPr>
        <w:t xml:space="preserve">companion book, both titled </w:t>
      </w:r>
      <w:r w:rsidR="000D3422" w:rsidRPr="00AE141E">
        <w:rPr>
          <w:rFonts w:ascii="Times New Roman" w:hAnsi="Times New Roman" w:cs="Times New Roman"/>
          <w:i/>
          <w:sz w:val="24"/>
          <w:szCs w:val="24"/>
        </w:rPr>
        <w:t xml:space="preserve">A History of Racism. </w:t>
      </w:r>
      <w:r w:rsidR="004A470C" w:rsidRPr="00AE141E">
        <w:rPr>
          <w:rFonts w:ascii="Times New Roman" w:hAnsi="Times New Roman" w:cs="Times New Roman"/>
          <w:sz w:val="24"/>
          <w:szCs w:val="24"/>
        </w:rPr>
        <w:t xml:space="preserve">Despite initial budget constraints, which forced the ACD to </w:t>
      </w:r>
      <w:r w:rsidR="003E7F54" w:rsidRPr="00AE141E">
        <w:rPr>
          <w:rFonts w:ascii="Times New Roman" w:hAnsi="Times New Roman" w:cs="Times New Roman"/>
          <w:sz w:val="24"/>
          <w:szCs w:val="24"/>
        </w:rPr>
        <w:t>depend</w:t>
      </w:r>
      <w:r w:rsidR="004A470C" w:rsidRPr="00AE141E">
        <w:rPr>
          <w:rFonts w:ascii="Times New Roman" w:hAnsi="Times New Roman" w:cs="Times New Roman"/>
          <w:sz w:val="24"/>
          <w:szCs w:val="24"/>
        </w:rPr>
        <w:t xml:space="preserve"> exclusively on</w:t>
      </w:r>
      <w:r w:rsidR="003E7F54" w:rsidRPr="00AE141E">
        <w:rPr>
          <w:rFonts w:ascii="Times New Roman" w:hAnsi="Times New Roman" w:cs="Times New Roman"/>
          <w:sz w:val="24"/>
          <w:szCs w:val="24"/>
        </w:rPr>
        <w:t xml:space="preserve"> word-of-mouth reviews</w:t>
      </w:r>
      <w:r w:rsidR="004A470C" w:rsidRPr="00AE141E">
        <w:rPr>
          <w:rFonts w:ascii="Times New Roman" w:hAnsi="Times New Roman" w:cs="Times New Roman"/>
          <w:sz w:val="24"/>
          <w:szCs w:val="24"/>
        </w:rPr>
        <w:t xml:space="preserve"> </w:t>
      </w:r>
      <w:r w:rsidR="00CC1959" w:rsidRPr="00AE141E">
        <w:rPr>
          <w:rFonts w:ascii="Times New Roman" w:hAnsi="Times New Roman" w:cs="Times New Roman"/>
          <w:sz w:val="24"/>
          <w:szCs w:val="24"/>
        </w:rPr>
        <w:t>for</w:t>
      </w:r>
      <w:r w:rsidR="00AF293A" w:rsidRPr="00AE141E">
        <w:rPr>
          <w:rFonts w:ascii="Times New Roman" w:hAnsi="Times New Roman" w:cs="Times New Roman"/>
          <w:sz w:val="24"/>
          <w:szCs w:val="24"/>
        </w:rPr>
        <w:t xml:space="preserve"> publi</w:t>
      </w:r>
      <w:r w:rsidR="003E7F54" w:rsidRPr="00AE141E">
        <w:rPr>
          <w:rFonts w:ascii="Times New Roman" w:hAnsi="Times New Roman" w:cs="Times New Roman"/>
          <w:sz w:val="24"/>
          <w:szCs w:val="24"/>
        </w:rPr>
        <w:t>city, s</w:t>
      </w:r>
      <w:r w:rsidR="00C869B7" w:rsidRPr="00AE141E">
        <w:rPr>
          <w:rFonts w:ascii="Times New Roman" w:hAnsi="Times New Roman" w:cs="Times New Roman"/>
          <w:sz w:val="24"/>
          <w:szCs w:val="24"/>
        </w:rPr>
        <w:t>ales were so hig</w:t>
      </w:r>
      <w:r w:rsidR="003E7F54" w:rsidRPr="00AE141E">
        <w:rPr>
          <w:rFonts w:ascii="Times New Roman" w:hAnsi="Times New Roman" w:cs="Times New Roman"/>
          <w:sz w:val="24"/>
          <w:szCs w:val="24"/>
        </w:rPr>
        <w:t>h</w:t>
      </w:r>
      <w:r w:rsidR="00C869B7" w:rsidRPr="00AE141E">
        <w:rPr>
          <w:rFonts w:ascii="Times New Roman" w:hAnsi="Times New Roman" w:cs="Times New Roman"/>
          <w:sz w:val="24"/>
          <w:szCs w:val="24"/>
        </w:rPr>
        <w:t xml:space="preserve"> that the proceeds alone enabled </w:t>
      </w:r>
      <w:r w:rsidR="00C779BB" w:rsidRPr="00AE141E">
        <w:rPr>
          <w:rFonts w:ascii="Times New Roman" w:hAnsi="Times New Roman" w:cs="Times New Roman"/>
          <w:sz w:val="24"/>
          <w:szCs w:val="24"/>
        </w:rPr>
        <w:t>t</w:t>
      </w:r>
      <w:r w:rsidR="003E7F54" w:rsidRPr="00AE141E">
        <w:rPr>
          <w:rFonts w:ascii="Times New Roman" w:hAnsi="Times New Roman" w:cs="Times New Roman"/>
          <w:sz w:val="24"/>
          <w:szCs w:val="24"/>
        </w:rPr>
        <w:t>he organisation</w:t>
      </w:r>
      <w:r w:rsidR="00C869B7" w:rsidRPr="00AE141E">
        <w:rPr>
          <w:rFonts w:ascii="Times New Roman" w:hAnsi="Times New Roman" w:cs="Times New Roman"/>
          <w:sz w:val="24"/>
          <w:szCs w:val="24"/>
        </w:rPr>
        <w:t xml:space="preserve"> to </w:t>
      </w:r>
      <w:r w:rsidR="005226BE" w:rsidRPr="00AE141E">
        <w:rPr>
          <w:rFonts w:ascii="Times New Roman" w:hAnsi="Times New Roman" w:cs="Times New Roman"/>
          <w:sz w:val="24"/>
          <w:szCs w:val="24"/>
        </w:rPr>
        <w:t>run a small office to expand their work.</w:t>
      </w:r>
    </w:p>
    <w:p w14:paraId="7CBBEFFF" w14:textId="16892AF3" w:rsidR="008B3A20" w:rsidRPr="00AE141E" w:rsidRDefault="00D400A9" w:rsidP="00AE141E">
      <w:pPr>
        <w:spacing w:line="360" w:lineRule="auto"/>
        <w:rPr>
          <w:rFonts w:ascii="Times New Roman" w:hAnsi="Times New Roman" w:cs="Times New Roman"/>
          <w:sz w:val="24"/>
          <w:szCs w:val="24"/>
        </w:rPr>
      </w:pPr>
      <w:r w:rsidRPr="00AE141E">
        <w:rPr>
          <w:rFonts w:ascii="Times New Roman" w:hAnsi="Times New Roman" w:cs="Times New Roman"/>
          <w:i/>
          <w:sz w:val="24"/>
          <w:szCs w:val="24"/>
        </w:rPr>
        <w:t xml:space="preserve">A History of Racism </w:t>
      </w:r>
      <w:r w:rsidR="00E44EFA" w:rsidRPr="00AE141E">
        <w:rPr>
          <w:rFonts w:ascii="Times New Roman" w:hAnsi="Times New Roman" w:cs="Times New Roman"/>
          <w:sz w:val="24"/>
          <w:szCs w:val="24"/>
        </w:rPr>
        <w:t xml:space="preserve">bore </w:t>
      </w:r>
      <w:r w:rsidR="00183CEA" w:rsidRPr="00AE141E">
        <w:rPr>
          <w:rFonts w:ascii="Times New Roman" w:hAnsi="Times New Roman" w:cs="Times New Roman"/>
          <w:sz w:val="24"/>
          <w:szCs w:val="24"/>
        </w:rPr>
        <w:t>significant</w:t>
      </w:r>
      <w:r w:rsidR="00E44EFA" w:rsidRPr="00AE141E">
        <w:rPr>
          <w:rFonts w:ascii="Times New Roman" w:hAnsi="Times New Roman" w:cs="Times New Roman"/>
          <w:sz w:val="24"/>
          <w:szCs w:val="24"/>
        </w:rPr>
        <w:t xml:space="preserve"> parallels with </w:t>
      </w:r>
      <w:r w:rsidR="002501F9" w:rsidRPr="00AE141E">
        <w:rPr>
          <w:rFonts w:ascii="Times New Roman" w:hAnsi="Times New Roman" w:cs="Times New Roman"/>
          <w:sz w:val="24"/>
          <w:szCs w:val="24"/>
        </w:rPr>
        <w:t xml:space="preserve">the IRR’s </w:t>
      </w:r>
      <w:r w:rsidR="003759B0" w:rsidRPr="00AE141E">
        <w:rPr>
          <w:rFonts w:ascii="Times New Roman" w:hAnsi="Times New Roman" w:cs="Times New Roman"/>
          <w:sz w:val="24"/>
          <w:szCs w:val="24"/>
        </w:rPr>
        <w:t>series</w:t>
      </w:r>
      <w:r w:rsidR="00DB7CF9" w:rsidRPr="00AE141E">
        <w:rPr>
          <w:rFonts w:ascii="Times New Roman" w:hAnsi="Times New Roman" w:cs="Times New Roman"/>
          <w:sz w:val="24"/>
          <w:szCs w:val="24"/>
        </w:rPr>
        <w:t>, which was recommended to educators in its bibliography.</w:t>
      </w:r>
      <w:r w:rsidR="00494EC6" w:rsidRPr="00AE141E">
        <w:rPr>
          <w:rStyle w:val="FootnoteReference"/>
          <w:rFonts w:ascii="Times New Roman" w:hAnsi="Times New Roman" w:cs="Times New Roman"/>
          <w:sz w:val="24"/>
          <w:szCs w:val="24"/>
        </w:rPr>
        <w:footnoteReference w:id="594"/>
      </w:r>
      <w:r w:rsidR="00510610" w:rsidRPr="00AE141E">
        <w:rPr>
          <w:rFonts w:ascii="Times New Roman" w:hAnsi="Times New Roman" w:cs="Times New Roman"/>
          <w:sz w:val="24"/>
          <w:szCs w:val="24"/>
        </w:rPr>
        <w:t xml:space="preserve"> Most notably,</w:t>
      </w:r>
      <w:r w:rsidR="00D25AC8" w:rsidRPr="00AE141E">
        <w:rPr>
          <w:rFonts w:ascii="Times New Roman" w:hAnsi="Times New Roman" w:cs="Times New Roman"/>
          <w:sz w:val="24"/>
          <w:szCs w:val="24"/>
        </w:rPr>
        <w:t xml:space="preserve"> both sought to contest the media’s portrayal of communities in the Global South as </w:t>
      </w:r>
      <w:r w:rsidR="005461C4" w:rsidRPr="00AE141E">
        <w:rPr>
          <w:rFonts w:ascii="Times New Roman" w:hAnsi="Times New Roman" w:cs="Times New Roman"/>
          <w:sz w:val="24"/>
          <w:szCs w:val="24"/>
        </w:rPr>
        <w:t>‘</w:t>
      </w:r>
      <w:r w:rsidR="00D25AC8" w:rsidRPr="00AE141E">
        <w:rPr>
          <w:rFonts w:ascii="Times New Roman" w:hAnsi="Times New Roman" w:cs="Times New Roman"/>
          <w:sz w:val="24"/>
          <w:szCs w:val="24"/>
        </w:rPr>
        <w:t>passive</w:t>
      </w:r>
      <w:r w:rsidR="005461C4" w:rsidRPr="00AE141E">
        <w:rPr>
          <w:rFonts w:ascii="Times New Roman" w:hAnsi="Times New Roman" w:cs="Times New Roman"/>
          <w:sz w:val="24"/>
          <w:szCs w:val="24"/>
        </w:rPr>
        <w:t>’, ‘pathetic’,</w:t>
      </w:r>
      <w:r w:rsidR="00D25AC8" w:rsidRPr="00AE141E">
        <w:rPr>
          <w:rFonts w:ascii="Times New Roman" w:hAnsi="Times New Roman" w:cs="Times New Roman"/>
          <w:sz w:val="24"/>
          <w:szCs w:val="24"/>
        </w:rPr>
        <w:t xml:space="preserve"> </w:t>
      </w:r>
      <w:r w:rsidR="005461C4" w:rsidRPr="00AE141E">
        <w:rPr>
          <w:rFonts w:ascii="Times New Roman" w:hAnsi="Times New Roman" w:cs="Times New Roman"/>
          <w:sz w:val="24"/>
          <w:szCs w:val="24"/>
        </w:rPr>
        <w:t>or</w:t>
      </w:r>
      <w:r w:rsidR="00D25AC8" w:rsidRPr="00AE141E">
        <w:rPr>
          <w:rFonts w:ascii="Times New Roman" w:hAnsi="Times New Roman" w:cs="Times New Roman"/>
          <w:sz w:val="24"/>
          <w:szCs w:val="24"/>
        </w:rPr>
        <w:t xml:space="preserve"> ‘hapless’ victims</w:t>
      </w:r>
      <w:r w:rsidR="00AB2611" w:rsidRPr="00AE141E">
        <w:rPr>
          <w:rFonts w:ascii="Times New Roman" w:hAnsi="Times New Roman" w:cs="Times New Roman"/>
          <w:sz w:val="24"/>
          <w:szCs w:val="24"/>
        </w:rPr>
        <w:t xml:space="preserve"> of </w:t>
      </w:r>
      <w:r w:rsidR="00E33072" w:rsidRPr="00AE141E">
        <w:rPr>
          <w:rFonts w:ascii="Times New Roman" w:hAnsi="Times New Roman" w:cs="Times New Roman"/>
          <w:sz w:val="24"/>
          <w:szCs w:val="24"/>
        </w:rPr>
        <w:lastRenderedPageBreak/>
        <w:t>decontextualised</w:t>
      </w:r>
      <w:r w:rsidR="00CA1661" w:rsidRPr="00AE141E">
        <w:rPr>
          <w:rFonts w:ascii="Times New Roman" w:hAnsi="Times New Roman" w:cs="Times New Roman"/>
          <w:sz w:val="24"/>
          <w:szCs w:val="24"/>
        </w:rPr>
        <w:t>, random disaster</w:t>
      </w:r>
      <w:r w:rsidR="00E33072" w:rsidRPr="00AE141E">
        <w:rPr>
          <w:rFonts w:ascii="Times New Roman" w:hAnsi="Times New Roman" w:cs="Times New Roman"/>
          <w:sz w:val="24"/>
          <w:szCs w:val="24"/>
        </w:rPr>
        <w:t>s</w:t>
      </w:r>
      <w:r w:rsidR="00D25AC8" w:rsidRPr="00AE141E">
        <w:rPr>
          <w:rFonts w:ascii="Times New Roman" w:hAnsi="Times New Roman" w:cs="Times New Roman"/>
          <w:sz w:val="24"/>
          <w:szCs w:val="24"/>
        </w:rPr>
        <w:t xml:space="preserve"> (the so-called ‘Oxfam image’)</w:t>
      </w:r>
      <w:r w:rsidR="00452243" w:rsidRPr="00AE141E">
        <w:rPr>
          <w:rFonts w:ascii="Times New Roman" w:hAnsi="Times New Roman" w:cs="Times New Roman"/>
          <w:sz w:val="24"/>
          <w:szCs w:val="24"/>
        </w:rPr>
        <w:t>.</w:t>
      </w:r>
      <w:r w:rsidR="00D25AC8" w:rsidRPr="00AE141E">
        <w:rPr>
          <w:rStyle w:val="FootnoteReference"/>
          <w:rFonts w:ascii="Times New Roman" w:hAnsi="Times New Roman" w:cs="Times New Roman"/>
          <w:sz w:val="24"/>
          <w:szCs w:val="24"/>
        </w:rPr>
        <w:t xml:space="preserve"> </w:t>
      </w:r>
      <w:r w:rsidR="00D25AC8" w:rsidRPr="00AE141E">
        <w:rPr>
          <w:rStyle w:val="FootnoteReference"/>
          <w:rFonts w:ascii="Times New Roman" w:hAnsi="Times New Roman" w:cs="Times New Roman"/>
          <w:sz w:val="24"/>
          <w:szCs w:val="24"/>
        </w:rPr>
        <w:footnoteReference w:id="595"/>
      </w:r>
      <w:r w:rsidR="00BC1857" w:rsidRPr="00AE141E">
        <w:rPr>
          <w:rFonts w:ascii="Times New Roman" w:hAnsi="Times New Roman" w:cs="Times New Roman"/>
          <w:sz w:val="24"/>
          <w:szCs w:val="24"/>
        </w:rPr>
        <w:t xml:space="preserve"> </w:t>
      </w:r>
      <w:r w:rsidR="00B27305" w:rsidRPr="00AE141E">
        <w:rPr>
          <w:rFonts w:ascii="Times New Roman" w:hAnsi="Times New Roman" w:cs="Times New Roman"/>
          <w:sz w:val="24"/>
          <w:szCs w:val="24"/>
        </w:rPr>
        <w:t>The</w:t>
      </w:r>
      <w:r w:rsidR="00752AEF" w:rsidRPr="00AE141E">
        <w:rPr>
          <w:rFonts w:ascii="Times New Roman" w:hAnsi="Times New Roman" w:cs="Times New Roman"/>
          <w:sz w:val="24"/>
          <w:szCs w:val="24"/>
        </w:rPr>
        <w:t xml:space="preserve"> IRR and the ACD </w:t>
      </w:r>
      <w:r w:rsidR="00B7312C" w:rsidRPr="00AE141E">
        <w:rPr>
          <w:rFonts w:ascii="Times New Roman" w:hAnsi="Times New Roman" w:cs="Times New Roman"/>
          <w:sz w:val="24"/>
          <w:szCs w:val="24"/>
        </w:rPr>
        <w:t>viewed histories of anti-colonial resistance as repositories of political power: it was hoped th</w:t>
      </w:r>
      <w:r w:rsidR="00902EC1" w:rsidRPr="00AE141E">
        <w:rPr>
          <w:rFonts w:ascii="Times New Roman" w:hAnsi="Times New Roman" w:cs="Times New Roman"/>
          <w:sz w:val="24"/>
          <w:szCs w:val="24"/>
        </w:rPr>
        <w:t xml:space="preserve">at young people – and especially young people of colour – would </w:t>
      </w:r>
      <w:r w:rsidR="00CC3660" w:rsidRPr="00AE141E">
        <w:rPr>
          <w:rFonts w:ascii="Times New Roman" w:hAnsi="Times New Roman" w:cs="Times New Roman"/>
          <w:sz w:val="24"/>
          <w:szCs w:val="24"/>
        </w:rPr>
        <w:t xml:space="preserve">come to </w:t>
      </w:r>
      <w:r w:rsidR="00BD3007" w:rsidRPr="00AE141E">
        <w:rPr>
          <w:rFonts w:ascii="Times New Roman" w:hAnsi="Times New Roman" w:cs="Times New Roman"/>
          <w:sz w:val="24"/>
          <w:szCs w:val="24"/>
        </w:rPr>
        <w:t>understand themselves as historical agents, in di</w:t>
      </w:r>
      <w:r w:rsidR="002A672A" w:rsidRPr="00AE141E">
        <w:rPr>
          <w:rFonts w:ascii="Times New Roman" w:hAnsi="Times New Roman" w:cs="Times New Roman"/>
          <w:sz w:val="24"/>
          <w:szCs w:val="24"/>
        </w:rPr>
        <w:t xml:space="preserve">alogue with the struggles of the past. </w:t>
      </w:r>
      <w:r w:rsidR="00F46425" w:rsidRPr="00AE141E">
        <w:rPr>
          <w:rFonts w:ascii="Times New Roman" w:hAnsi="Times New Roman" w:cs="Times New Roman"/>
          <w:i/>
          <w:sz w:val="24"/>
          <w:szCs w:val="24"/>
        </w:rPr>
        <w:t xml:space="preserve">A History of Racism </w:t>
      </w:r>
      <w:r w:rsidR="00E24145" w:rsidRPr="00AE141E">
        <w:rPr>
          <w:rFonts w:ascii="Times New Roman" w:hAnsi="Times New Roman" w:cs="Times New Roman"/>
          <w:sz w:val="24"/>
          <w:szCs w:val="24"/>
        </w:rPr>
        <w:t>went so far as to describe the</w:t>
      </w:r>
      <w:r w:rsidR="00F46425" w:rsidRPr="00AE141E">
        <w:rPr>
          <w:rFonts w:ascii="Times New Roman" w:hAnsi="Times New Roman" w:cs="Times New Roman"/>
          <w:sz w:val="24"/>
          <w:szCs w:val="24"/>
        </w:rPr>
        <w:t xml:space="preserve"> omission of histories of anti-colonial resistance from school textbooks as a dangerous practi</w:t>
      </w:r>
      <w:r w:rsidR="008B3A20" w:rsidRPr="00AE141E">
        <w:rPr>
          <w:rFonts w:ascii="Times New Roman" w:hAnsi="Times New Roman" w:cs="Times New Roman"/>
          <w:sz w:val="24"/>
          <w:szCs w:val="24"/>
        </w:rPr>
        <w:t>c</w:t>
      </w:r>
      <w:r w:rsidR="00F46425" w:rsidRPr="00AE141E">
        <w:rPr>
          <w:rFonts w:ascii="Times New Roman" w:hAnsi="Times New Roman" w:cs="Times New Roman"/>
          <w:sz w:val="24"/>
          <w:szCs w:val="24"/>
        </w:rPr>
        <w:t>e</w:t>
      </w:r>
      <w:r w:rsidR="00F0335F" w:rsidRPr="00AE141E">
        <w:rPr>
          <w:rFonts w:ascii="Times New Roman" w:hAnsi="Times New Roman" w:cs="Times New Roman"/>
          <w:sz w:val="24"/>
          <w:szCs w:val="24"/>
        </w:rPr>
        <w:t>.</w:t>
      </w:r>
      <w:r w:rsidR="00CA1661" w:rsidRPr="00AE141E">
        <w:rPr>
          <w:rStyle w:val="FootnoteReference"/>
          <w:rFonts w:ascii="Times New Roman" w:hAnsi="Times New Roman" w:cs="Times New Roman"/>
          <w:sz w:val="24"/>
          <w:szCs w:val="24"/>
        </w:rPr>
        <w:footnoteReference w:id="596"/>
      </w:r>
      <w:r w:rsidR="00F0335F" w:rsidRPr="00AE141E">
        <w:rPr>
          <w:rFonts w:ascii="Times New Roman" w:hAnsi="Times New Roman" w:cs="Times New Roman"/>
          <w:sz w:val="24"/>
          <w:szCs w:val="24"/>
        </w:rPr>
        <w:t xml:space="preserve"> T</w:t>
      </w:r>
      <w:r w:rsidR="001D24FA" w:rsidRPr="00AE141E">
        <w:rPr>
          <w:rFonts w:ascii="Times New Roman" w:hAnsi="Times New Roman" w:cs="Times New Roman"/>
          <w:sz w:val="24"/>
          <w:szCs w:val="24"/>
        </w:rPr>
        <w:t>o e</w:t>
      </w:r>
      <w:r w:rsidR="00F46425" w:rsidRPr="00AE141E">
        <w:rPr>
          <w:rFonts w:ascii="Times New Roman" w:hAnsi="Times New Roman" w:cs="Times New Roman"/>
          <w:sz w:val="24"/>
          <w:szCs w:val="24"/>
        </w:rPr>
        <w:t>ras</w:t>
      </w:r>
      <w:r w:rsidR="001D24FA" w:rsidRPr="00AE141E">
        <w:rPr>
          <w:rFonts w:ascii="Times New Roman" w:hAnsi="Times New Roman" w:cs="Times New Roman"/>
          <w:sz w:val="24"/>
          <w:szCs w:val="24"/>
        </w:rPr>
        <w:t>e these histor</w:t>
      </w:r>
      <w:r w:rsidR="009C32B1" w:rsidRPr="00AE141E">
        <w:rPr>
          <w:rFonts w:ascii="Times New Roman" w:hAnsi="Times New Roman" w:cs="Times New Roman"/>
          <w:sz w:val="24"/>
          <w:szCs w:val="24"/>
        </w:rPr>
        <w:t>ies</w:t>
      </w:r>
      <w:r w:rsidR="00F0335F" w:rsidRPr="00AE141E">
        <w:rPr>
          <w:rFonts w:ascii="Times New Roman" w:hAnsi="Times New Roman" w:cs="Times New Roman"/>
          <w:sz w:val="24"/>
          <w:szCs w:val="24"/>
        </w:rPr>
        <w:t xml:space="preserve">, the authors believed, </w:t>
      </w:r>
      <w:r w:rsidR="009C32B1" w:rsidRPr="00AE141E">
        <w:rPr>
          <w:rFonts w:ascii="Times New Roman" w:hAnsi="Times New Roman" w:cs="Times New Roman"/>
          <w:sz w:val="24"/>
          <w:szCs w:val="24"/>
        </w:rPr>
        <w:t xml:space="preserve">was to </w:t>
      </w:r>
      <w:r w:rsidR="00F0335F" w:rsidRPr="00AE141E">
        <w:rPr>
          <w:rFonts w:ascii="Times New Roman" w:hAnsi="Times New Roman" w:cs="Times New Roman"/>
          <w:sz w:val="24"/>
          <w:szCs w:val="24"/>
        </w:rPr>
        <w:t xml:space="preserve">curtail the </w:t>
      </w:r>
      <w:r w:rsidR="00192256" w:rsidRPr="00AE141E">
        <w:rPr>
          <w:rFonts w:ascii="Times New Roman" w:hAnsi="Times New Roman" w:cs="Times New Roman"/>
          <w:sz w:val="24"/>
          <w:szCs w:val="24"/>
        </w:rPr>
        <w:t>potentialities</w:t>
      </w:r>
      <w:r w:rsidR="00F0335F" w:rsidRPr="00AE141E">
        <w:rPr>
          <w:rFonts w:ascii="Times New Roman" w:hAnsi="Times New Roman" w:cs="Times New Roman"/>
          <w:sz w:val="24"/>
          <w:szCs w:val="24"/>
        </w:rPr>
        <w:t xml:space="preserve"> of an anti-racist future.</w:t>
      </w:r>
    </w:p>
    <w:p w14:paraId="2268A24E" w14:textId="7F06F0B6" w:rsidR="003D29E7" w:rsidRPr="00AE141E" w:rsidRDefault="006D4747" w:rsidP="00AE141E">
      <w:pPr>
        <w:spacing w:line="360" w:lineRule="auto"/>
        <w:rPr>
          <w:rFonts w:ascii="Times New Roman" w:hAnsi="Times New Roman" w:cs="Times New Roman"/>
          <w:sz w:val="24"/>
          <w:szCs w:val="24"/>
        </w:rPr>
      </w:pPr>
      <w:r w:rsidRPr="00AE141E">
        <w:rPr>
          <w:rStyle w:val="wixui-rich-texttext"/>
          <w:rFonts w:ascii="Times New Roman" w:hAnsi="Times New Roman" w:cs="Times New Roman"/>
          <w:color w:val="000000"/>
          <w:sz w:val="24"/>
          <w:szCs w:val="24"/>
          <w:bdr w:val="none" w:sz="0" w:space="0" w:color="auto" w:frame="1"/>
        </w:rPr>
        <w:t>As in the BEM, t</w:t>
      </w:r>
      <w:r w:rsidR="007E72BB" w:rsidRPr="00AE141E">
        <w:rPr>
          <w:rStyle w:val="wixui-rich-texttext"/>
          <w:rFonts w:ascii="Times New Roman" w:hAnsi="Times New Roman" w:cs="Times New Roman"/>
          <w:color w:val="000000"/>
          <w:sz w:val="24"/>
          <w:szCs w:val="24"/>
          <w:bdr w:val="none" w:sz="0" w:space="0" w:color="auto" w:frame="1"/>
        </w:rPr>
        <w:t>he interlinked concepts of the pupil-as-historian and the</w:t>
      </w:r>
      <w:r w:rsidR="00445EB9" w:rsidRPr="00AE141E">
        <w:rPr>
          <w:rStyle w:val="wixui-rich-texttext"/>
          <w:rFonts w:ascii="Times New Roman" w:hAnsi="Times New Roman" w:cs="Times New Roman"/>
          <w:color w:val="000000"/>
          <w:sz w:val="24"/>
          <w:szCs w:val="24"/>
          <w:bdr w:val="none" w:sz="0" w:space="0" w:color="auto" w:frame="1"/>
        </w:rPr>
        <w:t xml:space="preserve"> </w:t>
      </w:r>
      <w:r w:rsidR="007E72BB" w:rsidRPr="00AE141E">
        <w:rPr>
          <w:rStyle w:val="wixui-rich-texttext"/>
          <w:rFonts w:ascii="Times New Roman" w:hAnsi="Times New Roman" w:cs="Times New Roman"/>
          <w:color w:val="000000"/>
          <w:sz w:val="24"/>
          <w:szCs w:val="24"/>
          <w:bdr w:val="none" w:sz="0" w:space="0" w:color="auto" w:frame="1"/>
        </w:rPr>
        <w:t>pupil</w:t>
      </w:r>
      <w:r w:rsidR="00445EB9" w:rsidRPr="00AE141E">
        <w:rPr>
          <w:rStyle w:val="wixui-rich-texttext"/>
          <w:rFonts w:ascii="Times New Roman" w:hAnsi="Times New Roman" w:cs="Times New Roman"/>
          <w:color w:val="000000"/>
          <w:sz w:val="24"/>
          <w:szCs w:val="24"/>
          <w:bdr w:val="none" w:sz="0" w:space="0" w:color="auto" w:frame="1"/>
        </w:rPr>
        <w:t>-as-history-maker continually recur</w:t>
      </w:r>
      <w:r w:rsidRPr="00AE141E">
        <w:rPr>
          <w:rStyle w:val="wixui-rich-texttext"/>
          <w:rFonts w:ascii="Times New Roman" w:hAnsi="Times New Roman" w:cs="Times New Roman"/>
          <w:color w:val="000000"/>
          <w:sz w:val="24"/>
          <w:szCs w:val="24"/>
          <w:bdr w:val="none" w:sz="0" w:space="0" w:color="auto" w:frame="1"/>
        </w:rPr>
        <w:t>red</w:t>
      </w:r>
      <w:r w:rsidR="00445EB9" w:rsidRPr="00AE141E">
        <w:rPr>
          <w:rStyle w:val="wixui-rich-texttext"/>
          <w:rFonts w:ascii="Times New Roman" w:hAnsi="Times New Roman" w:cs="Times New Roman"/>
          <w:color w:val="000000"/>
          <w:sz w:val="24"/>
          <w:szCs w:val="24"/>
          <w:bdr w:val="none" w:sz="0" w:space="0" w:color="auto" w:frame="1"/>
        </w:rPr>
        <w:t xml:space="preserve"> in </w:t>
      </w:r>
      <w:r w:rsidR="008154D4" w:rsidRPr="00AE141E">
        <w:rPr>
          <w:rStyle w:val="wixui-rich-texttext"/>
          <w:rFonts w:ascii="Times New Roman" w:hAnsi="Times New Roman" w:cs="Times New Roman"/>
          <w:color w:val="000000"/>
          <w:sz w:val="24"/>
          <w:szCs w:val="24"/>
          <w:bdr w:val="none" w:sz="0" w:space="0" w:color="auto" w:frame="1"/>
        </w:rPr>
        <w:t>guidance for anti-racist history teaching.</w:t>
      </w:r>
      <w:r w:rsidR="003D29E7" w:rsidRPr="00AE141E">
        <w:rPr>
          <w:rStyle w:val="wixui-rich-texttext"/>
          <w:rFonts w:ascii="Times New Roman" w:hAnsi="Times New Roman" w:cs="Times New Roman"/>
          <w:color w:val="000000"/>
          <w:sz w:val="24"/>
          <w:szCs w:val="24"/>
          <w:bdr w:val="none" w:sz="0" w:space="0" w:color="auto" w:frame="1"/>
        </w:rPr>
        <w:t xml:space="preserve"> </w:t>
      </w:r>
      <w:r w:rsidR="00151C5B" w:rsidRPr="00AE141E">
        <w:rPr>
          <w:rStyle w:val="wixui-rich-texttext"/>
          <w:rFonts w:ascii="Times New Roman" w:hAnsi="Times New Roman" w:cs="Times New Roman"/>
          <w:color w:val="000000"/>
          <w:sz w:val="24"/>
          <w:szCs w:val="24"/>
          <w:bdr w:val="none" w:sz="0" w:space="0" w:color="auto" w:frame="1"/>
        </w:rPr>
        <w:t xml:space="preserve">For example, teachers at Hackney Downs school warned that their well-meaning colleagues risked doing ‘more </w:t>
      </w:r>
      <w:r w:rsidR="00551CA1" w:rsidRPr="00AE141E">
        <w:rPr>
          <w:rFonts w:ascii="Times New Roman" w:hAnsi="Times New Roman" w:cs="Times New Roman"/>
          <w:sz w:val="24"/>
          <w:szCs w:val="24"/>
        </w:rPr>
        <w:t>harm than good</w:t>
      </w:r>
      <w:r w:rsidR="00C65E5C" w:rsidRPr="00AE141E">
        <w:rPr>
          <w:rFonts w:ascii="Times New Roman" w:hAnsi="Times New Roman" w:cs="Times New Roman"/>
          <w:sz w:val="24"/>
          <w:szCs w:val="24"/>
        </w:rPr>
        <w:t>’</w:t>
      </w:r>
      <w:r w:rsidR="00551CA1" w:rsidRPr="00AE141E">
        <w:rPr>
          <w:rFonts w:ascii="Times New Roman" w:hAnsi="Times New Roman" w:cs="Times New Roman"/>
          <w:sz w:val="24"/>
          <w:szCs w:val="24"/>
        </w:rPr>
        <w:t xml:space="preserve"> by </w:t>
      </w:r>
      <w:r w:rsidR="00F76A5A" w:rsidRPr="00AE141E">
        <w:rPr>
          <w:rFonts w:ascii="Times New Roman" w:hAnsi="Times New Roman" w:cs="Times New Roman"/>
          <w:sz w:val="24"/>
          <w:szCs w:val="24"/>
        </w:rPr>
        <w:t>working exclusively</w:t>
      </w:r>
      <w:r w:rsidR="00C65E5C" w:rsidRPr="00AE141E">
        <w:rPr>
          <w:rFonts w:ascii="Times New Roman" w:hAnsi="Times New Roman" w:cs="Times New Roman"/>
          <w:sz w:val="24"/>
          <w:szCs w:val="24"/>
        </w:rPr>
        <w:t xml:space="preserve"> on the </w:t>
      </w:r>
      <w:r w:rsidR="001E2961" w:rsidRPr="00AE141E">
        <w:rPr>
          <w:rFonts w:ascii="Times New Roman" w:hAnsi="Times New Roman" w:cs="Times New Roman"/>
          <w:sz w:val="24"/>
          <w:szCs w:val="24"/>
        </w:rPr>
        <w:t>brutality</w:t>
      </w:r>
      <w:r w:rsidR="00BD48DE" w:rsidRPr="00AE141E">
        <w:rPr>
          <w:rFonts w:ascii="Times New Roman" w:hAnsi="Times New Roman" w:cs="Times New Roman"/>
          <w:sz w:val="24"/>
          <w:szCs w:val="24"/>
        </w:rPr>
        <w:t xml:space="preserve"> of slavery.</w:t>
      </w:r>
      <w:r w:rsidR="00054E73" w:rsidRPr="00AE141E">
        <w:rPr>
          <w:rStyle w:val="FootnoteReference"/>
          <w:rFonts w:ascii="Times New Roman" w:hAnsi="Times New Roman" w:cs="Times New Roman"/>
          <w:sz w:val="24"/>
          <w:szCs w:val="24"/>
        </w:rPr>
        <w:footnoteReference w:id="597"/>
      </w:r>
      <w:r w:rsidR="00BD48DE" w:rsidRPr="00AE141E">
        <w:rPr>
          <w:rFonts w:ascii="Times New Roman" w:hAnsi="Times New Roman" w:cs="Times New Roman"/>
          <w:sz w:val="24"/>
          <w:szCs w:val="24"/>
        </w:rPr>
        <w:t xml:space="preserve"> </w:t>
      </w:r>
      <w:r w:rsidR="00FA3C67" w:rsidRPr="00AE141E">
        <w:rPr>
          <w:rFonts w:ascii="Times New Roman" w:hAnsi="Times New Roman" w:cs="Times New Roman"/>
          <w:sz w:val="24"/>
          <w:szCs w:val="24"/>
        </w:rPr>
        <w:t xml:space="preserve">Such histories </w:t>
      </w:r>
      <w:r w:rsidR="006A67AF" w:rsidRPr="00AE141E">
        <w:rPr>
          <w:rFonts w:ascii="Times New Roman" w:hAnsi="Times New Roman" w:cs="Times New Roman"/>
          <w:sz w:val="24"/>
          <w:szCs w:val="24"/>
        </w:rPr>
        <w:t>had the potential to</w:t>
      </w:r>
      <w:r w:rsidR="00FA3C67" w:rsidRPr="00AE141E">
        <w:rPr>
          <w:rFonts w:ascii="Times New Roman" w:hAnsi="Times New Roman" w:cs="Times New Roman"/>
          <w:sz w:val="24"/>
          <w:szCs w:val="24"/>
        </w:rPr>
        <w:t xml:space="preserve"> plung</w:t>
      </w:r>
      <w:r w:rsidR="006A67AF" w:rsidRPr="00AE141E">
        <w:rPr>
          <w:rFonts w:ascii="Times New Roman" w:hAnsi="Times New Roman" w:cs="Times New Roman"/>
          <w:sz w:val="24"/>
          <w:szCs w:val="24"/>
        </w:rPr>
        <w:t>e</w:t>
      </w:r>
      <w:r w:rsidR="00B6629A" w:rsidRPr="00AE141E">
        <w:rPr>
          <w:rFonts w:ascii="Times New Roman" w:hAnsi="Times New Roman" w:cs="Times New Roman"/>
          <w:sz w:val="24"/>
          <w:szCs w:val="24"/>
        </w:rPr>
        <w:t xml:space="preserve"> </w:t>
      </w:r>
      <w:r w:rsidR="00FA3C67" w:rsidRPr="00AE141E">
        <w:rPr>
          <w:rFonts w:ascii="Times New Roman" w:hAnsi="Times New Roman" w:cs="Times New Roman"/>
          <w:sz w:val="24"/>
          <w:szCs w:val="24"/>
        </w:rPr>
        <w:t>pupils into a ‘bewildering sense of oppression and desire to resist</w:t>
      </w:r>
      <w:r w:rsidR="00D15640" w:rsidRPr="00AE141E">
        <w:rPr>
          <w:rFonts w:ascii="Times New Roman" w:hAnsi="Times New Roman" w:cs="Times New Roman"/>
          <w:sz w:val="24"/>
          <w:szCs w:val="24"/>
        </w:rPr>
        <w:t>’, unmoored from feelings of hope</w:t>
      </w:r>
      <w:r w:rsidR="00192256" w:rsidRPr="00AE141E">
        <w:rPr>
          <w:rFonts w:ascii="Times New Roman" w:hAnsi="Times New Roman" w:cs="Times New Roman"/>
          <w:sz w:val="24"/>
          <w:szCs w:val="24"/>
        </w:rPr>
        <w:t xml:space="preserve"> or the possibilit</w:t>
      </w:r>
      <w:r w:rsidR="000170B2" w:rsidRPr="00AE141E">
        <w:rPr>
          <w:rFonts w:ascii="Times New Roman" w:hAnsi="Times New Roman" w:cs="Times New Roman"/>
          <w:sz w:val="24"/>
          <w:szCs w:val="24"/>
        </w:rPr>
        <w:t xml:space="preserve">y of successful struggle. </w:t>
      </w:r>
      <w:r w:rsidR="00AC7A5F" w:rsidRPr="00AE141E">
        <w:rPr>
          <w:rFonts w:ascii="Times New Roman" w:hAnsi="Times New Roman" w:cs="Times New Roman"/>
          <w:sz w:val="24"/>
          <w:szCs w:val="24"/>
        </w:rPr>
        <w:t>Hackney Downs</w:t>
      </w:r>
      <w:r w:rsidR="00225F3D" w:rsidRPr="00AE141E">
        <w:rPr>
          <w:rFonts w:ascii="Times New Roman" w:hAnsi="Times New Roman" w:cs="Times New Roman"/>
          <w:sz w:val="24"/>
          <w:szCs w:val="24"/>
        </w:rPr>
        <w:t xml:space="preserve"> instead </w:t>
      </w:r>
      <w:r w:rsidR="00564DC5" w:rsidRPr="00AE141E">
        <w:rPr>
          <w:rFonts w:ascii="Times New Roman" w:hAnsi="Times New Roman" w:cs="Times New Roman"/>
          <w:sz w:val="24"/>
          <w:szCs w:val="24"/>
        </w:rPr>
        <w:t xml:space="preserve">offered a narrative of </w:t>
      </w:r>
      <w:r w:rsidR="006A67AF" w:rsidRPr="00AE141E">
        <w:rPr>
          <w:rFonts w:ascii="Times New Roman" w:hAnsi="Times New Roman" w:cs="Times New Roman"/>
          <w:sz w:val="24"/>
          <w:szCs w:val="24"/>
        </w:rPr>
        <w:t xml:space="preserve">historic </w:t>
      </w:r>
      <w:r w:rsidR="00564DC5" w:rsidRPr="00AE141E">
        <w:rPr>
          <w:rFonts w:ascii="Times New Roman" w:hAnsi="Times New Roman" w:cs="Times New Roman"/>
          <w:sz w:val="24"/>
          <w:szCs w:val="24"/>
        </w:rPr>
        <w:t>Black achievement</w:t>
      </w:r>
      <w:r w:rsidR="00DF3678" w:rsidRPr="00AE141E">
        <w:rPr>
          <w:rFonts w:ascii="Times New Roman" w:hAnsi="Times New Roman" w:cs="Times New Roman"/>
          <w:sz w:val="24"/>
          <w:szCs w:val="24"/>
        </w:rPr>
        <w:t>. It</w:t>
      </w:r>
      <w:r w:rsidR="002F1573" w:rsidRPr="00AE141E">
        <w:rPr>
          <w:rFonts w:ascii="Times New Roman" w:hAnsi="Times New Roman" w:cs="Times New Roman"/>
          <w:sz w:val="24"/>
          <w:szCs w:val="24"/>
        </w:rPr>
        <w:t xml:space="preserve"> argued that a ‘rich and varied’ Black cultural life had </w:t>
      </w:r>
      <w:r w:rsidR="003C1DED" w:rsidRPr="00AE141E">
        <w:rPr>
          <w:rFonts w:ascii="Times New Roman" w:hAnsi="Times New Roman" w:cs="Times New Roman"/>
          <w:sz w:val="24"/>
          <w:szCs w:val="24"/>
        </w:rPr>
        <w:t>thrived</w:t>
      </w:r>
      <w:r w:rsidR="002F1573" w:rsidRPr="00AE141E">
        <w:rPr>
          <w:rFonts w:ascii="Times New Roman" w:hAnsi="Times New Roman" w:cs="Times New Roman"/>
          <w:sz w:val="24"/>
          <w:szCs w:val="24"/>
        </w:rPr>
        <w:t xml:space="preserve"> and </w:t>
      </w:r>
      <w:r w:rsidR="003C1DED" w:rsidRPr="00AE141E">
        <w:rPr>
          <w:rFonts w:ascii="Times New Roman" w:hAnsi="Times New Roman" w:cs="Times New Roman"/>
          <w:sz w:val="24"/>
          <w:szCs w:val="24"/>
        </w:rPr>
        <w:t>endured</w:t>
      </w:r>
      <w:r w:rsidR="00DF3678" w:rsidRPr="00AE141E">
        <w:rPr>
          <w:rFonts w:ascii="Times New Roman" w:hAnsi="Times New Roman" w:cs="Times New Roman"/>
          <w:sz w:val="24"/>
          <w:szCs w:val="24"/>
        </w:rPr>
        <w:t xml:space="preserve"> </w:t>
      </w:r>
      <w:r w:rsidR="0085570E" w:rsidRPr="00AE141E">
        <w:rPr>
          <w:rFonts w:ascii="Times New Roman" w:hAnsi="Times New Roman" w:cs="Times New Roman"/>
          <w:sz w:val="24"/>
          <w:szCs w:val="24"/>
        </w:rPr>
        <w:t xml:space="preserve">against all the odds. </w:t>
      </w:r>
      <w:r w:rsidR="00031994" w:rsidRPr="00AE141E">
        <w:rPr>
          <w:rFonts w:ascii="Times New Roman" w:hAnsi="Times New Roman" w:cs="Times New Roman"/>
          <w:sz w:val="24"/>
          <w:szCs w:val="24"/>
        </w:rPr>
        <w:t xml:space="preserve">The </w:t>
      </w:r>
      <w:r w:rsidR="00D17CEC" w:rsidRPr="00AE141E">
        <w:rPr>
          <w:rFonts w:ascii="Times New Roman" w:hAnsi="Times New Roman" w:cs="Times New Roman"/>
          <w:sz w:val="24"/>
          <w:szCs w:val="24"/>
        </w:rPr>
        <w:t xml:space="preserve">teachers recognised the impossibility </w:t>
      </w:r>
      <w:r w:rsidR="00031994" w:rsidRPr="00AE141E">
        <w:rPr>
          <w:rFonts w:ascii="Times New Roman" w:hAnsi="Times New Roman" w:cs="Times New Roman"/>
          <w:sz w:val="24"/>
          <w:szCs w:val="24"/>
        </w:rPr>
        <w:t xml:space="preserve">of </w:t>
      </w:r>
      <w:r w:rsidR="00D17CEC" w:rsidRPr="00AE141E">
        <w:rPr>
          <w:rFonts w:ascii="Times New Roman" w:hAnsi="Times New Roman" w:cs="Times New Roman"/>
          <w:sz w:val="24"/>
          <w:szCs w:val="24"/>
        </w:rPr>
        <w:t xml:space="preserve">eliminating </w:t>
      </w:r>
      <w:r w:rsidR="00031994" w:rsidRPr="00AE141E">
        <w:rPr>
          <w:rFonts w:ascii="Times New Roman" w:hAnsi="Times New Roman" w:cs="Times New Roman"/>
          <w:sz w:val="24"/>
          <w:szCs w:val="24"/>
        </w:rPr>
        <w:t xml:space="preserve">racism </w:t>
      </w:r>
      <w:r w:rsidR="00D17CEC" w:rsidRPr="00AE141E">
        <w:rPr>
          <w:rFonts w:ascii="Times New Roman" w:hAnsi="Times New Roman" w:cs="Times New Roman"/>
          <w:sz w:val="24"/>
          <w:szCs w:val="24"/>
        </w:rPr>
        <w:t>via curricular changes alone</w:t>
      </w:r>
      <w:r w:rsidR="00E22CC8" w:rsidRPr="00AE141E">
        <w:rPr>
          <w:rFonts w:ascii="Times New Roman" w:hAnsi="Times New Roman" w:cs="Times New Roman"/>
          <w:sz w:val="24"/>
          <w:szCs w:val="24"/>
        </w:rPr>
        <w:t>.</w:t>
      </w:r>
      <w:r w:rsidR="000935A5" w:rsidRPr="00AE141E">
        <w:rPr>
          <w:rFonts w:ascii="Times New Roman" w:hAnsi="Times New Roman" w:cs="Times New Roman"/>
          <w:sz w:val="24"/>
          <w:szCs w:val="24"/>
        </w:rPr>
        <w:t xml:space="preserve"> </w:t>
      </w:r>
      <w:r w:rsidR="00D17CEC" w:rsidRPr="00AE141E">
        <w:rPr>
          <w:rFonts w:ascii="Times New Roman" w:hAnsi="Times New Roman" w:cs="Times New Roman"/>
          <w:sz w:val="24"/>
          <w:szCs w:val="24"/>
        </w:rPr>
        <w:t>Instead</w:t>
      </w:r>
      <w:r w:rsidR="00E22CC8" w:rsidRPr="00AE141E">
        <w:rPr>
          <w:rFonts w:ascii="Times New Roman" w:hAnsi="Times New Roman" w:cs="Times New Roman"/>
          <w:sz w:val="24"/>
          <w:szCs w:val="24"/>
        </w:rPr>
        <w:t>, they hoped to create</w:t>
      </w:r>
      <w:r w:rsidR="000935A5" w:rsidRPr="00AE141E">
        <w:rPr>
          <w:rFonts w:ascii="Times New Roman" w:hAnsi="Times New Roman" w:cs="Times New Roman"/>
          <w:sz w:val="24"/>
          <w:szCs w:val="24"/>
        </w:rPr>
        <w:t xml:space="preserve"> ‘more meaningful and intelligent context’ in which it could be discussed, and </w:t>
      </w:r>
      <w:r w:rsidR="000B412F" w:rsidRPr="00AE141E">
        <w:rPr>
          <w:rFonts w:ascii="Times New Roman" w:hAnsi="Times New Roman" w:cs="Times New Roman"/>
          <w:sz w:val="24"/>
          <w:szCs w:val="24"/>
        </w:rPr>
        <w:t>resistance theorised.</w:t>
      </w:r>
    </w:p>
    <w:p w14:paraId="2C342CD3" w14:textId="503C236B" w:rsidR="00DC0F95" w:rsidRPr="00AE141E" w:rsidRDefault="002B190E" w:rsidP="00AE141E">
      <w:pPr>
        <w:spacing w:line="360" w:lineRule="auto"/>
        <w:rPr>
          <w:rFonts w:ascii="Times New Roman" w:hAnsi="Times New Roman" w:cs="Times New Roman"/>
          <w:color w:val="000000"/>
          <w:sz w:val="24"/>
          <w:szCs w:val="24"/>
          <w:bdr w:val="none" w:sz="0" w:space="0" w:color="auto" w:frame="1"/>
        </w:rPr>
      </w:pPr>
      <w:r w:rsidRPr="00AE141E">
        <w:rPr>
          <w:rFonts w:ascii="Times New Roman" w:hAnsi="Times New Roman" w:cs="Times New Roman"/>
          <w:sz w:val="24"/>
          <w:szCs w:val="24"/>
        </w:rPr>
        <w:t xml:space="preserve">Anti-racist history teaching was lent urgency by the </w:t>
      </w:r>
      <w:r w:rsidR="00371B93" w:rsidRPr="00AE141E">
        <w:rPr>
          <w:rFonts w:ascii="Times New Roman" w:hAnsi="Times New Roman" w:cs="Times New Roman"/>
          <w:sz w:val="24"/>
          <w:szCs w:val="24"/>
        </w:rPr>
        <w:t>prominence of Britain’s organised far-right</w:t>
      </w:r>
      <w:r w:rsidR="00626E67" w:rsidRPr="00AE141E">
        <w:rPr>
          <w:rFonts w:ascii="Times New Roman" w:hAnsi="Times New Roman" w:cs="Times New Roman"/>
          <w:sz w:val="24"/>
          <w:szCs w:val="24"/>
        </w:rPr>
        <w:t xml:space="preserve"> during</w:t>
      </w:r>
      <w:r w:rsidR="00B07316">
        <w:rPr>
          <w:rFonts w:ascii="Times New Roman" w:hAnsi="Times New Roman" w:cs="Times New Roman"/>
          <w:sz w:val="24"/>
          <w:szCs w:val="24"/>
        </w:rPr>
        <w:t xml:space="preserve"> this period</w:t>
      </w:r>
      <w:r w:rsidR="000F4697" w:rsidRPr="00AE141E">
        <w:rPr>
          <w:rFonts w:ascii="Times New Roman" w:hAnsi="Times New Roman" w:cs="Times New Roman"/>
          <w:sz w:val="24"/>
          <w:szCs w:val="24"/>
        </w:rPr>
        <w:t xml:space="preserve">. </w:t>
      </w:r>
      <w:r w:rsidR="00B208BE" w:rsidRPr="00AE141E">
        <w:rPr>
          <w:rFonts w:ascii="Times New Roman" w:hAnsi="Times New Roman" w:cs="Times New Roman"/>
          <w:sz w:val="24"/>
          <w:szCs w:val="24"/>
        </w:rPr>
        <w:t>It drew heavily upon the</w:t>
      </w:r>
      <w:r w:rsidR="00EF1185" w:rsidRPr="00AE141E">
        <w:rPr>
          <w:rFonts w:ascii="Times New Roman" w:hAnsi="Times New Roman" w:cs="Times New Roman"/>
          <w:sz w:val="24"/>
          <w:szCs w:val="24"/>
        </w:rPr>
        <w:t xml:space="preserve"> </w:t>
      </w:r>
      <w:r w:rsidR="00FD73D7" w:rsidRPr="00AE141E">
        <w:rPr>
          <w:rFonts w:ascii="Times New Roman" w:hAnsi="Times New Roman" w:cs="Times New Roman"/>
          <w:sz w:val="24"/>
          <w:szCs w:val="24"/>
        </w:rPr>
        <w:t xml:space="preserve">discourses of the </w:t>
      </w:r>
      <w:r w:rsidR="00EF1185" w:rsidRPr="00AE141E">
        <w:rPr>
          <w:rFonts w:ascii="Times New Roman" w:hAnsi="Times New Roman" w:cs="Times New Roman"/>
          <w:sz w:val="24"/>
          <w:szCs w:val="24"/>
        </w:rPr>
        <w:t>anti-</w:t>
      </w:r>
      <w:r w:rsidR="00BB3D61" w:rsidRPr="00AE141E">
        <w:rPr>
          <w:rFonts w:ascii="Times New Roman" w:hAnsi="Times New Roman" w:cs="Times New Roman"/>
          <w:sz w:val="24"/>
          <w:szCs w:val="24"/>
        </w:rPr>
        <w:t>fascist</w:t>
      </w:r>
      <w:r w:rsidR="00371B93" w:rsidRPr="00AE141E">
        <w:rPr>
          <w:rFonts w:ascii="Times New Roman" w:hAnsi="Times New Roman" w:cs="Times New Roman"/>
          <w:sz w:val="24"/>
          <w:szCs w:val="24"/>
        </w:rPr>
        <w:t xml:space="preserve"> </w:t>
      </w:r>
      <w:r w:rsidR="00BB3D61" w:rsidRPr="00AE141E">
        <w:rPr>
          <w:rFonts w:ascii="Times New Roman" w:hAnsi="Times New Roman" w:cs="Times New Roman"/>
          <w:sz w:val="24"/>
          <w:szCs w:val="24"/>
        </w:rPr>
        <w:t>movement</w:t>
      </w:r>
      <w:r w:rsidR="00510563" w:rsidRPr="00AE141E">
        <w:rPr>
          <w:rFonts w:ascii="Times New Roman" w:hAnsi="Times New Roman" w:cs="Times New Roman"/>
          <w:sz w:val="24"/>
          <w:szCs w:val="24"/>
        </w:rPr>
        <w:t>, which used history to hold a mirror to the present. In 1980, the self-described ‘Revolutionary Socialist Feminist organisation’ Big Flame</w:t>
      </w:r>
      <w:r w:rsidR="008B12B3" w:rsidRPr="00AE141E">
        <w:rPr>
          <w:rFonts w:ascii="Times New Roman" w:hAnsi="Times New Roman" w:cs="Times New Roman"/>
          <w:sz w:val="24"/>
          <w:szCs w:val="24"/>
        </w:rPr>
        <w:t xml:space="preserve"> </w:t>
      </w:r>
      <w:r w:rsidR="00510563" w:rsidRPr="00AE141E">
        <w:rPr>
          <w:rFonts w:ascii="Times New Roman" w:hAnsi="Times New Roman" w:cs="Times New Roman"/>
          <w:sz w:val="24"/>
          <w:szCs w:val="24"/>
        </w:rPr>
        <w:t xml:space="preserve">produced a pamphlet </w:t>
      </w:r>
      <w:r w:rsidR="00F71C1F" w:rsidRPr="00AE141E">
        <w:rPr>
          <w:rFonts w:ascii="Times New Roman" w:hAnsi="Times New Roman" w:cs="Times New Roman"/>
          <w:sz w:val="24"/>
          <w:szCs w:val="24"/>
        </w:rPr>
        <w:t>entitled</w:t>
      </w:r>
      <w:r w:rsidR="00510563" w:rsidRPr="00AE141E">
        <w:rPr>
          <w:rFonts w:ascii="Times New Roman" w:hAnsi="Times New Roman" w:cs="Times New Roman"/>
          <w:sz w:val="24"/>
          <w:szCs w:val="24"/>
        </w:rPr>
        <w:t xml:space="preserve"> </w:t>
      </w:r>
      <w:r w:rsidR="00510563" w:rsidRPr="00AE141E">
        <w:rPr>
          <w:rFonts w:ascii="Times New Roman" w:hAnsi="Times New Roman" w:cs="Times New Roman"/>
          <w:i/>
          <w:sz w:val="24"/>
          <w:szCs w:val="24"/>
        </w:rPr>
        <w:t>The Past Against Our Future: Fighting Racism and Fascism</w:t>
      </w:r>
      <w:r w:rsidR="00F71C1F" w:rsidRPr="00AE141E">
        <w:rPr>
          <w:rFonts w:ascii="Times New Roman" w:hAnsi="Times New Roman" w:cs="Times New Roman"/>
          <w:i/>
          <w:sz w:val="24"/>
          <w:szCs w:val="24"/>
        </w:rPr>
        <w:t>.</w:t>
      </w:r>
      <w:r w:rsidR="00FE7B06">
        <w:rPr>
          <w:rStyle w:val="FootnoteReference"/>
          <w:rFonts w:ascii="Times New Roman" w:hAnsi="Times New Roman" w:cs="Times New Roman"/>
          <w:i/>
          <w:sz w:val="24"/>
          <w:szCs w:val="24"/>
        </w:rPr>
        <w:footnoteReference w:id="598"/>
      </w:r>
      <w:r w:rsidR="00F71C1F" w:rsidRPr="00AE141E">
        <w:rPr>
          <w:rFonts w:ascii="Times New Roman" w:hAnsi="Times New Roman" w:cs="Times New Roman"/>
          <w:i/>
          <w:sz w:val="24"/>
          <w:szCs w:val="24"/>
        </w:rPr>
        <w:t xml:space="preserve"> </w:t>
      </w:r>
      <w:r w:rsidR="00A06E1D" w:rsidRPr="00AE141E">
        <w:rPr>
          <w:rFonts w:ascii="Times New Roman" w:hAnsi="Times New Roman" w:cs="Times New Roman"/>
          <w:sz w:val="24"/>
          <w:szCs w:val="24"/>
        </w:rPr>
        <w:t>Anti-fascists were instructed</w:t>
      </w:r>
      <w:r w:rsidR="00510563" w:rsidRPr="00AE141E">
        <w:rPr>
          <w:rFonts w:ascii="Times New Roman" w:hAnsi="Times New Roman" w:cs="Times New Roman"/>
          <w:sz w:val="24"/>
          <w:szCs w:val="24"/>
        </w:rPr>
        <w:t xml:space="preserve"> to study </w:t>
      </w:r>
      <w:r w:rsidR="00A06E1D" w:rsidRPr="00AE141E">
        <w:rPr>
          <w:rFonts w:ascii="Times New Roman" w:hAnsi="Times New Roman" w:cs="Times New Roman"/>
          <w:sz w:val="24"/>
          <w:szCs w:val="24"/>
        </w:rPr>
        <w:t>the history of their movement,</w:t>
      </w:r>
      <w:r w:rsidR="00510563" w:rsidRPr="00AE141E">
        <w:rPr>
          <w:rFonts w:ascii="Times New Roman" w:hAnsi="Times New Roman" w:cs="Times New Roman"/>
          <w:sz w:val="24"/>
          <w:szCs w:val="24"/>
        </w:rPr>
        <w:t xml:space="preserve"> ‘in order to learn from our successes and failures’.</w:t>
      </w:r>
      <w:r w:rsidR="00510563" w:rsidRPr="00AE141E">
        <w:rPr>
          <w:rStyle w:val="FootnoteReference"/>
          <w:rFonts w:ascii="Times New Roman" w:hAnsi="Times New Roman" w:cs="Times New Roman"/>
          <w:sz w:val="24"/>
          <w:szCs w:val="24"/>
        </w:rPr>
        <w:footnoteReference w:id="599"/>
      </w:r>
      <w:r w:rsidR="00510563" w:rsidRPr="00AE141E">
        <w:rPr>
          <w:rFonts w:ascii="Times New Roman" w:hAnsi="Times New Roman" w:cs="Times New Roman"/>
          <w:sz w:val="24"/>
          <w:szCs w:val="24"/>
        </w:rPr>
        <w:t xml:space="preserve"> </w:t>
      </w:r>
      <w:r w:rsidR="00F12129" w:rsidRPr="00AE141E">
        <w:rPr>
          <w:rFonts w:ascii="Times New Roman" w:hAnsi="Times New Roman" w:cs="Times New Roman"/>
          <w:color w:val="000000"/>
          <w:sz w:val="24"/>
          <w:szCs w:val="24"/>
          <w:bdr w:val="none" w:sz="0" w:space="0" w:color="auto" w:frame="1"/>
        </w:rPr>
        <w:t xml:space="preserve"> </w:t>
      </w:r>
      <w:r w:rsidR="005C103B" w:rsidRPr="00AE141E">
        <w:rPr>
          <w:rFonts w:ascii="Times New Roman" w:hAnsi="Times New Roman" w:cs="Times New Roman"/>
          <w:color w:val="000000"/>
          <w:sz w:val="24"/>
          <w:szCs w:val="24"/>
          <w:bdr w:val="none" w:sz="0" w:space="0" w:color="auto" w:frame="1"/>
        </w:rPr>
        <w:t xml:space="preserve">The idea </w:t>
      </w:r>
      <w:r w:rsidR="005C103B" w:rsidRPr="00AE141E">
        <w:rPr>
          <w:rFonts w:ascii="Times New Roman" w:hAnsi="Times New Roman" w:cs="Times New Roman"/>
          <w:color w:val="000000"/>
          <w:sz w:val="24"/>
          <w:szCs w:val="24"/>
          <w:bdr w:val="none" w:sz="0" w:space="0" w:color="auto" w:frame="1"/>
        </w:rPr>
        <w:lastRenderedPageBreak/>
        <w:t>was not simply to stop history from repeating itself – a phrase</w:t>
      </w:r>
      <w:r w:rsidR="001A0375" w:rsidRPr="00AE141E">
        <w:rPr>
          <w:rFonts w:ascii="Times New Roman" w:hAnsi="Times New Roman" w:cs="Times New Roman"/>
          <w:color w:val="000000"/>
          <w:sz w:val="24"/>
          <w:szCs w:val="24"/>
          <w:bdr w:val="none" w:sz="0" w:space="0" w:color="auto" w:frame="1"/>
        </w:rPr>
        <w:t xml:space="preserve"> which siloes violence into </w:t>
      </w:r>
      <w:r w:rsidR="00E2234D" w:rsidRPr="00AE141E">
        <w:rPr>
          <w:rFonts w:ascii="Times New Roman" w:hAnsi="Times New Roman" w:cs="Times New Roman"/>
          <w:color w:val="000000"/>
          <w:sz w:val="24"/>
          <w:szCs w:val="24"/>
          <w:bdr w:val="none" w:sz="0" w:space="0" w:color="auto" w:frame="1"/>
        </w:rPr>
        <w:t xml:space="preserve">self-contained and decontextualised tragedies. Instead, the group presented </w:t>
      </w:r>
      <w:r w:rsidR="008B2400" w:rsidRPr="00AE141E">
        <w:rPr>
          <w:rFonts w:ascii="Times New Roman" w:hAnsi="Times New Roman" w:cs="Times New Roman"/>
          <w:color w:val="000000"/>
          <w:sz w:val="24"/>
          <w:szCs w:val="24"/>
          <w:bdr w:val="none" w:sz="0" w:space="0" w:color="auto" w:frame="1"/>
        </w:rPr>
        <w:t xml:space="preserve">a vision of historical continuum, </w:t>
      </w:r>
      <w:r w:rsidR="00766B6E" w:rsidRPr="00AE141E">
        <w:rPr>
          <w:rFonts w:ascii="Times New Roman" w:hAnsi="Times New Roman" w:cs="Times New Roman"/>
          <w:color w:val="000000"/>
          <w:sz w:val="24"/>
          <w:szCs w:val="24"/>
          <w:bdr w:val="none" w:sz="0" w:space="0" w:color="auto" w:frame="1"/>
        </w:rPr>
        <w:t xml:space="preserve">in which </w:t>
      </w:r>
      <w:r w:rsidR="00766B6E" w:rsidRPr="00AE141E">
        <w:rPr>
          <w:rFonts w:ascii="Times New Roman" w:hAnsi="Times New Roman" w:cs="Times New Roman"/>
          <w:sz w:val="24"/>
          <w:szCs w:val="24"/>
        </w:rPr>
        <w:t>British imperialism</w:t>
      </w:r>
      <w:r w:rsidR="003F5E68" w:rsidRPr="00AE141E">
        <w:rPr>
          <w:rFonts w:ascii="Times New Roman" w:hAnsi="Times New Roman" w:cs="Times New Roman"/>
          <w:sz w:val="24"/>
          <w:szCs w:val="24"/>
        </w:rPr>
        <w:t xml:space="preserve">, </w:t>
      </w:r>
      <w:r w:rsidR="00766B6E" w:rsidRPr="00AE141E">
        <w:rPr>
          <w:rFonts w:ascii="Times New Roman" w:hAnsi="Times New Roman" w:cs="Times New Roman"/>
          <w:color w:val="000000"/>
          <w:sz w:val="24"/>
          <w:szCs w:val="24"/>
          <w:bdr w:val="none" w:sz="0" w:space="0" w:color="auto" w:frame="1"/>
        </w:rPr>
        <w:t xml:space="preserve">the </w:t>
      </w:r>
      <w:r w:rsidR="00766B6E" w:rsidRPr="00AE141E">
        <w:rPr>
          <w:rFonts w:ascii="Times New Roman" w:hAnsi="Times New Roman" w:cs="Times New Roman"/>
          <w:sz w:val="24"/>
          <w:szCs w:val="24"/>
        </w:rPr>
        <w:t xml:space="preserve">fascist mass movements of the 1920s and 1930s, </w:t>
      </w:r>
      <w:r w:rsidR="003F5E68" w:rsidRPr="00AE141E">
        <w:rPr>
          <w:rFonts w:ascii="Times New Roman" w:hAnsi="Times New Roman" w:cs="Times New Roman"/>
          <w:sz w:val="24"/>
          <w:szCs w:val="24"/>
        </w:rPr>
        <w:t>and</w:t>
      </w:r>
      <w:r w:rsidR="00766B6E" w:rsidRPr="00AE141E">
        <w:rPr>
          <w:rFonts w:ascii="Times New Roman" w:hAnsi="Times New Roman" w:cs="Times New Roman"/>
          <w:sz w:val="24"/>
          <w:szCs w:val="24"/>
        </w:rPr>
        <w:t xml:space="preserve"> the ‘British racist state of to-day</w:t>
      </w:r>
      <w:r w:rsidR="00C63CC8" w:rsidRPr="00AE141E">
        <w:rPr>
          <w:rFonts w:ascii="Times New Roman" w:hAnsi="Times New Roman" w:cs="Times New Roman"/>
          <w:sz w:val="24"/>
          <w:szCs w:val="24"/>
        </w:rPr>
        <w:t xml:space="preserve"> [sic]</w:t>
      </w:r>
      <w:r w:rsidR="00766B6E" w:rsidRPr="00AE141E">
        <w:rPr>
          <w:rFonts w:ascii="Times New Roman" w:hAnsi="Times New Roman" w:cs="Times New Roman"/>
          <w:sz w:val="24"/>
          <w:szCs w:val="24"/>
        </w:rPr>
        <w:t>’</w:t>
      </w:r>
      <w:r w:rsidR="003F5E68" w:rsidRPr="00AE141E">
        <w:rPr>
          <w:rFonts w:ascii="Times New Roman" w:hAnsi="Times New Roman" w:cs="Times New Roman"/>
          <w:sz w:val="24"/>
          <w:szCs w:val="24"/>
        </w:rPr>
        <w:t xml:space="preserve"> were </w:t>
      </w:r>
      <w:r w:rsidR="00841DE7" w:rsidRPr="00AE141E">
        <w:rPr>
          <w:rFonts w:ascii="Times New Roman" w:hAnsi="Times New Roman" w:cs="Times New Roman"/>
          <w:sz w:val="24"/>
          <w:szCs w:val="24"/>
        </w:rPr>
        <w:t>fundamentally linked</w:t>
      </w:r>
      <w:r w:rsidR="007D3D36" w:rsidRPr="00AE141E">
        <w:rPr>
          <w:rFonts w:ascii="Times New Roman" w:hAnsi="Times New Roman" w:cs="Times New Roman"/>
          <w:sz w:val="24"/>
          <w:szCs w:val="24"/>
        </w:rPr>
        <w:t xml:space="preserve">. </w:t>
      </w:r>
      <w:r w:rsidR="008720C0" w:rsidRPr="00AE141E">
        <w:rPr>
          <w:rFonts w:ascii="Times New Roman" w:hAnsi="Times New Roman" w:cs="Times New Roman"/>
          <w:sz w:val="24"/>
          <w:szCs w:val="24"/>
        </w:rPr>
        <w:t>The constant</w:t>
      </w:r>
      <w:r w:rsidR="000957BD" w:rsidRPr="00AE141E">
        <w:rPr>
          <w:rFonts w:ascii="Times New Roman" w:hAnsi="Times New Roman" w:cs="Times New Roman"/>
          <w:sz w:val="24"/>
          <w:szCs w:val="24"/>
        </w:rPr>
        <w:t xml:space="preserve"> </w:t>
      </w:r>
      <w:r w:rsidR="00B50213" w:rsidRPr="00AE141E">
        <w:rPr>
          <w:rFonts w:ascii="Times New Roman" w:hAnsi="Times New Roman" w:cs="Times New Roman"/>
          <w:sz w:val="24"/>
          <w:szCs w:val="24"/>
        </w:rPr>
        <w:t>yet</w:t>
      </w:r>
      <w:r w:rsidR="000957BD" w:rsidRPr="00AE141E">
        <w:rPr>
          <w:rFonts w:ascii="Times New Roman" w:hAnsi="Times New Roman" w:cs="Times New Roman"/>
          <w:sz w:val="24"/>
          <w:szCs w:val="24"/>
        </w:rPr>
        <w:t xml:space="preserve"> flexible brutality of </w:t>
      </w:r>
      <w:r w:rsidR="00466CFB" w:rsidRPr="00AE141E">
        <w:rPr>
          <w:rFonts w:ascii="Times New Roman" w:hAnsi="Times New Roman" w:cs="Times New Roman"/>
          <w:sz w:val="24"/>
          <w:szCs w:val="24"/>
        </w:rPr>
        <w:t>racism</w:t>
      </w:r>
      <w:r w:rsidR="000957BD" w:rsidRPr="00AE141E">
        <w:rPr>
          <w:rFonts w:ascii="Times New Roman" w:hAnsi="Times New Roman" w:cs="Times New Roman"/>
          <w:sz w:val="24"/>
          <w:szCs w:val="24"/>
        </w:rPr>
        <w:t xml:space="preserve"> needed to be countered by </w:t>
      </w:r>
      <w:r w:rsidR="00466CFB" w:rsidRPr="00AE141E">
        <w:rPr>
          <w:rFonts w:ascii="Times New Roman" w:hAnsi="Times New Roman" w:cs="Times New Roman"/>
          <w:sz w:val="24"/>
          <w:szCs w:val="24"/>
        </w:rPr>
        <w:t xml:space="preserve">movement informed of its </w:t>
      </w:r>
      <w:r w:rsidR="00560254" w:rsidRPr="00AE141E">
        <w:rPr>
          <w:rFonts w:ascii="Times New Roman" w:hAnsi="Times New Roman" w:cs="Times New Roman"/>
          <w:sz w:val="24"/>
          <w:szCs w:val="24"/>
        </w:rPr>
        <w:t>different historical permutations</w:t>
      </w:r>
      <w:r w:rsidR="00466CFB" w:rsidRPr="00AE141E">
        <w:rPr>
          <w:rFonts w:ascii="Times New Roman" w:hAnsi="Times New Roman" w:cs="Times New Roman"/>
          <w:sz w:val="24"/>
          <w:szCs w:val="24"/>
        </w:rPr>
        <w:t>.</w:t>
      </w:r>
      <w:r w:rsidR="000957BD" w:rsidRPr="00AE141E">
        <w:rPr>
          <w:rFonts w:ascii="Times New Roman" w:hAnsi="Times New Roman" w:cs="Times New Roman"/>
          <w:sz w:val="24"/>
          <w:szCs w:val="24"/>
        </w:rPr>
        <w:t xml:space="preserve"> </w:t>
      </w:r>
    </w:p>
    <w:p w14:paraId="2A7BF1C4" w14:textId="6B7E6ABF" w:rsidR="00170BE9" w:rsidRPr="00AE141E" w:rsidRDefault="00AC4F4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Unsurprisingly, this period witnessed the first coherent </w:t>
      </w:r>
      <w:r w:rsidR="00905A42" w:rsidRPr="00AE141E">
        <w:rPr>
          <w:rFonts w:ascii="Times New Roman" w:hAnsi="Times New Roman" w:cs="Times New Roman"/>
          <w:sz w:val="24"/>
          <w:szCs w:val="24"/>
        </w:rPr>
        <w:t xml:space="preserve">attempts to place Holocaust education on school curricula. </w:t>
      </w:r>
      <w:r w:rsidR="00170BE9" w:rsidRPr="00AE141E">
        <w:rPr>
          <w:rFonts w:ascii="Times New Roman" w:hAnsi="Times New Roman" w:cs="Times New Roman"/>
          <w:sz w:val="24"/>
          <w:szCs w:val="24"/>
        </w:rPr>
        <w:t xml:space="preserve">The East London Auschwitz Exhibition </w:t>
      </w:r>
      <w:r w:rsidR="00E94C71" w:rsidRPr="00AE141E">
        <w:rPr>
          <w:rFonts w:ascii="Times New Roman" w:hAnsi="Times New Roman" w:cs="Times New Roman"/>
          <w:sz w:val="24"/>
          <w:szCs w:val="24"/>
        </w:rPr>
        <w:t>(</w:t>
      </w:r>
      <w:r w:rsidR="00170BE9" w:rsidRPr="00AE141E">
        <w:rPr>
          <w:rFonts w:ascii="Times New Roman" w:hAnsi="Times New Roman" w:cs="Times New Roman"/>
          <w:sz w:val="24"/>
          <w:szCs w:val="24"/>
        </w:rPr>
        <w:t>1983</w:t>
      </w:r>
      <w:r w:rsidR="00E94C71" w:rsidRPr="00AE141E">
        <w:rPr>
          <w:rFonts w:ascii="Times New Roman" w:hAnsi="Times New Roman" w:cs="Times New Roman"/>
          <w:sz w:val="24"/>
          <w:szCs w:val="24"/>
        </w:rPr>
        <w:t>)</w:t>
      </w:r>
      <w:r w:rsidR="00170BE9" w:rsidRPr="00AE141E">
        <w:rPr>
          <w:rFonts w:ascii="Times New Roman" w:hAnsi="Times New Roman" w:cs="Times New Roman"/>
          <w:sz w:val="24"/>
          <w:szCs w:val="24"/>
        </w:rPr>
        <w:t xml:space="preserve"> was the first of its kind in the United Kingdom.</w:t>
      </w:r>
      <w:r w:rsidR="00C63CC8" w:rsidRPr="00AE141E">
        <w:rPr>
          <w:rStyle w:val="FootnoteReference"/>
          <w:rFonts w:ascii="Times New Roman" w:hAnsi="Times New Roman" w:cs="Times New Roman"/>
          <w:sz w:val="24"/>
          <w:szCs w:val="24"/>
        </w:rPr>
        <w:footnoteReference w:id="600"/>
      </w:r>
      <w:r w:rsidR="00170BE9" w:rsidRPr="00AE141E">
        <w:rPr>
          <w:rFonts w:ascii="Times New Roman" w:hAnsi="Times New Roman" w:cs="Times New Roman"/>
          <w:sz w:val="24"/>
          <w:szCs w:val="24"/>
        </w:rPr>
        <w:t xml:space="preserve"> </w:t>
      </w:r>
      <w:r w:rsidR="009F0763" w:rsidRPr="00AE141E">
        <w:rPr>
          <w:rFonts w:ascii="Times New Roman" w:hAnsi="Times New Roman" w:cs="Times New Roman"/>
          <w:sz w:val="24"/>
          <w:szCs w:val="24"/>
        </w:rPr>
        <w:t>Almost</w:t>
      </w:r>
      <w:r w:rsidR="00170BE9" w:rsidRPr="00AE141E">
        <w:rPr>
          <w:rFonts w:ascii="Times New Roman" w:hAnsi="Times New Roman" w:cs="Times New Roman"/>
          <w:sz w:val="24"/>
          <w:szCs w:val="24"/>
        </w:rPr>
        <w:t xml:space="preserve"> 11,000 pupils </w:t>
      </w:r>
      <w:r w:rsidR="00E52DB6" w:rsidRPr="00AE141E">
        <w:rPr>
          <w:rFonts w:ascii="Times New Roman" w:hAnsi="Times New Roman" w:cs="Times New Roman"/>
          <w:sz w:val="24"/>
          <w:szCs w:val="24"/>
        </w:rPr>
        <w:t>visited</w:t>
      </w:r>
      <w:r w:rsidR="003A658F" w:rsidRPr="00AE141E">
        <w:rPr>
          <w:rFonts w:ascii="Times New Roman" w:hAnsi="Times New Roman" w:cs="Times New Roman"/>
          <w:sz w:val="24"/>
          <w:szCs w:val="24"/>
        </w:rPr>
        <w:t xml:space="preserve"> the exhibition over the course of just five weeks</w:t>
      </w:r>
      <w:r w:rsidR="001B3B4A" w:rsidRPr="00AE141E">
        <w:rPr>
          <w:rFonts w:ascii="Times New Roman" w:hAnsi="Times New Roman" w:cs="Times New Roman"/>
          <w:sz w:val="24"/>
          <w:szCs w:val="24"/>
        </w:rPr>
        <w:t xml:space="preserve">; many </w:t>
      </w:r>
      <w:r w:rsidR="00E52DB6" w:rsidRPr="00AE141E">
        <w:rPr>
          <w:rFonts w:ascii="Times New Roman" w:hAnsi="Times New Roman" w:cs="Times New Roman"/>
          <w:sz w:val="24"/>
          <w:szCs w:val="24"/>
        </w:rPr>
        <w:t>attended</w:t>
      </w:r>
      <w:r w:rsidR="001B3B4A" w:rsidRPr="00AE141E">
        <w:rPr>
          <w:rFonts w:ascii="Times New Roman" w:hAnsi="Times New Roman" w:cs="Times New Roman"/>
          <w:sz w:val="24"/>
          <w:szCs w:val="24"/>
        </w:rPr>
        <w:t xml:space="preserve"> as</w:t>
      </w:r>
      <w:r w:rsidR="00E52DB6" w:rsidRPr="00AE141E">
        <w:rPr>
          <w:rFonts w:ascii="Times New Roman" w:hAnsi="Times New Roman" w:cs="Times New Roman"/>
          <w:sz w:val="24"/>
          <w:szCs w:val="24"/>
        </w:rPr>
        <w:t xml:space="preserve"> part of organised school parties</w:t>
      </w:r>
      <w:r w:rsidR="00170BE9" w:rsidRPr="00AE141E">
        <w:rPr>
          <w:rFonts w:ascii="Times New Roman" w:hAnsi="Times New Roman" w:cs="Times New Roman"/>
          <w:sz w:val="24"/>
          <w:szCs w:val="24"/>
        </w:rPr>
        <w:t xml:space="preserve">. </w:t>
      </w:r>
      <w:r w:rsidR="00344EA5" w:rsidRPr="00AE141E">
        <w:rPr>
          <w:rFonts w:ascii="Times New Roman" w:hAnsi="Times New Roman" w:cs="Times New Roman"/>
          <w:sz w:val="24"/>
          <w:szCs w:val="24"/>
        </w:rPr>
        <w:t>The</w:t>
      </w:r>
      <w:r w:rsidR="00170BE9" w:rsidRPr="00AE141E">
        <w:rPr>
          <w:rFonts w:ascii="Times New Roman" w:hAnsi="Times New Roman" w:cs="Times New Roman"/>
          <w:sz w:val="24"/>
          <w:szCs w:val="24"/>
        </w:rPr>
        <w:t xml:space="preserve"> London Auschwitz Education Group</w:t>
      </w:r>
      <w:r w:rsidR="00344EA5" w:rsidRPr="00AE141E">
        <w:rPr>
          <w:rFonts w:ascii="Times New Roman" w:hAnsi="Times New Roman" w:cs="Times New Roman"/>
          <w:sz w:val="24"/>
          <w:szCs w:val="24"/>
        </w:rPr>
        <w:t>’s</w:t>
      </w:r>
      <w:r w:rsidR="005A5DE4" w:rsidRPr="00AE141E">
        <w:rPr>
          <w:rFonts w:ascii="Times New Roman" w:hAnsi="Times New Roman" w:cs="Times New Roman"/>
          <w:sz w:val="24"/>
          <w:szCs w:val="24"/>
        </w:rPr>
        <w:t xml:space="preserve"> (LAEG)</w:t>
      </w:r>
      <w:r w:rsidR="00B16D0C" w:rsidRPr="00AE141E">
        <w:rPr>
          <w:rFonts w:ascii="Times New Roman" w:hAnsi="Times New Roman" w:cs="Times New Roman"/>
          <w:sz w:val="24"/>
          <w:szCs w:val="24"/>
        </w:rPr>
        <w:t xml:space="preserve"> </w:t>
      </w:r>
      <w:r w:rsidR="00170BE9" w:rsidRPr="00AE141E">
        <w:rPr>
          <w:rFonts w:ascii="Times New Roman" w:hAnsi="Times New Roman" w:cs="Times New Roman"/>
          <w:sz w:val="24"/>
          <w:szCs w:val="24"/>
        </w:rPr>
        <w:t xml:space="preserve">companion </w:t>
      </w:r>
      <w:r w:rsidR="005A5DE4" w:rsidRPr="00AE141E">
        <w:rPr>
          <w:rFonts w:ascii="Times New Roman" w:hAnsi="Times New Roman" w:cs="Times New Roman"/>
          <w:sz w:val="24"/>
          <w:szCs w:val="24"/>
        </w:rPr>
        <w:t>materials</w:t>
      </w:r>
      <w:r w:rsidR="00170BE9" w:rsidRPr="00AE141E">
        <w:rPr>
          <w:rFonts w:ascii="Times New Roman" w:hAnsi="Times New Roman" w:cs="Times New Roman"/>
          <w:sz w:val="24"/>
          <w:szCs w:val="24"/>
        </w:rPr>
        <w:t xml:space="preserve"> </w:t>
      </w:r>
      <w:r w:rsidR="00344EA5" w:rsidRPr="00AE141E">
        <w:rPr>
          <w:rFonts w:ascii="Times New Roman" w:hAnsi="Times New Roman" w:cs="Times New Roman"/>
          <w:sz w:val="24"/>
          <w:szCs w:val="24"/>
        </w:rPr>
        <w:t>aimed</w:t>
      </w:r>
      <w:r w:rsidR="00170BE9" w:rsidRPr="00AE141E">
        <w:rPr>
          <w:rFonts w:ascii="Times New Roman" w:hAnsi="Times New Roman" w:cs="Times New Roman"/>
          <w:sz w:val="24"/>
          <w:szCs w:val="24"/>
        </w:rPr>
        <w:t xml:space="preserve"> to give the Holocaust its ‘long-overdue place on the secondary curricular map’.</w:t>
      </w:r>
      <w:r w:rsidR="00BD6FD4" w:rsidRPr="00AE141E">
        <w:rPr>
          <w:rStyle w:val="FootnoteReference"/>
          <w:rFonts w:ascii="Times New Roman" w:hAnsi="Times New Roman" w:cs="Times New Roman"/>
          <w:sz w:val="24"/>
          <w:szCs w:val="24"/>
        </w:rPr>
        <w:footnoteReference w:id="601"/>
      </w:r>
      <w:r w:rsidR="00170BE9" w:rsidRPr="00AE141E">
        <w:rPr>
          <w:rFonts w:ascii="Times New Roman" w:hAnsi="Times New Roman" w:cs="Times New Roman"/>
          <w:sz w:val="24"/>
          <w:szCs w:val="24"/>
        </w:rPr>
        <w:t xml:space="preserve"> </w:t>
      </w:r>
      <w:r w:rsidR="0041004E" w:rsidRPr="00AE141E">
        <w:rPr>
          <w:rFonts w:ascii="Times New Roman" w:hAnsi="Times New Roman" w:cs="Times New Roman"/>
          <w:sz w:val="24"/>
          <w:szCs w:val="24"/>
        </w:rPr>
        <w:t>The group was</w:t>
      </w:r>
      <w:r w:rsidR="00170BE9" w:rsidRPr="00AE141E">
        <w:rPr>
          <w:rFonts w:ascii="Times New Roman" w:hAnsi="Times New Roman" w:cs="Times New Roman"/>
          <w:sz w:val="24"/>
          <w:szCs w:val="24"/>
        </w:rPr>
        <w:t xml:space="preserve"> driven by a desire to counter the rise of Holocaust denialism</w:t>
      </w:r>
      <w:r w:rsidR="0041004E" w:rsidRPr="00AE141E">
        <w:rPr>
          <w:rFonts w:ascii="Times New Roman" w:hAnsi="Times New Roman" w:cs="Times New Roman"/>
          <w:sz w:val="24"/>
          <w:szCs w:val="24"/>
        </w:rPr>
        <w:t xml:space="preserve"> amongst </w:t>
      </w:r>
      <w:r w:rsidR="003405BA" w:rsidRPr="00AE141E">
        <w:rPr>
          <w:rFonts w:ascii="Times New Roman" w:hAnsi="Times New Roman" w:cs="Times New Roman"/>
          <w:sz w:val="24"/>
          <w:szCs w:val="24"/>
        </w:rPr>
        <w:t>young people</w:t>
      </w:r>
      <w:r w:rsidR="00B50213" w:rsidRPr="00AE141E">
        <w:rPr>
          <w:rFonts w:ascii="Times New Roman" w:hAnsi="Times New Roman" w:cs="Times New Roman"/>
          <w:sz w:val="24"/>
          <w:szCs w:val="24"/>
        </w:rPr>
        <w:t xml:space="preserve">, who </w:t>
      </w:r>
      <w:r w:rsidR="003405BA" w:rsidRPr="00AE141E">
        <w:rPr>
          <w:rFonts w:ascii="Times New Roman" w:hAnsi="Times New Roman" w:cs="Times New Roman"/>
          <w:sz w:val="24"/>
          <w:szCs w:val="24"/>
        </w:rPr>
        <w:t xml:space="preserve">were a popular target for the </w:t>
      </w:r>
      <w:r w:rsidR="00170BE9" w:rsidRPr="00AE141E">
        <w:rPr>
          <w:rFonts w:ascii="Times New Roman" w:hAnsi="Times New Roman" w:cs="Times New Roman"/>
          <w:sz w:val="24"/>
          <w:szCs w:val="24"/>
        </w:rPr>
        <w:t>leafletting campaigns of the far-right.</w:t>
      </w:r>
      <w:r w:rsidR="009205B7" w:rsidRPr="00AE141E">
        <w:rPr>
          <w:rStyle w:val="FootnoteReference"/>
          <w:rFonts w:ascii="Times New Roman" w:hAnsi="Times New Roman" w:cs="Times New Roman"/>
          <w:sz w:val="24"/>
          <w:szCs w:val="24"/>
        </w:rPr>
        <w:footnoteReference w:id="602"/>
      </w:r>
      <w:r w:rsidR="00170BE9" w:rsidRPr="00AE141E">
        <w:rPr>
          <w:rFonts w:ascii="Times New Roman" w:hAnsi="Times New Roman" w:cs="Times New Roman"/>
          <w:sz w:val="24"/>
          <w:szCs w:val="24"/>
        </w:rPr>
        <w:t xml:space="preserve"> </w:t>
      </w:r>
      <w:r w:rsidR="005A5DE4" w:rsidRPr="00AE141E">
        <w:rPr>
          <w:rFonts w:ascii="Times New Roman" w:hAnsi="Times New Roman" w:cs="Times New Roman"/>
          <w:sz w:val="24"/>
          <w:szCs w:val="24"/>
        </w:rPr>
        <w:t>LA</w:t>
      </w:r>
      <w:r w:rsidR="00B07316">
        <w:rPr>
          <w:rFonts w:ascii="Times New Roman" w:hAnsi="Times New Roman" w:cs="Times New Roman"/>
          <w:sz w:val="24"/>
          <w:szCs w:val="24"/>
        </w:rPr>
        <w:t>E</w:t>
      </w:r>
      <w:r w:rsidR="005A5DE4" w:rsidRPr="00AE141E">
        <w:rPr>
          <w:rFonts w:ascii="Times New Roman" w:hAnsi="Times New Roman" w:cs="Times New Roman"/>
          <w:sz w:val="24"/>
          <w:szCs w:val="24"/>
        </w:rPr>
        <w:t>G’s</w:t>
      </w:r>
      <w:r w:rsidR="00170BE9" w:rsidRPr="00AE141E">
        <w:rPr>
          <w:rFonts w:ascii="Times New Roman" w:hAnsi="Times New Roman" w:cs="Times New Roman"/>
          <w:sz w:val="24"/>
          <w:szCs w:val="24"/>
        </w:rPr>
        <w:t xml:space="preserve"> teachers’ pack</w:t>
      </w:r>
      <w:r w:rsidR="006C53C6" w:rsidRPr="00AE141E">
        <w:rPr>
          <w:rFonts w:ascii="Times New Roman" w:hAnsi="Times New Roman" w:cs="Times New Roman"/>
          <w:sz w:val="24"/>
          <w:szCs w:val="24"/>
        </w:rPr>
        <w:t>,</w:t>
      </w:r>
      <w:r w:rsidR="00170BE9" w:rsidRPr="00AE141E">
        <w:rPr>
          <w:rFonts w:ascii="Times New Roman" w:hAnsi="Times New Roman" w:cs="Times New Roman"/>
          <w:sz w:val="24"/>
          <w:szCs w:val="24"/>
        </w:rPr>
        <w:t xml:space="preserve"> </w:t>
      </w:r>
      <w:r w:rsidR="00170BE9" w:rsidRPr="00AE141E">
        <w:rPr>
          <w:rFonts w:ascii="Times New Roman" w:hAnsi="Times New Roman" w:cs="Times New Roman"/>
          <w:i/>
          <w:sz w:val="24"/>
          <w:szCs w:val="24"/>
        </w:rPr>
        <w:t>Auschwitz: Yesterday’s Racism</w:t>
      </w:r>
      <w:r w:rsidR="00CB6429" w:rsidRPr="00AE141E">
        <w:rPr>
          <w:rFonts w:ascii="Times New Roman" w:hAnsi="Times New Roman" w:cs="Times New Roman"/>
          <w:i/>
          <w:sz w:val="24"/>
          <w:szCs w:val="24"/>
        </w:rPr>
        <w:t xml:space="preserve">, </w:t>
      </w:r>
      <w:r w:rsidR="00CB6429" w:rsidRPr="00AE141E">
        <w:rPr>
          <w:rFonts w:ascii="Times New Roman" w:hAnsi="Times New Roman" w:cs="Times New Roman"/>
          <w:sz w:val="24"/>
          <w:szCs w:val="24"/>
        </w:rPr>
        <w:t>described</w:t>
      </w:r>
      <w:r w:rsidR="00170BE9" w:rsidRPr="00AE141E">
        <w:rPr>
          <w:rFonts w:ascii="Times New Roman" w:hAnsi="Times New Roman" w:cs="Times New Roman"/>
          <w:sz w:val="24"/>
          <w:szCs w:val="24"/>
        </w:rPr>
        <w:t xml:space="preserve"> knowledge of the Holocaust </w:t>
      </w:r>
      <w:r w:rsidR="00CB6429" w:rsidRPr="00AE141E">
        <w:rPr>
          <w:rFonts w:ascii="Times New Roman" w:hAnsi="Times New Roman" w:cs="Times New Roman"/>
          <w:sz w:val="24"/>
          <w:szCs w:val="24"/>
        </w:rPr>
        <w:t>as</w:t>
      </w:r>
      <w:r w:rsidR="00170BE9" w:rsidRPr="00AE141E">
        <w:rPr>
          <w:rFonts w:ascii="Times New Roman" w:hAnsi="Times New Roman" w:cs="Times New Roman"/>
          <w:sz w:val="24"/>
          <w:szCs w:val="24"/>
        </w:rPr>
        <w:t xml:space="preserve"> </w:t>
      </w:r>
      <w:r w:rsidR="00DA7179" w:rsidRPr="00AE141E">
        <w:rPr>
          <w:rFonts w:ascii="Times New Roman" w:hAnsi="Times New Roman" w:cs="Times New Roman"/>
          <w:sz w:val="24"/>
          <w:szCs w:val="24"/>
        </w:rPr>
        <w:t>‘</w:t>
      </w:r>
      <w:r w:rsidR="00170BE9" w:rsidRPr="00AE141E">
        <w:rPr>
          <w:rFonts w:ascii="Times New Roman" w:hAnsi="Times New Roman" w:cs="Times New Roman"/>
          <w:sz w:val="24"/>
          <w:szCs w:val="24"/>
        </w:rPr>
        <w:t>essential to any serious examination of current manifestations of racism’.</w:t>
      </w:r>
      <w:r w:rsidR="006F3CF3" w:rsidRPr="00AE141E">
        <w:rPr>
          <w:rStyle w:val="FootnoteReference"/>
          <w:rFonts w:ascii="Times New Roman" w:hAnsi="Times New Roman" w:cs="Times New Roman"/>
          <w:sz w:val="24"/>
          <w:szCs w:val="24"/>
        </w:rPr>
        <w:footnoteReference w:id="603"/>
      </w:r>
      <w:r w:rsidR="00170BE9" w:rsidRPr="00AE141E">
        <w:rPr>
          <w:rFonts w:ascii="Times New Roman" w:hAnsi="Times New Roman" w:cs="Times New Roman"/>
          <w:sz w:val="24"/>
          <w:szCs w:val="24"/>
        </w:rPr>
        <w:t xml:space="preserve"> </w:t>
      </w:r>
      <w:r w:rsidR="00CB61AC" w:rsidRPr="00AE141E">
        <w:rPr>
          <w:rFonts w:ascii="Times New Roman" w:hAnsi="Times New Roman" w:cs="Times New Roman"/>
          <w:sz w:val="24"/>
          <w:szCs w:val="24"/>
        </w:rPr>
        <w:t xml:space="preserve">It concluded with </w:t>
      </w:r>
      <w:r w:rsidR="00CB6429" w:rsidRPr="00AE141E">
        <w:rPr>
          <w:rFonts w:ascii="Times New Roman" w:hAnsi="Times New Roman" w:cs="Times New Roman"/>
          <w:sz w:val="24"/>
          <w:szCs w:val="24"/>
        </w:rPr>
        <w:t>the hope</w:t>
      </w:r>
      <w:r w:rsidR="00DA7179" w:rsidRPr="00AE141E">
        <w:rPr>
          <w:rFonts w:ascii="Times New Roman" w:hAnsi="Times New Roman" w:cs="Times New Roman"/>
          <w:sz w:val="24"/>
          <w:szCs w:val="24"/>
        </w:rPr>
        <w:t xml:space="preserve"> that:</w:t>
      </w:r>
    </w:p>
    <w:p w14:paraId="16A616B1" w14:textId="5E37CBF4" w:rsidR="00DA7179" w:rsidRPr="00AE141E" w:rsidRDefault="00170BE9"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Through gaining an understanding of the conditions which encourage and sustain overt racism, and by witnessing what it can lead to, today</w:t>
      </w:r>
      <w:r w:rsidR="00931AF1" w:rsidRPr="00AE141E">
        <w:rPr>
          <w:rFonts w:ascii="Times New Roman" w:hAnsi="Times New Roman" w:cs="Times New Roman"/>
          <w:sz w:val="24"/>
          <w:szCs w:val="24"/>
        </w:rPr>
        <w:t>’</w:t>
      </w:r>
      <w:r w:rsidRPr="00AE141E">
        <w:rPr>
          <w:rFonts w:ascii="Times New Roman" w:hAnsi="Times New Roman" w:cs="Times New Roman"/>
          <w:sz w:val="24"/>
          <w:szCs w:val="24"/>
        </w:rPr>
        <w:t>s generation can resist similar prejudices and their consequences. For there is no certainty that this will not happen again to the Jews and other religious or “racial” groups.</w:t>
      </w:r>
      <w:r w:rsidR="00F938FC" w:rsidRPr="00AE141E">
        <w:rPr>
          <w:rStyle w:val="FootnoteReference"/>
          <w:rFonts w:ascii="Times New Roman" w:hAnsi="Times New Roman" w:cs="Times New Roman"/>
          <w:sz w:val="24"/>
          <w:szCs w:val="24"/>
        </w:rPr>
        <w:footnoteReference w:id="604"/>
      </w:r>
    </w:p>
    <w:p w14:paraId="2D923DCC" w14:textId="6A0C3EAB" w:rsidR="00880B34" w:rsidRPr="00AE141E" w:rsidRDefault="0094680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LA</w:t>
      </w:r>
      <w:r w:rsidR="00B07316">
        <w:rPr>
          <w:rFonts w:ascii="Times New Roman" w:hAnsi="Times New Roman" w:cs="Times New Roman"/>
          <w:sz w:val="24"/>
          <w:szCs w:val="24"/>
        </w:rPr>
        <w:t>E</w:t>
      </w:r>
      <w:r w:rsidRPr="00AE141E">
        <w:rPr>
          <w:rFonts w:ascii="Times New Roman" w:hAnsi="Times New Roman" w:cs="Times New Roman"/>
          <w:sz w:val="24"/>
          <w:szCs w:val="24"/>
        </w:rPr>
        <w:t xml:space="preserve">G’s </w:t>
      </w:r>
      <w:r w:rsidR="00C77B7F" w:rsidRPr="00AE141E">
        <w:rPr>
          <w:rFonts w:ascii="Times New Roman" w:hAnsi="Times New Roman" w:cs="Times New Roman"/>
          <w:sz w:val="24"/>
          <w:szCs w:val="24"/>
        </w:rPr>
        <w:t>unders</w:t>
      </w:r>
      <w:r w:rsidR="00520900" w:rsidRPr="00AE141E">
        <w:rPr>
          <w:rFonts w:ascii="Times New Roman" w:hAnsi="Times New Roman" w:cs="Times New Roman"/>
          <w:sz w:val="24"/>
          <w:szCs w:val="24"/>
        </w:rPr>
        <w:t xml:space="preserve">tanding of the </w:t>
      </w:r>
      <w:r w:rsidR="00BA40B7" w:rsidRPr="00AE141E">
        <w:rPr>
          <w:rFonts w:ascii="Times New Roman" w:hAnsi="Times New Roman" w:cs="Times New Roman"/>
          <w:sz w:val="24"/>
          <w:szCs w:val="24"/>
        </w:rPr>
        <w:t>role</w:t>
      </w:r>
      <w:r w:rsidR="00520900" w:rsidRPr="00AE141E">
        <w:rPr>
          <w:rFonts w:ascii="Times New Roman" w:hAnsi="Times New Roman" w:cs="Times New Roman"/>
          <w:sz w:val="24"/>
          <w:szCs w:val="24"/>
        </w:rPr>
        <w:t xml:space="preserve"> of Holocaust education in anti-racist pedagogies was subtly distinct from that of </w:t>
      </w:r>
      <w:r w:rsidR="00BA40B7" w:rsidRPr="00AE141E">
        <w:rPr>
          <w:rFonts w:ascii="Times New Roman" w:hAnsi="Times New Roman" w:cs="Times New Roman"/>
          <w:sz w:val="24"/>
          <w:szCs w:val="24"/>
        </w:rPr>
        <w:t xml:space="preserve">anti-fascist </w:t>
      </w:r>
      <w:r w:rsidR="00520900" w:rsidRPr="00AE141E">
        <w:rPr>
          <w:rFonts w:ascii="Times New Roman" w:hAnsi="Times New Roman" w:cs="Times New Roman"/>
          <w:sz w:val="24"/>
          <w:szCs w:val="24"/>
        </w:rPr>
        <w:t>groups like Big Flame. LA</w:t>
      </w:r>
      <w:r w:rsidR="00B07316">
        <w:rPr>
          <w:rFonts w:ascii="Times New Roman" w:hAnsi="Times New Roman" w:cs="Times New Roman"/>
          <w:sz w:val="24"/>
          <w:szCs w:val="24"/>
        </w:rPr>
        <w:t>E</w:t>
      </w:r>
      <w:r w:rsidR="00520900" w:rsidRPr="00AE141E">
        <w:rPr>
          <w:rFonts w:ascii="Times New Roman" w:hAnsi="Times New Roman" w:cs="Times New Roman"/>
          <w:sz w:val="24"/>
          <w:szCs w:val="24"/>
        </w:rPr>
        <w:t xml:space="preserve">G believed that </w:t>
      </w:r>
      <w:r w:rsidR="008D7233" w:rsidRPr="00AE141E">
        <w:rPr>
          <w:rFonts w:ascii="Times New Roman" w:hAnsi="Times New Roman" w:cs="Times New Roman"/>
          <w:sz w:val="24"/>
          <w:szCs w:val="24"/>
        </w:rPr>
        <w:t>the history</w:t>
      </w:r>
      <w:r w:rsidR="001F57D5" w:rsidRPr="00AE141E">
        <w:rPr>
          <w:rFonts w:ascii="Times New Roman" w:hAnsi="Times New Roman" w:cs="Times New Roman"/>
          <w:sz w:val="24"/>
          <w:szCs w:val="24"/>
        </w:rPr>
        <w:t xml:space="preserve"> </w:t>
      </w:r>
      <w:r w:rsidR="001F57D5" w:rsidRPr="00AE141E">
        <w:rPr>
          <w:rFonts w:ascii="Times New Roman" w:hAnsi="Times New Roman" w:cs="Times New Roman"/>
          <w:sz w:val="24"/>
          <w:szCs w:val="24"/>
        </w:rPr>
        <w:lastRenderedPageBreak/>
        <w:t xml:space="preserve">of the Holocaust </w:t>
      </w:r>
      <w:r w:rsidR="008D7233" w:rsidRPr="00AE141E">
        <w:rPr>
          <w:rFonts w:ascii="Times New Roman" w:hAnsi="Times New Roman" w:cs="Times New Roman"/>
          <w:sz w:val="24"/>
          <w:szCs w:val="24"/>
        </w:rPr>
        <w:t xml:space="preserve">necessarily </w:t>
      </w:r>
      <w:r w:rsidR="001F57D5" w:rsidRPr="00AE141E">
        <w:rPr>
          <w:rFonts w:ascii="Times New Roman" w:hAnsi="Times New Roman" w:cs="Times New Roman"/>
          <w:sz w:val="24"/>
          <w:szCs w:val="24"/>
        </w:rPr>
        <w:t>illuminate</w:t>
      </w:r>
      <w:r w:rsidR="00B438CD" w:rsidRPr="00AE141E">
        <w:rPr>
          <w:rFonts w:ascii="Times New Roman" w:hAnsi="Times New Roman" w:cs="Times New Roman"/>
          <w:sz w:val="24"/>
          <w:szCs w:val="24"/>
        </w:rPr>
        <w:t>d</w:t>
      </w:r>
      <w:r w:rsidR="001F57D5" w:rsidRPr="00AE141E">
        <w:rPr>
          <w:rFonts w:ascii="Times New Roman" w:hAnsi="Times New Roman" w:cs="Times New Roman"/>
          <w:sz w:val="24"/>
          <w:szCs w:val="24"/>
        </w:rPr>
        <w:t xml:space="preserve"> other forms of racism</w:t>
      </w:r>
      <w:r w:rsidR="00B438CD" w:rsidRPr="00AE141E">
        <w:rPr>
          <w:rFonts w:ascii="Times New Roman" w:hAnsi="Times New Roman" w:cs="Times New Roman"/>
          <w:sz w:val="24"/>
          <w:szCs w:val="24"/>
        </w:rPr>
        <w:t>. P</w:t>
      </w:r>
      <w:r w:rsidR="00E02002" w:rsidRPr="00AE141E">
        <w:rPr>
          <w:rFonts w:ascii="Times New Roman" w:hAnsi="Times New Roman" w:cs="Times New Roman"/>
          <w:sz w:val="24"/>
          <w:szCs w:val="24"/>
        </w:rPr>
        <w:t>aradoxically</w:t>
      </w:r>
      <w:r w:rsidR="00B438CD" w:rsidRPr="00AE141E">
        <w:rPr>
          <w:rFonts w:ascii="Times New Roman" w:hAnsi="Times New Roman" w:cs="Times New Roman"/>
          <w:sz w:val="24"/>
          <w:szCs w:val="24"/>
        </w:rPr>
        <w:t xml:space="preserve">, it </w:t>
      </w:r>
      <w:r w:rsidR="00D00F7E" w:rsidRPr="00AE141E">
        <w:rPr>
          <w:rFonts w:ascii="Times New Roman" w:hAnsi="Times New Roman" w:cs="Times New Roman"/>
          <w:sz w:val="24"/>
          <w:szCs w:val="24"/>
        </w:rPr>
        <w:t xml:space="preserve">did not </w:t>
      </w:r>
      <w:r w:rsidR="004E6187" w:rsidRPr="00AE141E">
        <w:rPr>
          <w:rFonts w:ascii="Times New Roman" w:hAnsi="Times New Roman" w:cs="Times New Roman"/>
          <w:sz w:val="24"/>
          <w:szCs w:val="24"/>
        </w:rPr>
        <w:t>situate</w:t>
      </w:r>
      <w:r w:rsidR="00DA21CD" w:rsidRPr="00AE141E">
        <w:rPr>
          <w:rFonts w:ascii="Times New Roman" w:hAnsi="Times New Roman" w:cs="Times New Roman"/>
          <w:sz w:val="24"/>
          <w:szCs w:val="24"/>
        </w:rPr>
        <w:t xml:space="preserve"> the Holocaust </w:t>
      </w:r>
      <w:r w:rsidR="004E6187" w:rsidRPr="00AE141E">
        <w:rPr>
          <w:rFonts w:ascii="Times New Roman" w:hAnsi="Times New Roman" w:cs="Times New Roman"/>
          <w:sz w:val="24"/>
          <w:szCs w:val="24"/>
        </w:rPr>
        <w:t>within a historical continuum of racis</w:t>
      </w:r>
      <w:r w:rsidR="008B54C4" w:rsidRPr="00AE141E">
        <w:rPr>
          <w:rFonts w:ascii="Times New Roman" w:hAnsi="Times New Roman" w:cs="Times New Roman"/>
          <w:sz w:val="24"/>
          <w:szCs w:val="24"/>
        </w:rPr>
        <w:t xml:space="preserve">t state violence. </w:t>
      </w:r>
      <w:r w:rsidR="00F87A24" w:rsidRPr="00AE141E">
        <w:rPr>
          <w:rFonts w:ascii="Times New Roman" w:hAnsi="Times New Roman" w:cs="Times New Roman"/>
          <w:sz w:val="24"/>
          <w:szCs w:val="24"/>
        </w:rPr>
        <w:t xml:space="preserve">Indeed, </w:t>
      </w:r>
      <w:r w:rsidR="00B438CD" w:rsidRPr="00AE141E">
        <w:rPr>
          <w:rFonts w:ascii="Times New Roman" w:hAnsi="Times New Roman" w:cs="Times New Roman"/>
          <w:sz w:val="24"/>
          <w:szCs w:val="24"/>
        </w:rPr>
        <w:t>LA</w:t>
      </w:r>
      <w:r w:rsidR="00B07316">
        <w:rPr>
          <w:rFonts w:ascii="Times New Roman" w:hAnsi="Times New Roman" w:cs="Times New Roman"/>
          <w:sz w:val="24"/>
          <w:szCs w:val="24"/>
        </w:rPr>
        <w:t>E</w:t>
      </w:r>
      <w:r w:rsidR="00B438CD" w:rsidRPr="00AE141E">
        <w:rPr>
          <w:rFonts w:ascii="Times New Roman" w:hAnsi="Times New Roman" w:cs="Times New Roman"/>
          <w:sz w:val="24"/>
          <w:szCs w:val="24"/>
        </w:rPr>
        <w:t>G’s</w:t>
      </w:r>
      <w:r w:rsidR="00980953" w:rsidRPr="00AE141E">
        <w:rPr>
          <w:rFonts w:ascii="Times New Roman" w:hAnsi="Times New Roman" w:cs="Times New Roman"/>
          <w:sz w:val="24"/>
          <w:szCs w:val="24"/>
        </w:rPr>
        <w:t xml:space="preserve"> teaching materials claimed that </w:t>
      </w:r>
      <w:r w:rsidR="00051A1E" w:rsidRPr="00AE141E">
        <w:rPr>
          <w:rFonts w:ascii="Times New Roman" w:hAnsi="Times New Roman" w:cs="Times New Roman"/>
          <w:sz w:val="24"/>
          <w:szCs w:val="24"/>
        </w:rPr>
        <w:t>antisemitism</w:t>
      </w:r>
      <w:r w:rsidR="00AE12FC" w:rsidRPr="00AE141E">
        <w:rPr>
          <w:rFonts w:ascii="Times New Roman" w:hAnsi="Times New Roman" w:cs="Times New Roman"/>
          <w:sz w:val="24"/>
          <w:szCs w:val="24"/>
        </w:rPr>
        <w:t xml:space="preserve"> was </w:t>
      </w:r>
      <w:r w:rsidR="004C7BB6" w:rsidRPr="00AE141E">
        <w:rPr>
          <w:rFonts w:ascii="Times New Roman" w:hAnsi="Times New Roman" w:cs="Times New Roman"/>
          <w:sz w:val="24"/>
          <w:szCs w:val="24"/>
        </w:rPr>
        <w:t>‘</w:t>
      </w:r>
      <w:r w:rsidR="00AE12FC" w:rsidRPr="00AE141E">
        <w:rPr>
          <w:rFonts w:ascii="Times New Roman" w:hAnsi="Times New Roman" w:cs="Times New Roman"/>
          <w:sz w:val="24"/>
          <w:szCs w:val="24"/>
        </w:rPr>
        <w:t>unique</w:t>
      </w:r>
      <w:r w:rsidR="004C7BB6" w:rsidRPr="00AE141E">
        <w:rPr>
          <w:rFonts w:ascii="Times New Roman" w:hAnsi="Times New Roman" w:cs="Times New Roman"/>
          <w:sz w:val="24"/>
          <w:szCs w:val="24"/>
        </w:rPr>
        <w:t>’</w:t>
      </w:r>
      <w:r w:rsidR="00AE12FC" w:rsidRPr="00AE141E">
        <w:rPr>
          <w:rFonts w:ascii="Times New Roman" w:hAnsi="Times New Roman" w:cs="Times New Roman"/>
          <w:sz w:val="24"/>
          <w:szCs w:val="24"/>
        </w:rPr>
        <w:t xml:space="preserve"> amongst ideologies of race in</w:t>
      </w:r>
      <w:r w:rsidR="00900093" w:rsidRPr="00AE141E">
        <w:rPr>
          <w:rFonts w:ascii="Times New Roman" w:hAnsi="Times New Roman" w:cs="Times New Roman"/>
          <w:sz w:val="24"/>
          <w:szCs w:val="24"/>
        </w:rPr>
        <w:t xml:space="preserve"> </w:t>
      </w:r>
      <w:r w:rsidR="00FF1957" w:rsidRPr="00AE141E">
        <w:rPr>
          <w:rFonts w:ascii="Times New Roman" w:hAnsi="Times New Roman" w:cs="Times New Roman"/>
          <w:sz w:val="24"/>
          <w:szCs w:val="24"/>
        </w:rPr>
        <w:t xml:space="preserve">its </w:t>
      </w:r>
      <w:r w:rsidR="00900093" w:rsidRPr="00AE141E">
        <w:rPr>
          <w:rFonts w:ascii="Times New Roman" w:hAnsi="Times New Roman" w:cs="Times New Roman"/>
          <w:sz w:val="24"/>
          <w:szCs w:val="24"/>
        </w:rPr>
        <w:t xml:space="preserve">culmination in genocide </w:t>
      </w:r>
      <w:r w:rsidR="008127E0" w:rsidRPr="00AE141E">
        <w:rPr>
          <w:rFonts w:ascii="Times New Roman" w:hAnsi="Times New Roman" w:cs="Times New Roman"/>
          <w:sz w:val="24"/>
          <w:szCs w:val="24"/>
        </w:rPr>
        <w:t>(</w:t>
      </w:r>
      <w:r w:rsidR="004C7BB6" w:rsidRPr="00AE141E">
        <w:rPr>
          <w:rFonts w:ascii="Times New Roman" w:hAnsi="Times New Roman" w:cs="Times New Roman"/>
          <w:sz w:val="24"/>
          <w:szCs w:val="24"/>
        </w:rPr>
        <w:t>‘the deliberate and carefully planned extermination of an entire people aided</w:t>
      </w:r>
      <w:r w:rsidR="005C6FB9" w:rsidRPr="00AE141E">
        <w:rPr>
          <w:rFonts w:ascii="Times New Roman" w:hAnsi="Times New Roman" w:cs="Times New Roman"/>
          <w:sz w:val="24"/>
          <w:szCs w:val="24"/>
        </w:rPr>
        <w:t xml:space="preserve"> </w:t>
      </w:r>
      <w:r w:rsidR="004C7BB6" w:rsidRPr="00AE141E">
        <w:rPr>
          <w:rFonts w:ascii="Times New Roman" w:hAnsi="Times New Roman" w:cs="Times New Roman"/>
          <w:sz w:val="24"/>
          <w:szCs w:val="24"/>
        </w:rPr>
        <w:t>by the technology of the “civilised” modern world’</w:t>
      </w:r>
      <w:r w:rsidR="008127E0" w:rsidRPr="00AE141E">
        <w:rPr>
          <w:rFonts w:ascii="Times New Roman" w:hAnsi="Times New Roman" w:cs="Times New Roman"/>
          <w:sz w:val="24"/>
          <w:szCs w:val="24"/>
        </w:rPr>
        <w:t>)</w:t>
      </w:r>
      <w:r w:rsidR="004C7BB6" w:rsidRPr="00AE141E">
        <w:rPr>
          <w:rFonts w:ascii="Times New Roman" w:hAnsi="Times New Roman" w:cs="Times New Roman"/>
          <w:sz w:val="24"/>
          <w:szCs w:val="24"/>
        </w:rPr>
        <w:t>.</w:t>
      </w:r>
      <w:r w:rsidR="004C7BB6" w:rsidRPr="00AE141E">
        <w:rPr>
          <w:rStyle w:val="FootnoteReference"/>
          <w:rFonts w:ascii="Times New Roman" w:hAnsi="Times New Roman" w:cs="Times New Roman"/>
          <w:sz w:val="24"/>
          <w:szCs w:val="24"/>
        </w:rPr>
        <w:footnoteReference w:id="605"/>
      </w:r>
      <w:r w:rsidR="005C6FB9" w:rsidRPr="00AE141E">
        <w:rPr>
          <w:rFonts w:ascii="Times New Roman" w:hAnsi="Times New Roman" w:cs="Times New Roman"/>
          <w:sz w:val="24"/>
          <w:szCs w:val="24"/>
        </w:rPr>
        <w:t xml:space="preserve"> </w:t>
      </w:r>
    </w:p>
    <w:p w14:paraId="073949AD" w14:textId="42BCF5E7" w:rsidR="009635EE" w:rsidRPr="00AE141E" w:rsidRDefault="0098608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language of ‘civilisation’ permeated LA</w:t>
      </w:r>
      <w:r w:rsidR="00B07316">
        <w:rPr>
          <w:rFonts w:ascii="Times New Roman" w:hAnsi="Times New Roman" w:cs="Times New Roman"/>
          <w:sz w:val="24"/>
          <w:szCs w:val="24"/>
        </w:rPr>
        <w:t>E</w:t>
      </w:r>
      <w:r w:rsidRPr="00AE141E">
        <w:rPr>
          <w:rFonts w:ascii="Times New Roman" w:hAnsi="Times New Roman" w:cs="Times New Roman"/>
          <w:sz w:val="24"/>
          <w:szCs w:val="24"/>
        </w:rPr>
        <w:t>G’s work. Another resource in their Auschwitz teaching pack</w:t>
      </w:r>
      <w:r w:rsidR="00313656" w:rsidRPr="00AE141E">
        <w:rPr>
          <w:rFonts w:ascii="Times New Roman" w:hAnsi="Times New Roman" w:cs="Times New Roman"/>
          <w:sz w:val="24"/>
          <w:szCs w:val="24"/>
        </w:rPr>
        <w:t xml:space="preserve"> </w:t>
      </w:r>
      <w:r w:rsidR="003046E6" w:rsidRPr="00AE141E">
        <w:rPr>
          <w:rFonts w:ascii="Times New Roman" w:hAnsi="Times New Roman" w:cs="Times New Roman"/>
          <w:sz w:val="24"/>
          <w:szCs w:val="24"/>
        </w:rPr>
        <w:t>drew the following lesson from the history of the Holocaust:</w:t>
      </w:r>
    </w:p>
    <w:p w14:paraId="7A3F6E14" w14:textId="75E94D94" w:rsidR="007B4A4E" w:rsidRPr="00AE141E" w:rsidRDefault="00FA0B9C"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E</w:t>
      </w:r>
      <w:r w:rsidR="00174EEC" w:rsidRPr="00AE141E">
        <w:rPr>
          <w:rFonts w:ascii="Times New Roman" w:hAnsi="Times New Roman" w:cs="Times New Roman"/>
          <w:sz w:val="24"/>
          <w:szCs w:val="24"/>
        </w:rPr>
        <w:t xml:space="preserve">ducation and </w:t>
      </w:r>
      <w:r w:rsidR="00AF1DD6" w:rsidRPr="00AE141E">
        <w:rPr>
          <w:rFonts w:ascii="Times New Roman" w:hAnsi="Times New Roman" w:cs="Times New Roman"/>
          <w:sz w:val="24"/>
          <w:szCs w:val="24"/>
        </w:rPr>
        <w:t>“</w:t>
      </w:r>
      <w:r w:rsidR="00174EEC" w:rsidRPr="00AE141E">
        <w:rPr>
          <w:rFonts w:ascii="Times New Roman" w:hAnsi="Times New Roman" w:cs="Times New Roman"/>
          <w:sz w:val="24"/>
          <w:szCs w:val="24"/>
        </w:rPr>
        <w:t>civilisation</w:t>
      </w:r>
      <w:r w:rsidR="00AF1DD6" w:rsidRPr="00AE141E">
        <w:rPr>
          <w:rFonts w:ascii="Times New Roman" w:hAnsi="Times New Roman" w:cs="Times New Roman"/>
          <w:sz w:val="24"/>
          <w:szCs w:val="24"/>
        </w:rPr>
        <w:t>”</w:t>
      </w:r>
      <w:r w:rsidR="00174EEC" w:rsidRPr="00AE141E">
        <w:rPr>
          <w:rFonts w:ascii="Times New Roman" w:hAnsi="Times New Roman" w:cs="Times New Roman"/>
          <w:sz w:val="24"/>
          <w:szCs w:val="24"/>
        </w:rPr>
        <w:t xml:space="preserve"> are no safeguard against inhumanity </w:t>
      </w:r>
      <w:r w:rsidR="00C96528" w:rsidRPr="00AE141E">
        <w:rPr>
          <w:rFonts w:ascii="Times New Roman" w:hAnsi="Times New Roman" w:cs="Times New Roman"/>
          <w:sz w:val="24"/>
          <w:szCs w:val="24"/>
        </w:rPr>
        <w:t>–</w:t>
      </w:r>
      <w:r w:rsidR="00174EEC" w:rsidRPr="00AE141E">
        <w:rPr>
          <w:rFonts w:ascii="Times New Roman" w:hAnsi="Times New Roman" w:cs="Times New Roman"/>
          <w:sz w:val="24"/>
          <w:szCs w:val="24"/>
        </w:rPr>
        <w:t xml:space="preserve"> </w:t>
      </w:r>
      <w:r w:rsidR="00C96528" w:rsidRPr="00AE141E">
        <w:rPr>
          <w:rFonts w:ascii="Times New Roman" w:hAnsi="Times New Roman" w:cs="Times New Roman"/>
          <w:sz w:val="24"/>
          <w:szCs w:val="24"/>
        </w:rPr>
        <w:t xml:space="preserve">[…] </w:t>
      </w:r>
      <w:r w:rsidR="00174EEC" w:rsidRPr="00AE141E">
        <w:rPr>
          <w:rFonts w:ascii="Times New Roman" w:hAnsi="Times New Roman" w:cs="Times New Roman"/>
          <w:sz w:val="24"/>
          <w:szCs w:val="24"/>
        </w:rPr>
        <w:t>a</w:t>
      </w:r>
      <w:r w:rsidR="00C96528" w:rsidRPr="00AE141E">
        <w:rPr>
          <w:rFonts w:ascii="Times New Roman" w:hAnsi="Times New Roman" w:cs="Times New Roman"/>
          <w:sz w:val="24"/>
          <w:szCs w:val="24"/>
        </w:rPr>
        <w:t xml:space="preserve"> </w:t>
      </w:r>
      <w:r w:rsidR="00174EEC" w:rsidRPr="00AE141E">
        <w:rPr>
          <w:rFonts w:ascii="Times New Roman" w:hAnsi="Times New Roman" w:cs="Times New Roman"/>
          <w:sz w:val="24"/>
          <w:szCs w:val="24"/>
        </w:rPr>
        <w:t>cultured and educated society like Germany was ready to perpetrate appalling injustices upon fellow human beings to the point of mass murder on an unprecedented (and unrepeated) scale.</w:t>
      </w:r>
      <w:r w:rsidR="001F1EC4" w:rsidRPr="00AE141E">
        <w:rPr>
          <w:rStyle w:val="FootnoteReference"/>
          <w:rFonts w:ascii="Times New Roman" w:hAnsi="Times New Roman" w:cs="Times New Roman"/>
          <w:sz w:val="24"/>
          <w:szCs w:val="24"/>
        </w:rPr>
        <w:footnoteReference w:id="606"/>
      </w:r>
    </w:p>
    <w:p w14:paraId="113F4978" w14:textId="089D72BD" w:rsidR="00D90085" w:rsidRPr="00AE141E" w:rsidRDefault="000E5D7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w:t>
      </w:r>
      <w:r w:rsidR="002A078C" w:rsidRPr="00AE141E">
        <w:rPr>
          <w:rFonts w:ascii="Times New Roman" w:hAnsi="Times New Roman" w:cs="Times New Roman"/>
          <w:sz w:val="24"/>
          <w:szCs w:val="24"/>
        </w:rPr>
        <w:t xml:space="preserve">n </w:t>
      </w:r>
      <w:r w:rsidR="0019003A" w:rsidRPr="00AE141E">
        <w:rPr>
          <w:rFonts w:ascii="Times New Roman" w:hAnsi="Times New Roman" w:cs="Times New Roman"/>
          <w:sz w:val="24"/>
          <w:szCs w:val="24"/>
        </w:rPr>
        <w:t>insistence on the singularity of</w:t>
      </w:r>
      <w:r w:rsidR="00E97758" w:rsidRPr="00AE141E">
        <w:rPr>
          <w:rFonts w:ascii="Times New Roman" w:hAnsi="Times New Roman" w:cs="Times New Roman"/>
          <w:sz w:val="24"/>
          <w:szCs w:val="24"/>
        </w:rPr>
        <w:t xml:space="preserve"> the Holocaust </w:t>
      </w:r>
      <w:r w:rsidR="0019003A" w:rsidRPr="00AE141E">
        <w:rPr>
          <w:rFonts w:ascii="Times New Roman" w:hAnsi="Times New Roman" w:cs="Times New Roman"/>
          <w:sz w:val="24"/>
          <w:szCs w:val="24"/>
        </w:rPr>
        <w:t>foreclose</w:t>
      </w:r>
      <w:r w:rsidR="001D748B" w:rsidRPr="00AE141E">
        <w:rPr>
          <w:rFonts w:ascii="Times New Roman" w:hAnsi="Times New Roman" w:cs="Times New Roman"/>
          <w:sz w:val="24"/>
          <w:szCs w:val="24"/>
        </w:rPr>
        <w:t xml:space="preserve">d </w:t>
      </w:r>
      <w:r w:rsidR="0035464F" w:rsidRPr="00AE141E">
        <w:rPr>
          <w:rFonts w:ascii="Times New Roman" w:hAnsi="Times New Roman" w:cs="Times New Roman"/>
          <w:sz w:val="24"/>
          <w:szCs w:val="24"/>
        </w:rPr>
        <w:t xml:space="preserve">understanding of its colonial antecedents. </w:t>
      </w:r>
      <w:r w:rsidR="00E97758" w:rsidRPr="00AE141E">
        <w:rPr>
          <w:rFonts w:ascii="Times New Roman" w:hAnsi="Times New Roman" w:cs="Times New Roman"/>
          <w:sz w:val="24"/>
          <w:szCs w:val="24"/>
        </w:rPr>
        <w:t xml:space="preserve">As </w:t>
      </w:r>
      <w:r w:rsidR="00C007BB" w:rsidRPr="00AE141E">
        <w:rPr>
          <w:rFonts w:ascii="Times New Roman" w:hAnsi="Times New Roman" w:cs="Times New Roman"/>
          <w:sz w:val="24"/>
          <w:szCs w:val="24"/>
        </w:rPr>
        <w:t xml:space="preserve">Jürgen Zimmerer </w:t>
      </w:r>
      <w:r w:rsidR="00E97758" w:rsidRPr="00AE141E">
        <w:rPr>
          <w:rFonts w:ascii="Times New Roman" w:hAnsi="Times New Roman" w:cs="Times New Roman"/>
          <w:sz w:val="24"/>
          <w:szCs w:val="24"/>
        </w:rPr>
        <w:t xml:space="preserve">has argued, </w:t>
      </w:r>
      <w:r w:rsidR="00480433" w:rsidRPr="00AE141E">
        <w:rPr>
          <w:rFonts w:ascii="Times New Roman" w:hAnsi="Times New Roman" w:cs="Times New Roman"/>
          <w:sz w:val="24"/>
          <w:szCs w:val="24"/>
        </w:rPr>
        <w:t xml:space="preserve">such understandings posit Nazi brutality as an </w:t>
      </w:r>
      <w:r w:rsidR="004E22D0" w:rsidRPr="00AE141E">
        <w:rPr>
          <w:rFonts w:ascii="Times New Roman" w:hAnsi="Times New Roman" w:cs="Times New Roman"/>
          <w:sz w:val="24"/>
          <w:szCs w:val="24"/>
        </w:rPr>
        <w:t>unexplained deviation from</w:t>
      </w:r>
      <w:r w:rsidR="00F5283F" w:rsidRPr="00AE141E">
        <w:rPr>
          <w:rFonts w:ascii="Times New Roman" w:hAnsi="Times New Roman" w:cs="Times New Roman"/>
          <w:sz w:val="24"/>
          <w:szCs w:val="24"/>
        </w:rPr>
        <w:t xml:space="preserve"> – rather than a symptom of –</w:t>
      </w:r>
      <w:r w:rsidR="004E22D0" w:rsidRPr="00AE141E">
        <w:rPr>
          <w:rFonts w:ascii="Times New Roman" w:hAnsi="Times New Roman" w:cs="Times New Roman"/>
          <w:sz w:val="24"/>
          <w:szCs w:val="24"/>
        </w:rPr>
        <w:t xml:space="preserve"> </w:t>
      </w:r>
      <w:r w:rsidR="00F5283F" w:rsidRPr="00AE141E">
        <w:rPr>
          <w:rFonts w:ascii="Times New Roman" w:hAnsi="Times New Roman" w:cs="Times New Roman"/>
          <w:sz w:val="24"/>
          <w:szCs w:val="24"/>
        </w:rPr>
        <w:t>the ‘</w:t>
      </w:r>
      <w:r w:rsidR="002A078C" w:rsidRPr="00AE141E">
        <w:rPr>
          <w:rFonts w:ascii="Times New Roman" w:hAnsi="Times New Roman" w:cs="Times New Roman"/>
          <w:sz w:val="24"/>
          <w:szCs w:val="24"/>
        </w:rPr>
        <w:t>grand narrative’ of Enlightenment modernity</w:t>
      </w:r>
      <w:r w:rsidR="003C7478" w:rsidRPr="00AE141E">
        <w:rPr>
          <w:rFonts w:ascii="Times New Roman" w:hAnsi="Times New Roman" w:cs="Times New Roman"/>
          <w:sz w:val="24"/>
          <w:szCs w:val="24"/>
        </w:rPr>
        <w:t>.</w:t>
      </w:r>
      <w:r w:rsidR="00FE12BB" w:rsidRPr="00AE141E">
        <w:rPr>
          <w:rStyle w:val="FootnoteReference"/>
          <w:rFonts w:ascii="Times New Roman" w:hAnsi="Times New Roman" w:cs="Times New Roman"/>
          <w:sz w:val="24"/>
          <w:szCs w:val="24"/>
        </w:rPr>
        <w:footnoteReference w:id="607"/>
      </w:r>
      <w:r w:rsidR="00DA2145" w:rsidRPr="00AE141E">
        <w:rPr>
          <w:rFonts w:ascii="Times New Roman" w:hAnsi="Times New Roman" w:cs="Times New Roman"/>
          <w:sz w:val="24"/>
          <w:szCs w:val="24"/>
        </w:rPr>
        <w:t xml:space="preserve"> </w:t>
      </w:r>
      <w:r w:rsidR="00C92309" w:rsidRPr="00AE141E">
        <w:rPr>
          <w:rFonts w:ascii="Times New Roman" w:hAnsi="Times New Roman" w:cs="Times New Roman"/>
          <w:sz w:val="24"/>
          <w:szCs w:val="24"/>
        </w:rPr>
        <w:t>In fac</w:t>
      </w:r>
      <w:r w:rsidR="00707DE9" w:rsidRPr="00AE141E">
        <w:rPr>
          <w:rFonts w:ascii="Times New Roman" w:hAnsi="Times New Roman" w:cs="Times New Roman"/>
          <w:sz w:val="24"/>
          <w:szCs w:val="24"/>
        </w:rPr>
        <w:t xml:space="preserve">t, </w:t>
      </w:r>
      <w:r w:rsidR="003D368E" w:rsidRPr="00AE141E">
        <w:rPr>
          <w:rFonts w:ascii="Times New Roman" w:hAnsi="Times New Roman" w:cs="Times New Roman"/>
          <w:sz w:val="24"/>
          <w:szCs w:val="24"/>
        </w:rPr>
        <w:t xml:space="preserve">the strategies of European colonial rule </w:t>
      </w:r>
      <w:r w:rsidR="00D604F7" w:rsidRPr="00AE141E">
        <w:rPr>
          <w:rFonts w:ascii="Times New Roman" w:hAnsi="Times New Roman" w:cs="Times New Roman"/>
          <w:sz w:val="24"/>
          <w:szCs w:val="24"/>
        </w:rPr>
        <w:t>normalised understandings of ‘space</w:t>
      </w:r>
      <w:r w:rsidR="005B775E" w:rsidRPr="00AE141E">
        <w:rPr>
          <w:rFonts w:ascii="Times New Roman" w:hAnsi="Times New Roman" w:cs="Times New Roman"/>
          <w:sz w:val="24"/>
          <w:szCs w:val="24"/>
        </w:rPr>
        <w:t>’</w:t>
      </w:r>
      <w:r w:rsidR="00D604F7" w:rsidRPr="00AE141E">
        <w:rPr>
          <w:rFonts w:ascii="Times New Roman" w:hAnsi="Times New Roman" w:cs="Times New Roman"/>
          <w:sz w:val="24"/>
          <w:szCs w:val="24"/>
        </w:rPr>
        <w:t xml:space="preserve"> and </w:t>
      </w:r>
      <w:r w:rsidR="005B775E" w:rsidRPr="00AE141E">
        <w:rPr>
          <w:rFonts w:ascii="Times New Roman" w:hAnsi="Times New Roman" w:cs="Times New Roman"/>
          <w:sz w:val="24"/>
          <w:szCs w:val="24"/>
        </w:rPr>
        <w:t>‘</w:t>
      </w:r>
      <w:r w:rsidR="00D604F7" w:rsidRPr="00AE141E">
        <w:rPr>
          <w:rFonts w:ascii="Times New Roman" w:hAnsi="Times New Roman" w:cs="Times New Roman"/>
          <w:sz w:val="24"/>
          <w:szCs w:val="24"/>
        </w:rPr>
        <w:t xml:space="preserve">race’ which would later culminate in </w:t>
      </w:r>
      <w:r w:rsidR="002D4DE2" w:rsidRPr="00AE141E">
        <w:rPr>
          <w:rFonts w:ascii="Times New Roman" w:hAnsi="Times New Roman" w:cs="Times New Roman"/>
          <w:sz w:val="24"/>
          <w:szCs w:val="24"/>
        </w:rPr>
        <w:t>the Nazi policies of ‘conquest and extermination’</w:t>
      </w:r>
      <w:r w:rsidR="00D604F7" w:rsidRPr="00AE141E">
        <w:rPr>
          <w:rFonts w:ascii="Times New Roman" w:hAnsi="Times New Roman" w:cs="Times New Roman"/>
          <w:sz w:val="24"/>
          <w:szCs w:val="24"/>
        </w:rPr>
        <w:t>.</w:t>
      </w:r>
      <w:r w:rsidR="00423E9A" w:rsidRPr="00AE141E">
        <w:rPr>
          <w:rFonts w:ascii="Times New Roman" w:hAnsi="Times New Roman" w:cs="Times New Roman"/>
          <w:sz w:val="24"/>
          <w:szCs w:val="24"/>
        </w:rPr>
        <w:t xml:space="preserve"> </w:t>
      </w:r>
      <w:r w:rsidR="00316C99" w:rsidRPr="00AE141E">
        <w:rPr>
          <w:rFonts w:ascii="Times New Roman" w:hAnsi="Times New Roman" w:cs="Times New Roman"/>
          <w:sz w:val="24"/>
          <w:szCs w:val="24"/>
        </w:rPr>
        <w:t>White supremacy and its tools of domination (</w:t>
      </w:r>
      <w:r w:rsidR="00C0073C" w:rsidRPr="00AE141E">
        <w:rPr>
          <w:rFonts w:ascii="Times New Roman" w:hAnsi="Times New Roman" w:cs="Times New Roman"/>
          <w:sz w:val="24"/>
          <w:szCs w:val="24"/>
        </w:rPr>
        <w:t xml:space="preserve">eugenics; wars of extermination; containment; deportation) </w:t>
      </w:r>
      <w:r w:rsidR="00E84FB2" w:rsidRPr="00AE141E">
        <w:rPr>
          <w:rFonts w:ascii="Times New Roman" w:hAnsi="Times New Roman" w:cs="Times New Roman"/>
          <w:sz w:val="24"/>
          <w:szCs w:val="24"/>
        </w:rPr>
        <w:t>we</w:t>
      </w:r>
      <w:r w:rsidR="004F1C33" w:rsidRPr="00AE141E">
        <w:rPr>
          <w:rFonts w:ascii="Times New Roman" w:hAnsi="Times New Roman" w:cs="Times New Roman"/>
          <w:sz w:val="24"/>
          <w:szCs w:val="24"/>
        </w:rPr>
        <w:t xml:space="preserve">re born out of a colonial context before being married to </w:t>
      </w:r>
      <w:r w:rsidR="00051A1E" w:rsidRPr="00AE141E">
        <w:rPr>
          <w:rFonts w:ascii="Times New Roman" w:hAnsi="Times New Roman" w:cs="Times New Roman"/>
          <w:sz w:val="24"/>
          <w:szCs w:val="24"/>
        </w:rPr>
        <w:t>antisemitism</w:t>
      </w:r>
      <w:r w:rsidR="004F1C33" w:rsidRPr="00AE141E">
        <w:rPr>
          <w:rFonts w:ascii="Times New Roman" w:hAnsi="Times New Roman" w:cs="Times New Roman"/>
          <w:sz w:val="24"/>
          <w:szCs w:val="24"/>
        </w:rPr>
        <w:t xml:space="preserve"> </w:t>
      </w:r>
      <w:r w:rsidR="00615A69" w:rsidRPr="00AE141E">
        <w:rPr>
          <w:rFonts w:ascii="Times New Roman" w:hAnsi="Times New Roman" w:cs="Times New Roman"/>
          <w:sz w:val="24"/>
          <w:szCs w:val="24"/>
        </w:rPr>
        <w:t xml:space="preserve">and enlisted by </w:t>
      </w:r>
      <w:r w:rsidR="00BF3486" w:rsidRPr="00AE141E">
        <w:rPr>
          <w:rFonts w:ascii="Times New Roman" w:hAnsi="Times New Roman" w:cs="Times New Roman"/>
          <w:sz w:val="24"/>
          <w:szCs w:val="24"/>
        </w:rPr>
        <w:t>the Nazi government</w:t>
      </w:r>
      <w:r w:rsidR="002135F6" w:rsidRPr="00AE141E">
        <w:rPr>
          <w:rFonts w:ascii="Times New Roman" w:hAnsi="Times New Roman" w:cs="Times New Roman"/>
          <w:sz w:val="24"/>
          <w:szCs w:val="24"/>
        </w:rPr>
        <w:t>. LA</w:t>
      </w:r>
      <w:r w:rsidR="00B07316">
        <w:rPr>
          <w:rFonts w:ascii="Times New Roman" w:hAnsi="Times New Roman" w:cs="Times New Roman"/>
          <w:sz w:val="24"/>
          <w:szCs w:val="24"/>
        </w:rPr>
        <w:t>E</w:t>
      </w:r>
      <w:r w:rsidR="002135F6" w:rsidRPr="00AE141E">
        <w:rPr>
          <w:rFonts w:ascii="Times New Roman" w:hAnsi="Times New Roman" w:cs="Times New Roman"/>
          <w:sz w:val="24"/>
          <w:szCs w:val="24"/>
        </w:rPr>
        <w:t xml:space="preserve">G’s surprise that </w:t>
      </w:r>
      <w:r w:rsidR="00FD55B9" w:rsidRPr="00AE141E">
        <w:rPr>
          <w:rFonts w:ascii="Times New Roman" w:hAnsi="Times New Roman" w:cs="Times New Roman"/>
          <w:sz w:val="24"/>
          <w:szCs w:val="24"/>
        </w:rPr>
        <w:t>‘</w:t>
      </w:r>
      <w:r w:rsidR="002135F6" w:rsidRPr="00AE141E">
        <w:rPr>
          <w:rFonts w:ascii="Times New Roman" w:hAnsi="Times New Roman" w:cs="Times New Roman"/>
          <w:sz w:val="24"/>
          <w:szCs w:val="24"/>
        </w:rPr>
        <w:t>civilisation’</w:t>
      </w:r>
      <w:r w:rsidR="00FD55B9" w:rsidRPr="00AE141E">
        <w:rPr>
          <w:rFonts w:ascii="Times New Roman" w:hAnsi="Times New Roman" w:cs="Times New Roman"/>
          <w:sz w:val="24"/>
          <w:szCs w:val="24"/>
        </w:rPr>
        <w:t xml:space="preserve"> </w:t>
      </w:r>
      <w:r w:rsidR="008A1EA1" w:rsidRPr="00AE141E">
        <w:rPr>
          <w:rFonts w:ascii="Times New Roman" w:hAnsi="Times New Roman" w:cs="Times New Roman"/>
          <w:sz w:val="24"/>
          <w:szCs w:val="24"/>
        </w:rPr>
        <w:t xml:space="preserve">– </w:t>
      </w:r>
      <w:r w:rsidR="003B789F" w:rsidRPr="00AE141E">
        <w:rPr>
          <w:rFonts w:ascii="Times New Roman" w:hAnsi="Times New Roman" w:cs="Times New Roman"/>
          <w:sz w:val="24"/>
          <w:szCs w:val="24"/>
        </w:rPr>
        <w:t>an</w:t>
      </w:r>
      <w:r w:rsidR="008A1EA1" w:rsidRPr="00AE141E">
        <w:rPr>
          <w:rFonts w:ascii="Times New Roman" w:hAnsi="Times New Roman" w:cs="Times New Roman"/>
          <w:sz w:val="24"/>
          <w:szCs w:val="24"/>
        </w:rPr>
        <w:t xml:space="preserve"> imperial concept of </w:t>
      </w:r>
      <w:r w:rsidR="00290203" w:rsidRPr="00AE141E">
        <w:rPr>
          <w:rFonts w:ascii="Times New Roman" w:hAnsi="Times New Roman" w:cs="Times New Roman"/>
          <w:sz w:val="24"/>
          <w:szCs w:val="24"/>
        </w:rPr>
        <w:t xml:space="preserve">White </w:t>
      </w:r>
      <w:r w:rsidR="00ED1D43" w:rsidRPr="00AE141E">
        <w:rPr>
          <w:rFonts w:ascii="Times New Roman" w:hAnsi="Times New Roman" w:cs="Times New Roman"/>
          <w:sz w:val="24"/>
          <w:szCs w:val="24"/>
        </w:rPr>
        <w:t>historical</w:t>
      </w:r>
      <w:r w:rsidR="00290203" w:rsidRPr="00AE141E">
        <w:rPr>
          <w:rFonts w:ascii="Times New Roman" w:hAnsi="Times New Roman" w:cs="Times New Roman"/>
          <w:sz w:val="24"/>
          <w:szCs w:val="24"/>
        </w:rPr>
        <w:t xml:space="preserve"> superiority</w:t>
      </w:r>
      <w:r w:rsidR="00FD55B9" w:rsidRPr="00AE141E">
        <w:rPr>
          <w:rFonts w:ascii="Times New Roman" w:hAnsi="Times New Roman" w:cs="Times New Roman"/>
          <w:sz w:val="24"/>
          <w:szCs w:val="24"/>
        </w:rPr>
        <w:t xml:space="preserve"> </w:t>
      </w:r>
      <w:r w:rsidR="0026389A" w:rsidRPr="00AE141E">
        <w:rPr>
          <w:rFonts w:ascii="Times New Roman" w:hAnsi="Times New Roman" w:cs="Times New Roman"/>
          <w:sz w:val="24"/>
          <w:szCs w:val="24"/>
        </w:rPr>
        <w:t>–</w:t>
      </w:r>
      <w:r w:rsidR="00FD55B9" w:rsidRPr="00AE141E">
        <w:rPr>
          <w:rFonts w:ascii="Times New Roman" w:hAnsi="Times New Roman" w:cs="Times New Roman"/>
          <w:sz w:val="24"/>
          <w:szCs w:val="24"/>
        </w:rPr>
        <w:t xml:space="preserve"> did</w:t>
      </w:r>
      <w:r w:rsidR="0026389A" w:rsidRPr="00AE141E">
        <w:rPr>
          <w:rFonts w:ascii="Times New Roman" w:hAnsi="Times New Roman" w:cs="Times New Roman"/>
          <w:sz w:val="24"/>
          <w:szCs w:val="24"/>
        </w:rPr>
        <w:t xml:space="preserve"> </w:t>
      </w:r>
      <w:r w:rsidR="00FD55B9" w:rsidRPr="00AE141E">
        <w:rPr>
          <w:rFonts w:ascii="Times New Roman" w:hAnsi="Times New Roman" w:cs="Times New Roman"/>
          <w:sz w:val="24"/>
          <w:szCs w:val="24"/>
        </w:rPr>
        <w:t xml:space="preserve">not inoculate Germans against </w:t>
      </w:r>
      <w:r w:rsidR="00526FB1" w:rsidRPr="00AE141E">
        <w:rPr>
          <w:rFonts w:ascii="Times New Roman" w:hAnsi="Times New Roman" w:cs="Times New Roman"/>
          <w:sz w:val="24"/>
          <w:szCs w:val="24"/>
        </w:rPr>
        <w:t>mass murder is telling.</w:t>
      </w:r>
      <w:r w:rsidR="00AA7354">
        <w:rPr>
          <w:rStyle w:val="FootnoteReference"/>
          <w:rFonts w:ascii="Times New Roman" w:hAnsi="Times New Roman" w:cs="Times New Roman"/>
          <w:sz w:val="24"/>
          <w:szCs w:val="24"/>
        </w:rPr>
        <w:footnoteReference w:id="608"/>
      </w:r>
      <w:r w:rsidR="00526FB1" w:rsidRPr="00AE141E">
        <w:rPr>
          <w:rFonts w:ascii="Times New Roman" w:hAnsi="Times New Roman" w:cs="Times New Roman"/>
          <w:sz w:val="24"/>
          <w:szCs w:val="24"/>
        </w:rPr>
        <w:t xml:space="preserve"> It </w:t>
      </w:r>
      <w:r w:rsidR="0026389A" w:rsidRPr="00AE141E">
        <w:rPr>
          <w:rFonts w:ascii="Times New Roman" w:hAnsi="Times New Roman" w:cs="Times New Roman"/>
          <w:sz w:val="24"/>
          <w:szCs w:val="24"/>
        </w:rPr>
        <w:t>was</w:t>
      </w:r>
      <w:r w:rsidR="00526FB1" w:rsidRPr="00AE141E">
        <w:rPr>
          <w:rFonts w:ascii="Times New Roman" w:hAnsi="Times New Roman" w:cs="Times New Roman"/>
          <w:sz w:val="24"/>
          <w:szCs w:val="24"/>
        </w:rPr>
        <w:t xml:space="preserve"> the </w:t>
      </w:r>
      <w:r w:rsidR="00D6172B" w:rsidRPr="00AE141E">
        <w:rPr>
          <w:rFonts w:ascii="Times New Roman" w:hAnsi="Times New Roman" w:cs="Times New Roman"/>
          <w:sz w:val="24"/>
          <w:szCs w:val="24"/>
        </w:rPr>
        <w:t xml:space="preserve">logical </w:t>
      </w:r>
      <w:r w:rsidR="00BC1DA9" w:rsidRPr="00AE141E">
        <w:rPr>
          <w:rFonts w:ascii="Times New Roman" w:hAnsi="Times New Roman" w:cs="Times New Roman"/>
          <w:sz w:val="24"/>
          <w:szCs w:val="24"/>
        </w:rPr>
        <w:t>endpoint</w:t>
      </w:r>
      <w:r w:rsidR="00D6172B" w:rsidRPr="00AE141E">
        <w:rPr>
          <w:rFonts w:ascii="Times New Roman" w:hAnsi="Times New Roman" w:cs="Times New Roman"/>
          <w:sz w:val="24"/>
          <w:szCs w:val="24"/>
        </w:rPr>
        <w:t xml:space="preserve"> of the organisation’s blindness to </w:t>
      </w:r>
      <w:r w:rsidR="002A64E7" w:rsidRPr="00AE141E">
        <w:rPr>
          <w:rFonts w:ascii="Times New Roman" w:hAnsi="Times New Roman" w:cs="Times New Roman"/>
          <w:sz w:val="24"/>
          <w:szCs w:val="24"/>
        </w:rPr>
        <w:t>the continuity of empire and genocide.</w:t>
      </w:r>
    </w:p>
    <w:p w14:paraId="0F3FE707" w14:textId="1F9175C9" w:rsidR="005D5B25" w:rsidRPr="00AE141E" w:rsidRDefault="007A77C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Michael Rothberg</w:t>
      </w:r>
      <w:r w:rsidR="00DA21CD" w:rsidRPr="00AE141E">
        <w:rPr>
          <w:rFonts w:ascii="Times New Roman" w:hAnsi="Times New Roman" w:cs="Times New Roman"/>
          <w:sz w:val="24"/>
          <w:szCs w:val="24"/>
        </w:rPr>
        <w:t xml:space="preserve"> and Miriam Hensen </w:t>
      </w:r>
      <w:r w:rsidR="00553BC0" w:rsidRPr="00AE141E">
        <w:rPr>
          <w:rFonts w:ascii="Times New Roman" w:hAnsi="Times New Roman" w:cs="Times New Roman"/>
          <w:sz w:val="24"/>
          <w:szCs w:val="24"/>
        </w:rPr>
        <w:t>offer approach</w:t>
      </w:r>
      <w:r w:rsidR="00DA21CD" w:rsidRPr="00AE141E">
        <w:rPr>
          <w:rFonts w:ascii="Times New Roman" w:hAnsi="Times New Roman" w:cs="Times New Roman"/>
          <w:sz w:val="24"/>
          <w:szCs w:val="24"/>
        </w:rPr>
        <w:t>es</w:t>
      </w:r>
      <w:r w:rsidR="00553BC0" w:rsidRPr="00AE141E">
        <w:rPr>
          <w:rFonts w:ascii="Times New Roman" w:hAnsi="Times New Roman" w:cs="Times New Roman"/>
          <w:sz w:val="24"/>
          <w:szCs w:val="24"/>
        </w:rPr>
        <w:t xml:space="preserve"> to </w:t>
      </w:r>
      <w:r w:rsidR="007A3979" w:rsidRPr="00AE141E">
        <w:rPr>
          <w:rFonts w:ascii="Times New Roman" w:hAnsi="Times New Roman" w:cs="Times New Roman"/>
          <w:sz w:val="24"/>
          <w:szCs w:val="24"/>
        </w:rPr>
        <w:t>Holocaust education which help</w:t>
      </w:r>
      <w:r w:rsidR="002949C4" w:rsidRPr="00AE141E">
        <w:rPr>
          <w:rFonts w:ascii="Times New Roman" w:hAnsi="Times New Roman" w:cs="Times New Roman"/>
          <w:sz w:val="24"/>
          <w:szCs w:val="24"/>
        </w:rPr>
        <w:t xml:space="preserve"> </w:t>
      </w:r>
      <w:r w:rsidR="007A3979" w:rsidRPr="00AE141E">
        <w:rPr>
          <w:rFonts w:ascii="Times New Roman" w:hAnsi="Times New Roman" w:cs="Times New Roman"/>
          <w:sz w:val="24"/>
          <w:szCs w:val="24"/>
        </w:rPr>
        <w:t>to clarify the distinction between LA</w:t>
      </w:r>
      <w:r w:rsidR="00B07316">
        <w:rPr>
          <w:rFonts w:ascii="Times New Roman" w:hAnsi="Times New Roman" w:cs="Times New Roman"/>
          <w:sz w:val="24"/>
          <w:szCs w:val="24"/>
        </w:rPr>
        <w:t>E</w:t>
      </w:r>
      <w:r w:rsidR="007A3979" w:rsidRPr="00AE141E">
        <w:rPr>
          <w:rFonts w:ascii="Times New Roman" w:hAnsi="Times New Roman" w:cs="Times New Roman"/>
          <w:sz w:val="24"/>
          <w:szCs w:val="24"/>
        </w:rPr>
        <w:t xml:space="preserve">G and Big Flame. </w:t>
      </w:r>
      <w:r w:rsidR="001F3A0E" w:rsidRPr="00AE141E">
        <w:rPr>
          <w:rFonts w:ascii="Times New Roman" w:hAnsi="Times New Roman" w:cs="Times New Roman"/>
          <w:sz w:val="24"/>
          <w:szCs w:val="24"/>
        </w:rPr>
        <w:t xml:space="preserve">Rothberg </w:t>
      </w:r>
      <w:r w:rsidR="008D767D" w:rsidRPr="00AE141E">
        <w:rPr>
          <w:rFonts w:ascii="Times New Roman" w:hAnsi="Times New Roman" w:cs="Times New Roman"/>
          <w:sz w:val="24"/>
          <w:szCs w:val="24"/>
        </w:rPr>
        <w:t>argues that</w:t>
      </w:r>
      <w:r w:rsidR="009E6990" w:rsidRPr="00AE141E">
        <w:rPr>
          <w:rFonts w:ascii="Times New Roman" w:hAnsi="Times New Roman" w:cs="Times New Roman"/>
          <w:sz w:val="24"/>
          <w:szCs w:val="24"/>
        </w:rPr>
        <w:t xml:space="preserve"> </w:t>
      </w:r>
      <w:r w:rsidR="00E24597" w:rsidRPr="00AE141E">
        <w:rPr>
          <w:rFonts w:ascii="Times New Roman" w:hAnsi="Times New Roman" w:cs="Times New Roman"/>
          <w:sz w:val="24"/>
          <w:szCs w:val="24"/>
        </w:rPr>
        <w:t>an</w:t>
      </w:r>
      <w:r w:rsidR="009E6990" w:rsidRPr="00AE141E">
        <w:rPr>
          <w:rFonts w:ascii="Times New Roman" w:hAnsi="Times New Roman" w:cs="Times New Roman"/>
          <w:sz w:val="24"/>
          <w:szCs w:val="24"/>
        </w:rPr>
        <w:t xml:space="preserve"> </w:t>
      </w:r>
      <w:r w:rsidR="00E24597" w:rsidRPr="00AE141E">
        <w:rPr>
          <w:rFonts w:ascii="Times New Roman" w:hAnsi="Times New Roman" w:cs="Times New Roman"/>
          <w:sz w:val="24"/>
          <w:szCs w:val="24"/>
        </w:rPr>
        <w:t>‘</w:t>
      </w:r>
      <w:r w:rsidR="009E6990" w:rsidRPr="00AE141E">
        <w:rPr>
          <w:rFonts w:ascii="Times New Roman" w:hAnsi="Times New Roman" w:cs="Times New Roman"/>
          <w:sz w:val="24"/>
          <w:szCs w:val="24"/>
        </w:rPr>
        <w:t xml:space="preserve">ugly contest of comparative victimization’ </w:t>
      </w:r>
      <w:r w:rsidR="00B84FFD" w:rsidRPr="00AE141E">
        <w:rPr>
          <w:rFonts w:ascii="Times New Roman" w:hAnsi="Times New Roman" w:cs="Times New Roman"/>
          <w:sz w:val="24"/>
          <w:szCs w:val="24"/>
        </w:rPr>
        <w:t xml:space="preserve">has </w:t>
      </w:r>
      <w:r w:rsidR="00DA21CD" w:rsidRPr="00AE141E">
        <w:rPr>
          <w:rFonts w:ascii="Times New Roman" w:hAnsi="Times New Roman" w:cs="Times New Roman"/>
          <w:sz w:val="24"/>
          <w:szCs w:val="24"/>
        </w:rPr>
        <w:t>appeared</w:t>
      </w:r>
      <w:r w:rsidR="00B84FFD" w:rsidRPr="00AE141E">
        <w:rPr>
          <w:rFonts w:ascii="Times New Roman" w:hAnsi="Times New Roman" w:cs="Times New Roman"/>
          <w:sz w:val="24"/>
          <w:szCs w:val="24"/>
        </w:rPr>
        <w:t xml:space="preserve">, in which the Holocaust is set against </w:t>
      </w:r>
      <w:r w:rsidR="00CA4590" w:rsidRPr="00AE141E">
        <w:rPr>
          <w:rFonts w:ascii="Times New Roman" w:hAnsi="Times New Roman" w:cs="Times New Roman"/>
          <w:sz w:val="24"/>
          <w:szCs w:val="24"/>
        </w:rPr>
        <w:t>‘global</w:t>
      </w:r>
      <w:r w:rsidR="00B84FFD" w:rsidRPr="00AE141E">
        <w:rPr>
          <w:rFonts w:ascii="Times New Roman" w:hAnsi="Times New Roman" w:cs="Times New Roman"/>
          <w:sz w:val="24"/>
          <w:szCs w:val="24"/>
        </w:rPr>
        <w:t xml:space="preserve"> </w:t>
      </w:r>
      <w:r w:rsidR="00CA4590" w:rsidRPr="00AE141E">
        <w:rPr>
          <w:rFonts w:ascii="Times New Roman" w:hAnsi="Times New Roman" w:cs="Times New Roman"/>
          <w:sz w:val="24"/>
          <w:szCs w:val="24"/>
        </w:rPr>
        <w:t>histories of racism, slavery, and colonialism’.</w:t>
      </w:r>
      <w:r w:rsidR="00E24597" w:rsidRPr="00AE141E">
        <w:rPr>
          <w:rStyle w:val="FootnoteReference"/>
          <w:rFonts w:ascii="Times New Roman" w:hAnsi="Times New Roman" w:cs="Times New Roman"/>
          <w:sz w:val="24"/>
          <w:szCs w:val="24"/>
        </w:rPr>
        <w:footnoteReference w:id="609"/>
      </w:r>
      <w:r w:rsidR="008D767D" w:rsidRPr="00AE141E">
        <w:rPr>
          <w:rFonts w:ascii="Times New Roman" w:hAnsi="Times New Roman" w:cs="Times New Roman"/>
          <w:sz w:val="24"/>
          <w:szCs w:val="24"/>
        </w:rPr>
        <w:t xml:space="preserve"> </w:t>
      </w:r>
      <w:r w:rsidR="006A72E1" w:rsidRPr="00AE141E">
        <w:rPr>
          <w:rFonts w:ascii="Times New Roman" w:hAnsi="Times New Roman" w:cs="Times New Roman"/>
          <w:sz w:val="24"/>
          <w:szCs w:val="24"/>
        </w:rPr>
        <w:t xml:space="preserve">Those who claim that </w:t>
      </w:r>
      <w:r w:rsidR="004945B8" w:rsidRPr="00AE141E">
        <w:rPr>
          <w:rFonts w:ascii="Times New Roman" w:hAnsi="Times New Roman" w:cs="Times New Roman"/>
          <w:sz w:val="24"/>
          <w:szCs w:val="24"/>
        </w:rPr>
        <w:t xml:space="preserve">an emphasis on Holocaust remembrance marginalises other traumas and, conversely, those who </w:t>
      </w:r>
      <w:r w:rsidR="006B4B09" w:rsidRPr="00AE141E">
        <w:rPr>
          <w:rFonts w:ascii="Times New Roman" w:hAnsi="Times New Roman" w:cs="Times New Roman"/>
          <w:sz w:val="24"/>
          <w:szCs w:val="24"/>
        </w:rPr>
        <w:t xml:space="preserve">defend the Holocaust’s singularity, are both motivated by </w:t>
      </w:r>
      <w:r w:rsidR="004C064F" w:rsidRPr="00AE141E">
        <w:rPr>
          <w:rFonts w:ascii="Times New Roman" w:hAnsi="Times New Roman" w:cs="Times New Roman"/>
          <w:sz w:val="24"/>
          <w:szCs w:val="24"/>
        </w:rPr>
        <w:t xml:space="preserve">a conception of </w:t>
      </w:r>
      <w:r w:rsidR="0003772B" w:rsidRPr="00AE141E">
        <w:rPr>
          <w:rFonts w:ascii="Times New Roman" w:hAnsi="Times New Roman" w:cs="Times New Roman"/>
          <w:sz w:val="24"/>
          <w:szCs w:val="24"/>
        </w:rPr>
        <w:t>memory as a zero-sum-game.</w:t>
      </w:r>
      <w:r w:rsidR="008A7727" w:rsidRPr="00AE141E">
        <w:rPr>
          <w:rFonts w:ascii="Times New Roman" w:hAnsi="Times New Roman" w:cs="Times New Roman"/>
          <w:sz w:val="24"/>
          <w:szCs w:val="24"/>
        </w:rPr>
        <w:t xml:space="preserve"> </w:t>
      </w:r>
      <w:r w:rsidR="00864B56" w:rsidRPr="00AE141E">
        <w:rPr>
          <w:rFonts w:ascii="Times New Roman" w:hAnsi="Times New Roman" w:cs="Times New Roman"/>
          <w:sz w:val="24"/>
          <w:szCs w:val="24"/>
        </w:rPr>
        <w:t xml:space="preserve">Counter to this assumption, Rothberg </w:t>
      </w:r>
      <w:r w:rsidR="00FF7D41" w:rsidRPr="00AE141E">
        <w:rPr>
          <w:rFonts w:ascii="Times New Roman" w:hAnsi="Times New Roman" w:cs="Times New Roman"/>
          <w:sz w:val="24"/>
          <w:szCs w:val="24"/>
        </w:rPr>
        <w:t>theorises that memory operates dialectically</w:t>
      </w:r>
      <w:r w:rsidR="00AF4BD3" w:rsidRPr="00AE141E">
        <w:rPr>
          <w:rFonts w:ascii="Times New Roman" w:hAnsi="Times New Roman" w:cs="Times New Roman"/>
          <w:sz w:val="24"/>
          <w:szCs w:val="24"/>
        </w:rPr>
        <w:t>, ‘</w:t>
      </w:r>
      <w:r w:rsidR="002961E4" w:rsidRPr="00AE141E">
        <w:rPr>
          <w:rFonts w:ascii="Times New Roman" w:hAnsi="Times New Roman" w:cs="Times New Roman"/>
          <w:sz w:val="24"/>
          <w:szCs w:val="24"/>
        </w:rPr>
        <w:t>through negotiation, cross-referencing, and borrowing</w:t>
      </w:r>
      <w:r w:rsidR="00AF4BD3" w:rsidRPr="00AE141E">
        <w:rPr>
          <w:rFonts w:ascii="Times New Roman" w:hAnsi="Times New Roman" w:cs="Times New Roman"/>
          <w:sz w:val="24"/>
          <w:szCs w:val="24"/>
        </w:rPr>
        <w:t>’</w:t>
      </w:r>
      <w:r w:rsidR="002D292A" w:rsidRPr="00AE141E">
        <w:rPr>
          <w:rFonts w:ascii="Times New Roman" w:hAnsi="Times New Roman" w:cs="Times New Roman"/>
          <w:sz w:val="24"/>
          <w:szCs w:val="24"/>
        </w:rPr>
        <w:t xml:space="preserve"> </w:t>
      </w:r>
      <w:r w:rsidR="002E1AEA" w:rsidRPr="00AE141E">
        <w:rPr>
          <w:rFonts w:ascii="Times New Roman" w:hAnsi="Times New Roman" w:cs="Times New Roman"/>
          <w:sz w:val="24"/>
          <w:szCs w:val="24"/>
        </w:rPr>
        <w:t>(</w:t>
      </w:r>
      <w:r w:rsidR="008677BC" w:rsidRPr="00AE141E">
        <w:rPr>
          <w:rFonts w:ascii="Times New Roman" w:hAnsi="Times New Roman" w:cs="Times New Roman"/>
          <w:sz w:val="24"/>
          <w:szCs w:val="24"/>
        </w:rPr>
        <w:t xml:space="preserve">what he terms </w:t>
      </w:r>
      <w:r w:rsidR="006B2A53" w:rsidRPr="00AE141E">
        <w:rPr>
          <w:rFonts w:ascii="Times New Roman" w:hAnsi="Times New Roman" w:cs="Times New Roman"/>
          <w:sz w:val="24"/>
          <w:szCs w:val="24"/>
        </w:rPr>
        <w:t>‘</w:t>
      </w:r>
      <w:r w:rsidR="002E1AEA" w:rsidRPr="00AE141E">
        <w:rPr>
          <w:rFonts w:ascii="Times New Roman" w:hAnsi="Times New Roman" w:cs="Times New Roman"/>
          <w:sz w:val="24"/>
          <w:szCs w:val="24"/>
        </w:rPr>
        <w:t>m</w:t>
      </w:r>
      <w:r w:rsidR="006B2A53" w:rsidRPr="00AE141E">
        <w:rPr>
          <w:rFonts w:ascii="Times New Roman" w:hAnsi="Times New Roman" w:cs="Times New Roman"/>
          <w:sz w:val="24"/>
          <w:szCs w:val="24"/>
        </w:rPr>
        <w:t>ultidirectional</w:t>
      </w:r>
      <w:r w:rsidR="00335D60" w:rsidRPr="00AE141E">
        <w:rPr>
          <w:rFonts w:ascii="Times New Roman" w:hAnsi="Times New Roman" w:cs="Times New Roman"/>
          <w:sz w:val="24"/>
          <w:szCs w:val="24"/>
        </w:rPr>
        <w:t xml:space="preserve"> memory’</w:t>
      </w:r>
      <w:r w:rsidR="002E1AEA" w:rsidRPr="00AE141E">
        <w:rPr>
          <w:rFonts w:ascii="Times New Roman" w:hAnsi="Times New Roman" w:cs="Times New Roman"/>
          <w:sz w:val="24"/>
          <w:szCs w:val="24"/>
        </w:rPr>
        <w:t>).</w:t>
      </w:r>
      <w:r w:rsidR="00E674F4" w:rsidRPr="00AE141E">
        <w:rPr>
          <w:rFonts w:ascii="Times New Roman" w:hAnsi="Times New Roman" w:cs="Times New Roman"/>
          <w:sz w:val="24"/>
          <w:szCs w:val="24"/>
        </w:rPr>
        <w:t xml:space="preserve"> Thus, memory of the Holocaust </w:t>
      </w:r>
      <w:r w:rsidR="00163FE3" w:rsidRPr="00AE141E">
        <w:rPr>
          <w:rFonts w:ascii="Times New Roman" w:hAnsi="Times New Roman" w:cs="Times New Roman"/>
          <w:sz w:val="24"/>
          <w:szCs w:val="24"/>
        </w:rPr>
        <w:t xml:space="preserve">is </w:t>
      </w:r>
      <w:r w:rsidR="00680378" w:rsidRPr="00AE141E">
        <w:rPr>
          <w:rFonts w:ascii="Times New Roman" w:hAnsi="Times New Roman" w:cs="Times New Roman"/>
          <w:sz w:val="24"/>
          <w:szCs w:val="24"/>
        </w:rPr>
        <w:t>a</w:t>
      </w:r>
      <w:r w:rsidR="00163FE3" w:rsidRPr="00AE141E">
        <w:rPr>
          <w:rFonts w:ascii="Times New Roman" w:hAnsi="Times New Roman" w:cs="Times New Roman"/>
          <w:sz w:val="24"/>
          <w:szCs w:val="24"/>
        </w:rPr>
        <w:t xml:space="preserve"> vector through which ‘other histories of suffering</w:t>
      </w:r>
      <w:r w:rsidR="00434594" w:rsidRPr="00AE141E">
        <w:rPr>
          <w:rFonts w:ascii="Times New Roman" w:hAnsi="Times New Roman" w:cs="Times New Roman"/>
          <w:sz w:val="24"/>
          <w:szCs w:val="24"/>
        </w:rPr>
        <w:t>’</w:t>
      </w:r>
      <w:r w:rsidR="00680378" w:rsidRPr="00AE141E">
        <w:rPr>
          <w:rFonts w:ascii="Times New Roman" w:hAnsi="Times New Roman" w:cs="Times New Roman"/>
          <w:sz w:val="24"/>
          <w:szCs w:val="24"/>
        </w:rPr>
        <w:t xml:space="preserve"> </w:t>
      </w:r>
      <w:r w:rsidR="00E05395" w:rsidRPr="00AE141E">
        <w:rPr>
          <w:rFonts w:ascii="Times New Roman" w:hAnsi="Times New Roman" w:cs="Times New Roman"/>
          <w:sz w:val="24"/>
          <w:szCs w:val="24"/>
        </w:rPr>
        <w:t>can</w:t>
      </w:r>
      <w:r w:rsidR="00680378" w:rsidRPr="00AE141E">
        <w:rPr>
          <w:rFonts w:ascii="Times New Roman" w:hAnsi="Times New Roman" w:cs="Times New Roman"/>
          <w:sz w:val="24"/>
          <w:szCs w:val="24"/>
        </w:rPr>
        <w:t xml:space="preserve"> </w:t>
      </w:r>
      <w:r w:rsidR="00E05395" w:rsidRPr="00AE141E">
        <w:rPr>
          <w:rFonts w:ascii="Times New Roman" w:hAnsi="Times New Roman" w:cs="Times New Roman"/>
          <w:sz w:val="24"/>
          <w:szCs w:val="24"/>
        </w:rPr>
        <w:t>find</w:t>
      </w:r>
      <w:r w:rsidR="00434594" w:rsidRPr="00AE141E">
        <w:rPr>
          <w:rFonts w:ascii="Times New Roman" w:hAnsi="Times New Roman" w:cs="Times New Roman"/>
          <w:sz w:val="24"/>
          <w:szCs w:val="24"/>
        </w:rPr>
        <w:t xml:space="preserve"> expression</w:t>
      </w:r>
      <w:r w:rsidR="00680378" w:rsidRPr="00AE141E">
        <w:rPr>
          <w:rFonts w:ascii="Times New Roman" w:hAnsi="Times New Roman" w:cs="Times New Roman"/>
          <w:sz w:val="24"/>
          <w:szCs w:val="24"/>
        </w:rPr>
        <w:t xml:space="preserve">, but the emergence of Holocaust memory </w:t>
      </w:r>
      <w:r w:rsidR="00716C91" w:rsidRPr="00AE141E">
        <w:rPr>
          <w:rFonts w:ascii="Times New Roman" w:hAnsi="Times New Roman" w:cs="Times New Roman"/>
          <w:sz w:val="24"/>
          <w:szCs w:val="24"/>
        </w:rPr>
        <w:t>is</w:t>
      </w:r>
      <w:r w:rsidR="00E05395" w:rsidRPr="00AE141E">
        <w:rPr>
          <w:rFonts w:ascii="Times New Roman" w:hAnsi="Times New Roman" w:cs="Times New Roman"/>
          <w:sz w:val="24"/>
          <w:szCs w:val="24"/>
        </w:rPr>
        <w:t xml:space="preserve"> </w:t>
      </w:r>
      <w:r w:rsidR="00680378" w:rsidRPr="00AE141E">
        <w:rPr>
          <w:rFonts w:ascii="Times New Roman" w:hAnsi="Times New Roman" w:cs="Times New Roman"/>
          <w:sz w:val="24"/>
          <w:szCs w:val="24"/>
        </w:rPr>
        <w:t xml:space="preserve">itself </w:t>
      </w:r>
      <w:r w:rsidR="00E05395" w:rsidRPr="00AE141E">
        <w:rPr>
          <w:rFonts w:ascii="Times New Roman" w:hAnsi="Times New Roman" w:cs="Times New Roman"/>
          <w:sz w:val="24"/>
          <w:szCs w:val="24"/>
        </w:rPr>
        <w:t>‘</w:t>
      </w:r>
      <w:r w:rsidR="00680378" w:rsidRPr="00AE141E">
        <w:rPr>
          <w:rFonts w:ascii="Times New Roman" w:hAnsi="Times New Roman" w:cs="Times New Roman"/>
          <w:sz w:val="24"/>
          <w:szCs w:val="24"/>
        </w:rPr>
        <w:t>inflected by histories of slavery, colonialism, and decolonization</w:t>
      </w:r>
      <w:r w:rsidR="00E05395" w:rsidRPr="00AE141E">
        <w:rPr>
          <w:rFonts w:ascii="Times New Roman" w:hAnsi="Times New Roman" w:cs="Times New Roman"/>
          <w:sz w:val="24"/>
          <w:szCs w:val="24"/>
        </w:rPr>
        <w:t xml:space="preserve">’. </w:t>
      </w:r>
      <w:r w:rsidR="008677BC" w:rsidRPr="00AE141E">
        <w:rPr>
          <w:rFonts w:ascii="Times New Roman" w:hAnsi="Times New Roman" w:cs="Times New Roman"/>
          <w:sz w:val="24"/>
          <w:szCs w:val="24"/>
        </w:rPr>
        <w:t xml:space="preserve">The work of </w:t>
      </w:r>
      <w:r w:rsidR="005D5B25" w:rsidRPr="00AE141E">
        <w:rPr>
          <w:rFonts w:ascii="Times New Roman" w:hAnsi="Times New Roman" w:cs="Times New Roman"/>
          <w:sz w:val="24"/>
          <w:szCs w:val="24"/>
        </w:rPr>
        <w:t>Big Flame</w:t>
      </w:r>
      <w:r w:rsidR="008677BC" w:rsidRPr="00AE141E">
        <w:rPr>
          <w:rFonts w:ascii="Times New Roman" w:hAnsi="Times New Roman" w:cs="Times New Roman"/>
          <w:sz w:val="24"/>
          <w:szCs w:val="24"/>
        </w:rPr>
        <w:t xml:space="preserve"> </w:t>
      </w:r>
      <w:r w:rsidR="005D5B25" w:rsidRPr="00AE141E">
        <w:rPr>
          <w:rFonts w:ascii="Times New Roman" w:hAnsi="Times New Roman" w:cs="Times New Roman"/>
          <w:sz w:val="24"/>
          <w:szCs w:val="24"/>
        </w:rPr>
        <w:t xml:space="preserve">is exemplary in this regard. </w:t>
      </w:r>
    </w:p>
    <w:p w14:paraId="1A7111F6" w14:textId="77777777" w:rsidR="000A114B" w:rsidRPr="00AE141E" w:rsidRDefault="009050A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Miriam Hansen </w:t>
      </w:r>
      <w:r w:rsidR="00D03610" w:rsidRPr="00AE141E">
        <w:rPr>
          <w:rFonts w:ascii="Times New Roman" w:hAnsi="Times New Roman" w:cs="Times New Roman"/>
          <w:sz w:val="24"/>
          <w:szCs w:val="24"/>
        </w:rPr>
        <w:t>contends</w:t>
      </w:r>
      <w:r w:rsidRPr="00AE141E">
        <w:rPr>
          <w:rFonts w:ascii="Times New Roman" w:hAnsi="Times New Roman" w:cs="Times New Roman"/>
          <w:sz w:val="24"/>
          <w:szCs w:val="24"/>
        </w:rPr>
        <w:t xml:space="preserve"> that </w:t>
      </w:r>
      <w:r w:rsidR="00AA46C0" w:rsidRPr="00AE141E">
        <w:rPr>
          <w:rFonts w:ascii="Times New Roman" w:hAnsi="Times New Roman" w:cs="Times New Roman"/>
          <w:sz w:val="24"/>
          <w:szCs w:val="24"/>
        </w:rPr>
        <w:t xml:space="preserve">the dominance of the Holocaust in American cultures of remembrance </w:t>
      </w:r>
      <w:r w:rsidR="001E3B4A" w:rsidRPr="00AE141E">
        <w:rPr>
          <w:rFonts w:ascii="Times New Roman" w:hAnsi="Times New Roman" w:cs="Times New Roman"/>
          <w:sz w:val="24"/>
          <w:szCs w:val="24"/>
        </w:rPr>
        <w:t>act</w:t>
      </w:r>
      <w:r w:rsidR="00DD68AE" w:rsidRPr="00AE141E">
        <w:rPr>
          <w:rFonts w:ascii="Times New Roman" w:hAnsi="Times New Roman" w:cs="Times New Roman"/>
          <w:sz w:val="24"/>
          <w:szCs w:val="24"/>
        </w:rPr>
        <w:t>s</w:t>
      </w:r>
      <w:r w:rsidR="001E3B4A" w:rsidRPr="00AE141E">
        <w:rPr>
          <w:rFonts w:ascii="Times New Roman" w:hAnsi="Times New Roman" w:cs="Times New Roman"/>
          <w:sz w:val="24"/>
          <w:szCs w:val="24"/>
        </w:rPr>
        <w:t xml:space="preserve"> as a Freudian ‘screen memory</w:t>
      </w:r>
      <w:r w:rsidR="002E7E7D" w:rsidRPr="00AE141E">
        <w:rPr>
          <w:rFonts w:ascii="Times New Roman" w:hAnsi="Times New Roman" w:cs="Times New Roman"/>
          <w:sz w:val="24"/>
          <w:szCs w:val="24"/>
        </w:rPr>
        <w:t xml:space="preserve"> which covers </w:t>
      </w:r>
      <w:r w:rsidR="00C904C2" w:rsidRPr="00AE141E">
        <w:rPr>
          <w:rFonts w:ascii="Times New Roman" w:hAnsi="Times New Roman" w:cs="Times New Roman"/>
          <w:sz w:val="24"/>
          <w:szCs w:val="24"/>
        </w:rPr>
        <w:t xml:space="preserve">up a </w:t>
      </w:r>
      <w:r w:rsidR="002E7E7D" w:rsidRPr="00AE141E">
        <w:rPr>
          <w:rFonts w:ascii="Times New Roman" w:hAnsi="Times New Roman" w:cs="Times New Roman"/>
          <w:sz w:val="24"/>
          <w:szCs w:val="24"/>
        </w:rPr>
        <w:t>‘</w:t>
      </w:r>
      <w:r w:rsidR="00C904C2" w:rsidRPr="00AE141E">
        <w:rPr>
          <w:rFonts w:ascii="Times New Roman" w:hAnsi="Times New Roman" w:cs="Times New Roman"/>
          <w:sz w:val="24"/>
          <w:szCs w:val="24"/>
        </w:rPr>
        <w:t>traumatic event […] that cannot be approached directly’</w:t>
      </w:r>
      <w:r w:rsidR="00355426" w:rsidRPr="00AE141E">
        <w:rPr>
          <w:rFonts w:ascii="Times New Roman" w:hAnsi="Times New Roman" w:cs="Times New Roman"/>
          <w:sz w:val="24"/>
          <w:szCs w:val="24"/>
        </w:rPr>
        <w:t>.</w:t>
      </w:r>
      <w:r w:rsidR="00A64202" w:rsidRPr="00AE141E">
        <w:rPr>
          <w:rStyle w:val="FootnoteReference"/>
          <w:rFonts w:ascii="Times New Roman" w:hAnsi="Times New Roman" w:cs="Times New Roman"/>
          <w:sz w:val="24"/>
          <w:szCs w:val="24"/>
        </w:rPr>
        <w:footnoteReference w:id="610"/>
      </w:r>
      <w:r w:rsidR="00355426" w:rsidRPr="00AE141E">
        <w:rPr>
          <w:rFonts w:ascii="Times New Roman" w:hAnsi="Times New Roman" w:cs="Times New Roman"/>
          <w:sz w:val="24"/>
          <w:szCs w:val="24"/>
        </w:rPr>
        <w:t xml:space="preserve"> By </w:t>
      </w:r>
      <w:r w:rsidR="00E14A31" w:rsidRPr="00AE141E">
        <w:rPr>
          <w:rFonts w:ascii="Times New Roman" w:hAnsi="Times New Roman" w:cs="Times New Roman"/>
          <w:sz w:val="24"/>
          <w:szCs w:val="24"/>
        </w:rPr>
        <w:t xml:space="preserve">focusing on the Holocaust, Americans </w:t>
      </w:r>
      <w:r w:rsidR="00491493" w:rsidRPr="00AE141E">
        <w:rPr>
          <w:rFonts w:ascii="Times New Roman" w:hAnsi="Times New Roman" w:cs="Times New Roman"/>
          <w:sz w:val="24"/>
          <w:szCs w:val="24"/>
        </w:rPr>
        <w:t xml:space="preserve">externalise the violence of genocide </w:t>
      </w:r>
      <w:r w:rsidR="00A211BA" w:rsidRPr="00AE141E">
        <w:rPr>
          <w:rFonts w:ascii="Times New Roman" w:hAnsi="Times New Roman" w:cs="Times New Roman"/>
          <w:sz w:val="24"/>
          <w:szCs w:val="24"/>
        </w:rPr>
        <w:t>and slave-labour</w:t>
      </w:r>
      <w:r w:rsidR="00397050" w:rsidRPr="00AE141E">
        <w:rPr>
          <w:rFonts w:ascii="Times New Roman" w:hAnsi="Times New Roman" w:cs="Times New Roman"/>
          <w:sz w:val="24"/>
          <w:szCs w:val="24"/>
        </w:rPr>
        <w:t xml:space="preserve">, displacing their own guilt onto </w:t>
      </w:r>
      <w:r w:rsidR="00034321" w:rsidRPr="00AE141E">
        <w:rPr>
          <w:rFonts w:ascii="Times New Roman" w:hAnsi="Times New Roman" w:cs="Times New Roman"/>
          <w:sz w:val="24"/>
          <w:szCs w:val="24"/>
        </w:rPr>
        <w:t xml:space="preserve">another </w:t>
      </w:r>
      <w:r w:rsidR="002E7E7D" w:rsidRPr="00AE141E">
        <w:rPr>
          <w:rFonts w:ascii="Times New Roman" w:hAnsi="Times New Roman" w:cs="Times New Roman"/>
          <w:sz w:val="24"/>
          <w:szCs w:val="24"/>
        </w:rPr>
        <w:t xml:space="preserve">historical </w:t>
      </w:r>
      <w:r w:rsidR="00034321" w:rsidRPr="00AE141E">
        <w:rPr>
          <w:rFonts w:ascii="Times New Roman" w:hAnsi="Times New Roman" w:cs="Times New Roman"/>
          <w:sz w:val="24"/>
          <w:szCs w:val="24"/>
        </w:rPr>
        <w:t>actor</w:t>
      </w:r>
      <w:r w:rsidR="00C91301" w:rsidRPr="00AE141E">
        <w:rPr>
          <w:rFonts w:ascii="Times New Roman" w:hAnsi="Times New Roman" w:cs="Times New Roman"/>
          <w:sz w:val="24"/>
          <w:szCs w:val="24"/>
        </w:rPr>
        <w:t>. Rothberg’s work suggests tha</w:t>
      </w:r>
      <w:r w:rsidR="001E6918" w:rsidRPr="00AE141E">
        <w:rPr>
          <w:rFonts w:ascii="Times New Roman" w:hAnsi="Times New Roman" w:cs="Times New Roman"/>
          <w:sz w:val="24"/>
          <w:szCs w:val="24"/>
        </w:rPr>
        <w:t>t</w:t>
      </w:r>
      <w:r w:rsidR="00114EBF" w:rsidRPr="00AE141E">
        <w:rPr>
          <w:rFonts w:ascii="Times New Roman" w:hAnsi="Times New Roman" w:cs="Times New Roman"/>
          <w:sz w:val="24"/>
          <w:szCs w:val="24"/>
        </w:rPr>
        <w:t xml:space="preserve"> such </w:t>
      </w:r>
      <w:r w:rsidR="005E2B7F" w:rsidRPr="00AE141E">
        <w:rPr>
          <w:rFonts w:ascii="Times New Roman" w:hAnsi="Times New Roman" w:cs="Times New Roman"/>
          <w:sz w:val="24"/>
          <w:szCs w:val="24"/>
        </w:rPr>
        <w:t xml:space="preserve">displacement can function </w:t>
      </w:r>
      <w:r w:rsidR="00203972" w:rsidRPr="00AE141E">
        <w:rPr>
          <w:rFonts w:ascii="Times New Roman" w:hAnsi="Times New Roman" w:cs="Times New Roman"/>
          <w:sz w:val="24"/>
          <w:szCs w:val="24"/>
        </w:rPr>
        <w:t>‘as much to open up lines of communication with the past as to close them off’</w:t>
      </w:r>
      <w:r w:rsidR="005E2B7F" w:rsidRPr="00AE141E">
        <w:rPr>
          <w:rFonts w:ascii="Times New Roman" w:hAnsi="Times New Roman" w:cs="Times New Roman"/>
          <w:sz w:val="24"/>
          <w:szCs w:val="24"/>
        </w:rPr>
        <w:t>.</w:t>
      </w:r>
      <w:r w:rsidR="004A67BD" w:rsidRPr="00AE141E">
        <w:rPr>
          <w:rStyle w:val="FootnoteReference"/>
          <w:rFonts w:ascii="Times New Roman" w:hAnsi="Times New Roman" w:cs="Times New Roman"/>
          <w:sz w:val="24"/>
          <w:szCs w:val="24"/>
        </w:rPr>
        <w:footnoteReference w:id="611"/>
      </w:r>
      <w:r w:rsidR="005E2B7F" w:rsidRPr="00AE141E">
        <w:rPr>
          <w:rFonts w:ascii="Times New Roman" w:hAnsi="Times New Roman" w:cs="Times New Roman"/>
          <w:sz w:val="24"/>
          <w:szCs w:val="24"/>
        </w:rPr>
        <w:t xml:space="preserve"> </w:t>
      </w:r>
      <w:r w:rsidR="00F465F1" w:rsidRPr="00AE141E">
        <w:rPr>
          <w:rFonts w:ascii="Times New Roman" w:hAnsi="Times New Roman" w:cs="Times New Roman"/>
          <w:sz w:val="24"/>
          <w:szCs w:val="24"/>
        </w:rPr>
        <w:t>Nevertheless, displacement must be taken seriously as a</w:t>
      </w:r>
      <w:r w:rsidR="00863237" w:rsidRPr="00AE141E">
        <w:rPr>
          <w:rFonts w:ascii="Times New Roman" w:hAnsi="Times New Roman" w:cs="Times New Roman"/>
          <w:sz w:val="24"/>
          <w:szCs w:val="24"/>
        </w:rPr>
        <w:t xml:space="preserve"> </w:t>
      </w:r>
      <w:r w:rsidR="00F465F1" w:rsidRPr="00AE141E">
        <w:rPr>
          <w:rFonts w:ascii="Times New Roman" w:hAnsi="Times New Roman" w:cs="Times New Roman"/>
          <w:sz w:val="24"/>
          <w:szCs w:val="24"/>
        </w:rPr>
        <w:t xml:space="preserve">strategy of </w:t>
      </w:r>
      <w:r w:rsidR="006A72DE" w:rsidRPr="00AE141E">
        <w:rPr>
          <w:rFonts w:ascii="Times New Roman" w:hAnsi="Times New Roman" w:cs="Times New Roman"/>
          <w:sz w:val="24"/>
          <w:szCs w:val="24"/>
        </w:rPr>
        <w:t xml:space="preserve">attempted </w:t>
      </w:r>
      <w:r w:rsidR="0055739A" w:rsidRPr="00AE141E">
        <w:rPr>
          <w:rFonts w:ascii="Times New Roman" w:hAnsi="Times New Roman" w:cs="Times New Roman"/>
          <w:sz w:val="24"/>
          <w:szCs w:val="24"/>
        </w:rPr>
        <w:t xml:space="preserve">memory-making – </w:t>
      </w:r>
      <w:r w:rsidR="006A72DE" w:rsidRPr="00AE141E">
        <w:rPr>
          <w:rFonts w:ascii="Times New Roman" w:hAnsi="Times New Roman" w:cs="Times New Roman"/>
          <w:sz w:val="24"/>
          <w:szCs w:val="24"/>
        </w:rPr>
        <w:t>irrespective</w:t>
      </w:r>
      <w:r w:rsidR="0055739A" w:rsidRPr="00AE141E">
        <w:rPr>
          <w:rFonts w:ascii="Times New Roman" w:hAnsi="Times New Roman" w:cs="Times New Roman"/>
          <w:sz w:val="24"/>
          <w:szCs w:val="24"/>
        </w:rPr>
        <w:t xml:space="preserve"> of actual success. </w:t>
      </w:r>
    </w:p>
    <w:p w14:paraId="32D6911B" w14:textId="4D7874E9" w:rsidR="009335E5" w:rsidRPr="00AE141E" w:rsidRDefault="003724C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There is ample evidence that</w:t>
      </w:r>
      <w:r w:rsidR="000A114B" w:rsidRPr="00AE141E">
        <w:rPr>
          <w:rFonts w:ascii="Times New Roman" w:hAnsi="Times New Roman" w:cs="Times New Roman"/>
          <w:sz w:val="24"/>
          <w:szCs w:val="24"/>
        </w:rPr>
        <w:t xml:space="preserve"> both</w:t>
      </w:r>
      <w:r w:rsidRPr="00AE141E">
        <w:rPr>
          <w:rFonts w:ascii="Times New Roman" w:hAnsi="Times New Roman" w:cs="Times New Roman"/>
          <w:sz w:val="24"/>
          <w:szCs w:val="24"/>
        </w:rPr>
        <w:t xml:space="preserve"> German</w:t>
      </w:r>
      <w:r w:rsidR="00586426" w:rsidRPr="00AE141E">
        <w:rPr>
          <w:rFonts w:ascii="Times New Roman" w:hAnsi="Times New Roman" w:cs="Times New Roman"/>
          <w:sz w:val="24"/>
          <w:szCs w:val="24"/>
        </w:rPr>
        <w:t xml:space="preserve"> and </w:t>
      </w:r>
      <w:r w:rsidRPr="00AE141E">
        <w:rPr>
          <w:rFonts w:ascii="Times New Roman" w:hAnsi="Times New Roman" w:cs="Times New Roman"/>
          <w:sz w:val="24"/>
          <w:szCs w:val="24"/>
        </w:rPr>
        <w:t>north American</w:t>
      </w:r>
      <w:r w:rsidR="00586426"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histories </w:t>
      </w:r>
      <w:r w:rsidR="006F3EFD" w:rsidRPr="00AE141E">
        <w:rPr>
          <w:rFonts w:ascii="Times New Roman" w:hAnsi="Times New Roman" w:cs="Times New Roman"/>
          <w:sz w:val="24"/>
          <w:szCs w:val="24"/>
        </w:rPr>
        <w:t>have been</w:t>
      </w:r>
      <w:r w:rsidRPr="00AE141E">
        <w:rPr>
          <w:rFonts w:ascii="Times New Roman" w:hAnsi="Times New Roman" w:cs="Times New Roman"/>
          <w:sz w:val="24"/>
          <w:szCs w:val="24"/>
        </w:rPr>
        <w:t xml:space="preserve"> used</w:t>
      </w:r>
      <w:r w:rsidR="00493C05" w:rsidRPr="00AE141E">
        <w:rPr>
          <w:rFonts w:ascii="Times New Roman" w:hAnsi="Times New Roman" w:cs="Times New Roman"/>
          <w:sz w:val="24"/>
          <w:szCs w:val="24"/>
        </w:rPr>
        <w:t xml:space="preserve"> as distancing mechanisms in British classrooms. </w:t>
      </w:r>
      <w:r w:rsidR="009335E5" w:rsidRPr="00AE141E">
        <w:rPr>
          <w:rFonts w:ascii="Times New Roman" w:hAnsi="Times New Roman" w:cs="Times New Roman"/>
          <w:sz w:val="24"/>
          <w:szCs w:val="24"/>
        </w:rPr>
        <w:t>Gillian Klein – a former school librarian and educational researcher with the ILEA and Schools Council – advised teachers that it was possible to ‘distance racism’ by tracing the rise of anti-Semitism in the 1930s.</w:t>
      </w:r>
      <w:r w:rsidR="009335E5" w:rsidRPr="00AE141E">
        <w:rPr>
          <w:rStyle w:val="FootnoteReference"/>
          <w:rFonts w:ascii="Times New Roman" w:hAnsi="Times New Roman" w:cs="Times New Roman"/>
          <w:sz w:val="24"/>
          <w:szCs w:val="24"/>
        </w:rPr>
        <w:footnoteReference w:id="612"/>
      </w:r>
      <w:r w:rsidR="009335E5" w:rsidRPr="00AE141E">
        <w:rPr>
          <w:rFonts w:ascii="Times New Roman" w:hAnsi="Times New Roman" w:cs="Times New Roman"/>
          <w:sz w:val="24"/>
          <w:szCs w:val="24"/>
        </w:rPr>
        <w:t xml:space="preserve"> The ‘distancing’ mechanism envisaged by Klein seems to have been temporal rather than </w:t>
      </w:r>
      <w:r w:rsidR="009335E5" w:rsidRPr="00AE141E">
        <w:rPr>
          <w:rFonts w:ascii="Times New Roman" w:hAnsi="Times New Roman" w:cs="Times New Roman"/>
          <w:sz w:val="24"/>
          <w:szCs w:val="24"/>
        </w:rPr>
        <w:lastRenderedPageBreak/>
        <w:t>geographical; there is no implication in her work that British complicity was to be excluded from analysis. LA</w:t>
      </w:r>
      <w:r w:rsidR="00B07316">
        <w:rPr>
          <w:rFonts w:ascii="Times New Roman" w:hAnsi="Times New Roman" w:cs="Times New Roman"/>
          <w:sz w:val="24"/>
          <w:szCs w:val="24"/>
        </w:rPr>
        <w:t>E</w:t>
      </w:r>
      <w:r w:rsidR="009335E5" w:rsidRPr="00AE141E">
        <w:rPr>
          <w:rFonts w:ascii="Times New Roman" w:hAnsi="Times New Roman" w:cs="Times New Roman"/>
          <w:sz w:val="24"/>
          <w:szCs w:val="24"/>
        </w:rPr>
        <w:t>G’s resources, referenced above, certainly raised the question of British collaboration and fascist sympathisers.</w:t>
      </w:r>
      <w:r w:rsidR="009335E5" w:rsidRPr="00AE141E">
        <w:rPr>
          <w:rStyle w:val="FootnoteReference"/>
          <w:rFonts w:ascii="Times New Roman" w:hAnsi="Times New Roman" w:cs="Times New Roman"/>
          <w:sz w:val="24"/>
          <w:szCs w:val="24"/>
        </w:rPr>
        <w:footnoteReference w:id="613"/>
      </w:r>
      <w:r w:rsidR="009335E5" w:rsidRPr="00AE141E">
        <w:rPr>
          <w:rFonts w:ascii="Times New Roman" w:hAnsi="Times New Roman" w:cs="Times New Roman"/>
          <w:sz w:val="24"/>
          <w:szCs w:val="24"/>
        </w:rPr>
        <w:t xml:space="preserve"> Nevertheless, this connection was not always drawn. File and Hinds presented Tulse Hill’s teaching of ‘the domestic variety of Mosleyism’ as a point of note, implying that it might have been unusual in this regard.</w:t>
      </w:r>
      <w:r w:rsidR="009335E5" w:rsidRPr="00AE141E">
        <w:rPr>
          <w:rStyle w:val="FootnoteReference"/>
          <w:rFonts w:ascii="Times New Roman" w:hAnsi="Times New Roman" w:cs="Times New Roman"/>
          <w:sz w:val="24"/>
          <w:szCs w:val="24"/>
        </w:rPr>
        <w:footnoteReference w:id="614"/>
      </w:r>
      <w:r w:rsidR="009335E5" w:rsidRPr="00AE141E">
        <w:rPr>
          <w:rFonts w:ascii="Times New Roman" w:hAnsi="Times New Roman" w:cs="Times New Roman"/>
          <w:sz w:val="24"/>
          <w:szCs w:val="24"/>
        </w:rPr>
        <w:t xml:space="preserve"> It certainly seems that a pioneering Holocaust project delivered in Hull secondary schools concentrated exclusively on Nazi-occupied Europe, without reference to the parallel rise of British antisemitism and aspects of British complicity (through, for example, the state’s hostile policy towards refugees).</w:t>
      </w:r>
      <w:r w:rsidR="009335E5" w:rsidRPr="00AE141E">
        <w:rPr>
          <w:rStyle w:val="FootnoteReference"/>
          <w:rFonts w:ascii="Times New Roman" w:hAnsi="Times New Roman" w:cs="Times New Roman"/>
          <w:sz w:val="24"/>
          <w:szCs w:val="24"/>
        </w:rPr>
        <w:footnoteReference w:id="615"/>
      </w:r>
    </w:p>
    <w:p w14:paraId="3C559B9E" w14:textId="23216D47" w:rsidR="00F60729" w:rsidRPr="00AE141E" w:rsidRDefault="0002494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Likewise, </w:t>
      </w:r>
      <w:r w:rsidR="005A53B0" w:rsidRPr="00AE141E">
        <w:rPr>
          <w:rFonts w:ascii="Times New Roman" w:hAnsi="Times New Roman" w:cs="Times New Roman"/>
          <w:sz w:val="24"/>
          <w:szCs w:val="24"/>
        </w:rPr>
        <w:t>File</w:t>
      </w:r>
      <w:r w:rsidR="00E96411" w:rsidRPr="00AE141E">
        <w:rPr>
          <w:rFonts w:ascii="Times New Roman" w:hAnsi="Times New Roman" w:cs="Times New Roman"/>
          <w:sz w:val="24"/>
          <w:szCs w:val="24"/>
        </w:rPr>
        <w:t xml:space="preserve"> drew attention to the </w:t>
      </w:r>
      <w:r w:rsidR="00022301" w:rsidRPr="00AE141E">
        <w:rPr>
          <w:rFonts w:ascii="Times New Roman" w:hAnsi="Times New Roman" w:cs="Times New Roman"/>
          <w:sz w:val="24"/>
          <w:szCs w:val="24"/>
        </w:rPr>
        <w:t>role</w:t>
      </w:r>
      <w:r w:rsidR="00457F2C" w:rsidRPr="00AE141E">
        <w:rPr>
          <w:rFonts w:ascii="Times New Roman" w:hAnsi="Times New Roman" w:cs="Times New Roman"/>
          <w:sz w:val="24"/>
          <w:szCs w:val="24"/>
        </w:rPr>
        <w:t xml:space="preserve"> a study of </w:t>
      </w:r>
      <w:r w:rsidR="00022301" w:rsidRPr="00AE141E">
        <w:rPr>
          <w:rFonts w:ascii="Times New Roman" w:hAnsi="Times New Roman" w:cs="Times New Roman"/>
          <w:sz w:val="24"/>
          <w:szCs w:val="24"/>
        </w:rPr>
        <w:t>‘</w:t>
      </w:r>
      <w:r w:rsidR="00457F2C" w:rsidRPr="00AE141E">
        <w:rPr>
          <w:rFonts w:ascii="Times New Roman" w:hAnsi="Times New Roman" w:cs="Times New Roman"/>
          <w:sz w:val="24"/>
          <w:szCs w:val="24"/>
        </w:rPr>
        <w:t>racism, civil rights and black power in the United States</w:t>
      </w:r>
      <w:r w:rsidR="00022301" w:rsidRPr="00AE141E">
        <w:rPr>
          <w:rFonts w:ascii="Times New Roman" w:hAnsi="Times New Roman" w:cs="Times New Roman"/>
          <w:sz w:val="24"/>
          <w:szCs w:val="24"/>
        </w:rPr>
        <w:t>’</w:t>
      </w:r>
      <w:r w:rsidR="00457F2C" w:rsidRPr="00AE141E">
        <w:rPr>
          <w:rFonts w:ascii="Times New Roman" w:hAnsi="Times New Roman" w:cs="Times New Roman"/>
          <w:sz w:val="24"/>
          <w:szCs w:val="24"/>
        </w:rPr>
        <w:t xml:space="preserve"> could p</w:t>
      </w:r>
      <w:r w:rsidR="00022301" w:rsidRPr="00AE141E">
        <w:rPr>
          <w:rFonts w:ascii="Times New Roman" w:hAnsi="Times New Roman" w:cs="Times New Roman"/>
          <w:sz w:val="24"/>
          <w:szCs w:val="24"/>
        </w:rPr>
        <w:t xml:space="preserve">lay </w:t>
      </w:r>
      <w:r w:rsidR="0012081C" w:rsidRPr="00AE141E">
        <w:rPr>
          <w:rFonts w:ascii="Times New Roman" w:hAnsi="Times New Roman" w:cs="Times New Roman"/>
          <w:sz w:val="24"/>
          <w:szCs w:val="24"/>
        </w:rPr>
        <w:t xml:space="preserve">for teachers who wanted </w:t>
      </w:r>
      <w:r w:rsidR="00A354D8" w:rsidRPr="00AE141E">
        <w:rPr>
          <w:rFonts w:ascii="Times New Roman" w:hAnsi="Times New Roman" w:cs="Times New Roman"/>
          <w:sz w:val="24"/>
          <w:szCs w:val="24"/>
        </w:rPr>
        <w:t xml:space="preserve">to </w:t>
      </w:r>
      <w:r w:rsidR="0012081C" w:rsidRPr="00AE141E">
        <w:rPr>
          <w:rFonts w:ascii="Times New Roman" w:hAnsi="Times New Roman" w:cs="Times New Roman"/>
          <w:sz w:val="24"/>
          <w:szCs w:val="24"/>
        </w:rPr>
        <w:t>raise</w:t>
      </w:r>
      <w:r w:rsidR="00457F2C" w:rsidRPr="00AE141E">
        <w:rPr>
          <w:rFonts w:ascii="Times New Roman" w:hAnsi="Times New Roman" w:cs="Times New Roman"/>
          <w:sz w:val="24"/>
          <w:szCs w:val="24"/>
        </w:rPr>
        <w:t xml:space="preserve"> </w:t>
      </w:r>
      <w:r w:rsidR="001F7501" w:rsidRPr="00AE141E">
        <w:rPr>
          <w:rFonts w:ascii="Times New Roman" w:hAnsi="Times New Roman" w:cs="Times New Roman"/>
          <w:sz w:val="24"/>
          <w:szCs w:val="24"/>
        </w:rPr>
        <w:t>the problem of racial discrimination</w:t>
      </w:r>
      <w:r w:rsidR="0012081C" w:rsidRPr="00AE141E">
        <w:rPr>
          <w:rFonts w:ascii="Times New Roman" w:hAnsi="Times New Roman" w:cs="Times New Roman"/>
          <w:sz w:val="24"/>
          <w:szCs w:val="24"/>
        </w:rPr>
        <w:t xml:space="preserve"> without the risk </w:t>
      </w:r>
      <w:r w:rsidR="006279DF" w:rsidRPr="00AE141E">
        <w:rPr>
          <w:rFonts w:ascii="Times New Roman" w:hAnsi="Times New Roman" w:cs="Times New Roman"/>
          <w:sz w:val="24"/>
          <w:szCs w:val="24"/>
        </w:rPr>
        <w:t xml:space="preserve">of </w:t>
      </w:r>
      <w:r w:rsidR="007A0A93" w:rsidRPr="00AE141E">
        <w:rPr>
          <w:rFonts w:ascii="Times New Roman" w:hAnsi="Times New Roman" w:cs="Times New Roman"/>
          <w:sz w:val="24"/>
          <w:szCs w:val="24"/>
        </w:rPr>
        <w:t xml:space="preserve">inviting </w:t>
      </w:r>
      <w:r w:rsidR="00EC4720" w:rsidRPr="00AE141E">
        <w:rPr>
          <w:rFonts w:ascii="Times New Roman" w:hAnsi="Times New Roman" w:cs="Times New Roman"/>
          <w:sz w:val="24"/>
          <w:szCs w:val="24"/>
        </w:rPr>
        <w:t>discussion</w:t>
      </w:r>
      <w:r w:rsidR="00457F2C" w:rsidRPr="00AE141E">
        <w:rPr>
          <w:rFonts w:ascii="Times New Roman" w:hAnsi="Times New Roman" w:cs="Times New Roman"/>
          <w:sz w:val="24"/>
          <w:szCs w:val="24"/>
        </w:rPr>
        <w:t xml:space="preserve"> </w:t>
      </w:r>
      <w:r w:rsidR="00EC4720" w:rsidRPr="00AE141E">
        <w:rPr>
          <w:rFonts w:ascii="Times New Roman" w:hAnsi="Times New Roman" w:cs="Times New Roman"/>
          <w:sz w:val="24"/>
          <w:szCs w:val="24"/>
        </w:rPr>
        <w:t>‘</w:t>
      </w:r>
      <w:r w:rsidR="00457F2C" w:rsidRPr="00AE141E">
        <w:rPr>
          <w:rFonts w:ascii="Times New Roman" w:hAnsi="Times New Roman" w:cs="Times New Roman"/>
          <w:sz w:val="24"/>
          <w:szCs w:val="24"/>
        </w:rPr>
        <w:t>on the British situation</w:t>
      </w:r>
      <w:r w:rsidR="00EC4720" w:rsidRPr="00AE141E">
        <w:rPr>
          <w:rFonts w:ascii="Times New Roman" w:hAnsi="Times New Roman" w:cs="Times New Roman"/>
          <w:sz w:val="24"/>
          <w:szCs w:val="24"/>
        </w:rPr>
        <w:t>’</w:t>
      </w:r>
      <w:r w:rsidR="00457F2C" w:rsidRPr="00AE141E">
        <w:rPr>
          <w:rFonts w:ascii="Times New Roman" w:hAnsi="Times New Roman" w:cs="Times New Roman"/>
          <w:sz w:val="24"/>
          <w:szCs w:val="24"/>
        </w:rPr>
        <w:t>.</w:t>
      </w:r>
      <w:r w:rsidR="006E253C" w:rsidRPr="00AE141E">
        <w:rPr>
          <w:rStyle w:val="FootnoteReference"/>
          <w:rFonts w:ascii="Times New Roman" w:hAnsi="Times New Roman" w:cs="Times New Roman"/>
          <w:sz w:val="24"/>
          <w:szCs w:val="24"/>
        </w:rPr>
        <w:footnoteReference w:id="616"/>
      </w:r>
      <w:r w:rsidR="00587ED0" w:rsidRPr="00AE141E">
        <w:rPr>
          <w:rFonts w:ascii="Times New Roman" w:hAnsi="Times New Roman" w:cs="Times New Roman"/>
          <w:sz w:val="24"/>
          <w:szCs w:val="24"/>
        </w:rPr>
        <w:t xml:space="preserve"> </w:t>
      </w:r>
      <w:r w:rsidR="001F7501" w:rsidRPr="00AE141E">
        <w:rPr>
          <w:rFonts w:ascii="Times New Roman" w:hAnsi="Times New Roman" w:cs="Times New Roman"/>
          <w:sz w:val="24"/>
          <w:szCs w:val="24"/>
        </w:rPr>
        <w:t xml:space="preserve">File’s recommendation is all the more striking given that, by </w:t>
      </w:r>
      <w:r w:rsidR="0037048B" w:rsidRPr="00AE141E">
        <w:rPr>
          <w:rFonts w:ascii="Times New Roman" w:hAnsi="Times New Roman" w:cs="Times New Roman"/>
          <w:sz w:val="24"/>
          <w:szCs w:val="24"/>
        </w:rPr>
        <w:t>his</w:t>
      </w:r>
      <w:r w:rsidR="001F7501" w:rsidRPr="00AE141E">
        <w:rPr>
          <w:rFonts w:ascii="Times New Roman" w:hAnsi="Times New Roman" w:cs="Times New Roman"/>
          <w:sz w:val="24"/>
          <w:szCs w:val="24"/>
        </w:rPr>
        <w:t xml:space="preserve"> own admission, </w:t>
      </w:r>
      <w:r w:rsidR="008E0C1C" w:rsidRPr="00AE141E">
        <w:rPr>
          <w:rFonts w:ascii="Times New Roman" w:hAnsi="Times New Roman" w:cs="Times New Roman"/>
          <w:sz w:val="24"/>
          <w:szCs w:val="24"/>
        </w:rPr>
        <w:t xml:space="preserve">the US context was ‘severely underresourced’, with little available other than ‘monographs on the life of Martin Luther King or dated surveys of the history of black people in general without too much mention of black power’. </w:t>
      </w:r>
    </w:p>
    <w:p w14:paraId="3C4873EA" w14:textId="375F8706" w:rsidR="00EE415E" w:rsidRPr="00AE141E" w:rsidRDefault="004D0ACC" w:rsidP="00AE141E">
      <w:pPr>
        <w:spacing w:line="360" w:lineRule="auto"/>
        <w:rPr>
          <w:rFonts w:ascii="Times New Roman" w:hAnsi="Times New Roman" w:cs="Times New Roman"/>
          <w:i/>
          <w:iCs/>
          <w:sz w:val="24"/>
          <w:szCs w:val="24"/>
        </w:rPr>
      </w:pPr>
      <w:r w:rsidRPr="00AE141E">
        <w:rPr>
          <w:rFonts w:ascii="Times New Roman" w:hAnsi="Times New Roman" w:cs="Times New Roman"/>
          <w:sz w:val="24"/>
          <w:szCs w:val="24"/>
        </w:rPr>
        <w:t xml:space="preserve">File </w:t>
      </w:r>
      <w:r w:rsidR="008E0C1C" w:rsidRPr="00AE141E">
        <w:rPr>
          <w:rFonts w:ascii="Times New Roman" w:hAnsi="Times New Roman" w:cs="Times New Roman"/>
          <w:sz w:val="24"/>
          <w:szCs w:val="24"/>
        </w:rPr>
        <w:t>did</w:t>
      </w:r>
      <w:r w:rsidRPr="00AE141E">
        <w:rPr>
          <w:rFonts w:ascii="Times New Roman" w:hAnsi="Times New Roman" w:cs="Times New Roman"/>
          <w:sz w:val="24"/>
          <w:szCs w:val="24"/>
        </w:rPr>
        <w:t xml:space="preserve"> not explain why</w:t>
      </w:r>
      <w:r w:rsidR="00680216" w:rsidRPr="00AE141E">
        <w:rPr>
          <w:rFonts w:ascii="Times New Roman" w:hAnsi="Times New Roman" w:cs="Times New Roman"/>
          <w:sz w:val="24"/>
          <w:szCs w:val="24"/>
        </w:rPr>
        <w:t xml:space="preserve"> teachers fear</w:t>
      </w:r>
      <w:r w:rsidR="00C164A3" w:rsidRPr="00AE141E">
        <w:rPr>
          <w:rFonts w:ascii="Times New Roman" w:hAnsi="Times New Roman" w:cs="Times New Roman"/>
          <w:sz w:val="24"/>
          <w:szCs w:val="24"/>
        </w:rPr>
        <w:t>ed</w:t>
      </w:r>
      <w:r w:rsidR="00680216" w:rsidRPr="00AE141E">
        <w:rPr>
          <w:rFonts w:ascii="Times New Roman" w:hAnsi="Times New Roman" w:cs="Times New Roman"/>
          <w:sz w:val="24"/>
          <w:szCs w:val="24"/>
        </w:rPr>
        <w:t xml:space="preserve"> invoking the spectre of ‘personal positions’ on British racism</w:t>
      </w:r>
      <w:r w:rsidR="00A94718" w:rsidRPr="00AE141E">
        <w:rPr>
          <w:rFonts w:ascii="Times New Roman" w:hAnsi="Times New Roman" w:cs="Times New Roman"/>
          <w:sz w:val="24"/>
          <w:szCs w:val="24"/>
        </w:rPr>
        <w:t xml:space="preserve">, but we can infer </w:t>
      </w:r>
      <w:r w:rsidR="00102233" w:rsidRPr="00AE141E">
        <w:rPr>
          <w:rFonts w:ascii="Times New Roman" w:hAnsi="Times New Roman" w:cs="Times New Roman"/>
          <w:sz w:val="24"/>
          <w:szCs w:val="24"/>
        </w:rPr>
        <w:t xml:space="preserve">the answer from </w:t>
      </w:r>
      <w:r w:rsidR="00DB3F85" w:rsidRPr="00AE141E">
        <w:rPr>
          <w:rFonts w:ascii="Times New Roman" w:hAnsi="Times New Roman" w:cs="Times New Roman"/>
          <w:sz w:val="24"/>
          <w:szCs w:val="24"/>
        </w:rPr>
        <w:t>other sources</w:t>
      </w:r>
      <w:r w:rsidR="000D1C41" w:rsidRPr="00AE141E">
        <w:rPr>
          <w:rFonts w:ascii="Times New Roman" w:hAnsi="Times New Roman" w:cs="Times New Roman"/>
          <w:sz w:val="24"/>
          <w:szCs w:val="24"/>
        </w:rPr>
        <w:t>.</w:t>
      </w:r>
      <w:r w:rsidR="00C164A3" w:rsidRPr="00AE141E">
        <w:rPr>
          <w:rStyle w:val="FootnoteReference"/>
          <w:rFonts w:ascii="Times New Roman" w:hAnsi="Times New Roman" w:cs="Times New Roman"/>
          <w:sz w:val="24"/>
          <w:szCs w:val="24"/>
        </w:rPr>
        <w:footnoteReference w:id="617"/>
      </w:r>
      <w:r w:rsidR="000D1C41" w:rsidRPr="00AE141E">
        <w:rPr>
          <w:rFonts w:ascii="Times New Roman" w:hAnsi="Times New Roman" w:cs="Times New Roman"/>
          <w:sz w:val="24"/>
          <w:szCs w:val="24"/>
        </w:rPr>
        <w:t xml:space="preserve"> One</w:t>
      </w:r>
      <w:r w:rsidR="003A1DD6" w:rsidRPr="00AE141E">
        <w:rPr>
          <w:rFonts w:ascii="Times New Roman" w:hAnsi="Times New Roman" w:cs="Times New Roman"/>
          <w:sz w:val="24"/>
          <w:szCs w:val="24"/>
        </w:rPr>
        <w:t xml:space="preserve"> secondary</w:t>
      </w:r>
      <w:r w:rsidR="000D2E8E" w:rsidRPr="00AE141E">
        <w:rPr>
          <w:rFonts w:ascii="Times New Roman" w:hAnsi="Times New Roman" w:cs="Times New Roman"/>
          <w:sz w:val="24"/>
          <w:szCs w:val="24"/>
        </w:rPr>
        <w:t xml:space="preserve"> school</w:t>
      </w:r>
      <w:r w:rsidR="000D1C41" w:rsidRPr="00AE141E">
        <w:rPr>
          <w:rFonts w:ascii="Times New Roman" w:hAnsi="Times New Roman" w:cs="Times New Roman"/>
          <w:sz w:val="24"/>
          <w:szCs w:val="24"/>
        </w:rPr>
        <w:t xml:space="preserve"> </w:t>
      </w:r>
      <w:r w:rsidR="00462DD9" w:rsidRPr="00AE141E">
        <w:rPr>
          <w:rFonts w:ascii="Times New Roman" w:hAnsi="Times New Roman" w:cs="Times New Roman"/>
          <w:sz w:val="24"/>
          <w:szCs w:val="24"/>
        </w:rPr>
        <w:t>teacher</w:t>
      </w:r>
      <w:r w:rsidR="004F686A" w:rsidRPr="00AE141E">
        <w:rPr>
          <w:rFonts w:ascii="Times New Roman" w:hAnsi="Times New Roman" w:cs="Times New Roman"/>
          <w:sz w:val="24"/>
          <w:szCs w:val="24"/>
        </w:rPr>
        <w:t xml:space="preserve"> </w:t>
      </w:r>
      <w:r w:rsidR="00133C2A" w:rsidRPr="00AE141E">
        <w:rPr>
          <w:rFonts w:ascii="Times New Roman" w:hAnsi="Times New Roman" w:cs="Times New Roman"/>
          <w:sz w:val="24"/>
          <w:szCs w:val="24"/>
        </w:rPr>
        <w:t xml:space="preserve">shared her doubts that </w:t>
      </w:r>
      <w:r w:rsidR="00221B88" w:rsidRPr="00AE141E">
        <w:rPr>
          <w:rFonts w:ascii="Times New Roman" w:hAnsi="Times New Roman" w:cs="Times New Roman"/>
          <w:sz w:val="24"/>
          <w:szCs w:val="24"/>
        </w:rPr>
        <w:t>colleagues</w:t>
      </w:r>
      <w:r w:rsidR="000D2E8E" w:rsidRPr="00AE141E">
        <w:rPr>
          <w:rFonts w:ascii="Times New Roman" w:hAnsi="Times New Roman" w:cs="Times New Roman"/>
          <w:sz w:val="24"/>
          <w:szCs w:val="24"/>
        </w:rPr>
        <w:t xml:space="preserve"> might</w:t>
      </w:r>
      <w:r w:rsidR="00221B88" w:rsidRPr="00AE141E">
        <w:rPr>
          <w:rFonts w:ascii="Times New Roman" w:hAnsi="Times New Roman" w:cs="Times New Roman"/>
          <w:sz w:val="24"/>
          <w:szCs w:val="24"/>
        </w:rPr>
        <w:t xml:space="preserve"> in fact be creating a ‘</w:t>
      </w:r>
      <w:r w:rsidR="004F2C57" w:rsidRPr="00AE141E">
        <w:rPr>
          <w:rFonts w:ascii="Times New Roman" w:hAnsi="Times New Roman" w:cs="Times New Roman"/>
          <w:sz w:val="24"/>
          <w:szCs w:val="24"/>
        </w:rPr>
        <w:t>colour problem by talking about it</w:t>
      </w:r>
      <w:r w:rsidR="000D2E8E" w:rsidRPr="00AE141E">
        <w:rPr>
          <w:rFonts w:ascii="Times New Roman" w:hAnsi="Times New Roman" w:cs="Times New Roman"/>
          <w:sz w:val="24"/>
          <w:szCs w:val="24"/>
        </w:rPr>
        <w:t xml:space="preserve"> [race]</w:t>
      </w:r>
      <w:r w:rsidR="004F2C57" w:rsidRPr="00AE141E">
        <w:rPr>
          <w:rFonts w:ascii="Times New Roman" w:hAnsi="Times New Roman" w:cs="Times New Roman"/>
          <w:sz w:val="24"/>
          <w:szCs w:val="24"/>
        </w:rPr>
        <w:t xml:space="preserve"> so much</w:t>
      </w:r>
      <w:r w:rsidR="00221B88" w:rsidRPr="00AE141E">
        <w:rPr>
          <w:rFonts w:ascii="Times New Roman" w:hAnsi="Times New Roman" w:cs="Times New Roman"/>
          <w:sz w:val="24"/>
          <w:szCs w:val="24"/>
        </w:rPr>
        <w:t>’</w:t>
      </w:r>
      <w:r w:rsidR="00AA0F70" w:rsidRPr="00AE141E">
        <w:rPr>
          <w:rFonts w:ascii="Times New Roman" w:hAnsi="Times New Roman" w:cs="Times New Roman"/>
          <w:sz w:val="24"/>
          <w:szCs w:val="24"/>
        </w:rPr>
        <w:t>.</w:t>
      </w:r>
      <w:r w:rsidR="00AA0F70" w:rsidRPr="00AE141E">
        <w:rPr>
          <w:rStyle w:val="FootnoteReference"/>
          <w:rFonts w:ascii="Times New Roman" w:hAnsi="Times New Roman" w:cs="Times New Roman"/>
          <w:sz w:val="24"/>
          <w:szCs w:val="24"/>
        </w:rPr>
        <w:footnoteReference w:id="618"/>
      </w:r>
      <w:r w:rsidR="00F9760D" w:rsidRPr="00AE141E">
        <w:rPr>
          <w:rFonts w:ascii="Times New Roman" w:hAnsi="Times New Roman" w:cs="Times New Roman"/>
          <w:sz w:val="24"/>
          <w:szCs w:val="24"/>
        </w:rPr>
        <w:t xml:space="preserve"> This teacher’s assumption that discussion of race would </w:t>
      </w:r>
      <w:r w:rsidR="00F9760D" w:rsidRPr="00AE141E">
        <w:rPr>
          <w:rFonts w:ascii="Times New Roman" w:hAnsi="Times New Roman" w:cs="Times New Roman"/>
          <w:i/>
          <w:sz w:val="24"/>
          <w:szCs w:val="24"/>
        </w:rPr>
        <w:t>materialise</w:t>
      </w:r>
      <w:r w:rsidR="00F9760D" w:rsidRPr="00AE141E">
        <w:rPr>
          <w:rFonts w:ascii="Times New Roman" w:hAnsi="Times New Roman" w:cs="Times New Roman"/>
          <w:sz w:val="24"/>
          <w:szCs w:val="24"/>
        </w:rPr>
        <w:t xml:space="preserve"> a divisive race-consciousness seems</w:t>
      </w:r>
      <w:r w:rsidR="00B6202B" w:rsidRPr="00AE141E">
        <w:rPr>
          <w:rFonts w:ascii="Times New Roman" w:hAnsi="Times New Roman" w:cs="Times New Roman"/>
          <w:sz w:val="24"/>
          <w:szCs w:val="24"/>
        </w:rPr>
        <w:t xml:space="preserve"> a particularly</w:t>
      </w:r>
      <w:r w:rsidR="00F9760D" w:rsidRPr="00AE141E">
        <w:rPr>
          <w:rFonts w:ascii="Times New Roman" w:hAnsi="Times New Roman" w:cs="Times New Roman"/>
          <w:sz w:val="24"/>
          <w:szCs w:val="24"/>
        </w:rPr>
        <w:t xml:space="preserve"> extreme</w:t>
      </w:r>
      <w:r w:rsidR="00B6202B" w:rsidRPr="00AE141E">
        <w:rPr>
          <w:rFonts w:ascii="Times New Roman" w:hAnsi="Times New Roman" w:cs="Times New Roman"/>
          <w:sz w:val="24"/>
          <w:szCs w:val="24"/>
        </w:rPr>
        <w:t xml:space="preserve"> iteration of a common position</w:t>
      </w:r>
      <w:r w:rsidR="001F65DB" w:rsidRPr="00AE141E">
        <w:rPr>
          <w:rFonts w:ascii="Times New Roman" w:hAnsi="Times New Roman" w:cs="Times New Roman"/>
          <w:sz w:val="24"/>
          <w:szCs w:val="24"/>
        </w:rPr>
        <w:t>. O</w:t>
      </w:r>
      <w:r w:rsidR="0033531E" w:rsidRPr="00AE141E">
        <w:rPr>
          <w:rFonts w:ascii="Times New Roman" w:hAnsi="Times New Roman" w:cs="Times New Roman"/>
          <w:sz w:val="24"/>
          <w:szCs w:val="24"/>
        </w:rPr>
        <w:t xml:space="preserve">thers </w:t>
      </w:r>
      <w:r w:rsidR="001F65DB" w:rsidRPr="00AE141E">
        <w:rPr>
          <w:rFonts w:ascii="Times New Roman" w:hAnsi="Times New Roman" w:cs="Times New Roman"/>
          <w:sz w:val="24"/>
          <w:szCs w:val="24"/>
        </w:rPr>
        <w:t>worried</w:t>
      </w:r>
      <w:r w:rsidR="00B0688D" w:rsidRPr="00AE141E">
        <w:rPr>
          <w:rFonts w:ascii="Times New Roman" w:hAnsi="Times New Roman" w:cs="Times New Roman"/>
          <w:sz w:val="24"/>
          <w:szCs w:val="24"/>
        </w:rPr>
        <w:t xml:space="preserve"> that such conversations would bring already</w:t>
      </w:r>
      <w:r w:rsidR="0033531E" w:rsidRPr="00AE141E">
        <w:rPr>
          <w:rFonts w:ascii="Times New Roman" w:hAnsi="Times New Roman" w:cs="Times New Roman"/>
          <w:sz w:val="24"/>
          <w:szCs w:val="24"/>
        </w:rPr>
        <w:t>-</w:t>
      </w:r>
      <w:r w:rsidR="00B0688D" w:rsidRPr="00AE141E">
        <w:rPr>
          <w:rFonts w:ascii="Times New Roman" w:hAnsi="Times New Roman" w:cs="Times New Roman"/>
          <w:sz w:val="24"/>
          <w:szCs w:val="24"/>
        </w:rPr>
        <w:t>simmering</w:t>
      </w:r>
      <w:r w:rsidR="00650D77" w:rsidRPr="00AE141E">
        <w:rPr>
          <w:rFonts w:ascii="Times New Roman" w:hAnsi="Times New Roman" w:cs="Times New Roman"/>
          <w:sz w:val="24"/>
          <w:szCs w:val="24"/>
        </w:rPr>
        <w:t xml:space="preserve"> racial</w:t>
      </w:r>
      <w:r w:rsidR="00B0688D" w:rsidRPr="00AE141E">
        <w:rPr>
          <w:rFonts w:ascii="Times New Roman" w:hAnsi="Times New Roman" w:cs="Times New Roman"/>
          <w:sz w:val="24"/>
          <w:szCs w:val="24"/>
        </w:rPr>
        <w:t xml:space="preserve"> </w:t>
      </w:r>
      <w:r w:rsidR="00B0688D" w:rsidRPr="00AE141E">
        <w:rPr>
          <w:rFonts w:ascii="Times New Roman" w:hAnsi="Times New Roman" w:cs="Times New Roman"/>
          <w:sz w:val="24"/>
          <w:szCs w:val="24"/>
        </w:rPr>
        <w:lastRenderedPageBreak/>
        <w:t>tensions to a boil</w:t>
      </w:r>
      <w:r w:rsidR="001A01A7" w:rsidRPr="00AE141E">
        <w:rPr>
          <w:rFonts w:ascii="Times New Roman" w:hAnsi="Times New Roman" w:cs="Times New Roman"/>
          <w:sz w:val="24"/>
          <w:szCs w:val="24"/>
        </w:rPr>
        <w:t>.</w:t>
      </w:r>
      <w:r w:rsidR="00ED2A52" w:rsidRPr="00AE141E">
        <w:rPr>
          <w:rStyle w:val="FootnoteReference"/>
          <w:rFonts w:ascii="Times New Roman" w:hAnsi="Times New Roman" w:cs="Times New Roman"/>
          <w:sz w:val="24"/>
          <w:szCs w:val="24"/>
        </w:rPr>
        <w:footnoteReference w:id="619"/>
      </w:r>
      <w:r w:rsidR="001A01A7" w:rsidRPr="00AE141E">
        <w:rPr>
          <w:rFonts w:ascii="Times New Roman" w:hAnsi="Times New Roman" w:cs="Times New Roman"/>
          <w:sz w:val="24"/>
          <w:szCs w:val="24"/>
        </w:rPr>
        <w:t xml:space="preserve"> In this context, the </w:t>
      </w:r>
      <w:r w:rsidR="00D7065D" w:rsidRPr="00AE141E">
        <w:rPr>
          <w:rFonts w:ascii="Times New Roman" w:hAnsi="Times New Roman" w:cs="Times New Roman"/>
          <w:sz w:val="24"/>
          <w:szCs w:val="24"/>
        </w:rPr>
        <w:t xml:space="preserve">distancing </w:t>
      </w:r>
      <w:r w:rsidR="001A01A7" w:rsidRPr="00AE141E">
        <w:rPr>
          <w:rFonts w:ascii="Times New Roman" w:hAnsi="Times New Roman" w:cs="Times New Roman"/>
          <w:sz w:val="24"/>
          <w:szCs w:val="24"/>
        </w:rPr>
        <w:t>study of American histories became a tool of classroom management.</w:t>
      </w:r>
    </w:p>
    <w:p w14:paraId="5285214F" w14:textId="43C64C32" w:rsidR="00FF51EA" w:rsidRPr="00AE141E" w:rsidRDefault="002170D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Uncertainty about </w:t>
      </w:r>
      <w:r w:rsidR="007F1426" w:rsidRPr="00AE141E">
        <w:rPr>
          <w:rFonts w:ascii="Times New Roman" w:hAnsi="Times New Roman" w:cs="Times New Roman"/>
          <w:sz w:val="24"/>
          <w:szCs w:val="24"/>
        </w:rPr>
        <w:t>whether or not it was appropriate for educators to express their own views</w:t>
      </w:r>
      <w:r w:rsidR="008574EA" w:rsidRPr="00AE141E">
        <w:rPr>
          <w:rFonts w:ascii="Times New Roman" w:hAnsi="Times New Roman" w:cs="Times New Roman"/>
          <w:sz w:val="24"/>
          <w:szCs w:val="24"/>
        </w:rPr>
        <w:t xml:space="preserve"> about ‘controversial’ subjects compounded</w:t>
      </w:r>
      <w:r w:rsidR="00A77E12" w:rsidRPr="00AE141E">
        <w:rPr>
          <w:rFonts w:ascii="Times New Roman" w:hAnsi="Times New Roman" w:cs="Times New Roman"/>
          <w:sz w:val="24"/>
          <w:szCs w:val="24"/>
        </w:rPr>
        <w:t xml:space="preserve"> these</w:t>
      </w:r>
      <w:r w:rsidR="008574EA" w:rsidRPr="00AE141E">
        <w:rPr>
          <w:rFonts w:ascii="Times New Roman" w:hAnsi="Times New Roman" w:cs="Times New Roman"/>
          <w:sz w:val="24"/>
          <w:szCs w:val="24"/>
        </w:rPr>
        <w:t xml:space="preserve"> </w:t>
      </w:r>
      <w:r w:rsidR="009526E2" w:rsidRPr="00AE141E">
        <w:rPr>
          <w:rFonts w:ascii="Times New Roman" w:hAnsi="Times New Roman" w:cs="Times New Roman"/>
          <w:sz w:val="24"/>
          <w:szCs w:val="24"/>
        </w:rPr>
        <w:t>anxieties.</w:t>
      </w:r>
      <w:r w:rsidR="00741262" w:rsidRPr="00AE141E">
        <w:rPr>
          <w:rStyle w:val="FootnoteReference"/>
          <w:rFonts w:ascii="Times New Roman" w:hAnsi="Times New Roman" w:cs="Times New Roman"/>
          <w:sz w:val="24"/>
          <w:szCs w:val="24"/>
        </w:rPr>
        <w:footnoteReference w:id="620"/>
      </w:r>
      <w:r w:rsidR="009526E2" w:rsidRPr="00AE141E">
        <w:rPr>
          <w:rFonts w:ascii="Times New Roman" w:hAnsi="Times New Roman" w:cs="Times New Roman"/>
          <w:sz w:val="24"/>
          <w:szCs w:val="24"/>
        </w:rPr>
        <w:t xml:space="preserve"> In 1984, </w:t>
      </w:r>
      <w:r w:rsidR="002B24C4" w:rsidRPr="00AE141E">
        <w:rPr>
          <w:rFonts w:ascii="Times New Roman" w:hAnsi="Times New Roman" w:cs="Times New Roman"/>
          <w:sz w:val="24"/>
          <w:szCs w:val="24"/>
        </w:rPr>
        <w:t>the Secretary of State</w:t>
      </w:r>
      <w:r w:rsidR="00FF51EA" w:rsidRPr="00AE141E">
        <w:rPr>
          <w:rFonts w:ascii="Times New Roman" w:hAnsi="Times New Roman" w:cs="Times New Roman"/>
          <w:sz w:val="24"/>
          <w:szCs w:val="24"/>
        </w:rPr>
        <w:t xml:space="preserve"> for Education and Science</w:t>
      </w:r>
      <w:r w:rsidR="002B24C4" w:rsidRPr="00AE141E">
        <w:rPr>
          <w:rFonts w:ascii="Times New Roman" w:hAnsi="Times New Roman" w:cs="Times New Roman"/>
          <w:sz w:val="24"/>
          <w:szCs w:val="24"/>
        </w:rPr>
        <w:t>, Keith Joseph</w:t>
      </w:r>
      <w:r w:rsidR="00FF51EA" w:rsidRPr="00AE141E">
        <w:rPr>
          <w:rFonts w:ascii="Times New Roman" w:hAnsi="Times New Roman" w:cs="Times New Roman"/>
          <w:sz w:val="24"/>
          <w:szCs w:val="24"/>
        </w:rPr>
        <w:t xml:space="preserve">, issued the following </w:t>
      </w:r>
      <w:r w:rsidR="008D08CC" w:rsidRPr="00AE141E">
        <w:rPr>
          <w:rFonts w:ascii="Times New Roman" w:hAnsi="Times New Roman" w:cs="Times New Roman"/>
          <w:sz w:val="24"/>
          <w:szCs w:val="24"/>
        </w:rPr>
        <w:t>advice</w:t>
      </w:r>
      <w:r w:rsidR="00FF51EA" w:rsidRPr="00AE141E">
        <w:rPr>
          <w:rFonts w:ascii="Times New Roman" w:hAnsi="Times New Roman" w:cs="Times New Roman"/>
          <w:sz w:val="24"/>
          <w:szCs w:val="24"/>
        </w:rPr>
        <w:t xml:space="preserve"> on the expression of personal opinions in a classroom context: </w:t>
      </w:r>
    </w:p>
    <w:p w14:paraId="65E931BE" w14:textId="092A02DE" w:rsidR="0033015F" w:rsidRPr="00AE141E" w:rsidRDefault="0033015F"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If asked by pupils for their own views teachers should, as appropriate, declare where they as individuals stand, but explain at the same time that others, in particular the pupil</w:t>
      </w:r>
      <w:r w:rsidR="00552074" w:rsidRPr="00AE141E">
        <w:rPr>
          <w:rFonts w:ascii="Times New Roman" w:hAnsi="Times New Roman" w:cs="Times New Roman"/>
          <w:sz w:val="24"/>
          <w:szCs w:val="24"/>
        </w:rPr>
        <w:t>s’</w:t>
      </w:r>
      <w:r w:rsidRPr="00AE141E">
        <w:rPr>
          <w:rFonts w:ascii="Times New Roman" w:hAnsi="Times New Roman" w:cs="Times New Roman"/>
          <w:sz w:val="24"/>
          <w:szCs w:val="24"/>
        </w:rPr>
        <w:t xml:space="preserve"> parents and other teachers may disagree with them. The teacher should explain that such disagreements are legitimate given the complexity and value-laden nature of the issues and that the pupils too need to weigh the evidence and considerations for themselves and try to reach their own opinions, respecting as they do the possible contrary opinions of others</w:t>
      </w:r>
      <w:r w:rsidR="00FF51EA" w:rsidRPr="00AE141E">
        <w:rPr>
          <w:rFonts w:ascii="Times New Roman" w:hAnsi="Times New Roman" w:cs="Times New Roman"/>
          <w:sz w:val="24"/>
          <w:szCs w:val="24"/>
        </w:rPr>
        <w:t>.</w:t>
      </w:r>
      <w:r w:rsidR="00FF51EA" w:rsidRPr="00AE141E">
        <w:rPr>
          <w:rStyle w:val="FootnoteReference"/>
          <w:rFonts w:ascii="Times New Roman" w:hAnsi="Times New Roman" w:cs="Times New Roman"/>
          <w:sz w:val="24"/>
          <w:szCs w:val="24"/>
        </w:rPr>
        <w:footnoteReference w:id="621"/>
      </w:r>
    </w:p>
    <w:p w14:paraId="5046E72E" w14:textId="28404C2A" w:rsidR="009961C5" w:rsidRPr="00AE141E" w:rsidRDefault="002852B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we will see in </w:t>
      </w:r>
      <w:r w:rsidR="001C664F" w:rsidRPr="00AE141E">
        <w:rPr>
          <w:rFonts w:ascii="Times New Roman" w:hAnsi="Times New Roman" w:cs="Times New Roman"/>
          <w:sz w:val="24"/>
          <w:szCs w:val="24"/>
        </w:rPr>
        <w:t xml:space="preserve">Chapter </w:t>
      </w:r>
      <w:r w:rsidR="004977F9" w:rsidRPr="00AE141E">
        <w:rPr>
          <w:rFonts w:ascii="Times New Roman" w:hAnsi="Times New Roman" w:cs="Times New Roman"/>
          <w:sz w:val="24"/>
          <w:szCs w:val="24"/>
        </w:rPr>
        <w:t>4</w:t>
      </w:r>
      <w:r w:rsidRPr="00AE141E">
        <w:rPr>
          <w:rFonts w:ascii="Times New Roman" w:hAnsi="Times New Roman" w:cs="Times New Roman"/>
          <w:sz w:val="24"/>
          <w:szCs w:val="24"/>
        </w:rPr>
        <w:t xml:space="preserve">, however, </w:t>
      </w:r>
      <w:r w:rsidR="00D77D2E" w:rsidRPr="00AE141E">
        <w:rPr>
          <w:rFonts w:ascii="Times New Roman" w:hAnsi="Times New Roman" w:cs="Times New Roman"/>
          <w:sz w:val="24"/>
          <w:szCs w:val="24"/>
        </w:rPr>
        <w:t xml:space="preserve">teachers were working in a politically febrile environment during which their personal </w:t>
      </w:r>
      <w:r w:rsidR="0087090A" w:rsidRPr="00AE141E">
        <w:rPr>
          <w:rFonts w:ascii="Times New Roman" w:hAnsi="Times New Roman" w:cs="Times New Roman"/>
          <w:sz w:val="24"/>
          <w:szCs w:val="24"/>
        </w:rPr>
        <w:t>positions</w:t>
      </w:r>
      <w:r w:rsidR="0082547D" w:rsidRPr="00AE141E">
        <w:rPr>
          <w:rFonts w:ascii="Times New Roman" w:hAnsi="Times New Roman" w:cs="Times New Roman"/>
          <w:sz w:val="24"/>
          <w:szCs w:val="24"/>
        </w:rPr>
        <w:t xml:space="preserve"> on race and empire</w:t>
      </w:r>
      <w:r w:rsidR="0087090A" w:rsidRPr="00AE141E">
        <w:rPr>
          <w:rFonts w:ascii="Times New Roman" w:hAnsi="Times New Roman" w:cs="Times New Roman"/>
          <w:sz w:val="24"/>
          <w:szCs w:val="24"/>
        </w:rPr>
        <w:t xml:space="preserve"> could easily come under scrutiny at a national level</w:t>
      </w:r>
      <w:r w:rsidR="008D08CC" w:rsidRPr="00AE141E">
        <w:rPr>
          <w:rFonts w:ascii="Times New Roman" w:hAnsi="Times New Roman" w:cs="Times New Roman"/>
          <w:sz w:val="24"/>
          <w:szCs w:val="24"/>
        </w:rPr>
        <w:t xml:space="preserve">, </w:t>
      </w:r>
      <w:r w:rsidR="0087090A" w:rsidRPr="00AE141E">
        <w:rPr>
          <w:rFonts w:ascii="Times New Roman" w:hAnsi="Times New Roman" w:cs="Times New Roman"/>
          <w:sz w:val="24"/>
          <w:szCs w:val="24"/>
        </w:rPr>
        <w:t>in</w:t>
      </w:r>
      <w:r w:rsidR="0082547D" w:rsidRPr="00AE141E">
        <w:rPr>
          <w:rFonts w:ascii="Times New Roman" w:hAnsi="Times New Roman" w:cs="Times New Roman"/>
          <w:sz w:val="24"/>
          <w:szCs w:val="24"/>
        </w:rPr>
        <w:t xml:space="preserve"> </w:t>
      </w:r>
      <w:r w:rsidR="0087090A" w:rsidRPr="00AE141E">
        <w:rPr>
          <w:rFonts w:ascii="Times New Roman" w:hAnsi="Times New Roman" w:cs="Times New Roman"/>
          <w:sz w:val="24"/>
          <w:szCs w:val="24"/>
        </w:rPr>
        <w:t xml:space="preserve">press and </w:t>
      </w:r>
      <w:r w:rsidR="008D08CC" w:rsidRPr="00AE141E">
        <w:rPr>
          <w:rFonts w:ascii="Times New Roman" w:hAnsi="Times New Roman" w:cs="Times New Roman"/>
          <w:sz w:val="24"/>
          <w:szCs w:val="24"/>
        </w:rPr>
        <w:t>P</w:t>
      </w:r>
      <w:r w:rsidR="0087090A" w:rsidRPr="00AE141E">
        <w:rPr>
          <w:rFonts w:ascii="Times New Roman" w:hAnsi="Times New Roman" w:cs="Times New Roman"/>
          <w:sz w:val="24"/>
          <w:szCs w:val="24"/>
        </w:rPr>
        <w:t xml:space="preserve">arliament. Given this context, </w:t>
      </w:r>
      <w:r w:rsidR="00EA61C9" w:rsidRPr="00AE141E">
        <w:rPr>
          <w:rFonts w:ascii="Times New Roman" w:hAnsi="Times New Roman" w:cs="Times New Roman"/>
          <w:sz w:val="24"/>
          <w:szCs w:val="24"/>
        </w:rPr>
        <w:t xml:space="preserve">it is unsurprising that some </w:t>
      </w:r>
      <w:r w:rsidR="000F6C96" w:rsidRPr="00AE141E">
        <w:rPr>
          <w:rFonts w:ascii="Times New Roman" w:hAnsi="Times New Roman" w:cs="Times New Roman"/>
          <w:sz w:val="24"/>
          <w:szCs w:val="24"/>
        </w:rPr>
        <w:t>c</w:t>
      </w:r>
      <w:r w:rsidR="00194EF7" w:rsidRPr="00AE141E">
        <w:rPr>
          <w:rFonts w:ascii="Times New Roman" w:hAnsi="Times New Roman" w:cs="Times New Roman"/>
          <w:sz w:val="24"/>
          <w:szCs w:val="24"/>
        </w:rPr>
        <w:t xml:space="preserve">hose to avoid </w:t>
      </w:r>
      <w:r w:rsidR="00435EEF" w:rsidRPr="00AE141E">
        <w:rPr>
          <w:rFonts w:ascii="Times New Roman" w:hAnsi="Times New Roman" w:cs="Times New Roman"/>
          <w:sz w:val="24"/>
          <w:szCs w:val="24"/>
        </w:rPr>
        <w:t xml:space="preserve">confronting British racism directly </w:t>
      </w:r>
      <w:r w:rsidR="005D3489" w:rsidRPr="00AE141E">
        <w:rPr>
          <w:rFonts w:ascii="Times New Roman" w:hAnsi="Times New Roman" w:cs="Times New Roman"/>
          <w:sz w:val="24"/>
          <w:szCs w:val="24"/>
        </w:rPr>
        <w:t xml:space="preserve">– locating </w:t>
      </w:r>
      <w:r w:rsidR="00ED7808" w:rsidRPr="00AE141E">
        <w:rPr>
          <w:rFonts w:ascii="Times New Roman" w:hAnsi="Times New Roman" w:cs="Times New Roman"/>
          <w:sz w:val="24"/>
          <w:szCs w:val="24"/>
        </w:rPr>
        <w:t xml:space="preserve">discrimination outside of the national body politic and hoping that </w:t>
      </w:r>
      <w:r w:rsidR="001F7501" w:rsidRPr="00AE141E">
        <w:rPr>
          <w:rFonts w:ascii="Times New Roman" w:hAnsi="Times New Roman" w:cs="Times New Roman"/>
          <w:sz w:val="24"/>
          <w:szCs w:val="24"/>
        </w:rPr>
        <w:t>s</w:t>
      </w:r>
      <w:r w:rsidR="00ED7808" w:rsidRPr="00AE141E">
        <w:rPr>
          <w:rFonts w:ascii="Times New Roman" w:hAnsi="Times New Roman" w:cs="Times New Roman"/>
          <w:sz w:val="24"/>
          <w:szCs w:val="24"/>
        </w:rPr>
        <w:t>tudents would connect the dots with their own experiences.</w:t>
      </w:r>
    </w:p>
    <w:p w14:paraId="4EDBB3FD" w14:textId="62D442E6" w:rsidR="00E66336" w:rsidRPr="00AE141E" w:rsidRDefault="0013421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use of US histories as a distancing mechanism has left its trace in today’s school curricula. </w:t>
      </w:r>
      <w:r w:rsidR="0080102D" w:rsidRPr="00AE141E">
        <w:rPr>
          <w:rFonts w:ascii="Times New Roman" w:hAnsi="Times New Roman" w:cs="Times New Roman"/>
          <w:sz w:val="24"/>
          <w:szCs w:val="24"/>
        </w:rPr>
        <w:t xml:space="preserve">In 2014, </w:t>
      </w:r>
      <w:r w:rsidR="005A0273" w:rsidRPr="00AE141E">
        <w:rPr>
          <w:rFonts w:ascii="Times New Roman" w:hAnsi="Times New Roman" w:cs="Times New Roman"/>
          <w:sz w:val="24"/>
          <w:szCs w:val="24"/>
        </w:rPr>
        <w:t>‘</w:t>
      </w:r>
      <w:r w:rsidR="0080102D" w:rsidRPr="00AE141E">
        <w:rPr>
          <w:rFonts w:ascii="Times New Roman" w:hAnsi="Times New Roman" w:cs="Times New Roman"/>
          <w:sz w:val="24"/>
          <w:szCs w:val="24"/>
        </w:rPr>
        <w:t>Civil Rights in the USA (1865-1992)</w:t>
      </w:r>
      <w:r w:rsidR="005A0273" w:rsidRPr="00AE141E">
        <w:rPr>
          <w:rFonts w:ascii="Times New Roman" w:hAnsi="Times New Roman" w:cs="Times New Roman"/>
          <w:sz w:val="24"/>
          <w:szCs w:val="24"/>
        </w:rPr>
        <w:t xml:space="preserve">’ closely followed </w:t>
      </w:r>
      <w:r w:rsidR="003E58BC" w:rsidRPr="00AE141E">
        <w:rPr>
          <w:rFonts w:ascii="Times New Roman" w:hAnsi="Times New Roman" w:cs="Times New Roman"/>
          <w:sz w:val="24"/>
          <w:szCs w:val="24"/>
        </w:rPr>
        <w:t xml:space="preserve">‘Russian Dictatorship (1855 to 1992)’ as the second most popular </w:t>
      </w:r>
      <w:r w:rsidR="00DE4583" w:rsidRPr="00AE141E">
        <w:rPr>
          <w:rFonts w:ascii="Times New Roman" w:hAnsi="Times New Roman" w:cs="Times New Roman"/>
          <w:sz w:val="24"/>
          <w:szCs w:val="24"/>
        </w:rPr>
        <w:t>syllabus offered</w:t>
      </w:r>
      <w:r w:rsidR="003E58BC" w:rsidRPr="00AE141E">
        <w:rPr>
          <w:rFonts w:ascii="Times New Roman" w:hAnsi="Times New Roman" w:cs="Times New Roman"/>
          <w:sz w:val="24"/>
          <w:szCs w:val="24"/>
        </w:rPr>
        <w:t xml:space="preserve"> </w:t>
      </w:r>
      <w:r w:rsidR="00DE4583" w:rsidRPr="00AE141E">
        <w:rPr>
          <w:rFonts w:ascii="Times New Roman" w:hAnsi="Times New Roman" w:cs="Times New Roman"/>
          <w:sz w:val="24"/>
          <w:szCs w:val="24"/>
        </w:rPr>
        <w:t>by</w:t>
      </w:r>
      <w:r w:rsidR="003E58BC" w:rsidRPr="00AE141E">
        <w:rPr>
          <w:rFonts w:ascii="Times New Roman" w:hAnsi="Times New Roman" w:cs="Times New Roman"/>
          <w:sz w:val="24"/>
          <w:szCs w:val="24"/>
        </w:rPr>
        <w:t xml:space="preserve"> the O</w:t>
      </w:r>
      <w:r w:rsidR="00BE1D2A" w:rsidRPr="00AE141E">
        <w:rPr>
          <w:rFonts w:ascii="Times New Roman" w:hAnsi="Times New Roman" w:cs="Times New Roman"/>
          <w:sz w:val="24"/>
          <w:szCs w:val="24"/>
        </w:rPr>
        <w:t xml:space="preserve">xford, </w:t>
      </w:r>
      <w:r w:rsidR="005C7C64" w:rsidRPr="00AE141E">
        <w:rPr>
          <w:rFonts w:ascii="Times New Roman" w:hAnsi="Times New Roman" w:cs="Times New Roman"/>
          <w:sz w:val="24"/>
          <w:szCs w:val="24"/>
        </w:rPr>
        <w:t>Cambridge</w:t>
      </w:r>
      <w:r w:rsidR="00BE1D2A" w:rsidRPr="00AE141E">
        <w:rPr>
          <w:rFonts w:ascii="Times New Roman" w:hAnsi="Times New Roman" w:cs="Times New Roman"/>
          <w:sz w:val="24"/>
          <w:szCs w:val="24"/>
        </w:rPr>
        <w:t xml:space="preserve">, and </w:t>
      </w:r>
      <w:r w:rsidR="00672DC3" w:rsidRPr="00AE141E">
        <w:rPr>
          <w:rFonts w:ascii="Times New Roman" w:hAnsi="Times New Roman" w:cs="Times New Roman"/>
          <w:sz w:val="24"/>
          <w:szCs w:val="24"/>
        </w:rPr>
        <w:t>Royal Society of Arts Examinations Board (OCR)</w:t>
      </w:r>
      <w:r w:rsidR="003E58BC" w:rsidRPr="00AE141E">
        <w:rPr>
          <w:rFonts w:ascii="Times New Roman" w:hAnsi="Times New Roman" w:cs="Times New Roman"/>
          <w:sz w:val="24"/>
          <w:szCs w:val="24"/>
        </w:rPr>
        <w:t xml:space="preserve"> </w:t>
      </w:r>
      <w:r w:rsidR="00CB5BEF" w:rsidRPr="00AE141E">
        <w:rPr>
          <w:rFonts w:ascii="Times New Roman" w:hAnsi="Times New Roman" w:cs="Times New Roman"/>
          <w:sz w:val="24"/>
          <w:szCs w:val="24"/>
        </w:rPr>
        <w:t xml:space="preserve">A </w:t>
      </w:r>
      <w:r w:rsidR="00037E5A" w:rsidRPr="00AE141E">
        <w:rPr>
          <w:rFonts w:ascii="Times New Roman" w:hAnsi="Times New Roman" w:cs="Times New Roman"/>
          <w:sz w:val="24"/>
          <w:szCs w:val="24"/>
        </w:rPr>
        <w:t>L</w:t>
      </w:r>
      <w:r w:rsidR="00CB5BEF" w:rsidRPr="00AE141E">
        <w:rPr>
          <w:rFonts w:ascii="Times New Roman" w:hAnsi="Times New Roman" w:cs="Times New Roman"/>
          <w:sz w:val="24"/>
          <w:szCs w:val="24"/>
        </w:rPr>
        <w:t>evel</w:t>
      </w:r>
      <w:r w:rsidR="003E58BC" w:rsidRPr="00AE141E">
        <w:rPr>
          <w:rFonts w:ascii="Times New Roman" w:hAnsi="Times New Roman" w:cs="Times New Roman"/>
          <w:sz w:val="24"/>
          <w:szCs w:val="24"/>
        </w:rPr>
        <w:t xml:space="preserve"> History course.</w:t>
      </w:r>
      <w:r w:rsidR="00491349" w:rsidRPr="00AE141E">
        <w:rPr>
          <w:rStyle w:val="FootnoteReference"/>
          <w:rFonts w:ascii="Times New Roman" w:hAnsi="Times New Roman" w:cs="Times New Roman"/>
          <w:sz w:val="24"/>
          <w:szCs w:val="24"/>
        </w:rPr>
        <w:footnoteReference w:id="622"/>
      </w:r>
      <w:r w:rsidR="0080102D" w:rsidRPr="00AE141E">
        <w:rPr>
          <w:rFonts w:ascii="Times New Roman" w:hAnsi="Times New Roman" w:cs="Times New Roman"/>
          <w:sz w:val="24"/>
          <w:szCs w:val="24"/>
        </w:rPr>
        <w:t xml:space="preserve"> </w:t>
      </w:r>
      <w:r w:rsidR="00CB5BEF" w:rsidRPr="00AE141E">
        <w:rPr>
          <w:rFonts w:ascii="Times New Roman" w:hAnsi="Times New Roman" w:cs="Times New Roman"/>
          <w:sz w:val="24"/>
          <w:szCs w:val="24"/>
        </w:rPr>
        <w:lastRenderedPageBreak/>
        <w:t>A striking</w:t>
      </w:r>
      <w:r w:rsidR="0080102D" w:rsidRPr="00AE141E">
        <w:rPr>
          <w:rFonts w:ascii="Times New Roman" w:hAnsi="Times New Roman" w:cs="Times New Roman"/>
          <w:sz w:val="24"/>
          <w:szCs w:val="24"/>
        </w:rPr>
        <w:t xml:space="preserve"> 29</w:t>
      </w:r>
      <w:r w:rsidR="000A79A1" w:rsidRPr="00AE141E">
        <w:rPr>
          <w:rFonts w:ascii="Times New Roman" w:hAnsi="Times New Roman" w:cs="Times New Roman"/>
          <w:sz w:val="24"/>
          <w:szCs w:val="24"/>
        </w:rPr>
        <w:t xml:space="preserve"> percent</w:t>
      </w:r>
      <w:r w:rsidR="0080102D" w:rsidRPr="00AE141E">
        <w:rPr>
          <w:rFonts w:ascii="Times New Roman" w:hAnsi="Times New Roman" w:cs="Times New Roman"/>
          <w:sz w:val="24"/>
          <w:szCs w:val="24"/>
        </w:rPr>
        <w:t xml:space="preserve"> of schools</w:t>
      </w:r>
      <w:r w:rsidR="00762AA7" w:rsidRPr="00AE141E">
        <w:rPr>
          <w:rFonts w:ascii="Times New Roman" w:hAnsi="Times New Roman" w:cs="Times New Roman"/>
          <w:sz w:val="24"/>
          <w:szCs w:val="24"/>
        </w:rPr>
        <w:t xml:space="preserve"> opted for the former</w:t>
      </w:r>
      <w:r w:rsidR="00DE4583" w:rsidRPr="00AE141E">
        <w:rPr>
          <w:rFonts w:ascii="Times New Roman" w:hAnsi="Times New Roman" w:cs="Times New Roman"/>
          <w:sz w:val="24"/>
          <w:szCs w:val="24"/>
        </w:rPr>
        <w:t xml:space="preserve"> topic</w:t>
      </w:r>
      <w:r w:rsidR="00491349" w:rsidRPr="00AE141E">
        <w:rPr>
          <w:rFonts w:ascii="Times New Roman" w:hAnsi="Times New Roman" w:cs="Times New Roman"/>
          <w:sz w:val="24"/>
          <w:szCs w:val="24"/>
        </w:rPr>
        <w:t>.</w:t>
      </w:r>
      <w:r w:rsidR="00684C8B" w:rsidRPr="00AE141E">
        <w:rPr>
          <w:rFonts w:ascii="Times New Roman" w:hAnsi="Times New Roman" w:cs="Times New Roman"/>
          <w:sz w:val="24"/>
          <w:szCs w:val="24"/>
        </w:rPr>
        <w:t xml:space="preserve"> </w:t>
      </w:r>
      <w:r w:rsidR="002F78DF" w:rsidRPr="00AE141E">
        <w:rPr>
          <w:rFonts w:ascii="Times New Roman" w:hAnsi="Times New Roman" w:cs="Times New Roman"/>
          <w:sz w:val="24"/>
          <w:szCs w:val="24"/>
        </w:rPr>
        <w:t xml:space="preserve">A subsequent (2021) survey </w:t>
      </w:r>
      <w:r w:rsidR="009600B5" w:rsidRPr="00AE141E">
        <w:rPr>
          <w:rFonts w:ascii="Times New Roman" w:hAnsi="Times New Roman" w:cs="Times New Roman"/>
          <w:sz w:val="24"/>
          <w:szCs w:val="24"/>
        </w:rPr>
        <w:t xml:space="preserve">conducted by the </w:t>
      </w:r>
      <w:r w:rsidR="002B025F" w:rsidRPr="00AE141E">
        <w:rPr>
          <w:rFonts w:ascii="Times New Roman" w:hAnsi="Times New Roman" w:cs="Times New Roman"/>
          <w:sz w:val="24"/>
          <w:szCs w:val="24"/>
        </w:rPr>
        <w:t>HA</w:t>
      </w:r>
      <w:r w:rsidR="009600B5" w:rsidRPr="00AE141E">
        <w:rPr>
          <w:rFonts w:ascii="Times New Roman" w:hAnsi="Times New Roman" w:cs="Times New Roman"/>
          <w:sz w:val="24"/>
          <w:szCs w:val="24"/>
        </w:rPr>
        <w:t xml:space="preserve"> found that just 23 percent of schools reported </w:t>
      </w:r>
      <w:r w:rsidR="00C15F5E" w:rsidRPr="00AE141E">
        <w:rPr>
          <w:rFonts w:ascii="Times New Roman" w:hAnsi="Times New Roman" w:cs="Times New Roman"/>
          <w:sz w:val="24"/>
          <w:szCs w:val="24"/>
        </w:rPr>
        <w:t>‘</w:t>
      </w:r>
      <w:r w:rsidR="00AF0B7D" w:rsidRPr="00AE141E">
        <w:rPr>
          <w:rFonts w:ascii="Times New Roman" w:hAnsi="Times New Roman" w:cs="Times New Roman"/>
          <w:sz w:val="24"/>
          <w:szCs w:val="24"/>
        </w:rPr>
        <w:t>devoting a series of lessons to teaching an aspect of Black or Asian British history</w:t>
      </w:r>
      <w:r w:rsidR="00C15F5E" w:rsidRPr="00AE141E">
        <w:rPr>
          <w:rFonts w:ascii="Times New Roman" w:hAnsi="Times New Roman" w:cs="Times New Roman"/>
          <w:sz w:val="24"/>
          <w:szCs w:val="24"/>
        </w:rPr>
        <w:t>’</w:t>
      </w:r>
      <w:r w:rsidR="00AF0B7D" w:rsidRPr="00AE141E">
        <w:rPr>
          <w:rFonts w:ascii="Times New Roman" w:hAnsi="Times New Roman" w:cs="Times New Roman"/>
          <w:sz w:val="24"/>
          <w:szCs w:val="24"/>
        </w:rPr>
        <w:t>.</w:t>
      </w:r>
      <w:r w:rsidR="004443A6" w:rsidRPr="00AE141E">
        <w:rPr>
          <w:rStyle w:val="FootnoteReference"/>
          <w:rFonts w:ascii="Times New Roman" w:hAnsi="Times New Roman" w:cs="Times New Roman"/>
          <w:sz w:val="24"/>
          <w:szCs w:val="24"/>
        </w:rPr>
        <w:footnoteReference w:id="623"/>
      </w:r>
      <w:r w:rsidR="00AF0B7D" w:rsidRPr="00AE141E">
        <w:rPr>
          <w:rFonts w:ascii="Times New Roman" w:hAnsi="Times New Roman" w:cs="Times New Roman"/>
          <w:sz w:val="24"/>
          <w:szCs w:val="24"/>
        </w:rPr>
        <w:t xml:space="preserve"> </w:t>
      </w:r>
      <w:r w:rsidR="00C15F5E" w:rsidRPr="00AE141E">
        <w:rPr>
          <w:rFonts w:ascii="Times New Roman" w:hAnsi="Times New Roman" w:cs="Times New Roman"/>
          <w:sz w:val="24"/>
          <w:szCs w:val="24"/>
        </w:rPr>
        <w:t xml:space="preserve">The majority </w:t>
      </w:r>
      <w:r w:rsidR="00AF0B7D" w:rsidRPr="00AE141E">
        <w:rPr>
          <w:rFonts w:ascii="Times New Roman" w:hAnsi="Times New Roman" w:cs="Times New Roman"/>
          <w:sz w:val="24"/>
          <w:szCs w:val="24"/>
        </w:rPr>
        <w:t>(57</w:t>
      </w:r>
      <w:r w:rsidR="00C15F5E" w:rsidRPr="00AE141E">
        <w:rPr>
          <w:rFonts w:ascii="Times New Roman" w:hAnsi="Times New Roman" w:cs="Times New Roman"/>
          <w:sz w:val="24"/>
          <w:szCs w:val="24"/>
        </w:rPr>
        <w:t xml:space="preserve"> percent</w:t>
      </w:r>
      <w:r w:rsidR="00AF0B7D" w:rsidRPr="00AE141E">
        <w:rPr>
          <w:rFonts w:ascii="Times New Roman" w:hAnsi="Times New Roman" w:cs="Times New Roman"/>
          <w:sz w:val="24"/>
          <w:szCs w:val="24"/>
        </w:rPr>
        <w:t xml:space="preserve">) reported </w:t>
      </w:r>
      <w:r w:rsidR="00C15F5E" w:rsidRPr="00AE141E">
        <w:rPr>
          <w:rFonts w:ascii="Times New Roman" w:hAnsi="Times New Roman" w:cs="Times New Roman"/>
          <w:sz w:val="24"/>
          <w:szCs w:val="24"/>
        </w:rPr>
        <w:t xml:space="preserve">teaching such histories in just one or two lessons, while a substantial minority </w:t>
      </w:r>
      <w:r w:rsidR="00CD1EC4" w:rsidRPr="00AE141E">
        <w:rPr>
          <w:rFonts w:ascii="Times New Roman" w:hAnsi="Times New Roman" w:cs="Times New Roman"/>
          <w:sz w:val="24"/>
          <w:szCs w:val="24"/>
        </w:rPr>
        <w:t>taught none at all.</w:t>
      </w:r>
      <w:r w:rsidR="00D0435A" w:rsidRPr="00AE141E">
        <w:rPr>
          <w:rFonts w:ascii="Times New Roman" w:hAnsi="Times New Roman" w:cs="Times New Roman"/>
          <w:sz w:val="24"/>
          <w:szCs w:val="24"/>
        </w:rPr>
        <w:t xml:space="preserve"> </w:t>
      </w:r>
      <w:r w:rsidR="006E70A1" w:rsidRPr="00AE141E">
        <w:rPr>
          <w:rFonts w:ascii="Times New Roman" w:hAnsi="Times New Roman" w:cs="Times New Roman"/>
          <w:sz w:val="24"/>
          <w:szCs w:val="24"/>
        </w:rPr>
        <w:t xml:space="preserve">Intriguingly, the survey report noted that, although </w:t>
      </w:r>
      <w:r w:rsidR="00771357" w:rsidRPr="00AE141E">
        <w:rPr>
          <w:rFonts w:ascii="Times New Roman" w:hAnsi="Times New Roman" w:cs="Times New Roman"/>
          <w:sz w:val="24"/>
          <w:szCs w:val="24"/>
        </w:rPr>
        <w:t xml:space="preserve">respondents had been </w:t>
      </w:r>
      <w:r w:rsidR="00E66336" w:rsidRPr="00AE141E">
        <w:rPr>
          <w:rFonts w:ascii="Times New Roman" w:hAnsi="Times New Roman" w:cs="Times New Roman"/>
          <w:sz w:val="24"/>
          <w:szCs w:val="24"/>
        </w:rPr>
        <w:t xml:space="preserve">asked specifically about Black and Asian </w:t>
      </w:r>
      <w:r w:rsidR="00E66336" w:rsidRPr="00AE141E">
        <w:rPr>
          <w:rFonts w:ascii="Times New Roman" w:hAnsi="Times New Roman" w:cs="Times New Roman"/>
          <w:i/>
          <w:sz w:val="24"/>
          <w:szCs w:val="24"/>
        </w:rPr>
        <w:t>British</w:t>
      </w:r>
      <w:r w:rsidR="00E66336" w:rsidRPr="00AE141E">
        <w:rPr>
          <w:rFonts w:ascii="Times New Roman" w:hAnsi="Times New Roman" w:cs="Times New Roman"/>
          <w:sz w:val="24"/>
          <w:szCs w:val="24"/>
        </w:rPr>
        <w:t xml:space="preserve"> history, </w:t>
      </w:r>
      <w:r w:rsidR="00771357" w:rsidRPr="00AE141E">
        <w:rPr>
          <w:rFonts w:ascii="Times New Roman" w:hAnsi="Times New Roman" w:cs="Times New Roman"/>
          <w:sz w:val="24"/>
          <w:szCs w:val="24"/>
        </w:rPr>
        <w:t>some</w:t>
      </w:r>
      <w:r w:rsidR="00E66336" w:rsidRPr="00AE141E">
        <w:rPr>
          <w:rFonts w:ascii="Times New Roman" w:hAnsi="Times New Roman" w:cs="Times New Roman"/>
          <w:sz w:val="24"/>
          <w:szCs w:val="24"/>
        </w:rPr>
        <w:t xml:space="preserve"> </w:t>
      </w:r>
      <w:r w:rsidR="00771357" w:rsidRPr="00AE141E">
        <w:rPr>
          <w:rFonts w:ascii="Times New Roman" w:hAnsi="Times New Roman" w:cs="Times New Roman"/>
          <w:sz w:val="24"/>
          <w:szCs w:val="24"/>
        </w:rPr>
        <w:t>‘</w:t>
      </w:r>
      <w:r w:rsidR="00E66336" w:rsidRPr="00AE141E">
        <w:rPr>
          <w:rFonts w:ascii="Times New Roman" w:hAnsi="Times New Roman" w:cs="Times New Roman"/>
          <w:sz w:val="24"/>
          <w:szCs w:val="24"/>
        </w:rPr>
        <w:t>cited topics that did not appear to be directly related to Britain at all</w:t>
      </w:r>
      <w:r w:rsidR="00771357" w:rsidRPr="00AE141E">
        <w:rPr>
          <w:rFonts w:ascii="Times New Roman" w:hAnsi="Times New Roman" w:cs="Times New Roman"/>
          <w:sz w:val="24"/>
          <w:szCs w:val="24"/>
        </w:rPr>
        <w:t>’</w:t>
      </w:r>
      <w:r w:rsidR="009B7997" w:rsidRPr="00AE141E">
        <w:rPr>
          <w:rFonts w:ascii="Times New Roman" w:hAnsi="Times New Roman" w:cs="Times New Roman"/>
          <w:sz w:val="24"/>
          <w:szCs w:val="24"/>
        </w:rPr>
        <w:t>. T</w:t>
      </w:r>
      <w:r w:rsidR="00262635" w:rsidRPr="00AE141E">
        <w:rPr>
          <w:rFonts w:ascii="Times New Roman" w:hAnsi="Times New Roman" w:cs="Times New Roman"/>
          <w:sz w:val="24"/>
          <w:szCs w:val="24"/>
        </w:rPr>
        <w:t>he ‘</w:t>
      </w:r>
      <w:r w:rsidR="00E66336" w:rsidRPr="00AE141E">
        <w:rPr>
          <w:rFonts w:ascii="Times New Roman" w:hAnsi="Times New Roman" w:cs="Times New Roman"/>
          <w:sz w:val="24"/>
          <w:szCs w:val="24"/>
        </w:rPr>
        <w:t>struggle for civil rights in the United States</w:t>
      </w:r>
      <w:r w:rsidR="00262635" w:rsidRPr="00AE141E">
        <w:rPr>
          <w:rFonts w:ascii="Times New Roman" w:hAnsi="Times New Roman" w:cs="Times New Roman"/>
          <w:sz w:val="24"/>
          <w:szCs w:val="24"/>
        </w:rPr>
        <w:t>’ was the most common answer in this respect.</w:t>
      </w:r>
      <w:r w:rsidR="00BF443E" w:rsidRPr="00AE141E">
        <w:rPr>
          <w:rFonts w:ascii="Times New Roman" w:hAnsi="Times New Roman" w:cs="Times New Roman"/>
          <w:sz w:val="24"/>
          <w:szCs w:val="24"/>
        </w:rPr>
        <w:t xml:space="preserve"> </w:t>
      </w:r>
    </w:p>
    <w:p w14:paraId="3CD14107" w14:textId="266F2DFF" w:rsidR="00E776F3" w:rsidRPr="00AE141E" w:rsidRDefault="00812F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latter </w:t>
      </w:r>
      <w:r w:rsidR="00907411" w:rsidRPr="00AE141E">
        <w:rPr>
          <w:rFonts w:ascii="Times New Roman" w:hAnsi="Times New Roman" w:cs="Times New Roman"/>
          <w:sz w:val="24"/>
          <w:szCs w:val="24"/>
        </w:rPr>
        <w:t xml:space="preserve">could simply </w:t>
      </w:r>
      <w:r w:rsidR="000D0F94" w:rsidRPr="00AE141E">
        <w:rPr>
          <w:rFonts w:ascii="Times New Roman" w:hAnsi="Times New Roman" w:cs="Times New Roman"/>
          <w:sz w:val="24"/>
          <w:szCs w:val="24"/>
        </w:rPr>
        <w:t>indicate</w:t>
      </w:r>
      <w:r w:rsidRPr="00AE141E">
        <w:rPr>
          <w:rFonts w:ascii="Times New Roman" w:hAnsi="Times New Roman" w:cs="Times New Roman"/>
          <w:sz w:val="24"/>
          <w:szCs w:val="24"/>
        </w:rPr>
        <w:t xml:space="preserve"> </w:t>
      </w:r>
      <w:r w:rsidR="00140D6D" w:rsidRPr="00AE141E">
        <w:rPr>
          <w:rFonts w:ascii="Times New Roman" w:hAnsi="Times New Roman" w:cs="Times New Roman"/>
          <w:sz w:val="24"/>
          <w:szCs w:val="24"/>
        </w:rPr>
        <w:t>carelessness</w:t>
      </w:r>
      <w:r w:rsidR="004B6871" w:rsidRPr="00AE141E">
        <w:rPr>
          <w:rFonts w:ascii="Times New Roman" w:hAnsi="Times New Roman" w:cs="Times New Roman"/>
          <w:sz w:val="24"/>
          <w:szCs w:val="24"/>
        </w:rPr>
        <w:t xml:space="preserve"> </w:t>
      </w:r>
      <w:r w:rsidR="00907411" w:rsidRPr="00AE141E">
        <w:rPr>
          <w:rFonts w:ascii="Times New Roman" w:hAnsi="Times New Roman" w:cs="Times New Roman"/>
          <w:sz w:val="24"/>
          <w:szCs w:val="24"/>
        </w:rPr>
        <w:t xml:space="preserve">in reading the survey’s questions. </w:t>
      </w:r>
      <w:r w:rsidR="00BB1969" w:rsidRPr="00AE141E">
        <w:rPr>
          <w:rFonts w:ascii="Times New Roman" w:hAnsi="Times New Roman" w:cs="Times New Roman"/>
          <w:sz w:val="24"/>
          <w:szCs w:val="24"/>
        </w:rPr>
        <w:t>However, t</w:t>
      </w:r>
      <w:r w:rsidR="00907411" w:rsidRPr="00AE141E">
        <w:rPr>
          <w:rFonts w:ascii="Times New Roman" w:hAnsi="Times New Roman" w:cs="Times New Roman"/>
          <w:sz w:val="24"/>
          <w:szCs w:val="24"/>
        </w:rPr>
        <w:t xml:space="preserve">hat the same mistake was made </w:t>
      </w:r>
      <w:r w:rsidR="000D0F94" w:rsidRPr="00AE141E">
        <w:rPr>
          <w:rFonts w:ascii="Times New Roman" w:hAnsi="Times New Roman" w:cs="Times New Roman"/>
          <w:sz w:val="24"/>
          <w:szCs w:val="24"/>
        </w:rPr>
        <w:t>repeatedly</w:t>
      </w:r>
      <w:r w:rsidR="00BB1969" w:rsidRPr="00AE141E">
        <w:rPr>
          <w:rFonts w:ascii="Times New Roman" w:hAnsi="Times New Roman" w:cs="Times New Roman"/>
          <w:sz w:val="24"/>
          <w:szCs w:val="24"/>
        </w:rPr>
        <w:t xml:space="preserve"> – and usually with the same result – should give us pause for thought.</w:t>
      </w:r>
      <w:r w:rsidR="000D0F94" w:rsidRPr="00AE141E">
        <w:rPr>
          <w:rFonts w:ascii="Times New Roman" w:hAnsi="Times New Roman" w:cs="Times New Roman"/>
          <w:sz w:val="24"/>
          <w:szCs w:val="24"/>
        </w:rPr>
        <w:t xml:space="preserve"> </w:t>
      </w:r>
      <w:r w:rsidR="00BB1969" w:rsidRPr="00AE141E">
        <w:rPr>
          <w:rFonts w:ascii="Times New Roman" w:hAnsi="Times New Roman" w:cs="Times New Roman"/>
          <w:sz w:val="24"/>
          <w:szCs w:val="24"/>
        </w:rPr>
        <w:t xml:space="preserve"> </w:t>
      </w:r>
      <w:r w:rsidR="00F76015" w:rsidRPr="00AE141E">
        <w:rPr>
          <w:rFonts w:ascii="Times New Roman" w:hAnsi="Times New Roman" w:cs="Times New Roman"/>
          <w:sz w:val="24"/>
          <w:szCs w:val="24"/>
        </w:rPr>
        <w:t xml:space="preserve">It </w:t>
      </w:r>
      <w:r w:rsidR="001126FD" w:rsidRPr="00AE141E">
        <w:rPr>
          <w:rFonts w:ascii="Times New Roman" w:hAnsi="Times New Roman" w:cs="Times New Roman"/>
          <w:sz w:val="24"/>
          <w:szCs w:val="24"/>
        </w:rPr>
        <w:t xml:space="preserve">leaves the impression that, for many teachers, Black and Asian history </w:t>
      </w:r>
      <w:r w:rsidR="001126FD" w:rsidRPr="00AE141E">
        <w:rPr>
          <w:rFonts w:ascii="Times New Roman" w:hAnsi="Times New Roman" w:cs="Times New Roman"/>
          <w:i/>
          <w:sz w:val="24"/>
          <w:szCs w:val="24"/>
        </w:rPr>
        <w:t>is</w:t>
      </w:r>
      <w:r w:rsidR="00734BFD" w:rsidRPr="00AE141E">
        <w:rPr>
          <w:rFonts w:ascii="Times New Roman" w:hAnsi="Times New Roman" w:cs="Times New Roman"/>
          <w:i/>
          <w:sz w:val="24"/>
          <w:szCs w:val="24"/>
        </w:rPr>
        <w:t xml:space="preserve"> </w:t>
      </w:r>
      <w:r w:rsidR="00C27D5B" w:rsidRPr="00AE141E">
        <w:rPr>
          <w:rFonts w:ascii="Times New Roman" w:hAnsi="Times New Roman" w:cs="Times New Roman"/>
          <w:sz w:val="24"/>
          <w:szCs w:val="24"/>
        </w:rPr>
        <w:t>US</w:t>
      </w:r>
      <w:r w:rsidR="001126FD" w:rsidRPr="00AE141E">
        <w:rPr>
          <w:rFonts w:ascii="Times New Roman" w:hAnsi="Times New Roman" w:cs="Times New Roman"/>
          <w:sz w:val="24"/>
          <w:szCs w:val="24"/>
        </w:rPr>
        <w:t xml:space="preserve"> history</w:t>
      </w:r>
      <w:r w:rsidR="00734BFD" w:rsidRPr="00AE141E">
        <w:rPr>
          <w:rFonts w:ascii="Times New Roman" w:hAnsi="Times New Roman" w:cs="Times New Roman"/>
          <w:sz w:val="24"/>
          <w:szCs w:val="24"/>
        </w:rPr>
        <w:t>. This</w:t>
      </w:r>
      <w:r w:rsidR="00F76015" w:rsidRPr="00AE141E">
        <w:rPr>
          <w:rFonts w:ascii="Times New Roman" w:hAnsi="Times New Roman" w:cs="Times New Roman"/>
          <w:sz w:val="24"/>
          <w:szCs w:val="24"/>
        </w:rPr>
        <w:t xml:space="preserve"> </w:t>
      </w:r>
      <w:r w:rsidR="00564E7D" w:rsidRPr="00AE141E">
        <w:rPr>
          <w:rFonts w:ascii="Times New Roman" w:hAnsi="Times New Roman" w:cs="Times New Roman"/>
          <w:sz w:val="24"/>
          <w:szCs w:val="24"/>
        </w:rPr>
        <w:t>impl</w:t>
      </w:r>
      <w:r w:rsidR="00020D7A" w:rsidRPr="00AE141E">
        <w:rPr>
          <w:rFonts w:ascii="Times New Roman" w:hAnsi="Times New Roman" w:cs="Times New Roman"/>
          <w:sz w:val="24"/>
          <w:szCs w:val="24"/>
        </w:rPr>
        <w:t>i</w:t>
      </w:r>
      <w:r w:rsidR="00734BFD" w:rsidRPr="00AE141E">
        <w:rPr>
          <w:rFonts w:ascii="Times New Roman" w:hAnsi="Times New Roman" w:cs="Times New Roman"/>
          <w:sz w:val="24"/>
          <w:szCs w:val="24"/>
        </w:rPr>
        <w:t>es</w:t>
      </w:r>
      <w:r w:rsidR="00564E7D" w:rsidRPr="00AE141E">
        <w:rPr>
          <w:rFonts w:ascii="Times New Roman" w:hAnsi="Times New Roman" w:cs="Times New Roman"/>
          <w:sz w:val="24"/>
          <w:szCs w:val="24"/>
        </w:rPr>
        <w:t xml:space="preserve"> a certain </w:t>
      </w:r>
      <w:r w:rsidR="003F4676" w:rsidRPr="00AE141E">
        <w:rPr>
          <w:rFonts w:ascii="Times New Roman" w:hAnsi="Times New Roman" w:cs="Times New Roman"/>
          <w:sz w:val="24"/>
          <w:szCs w:val="24"/>
        </w:rPr>
        <w:t xml:space="preserve">overwriting of British histories of race </w:t>
      </w:r>
      <w:r w:rsidR="00020D7A" w:rsidRPr="00AE141E">
        <w:rPr>
          <w:rFonts w:ascii="Times New Roman" w:hAnsi="Times New Roman" w:cs="Times New Roman"/>
          <w:sz w:val="24"/>
          <w:szCs w:val="24"/>
        </w:rPr>
        <w:t>and racism with</w:t>
      </w:r>
      <w:r w:rsidR="003F4676" w:rsidRPr="00AE141E">
        <w:rPr>
          <w:rFonts w:ascii="Times New Roman" w:hAnsi="Times New Roman" w:cs="Times New Roman"/>
          <w:sz w:val="24"/>
          <w:szCs w:val="24"/>
        </w:rPr>
        <w:t xml:space="preserve"> north American histories</w:t>
      </w:r>
      <w:r w:rsidR="006172C3" w:rsidRPr="00AE141E">
        <w:rPr>
          <w:rFonts w:ascii="Times New Roman" w:hAnsi="Times New Roman" w:cs="Times New Roman"/>
          <w:sz w:val="24"/>
          <w:szCs w:val="24"/>
        </w:rPr>
        <w:t xml:space="preserve"> </w:t>
      </w:r>
      <w:r w:rsidR="00793F43" w:rsidRPr="00AE141E">
        <w:rPr>
          <w:rFonts w:ascii="Times New Roman" w:hAnsi="Times New Roman" w:cs="Times New Roman"/>
          <w:sz w:val="24"/>
          <w:szCs w:val="24"/>
        </w:rPr>
        <w:t>– both on syllabi, and in the minds of educators.</w:t>
      </w:r>
      <w:r w:rsidR="00B842BD" w:rsidRPr="00AE141E">
        <w:rPr>
          <w:rFonts w:ascii="Times New Roman" w:hAnsi="Times New Roman" w:cs="Times New Roman"/>
          <w:sz w:val="24"/>
          <w:szCs w:val="24"/>
        </w:rPr>
        <w:t xml:space="preserve"> </w:t>
      </w:r>
      <w:r w:rsidR="00E776F3" w:rsidRPr="00AE141E">
        <w:rPr>
          <w:rFonts w:ascii="Times New Roman" w:hAnsi="Times New Roman" w:cs="Times New Roman"/>
          <w:sz w:val="24"/>
          <w:szCs w:val="24"/>
        </w:rPr>
        <w:t>T</w:t>
      </w:r>
      <w:r w:rsidR="0023674F" w:rsidRPr="00AE141E">
        <w:rPr>
          <w:rFonts w:ascii="Times New Roman" w:hAnsi="Times New Roman" w:cs="Times New Roman"/>
          <w:sz w:val="24"/>
          <w:szCs w:val="24"/>
        </w:rPr>
        <w:t xml:space="preserve">he writer </w:t>
      </w:r>
      <w:r w:rsidR="008D2E6F" w:rsidRPr="00AE141E">
        <w:rPr>
          <w:rFonts w:ascii="Times New Roman" w:hAnsi="Times New Roman" w:cs="Times New Roman"/>
          <w:sz w:val="24"/>
          <w:szCs w:val="24"/>
        </w:rPr>
        <w:t>Reni Ed</w:t>
      </w:r>
      <w:r w:rsidR="001540EE" w:rsidRPr="00AE141E">
        <w:rPr>
          <w:rFonts w:ascii="Times New Roman" w:hAnsi="Times New Roman" w:cs="Times New Roman"/>
          <w:sz w:val="24"/>
          <w:szCs w:val="24"/>
        </w:rPr>
        <w:t>d</w:t>
      </w:r>
      <w:r w:rsidR="008D2E6F" w:rsidRPr="00AE141E">
        <w:rPr>
          <w:rFonts w:ascii="Times New Roman" w:hAnsi="Times New Roman" w:cs="Times New Roman"/>
          <w:sz w:val="24"/>
          <w:szCs w:val="24"/>
        </w:rPr>
        <w:t>o</w:t>
      </w:r>
      <w:r w:rsidR="001540EE" w:rsidRPr="00AE141E">
        <w:rPr>
          <w:rFonts w:ascii="Times New Roman" w:hAnsi="Times New Roman" w:cs="Times New Roman"/>
          <w:sz w:val="24"/>
          <w:szCs w:val="24"/>
        </w:rPr>
        <w:t>-</w:t>
      </w:r>
      <w:r w:rsidR="008D2E6F" w:rsidRPr="00AE141E">
        <w:rPr>
          <w:rFonts w:ascii="Times New Roman" w:hAnsi="Times New Roman" w:cs="Times New Roman"/>
          <w:sz w:val="24"/>
          <w:szCs w:val="24"/>
        </w:rPr>
        <w:t>Lodge</w:t>
      </w:r>
      <w:r w:rsidR="00E776F3" w:rsidRPr="00AE141E">
        <w:rPr>
          <w:rFonts w:ascii="Times New Roman" w:hAnsi="Times New Roman" w:cs="Times New Roman"/>
          <w:sz w:val="24"/>
          <w:szCs w:val="24"/>
        </w:rPr>
        <w:t xml:space="preserve"> has described how her encounters with ‘black history’ across primary and secondar</w:t>
      </w:r>
      <w:r w:rsidR="00364988">
        <w:rPr>
          <w:rFonts w:ascii="Times New Roman" w:hAnsi="Times New Roman" w:cs="Times New Roman"/>
          <w:sz w:val="24"/>
          <w:szCs w:val="24"/>
        </w:rPr>
        <w:t>y</w:t>
      </w:r>
      <w:r w:rsidR="00E776F3" w:rsidRPr="00AE141E">
        <w:rPr>
          <w:rFonts w:ascii="Times New Roman" w:hAnsi="Times New Roman" w:cs="Times New Roman"/>
          <w:sz w:val="24"/>
          <w:szCs w:val="24"/>
        </w:rPr>
        <w:t xml:space="preserve"> education were exclusively ‘</w:t>
      </w:r>
      <w:r w:rsidR="004F3897" w:rsidRPr="00AE141E">
        <w:rPr>
          <w:rFonts w:ascii="Times New Roman" w:hAnsi="Times New Roman" w:cs="Times New Roman"/>
          <w:sz w:val="24"/>
          <w:szCs w:val="24"/>
        </w:rPr>
        <w:t>American-centric</w:t>
      </w:r>
      <w:r w:rsidR="00E776F3" w:rsidRPr="00AE141E">
        <w:rPr>
          <w:rFonts w:ascii="Times New Roman" w:hAnsi="Times New Roman" w:cs="Times New Roman"/>
          <w:sz w:val="24"/>
          <w:szCs w:val="24"/>
        </w:rPr>
        <w:t>’:</w:t>
      </w:r>
      <w:r w:rsidR="004F3897" w:rsidRPr="00AE141E">
        <w:rPr>
          <w:rFonts w:ascii="Times New Roman" w:hAnsi="Times New Roman" w:cs="Times New Roman"/>
          <w:sz w:val="24"/>
          <w:szCs w:val="24"/>
        </w:rPr>
        <w:t xml:space="preserve"> </w:t>
      </w:r>
    </w:p>
    <w:p w14:paraId="262EE248" w14:textId="68C46D4C" w:rsidR="008D2E6F" w:rsidRPr="00AE141E" w:rsidRDefault="004F3897"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With a heavy focus on Rosa Parks, Harriet Tubman’s Underground Railroad and Martin Luther King, Jr, the household names of America’s civil rights movement felt </w:t>
      </w:r>
      <w:r w:rsidRPr="00AE141E">
        <w:rPr>
          <w:rFonts w:ascii="Times New Roman" w:hAnsi="Times New Roman" w:cs="Times New Roman"/>
          <w:sz w:val="24"/>
          <w:szCs w:val="24"/>
        </w:rPr>
        <w:lastRenderedPageBreak/>
        <w:t>important to me, but also a million miles away from my life as a young black girl growing up in north London.</w:t>
      </w:r>
      <w:r w:rsidR="003E5501" w:rsidRPr="00AE141E">
        <w:rPr>
          <w:rStyle w:val="FootnoteReference"/>
          <w:rFonts w:ascii="Times New Roman" w:hAnsi="Times New Roman" w:cs="Times New Roman"/>
          <w:sz w:val="24"/>
          <w:szCs w:val="24"/>
        </w:rPr>
        <w:footnoteReference w:id="624"/>
      </w:r>
    </w:p>
    <w:p w14:paraId="641093D2" w14:textId="6536F202" w:rsidR="005B4EFE" w:rsidRPr="00AE141E" w:rsidRDefault="00CF621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w:t>
      </w:r>
      <w:r w:rsidR="00F8325D" w:rsidRPr="00AE141E">
        <w:rPr>
          <w:rFonts w:ascii="Times New Roman" w:hAnsi="Times New Roman" w:cs="Times New Roman"/>
          <w:sz w:val="24"/>
          <w:szCs w:val="24"/>
        </w:rPr>
        <w:t xml:space="preserve">t is reasonable to </w:t>
      </w:r>
      <w:r w:rsidR="00470FBE" w:rsidRPr="00AE141E">
        <w:rPr>
          <w:rFonts w:ascii="Times New Roman" w:hAnsi="Times New Roman" w:cs="Times New Roman"/>
          <w:sz w:val="24"/>
          <w:szCs w:val="24"/>
        </w:rPr>
        <w:t xml:space="preserve">conjecture that the </w:t>
      </w:r>
      <w:r w:rsidR="003E5501" w:rsidRPr="00AE141E">
        <w:rPr>
          <w:rFonts w:ascii="Times New Roman" w:hAnsi="Times New Roman" w:cs="Times New Roman"/>
          <w:sz w:val="24"/>
          <w:szCs w:val="24"/>
        </w:rPr>
        <w:t>disconnect</w:t>
      </w:r>
      <w:r w:rsidR="00470FBE" w:rsidRPr="00AE141E">
        <w:rPr>
          <w:rFonts w:ascii="Times New Roman" w:hAnsi="Times New Roman" w:cs="Times New Roman"/>
          <w:sz w:val="24"/>
          <w:szCs w:val="24"/>
        </w:rPr>
        <w:t xml:space="preserve"> Eddo-Lodge felt from histories </w:t>
      </w:r>
      <w:r w:rsidRPr="00AE141E">
        <w:rPr>
          <w:rFonts w:ascii="Times New Roman" w:hAnsi="Times New Roman" w:cs="Times New Roman"/>
          <w:sz w:val="24"/>
          <w:szCs w:val="24"/>
        </w:rPr>
        <w:t xml:space="preserve">of race and resistance </w:t>
      </w:r>
      <w:r w:rsidR="00470FBE" w:rsidRPr="00AE141E">
        <w:rPr>
          <w:rFonts w:ascii="Times New Roman" w:hAnsi="Times New Roman" w:cs="Times New Roman"/>
          <w:sz w:val="24"/>
          <w:szCs w:val="24"/>
        </w:rPr>
        <w:t>was</w:t>
      </w:r>
      <w:r w:rsidRPr="00AE141E">
        <w:rPr>
          <w:rFonts w:ascii="Times New Roman" w:hAnsi="Times New Roman" w:cs="Times New Roman"/>
          <w:sz w:val="24"/>
          <w:szCs w:val="24"/>
        </w:rPr>
        <w:t xml:space="preserve"> an</w:t>
      </w:r>
      <w:r w:rsidR="00630579" w:rsidRPr="00AE141E">
        <w:rPr>
          <w:rFonts w:ascii="Times New Roman" w:hAnsi="Times New Roman" w:cs="Times New Roman"/>
          <w:sz w:val="24"/>
          <w:szCs w:val="24"/>
        </w:rPr>
        <w:t xml:space="preserve"> intended consequence</w:t>
      </w:r>
      <w:r w:rsidRPr="00AE141E">
        <w:rPr>
          <w:rFonts w:ascii="Times New Roman" w:hAnsi="Times New Roman" w:cs="Times New Roman"/>
          <w:sz w:val="24"/>
          <w:szCs w:val="24"/>
        </w:rPr>
        <w:t xml:space="preserve">, not a byproduct, of an ‘American-centric’ curriculum, given the </w:t>
      </w:r>
      <w:r w:rsidR="00B40BBA" w:rsidRPr="00AE141E">
        <w:rPr>
          <w:rFonts w:ascii="Times New Roman" w:hAnsi="Times New Roman" w:cs="Times New Roman"/>
          <w:sz w:val="24"/>
          <w:szCs w:val="24"/>
        </w:rPr>
        <w:t>precedent of</w:t>
      </w:r>
      <w:r w:rsidR="002344E2" w:rsidRPr="00AE141E">
        <w:rPr>
          <w:rFonts w:ascii="Times New Roman" w:hAnsi="Times New Roman" w:cs="Times New Roman"/>
          <w:sz w:val="24"/>
          <w:szCs w:val="24"/>
        </w:rPr>
        <w:t xml:space="preserve"> us</w:t>
      </w:r>
      <w:r w:rsidR="00B40BBA" w:rsidRPr="00AE141E">
        <w:rPr>
          <w:rFonts w:ascii="Times New Roman" w:hAnsi="Times New Roman" w:cs="Times New Roman"/>
          <w:sz w:val="24"/>
          <w:szCs w:val="24"/>
        </w:rPr>
        <w:t>ing</w:t>
      </w:r>
      <w:r w:rsidR="002344E2" w:rsidRPr="00AE141E">
        <w:rPr>
          <w:rFonts w:ascii="Times New Roman" w:hAnsi="Times New Roman" w:cs="Times New Roman"/>
          <w:sz w:val="24"/>
          <w:szCs w:val="24"/>
        </w:rPr>
        <w:t xml:space="preserve"> foreign histories as a </w:t>
      </w:r>
      <w:r w:rsidR="003E5501" w:rsidRPr="00AE141E">
        <w:rPr>
          <w:rFonts w:ascii="Times New Roman" w:hAnsi="Times New Roman" w:cs="Times New Roman"/>
          <w:sz w:val="24"/>
          <w:szCs w:val="24"/>
        </w:rPr>
        <w:t>distancing mechanism.</w:t>
      </w:r>
      <w:r w:rsidR="00D00AAC" w:rsidRPr="00AE141E">
        <w:rPr>
          <w:rFonts w:ascii="Times New Roman" w:hAnsi="Times New Roman" w:cs="Times New Roman"/>
          <w:sz w:val="24"/>
          <w:szCs w:val="24"/>
        </w:rPr>
        <w:t xml:space="preserve"> </w:t>
      </w:r>
      <w:r w:rsidR="009720D1" w:rsidRPr="00AE141E">
        <w:rPr>
          <w:rFonts w:ascii="Times New Roman" w:hAnsi="Times New Roman" w:cs="Times New Roman"/>
          <w:sz w:val="24"/>
          <w:szCs w:val="24"/>
        </w:rPr>
        <w:t xml:space="preserve">As Rothberg </w:t>
      </w:r>
      <w:r w:rsidR="0030062B" w:rsidRPr="00AE141E">
        <w:rPr>
          <w:rFonts w:ascii="Times New Roman" w:hAnsi="Times New Roman" w:cs="Times New Roman"/>
          <w:sz w:val="24"/>
          <w:szCs w:val="24"/>
        </w:rPr>
        <w:t>contends</w:t>
      </w:r>
      <w:r w:rsidR="009720D1" w:rsidRPr="00AE141E">
        <w:rPr>
          <w:rFonts w:ascii="Times New Roman" w:hAnsi="Times New Roman" w:cs="Times New Roman"/>
          <w:sz w:val="24"/>
          <w:szCs w:val="24"/>
        </w:rPr>
        <w:t xml:space="preserve">, </w:t>
      </w:r>
      <w:r w:rsidR="0030062B" w:rsidRPr="00AE141E">
        <w:rPr>
          <w:rFonts w:ascii="Times New Roman" w:hAnsi="Times New Roman" w:cs="Times New Roman"/>
          <w:sz w:val="24"/>
          <w:szCs w:val="24"/>
        </w:rPr>
        <w:t xml:space="preserve">memory is not a zero-sum game, and consciousness of </w:t>
      </w:r>
      <w:r w:rsidR="00F73C08" w:rsidRPr="00AE141E">
        <w:rPr>
          <w:rFonts w:ascii="Times New Roman" w:hAnsi="Times New Roman" w:cs="Times New Roman"/>
          <w:sz w:val="24"/>
          <w:szCs w:val="24"/>
        </w:rPr>
        <w:t xml:space="preserve">US histories in the UK does not </w:t>
      </w:r>
      <w:r w:rsidR="00F73C08" w:rsidRPr="00AE141E">
        <w:rPr>
          <w:rFonts w:ascii="Times New Roman" w:hAnsi="Times New Roman" w:cs="Times New Roman"/>
          <w:i/>
          <w:sz w:val="24"/>
          <w:szCs w:val="24"/>
        </w:rPr>
        <w:t>necessarily</w:t>
      </w:r>
      <w:r w:rsidR="00F73C08" w:rsidRPr="00AE141E">
        <w:rPr>
          <w:rFonts w:ascii="Times New Roman" w:hAnsi="Times New Roman" w:cs="Times New Roman"/>
          <w:sz w:val="24"/>
          <w:szCs w:val="24"/>
        </w:rPr>
        <w:t xml:space="preserve"> preclude understanding of the domestic dimensions</w:t>
      </w:r>
      <w:r w:rsidR="004B090A" w:rsidRPr="00AE141E">
        <w:rPr>
          <w:rFonts w:ascii="Times New Roman" w:hAnsi="Times New Roman" w:cs="Times New Roman"/>
          <w:sz w:val="24"/>
          <w:szCs w:val="24"/>
        </w:rPr>
        <w:t xml:space="preserve"> </w:t>
      </w:r>
      <w:r w:rsidR="00F73C08" w:rsidRPr="00AE141E">
        <w:rPr>
          <w:rFonts w:ascii="Times New Roman" w:hAnsi="Times New Roman" w:cs="Times New Roman"/>
          <w:sz w:val="24"/>
          <w:szCs w:val="24"/>
        </w:rPr>
        <w:t xml:space="preserve">of race. </w:t>
      </w:r>
      <w:r w:rsidR="00E76653" w:rsidRPr="00AE141E">
        <w:rPr>
          <w:rFonts w:ascii="Times New Roman" w:hAnsi="Times New Roman" w:cs="Times New Roman"/>
          <w:sz w:val="24"/>
          <w:szCs w:val="24"/>
        </w:rPr>
        <w:t xml:space="preserve">Yet </w:t>
      </w:r>
      <w:r w:rsidR="004E3F97" w:rsidRPr="00AE141E">
        <w:rPr>
          <w:rFonts w:ascii="Times New Roman" w:hAnsi="Times New Roman" w:cs="Times New Roman"/>
          <w:sz w:val="24"/>
          <w:szCs w:val="24"/>
        </w:rPr>
        <w:t>Webster</w:t>
      </w:r>
      <w:r w:rsidR="00696877" w:rsidRPr="00AE141E">
        <w:rPr>
          <w:rFonts w:ascii="Times New Roman" w:hAnsi="Times New Roman" w:cs="Times New Roman"/>
          <w:sz w:val="24"/>
          <w:szCs w:val="24"/>
        </w:rPr>
        <w:t xml:space="preserve"> </w:t>
      </w:r>
      <w:r w:rsidR="00334157" w:rsidRPr="00AE141E">
        <w:rPr>
          <w:rFonts w:ascii="Times New Roman" w:hAnsi="Times New Roman" w:cs="Times New Roman"/>
          <w:sz w:val="24"/>
          <w:szCs w:val="24"/>
        </w:rPr>
        <w:t>suggests</w:t>
      </w:r>
      <w:r w:rsidR="00696877" w:rsidRPr="00AE141E">
        <w:rPr>
          <w:rFonts w:ascii="Times New Roman" w:hAnsi="Times New Roman" w:cs="Times New Roman"/>
          <w:sz w:val="24"/>
          <w:szCs w:val="24"/>
        </w:rPr>
        <w:t xml:space="preserve"> that </w:t>
      </w:r>
      <w:r w:rsidR="00372640" w:rsidRPr="00AE141E">
        <w:rPr>
          <w:rFonts w:ascii="Times New Roman" w:hAnsi="Times New Roman" w:cs="Times New Roman"/>
          <w:sz w:val="24"/>
          <w:szCs w:val="24"/>
        </w:rPr>
        <w:t>the idea of Britain as</w:t>
      </w:r>
      <w:r w:rsidR="002A60E4" w:rsidRPr="00AE141E">
        <w:rPr>
          <w:rFonts w:ascii="Times New Roman" w:hAnsi="Times New Roman" w:cs="Times New Roman"/>
          <w:sz w:val="24"/>
          <w:szCs w:val="24"/>
        </w:rPr>
        <w:t xml:space="preserve"> a ‘liberal and tolerant</w:t>
      </w:r>
      <w:r w:rsidR="00BF59EB" w:rsidRPr="00AE141E">
        <w:rPr>
          <w:rFonts w:ascii="Times New Roman" w:hAnsi="Times New Roman" w:cs="Times New Roman"/>
          <w:sz w:val="24"/>
          <w:szCs w:val="24"/>
        </w:rPr>
        <w:t>’ society</w:t>
      </w:r>
      <w:r w:rsidR="00E95C6F" w:rsidRPr="00AE141E">
        <w:rPr>
          <w:rFonts w:ascii="Times New Roman" w:hAnsi="Times New Roman" w:cs="Times New Roman"/>
          <w:sz w:val="24"/>
          <w:szCs w:val="24"/>
        </w:rPr>
        <w:t xml:space="preserve"> is </w:t>
      </w:r>
      <w:r w:rsidR="002A2C33" w:rsidRPr="00AE141E">
        <w:rPr>
          <w:rFonts w:ascii="Times New Roman" w:hAnsi="Times New Roman" w:cs="Times New Roman"/>
          <w:sz w:val="24"/>
          <w:szCs w:val="24"/>
        </w:rPr>
        <w:t>an important component of national identity and self-representation on the world stage</w:t>
      </w:r>
      <w:r w:rsidR="000727DE" w:rsidRPr="00AE141E">
        <w:rPr>
          <w:rFonts w:ascii="Times New Roman" w:hAnsi="Times New Roman" w:cs="Times New Roman"/>
          <w:sz w:val="24"/>
          <w:szCs w:val="24"/>
        </w:rPr>
        <w:t>.</w:t>
      </w:r>
      <w:r w:rsidR="00636156" w:rsidRPr="00AE141E">
        <w:rPr>
          <w:rStyle w:val="FootnoteReference"/>
          <w:rFonts w:ascii="Times New Roman" w:hAnsi="Times New Roman" w:cs="Times New Roman"/>
          <w:sz w:val="24"/>
          <w:szCs w:val="24"/>
        </w:rPr>
        <w:footnoteReference w:id="625"/>
      </w:r>
      <w:r w:rsidR="00E76653" w:rsidRPr="00AE141E">
        <w:rPr>
          <w:rFonts w:ascii="Times New Roman" w:hAnsi="Times New Roman" w:cs="Times New Roman"/>
          <w:sz w:val="24"/>
          <w:szCs w:val="24"/>
        </w:rPr>
        <w:t xml:space="preserve"> </w:t>
      </w:r>
      <w:r w:rsidR="00342F1C" w:rsidRPr="00AE141E">
        <w:rPr>
          <w:rFonts w:ascii="Times New Roman" w:hAnsi="Times New Roman" w:cs="Times New Roman"/>
          <w:sz w:val="24"/>
          <w:szCs w:val="24"/>
        </w:rPr>
        <w:t>In the twentieth century it was also reliant upon constructing the nation in opposition to states such as the USA, South Africa, or Nazi Germany</w:t>
      </w:r>
      <w:r w:rsidR="00342F1C">
        <w:rPr>
          <w:rFonts w:ascii="Times New Roman" w:hAnsi="Times New Roman" w:cs="Times New Roman"/>
          <w:sz w:val="24"/>
          <w:szCs w:val="24"/>
        </w:rPr>
        <w:t xml:space="preserve">. </w:t>
      </w:r>
      <w:r w:rsidR="00F9389D" w:rsidRPr="00AE141E">
        <w:rPr>
          <w:rFonts w:ascii="Times New Roman" w:hAnsi="Times New Roman" w:cs="Times New Roman"/>
          <w:sz w:val="24"/>
          <w:szCs w:val="24"/>
        </w:rPr>
        <w:t>T</w:t>
      </w:r>
      <w:r w:rsidR="00E76653" w:rsidRPr="00AE141E">
        <w:rPr>
          <w:rFonts w:ascii="Times New Roman" w:hAnsi="Times New Roman" w:cs="Times New Roman"/>
          <w:sz w:val="24"/>
          <w:szCs w:val="24"/>
        </w:rPr>
        <w:t>here is a</w:t>
      </w:r>
      <w:r w:rsidR="00F9389D" w:rsidRPr="00AE141E">
        <w:rPr>
          <w:rFonts w:ascii="Times New Roman" w:hAnsi="Times New Roman" w:cs="Times New Roman"/>
          <w:sz w:val="24"/>
          <w:szCs w:val="24"/>
        </w:rPr>
        <w:t xml:space="preserve"> clear</w:t>
      </w:r>
      <w:r w:rsidR="00E76653" w:rsidRPr="00AE141E">
        <w:rPr>
          <w:rFonts w:ascii="Times New Roman" w:hAnsi="Times New Roman" w:cs="Times New Roman"/>
          <w:sz w:val="24"/>
          <w:szCs w:val="24"/>
        </w:rPr>
        <w:t xml:space="preserve"> risk that </w:t>
      </w:r>
      <w:r w:rsidR="00F9389D" w:rsidRPr="00AE141E">
        <w:rPr>
          <w:rFonts w:ascii="Times New Roman" w:hAnsi="Times New Roman" w:cs="Times New Roman"/>
          <w:sz w:val="24"/>
          <w:szCs w:val="24"/>
        </w:rPr>
        <w:t>English history curricula</w:t>
      </w:r>
      <w:r w:rsidR="00E76653" w:rsidRPr="00AE141E">
        <w:rPr>
          <w:rFonts w:ascii="Times New Roman" w:hAnsi="Times New Roman" w:cs="Times New Roman"/>
          <w:sz w:val="24"/>
          <w:szCs w:val="24"/>
        </w:rPr>
        <w:t xml:space="preserve"> </w:t>
      </w:r>
      <w:r w:rsidR="0075416A" w:rsidRPr="00AE141E">
        <w:rPr>
          <w:rFonts w:ascii="Times New Roman" w:hAnsi="Times New Roman" w:cs="Times New Roman"/>
          <w:sz w:val="24"/>
          <w:szCs w:val="24"/>
        </w:rPr>
        <w:t>construct</w:t>
      </w:r>
      <w:r w:rsidR="00E76653" w:rsidRPr="00AE141E">
        <w:rPr>
          <w:rFonts w:ascii="Times New Roman" w:hAnsi="Times New Roman" w:cs="Times New Roman"/>
          <w:sz w:val="24"/>
          <w:szCs w:val="24"/>
        </w:rPr>
        <w:t xml:space="preserve"> racism </w:t>
      </w:r>
      <w:r w:rsidR="0075416A" w:rsidRPr="00AE141E">
        <w:rPr>
          <w:rFonts w:ascii="Times New Roman" w:hAnsi="Times New Roman" w:cs="Times New Roman"/>
          <w:sz w:val="24"/>
          <w:szCs w:val="24"/>
        </w:rPr>
        <w:t>as</w:t>
      </w:r>
      <w:r w:rsidR="00E76653" w:rsidRPr="00AE141E">
        <w:rPr>
          <w:rFonts w:ascii="Times New Roman" w:hAnsi="Times New Roman" w:cs="Times New Roman"/>
          <w:sz w:val="24"/>
          <w:szCs w:val="24"/>
        </w:rPr>
        <w:t xml:space="preserve"> </w:t>
      </w:r>
      <w:r w:rsidR="00C66C32" w:rsidRPr="00AE141E">
        <w:rPr>
          <w:rFonts w:ascii="Times New Roman" w:hAnsi="Times New Roman" w:cs="Times New Roman"/>
          <w:sz w:val="24"/>
          <w:szCs w:val="24"/>
        </w:rPr>
        <w:t xml:space="preserve">a distinctively foreign problem, </w:t>
      </w:r>
      <w:r w:rsidR="00817A7B" w:rsidRPr="00AE141E">
        <w:rPr>
          <w:rFonts w:ascii="Times New Roman" w:hAnsi="Times New Roman" w:cs="Times New Roman"/>
          <w:sz w:val="24"/>
          <w:szCs w:val="24"/>
        </w:rPr>
        <w:t>external to the national body politic</w:t>
      </w:r>
      <w:r w:rsidR="00636156" w:rsidRPr="00AE141E">
        <w:rPr>
          <w:rFonts w:ascii="Times New Roman" w:hAnsi="Times New Roman" w:cs="Times New Roman"/>
          <w:sz w:val="24"/>
          <w:szCs w:val="24"/>
        </w:rPr>
        <w:t>.</w:t>
      </w:r>
      <w:r w:rsidR="00E76653" w:rsidRPr="00AE141E">
        <w:rPr>
          <w:rStyle w:val="FootnoteReference"/>
          <w:rFonts w:ascii="Times New Roman" w:hAnsi="Times New Roman" w:cs="Times New Roman"/>
          <w:sz w:val="24"/>
          <w:szCs w:val="24"/>
        </w:rPr>
        <w:footnoteReference w:id="626"/>
      </w:r>
      <w:r w:rsidR="00636156" w:rsidRPr="00AE141E">
        <w:rPr>
          <w:rFonts w:ascii="Times New Roman" w:hAnsi="Times New Roman" w:cs="Times New Roman"/>
          <w:sz w:val="24"/>
          <w:szCs w:val="24"/>
        </w:rPr>
        <w:t xml:space="preserve"> </w:t>
      </w:r>
      <w:r w:rsidR="00FE4C9A" w:rsidRPr="00AE141E">
        <w:rPr>
          <w:rFonts w:ascii="Times New Roman" w:hAnsi="Times New Roman" w:cs="Times New Roman"/>
          <w:sz w:val="24"/>
          <w:szCs w:val="24"/>
        </w:rPr>
        <w:t>This breeds denialism and a r</w:t>
      </w:r>
      <w:r w:rsidR="0075416A" w:rsidRPr="00AE141E">
        <w:rPr>
          <w:rFonts w:ascii="Times New Roman" w:hAnsi="Times New Roman" w:cs="Times New Roman"/>
          <w:sz w:val="24"/>
          <w:szCs w:val="24"/>
        </w:rPr>
        <w:t>efusal</w:t>
      </w:r>
      <w:r w:rsidR="00817A7B" w:rsidRPr="00AE141E">
        <w:rPr>
          <w:rFonts w:ascii="Times New Roman" w:hAnsi="Times New Roman" w:cs="Times New Roman"/>
          <w:sz w:val="24"/>
          <w:szCs w:val="24"/>
        </w:rPr>
        <w:t xml:space="preserve"> to confront the specificities of English racism, including its imperial heritage.</w:t>
      </w:r>
    </w:p>
    <w:p w14:paraId="19909B6A" w14:textId="1492E38C" w:rsidR="00D17DCD" w:rsidRPr="00AE141E" w:rsidRDefault="00B620EE"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 xml:space="preserve">Racism Awareness Training and the Ends of </w:t>
      </w:r>
      <w:r w:rsidR="00D17DCD" w:rsidRPr="00AE141E">
        <w:rPr>
          <w:rFonts w:ascii="Times New Roman" w:hAnsi="Times New Roman" w:cs="Times New Roman"/>
          <w:b/>
          <w:bCs/>
          <w:sz w:val="24"/>
          <w:szCs w:val="24"/>
        </w:rPr>
        <w:t>Anti-</w:t>
      </w:r>
      <w:r w:rsidR="00B632A4" w:rsidRPr="00AE141E">
        <w:rPr>
          <w:rFonts w:ascii="Times New Roman" w:hAnsi="Times New Roman" w:cs="Times New Roman"/>
          <w:b/>
          <w:bCs/>
          <w:sz w:val="24"/>
          <w:szCs w:val="24"/>
        </w:rPr>
        <w:t>R</w:t>
      </w:r>
      <w:r w:rsidR="00D17DCD" w:rsidRPr="00AE141E">
        <w:rPr>
          <w:rFonts w:ascii="Times New Roman" w:hAnsi="Times New Roman" w:cs="Times New Roman"/>
          <w:b/>
          <w:bCs/>
          <w:sz w:val="24"/>
          <w:szCs w:val="24"/>
        </w:rPr>
        <w:t>acism</w:t>
      </w:r>
    </w:p>
    <w:p w14:paraId="3BA668DD" w14:textId="71F9DDFE" w:rsidR="005A3D5A" w:rsidRPr="00AE141E" w:rsidRDefault="009B489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Human Awareness Training (HAT) emerged in the USA</w:t>
      </w:r>
      <w:r w:rsidR="00184900" w:rsidRPr="00AE141E">
        <w:rPr>
          <w:rFonts w:ascii="Times New Roman" w:hAnsi="Times New Roman" w:cs="Times New Roman"/>
          <w:sz w:val="24"/>
          <w:szCs w:val="24"/>
        </w:rPr>
        <w:t xml:space="preserve"> in the late 1960s</w:t>
      </w:r>
      <w:r w:rsidRPr="00AE141E">
        <w:rPr>
          <w:rFonts w:ascii="Times New Roman" w:hAnsi="Times New Roman" w:cs="Times New Roman"/>
          <w:sz w:val="24"/>
          <w:szCs w:val="24"/>
        </w:rPr>
        <w:t xml:space="preserve">, </w:t>
      </w:r>
      <w:r w:rsidR="00FE32EF" w:rsidRPr="00AE141E">
        <w:rPr>
          <w:rFonts w:ascii="Times New Roman" w:hAnsi="Times New Roman" w:cs="Times New Roman"/>
          <w:sz w:val="24"/>
          <w:szCs w:val="24"/>
        </w:rPr>
        <w:t>in response</w:t>
      </w:r>
      <w:r w:rsidR="00D04BDC" w:rsidRPr="00AE141E">
        <w:rPr>
          <w:rFonts w:ascii="Times New Roman" w:hAnsi="Times New Roman" w:cs="Times New Roman"/>
          <w:sz w:val="24"/>
          <w:szCs w:val="24"/>
        </w:rPr>
        <w:t xml:space="preserve"> to the gathering strength of the </w:t>
      </w:r>
      <w:r w:rsidR="00143D04" w:rsidRPr="00AE141E">
        <w:rPr>
          <w:rFonts w:ascii="Times New Roman" w:hAnsi="Times New Roman" w:cs="Times New Roman"/>
          <w:sz w:val="24"/>
          <w:szCs w:val="24"/>
        </w:rPr>
        <w:t>civil rights and black power</w:t>
      </w:r>
      <w:r w:rsidR="0004565A" w:rsidRPr="00AE141E">
        <w:rPr>
          <w:rFonts w:ascii="Times New Roman" w:hAnsi="Times New Roman" w:cs="Times New Roman"/>
          <w:sz w:val="24"/>
          <w:szCs w:val="24"/>
        </w:rPr>
        <w:t xml:space="preserve"> movements</w:t>
      </w:r>
      <w:r w:rsidR="005D764B" w:rsidRPr="00AE141E">
        <w:rPr>
          <w:rFonts w:ascii="Times New Roman" w:hAnsi="Times New Roman" w:cs="Times New Roman"/>
          <w:sz w:val="24"/>
          <w:szCs w:val="24"/>
        </w:rPr>
        <w:t>.</w:t>
      </w:r>
      <w:r w:rsidR="00483D56">
        <w:rPr>
          <w:rStyle w:val="FootnoteReference"/>
          <w:rFonts w:ascii="Times New Roman" w:hAnsi="Times New Roman" w:cs="Times New Roman"/>
          <w:sz w:val="24"/>
          <w:szCs w:val="24"/>
        </w:rPr>
        <w:footnoteReference w:id="627"/>
      </w:r>
      <w:r w:rsidR="005D764B" w:rsidRPr="00AE141E">
        <w:rPr>
          <w:rFonts w:ascii="Times New Roman" w:hAnsi="Times New Roman" w:cs="Times New Roman"/>
          <w:sz w:val="24"/>
          <w:szCs w:val="24"/>
        </w:rPr>
        <w:t xml:space="preserve"> </w:t>
      </w:r>
      <w:r w:rsidR="00E16E36" w:rsidRPr="00AE141E">
        <w:rPr>
          <w:rFonts w:ascii="Times New Roman" w:hAnsi="Times New Roman" w:cs="Times New Roman"/>
          <w:sz w:val="24"/>
          <w:szCs w:val="24"/>
        </w:rPr>
        <w:t>HAT – which would subsequently</w:t>
      </w:r>
      <w:r w:rsidR="004237E0" w:rsidRPr="00AE141E">
        <w:rPr>
          <w:rFonts w:ascii="Times New Roman" w:hAnsi="Times New Roman" w:cs="Times New Roman"/>
          <w:sz w:val="24"/>
          <w:szCs w:val="24"/>
        </w:rPr>
        <w:t xml:space="preserve"> be</w:t>
      </w:r>
      <w:r w:rsidR="00E16E36" w:rsidRPr="00AE141E">
        <w:rPr>
          <w:rFonts w:ascii="Times New Roman" w:hAnsi="Times New Roman" w:cs="Times New Roman"/>
          <w:sz w:val="24"/>
          <w:szCs w:val="24"/>
        </w:rPr>
        <w:t xml:space="preserve"> renamed Racism </w:t>
      </w:r>
      <w:r w:rsidR="004237E0" w:rsidRPr="00AE141E">
        <w:rPr>
          <w:rFonts w:ascii="Times New Roman" w:hAnsi="Times New Roman" w:cs="Times New Roman"/>
          <w:sz w:val="24"/>
          <w:szCs w:val="24"/>
        </w:rPr>
        <w:t>Awareness</w:t>
      </w:r>
      <w:r w:rsidR="00E16E36" w:rsidRPr="00AE141E">
        <w:rPr>
          <w:rFonts w:ascii="Times New Roman" w:hAnsi="Times New Roman" w:cs="Times New Roman"/>
          <w:sz w:val="24"/>
          <w:szCs w:val="24"/>
        </w:rPr>
        <w:t xml:space="preserve"> Training (RAT) </w:t>
      </w:r>
      <w:r w:rsidR="004237E0" w:rsidRPr="00AE141E">
        <w:rPr>
          <w:rFonts w:ascii="Times New Roman" w:hAnsi="Times New Roman" w:cs="Times New Roman"/>
          <w:sz w:val="24"/>
          <w:szCs w:val="24"/>
        </w:rPr>
        <w:t>–</w:t>
      </w:r>
      <w:r w:rsidR="00E16E36" w:rsidRPr="00AE141E">
        <w:rPr>
          <w:rFonts w:ascii="Times New Roman" w:hAnsi="Times New Roman" w:cs="Times New Roman"/>
          <w:sz w:val="24"/>
          <w:szCs w:val="24"/>
        </w:rPr>
        <w:t xml:space="preserve"> </w:t>
      </w:r>
      <w:r w:rsidR="00BA151C" w:rsidRPr="00AE141E">
        <w:rPr>
          <w:rFonts w:ascii="Times New Roman" w:hAnsi="Times New Roman" w:cs="Times New Roman"/>
          <w:sz w:val="24"/>
          <w:szCs w:val="24"/>
        </w:rPr>
        <w:t>appro</w:t>
      </w:r>
      <w:r w:rsidR="00B846E7" w:rsidRPr="00AE141E">
        <w:rPr>
          <w:rFonts w:ascii="Times New Roman" w:hAnsi="Times New Roman" w:cs="Times New Roman"/>
          <w:sz w:val="24"/>
          <w:szCs w:val="24"/>
        </w:rPr>
        <w:t xml:space="preserve">ached </w:t>
      </w:r>
      <w:r w:rsidR="00D80B12" w:rsidRPr="00AE141E">
        <w:rPr>
          <w:rFonts w:ascii="Times New Roman" w:hAnsi="Times New Roman" w:cs="Times New Roman"/>
          <w:sz w:val="24"/>
          <w:szCs w:val="24"/>
        </w:rPr>
        <w:t xml:space="preserve">racism as </w:t>
      </w:r>
      <w:r w:rsidR="00442D3B" w:rsidRPr="00AE141E">
        <w:rPr>
          <w:rFonts w:ascii="Times New Roman" w:hAnsi="Times New Roman" w:cs="Times New Roman"/>
          <w:sz w:val="24"/>
          <w:szCs w:val="24"/>
        </w:rPr>
        <w:t>broadly interpersonal</w:t>
      </w:r>
      <w:r w:rsidR="001C0642" w:rsidRPr="00AE141E">
        <w:rPr>
          <w:rFonts w:ascii="Times New Roman" w:hAnsi="Times New Roman" w:cs="Times New Roman"/>
          <w:sz w:val="24"/>
          <w:szCs w:val="24"/>
        </w:rPr>
        <w:t xml:space="preserve"> issue, rather than a </w:t>
      </w:r>
      <w:r w:rsidR="00B846E7" w:rsidRPr="00AE141E">
        <w:rPr>
          <w:rFonts w:ascii="Times New Roman" w:hAnsi="Times New Roman" w:cs="Times New Roman"/>
          <w:sz w:val="24"/>
          <w:szCs w:val="24"/>
        </w:rPr>
        <w:t>structural problem.</w:t>
      </w:r>
      <w:r w:rsidR="004A5C21" w:rsidRPr="00AE141E">
        <w:rPr>
          <w:rFonts w:ascii="Times New Roman" w:hAnsi="Times New Roman" w:cs="Times New Roman"/>
          <w:sz w:val="24"/>
          <w:szCs w:val="24"/>
        </w:rPr>
        <w:t xml:space="preserve"> </w:t>
      </w:r>
      <w:r w:rsidR="00286D01" w:rsidRPr="00AE141E">
        <w:rPr>
          <w:rFonts w:ascii="Times New Roman" w:hAnsi="Times New Roman" w:cs="Times New Roman"/>
          <w:sz w:val="24"/>
          <w:szCs w:val="24"/>
        </w:rPr>
        <w:t>It</w:t>
      </w:r>
      <w:r w:rsidR="00A41324" w:rsidRPr="00AE141E">
        <w:rPr>
          <w:rFonts w:ascii="Times New Roman" w:hAnsi="Times New Roman" w:cs="Times New Roman"/>
          <w:sz w:val="24"/>
          <w:szCs w:val="24"/>
        </w:rPr>
        <w:t xml:space="preserve"> located racism in the psychology of </w:t>
      </w:r>
      <w:r w:rsidR="00A41324" w:rsidRPr="00AE141E">
        <w:rPr>
          <w:rFonts w:ascii="Times New Roman" w:hAnsi="Times New Roman" w:cs="Times New Roman"/>
          <w:sz w:val="24"/>
          <w:szCs w:val="24"/>
        </w:rPr>
        <w:lastRenderedPageBreak/>
        <w:t xml:space="preserve">the </w:t>
      </w:r>
      <w:r w:rsidR="009A0EE6" w:rsidRPr="00AE141E">
        <w:rPr>
          <w:rFonts w:ascii="Times New Roman" w:hAnsi="Times New Roman" w:cs="Times New Roman"/>
          <w:sz w:val="24"/>
          <w:szCs w:val="24"/>
        </w:rPr>
        <w:t>individual, informed by history and culture</w:t>
      </w:r>
      <w:r w:rsidR="00DA1313" w:rsidRPr="00AE141E">
        <w:rPr>
          <w:rFonts w:ascii="Times New Roman" w:hAnsi="Times New Roman" w:cs="Times New Roman"/>
          <w:sz w:val="24"/>
          <w:szCs w:val="24"/>
        </w:rPr>
        <w:t xml:space="preserve">: racism, proponents argued, </w:t>
      </w:r>
      <w:r w:rsidR="004E56A9" w:rsidRPr="00AE141E">
        <w:rPr>
          <w:rFonts w:ascii="Times New Roman" w:hAnsi="Times New Roman" w:cs="Times New Roman"/>
          <w:sz w:val="24"/>
          <w:szCs w:val="24"/>
        </w:rPr>
        <w:t>was the inevitable product of ‘prejudice plus power’.</w:t>
      </w:r>
      <w:r w:rsidR="006460C5" w:rsidRPr="00AE141E">
        <w:rPr>
          <w:rFonts w:ascii="Times New Roman" w:hAnsi="Times New Roman" w:cs="Times New Roman"/>
          <w:sz w:val="24"/>
          <w:szCs w:val="24"/>
        </w:rPr>
        <w:t xml:space="preserve"> </w:t>
      </w:r>
      <w:r w:rsidR="00E30F61" w:rsidRPr="00AE141E">
        <w:rPr>
          <w:rFonts w:ascii="Times New Roman" w:hAnsi="Times New Roman" w:cs="Times New Roman"/>
          <w:sz w:val="24"/>
          <w:szCs w:val="24"/>
        </w:rPr>
        <w:t xml:space="preserve">Sivanandan described how </w:t>
      </w:r>
      <w:r w:rsidR="006D7B91" w:rsidRPr="00AE141E">
        <w:rPr>
          <w:rFonts w:ascii="Times New Roman" w:hAnsi="Times New Roman" w:cs="Times New Roman"/>
          <w:sz w:val="24"/>
          <w:szCs w:val="24"/>
        </w:rPr>
        <w:t>‘</w:t>
      </w:r>
      <w:r w:rsidR="00E30F61" w:rsidRPr="00AE141E">
        <w:rPr>
          <w:rFonts w:ascii="Times New Roman" w:hAnsi="Times New Roman" w:cs="Times New Roman"/>
          <w:sz w:val="24"/>
          <w:szCs w:val="24"/>
        </w:rPr>
        <w:t>r</w:t>
      </w:r>
      <w:r w:rsidR="006D7B91" w:rsidRPr="00AE141E">
        <w:rPr>
          <w:rFonts w:ascii="Times New Roman" w:hAnsi="Times New Roman" w:cs="Times New Roman"/>
          <w:sz w:val="24"/>
          <w:szCs w:val="24"/>
        </w:rPr>
        <w:t>enegades from the multicultural faith’</w:t>
      </w:r>
      <w:r w:rsidR="00A865F5" w:rsidRPr="00AE141E">
        <w:rPr>
          <w:rFonts w:ascii="Times New Roman" w:hAnsi="Times New Roman" w:cs="Times New Roman"/>
          <w:sz w:val="24"/>
          <w:szCs w:val="24"/>
        </w:rPr>
        <w:t xml:space="preserve"> formed the vector by which RAT was first introduced in the U</w:t>
      </w:r>
      <w:r w:rsidR="007B5A1D" w:rsidRPr="00AE141E">
        <w:rPr>
          <w:rFonts w:ascii="Times New Roman" w:hAnsi="Times New Roman" w:cs="Times New Roman"/>
          <w:sz w:val="24"/>
          <w:szCs w:val="24"/>
        </w:rPr>
        <w:t>K.</w:t>
      </w:r>
      <w:r w:rsidR="004633BC">
        <w:rPr>
          <w:rStyle w:val="FootnoteReference"/>
          <w:rFonts w:ascii="Times New Roman" w:hAnsi="Times New Roman" w:cs="Times New Roman"/>
          <w:sz w:val="24"/>
          <w:szCs w:val="24"/>
        </w:rPr>
        <w:footnoteReference w:id="628"/>
      </w:r>
      <w:r w:rsidR="007B5A1D" w:rsidRPr="00AE141E">
        <w:rPr>
          <w:rFonts w:ascii="Times New Roman" w:hAnsi="Times New Roman" w:cs="Times New Roman"/>
          <w:sz w:val="24"/>
          <w:szCs w:val="24"/>
        </w:rPr>
        <w:t xml:space="preserve"> In 1978, </w:t>
      </w:r>
      <w:r w:rsidR="00B45E46" w:rsidRPr="00AE141E">
        <w:rPr>
          <w:rFonts w:ascii="Times New Roman" w:hAnsi="Times New Roman" w:cs="Times New Roman"/>
          <w:sz w:val="24"/>
          <w:szCs w:val="24"/>
        </w:rPr>
        <w:t xml:space="preserve">a group of ‘teachers and community workers’ </w:t>
      </w:r>
      <w:r w:rsidR="00FD2E1F" w:rsidRPr="00AE141E">
        <w:rPr>
          <w:rFonts w:ascii="Times New Roman" w:hAnsi="Times New Roman" w:cs="Times New Roman"/>
          <w:sz w:val="24"/>
          <w:szCs w:val="24"/>
        </w:rPr>
        <w:t>founded the Racism Awareness Programme Unit (RAPU)</w:t>
      </w:r>
      <w:r w:rsidR="00F20918" w:rsidRPr="00AE141E">
        <w:rPr>
          <w:rFonts w:ascii="Times New Roman" w:hAnsi="Times New Roman" w:cs="Times New Roman"/>
          <w:sz w:val="24"/>
          <w:szCs w:val="24"/>
        </w:rPr>
        <w:t xml:space="preserve">. This was an outgrowth of their </w:t>
      </w:r>
      <w:r w:rsidR="00733B2E" w:rsidRPr="00AE141E">
        <w:rPr>
          <w:rFonts w:ascii="Times New Roman" w:hAnsi="Times New Roman" w:cs="Times New Roman"/>
          <w:sz w:val="24"/>
          <w:szCs w:val="24"/>
        </w:rPr>
        <w:t>campaign</w:t>
      </w:r>
      <w:r w:rsidR="00B376CA" w:rsidRPr="00AE141E">
        <w:rPr>
          <w:rFonts w:ascii="Times New Roman" w:hAnsi="Times New Roman" w:cs="Times New Roman"/>
          <w:sz w:val="24"/>
          <w:szCs w:val="24"/>
        </w:rPr>
        <w:t xml:space="preserve"> challenging racism in children’s books, which was heavily inflected by </w:t>
      </w:r>
      <w:r w:rsidR="005C244B" w:rsidRPr="00AE141E">
        <w:rPr>
          <w:rFonts w:ascii="Times New Roman" w:hAnsi="Times New Roman" w:cs="Times New Roman"/>
          <w:sz w:val="24"/>
          <w:szCs w:val="24"/>
        </w:rPr>
        <w:t>the</w:t>
      </w:r>
      <w:r w:rsidR="00733B2E" w:rsidRPr="00AE141E">
        <w:rPr>
          <w:rFonts w:ascii="Times New Roman" w:hAnsi="Times New Roman" w:cs="Times New Roman"/>
          <w:sz w:val="24"/>
          <w:szCs w:val="24"/>
        </w:rPr>
        <w:t xml:space="preserve"> work of the</w:t>
      </w:r>
      <w:r w:rsidR="005C244B" w:rsidRPr="00AE141E">
        <w:rPr>
          <w:rFonts w:ascii="Times New Roman" w:hAnsi="Times New Roman" w:cs="Times New Roman"/>
          <w:sz w:val="24"/>
          <w:szCs w:val="24"/>
        </w:rPr>
        <w:t xml:space="preserve"> Council for Interracial Books</w:t>
      </w:r>
      <w:r w:rsidR="00733B2E" w:rsidRPr="00AE141E">
        <w:rPr>
          <w:rFonts w:ascii="Times New Roman" w:hAnsi="Times New Roman" w:cs="Times New Roman"/>
          <w:sz w:val="24"/>
          <w:szCs w:val="24"/>
        </w:rPr>
        <w:t xml:space="preserve"> – a US-based organisation which espoused RAT</w:t>
      </w:r>
      <w:r w:rsidR="00A93056" w:rsidRPr="00AE141E">
        <w:rPr>
          <w:rFonts w:ascii="Times New Roman" w:hAnsi="Times New Roman" w:cs="Times New Roman"/>
          <w:sz w:val="24"/>
          <w:szCs w:val="24"/>
        </w:rPr>
        <w:t>.</w:t>
      </w:r>
      <w:r w:rsidR="0099645B" w:rsidRPr="00AE141E">
        <w:rPr>
          <w:rFonts w:ascii="Times New Roman" w:hAnsi="Times New Roman" w:cs="Times New Roman"/>
          <w:sz w:val="24"/>
          <w:szCs w:val="24"/>
        </w:rPr>
        <w:t xml:space="preserve"> In Sivanandan’s eyes, the campaign’s</w:t>
      </w:r>
      <w:r w:rsidR="00200624" w:rsidRPr="00AE141E">
        <w:rPr>
          <w:rFonts w:ascii="Times New Roman" w:hAnsi="Times New Roman" w:cs="Times New Roman"/>
          <w:sz w:val="24"/>
          <w:szCs w:val="24"/>
        </w:rPr>
        <w:t xml:space="preserve"> preoccupation with racial </w:t>
      </w:r>
      <w:r w:rsidR="00200624" w:rsidRPr="00AE141E">
        <w:rPr>
          <w:rFonts w:ascii="Times New Roman" w:hAnsi="Times New Roman" w:cs="Times New Roman"/>
          <w:i/>
          <w:sz w:val="24"/>
          <w:szCs w:val="24"/>
        </w:rPr>
        <w:t xml:space="preserve">identity </w:t>
      </w:r>
      <w:r w:rsidR="00200624" w:rsidRPr="00AE141E">
        <w:rPr>
          <w:rFonts w:ascii="Times New Roman" w:hAnsi="Times New Roman" w:cs="Times New Roman"/>
          <w:sz w:val="24"/>
          <w:szCs w:val="24"/>
        </w:rPr>
        <w:t xml:space="preserve">(as constructed by </w:t>
      </w:r>
      <w:r w:rsidR="005C6757" w:rsidRPr="00AE141E">
        <w:rPr>
          <w:rFonts w:ascii="Times New Roman" w:hAnsi="Times New Roman" w:cs="Times New Roman"/>
          <w:sz w:val="24"/>
          <w:szCs w:val="24"/>
        </w:rPr>
        <w:t>stereotyped representations in print and visual media</w:t>
      </w:r>
      <w:r w:rsidR="00200624" w:rsidRPr="00AE141E">
        <w:rPr>
          <w:rFonts w:ascii="Times New Roman" w:hAnsi="Times New Roman" w:cs="Times New Roman"/>
          <w:sz w:val="24"/>
          <w:szCs w:val="24"/>
        </w:rPr>
        <w:t>)</w:t>
      </w:r>
      <w:r w:rsidR="005C6757" w:rsidRPr="00AE141E">
        <w:rPr>
          <w:rFonts w:ascii="Times New Roman" w:hAnsi="Times New Roman" w:cs="Times New Roman"/>
          <w:sz w:val="24"/>
          <w:szCs w:val="24"/>
        </w:rPr>
        <w:t xml:space="preserve"> prepared the ground for an approach to anti-racism which </w:t>
      </w:r>
      <w:r w:rsidR="00ED1803" w:rsidRPr="00AE141E">
        <w:rPr>
          <w:rFonts w:ascii="Times New Roman" w:hAnsi="Times New Roman" w:cs="Times New Roman"/>
          <w:sz w:val="24"/>
          <w:szCs w:val="24"/>
        </w:rPr>
        <w:t xml:space="preserve">set </w:t>
      </w:r>
      <w:r w:rsidR="0027605B" w:rsidRPr="00AE141E">
        <w:rPr>
          <w:rFonts w:ascii="Times New Roman" w:hAnsi="Times New Roman" w:cs="Times New Roman"/>
          <w:sz w:val="24"/>
          <w:szCs w:val="24"/>
        </w:rPr>
        <w:t xml:space="preserve">personal </w:t>
      </w:r>
      <w:r w:rsidR="00E37D7F" w:rsidRPr="00AE141E">
        <w:rPr>
          <w:rFonts w:ascii="Times New Roman" w:hAnsi="Times New Roman" w:cs="Times New Roman"/>
          <w:sz w:val="24"/>
          <w:szCs w:val="24"/>
        </w:rPr>
        <w:t>attitudinal</w:t>
      </w:r>
      <w:r w:rsidR="0027605B" w:rsidRPr="00AE141E">
        <w:rPr>
          <w:rFonts w:ascii="Times New Roman" w:hAnsi="Times New Roman" w:cs="Times New Roman"/>
          <w:sz w:val="24"/>
          <w:szCs w:val="24"/>
        </w:rPr>
        <w:t xml:space="preserve"> changes as its goal.</w:t>
      </w:r>
      <w:r w:rsidR="0042210B" w:rsidRPr="00AE141E">
        <w:rPr>
          <w:rFonts w:ascii="Times New Roman" w:hAnsi="Times New Roman" w:cs="Times New Roman"/>
          <w:sz w:val="24"/>
          <w:szCs w:val="24"/>
        </w:rPr>
        <w:t xml:space="preserve"> Read in this light, RAT can be viewed as the logical outgrowth of </w:t>
      </w:r>
      <w:r w:rsidR="00E37D7F" w:rsidRPr="00AE141E">
        <w:rPr>
          <w:rFonts w:ascii="Times New Roman" w:hAnsi="Times New Roman" w:cs="Times New Roman"/>
          <w:sz w:val="24"/>
          <w:szCs w:val="24"/>
        </w:rPr>
        <w:t>the</w:t>
      </w:r>
      <w:r w:rsidR="0042210B" w:rsidRPr="00AE141E">
        <w:rPr>
          <w:rFonts w:ascii="Times New Roman" w:hAnsi="Times New Roman" w:cs="Times New Roman"/>
          <w:sz w:val="24"/>
          <w:szCs w:val="24"/>
        </w:rPr>
        <w:t xml:space="preserve"> </w:t>
      </w:r>
      <w:r w:rsidR="002A0E3E" w:rsidRPr="00AE141E">
        <w:rPr>
          <w:rFonts w:ascii="Times New Roman" w:hAnsi="Times New Roman" w:cs="Times New Roman"/>
          <w:sz w:val="24"/>
          <w:szCs w:val="24"/>
        </w:rPr>
        <w:t>same concepts of</w:t>
      </w:r>
      <w:r w:rsidR="0042210B" w:rsidRPr="00AE141E">
        <w:rPr>
          <w:rFonts w:ascii="Times New Roman" w:hAnsi="Times New Roman" w:cs="Times New Roman"/>
          <w:sz w:val="24"/>
          <w:szCs w:val="24"/>
        </w:rPr>
        <w:t xml:space="preserve"> </w:t>
      </w:r>
      <w:r w:rsidR="00CC6663" w:rsidRPr="00AE141E">
        <w:rPr>
          <w:rFonts w:ascii="Times New Roman" w:hAnsi="Times New Roman" w:cs="Times New Roman"/>
          <w:sz w:val="24"/>
          <w:szCs w:val="24"/>
        </w:rPr>
        <w:t xml:space="preserve">‘self-image’ which </w:t>
      </w:r>
      <w:r w:rsidR="002A0E3E" w:rsidRPr="00AE141E">
        <w:rPr>
          <w:rFonts w:ascii="Times New Roman" w:hAnsi="Times New Roman" w:cs="Times New Roman"/>
          <w:sz w:val="24"/>
          <w:szCs w:val="24"/>
        </w:rPr>
        <w:t>had long structured calls for multicultural education.</w:t>
      </w:r>
    </w:p>
    <w:p w14:paraId="5F886A97" w14:textId="77777777" w:rsidR="00A30539" w:rsidRPr="00AE141E" w:rsidRDefault="00565C0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w:t>
      </w:r>
      <w:r w:rsidR="004B2A65" w:rsidRPr="00AE141E">
        <w:rPr>
          <w:rFonts w:ascii="Times New Roman" w:hAnsi="Times New Roman" w:cs="Times New Roman"/>
          <w:sz w:val="24"/>
          <w:szCs w:val="24"/>
        </w:rPr>
        <w:t xml:space="preserve">he </w:t>
      </w:r>
      <w:r w:rsidR="004F0359" w:rsidRPr="00AE141E">
        <w:rPr>
          <w:rFonts w:ascii="Times New Roman" w:hAnsi="Times New Roman" w:cs="Times New Roman"/>
          <w:sz w:val="24"/>
          <w:szCs w:val="24"/>
        </w:rPr>
        <w:t>Swann</w:t>
      </w:r>
      <w:r w:rsidR="004B2A65" w:rsidRPr="00AE141E">
        <w:rPr>
          <w:rFonts w:ascii="Times New Roman" w:hAnsi="Times New Roman" w:cs="Times New Roman"/>
          <w:sz w:val="24"/>
          <w:szCs w:val="24"/>
        </w:rPr>
        <w:t xml:space="preserve"> and </w:t>
      </w:r>
      <w:r w:rsidR="004F0359" w:rsidRPr="00AE141E">
        <w:rPr>
          <w:rFonts w:ascii="Times New Roman" w:hAnsi="Times New Roman" w:cs="Times New Roman"/>
          <w:sz w:val="24"/>
          <w:szCs w:val="24"/>
        </w:rPr>
        <w:t>Rampton</w:t>
      </w:r>
      <w:r w:rsidR="004B2A65" w:rsidRPr="00AE141E">
        <w:rPr>
          <w:rFonts w:ascii="Times New Roman" w:hAnsi="Times New Roman" w:cs="Times New Roman"/>
          <w:sz w:val="24"/>
          <w:szCs w:val="24"/>
        </w:rPr>
        <w:t xml:space="preserve"> reports espoused a vision of racism which was </w:t>
      </w:r>
      <w:r w:rsidR="0050572B" w:rsidRPr="00AE141E">
        <w:rPr>
          <w:rFonts w:ascii="Times New Roman" w:hAnsi="Times New Roman" w:cs="Times New Roman"/>
          <w:sz w:val="24"/>
          <w:szCs w:val="24"/>
        </w:rPr>
        <w:t xml:space="preserve">bounded by the psychological: </w:t>
      </w:r>
      <w:r w:rsidR="000A0199" w:rsidRPr="00AE141E">
        <w:rPr>
          <w:rFonts w:ascii="Times New Roman" w:hAnsi="Times New Roman" w:cs="Times New Roman"/>
          <w:sz w:val="24"/>
          <w:szCs w:val="24"/>
        </w:rPr>
        <w:t xml:space="preserve">racism, as defined by the </w:t>
      </w:r>
      <w:r w:rsidR="004F0359" w:rsidRPr="00AE141E">
        <w:rPr>
          <w:rFonts w:ascii="Times New Roman" w:hAnsi="Times New Roman" w:cs="Times New Roman"/>
          <w:sz w:val="24"/>
          <w:szCs w:val="24"/>
        </w:rPr>
        <w:t>latter</w:t>
      </w:r>
      <w:r w:rsidR="000A0199" w:rsidRPr="00AE141E">
        <w:rPr>
          <w:rFonts w:ascii="Times New Roman" w:hAnsi="Times New Roman" w:cs="Times New Roman"/>
          <w:sz w:val="24"/>
          <w:szCs w:val="24"/>
        </w:rPr>
        <w:t>, comprised ‘</w:t>
      </w:r>
      <w:r w:rsidR="000A0199" w:rsidRPr="00AE141E">
        <w:rPr>
          <w:rFonts w:ascii="Times New Roman" w:hAnsi="Times New Roman" w:cs="Times New Roman"/>
          <w:i/>
          <w:sz w:val="24"/>
          <w:szCs w:val="24"/>
        </w:rPr>
        <w:t>a set of attitudes and behaviour</w:t>
      </w:r>
      <w:r w:rsidR="000A0199" w:rsidRPr="00AE141E">
        <w:rPr>
          <w:rFonts w:ascii="Times New Roman" w:hAnsi="Times New Roman" w:cs="Times New Roman"/>
          <w:sz w:val="24"/>
          <w:szCs w:val="24"/>
        </w:rPr>
        <w:t xml:space="preserve"> towards people of another race which is based on the belief that races are distinct [emphasis added]’.</w:t>
      </w:r>
      <w:r w:rsidR="004F0359" w:rsidRPr="00AE141E">
        <w:rPr>
          <w:rStyle w:val="FootnoteReference"/>
          <w:rFonts w:ascii="Times New Roman" w:hAnsi="Times New Roman" w:cs="Times New Roman"/>
          <w:sz w:val="24"/>
          <w:szCs w:val="24"/>
        </w:rPr>
        <w:footnoteReference w:id="629"/>
      </w:r>
      <w:r w:rsidR="00865B55" w:rsidRPr="00AE141E">
        <w:rPr>
          <w:rFonts w:ascii="Times New Roman" w:hAnsi="Times New Roman" w:cs="Times New Roman"/>
          <w:sz w:val="24"/>
          <w:szCs w:val="24"/>
        </w:rPr>
        <w:t xml:space="preserve"> </w:t>
      </w:r>
      <w:r w:rsidR="00A55C14" w:rsidRPr="00AE141E">
        <w:rPr>
          <w:rFonts w:ascii="Times New Roman" w:hAnsi="Times New Roman" w:cs="Times New Roman"/>
          <w:sz w:val="24"/>
          <w:szCs w:val="24"/>
        </w:rPr>
        <w:t xml:space="preserve">In the wake of the urban rebellions of </w:t>
      </w:r>
      <w:r w:rsidR="00731771" w:rsidRPr="00AE141E">
        <w:rPr>
          <w:rFonts w:ascii="Times New Roman" w:hAnsi="Times New Roman" w:cs="Times New Roman"/>
          <w:sz w:val="24"/>
          <w:szCs w:val="24"/>
        </w:rPr>
        <w:t>1981</w:t>
      </w:r>
      <w:r w:rsidR="00A55C14" w:rsidRPr="00AE141E">
        <w:rPr>
          <w:rFonts w:ascii="Times New Roman" w:hAnsi="Times New Roman" w:cs="Times New Roman"/>
          <w:sz w:val="24"/>
          <w:szCs w:val="24"/>
        </w:rPr>
        <w:t>, t</w:t>
      </w:r>
      <w:r w:rsidR="00CE0A5D" w:rsidRPr="00AE141E">
        <w:rPr>
          <w:rFonts w:ascii="Times New Roman" w:hAnsi="Times New Roman" w:cs="Times New Roman"/>
          <w:sz w:val="24"/>
          <w:szCs w:val="24"/>
        </w:rPr>
        <w:t>he state</w:t>
      </w:r>
      <w:r w:rsidR="00A30539" w:rsidRPr="00AE141E">
        <w:rPr>
          <w:rFonts w:ascii="Times New Roman" w:hAnsi="Times New Roman" w:cs="Times New Roman"/>
          <w:sz w:val="24"/>
          <w:szCs w:val="24"/>
        </w:rPr>
        <w:t xml:space="preserve"> </w:t>
      </w:r>
      <w:r w:rsidR="00A9047F" w:rsidRPr="00AE141E">
        <w:rPr>
          <w:rFonts w:ascii="Times New Roman" w:hAnsi="Times New Roman" w:cs="Times New Roman"/>
          <w:sz w:val="24"/>
          <w:szCs w:val="24"/>
        </w:rPr>
        <w:t>doubled down on</w:t>
      </w:r>
      <w:r w:rsidR="00CE0A5D" w:rsidRPr="00AE141E">
        <w:rPr>
          <w:rFonts w:ascii="Times New Roman" w:hAnsi="Times New Roman" w:cs="Times New Roman"/>
          <w:sz w:val="24"/>
          <w:szCs w:val="24"/>
        </w:rPr>
        <w:t xml:space="preserve"> the framing of racism as an interpersonal problem.</w:t>
      </w:r>
      <w:r w:rsidR="00D4609B" w:rsidRPr="00AE141E">
        <w:rPr>
          <w:rStyle w:val="FootnoteReference"/>
          <w:rFonts w:ascii="Times New Roman" w:hAnsi="Times New Roman" w:cs="Times New Roman"/>
          <w:sz w:val="24"/>
          <w:szCs w:val="24"/>
        </w:rPr>
        <w:footnoteReference w:id="630"/>
      </w:r>
      <w:r w:rsidR="00CE0A5D" w:rsidRPr="00AE141E">
        <w:rPr>
          <w:rFonts w:ascii="Times New Roman" w:hAnsi="Times New Roman" w:cs="Times New Roman"/>
          <w:sz w:val="24"/>
          <w:szCs w:val="24"/>
        </w:rPr>
        <w:t xml:space="preserve"> </w:t>
      </w:r>
      <w:r w:rsidR="00685A67" w:rsidRPr="00AE141E">
        <w:rPr>
          <w:rFonts w:ascii="Times New Roman" w:hAnsi="Times New Roman" w:cs="Times New Roman"/>
          <w:sz w:val="24"/>
          <w:szCs w:val="24"/>
        </w:rPr>
        <w:t>The Scarman Report</w:t>
      </w:r>
      <w:r w:rsidR="00222DCC" w:rsidRPr="00AE141E">
        <w:rPr>
          <w:rFonts w:ascii="Times New Roman" w:hAnsi="Times New Roman" w:cs="Times New Roman"/>
          <w:sz w:val="24"/>
          <w:szCs w:val="24"/>
        </w:rPr>
        <w:t xml:space="preserve"> – a government inquiry into the </w:t>
      </w:r>
      <w:r w:rsidR="008E7ED9" w:rsidRPr="00AE141E">
        <w:rPr>
          <w:rFonts w:ascii="Times New Roman" w:hAnsi="Times New Roman" w:cs="Times New Roman"/>
          <w:sz w:val="24"/>
          <w:szCs w:val="24"/>
        </w:rPr>
        <w:t>rebellion in Brixton –</w:t>
      </w:r>
      <w:r w:rsidR="00685A67" w:rsidRPr="00AE141E">
        <w:rPr>
          <w:rFonts w:ascii="Times New Roman" w:hAnsi="Times New Roman" w:cs="Times New Roman"/>
          <w:sz w:val="24"/>
          <w:szCs w:val="24"/>
        </w:rPr>
        <w:t xml:space="preserve"> can</w:t>
      </w:r>
      <w:r w:rsidR="008E7ED9" w:rsidRPr="00AE141E">
        <w:rPr>
          <w:rFonts w:ascii="Times New Roman" w:hAnsi="Times New Roman" w:cs="Times New Roman"/>
          <w:sz w:val="24"/>
          <w:szCs w:val="24"/>
        </w:rPr>
        <w:t xml:space="preserve"> </w:t>
      </w:r>
      <w:r w:rsidR="00685A67" w:rsidRPr="00AE141E">
        <w:rPr>
          <w:rFonts w:ascii="Times New Roman" w:hAnsi="Times New Roman" w:cs="Times New Roman"/>
          <w:sz w:val="24"/>
          <w:szCs w:val="24"/>
        </w:rPr>
        <w:t xml:space="preserve">be </w:t>
      </w:r>
      <w:r w:rsidR="00980109" w:rsidRPr="00AE141E">
        <w:rPr>
          <w:rFonts w:ascii="Times New Roman" w:hAnsi="Times New Roman" w:cs="Times New Roman"/>
          <w:sz w:val="24"/>
          <w:szCs w:val="24"/>
        </w:rPr>
        <w:t>read as</w:t>
      </w:r>
      <w:r w:rsidR="00685A67" w:rsidRPr="00AE141E">
        <w:rPr>
          <w:rFonts w:ascii="Times New Roman" w:hAnsi="Times New Roman" w:cs="Times New Roman"/>
          <w:sz w:val="24"/>
          <w:szCs w:val="24"/>
        </w:rPr>
        <w:t xml:space="preserve"> a s</w:t>
      </w:r>
      <w:r w:rsidR="00353E54" w:rsidRPr="00AE141E">
        <w:rPr>
          <w:rFonts w:ascii="Times New Roman" w:hAnsi="Times New Roman" w:cs="Times New Roman"/>
          <w:sz w:val="24"/>
          <w:szCs w:val="24"/>
        </w:rPr>
        <w:t xml:space="preserve">trategic attempt to </w:t>
      </w:r>
      <w:r w:rsidR="00D51199" w:rsidRPr="00AE141E">
        <w:rPr>
          <w:rFonts w:ascii="Times New Roman" w:hAnsi="Times New Roman" w:cs="Times New Roman"/>
          <w:sz w:val="24"/>
          <w:szCs w:val="24"/>
        </w:rPr>
        <w:t>‘</w:t>
      </w:r>
      <w:r w:rsidR="00353E54" w:rsidRPr="00AE141E">
        <w:rPr>
          <w:rFonts w:ascii="Times New Roman" w:hAnsi="Times New Roman" w:cs="Times New Roman"/>
          <w:sz w:val="24"/>
          <w:szCs w:val="24"/>
        </w:rPr>
        <w:t>shift the object of anti-racist struggle from the state to the individual, from changing society to changing people</w:t>
      </w:r>
      <w:r w:rsidR="008E7ED9" w:rsidRPr="00AE141E">
        <w:rPr>
          <w:rFonts w:ascii="Times New Roman" w:hAnsi="Times New Roman" w:cs="Times New Roman"/>
          <w:sz w:val="24"/>
          <w:szCs w:val="24"/>
        </w:rPr>
        <w:t>’.</w:t>
      </w:r>
      <w:r w:rsidR="006231D7" w:rsidRPr="00AE141E">
        <w:rPr>
          <w:rStyle w:val="FootnoteReference"/>
          <w:rFonts w:ascii="Times New Roman" w:hAnsi="Times New Roman" w:cs="Times New Roman"/>
          <w:sz w:val="24"/>
          <w:szCs w:val="24"/>
        </w:rPr>
        <w:footnoteReference w:id="631"/>
      </w:r>
      <w:r w:rsidR="0045475B" w:rsidRPr="00AE141E">
        <w:rPr>
          <w:rFonts w:ascii="Times New Roman" w:hAnsi="Times New Roman" w:cs="Times New Roman"/>
          <w:sz w:val="24"/>
          <w:szCs w:val="24"/>
        </w:rPr>
        <w:t xml:space="preserve"> </w:t>
      </w:r>
    </w:p>
    <w:p w14:paraId="7003849C" w14:textId="3195EBEB" w:rsidR="004618E5" w:rsidRPr="00AE141E" w:rsidRDefault="009E013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RAT</w:t>
      </w:r>
      <w:r w:rsidR="001150CF" w:rsidRPr="00AE141E">
        <w:rPr>
          <w:rFonts w:ascii="Times New Roman" w:hAnsi="Times New Roman" w:cs="Times New Roman"/>
          <w:sz w:val="24"/>
          <w:szCs w:val="24"/>
        </w:rPr>
        <w:t xml:space="preserve">’s institutionalisation was emblematic of this strategy. </w:t>
      </w:r>
      <w:r w:rsidR="00BD1DCD" w:rsidRPr="00AE141E">
        <w:rPr>
          <w:rFonts w:ascii="Times New Roman" w:hAnsi="Times New Roman" w:cs="Times New Roman"/>
          <w:sz w:val="24"/>
          <w:szCs w:val="24"/>
        </w:rPr>
        <w:t>Scarma</w:t>
      </w:r>
      <w:r w:rsidR="00C30441" w:rsidRPr="00AE141E">
        <w:rPr>
          <w:rFonts w:ascii="Times New Roman" w:hAnsi="Times New Roman" w:cs="Times New Roman"/>
          <w:sz w:val="24"/>
          <w:szCs w:val="24"/>
        </w:rPr>
        <w:t xml:space="preserve">n </w:t>
      </w:r>
      <w:r w:rsidR="00765650" w:rsidRPr="00AE141E">
        <w:rPr>
          <w:rFonts w:ascii="Times New Roman" w:hAnsi="Times New Roman" w:cs="Times New Roman"/>
          <w:sz w:val="24"/>
          <w:szCs w:val="24"/>
        </w:rPr>
        <w:t>acquitted</w:t>
      </w:r>
      <w:r w:rsidR="00991C5E" w:rsidRPr="00AE141E">
        <w:rPr>
          <w:rFonts w:ascii="Times New Roman" w:hAnsi="Times New Roman" w:cs="Times New Roman"/>
          <w:sz w:val="24"/>
          <w:szCs w:val="24"/>
        </w:rPr>
        <w:t xml:space="preserve"> the police force of accusations that it was intended to </w:t>
      </w:r>
      <w:r w:rsidR="006F3EE4" w:rsidRPr="00AE141E">
        <w:rPr>
          <w:rFonts w:ascii="Times New Roman" w:hAnsi="Times New Roman" w:cs="Times New Roman"/>
          <w:sz w:val="24"/>
          <w:szCs w:val="24"/>
        </w:rPr>
        <w:t>function as</w:t>
      </w:r>
      <w:r w:rsidR="00554794" w:rsidRPr="00AE141E">
        <w:rPr>
          <w:rFonts w:ascii="Times New Roman" w:hAnsi="Times New Roman" w:cs="Times New Roman"/>
          <w:sz w:val="24"/>
          <w:szCs w:val="24"/>
        </w:rPr>
        <w:t xml:space="preserve"> ‘</w:t>
      </w:r>
      <w:r w:rsidR="004618E5" w:rsidRPr="00AE141E">
        <w:rPr>
          <w:rFonts w:ascii="Times New Roman" w:hAnsi="Times New Roman" w:cs="Times New Roman"/>
          <w:sz w:val="24"/>
          <w:szCs w:val="24"/>
        </w:rPr>
        <w:t>the oppressive arm of a racist state</w:t>
      </w:r>
      <w:r w:rsidR="00554794" w:rsidRPr="00AE141E">
        <w:rPr>
          <w:rFonts w:ascii="Times New Roman" w:hAnsi="Times New Roman" w:cs="Times New Roman"/>
          <w:sz w:val="24"/>
          <w:szCs w:val="24"/>
        </w:rPr>
        <w:t>’</w:t>
      </w:r>
      <w:r w:rsidR="00A81B2B" w:rsidRPr="00AE141E">
        <w:rPr>
          <w:rFonts w:ascii="Times New Roman" w:hAnsi="Times New Roman" w:cs="Times New Roman"/>
          <w:sz w:val="24"/>
          <w:szCs w:val="24"/>
        </w:rPr>
        <w:t>, or</w:t>
      </w:r>
      <w:r w:rsidR="0018585A" w:rsidRPr="00AE141E">
        <w:rPr>
          <w:rFonts w:ascii="Times New Roman" w:hAnsi="Times New Roman" w:cs="Times New Roman"/>
          <w:sz w:val="24"/>
          <w:szCs w:val="24"/>
        </w:rPr>
        <w:t xml:space="preserve"> even that racism </w:t>
      </w:r>
      <w:r w:rsidR="0018585A" w:rsidRPr="00AE141E">
        <w:rPr>
          <w:rFonts w:ascii="Times New Roman" w:hAnsi="Times New Roman" w:cs="Times New Roman"/>
          <w:i/>
          <w:sz w:val="24"/>
          <w:szCs w:val="24"/>
        </w:rPr>
        <w:t>within</w:t>
      </w:r>
      <w:r w:rsidR="0018585A" w:rsidRPr="00AE141E">
        <w:rPr>
          <w:rFonts w:ascii="Times New Roman" w:hAnsi="Times New Roman" w:cs="Times New Roman"/>
          <w:sz w:val="24"/>
          <w:szCs w:val="24"/>
        </w:rPr>
        <w:t xml:space="preserve"> the force</w:t>
      </w:r>
      <w:r w:rsidR="00316210" w:rsidRPr="00AE141E">
        <w:rPr>
          <w:rFonts w:ascii="Times New Roman" w:hAnsi="Times New Roman" w:cs="Times New Roman"/>
          <w:sz w:val="24"/>
          <w:szCs w:val="24"/>
        </w:rPr>
        <w:t xml:space="preserve"> played a guiding role in i</w:t>
      </w:r>
      <w:r w:rsidR="009A036F" w:rsidRPr="00AE141E">
        <w:rPr>
          <w:rFonts w:ascii="Times New Roman" w:hAnsi="Times New Roman" w:cs="Times New Roman"/>
          <w:sz w:val="24"/>
          <w:szCs w:val="24"/>
        </w:rPr>
        <w:t>ts actions.</w:t>
      </w:r>
      <w:r w:rsidR="009A036F" w:rsidRPr="00AE141E">
        <w:rPr>
          <w:rStyle w:val="FootnoteReference"/>
          <w:rFonts w:ascii="Times New Roman" w:hAnsi="Times New Roman" w:cs="Times New Roman"/>
          <w:sz w:val="24"/>
          <w:szCs w:val="24"/>
        </w:rPr>
        <w:footnoteReference w:id="632"/>
      </w:r>
      <w:r w:rsidR="00A81B2B" w:rsidRPr="00AE141E">
        <w:rPr>
          <w:rFonts w:ascii="Times New Roman" w:hAnsi="Times New Roman" w:cs="Times New Roman"/>
          <w:sz w:val="24"/>
          <w:szCs w:val="24"/>
        </w:rPr>
        <w:t xml:space="preserve"> </w:t>
      </w:r>
      <w:r w:rsidR="00CD6B91" w:rsidRPr="00AE141E">
        <w:rPr>
          <w:rFonts w:ascii="Times New Roman" w:hAnsi="Times New Roman" w:cs="Times New Roman"/>
          <w:sz w:val="24"/>
          <w:szCs w:val="24"/>
        </w:rPr>
        <w:t xml:space="preserve">Racism was neither </w:t>
      </w:r>
      <w:r w:rsidR="00CD6B91" w:rsidRPr="00AE141E">
        <w:rPr>
          <w:rFonts w:ascii="Times New Roman" w:hAnsi="Times New Roman" w:cs="Times New Roman"/>
          <w:sz w:val="24"/>
          <w:szCs w:val="24"/>
        </w:rPr>
        <w:lastRenderedPageBreak/>
        <w:t>systemati</w:t>
      </w:r>
      <w:r w:rsidR="00527865" w:rsidRPr="00AE141E">
        <w:rPr>
          <w:rFonts w:ascii="Times New Roman" w:hAnsi="Times New Roman" w:cs="Times New Roman"/>
          <w:sz w:val="24"/>
          <w:szCs w:val="24"/>
        </w:rPr>
        <w:t xml:space="preserve">c nor institutional; rather, it was </w:t>
      </w:r>
      <w:r w:rsidR="0080376A" w:rsidRPr="00AE141E">
        <w:rPr>
          <w:rFonts w:ascii="Times New Roman" w:hAnsi="Times New Roman" w:cs="Times New Roman"/>
          <w:sz w:val="24"/>
          <w:szCs w:val="24"/>
        </w:rPr>
        <w:t>occasionally manifested ‘in the behaviour of a few officers on the streets’</w:t>
      </w:r>
      <w:r w:rsidR="00F22D35" w:rsidRPr="00AE141E">
        <w:rPr>
          <w:rFonts w:ascii="Times New Roman" w:hAnsi="Times New Roman" w:cs="Times New Roman"/>
          <w:sz w:val="24"/>
          <w:szCs w:val="24"/>
        </w:rPr>
        <w:t xml:space="preserve">. </w:t>
      </w:r>
      <w:r w:rsidR="00E06E15" w:rsidRPr="00AE141E">
        <w:rPr>
          <w:rFonts w:ascii="Times New Roman" w:hAnsi="Times New Roman" w:cs="Times New Roman"/>
          <w:sz w:val="24"/>
          <w:szCs w:val="24"/>
        </w:rPr>
        <w:t>Even this was explained away as a</w:t>
      </w:r>
      <w:r w:rsidR="004D2A91" w:rsidRPr="00AE141E">
        <w:rPr>
          <w:rFonts w:ascii="Times New Roman" w:hAnsi="Times New Roman" w:cs="Times New Roman"/>
          <w:sz w:val="24"/>
          <w:szCs w:val="24"/>
        </w:rPr>
        <w:t xml:space="preserve">n ‘error of judgement’ which </w:t>
      </w:r>
      <w:r w:rsidR="00546125" w:rsidRPr="00AE141E">
        <w:rPr>
          <w:rFonts w:ascii="Times New Roman" w:hAnsi="Times New Roman" w:cs="Times New Roman"/>
          <w:sz w:val="24"/>
          <w:szCs w:val="24"/>
        </w:rPr>
        <w:t>equated</w:t>
      </w:r>
      <w:r w:rsidR="004D2A91" w:rsidRPr="00AE141E">
        <w:rPr>
          <w:rFonts w:ascii="Times New Roman" w:hAnsi="Times New Roman" w:cs="Times New Roman"/>
          <w:sz w:val="24"/>
          <w:szCs w:val="24"/>
        </w:rPr>
        <w:t xml:space="preserve"> ‘all young black people’ </w:t>
      </w:r>
      <w:r w:rsidR="00546125" w:rsidRPr="00AE141E">
        <w:rPr>
          <w:rFonts w:ascii="Times New Roman" w:hAnsi="Times New Roman" w:cs="Times New Roman"/>
          <w:sz w:val="24"/>
          <w:szCs w:val="24"/>
        </w:rPr>
        <w:t>with criminality in the face of an ‘the inexorably rising tide of street crime’</w:t>
      </w:r>
      <w:r w:rsidR="00A73105" w:rsidRPr="00AE141E">
        <w:rPr>
          <w:rFonts w:ascii="Times New Roman" w:hAnsi="Times New Roman" w:cs="Times New Roman"/>
          <w:sz w:val="24"/>
          <w:szCs w:val="24"/>
        </w:rPr>
        <w:t>.</w:t>
      </w:r>
      <w:r w:rsidR="00B77216" w:rsidRPr="00AE141E">
        <w:rPr>
          <w:rFonts w:ascii="Times New Roman" w:hAnsi="Times New Roman" w:cs="Times New Roman"/>
          <w:sz w:val="24"/>
          <w:szCs w:val="24"/>
        </w:rPr>
        <w:t xml:space="preserve"> As a corrective to these</w:t>
      </w:r>
      <w:r w:rsidR="002A2432" w:rsidRPr="00AE141E">
        <w:rPr>
          <w:rFonts w:ascii="Times New Roman" w:hAnsi="Times New Roman" w:cs="Times New Roman"/>
          <w:sz w:val="24"/>
          <w:szCs w:val="24"/>
        </w:rPr>
        <w:t xml:space="preserve"> prejudices, </w:t>
      </w:r>
      <w:r w:rsidR="00E93766" w:rsidRPr="00AE141E">
        <w:rPr>
          <w:rFonts w:ascii="Times New Roman" w:hAnsi="Times New Roman" w:cs="Times New Roman"/>
          <w:sz w:val="24"/>
          <w:szCs w:val="24"/>
        </w:rPr>
        <w:t xml:space="preserve">Scarman recommended </w:t>
      </w:r>
      <w:r w:rsidR="000E3C6D" w:rsidRPr="00AE141E">
        <w:rPr>
          <w:rFonts w:ascii="Times New Roman" w:hAnsi="Times New Roman" w:cs="Times New Roman"/>
          <w:sz w:val="24"/>
          <w:szCs w:val="24"/>
        </w:rPr>
        <w:t xml:space="preserve">training </w:t>
      </w:r>
      <w:r w:rsidR="00BD3124" w:rsidRPr="00AE141E">
        <w:rPr>
          <w:rFonts w:ascii="Times New Roman" w:hAnsi="Times New Roman" w:cs="Times New Roman"/>
          <w:sz w:val="24"/>
          <w:szCs w:val="24"/>
        </w:rPr>
        <w:t>to promote sensitivity to the needs of a ‘multi-racial society’.</w:t>
      </w:r>
    </w:p>
    <w:p w14:paraId="0C937964" w14:textId="1672A546" w:rsidR="0038722F" w:rsidRPr="00AE141E" w:rsidRDefault="00BB71D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However, </w:t>
      </w:r>
      <w:r w:rsidR="006A74C7" w:rsidRPr="00AE141E">
        <w:rPr>
          <w:rFonts w:ascii="Times New Roman" w:hAnsi="Times New Roman" w:cs="Times New Roman"/>
          <w:sz w:val="24"/>
          <w:szCs w:val="24"/>
        </w:rPr>
        <w:t>the report could not ignore the broader</w:t>
      </w:r>
      <w:r w:rsidRPr="00AE141E">
        <w:rPr>
          <w:rFonts w:ascii="Times New Roman" w:hAnsi="Times New Roman" w:cs="Times New Roman"/>
          <w:sz w:val="24"/>
          <w:szCs w:val="24"/>
        </w:rPr>
        <w:t xml:space="preserve"> </w:t>
      </w:r>
      <w:r w:rsidR="00045620" w:rsidRPr="00AE141E">
        <w:rPr>
          <w:rFonts w:ascii="Times New Roman" w:hAnsi="Times New Roman" w:cs="Times New Roman"/>
          <w:sz w:val="24"/>
          <w:szCs w:val="24"/>
        </w:rPr>
        <w:t xml:space="preserve">marginalisation – economic, social, and political – to which people of colour were subjected. </w:t>
      </w:r>
      <w:r w:rsidR="00E54B53" w:rsidRPr="00AE141E">
        <w:rPr>
          <w:rFonts w:ascii="Times New Roman" w:hAnsi="Times New Roman" w:cs="Times New Roman"/>
          <w:sz w:val="24"/>
          <w:szCs w:val="24"/>
        </w:rPr>
        <w:t xml:space="preserve">In its hurry to exculpate the state, Scarman instead blamed </w:t>
      </w:r>
      <w:r w:rsidR="000B6303" w:rsidRPr="00AE141E">
        <w:rPr>
          <w:rFonts w:ascii="Times New Roman" w:hAnsi="Times New Roman" w:cs="Times New Roman"/>
          <w:sz w:val="24"/>
          <w:szCs w:val="24"/>
        </w:rPr>
        <w:t>the community</w:t>
      </w:r>
      <w:r w:rsidR="00963455" w:rsidRPr="00AE141E">
        <w:rPr>
          <w:rFonts w:ascii="Times New Roman" w:hAnsi="Times New Roman" w:cs="Times New Roman"/>
          <w:sz w:val="24"/>
          <w:szCs w:val="24"/>
        </w:rPr>
        <w:t xml:space="preserve">: </w:t>
      </w:r>
      <w:r w:rsidR="002302F9" w:rsidRPr="00AE141E">
        <w:rPr>
          <w:rFonts w:ascii="Times New Roman" w:hAnsi="Times New Roman" w:cs="Times New Roman"/>
          <w:sz w:val="24"/>
          <w:szCs w:val="24"/>
        </w:rPr>
        <w:t xml:space="preserve">it presented </w:t>
      </w:r>
      <w:r w:rsidR="00963455" w:rsidRPr="00AE141E">
        <w:rPr>
          <w:rFonts w:ascii="Times New Roman" w:hAnsi="Times New Roman" w:cs="Times New Roman"/>
          <w:sz w:val="24"/>
          <w:szCs w:val="24"/>
        </w:rPr>
        <w:t xml:space="preserve">young people of colour, and especially young Black people, </w:t>
      </w:r>
      <w:r w:rsidR="002302F9" w:rsidRPr="00AE141E">
        <w:rPr>
          <w:rFonts w:ascii="Times New Roman" w:hAnsi="Times New Roman" w:cs="Times New Roman"/>
          <w:sz w:val="24"/>
          <w:szCs w:val="24"/>
        </w:rPr>
        <w:t>as</w:t>
      </w:r>
      <w:r w:rsidR="00963455" w:rsidRPr="00AE141E">
        <w:rPr>
          <w:rFonts w:ascii="Times New Roman" w:hAnsi="Times New Roman" w:cs="Times New Roman"/>
          <w:sz w:val="24"/>
          <w:szCs w:val="24"/>
        </w:rPr>
        <w:t xml:space="preserve"> victims of their own cu</w:t>
      </w:r>
      <w:r w:rsidR="00D37759" w:rsidRPr="00AE141E">
        <w:rPr>
          <w:rFonts w:ascii="Times New Roman" w:hAnsi="Times New Roman" w:cs="Times New Roman"/>
          <w:sz w:val="24"/>
          <w:szCs w:val="24"/>
        </w:rPr>
        <w:t>ltural deficiencies</w:t>
      </w:r>
      <w:r w:rsidR="000B6303" w:rsidRPr="00AE141E">
        <w:rPr>
          <w:rFonts w:ascii="Times New Roman" w:hAnsi="Times New Roman" w:cs="Times New Roman"/>
          <w:sz w:val="24"/>
          <w:szCs w:val="24"/>
        </w:rPr>
        <w:t>.</w:t>
      </w:r>
      <w:r w:rsidR="000B6303" w:rsidRPr="00AE141E">
        <w:rPr>
          <w:rStyle w:val="FootnoteReference"/>
          <w:rFonts w:ascii="Times New Roman" w:hAnsi="Times New Roman" w:cs="Times New Roman"/>
          <w:sz w:val="24"/>
          <w:szCs w:val="24"/>
        </w:rPr>
        <w:footnoteReference w:id="633"/>
      </w:r>
      <w:r w:rsidR="009D5608" w:rsidRPr="00AE141E">
        <w:rPr>
          <w:rFonts w:ascii="Times New Roman" w:hAnsi="Times New Roman" w:cs="Times New Roman"/>
          <w:sz w:val="24"/>
          <w:szCs w:val="24"/>
        </w:rPr>
        <w:t xml:space="preserve"> </w:t>
      </w:r>
      <w:r w:rsidR="00A116AE" w:rsidRPr="00AE141E">
        <w:rPr>
          <w:rFonts w:ascii="Times New Roman" w:hAnsi="Times New Roman" w:cs="Times New Roman"/>
          <w:sz w:val="24"/>
          <w:szCs w:val="24"/>
        </w:rPr>
        <w:t xml:space="preserve">Racial </w:t>
      </w:r>
      <w:r w:rsidR="00A116AE" w:rsidRPr="00AE141E">
        <w:rPr>
          <w:rFonts w:ascii="Times New Roman" w:hAnsi="Times New Roman" w:cs="Times New Roman"/>
          <w:i/>
          <w:sz w:val="24"/>
          <w:szCs w:val="24"/>
        </w:rPr>
        <w:t>disadvantage</w:t>
      </w:r>
      <w:r w:rsidR="00A116AE" w:rsidRPr="00AE141E">
        <w:rPr>
          <w:rFonts w:ascii="Times New Roman" w:hAnsi="Times New Roman" w:cs="Times New Roman"/>
          <w:sz w:val="24"/>
          <w:szCs w:val="24"/>
        </w:rPr>
        <w:t>, rather than racial discrimination, was the watchword here.</w:t>
      </w:r>
      <w:r w:rsidR="00A116AE" w:rsidRPr="00AE141E">
        <w:rPr>
          <w:rStyle w:val="FootnoteReference"/>
          <w:rFonts w:ascii="Times New Roman" w:hAnsi="Times New Roman" w:cs="Times New Roman"/>
          <w:sz w:val="24"/>
          <w:szCs w:val="24"/>
        </w:rPr>
        <w:footnoteReference w:id="634"/>
      </w:r>
      <w:r w:rsidR="00254A57" w:rsidRPr="00AE141E">
        <w:rPr>
          <w:rFonts w:ascii="Times New Roman" w:hAnsi="Times New Roman" w:cs="Times New Roman"/>
          <w:sz w:val="24"/>
          <w:szCs w:val="24"/>
        </w:rPr>
        <w:t xml:space="preserve"> </w:t>
      </w:r>
      <w:r w:rsidR="00CE7827" w:rsidRPr="00AE141E">
        <w:rPr>
          <w:rFonts w:ascii="Times New Roman" w:hAnsi="Times New Roman" w:cs="Times New Roman"/>
          <w:sz w:val="24"/>
          <w:szCs w:val="24"/>
        </w:rPr>
        <w:t xml:space="preserve">In terms reminiscent of the Moynihan Report, which </w:t>
      </w:r>
      <w:r w:rsidR="00AB5432" w:rsidRPr="00AE141E">
        <w:rPr>
          <w:rFonts w:ascii="Times New Roman" w:hAnsi="Times New Roman" w:cs="Times New Roman"/>
          <w:sz w:val="24"/>
          <w:szCs w:val="24"/>
        </w:rPr>
        <w:t xml:space="preserve">had attributed Black poverty in the US to </w:t>
      </w:r>
      <w:r w:rsidR="008A5150" w:rsidRPr="00AE141E">
        <w:rPr>
          <w:rFonts w:ascii="Times New Roman" w:hAnsi="Times New Roman" w:cs="Times New Roman"/>
          <w:sz w:val="24"/>
          <w:szCs w:val="24"/>
        </w:rPr>
        <w:t>a higher</w:t>
      </w:r>
      <w:r w:rsidR="00A4533B" w:rsidRPr="00AE141E">
        <w:rPr>
          <w:rFonts w:ascii="Times New Roman" w:hAnsi="Times New Roman" w:cs="Times New Roman"/>
          <w:sz w:val="24"/>
          <w:szCs w:val="24"/>
        </w:rPr>
        <w:t xml:space="preserve"> incidence of single-mother families, Scarman </w:t>
      </w:r>
      <w:r w:rsidR="00A040DA" w:rsidRPr="00AE141E">
        <w:rPr>
          <w:rFonts w:ascii="Times New Roman" w:hAnsi="Times New Roman" w:cs="Times New Roman"/>
          <w:sz w:val="24"/>
          <w:szCs w:val="24"/>
        </w:rPr>
        <w:t>ascribed</w:t>
      </w:r>
      <w:r w:rsidR="000755A6" w:rsidRPr="00AE141E">
        <w:rPr>
          <w:rFonts w:ascii="Times New Roman" w:hAnsi="Times New Roman" w:cs="Times New Roman"/>
          <w:sz w:val="24"/>
          <w:szCs w:val="24"/>
        </w:rPr>
        <w:t xml:space="preserve"> </w:t>
      </w:r>
      <w:r w:rsidR="00A4533B" w:rsidRPr="00AE141E">
        <w:rPr>
          <w:rFonts w:ascii="Times New Roman" w:hAnsi="Times New Roman" w:cs="Times New Roman"/>
          <w:sz w:val="24"/>
          <w:szCs w:val="24"/>
        </w:rPr>
        <w:t xml:space="preserve">deprivation </w:t>
      </w:r>
      <w:r w:rsidR="000755A6" w:rsidRPr="00AE141E">
        <w:rPr>
          <w:rFonts w:ascii="Times New Roman" w:hAnsi="Times New Roman" w:cs="Times New Roman"/>
          <w:sz w:val="24"/>
          <w:szCs w:val="24"/>
        </w:rPr>
        <w:t>to</w:t>
      </w:r>
      <w:r w:rsidR="00F641E4" w:rsidRPr="00AE141E">
        <w:rPr>
          <w:rFonts w:ascii="Times New Roman" w:hAnsi="Times New Roman" w:cs="Times New Roman"/>
          <w:sz w:val="24"/>
          <w:szCs w:val="24"/>
        </w:rPr>
        <w:t xml:space="preserve"> ‘</w:t>
      </w:r>
      <w:r w:rsidR="0038722F" w:rsidRPr="00AE141E">
        <w:rPr>
          <w:rFonts w:ascii="Times New Roman" w:hAnsi="Times New Roman" w:cs="Times New Roman"/>
          <w:sz w:val="24"/>
          <w:szCs w:val="24"/>
        </w:rPr>
        <w:t>lack of close parental support</w:t>
      </w:r>
      <w:r w:rsidR="00F641E4" w:rsidRPr="00AE141E">
        <w:rPr>
          <w:rFonts w:ascii="Times New Roman" w:hAnsi="Times New Roman" w:cs="Times New Roman"/>
          <w:sz w:val="24"/>
          <w:szCs w:val="24"/>
        </w:rPr>
        <w:t>’</w:t>
      </w:r>
      <w:r w:rsidR="0038722F" w:rsidRPr="00AE141E">
        <w:rPr>
          <w:rFonts w:ascii="Times New Roman" w:hAnsi="Times New Roman" w:cs="Times New Roman"/>
          <w:sz w:val="24"/>
          <w:szCs w:val="24"/>
        </w:rPr>
        <w:t xml:space="preserve"> (especially the absence of a father figure</w:t>
      </w:r>
      <w:r w:rsidR="00661804" w:rsidRPr="00AE141E">
        <w:rPr>
          <w:rFonts w:ascii="Times New Roman" w:hAnsi="Times New Roman" w:cs="Times New Roman"/>
          <w:sz w:val="24"/>
          <w:szCs w:val="24"/>
        </w:rPr>
        <w:t>) and the ‘</w:t>
      </w:r>
      <w:r w:rsidR="0038722F" w:rsidRPr="00AE141E">
        <w:rPr>
          <w:rFonts w:ascii="Times New Roman" w:hAnsi="Times New Roman" w:cs="Times New Roman"/>
          <w:sz w:val="24"/>
          <w:szCs w:val="24"/>
        </w:rPr>
        <w:t>failure of black youths to acquire sufficiently early the skills of language and literacy</w:t>
      </w:r>
      <w:r w:rsidR="00661804" w:rsidRPr="00AE141E">
        <w:rPr>
          <w:rFonts w:ascii="Times New Roman" w:hAnsi="Times New Roman" w:cs="Times New Roman"/>
          <w:sz w:val="24"/>
          <w:szCs w:val="24"/>
        </w:rPr>
        <w:t>’</w:t>
      </w:r>
      <w:r w:rsidR="0038722F" w:rsidRPr="00AE141E">
        <w:rPr>
          <w:rFonts w:ascii="Times New Roman" w:hAnsi="Times New Roman" w:cs="Times New Roman"/>
          <w:sz w:val="24"/>
          <w:szCs w:val="24"/>
        </w:rPr>
        <w:t>.</w:t>
      </w:r>
      <w:r w:rsidR="00661804" w:rsidRPr="00AE141E">
        <w:rPr>
          <w:rStyle w:val="FootnoteReference"/>
          <w:rFonts w:ascii="Times New Roman" w:hAnsi="Times New Roman" w:cs="Times New Roman"/>
          <w:sz w:val="24"/>
          <w:szCs w:val="24"/>
        </w:rPr>
        <w:footnoteReference w:id="635"/>
      </w:r>
      <w:r w:rsidR="008C511D" w:rsidRPr="00AE141E">
        <w:rPr>
          <w:rFonts w:ascii="Times New Roman" w:hAnsi="Times New Roman" w:cs="Times New Roman"/>
          <w:sz w:val="24"/>
          <w:szCs w:val="24"/>
        </w:rPr>
        <w:t xml:space="preserve"> A section notionally devoted to discrimination in the job market was prefaced by a list of other factors </w:t>
      </w:r>
      <w:r w:rsidR="006D6B91" w:rsidRPr="00AE141E">
        <w:rPr>
          <w:rFonts w:ascii="Times New Roman" w:hAnsi="Times New Roman" w:cs="Times New Roman"/>
          <w:sz w:val="24"/>
          <w:szCs w:val="24"/>
        </w:rPr>
        <w:t xml:space="preserve">which were believed to </w:t>
      </w:r>
      <w:r w:rsidR="00B303D7" w:rsidRPr="00AE141E">
        <w:rPr>
          <w:rFonts w:ascii="Times New Roman" w:hAnsi="Times New Roman" w:cs="Times New Roman"/>
          <w:sz w:val="24"/>
          <w:szCs w:val="24"/>
        </w:rPr>
        <w:t>contribute t</w:t>
      </w:r>
      <w:r w:rsidR="009862E1" w:rsidRPr="00AE141E">
        <w:rPr>
          <w:rFonts w:ascii="Times New Roman" w:hAnsi="Times New Roman" w:cs="Times New Roman"/>
          <w:sz w:val="24"/>
          <w:szCs w:val="24"/>
        </w:rPr>
        <w:t>o high unemployment in communities of colour</w:t>
      </w:r>
      <w:r w:rsidR="00D7492A" w:rsidRPr="00AE141E">
        <w:rPr>
          <w:rFonts w:ascii="Times New Roman" w:hAnsi="Times New Roman" w:cs="Times New Roman"/>
          <w:sz w:val="24"/>
          <w:szCs w:val="24"/>
        </w:rPr>
        <w:t xml:space="preserve">, including </w:t>
      </w:r>
      <w:r w:rsidR="00B303D7" w:rsidRPr="00AE141E">
        <w:rPr>
          <w:rFonts w:ascii="Times New Roman" w:hAnsi="Times New Roman" w:cs="Times New Roman"/>
          <w:sz w:val="24"/>
          <w:szCs w:val="24"/>
        </w:rPr>
        <w:t>‘</w:t>
      </w:r>
      <w:r w:rsidR="0038722F" w:rsidRPr="00AE141E">
        <w:rPr>
          <w:rFonts w:ascii="Times New Roman" w:hAnsi="Times New Roman" w:cs="Times New Roman"/>
          <w:sz w:val="24"/>
          <w:szCs w:val="24"/>
        </w:rPr>
        <w:t>difficulties arising from unrealistic expectations, bad time-keeping, unwillingness to travel, and trouble with the English language</w:t>
      </w:r>
      <w:r w:rsidR="00B303D7" w:rsidRPr="00AE141E">
        <w:rPr>
          <w:rFonts w:ascii="Times New Roman" w:hAnsi="Times New Roman" w:cs="Times New Roman"/>
          <w:sz w:val="24"/>
          <w:szCs w:val="24"/>
        </w:rPr>
        <w:t>’</w:t>
      </w:r>
      <w:r w:rsidR="00305A88" w:rsidRPr="00AE141E">
        <w:rPr>
          <w:rFonts w:ascii="Times New Roman" w:hAnsi="Times New Roman" w:cs="Times New Roman"/>
          <w:sz w:val="24"/>
          <w:szCs w:val="24"/>
        </w:rPr>
        <w:t>.</w:t>
      </w:r>
      <w:r w:rsidR="00305A88" w:rsidRPr="00AE141E">
        <w:rPr>
          <w:rStyle w:val="FootnoteReference"/>
          <w:rFonts w:ascii="Times New Roman" w:hAnsi="Times New Roman" w:cs="Times New Roman"/>
          <w:sz w:val="24"/>
          <w:szCs w:val="24"/>
        </w:rPr>
        <w:footnoteReference w:id="636"/>
      </w:r>
    </w:p>
    <w:p w14:paraId="2E0F832F" w14:textId="36C40796" w:rsidR="00D85D4E" w:rsidRPr="00AE141E" w:rsidRDefault="00BD1F7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Scarm</w:t>
      </w:r>
      <w:r w:rsidR="005D0191" w:rsidRPr="00AE141E">
        <w:rPr>
          <w:rFonts w:ascii="Times New Roman" w:hAnsi="Times New Roman" w:cs="Times New Roman"/>
          <w:sz w:val="24"/>
          <w:szCs w:val="24"/>
        </w:rPr>
        <w:t>an repor</w:t>
      </w:r>
      <w:r w:rsidR="001938BC" w:rsidRPr="00AE141E">
        <w:rPr>
          <w:rFonts w:ascii="Times New Roman" w:hAnsi="Times New Roman" w:cs="Times New Roman"/>
          <w:sz w:val="24"/>
          <w:szCs w:val="24"/>
        </w:rPr>
        <w:t xml:space="preserve">t marked a reorientation in government policy which would </w:t>
      </w:r>
      <w:r w:rsidR="00390686" w:rsidRPr="00AE141E">
        <w:rPr>
          <w:rFonts w:ascii="Times New Roman" w:hAnsi="Times New Roman" w:cs="Times New Roman"/>
          <w:sz w:val="24"/>
          <w:szCs w:val="24"/>
        </w:rPr>
        <w:t>have</w:t>
      </w:r>
      <w:r w:rsidR="001938BC" w:rsidRPr="00AE141E">
        <w:rPr>
          <w:rFonts w:ascii="Times New Roman" w:hAnsi="Times New Roman" w:cs="Times New Roman"/>
          <w:sz w:val="24"/>
          <w:szCs w:val="24"/>
        </w:rPr>
        <w:t xml:space="preserve"> serious </w:t>
      </w:r>
      <w:r w:rsidR="00390686" w:rsidRPr="00AE141E">
        <w:rPr>
          <w:rFonts w:ascii="Times New Roman" w:hAnsi="Times New Roman" w:cs="Times New Roman"/>
          <w:sz w:val="24"/>
          <w:szCs w:val="24"/>
        </w:rPr>
        <w:t>repercussions</w:t>
      </w:r>
      <w:r w:rsidR="001938BC" w:rsidRPr="00AE141E">
        <w:rPr>
          <w:rFonts w:ascii="Times New Roman" w:hAnsi="Times New Roman" w:cs="Times New Roman"/>
          <w:sz w:val="24"/>
          <w:szCs w:val="24"/>
        </w:rPr>
        <w:t xml:space="preserve"> for Britain’s anti-racist movement</w:t>
      </w:r>
      <w:r w:rsidR="00285AB6" w:rsidRPr="00AE141E">
        <w:rPr>
          <w:rFonts w:ascii="Times New Roman" w:hAnsi="Times New Roman" w:cs="Times New Roman"/>
          <w:sz w:val="24"/>
          <w:szCs w:val="24"/>
        </w:rPr>
        <w:t>.</w:t>
      </w:r>
      <w:r w:rsidR="00EF3A68" w:rsidRPr="00AE141E">
        <w:rPr>
          <w:rFonts w:ascii="Times New Roman" w:hAnsi="Times New Roman" w:cs="Times New Roman"/>
          <w:sz w:val="24"/>
          <w:szCs w:val="24"/>
        </w:rPr>
        <w:t xml:space="preserve"> Contemporaries identified the </w:t>
      </w:r>
      <w:r w:rsidR="00CD3ACA" w:rsidRPr="00AE141E">
        <w:rPr>
          <w:rFonts w:ascii="Times New Roman" w:hAnsi="Times New Roman" w:cs="Times New Roman"/>
          <w:sz w:val="24"/>
          <w:szCs w:val="24"/>
        </w:rPr>
        <w:t>inquiry</w:t>
      </w:r>
      <w:r w:rsidR="00EF3A68" w:rsidRPr="00AE141E">
        <w:rPr>
          <w:rFonts w:ascii="Times New Roman" w:hAnsi="Times New Roman" w:cs="Times New Roman"/>
          <w:sz w:val="24"/>
          <w:szCs w:val="24"/>
        </w:rPr>
        <w:t xml:space="preserve"> itself </w:t>
      </w:r>
      <w:r w:rsidR="00046445" w:rsidRPr="00AE141E">
        <w:rPr>
          <w:rFonts w:ascii="Times New Roman" w:hAnsi="Times New Roman" w:cs="Times New Roman"/>
          <w:sz w:val="24"/>
          <w:szCs w:val="24"/>
        </w:rPr>
        <w:t>with</w:t>
      </w:r>
      <w:r w:rsidR="00EF3A68" w:rsidRPr="00AE141E">
        <w:rPr>
          <w:rFonts w:ascii="Times New Roman" w:hAnsi="Times New Roman" w:cs="Times New Roman"/>
          <w:sz w:val="24"/>
          <w:szCs w:val="24"/>
        </w:rPr>
        <w:t xml:space="preserve"> a </w:t>
      </w:r>
      <w:r w:rsidR="001926A0" w:rsidRPr="00AE141E">
        <w:rPr>
          <w:rFonts w:ascii="Times New Roman" w:hAnsi="Times New Roman" w:cs="Times New Roman"/>
          <w:sz w:val="24"/>
          <w:szCs w:val="24"/>
        </w:rPr>
        <w:t>cynical</w:t>
      </w:r>
      <w:r w:rsidR="005C203A" w:rsidRPr="00AE141E">
        <w:rPr>
          <w:rFonts w:ascii="Times New Roman" w:hAnsi="Times New Roman" w:cs="Times New Roman"/>
          <w:sz w:val="24"/>
          <w:szCs w:val="24"/>
        </w:rPr>
        <w:t xml:space="preserve"> attempt to</w:t>
      </w:r>
      <w:r w:rsidR="00EF3A68" w:rsidRPr="00AE141E">
        <w:rPr>
          <w:rFonts w:ascii="Times New Roman" w:hAnsi="Times New Roman" w:cs="Times New Roman"/>
          <w:sz w:val="24"/>
          <w:szCs w:val="24"/>
        </w:rPr>
        <w:t xml:space="preserve"> manufacture consent for </w:t>
      </w:r>
      <w:r w:rsidR="001926A0" w:rsidRPr="00AE141E">
        <w:rPr>
          <w:rFonts w:ascii="Times New Roman" w:hAnsi="Times New Roman" w:cs="Times New Roman"/>
          <w:sz w:val="24"/>
          <w:szCs w:val="24"/>
        </w:rPr>
        <w:t>the state’s chosen</w:t>
      </w:r>
      <w:r w:rsidR="00EF3A68" w:rsidRPr="00AE141E">
        <w:rPr>
          <w:rFonts w:ascii="Times New Roman" w:hAnsi="Times New Roman" w:cs="Times New Roman"/>
          <w:sz w:val="24"/>
          <w:szCs w:val="24"/>
        </w:rPr>
        <w:t xml:space="preserve"> solutions</w:t>
      </w:r>
      <w:r w:rsidR="00700612" w:rsidRPr="00AE141E">
        <w:rPr>
          <w:rFonts w:ascii="Times New Roman" w:hAnsi="Times New Roman" w:cs="Times New Roman"/>
          <w:sz w:val="24"/>
          <w:szCs w:val="24"/>
        </w:rPr>
        <w:t xml:space="preserve"> by means of an </w:t>
      </w:r>
      <w:r w:rsidR="005C203A" w:rsidRPr="00AE141E">
        <w:rPr>
          <w:rFonts w:ascii="Times New Roman" w:hAnsi="Times New Roman" w:cs="Times New Roman"/>
          <w:sz w:val="24"/>
          <w:szCs w:val="24"/>
        </w:rPr>
        <w:t>illusory</w:t>
      </w:r>
      <w:r w:rsidR="00FF18F8" w:rsidRPr="00AE141E">
        <w:rPr>
          <w:rFonts w:ascii="Times New Roman" w:hAnsi="Times New Roman" w:cs="Times New Roman"/>
          <w:sz w:val="24"/>
          <w:szCs w:val="24"/>
        </w:rPr>
        <w:t xml:space="preserve"> process of </w:t>
      </w:r>
      <w:r w:rsidR="005C203A" w:rsidRPr="00AE141E">
        <w:rPr>
          <w:rFonts w:ascii="Times New Roman" w:hAnsi="Times New Roman" w:cs="Times New Roman"/>
          <w:sz w:val="24"/>
          <w:szCs w:val="24"/>
        </w:rPr>
        <w:t xml:space="preserve">consultation. </w:t>
      </w:r>
      <w:r w:rsidR="000E439E" w:rsidRPr="00AE141E">
        <w:rPr>
          <w:rFonts w:ascii="Times New Roman" w:hAnsi="Times New Roman" w:cs="Times New Roman"/>
          <w:sz w:val="24"/>
          <w:szCs w:val="24"/>
        </w:rPr>
        <w:t xml:space="preserve">The Brixton Defence Campaign, </w:t>
      </w:r>
      <w:r w:rsidR="00AE3B6A" w:rsidRPr="00AE141E">
        <w:rPr>
          <w:rFonts w:ascii="Times New Roman" w:hAnsi="Times New Roman" w:cs="Times New Roman"/>
          <w:sz w:val="24"/>
          <w:szCs w:val="24"/>
        </w:rPr>
        <w:t xml:space="preserve">created to support arrestees in the aftermath of the rebellion, </w:t>
      </w:r>
      <w:r w:rsidR="00DC20D8" w:rsidRPr="00AE141E">
        <w:rPr>
          <w:rFonts w:ascii="Times New Roman" w:hAnsi="Times New Roman" w:cs="Times New Roman"/>
          <w:sz w:val="24"/>
          <w:szCs w:val="24"/>
        </w:rPr>
        <w:t>encouraged local people to boycott the inquiry</w:t>
      </w:r>
      <w:r w:rsidR="009E38BB" w:rsidRPr="00AE141E">
        <w:rPr>
          <w:rFonts w:ascii="Times New Roman" w:hAnsi="Times New Roman" w:cs="Times New Roman"/>
          <w:sz w:val="24"/>
          <w:szCs w:val="24"/>
        </w:rPr>
        <w:t xml:space="preserve">, arguing that </w:t>
      </w:r>
      <w:r w:rsidR="00C07C5E" w:rsidRPr="00AE141E">
        <w:rPr>
          <w:rFonts w:ascii="Times New Roman" w:hAnsi="Times New Roman" w:cs="Times New Roman"/>
          <w:sz w:val="24"/>
          <w:szCs w:val="24"/>
        </w:rPr>
        <w:lastRenderedPageBreak/>
        <w:t>the consultative process</w:t>
      </w:r>
      <w:r w:rsidR="00627EA5" w:rsidRPr="00AE141E">
        <w:rPr>
          <w:rFonts w:ascii="Times New Roman" w:hAnsi="Times New Roman" w:cs="Times New Roman"/>
          <w:sz w:val="24"/>
          <w:szCs w:val="24"/>
        </w:rPr>
        <w:t xml:space="preserve"> aimed to co</w:t>
      </w:r>
      <w:r w:rsidR="008C2DA0" w:rsidRPr="00AE141E">
        <w:rPr>
          <w:rFonts w:ascii="Times New Roman" w:hAnsi="Times New Roman" w:cs="Times New Roman"/>
          <w:sz w:val="24"/>
          <w:szCs w:val="24"/>
        </w:rPr>
        <w:t>-</w:t>
      </w:r>
      <w:r w:rsidR="00627EA5" w:rsidRPr="00AE141E">
        <w:rPr>
          <w:rFonts w:ascii="Times New Roman" w:hAnsi="Times New Roman" w:cs="Times New Roman"/>
          <w:sz w:val="24"/>
          <w:szCs w:val="24"/>
        </w:rPr>
        <w:t>opt communities into the logic of state repression.</w:t>
      </w:r>
      <w:r w:rsidR="00717687" w:rsidRPr="00AE141E">
        <w:rPr>
          <w:rStyle w:val="FootnoteReference"/>
          <w:rFonts w:ascii="Times New Roman" w:hAnsi="Times New Roman" w:cs="Times New Roman"/>
          <w:sz w:val="24"/>
          <w:szCs w:val="24"/>
        </w:rPr>
        <w:footnoteReference w:id="637"/>
      </w:r>
      <w:r w:rsidR="00627EA5" w:rsidRPr="00AE141E">
        <w:rPr>
          <w:rFonts w:ascii="Times New Roman" w:hAnsi="Times New Roman" w:cs="Times New Roman"/>
          <w:sz w:val="24"/>
          <w:szCs w:val="24"/>
        </w:rPr>
        <w:t xml:space="preserve"> Similarly, the </w:t>
      </w:r>
      <w:r w:rsidR="00A036DC" w:rsidRPr="00AE141E">
        <w:rPr>
          <w:rFonts w:ascii="Times New Roman" w:hAnsi="Times New Roman" w:cs="Times New Roman"/>
          <w:sz w:val="24"/>
          <w:szCs w:val="24"/>
        </w:rPr>
        <w:t>Moss</w:t>
      </w:r>
      <w:r w:rsidR="008C2DA0" w:rsidRPr="00AE141E">
        <w:rPr>
          <w:rFonts w:ascii="Times New Roman" w:hAnsi="Times New Roman" w:cs="Times New Roman"/>
          <w:sz w:val="24"/>
          <w:szCs w:val="24"/>
        </w:rPr>
        <w:t xml:space="preserve"> </w:t>
      </w:r>
      <w:r w:rsidR="00ED3A36" w:rsidRPr="00AE141E">
        <w:rPr>
          <w:rFonts w:ascii="Times New Roman" w:hAnsi="Times New Roman" w:cs="Times New Roman"/>
          <w:sz w:val="24"/>
          <w:szCs w:val="24"/>
        </w:rPr>
        <w:t xml:space="preserve">Side Defence Committee boycotted the Manchester-based Hytner Inquiry, in the belief that </w:t>
      </w:r>
      <w:r w:rsidR="00DF0BFA" w:rsidRPr="00AE141E">
        <w:rPr>
          <w:rFonts w:ascii="Times New Roman" w:hAnsi="Times New Roman" w:cs="Times New Roman"/>
          <w:sz w:val="24"/>
          <w:szCs w:val="24"/>
        </w:rPr>
        <w:t xml:space="preserve">cosmetic reforms would reconcile the community to a form of state racism which </w:t>
      </w:r>
      <w:r w:rsidR="00717687" w:rsidRPr="00AE141E">
        <w:rPr>
          <w:rFonts w:ascii="Times New Roman" w:hAnsi="Times New Roman" w:cs="Times New Roman"/>
          <w:sz w:val="24"/>
          <w:szCs w:val="24"/>
        </w:rPr>
        <w:t>remained ‘substantially unchanged’.</w:t>
      </w:r>
      <w:r w:rsidR="009653D4" w:rsidRPr="00AE141E">
        <w:rPr>
          <w:rFonts w:ascii="Times New Roman" w:hAnsi="Times New Roman" w:cs="Times New Roman"/>
          <w:sz w:val="24"/>
          <w:szCs w:val="24"/>
        </w:rPr>
        <w:t xml:space="preserve"> </w:t>
      </w:r>
    </w:p>
    <w:p w14:paraId="3888A069" w14:textId="12982A2C" w:rsidR="005D4CD7" w:rsidRPr="00AE141E" w:rsidRDefault="00A442B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RAT’s</w:t>
      </w:r>
      <w:r w:rsidR="005D4CD7" w:rsidRPr="00AE141E">
        <w:rPr>
          <w:rFonts w:ascii="Times New Roman" w:hAnsi="Times New Roman" w:cs="Times New Roman"/>
          <w:sz w:val="24"/>
          <w:szCs w:val="24"/>
        </w:rPr>
        <w:t xml:space="preserve"> atomisation of racism </w:t>
      </w:r>
      <w:r w:rsidR="009D42EB" w:rsidRPr="00AE141E">
        <w:rPr>
          <w:rFonts w:ascii="Times New Roman" w:hAnsi="Times New Roman" w:cs="Times New Roman"/>
          <w:sz w:val="24"/>
          <w:szCs w:val="24"/>
        </w:rPr>
        <w:t xml:space="preserve">aided and abetted the process of </w:t>
      </w:r>
      <w:r w:rsidR="00470584" w:rsidRPr="00AE141E">
        <w:rPr>
          <w:rFonts w:ascii="Times New Roman" w:hAnsi="Times New Roman" w:cs="Times New Roman"/>
          <w:sz w:val="24"/>
          <w:szCs w:val="24"/>
        </w:rPr>
        <w:t>co-optation</w:t>
      </w:r>
      <w:r w:rsidR="00A256C8" w:rsidRPr="00AE141E">
        <w:rPr>
          <w:rFonts w:ascii="Times New Roman" w:hAnsi="Times New Roman" w:cs="Times New Roman"/>
          <w:sz w:val="24"/>
          <w:szCs w:val="24"/>
        </w:rPr>
        <w:t>. A</w:t>
      </w:r>
      <w:r w:rsidR="005D4CD7" w:rsidRPr="00AE141E">
        <w:rPr>
          <w:rFonts w:ascii="Times New Roman" w:hAnsi="Times New Roman" w:cs="Times New Roman"/>
          <w:sz w:val="24"/>
          <w:szCs w:val="24"/>
        </w:rPr>
        <w:t>s Sivanandan put it, ‘the unit of oppression for RAT is the abstract individual’.</w:t>
      </w:r>
      <w:r w:rsidR="005D4CD7" w:rsidRPr="00AE141E">
        <w:rPr>
          <w:rStyle w:val="FootnoteReference"/>
          <w:rFonts w:ascii="Times New Roman" w:hAnsi="Times New Roman" w:cs="Times New Roman"/>
          <w:sz w:val="24"/>
          <w:szCs w:val="24"/>
        </w:rPr>
        <w:footnoteReference w:id="638"/>
      </w:r>
      <w:r w:rsidR="005D4CD7" w:rsidRPr="00AE141E">
        <w:rPr>
          <w:rFonts w:ascii="Times New Roman" w:hAnsi="Times New Roman" w:cs="Times New Roman"/>
          <w:sz w:val="24"/>
          <w:szCs w:val="24"/>
        </w:rPr>
        <w:t xml:space="preserve"> </w:t>
      </w:r>
      <w:r w:rsidR="0073357B" w:rsidRPr="00AE141E">
        <w:rPr>
          <w:rFonts w:ascii="Times New Roman" w:hAnsi="Times New Roman" w:cs="Times New Roman"/>
          <w:sz w:val="24"/>
          <w:szCs w:val="24"/>
        </w:rPr>
        <w:t xml:space="preserve">RAT, and the model of funding to which it was attached, </w:t>
      </w:r>
      <w:r w:rsidR="004B5573" w:rsidRPr="00AE141E">
        <w:rPr>
          <w:rFonts w:ascii="Times New Roman" w:hAnsi="Times New Roman" w:cs="Times New Roman"/>
          <w:sz w:val="24"/>
          <w:szCs w:val="24"/>
        </w:rPr>
        <w:t xml:space="preserve">prioritised the </w:t>
      </w:r>
      <w:r w:rsidR="004B63F9" w:rsidRPr="00AE141E">
        <w:rPr>
          <w:rFonts w:ascii="Times New Roman" w:hAnsi="Times New Roman" w:cs="Times New Roman"/>
          <w:sz w:val="24"/>
          <w:szCs w:val="24"/>
        </w:rPr>
        <w:t xml:space="preserve">individual success story over support for communities. The problem was compounded by </w:t>
      </w:r>
      <w:r w:rsidR="00CF2B42" w:rsidRPr="00AE141E">
        <w:rPr>
          <w:rFonts w:ascii="Times New Roman" w:hAnsi="Times New Roman" w:cs="Times New Roman"/>
          <w:sz w:val="24"/>
          <w:szCs w:val="24"/>
        </w:rPr>
        <w:t>an accompanying ‘ethnicisation’ of politics:</w:t>
      </w:r>
      <w:r w:rsidR="00903772" w:rsidRPr="00AE141E">
        <w:rPr>
          <w:rFonts w:ascii="Times New Roman" w:hAnsi="Times New Roman" w:cs="Times New Roman"/>
          <w:sz w:val="24"/>
          <w:szCs w:val="24"/>
        </w:rPr>
        <w:t xml:space="preserve"> the state identified distinct </w:t>
      </w:r>
      <w:r w:rsidR="00627013" w:rsidRPr="00AE141E">
        <w:rPr>
          <w:rFonts w:ascii="Times New Roman" w:hAnsi="Times New Roman" w:cs="Times New Roman"/>
          <w:sz w:val="24"/>
          <w:szCs w:val="24"/>
        </w:rPr>
        <w:t>‘ethnic’</w:t>
      </w:r>
      <w:r w:rsidR="00AE6A43" w:rsidRPr="00AE141E">
        <w:rPr>
          <w:rFonts w:ascii="Times New Roman" w:hAnsi="Times New Roman" w:cs="Times New Roman"/>
          <w:sz w:val="24"/>
          <w:szCs w:val="24"/>
        </w:rPr>
        <w:t xml:space="preserve"> groups and targeted funding </w:t>
      </w:r>
      <w:r w:rsidR="000078FB" w:rsidRPr="00AE141E">
        <w:rPr>
          <w:rFonts w:ascii="Times New Roman" w:hAnsi="Times New Roman" w:cs="Times New Roman"/>
          <w:sz w:val="24"/>
          <w:szCs w:val="24"/>
        </w:rPr>
        <w:t>accordingly</w:t>
      </w:r>
      <w:r w:rsidR="005D4CD7" w:rsidRPr="00AE141E">
        <w:rPr>
          <w:rFonts w:ascii="Times New Roman" w:hAnsi="Times New Roman" w:cs="Times New Roman"/>
          <w:sz w:val="24"/>
          <w:szCs w:val="24"/>
        </w:rPr>
        <w:t>.</w:t>
      </w:r>
      <w:r w:rsidR="00C23460" w:rsidRPr="00AE141E">
        <w:rPr>
          <w:rFonts w:ascii="Times New Roman" w:hAnsi="Times New Roman" w:cs="Times New Roman"/>
          <w:sz w:val="24"/>
          <w:szCs w:val="24"/>
        </w:rPr>
        <w:t xml:space="preserve"> </w:t>
      </w:r>
      <w:r w:rsidR="000078FB" w:rsidRPr="00AE141E">
        <w:rPr>
          <w:rFonts w:ascii="Times New Roman" w:hAnsi="Times New Roman" w:cs="Times New Roman"/>
          <w:sz w:val="24"/>
          <w:szCs w:val="24"/>
        </w:rPr>
        <w:t>Thus, a</w:t>
      </w:r>
      <w:r w:rsidR="00C23460" w:rsidRPr="00AE141E">
        <w:rPr>
          <w:rFonts w:ascii="Times New Roman" w:hAnsi="Times New Roman" w:cs="Times New Roman"/>
          <w:sz w:val="24"/>
          <w:szCs w:val="24"/>
        </w:rPr>
        <w:t xml:space="preserve">nti-racist groups were encouraged to redirect their efforts from community self-help to </w:t>
      </w:r>
      <w:r w:rsidR="00633A0C" w:rsidRPr="00AE141E">
        <w:rPr>
          <w:rFonts w:ascii="Times New Roman" w:hAnsi="Times New Roman" w:cs="Times New Roman"/>
          <w:sz w:val="24"/>
          <w:szCs w:val="24"/>
        </w:rPr>
        <w:t>state-supported</w:t>
      </w:r>
      <w:r w:rsidR="00C23460" w:rsidRPr="00AE141E">
        <w:rPr>
          <w:rFonts w:ascii="Times New Roman" w:hAnsi="Times New Roman" w:cs="Times New Roman"/>
          <w:sz w:val="24"/>
          <w:szCs w:val="24"/>
        </w:rPr>
        <w:t xml:space="preserve"> </w:t>
      </w:r>
      <w:r w:rsidR="00DB580F" w:rsidRPr="00AE141E">
        <w:rPr>
          <w:rFonts w:ascii="Times New Roman" w:hAnsi="Times New Roman" w:cs="Times New Roman"/>
          <w:sz w:val="24"/>
          <w:szCs w:val="24"/>
        </w:rPr>
        <w:t>self-elevation</w:t>
      </w:r>
      <w:r w:rsidR="00BF7B4E">
        <w:rPr>
          <w:rFonts w:ascii="Times New Roman" w:hAnsi="Times New Roman" w:cs="Times New Roman"/>
          <w:sz w:val="24"/>
          <w:szCs w:val="24"/>
        </w:rPr>
        <w:t xml:space="preserve"> </w:t>
      </w:r>
      <w:r w:rsidR="00DB580F" w:rsidRPr="00AE141E">
        <w:rPr>
          <w:rFonts w:ascii="Times New Roman" w:hAnsi="Times New Roman" w:cs="Times New Roman"/>
          <w:sz w:val="24"/>
          <w:szCs w:val="24"/>
        </w:rPr>
        <w:t xml:space="preserve">and locked into a </w:t>
      </w:r>
      <w:r w:rsidR="00633A0C" w:rsidRPr="00AE141E">
        <w:rPr>
          <w:rFonts w:ascii="Times New Roman" w:hAnsi="Times New Roman" w:cs="Times New Roman"/>
          <w:sz w:val="24"/>
          <w:szCs w:val="24"/>
        </w:rPr>
        <w:t>competitive struggle for resources.</w:t>
      </w:r>
      <w:r w:rsidR="0013491E" w:rsidRPr="00AE141E">
        <w:rPr>
          <w:rStyle w:val="FootnoteReference"/>
          <w:rFonts w:ascii="Times New Roman" w:hAnsi="Times New Roman" w:cs="Times New Roman"/>
          <w:sz w:val="24"/>
          <w:szCs w:val="24"/>
        </w:rPr>
        <w:footnoteReference w:id="639"/>
      </w:r>
      <w:r w:rsidR="00633A0C" w:rsidRPr="00AE141E">
        <w:rPr>
          <w:rFonts w:ascii="Times New Roman" w:hAnsi="Times New Roman" w:cs="Times New Roman"/>
          <w:sz w:val="24"/>
          <w:szCs w:val="24"/>
        </w:rPr>
        <w:t xml:space="preserve"> </w:t>
      </w:r>
      <w:r w:rsidR="00330AA4" w:rsidRPr="00AE141E">
        <w:rPr>
          <w:rFonts w:ascii="Times New Roman" w:hAnsi="Times New Roman" w:cs="Times New Roman"/>
          <w:sz w:val="24"/>
          <w:szCs w:val="24"/>
        </w:rPr>
        <w:t>This had the effect of professionalising and dividing the movement</w:t>
      </w:r>
      <w:r w:rsidR="00FD23B0" w:rsidRPr="00AE141E">
        <w:rPr>
          <w:rFonts w:ascii="Times New Roman" w:hAnsi="Times New Roman" w:cs="Times New Roman"/>
          <w:sz w:val="24"/>
          <w:szCs w:val="24"/>
        </w:rPr>
        <w:t xml:space="preserve"> and contributed to the collapse of </w:t>
      </w:r>
      <w:r w:rsidR="0004399D" w:rsidRPr="00AE141E">
        <w:rPr>
          <w:rFonts w:ascii="Times New Roman" w:hAnsi="Times New Roman" w:cs="Times New Roman"/>
          <w:sz w:val="24"/>
          <w:szCs w:val="24"/>
        </w:rPr>
        <w:t xml:space="preserve">the community-in-struggle symbolised by the </w:t>
      </w:r>
      <w:r w:rsidR="00DA78DC" w:rsidRPr="00AE141E">
        <w:rPr>
          <w:rFonts w:ascii="Times New Roman" w:hAnsi="Times New Roman" w:cs="Times New Roman"/>
          <w:sz w:val="24"/>
          <w:szCs w:val="24"/>
        </w:rPr>
        <w:t>concept of political blackness</w:t>
      </w:r>
      <w:r w:rsidR="005C6733" w:rsidRPr="00AE141E">
        <w:rPr>
          <w:rFonts w:ascii="Times New Roman" w:hAnsi="Times New Roman" w:cs="Times New Roman"/>
          <w:sz w:val="24"/>
          <w:szCs w:val="24"/>
        </w:rPr>
        <w:t>.</w:t>
      </w:r>
      <w:r w:rsidR="005C6733" w:rsidRPr="00AE141E">
        <w:rPr>
          <w:rStyle w:val="FootnoteReference"/>
          <w:rFonts w:ascii="Times New Roman" w:hAnsi="Times New Roman" w:cs="Times New Roman"/>
          <w:sz w:val="24"/>
          <w:szCs w:val="24"/>
        </w:rPr>
        <w:footnoteReference w:id="640"/>
      </w:r>
    </w:p>
    <w:p w14:paraId="2FB5B07F" w14:textId="77777777" w:rsidR="00B64CAC" w:rsidRDefault="005D4CD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RAT was rightly criticised for obscuring the structural nature of racism, but </w:t>
      </w:r>
      <w:r w:rsidR="004E6A11" w:rsidRPr="00AE141E">
        <w:rPr>
          <w:rFonts w:ascii="Times New Roman" w:hAnsi="Times New Roman" w:cs="Times New Roman"/>
          <w:sz w:val="24"/>
          <w:szCs w:val="24"/>
        </w:rPr>
        <w:t>it is easy to overstate</w:t>
      </w:r>
      <w:r w:rsidRPr="00AE141E">
        <w:rPr>
          <w:rFonts w:ascii="Times New Roman" w:hAnsi="Times New Roman" w:cs="Times New Roman"/>
          <w:sz w:val="24"/>
          <w:szCs w:val="24"/>
        </w:rPr>
        <w:t xml:space="preserve"> the extent to which it represented a divergence from previous practice.</w:t>
      </w:r>
      <w:r w:rsidR="00A146EA" w:rsidRPr="00AE141E">
        <w:rPr>
          <w:rFonts w:ascii="Times New Roman" w:hAnsi="Times New Roman" w:cs="Times New Roman"/>
          <w:sz w:val="24"/>
          <w:szCs w:val="24"/>
        </w:rPr>
        <w:t xml:space="preserve"> </w:t>
      </w:r>
      <w:r w:rsidR="004F5BAE" w:rsidRPr="00AE141E">
        <w:rPr>
          <w:rFonts w:ascii="Times New Roman" w:hAnsi="Times New Roman" w:cs="Times New Roman"/>
          <w:sz w:val="24"/>
          <w:szCs w:val="24"/>
        </w:rPr>
        <w:t>Anti-racist education</w:t>
      </w:r>
      <w:r w:rsidRPr="00AE141E">
        <w:rPr>
          <w:rFonts w:ascii="Times New Roman" w:hAnsi="Times New Roman" w:cs="Times New Roman"/>
          <w:sz w:val="24"/>
          <w:szCs w:val="24"/>
        </w:rPr>
        <w:t xml:space="preserve">, </w:t>
      </w:r>
      <w:r w:rsidR="004F5BAE" w:rsidRPr="00AE141E">
        <w:rPr>
          <w:rFonts w:ascii="Times New Roman" w:hAnsi="Times New Roman" w:cs="Times New Roman"/>
          <w:sz w:val="24"/>
          <w:szCs w:val="24"/>
        </w:rPr>
        <w:t xml:space="preserve">like </w:t>
      </w:r>
      <w:r w:rsidR="007F37DC" w:rsidRPr="00AE141E">
        <w:rPr>
          <w:rFonts w:ascii="Times New Roman" w:hAnsi="Times New Roman" w:cs="Times New Roman"/>
          <w:sz w:val="24"/>
          <w:szCs w:val="24"/>
        </w:rPr>
        <w:t>multicultural education</w:t>
      </w:r>
      <w:r w:rsidRPr="00AE141E">
        <w:rPr>
          <w:rFonts w:ascii="Times New Roman" w:hAnsi="Times New Roman" w:cs="Times New Roman"/>
          <w:sz w:val="24"/>
          <w:szCs w:val="24"/>
        </w:rPr>
        <w:t xml:space="preserve">, was always underpinned by a psychological logic: </w:t>
      </w:r>
      <w:r w:rsidR="00A146EA" w:rsidRPr="00AE141E">
        <w:rPr>
          <w:rFonts w:ascii="Times New Roman" w:hAnsi="Times New Roman" w:cs="Times New Roman"/>
          <w:sz w:val="24"/>
          <w:szCs w:val="24"/>
        </w:rPr>
        <w:t>its central purpose was</w:t>
      </w:r>
      <w:r w:rsidRPr="00AE141E">
        <w:rPr>
          <w:rFonts w:ascii="Times New Roman" w:hAnsi="Times New Roman" w:cs="Times New Roman"/>
          <w:sz w:val="24"/>
          <w:szCs w:val="24"/>
        </w:rPr>
        <w:t xml:space="preserve"> to change hearts and minds. At best, </w:t>
      </w:r>
      <w:r w:rsidR="001B6D7A" w:rsidRPr="00AE141E">
        <w:rPr>
          <w:rFonts w:ascii="Times New Roman" w:hAnsi="Times New Roman" w:cs="Times New Roman"/>
          <w:sz w:val="24"/>
          <w:szCs w:val="24"/>
        </w:rPr>
        <w:t>educators</w:t>
      </w:r>
      <w:r w:rsidRPr="00AE141E">
        <w:rPr>
          <w:rFonts w:ascii="Times New Roman" w:hAnsi="Times New Roman" w:cs="Times New Roman"/>
          <w:sz w:val="24"/>
          <w:szCs w:val="24"/>
        </w:rPr>
        <w:t xml:space="preserve"> could hope that young people would be moved to struggle for change at a structural l</w:t>
      </w:r>
      <w:r w:rsidR="00ED3E9B" w:rsidRPr="00AE141E">
        <w:rPr>
          <w:rFonts w:ascii="Times New Roman" w:hAnsi="Times New Roman" w:cs="Times New Roman"/>
          <w:sz w:val="24"/>
          <w:szCs w:val="24"/>
        </w:rPr>
        <w:t>evel.</w:t>
      </w:r>
      <w:r w:rsidR="00647BF6" w:rsidRPr="00AE141E">
        <w:rPr>
          <w:rStyle w:val="FootnoteReference"/>
          <w:rFonts w:ascii="Times New Roman" w:hAnsi="Times New Roman" w:cs="Times New Roman"/>
          <w:sz w:val="24"/>
          <w:szCs w:val="24"/>
        </w:rPr>
        <w:footnoteReference w:id="641"/>
      </w:r>
      <w:r w:rsidR="007F4EEC">
        <w:rPr>
          <w:rFonts w:ascii="Times New Roman" w:hAnsi="Times New Roman" w:cs="Times New Roman"/>
          <w:sz w:val="24"/>
          <w:szCs w:val="24"/>
        </w:rPr>
        <w:t xml:space="preserve"> </w:t>
      </w:r>
      <w:r w:rsidR="00383B5C" w:rsidRPr="00AE141E">
        <w:rPr>
          <w:rFonts w:ascii="Times New Roman" w:hAnsi="Times New Roman" w:cs="Times New Roman"/>
          <w:sz w:val="24"/>
          <w:szCs w:val="24"/>
        </w:rPr>
        <w:t xml:space="preserve">Sivanandan </w:t>
      </w:r>
      <w:r w:rsidR="00D24F86" w:rsidRPr="00AE141E">
        <w:rPr>
          <w:rFonts w:ascii="Times New Roman" w:hAnsi="Times New Roman" w:cs="Times New Roman"/>
          <w:sz w:val="24"/>
          <w:szCs w:val="24"/>
        </w:rPr>
        <w:t>distinguished</w:t>
      </w:r>
      <w:r w:rsidR="00383B5C" w:rsidRPr="00AE141E">
        <w:rPr>
          <w:rFonts w:ascii="Times New Roman" w:hAnsi="Times New Roman" w:cs="Times New Roman"/>
          <w:sz w:val="24"/>
          <w:szCs w:val="24"/>
        </w:rPr>
        <w:t xml:space="preserve"> </w:t>
      </w:r>
      <w:r w:rsidR="00A260B2" w:rsidRPr="00AE141E">
        <w:rPr>
          <w:rFonts w:ascii="Times New Roman" w:hAnsi="Times New Roman" w:cs="Times New Roman"/>
          <w:i/>
          <w:iCs/>
          <w:sz w:val="24"/>
          <w:szCs w:val="24"/>
        </w:rPr>
        <w:t>racialism</w:t>
      </w:r>
      <w:r w:rsidR="00A260B2" w:rsidRPr="00AE141E">
        <w:rPr>
          <w:rFonts w:ascii="Times New Roman" w:hAnsi="Times New Roman" w:cs="Times New Roman"/>
          <w:sz w:val="24"/>
          <w:szCs w:val="24"/>
        </w:rPr>
        <w:t xml:space="preserve"> – the prejudiced attitudes of an </w:t>
      </w:r>
      <w:r w:rsidR="008C379E" w:rsidRPr="00AE141E">
        <w:rPr>
          <w:rFonts w:ascii="Times New Roman" w:hAnsi="Times New Roman" w:cs="Times New Roman"/>
          <w:sz w:val="24"/>
          <w:szCs w:val="24"/>
        </w:rPr>
        <w:t>individual</w:t>
      </w:r>
      <w:r w:rsidR="00A260B2" w:rsidRPr="00AE141E">
        <w:rPr>
          <w:rFonts w:ascii="Times New Roman" w:hAnsi="Times New Roman" w:cs="Times New Roman"/>
          <w:sz w:val="24"/>
          <w:szCs w:val="24"/>
        </w:rPr>
        <w:t xml:space="preserve"> </w:t>
      </w:r>
      <w:r w:rsidR="00A15B2D" w:rsidRPr="00AE141E">
        <w:rPr>
          <w:rFonts w:ascii="Times New Roman" w:hAnsi="Times New Roman" w:cs="Times New Roman"/>
          <w:sz w:val="24"/>
          <w:szCs w:val="24"/>
        </w:rPr>
        <w:t>–</w:t>
      </w:r>
      <w:r w:rsidR="00A260B2" w:rsidRPr="00AE141E">
        <w:rPr>
          <w:rFonts w:ascii="Times New Roman" w:hAnsi="Times New Roman" w:cs="Times New Roman"/>
          <w:sz w:val="24"/>
          <w:szCs w:val="24"/>
        </w:rPr>
        <w:t xml:space="preserve"> from</w:t>
      </w:r>
      <w:r w:rsidR="00A15B2D" w:rsidRPr="00AE141E">
        <w:rPr>
          <w:rFonts w:ascii="Times New Roman" w:hAnsi="Times New Roman" w:cs="Times New Roman"/>
          <w:sz w:val="24"/>
          <w:szCs w:val="24"/>
        </w:rPr>
        <w:t xml:space="preserve"> </w:t>
      </w:r>
      <w:r w:rsidR="00D24F86" w:rsidRPr="00AE141E">
        <w:rPr>
          <w:rFonts w:ascii="Times New Roman" w:hAnsi="Times New Roman" w:cs="Times New Roman"/>
          <w:sz w:val="24"/>
          <w:szCs w:val="24"/>
        </w:rPr>
        <w:t xml:space="preserve">structural </w:t>
      </w:r>
      <w:r w:rsidR="00D24F86" w:rsidRPr="00AE141E">
        <w:rPr>
          <w:rFonts w:ascii="Times New Roman" w:hAnsi="Times New Roman" w:cs="Times New Roman"/>
          <w:i/>
          <w:iCs/>
          <w:sz w:val="24"/>
          <w:szCs w:val="24"/>
        </w:rPr>
        <w:t>racism</w:t>
      </w:r>
      <w:r w:rsidR="00A260B2" w:rsidRPr="00AE141E">
        <w:rPr>
          <w:rFonts w:ascii="Times New Roman" w:hAnsi="Times New Roman" w:cs="Times New Roman"/>
          <w:sz w:val="24"/>
          <w:szCs w:val="24"/>
        </w:rPr>
        <w:t>.</w:t>
      </w:r>
      <w:r w:rsidR="006536BF" w:rsidRPr="00AE141E">
        <w:rPr>
          <w:rFonts w:ascii="Times New Roman" w:hAnsi="Times New Roman" w:cs="Times New Roman"/>
          <w:sz w:val="24"/>
          <w:szCs w:val="24"/>
        </w:rPr>
        <w:t xml:space="preserve"> </w:t>
      </w:r>
      <w:r w:rsidR="00A260B2" w:rsidRPr="00AE141E">
        <w:rPr>
          <w:rFonts w:ascii="Times New Roman" w:hAnsi="Times New Roman" w:cs="Times New Roman"/>
          <w:sz w:val="24"/>
          <w:szCs w:val="24"/>
        </w:rPr>
        <w:t xml:space="preserve">While racialism </w:t>
      </w:r>
      <w:r w:rsidR="006536BF" w:rsidRPr="00AE141E">
        <w:rPr>
          <w:rFonts w:ascii="Times New Roman" w:hAnsi="Times New Roman" w:cs="Times New Roman"/>
          <w:sz w:val="24"/>
          <w:szCs w:val="24"/>
        </w:rPr>
        <w:t>afford</w:t>
      </w:r>
      <w:r w:rsidR="00A260B2" w:rsidRPr="00AE141E">
        <w:rPr>
          <w:rFonts w:ascii="Times New Roman" w:hAnsi="Times New Roman" w:cs="Times New Roman"/>
          <w:sz w:val="24"/>
          <w:szCs w:val="24"/>
        </w:rPr>
        <w:t>ed</w:t>
      </w:r>
      <w:r w:rsidR="006536BF" w:rsidRPr="00AE141E">
        <w:rPr>
          <w:rFonts w:ascii="Times New Roman" w:hAnsi="Times New Roman" w:cs="Times New Roman"/>
          <w:sz w:val="24"/>
          <w:szCs w:val="24"/>
        </w:rPr>
        <w:t xml:space="preserve"> </w:t>
      </w:r>
      <w:r w:rsidR="00A260B2" w:rsidRPr="00AE141E">
        <w:rPr>
          <w:rFonts w:ascii="Times New Roman" w:hAnsi="Times New Roman" w:cs="Times New Roman"/>
          <w:sz w:val="24"/>
          <w:szCs w:val="24"/>
        </w:rPr>
        <w:t>its</w:t>
      </w:r>
      <w:r w:rsidR="006536BF" w:rsidRPr="00AE141E">
        <w:rPr>
          <w:rFonts w:ascii="Times New Roman" w:hAnsi="Times New Roman" w:cs="Times New Roman"/>
          <w:sz w:val="24"/>
          <w:szCs w:val="24"/>
        </w:rPr>
        <w:t xml:space="preserve"> bearer no </w:t>
      </w:r>
      <w:r w:rsidR="004B388F" w:rsidRPr="00AE141E">
        <w:rPr>
          <w:rFonts w:ascii="Times New Roman" w:hAnsi="Times New Roman" w:cs="Times New Roman"/>
          <w:sz w:val="24"/>
          <w:szCs w:val="24"/>
        </w:rPr>
        <w:t>‘</w:t>
      </w:r>
      <w:r w:rsidR="006536BF" w:rsidRPr="00AE141E">
        <w:rPr>
          <w:rFonts w:ascii="Times New Roman" w:hAnsi="Times New Roman" w:cs="Times New Roman"/>
          <w:sz w:val="24"/>
          <w:szCs w:val="24"/>
        </w:rPr>
        <w:t>intrinsic power</w:t>
      </w:r>
      <w:r w:rsidR="004B388F" w:rsidRPr="00AE141E">
        <w:rPr>
          <w:rFonts w:ascii="Times New Roman" w:hAnsi="Times New Roman" w:cs="Times New Roman"/>
          <w:sz w:val="24"/>
          <w:szCs w:val="24"/>
        </w:rPr>
        <w:t>’</w:t>
      </w:r>
      <w:r w:rsidR="00A260B2" w:rsidRPr="00AE141E">
        <w:rPr>
          <w:rFonts w:ascii="Times New Roman" w:hAnsi="Times New Roman" w:cs="Times New Roman"/>
          <w:sz w:val="24"/>
          <w:szCs w:val="24"/>
        </w:rPr>
        <w:t xml:space="preserve">, racism </w:t>
      </w:r>
      <w:r w:rsidR="00A15B2D" w:rsidRPr="00AE141E">
        <w:rPr>
          <w:rFonts w:ascii="Times New Roman" w:hAnsi="Times New Roman" w:cs="Times New Roman"/>
          <w:sz w:val="24"/>
          <w:szCs w:val="24"/>
        </w:rPr>
        <w:t>derived such power from</w:t>
      </w:r>
      <w:r w:rsidR="00A260B2" w:rsidRPr="00AE141E">
        <w:rPr>
          <w:rFonts w:ascii="Times New Roman" w:hAnsi="Times New Roman" w:cs="Times New Roman"/>
          <w:sz w:val="24"/>
          <w:szCs w:val="24"/>
        </w:rPr>
        <w:t xml:space="preserve"> ‘laws, constitutional conventions, judicial precedents, institutional practices – all of which have the imprimatur of the state’</w:t>
      </w:r>
      <w:r w:rsidR="007F4EEC">
        <w:rPr>
          <w:rFonts w:ascii="Times New Roman" w:hAnsi="Times New Roman" w:cs="Times New Roman"/>
          <w:sz w:val="24"/>
          <w:szCs w:val="24"/>
        </w:rPr>
        <w:t>.</w:t>
      </w:r>
      <w:r w:rsidR="00427D1E" w:rsidRPr="00AE141E">
        <w:rPr>
          <w:rStyle w:val="FootnoteReference"/>
          <w:rFonts w:ascii="Times New Roman" w:hAnsi="Times New Roman" w:cs="Times New Roman"/>
          <w:sz w:val="24"/>
          <w:szCs w:val="24"/>
        </w:rPr>
        <w:footnoteReference w:id="642"/>
      </w:r>
      <w:r w:rsidR="006B3979" w:rsidRPr="00AE141E">
        <w:rPr>
          <w:rFonts w:ascii="Times New Roman" w:hAnsi="Times New Roman" w:cs="Times New Roman"/>
          <w:sz w:val="24"/>
          <w:szCs w:val="24"/>
        </w:rPr>
        <w:t xml:space="preserve"> T</w:t>
      </w:r>
      <w:r w:rsidR="00A70886" w:rsidRPr="00AE141E">
        <w:rPr>
          <w:rFonts w:ascii="Times New Roman" w:hAnsi="Times New Roman" w:cs="Times New Roman"/>
          <w:sz w:val="24"/>
          <w:szCs w:val="24"/>
        </w:rPr>
        <w:t>hus, t</w:t>
      </w:r>
      <w:r w:rsidR="006B3979" w:rsidRPr="00AE141E">
        <w:rPr>
          <w:rFonts w:ascii="Times New Roman" w:hAnsi="Times New Roman" w:cs="Times New Roman"/>
          <w:sz w:val="24"/>
          <w:szCs w:val="24"/>
        </w:rPr>
        <w:t>he battle against racism necessarily encompassed a battle against the state.</w:t>
      </w:r>
      <w:r w:rsidR="005E29C4" w:rsidRPr="00AE141E">
        <w:rPr>
          <w:rFonts w:ascii="Times New Roman" w:hAnsi="Times New Roman" w:cs="Times New Roman"/>
          <w:sz w:val="24"/>
          <w:szCs w:val="24"/>
        </w:rPr>
        <w:t xml:space="preserve"> </w:t>
      </w:r>
    </w:p>
    <w:p w14:paraId="0077A914" w14:textId="70871347" w:rsidR="00C21FA8" w:rsidRPr="00AE141E" w:rsidRDefault="005E29C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As this implies, t</w:t>
      </w:r>
      <w:r w:rsidR="005D4CD7" w:rsidRPr="00AE141E">
        <w:rPr>
          <w:rFonts w:ascii="Times New Roman" w:hAnsi="Times New Roman" w:cs="Times New Roman"/>
          <w:sz w:val="24"/>
          <w:szCs w:val="24"/>
        </w:rPr>
        <w:t>ruly structural</w:t>
      </w:r>
      <w:r w:rsidRPr="00AE141E">
        <w:rPr>
          <w:rFonts w:ascii="Times New Roman" w:hAnsi="Times New Roman" w:cs="Times New Roman"/>
          <w:sz w:val="24"/>
          <w:szCs w:val="24"/>
        </w:rPr>
        <w:t xml:space="preserve"> and </w:t>
      </w:r>
      <w:r w:rsidR="005D4CD7" w:rsidRPr="00AE141E">
        <w:rPr>
          <w:rFonts w:ascii="Times New Roman" w:hAnsi="Times New Roman" w:cs="Times New Roman"/>
          <w:sz w:val="24"/>
          <w:szCs w:val="24"/>
        </w:rPr>
        <w:t xml:space="preserve">systematic understandings of racism do not leave room for faith in the reformability of </w:t>
      </w:r>
      <w:r w:rsidR="00A15B2D" w:rsidRPr="00AE141E">
        <w:rPr>
          <w:rFonts w:ascii="Times New Roman" w:hAnsi="Times New Roman" w:cs="Times New Roman"/>
          <w:sz w:val="24"/>
          <w:szCs w:val="24"/>
        </w:rPr>
        <w:t>the state education system</w:t>
      </w:r>
      <w:r w:rsidR="005D4CD7" w:rsidRPr="00AE141E">
        <w:rPr>
          <w:rFonts w:ascii="Times New Roman" w:hAnsi="Times New Roman" w:cs="Times New Roman"/>
          <w:sz w:val="24"/>
          <w:szCs w:val="24"/>
        </w:rPr>
        <w:t xml:space="preserve">. They </w:t>
      </w:r>
      <w:r w:rsidR="00D6757C" w:rsidRPr="00AE141E">
        <w:rPr>
          <w:rFonts w:ascii="Times New Roman" w:hAnsi="Times New Roman" w:cs="Times New Roman"/>
          <w:sz w:val="24"/>
          <w:szCs w:val="24"/>
        </w:rPr>
        <w:t>argue</w:t>
      </w:r>
      <w:r w:rsidR="005D4CD7" w:rsidRPr="00AE141E">
        <w:rPr>
          <w:rFonts w:ascii="Times New Roman" w:hAnsi="Times New Roman" w:cs="Times New Roman"/>
          <w:sz w:val="24"/>
          <w:szCs w:val="24"/>
        </w:rPr>
        <w:t xml:space="preserve"> that the system is </w:t>
      </w:r>
      <w:r w:rsidR="005D4CD7" w:rsidRPr="00AE141E">
        <w:rPr>
          <w:rFonts w:ascii="Times New Roman" w:hAnsi="Times New Roman" w:cs="Times New Roman"/>
          <w:sz w:val="24"/>
          <w:szCs w:val="24"/>
        </w:rPr>
        <w:lastRenderedPageBreak/>
        <w:t xml:space="preserve">working as intended in reproducing racial hierarchy, and </w:t>
      </w:r>
      <w:r w:rsidR="00D6757C" w:rsidRPr="00AE141E">
        <w:rPr>
          <w:rFonts w:ascii="Times New Roman" w:hAnsi="Times New Roman" w:cs="Times New Roman"/>
          <w:sz w:val="24"/>
          <w:szCs w:val="24"/>
        </w:rPr>
        <w:t xml:space="preserve">that </w:t>
      </w:r>
      <w:r w:rsidR="005D4CD7" w:rsidRPr="00AE141E">
        <w:rPr>
          <w:rFonts w:ascii="Times New Roman" w:hAnsi="Times New Roman" w:cs="Times New Roman"/>
          <w:sz w:val="24"/>
          <w:szCs w:val="24"/>
        </w:rPr>
        <w:t>the only solution is to work outside of</w:t>
      </w:r>
      <w:r w:rsidR="00273A83" w:rsidRPr="00AE141E">
        <w:rPr>
          <w:rFonts w:ascii="Times New Roman" w:hAnsi="Times New Roman" w:cs="Times New Roman"/>
          <w:sz w:val="24"/>
          <w:szCs w:val="24"/>
        </w:rPr>
        <w:t xml:space="preserve"> </w:t>
      </w:r>
      <w:r w:rsidR="00686307" w:rsidRPr="00AE141E">
        <w:rPr>
          <w:rFonts w:ascii="Times New Roman" w:hAnsi="Times New Roman" w:cs="Times New Roman"/>
          <w:sz w:val="24"/>
          <w:szCs w:val="24"/>
        </w:rPr>
        <w:t xml:space="preserve">or </w:t>
      </w:r>
      <w:r w:rsidR="005D4CD7" w:rsidRPr="00AE141E">
        <w:rPr>
          <w:rFonts w:ascii="Times New Roman" w:hAnsi="Times New Roman" w:cs="Times New Roman"/>
          <w:sz w:val="24"/>
          <w:szCs w:val="24"/>
        </w:rPr>
        <w:t>in conflict with this system.</w:t>
      </w:r>
      <w:r w:rsidR="002678F9" w:rsidRPr="00AE141E">
        <w:rPr>
          <w:rFonts w:ascii="Times New Roman" w:hAnsi="Times New Roman" w:cs="Times New Roman"/>
          <w:sz w:val="24"/>
          <w:szCs w:val="24"/>
        </w:rPr>
        <w:t xml:space="preserve"> </w:t>
      </w:r>
      <w:r w:rsidR="005D4CD7" w:rsidRPr="00AE141E">
        <w:rPr>
          <w:rFonts w:ascii="Times New Roman" w:hAnsi="Times New Roman" w:cs="Times New Roman"/>
          <w:sz w:val="24"/>
          <w:szCs w:val="24"/>
        </w:rPr>
        <w:t>Ultimately, regardless of whether schools privilege</w:t>
      </w:r>
      <w:r w:rsidR="00B24F6D" w:rsidRPr="00AE141E">
        <w:rPr>
          <w:rFonts w:ascii="Times New Roman" w:hAnsi="Times New Roman" w:cs="Times New Roman"/>
          <w:sz w:val="24"/>
          <w:szCs w:val="24"/>
        </w:rPr>
        <w:t>d</w:t>
      </w:r>
      <w:r w:rsidR="005D4CD7" w:rsidRPr="00AE141E">
        <w:rPr>
          <w:rFonts w:ascii="Times New Roman" w:hAnsi="Times New Roman" w:cs="Times New Roman"/>
          <w:sz w:val="24"/>
          <w:szCs w:val="24"/>
        </w:rPr>
        <w:t xml:space="preserve"> the study of structural</w:t>
      </w:r>
      <w:r w:rsidR="008B4B23" w:rsidRPr="00AE141E">
        <w:rPr>
          <w:rFonts w:ascii="Times New Roman" w:hAnsi="Times New Roman" w:cs="Times New Roman"/>
          <w:sz w:val="24"/>
          <w:szCs w:val="24"/>
        </w:rPr>
        <w:t xml:space="preserve"> and </w:t>
      </w:r>
      <w:r w:rsidR="005D4CD7" w:rsidRPr="00AE141E">
        <w:rPr>
          <w:rFonts w:ascii="Times New Roman" w:hAnsi="Times New Roman" w:cs="Times New Roman"/>
          <w:sz w:val="24"/>
          <w:szCs w:val="24"/>
        </w:rPr>
        <w:t xml:space="preserve">institutional racism or of personal prejudice, teachers were always working at the level of individual attitudinal change. </w:t>
      </w:r>
      <w:r w:rsidR="00D871C3" w:rsidRPr="00AE141E">
        <w:rPr>
          <w:rFonts w:ascii="Times New Roman" w:hAnsi="Times New Roman" w:cs="Times New Roman"/>
          <w:sz w:val="24"/>
          <w:szCs w:val="24"/>
        </w:rPr>
        <w:t xml:space="preserve">The quest to counter personal prejudice brought </w:t>
      </w:r>
      <w:r w:rsidR="00080512" w:rsidRPr="00AE141E">
        <w:rPr>
          <w:rFonts w:ascii="Times New Roman" w:hAnsi="Times New Roman" w:cs="Times New Roman"/>
          <w:sz w:val="24"/>
          <w:szCs w:val="24"/>
        </w:rPr>
        <w:t>teachers</w:t>
      </w:r>
      <w:r w:rsidR="00D871C3" w:rsidRPr="00AE141E">
        <w:rPr>
          <w:rFonts w:ascii="Times New Roman" w:hAnsi="Times New Roman" w:cs="Times New Roman"/>
          <w:sz w:val="24"/>
          <w:szCs w:val="24"/>
        </w:rPr>
        <w:t xml:space="preserve"> into </w:t>
      </w:r>
      <w:r w:rsidR="00080512" w:rsidRPr="00AE141E">
        <w:rPr>
          <w:rFonts w:ascii="Times New Roman" w:hAnsi="Times New Roman" w:cs="Times New Roman"/>
          <w:sz w:val="24"/>
          <w:szCs w:val="24"/>
        </w:rPr>
        <w:t xml:space="preserve">confrontation with the informal education received by young people, in the form of </w:t>
      </w:r>
      <w:r w:rsidR="006B01C5" w:rsidRPr="00AE141E">
        <w:rPr>
          <w:rFonts w:ascii="Times New Roman" w:hAnsi="Times New Roman" w:cs="Times New Roman"/>
          <w:sz w:val="24"/>
          <w:szCs w:val="24"/>
        </w:rPr>
        <w:t xml:space="preserve">a hostile and hierarchical popular culture. </w:t>
      </w:r>
    </w:p>
    <w:p w14:paraId="345D4F29" w14:textId="13C8246A" w:rsidR="00B646D7" w:rsidRPr="00AE141E" w:rsidRDefault="00B646D7"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 xml:space="preserve">Education in Prejudice: Cultural Influences on </w:t>
      </w:r>
      <w:r w:rsidR="00151641" w:rsidRPr="00AE141E">
        <w:rPr>
          <w:rFonts w:ascii="Times New Roman" w:hAnsi="Times New Roman" w:cs="Times New Roman"/>
          <w:b/>
          <w:bCs/>
          <w:sz w:val="24"/>
          <w:szCs w:val="24"/>
        </w:rPr>
        <w:t xml:space="preserve">Young People’s Concepts of History </w:t>
      </w:r>
    </w:p>
    <w:p w14:paraId="4B512AB8" w14:textId="2116ABCC" w:rsidR="006C6F02" w:rsidRPr="00AE141E" w:rsidRDefault="00E7531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previously described, </w:t>
      </w:r>
      <w:r w:rsidR="00B768CF" w:rsidRPr="00AE141E">
        <w:rPr>
          <w:rFonts w:ascii="Times New Roman" w:hAnsi="Times New Roman" w:cs="Times New Roman"/>
          <w:sz w:val="24"/>
          <w:szCs w:val="24"/>
        </w:rPr>
        <w:t>knowledge presented in a classroom</w:t>
      </w:r>
      <w:r w:rsidR="00C91A0C" w:rsidRPr="00AE141E">
        <w:rPr>
          <w:rFonts w:ascii="Times New Roman" w:hAnsi="Times New Roman" w:cs="Times New Roman"/>
          <w:sz w:val="24"/>
          <w:szCs w:val="24"/>
        </w:rPr>
        <w:t xml:space="preserve"> setting inevitably</w:t>
      </w:r>
      <w:r w:rsidR="00B768CF" w:rsidRPr="00AE141E">
        <w:rPr>
          <w:rFonts w:ascii="Times New Roman" w:hAnsi="Times New Roman" w:cs="Times New Roman"/>
          <w:sz w:val="24"/>
          <w:szCs w:val="24"/>
        </w:rPr>
        <w:t xml:space="preserve"> </w:t>
      </w:r>
      <w:r w:rsidRPr="00AE141E">
        <w:rPr>
          <w:rFonts w:ascii="Times New Roman" w:hAnsi="Times New Roman" w:cs="Times New Roman"/>
          <w:sz w:val="24"/>
          <w:szCs w:val="24"/>
        </w:rPr>
        <w:t>undergoes a process of contestation and transformation</w:t>
      </w:r>
      <w:r w:rsidR="001F457A" w:rsidRPr="00AE141E">
        <w:rPr>
          <w:rFonts w:ascii="Times New Roman" w:hAnsi="Times New Roman" w:cs="Times New Roman"/>
          <w:sz w:val="24"/>
          <w:szCs w:val="24"/>
        </w:rPr>
        <w:t xml:space="preserve">. </w:t>
      </w:r>
      <w:r w:rsidR="00BF5037" w:rsidRPr="00AE141E">
        <w:rPr>
          <w:rFonts w:ascii="Times New Roman" w:hAnsi="Times New Roman" w:cs="Times New Roman"/>
          <w:sz w:val="24"/>
          <w:szCs w:val="24"/>
        </w:rPr>
        <w:t xml:space="preserve">Some of the projects outlined above </w:t>
      </w:r>
      <w:r w:rsidR="006A5A47" w:rsidRPr="00AE141E">
        <w:rPr>
          <w:rFonts w:ascii="Times New Roman" w:hAnsi="Times New Roman" w:cs="Times New Roman"/>
          <w:sz w:val="24"/>
          <w:szCs w:val="24"/>
        </w:rPr>
        <w:t>acknowledged and</w:t>
      </w:r>
      <w:r w:rsidR="00BF5037" w:rsidRPr="00AE141E">
        <w:rPr>
          <w:rFonts w:ascii="Times New Roman" w:hAnsi="Times New Roman" w:cs="Times New Roman"/>
          <w:sz w:val="24"/>
          <w:szCs w:val="24"/>
        </w:rPr>
        <w:t xml:space="preserve"> engaged </w:t>
      </w:r>
      <w:r w:rsidR="008B723C" w:rsidRPr="00AE141E">
        <w:rPr>
          <w:rFonts w:ascii="Times New Roman" w:hAnsi="Times New Roman" w:cs="Times New Roman"/>
          <w:sz w:val="24"/>
          <w:szCs w:val="24"/>
        </w:rPr>
        <w:t>pupils</w:t>
      </w:r>
      <w:r w:rsidR="00BF5037" w:rsidRPr="00AE141E">
        <w:rPr>
          <w:rFonts w:ascii="Times New Roman" w:hAnsi="Times New Roman" w:cs="Times New Roman"/>
          <w:sz w:val="24"/>
          <w:szCs w:val="24"/>
        </w:rPr>
        <w:t xml:space="preserve"> as co-producers of historical knowledge</w:t>
      </w:r>
      <w:r w:rsidR="00560E74" w:rsidRPr="00AE141E">
        <w:rPr>
          <w:rFonts w:ascii="Times New Roman" w:hAnsi="Times New Roman" w:cs="Times New Roman"/>
          <w:sz w:val="24"/>
          <w:szCs w:val="24"/>
        </w:rPr>
        <w:t>,</w:t>
      </w:r>
      <w:r w:rsidR="006A5A47" w:rsidRPr="00AE141E">
        <w:rPr>
          <w:rFonts w:ascii="Times New Roman" w:hAnsi="Times New Roman" w:cs="Times New Roman"/>
          <w:sz w:val="24"/>
          <w:szCs w:val="24"/>
        </w:rPr>
        <w:t xml:space="preserve"> allowing for </w:t>
      </w:r>
      <w:r w:rsidR="00177A6C" w:rsidRPr="00AE141E">
        <w:rPr>
          <w:rFonts w:ascii="Times New Roman" w:hAnsi="Times New Roman" w:cs="Times New Roman"/>
          <w:sz w:val="24"/>
          <w:szCs w:val="24"/>
        </w:rPr>
        <w:t>open-ended dialogue and continual revision of ideas</w:t>
      </w:r>
      <w:r w:rsidR="00A77E32" w:rsidRPr="00AE141E">
        <w:rPr>
          <w:rFonts w:ascii="Times New Roman" w:hAnsi="Times New Roman" w:cs="Times New Roman"/>
          <w:sz w:val="24"/>
          <w:szCs w:val="24"/>
        </w:rPr>
        <w:t xml:space="preserve">. </w:t>
      </w:r>
      <w:r w:rsidR="00A22942" w:rsidRPr="00AE141E">
        <w:rPr>
          <w:rFonts w:ascii="Times New Roman" w:hAnsi="Times New Roman" w:cs="Times New Roman"/>
          <w:sz w:val="24"/>
          <w:szCs w:val="24"/>
        </w:rPr>
        <w:t xml:space="preserve">Failure to acknowledge youth agency, however, could render </w:t>
      </w:r>
      <w:r w:rsidR="005E21D1" w:rsidRPr="00AE141E">
        <w:rPr>
          <w:rFonts w:ascii="Times New Roman" w:hAnsi="Times New Roman" w:cs="Times New Roman"/>
          <w:sz w:val="24"/>
          <w:szCs w:val="24"/>
        </w:rPr>
        <w:t xml:space="preserve">education for </w:t>
      </w:r>
      <w:r w:rsidR="00385E93" w:rsidRPr="00AE141E">
        <w:rPr>
          <w:rFonts w:ascii="Times New Roman" w:hAnsi="Times New Roman" w:cs="Times New Roman"/>
          <w:sz w:val="24"/>
          <w:szCs w:val="24"/>
        </w:rPr>
        <w:t>attitudinal</w:t>
      </w:r>
      <w:r w:rsidR="005E21D1" w:rsidRPr="00AE141E">
        <w:rPr>
          <w:rFonts w:ascii="Times New Roman" w:hAnsi="Times New Roman" w:cs="Times New Roman"/>
          <w:sz w:val="24"/>
          <w:szCs w:val="24"/>
        </w:rPr>
        <w:t xml:space="preserve"> change </w:t>
      </w:r>
      <w:r w:rsidR="00385E93" w:rsidRPr="00AE141E">
        <w:rPr>
          <w:rFonts w:ascii="Times New Roman" w:hAnsi="Times New Roman" w:cs="Times New Roman"/>
          <w:sz w:val="24"/>
          <w:szCs w:val="24"/>
        </w:rPr>
        <w:t xml:space="preserve">pedagogically problematic. </w:t>
      </w:r>
      <w:r w:rsidR="006C6F02" w:rsidRPr="00AE141E">
        <w:rPr>
          <w:rFonts w:ascii="Times New Roman" w:hAnsi="Times New Roman" w:cs="Times New Roman"/>
          <w:sz w:val="24"/>
          <w:szCs w:val="24"/>
        </w:rPr>
        <w:t xml:space="preserve">Chris Gaine, a secondary school teacher in </w:t>
      </w:r>
      <w:r w:rsidR="003644E1">
        <w:rPr>
          <w:rFonts w:ascii="Times New Roman" w:hAnsi="Times New Roman" w:cs="Times New Roman"/>
          <w:sz w:val="24"/>
          <w:szCs w:val="24"/>
        </w:rPr>
        <w:t>‘</w:t>
      </w:r>
      <w:r w:rsidR="006C6F02" w:rsidRPr="00AE141E">
        <w:rPr>
          <w:rFonts w:ascii="Times New Roman" w:hAnsi="Times New Roman" w:cs="Times New Roman"/>
          <w:sz w:val="24"/>
          <w:szCs w:val="24"/>
        </w:rPr>
        <w:t>Integrated Humanities</w:t>
      </w:r>
      <w:r w:rsidR="003644E1">
        <w:rPr>
          <w:rFonts w:ascii="Times New Roman" w:hAnsi="Times New Roman" w:cs="Times New Roman"/>
          <w:sz w:val="24"/>
          <w:szCs w:val="24"/>
        </w:rPr>
        <w:t>’</w:t>
      </w:r>
      <w:r w:rsidR="006C6F02" w:rsidRPr="00AE141E">
        <w:rPr>
          <w:rFonts w:ascii="Times New Roman" w:hAnsi="Times New Roman" w:cs="Times New Roman"/>
          <w:sz w:val="24"/>
          <w:szCs w:val="24"/>
        </w:rPr>
        <w:t>, acknowledged educators’ fears that pupils would reject anti-racism as part of their broader hostility to ‘school knowledge’.</w:t>
      </w:r>
      <w:r w:rsidR="00906B8C" w:rsidRPr="00AE141E">
        <w:rPr>
          <w:rStyle w:val="FootnoteReference"/>
          <w:rFonts w:ascii="Times New Roman" w:hAnsi="Times New Roman" w:cs="Times New Roman"/>
          <w:sz w:val="24"/>
          <w:szCs w:val="24"/>
        </w:rPr>
        <w:footnoteReference w:id="643"/>
      </w:r>
      <w:r w:rsidR="006C6F02" w:rsidRPr="00AE141E">
        <w:rPr>
          <w:rFonts w:ascii="Times New Roman" w:hAnsi="Times New Roman" w:cs="Times New Roman"/>
          <w:sz w:val="24"/>
          <w:szCs w:val="24"/>
        </w:rPr>
        <w:t xml:space="preserve"> He expressed optimism that the right material, properly taught, could have a positive impact on pupils, but acknowledged the risk that ‘if the material is presented as the way nice people like teachers think’, then some would be instinctively hostile.</w:t>
      </w:r>
    </w:p>
    <w:p w14:paraId="69384856" w14:textId="03CE5730" w:rsidR="00AC7FAA" w:rsidRPr="00AE141E" w:rsidRDefault="00443D2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Teachers who attempted to ‘</w:t>
      </w:r>
      <w:r w:rsidR="00B45ED4" w:rsidRPr="00AE141E">
        <w:rPr>
          <w:rFonts w:ascii="Times New Roman" w:hAnsi="Times New Roman" w:cs="Times New Roman"/>
          <w:sz w:val="24"/>
          <w:szCs w:val="24"/>
        </w:rPr>
        <w:t>bank’ knowledge o</w:t>
      </w:r>
      <w:r w:rsidR="008F3D46" w:rsidRPr="00AE141E">
        <w:rPr>
          <w:rFonts w:ascii="Times New Roman" w:hAnsi="Times New Roman" w:cs="Times New Roman"/>
          <w:sz w:val="24"/>
          <w:szCs w:val="24"/>
        </w:rPr>
        <w:t>f race and empire in their students were</w:t>
      </w:r>
      <w:r w:rsidR="006C6F02" w:rsidRPr="00AE141E">
        <w:rPr>
          <w:rFonts w:ascii="Times New Roman" w:hAnsi="Times New Roman" w:cs="Times New Roman"/>
          <w:sz w:val="24"/>
          <w:szCs w:val="24"/>
        </w:rPr>
        <w:t xml:space="preserve"> indeed</w:t>
      </w:r>
      <w:r w:rsidR="008F3D46" w:rsidRPr="00AE141E">
        <w:rPr>
          <w:rFonts w:ascii="Times New Roman" w:hAnsi="Times New Roman" w:cs="Times New Roman"/>
          <w:sz w:val="24"/>
          <w:szCs w:val="24"/>
        </w:rPr>
        <w:t xml:space="preserve"> often frustrated by indifference or hostility.</w:t>
      </w:r>
      <w:r w:rsidR="00C45C78" w:rsidRPr="00AE141E">
        <w:rPr>
          <w:rStyle w:val="FootnoteReference"/>
          <w:rFonts w:ascii="Times New Roman" w:hAnsi="Times New Roman" w:cs="Times New Roman"/>
          <w:sz w:val="24"/>
          <w:szCs w:val="24"/>
        </w:rPr>
        <w:footnoteReference w:id="644"/>
      </w:r>
      <w:r w:rsidR="008F3D46" w:rsidRPr="00AE141E">
        <w:rPr>
          <w:rFonts w:ascii="Times New Roman" w:hAnsi="Times New Roman" w:cs="Times New Roman"/>
          <w:sz w:val="24"/>
          <w:szCs w:val="24"/>
        </w:rPr>
        <w:t xml:space="preserve"> </w:t>
      </w:r>
      <w:r w:rsidR="00AA3DF9" w:rsidRPr="00AE141E">
        <w:rPr>
          <w:rFonts w:ascii="Times New Roman" w:hAnsi="Times New Roman" w:cs="Times New Roman"/>
          <w:sz w:val="24"/>
          <w:szCs w:val="24"/>
        </w:rPr>
        <w:t>In one history class</w:t>
      </w:r>
      <w:r w:rsidR="00915BA2" w:rsidRPr="00AE141E">
        <w:rPr>
          <w:rFonts w:ascii="Times New Roman" w:hAnsi="Times New Roman" w:cs="Times New Roman"/>
          <w:sz w:val="24"/>
          <w:szCs w:val="24"/>
        </w:rPr>
        <w:t xml:space="preserve"> </w:t>
      </w:r>
      <w:r w:rsidR="00AA3DF9" w:rsidRPr="00AE141E">
        <w:rPr>
          <w:rFonts w:ascii="Times New Roman" w:hAnsi="Times New Roman" w:cs="Times New Roman"/>
          <w:sz w:val="24"/>
          <w:szCs w:val="24"/>
        </w:rPr>
        <w:t>observed</w:t>
      </w:r>
      <w:r w:rsidR="00915BA2" w:rsidRPr="00AE141E">
        <w:rPr>
          <w:rFonts w:ascii="Times New Roman" w:hAnsi="Times New Roman" w:cs="Times New Roman"/>
          <w:sz w:val="24"/>
          <w:szCs w:val="24"/>
        </w:rPr>
        <w:t xml:space="preserve"> by the Schools Council, young people dutifully copied down the information they were offered on the Indian independence movement, but displayed no other signs of engagement with the material.</w:t>
      </w:r>
      <w:r w:rsidR="00B651DC" w:rsidRPr="00AE141E">
        <w:rPr>
          <w:rStyle w:val="FootnoteReference"/>
          <w:rFonts w:ascii="Times New Roman" w:hAnsi="Times New Roman" w:cs="Times New Roman"/>
          <w:sz w:val="24"/>
          <w:szCs w:val="24"/>
        </w:rPr>
        <w:footnoteReference w:id="645"/>
      </w:r>
      <w:r w:rsidR="00D922BA" w:rsidRPr="00AE141E">
        <w:rPr>
          <w:rFonts w:ascii="Times New Roman" w:hAnsi="Times New Roman" w:cs="Times New Roman"/>
          <w:sz w:val="24"/>
          <w:szCs w:val="24"/>
        </w:rPr>
        <w:t xml:space="preserve"> </w:t>
      </w:r>
      <w:r w:rsidR="0036378F" w:rsidRPr="00AE141E">
        <w:rPr>
          <w:rFonts w:ascii="Times New Roman" w:hAnsi="Times New Roman" w:cs="Times New Roman"/>
          <w:sz w:val="24"/>
          <w:szCs w:val="24"/>
        </w:rPr>
        <w:t>A multicultural humanities course</w:t>
      </w:r>
      <w:r w:rsidR="002F4569" w:rsidRPr="00AE141E">
        <w:rPr>
          <w:rFonts w:ascii="Times New Roman" w:hAnsi="Times New Roman" w:cs="Times New Roman"/>
          <w:sz w:val="24"/>
          <w:szCs w:val="24"/>
        </w:rPr>
        <w:t>, which focused alternately on Africa, the Caribbean</w:t>
      </w:r>
      <w:r w:rsidR="00E8049B" w:rsidRPr="00AE141E">
        <w:rPr>
          <w:rFonts w:ascii="Times New Roman" w:hAnsi="Times New Roman" w:cs="Times New Roman"/>
          <w:sz w:val="24"/>
          <w:szCs w:val="24"/>
        </w:rPr>
        <w:t xml:space="preserve">, </w:t>
      </w:r>
      <w:r w:rsidR="002F4569" w:rsidRPr="00AE141E">
        <w:rPr>
          <w:rFonts w:ascii="Times New Roman" w:hAnsi="Times New Roman" w:cs="Times New Roman"/>
          <w:sz w:val="24"/>
          <w:szCs w:val="24"/>
        </w:rPr>
        <w:t xml:space="preserve">and India, </w:t>
      </w:r>
      <w:r w:rsidR="00C12DC0" w:rsidRPr="00AE141E">
        <w:rPr>
          <w:rFonts w:ascii="Times New Roman" w:hAnsi="Times New Roman" w:cs="Times New Roman"/>
          <w:sz w:val="24"/>
          <w:szCs w:val="24"/>
        </w:rPr>
        <w:t xml:space="preserve">met with protests from a </w:t>
      </w:r>
      <w:r w:rsidR="001369D0" w:rsidRPr="00AE141E">
        <w:rPr>
          <w:rFonts w:ascii="Times New Roman" w:hAnsi="Times New Roman" w:cs="Times New Roman"/>
          <w:sz w:val="24"/>
          <w:szCs w:val="24"/>
        </w:rPr>
        <w:t xml:space="preserve">group of second-year girls, who contended </w:t>
      </w:r>
      <w:r w:rsidR="00051BA6" w:rsidRPr="00AE141E">
        <w:rPr>
          <w:rFonts w:ascii="Times New Roman" w:hAnsi="Times New Roman" w:cs="Times New Roman"/>
          <w:sz w:val="24"/>
          <w:szCs w:val="24"/>
        </w:rPr>
        <w:t xml:space="preserve">that </w:t>
      </w:r>
      <w:r w:rsidR="00D30F13" w:rsidRPr="00AE141E">
        <w:rPr>
          <w:rFonts w:ascii="Times New Roman" w:hAnsi="Times New Roman" w:cs="Times New Roman"/>
          <w:sz w:val="24"/>
          <w:szCs w:val="24"/>
        </w:rPr>
        <w:t xml:space="preserve">the teaching was anti-national. </w:t>
      </w:r>
      <w:r w:rsidR="004821A0" w:rsidRPr="00AE141E">
        <w:rPr>
          <w:rFonts w:ascii="Times New Roman" w:hAnsi="Times New Roman" w:cs="Times New Roman"/>
          <w:sz w:val="24"/>
          <w:szCs w:val="24"/>
        </w:rPr>
        <w:t>Th</w:t>
      </w:r>
      <w:r w:rsidR="000413AF" w:rsidRPr="00AE141E">
        <w:rPr>
          <w:rFonts w:ascii="Times New Roman" w:hAnsi="Times New Roman" w:cs="Times New Roman"/>
          <w:sz w:val="24"/>
          <w:szCs w:val="24"/>
        </w:rPr>
        <w:t>e girls</w:t>
      </w:r>
      <w:r w:rsidR="00AE230F" w:rsidRPr="00AE141E">
        <w:rPr>
          <w:rFonts w:ascii="Times New Roman" w:hAnsi="Times New Roman" w:cs="Times New Roman"/>
          <w:sz w:val="24"/>
          <w:szCs w:val="24"/>
        </w:rPr>
        <w:t xml:space="preserve"> </w:t>
      </w:r>
      <w:r w:rsidR="005637D5" w:rsidRPr="00AE141E">
        <w:rPr>
          <w:rFonts w:ascii="Times New Roman" w:hAnsi="Times New Roman" w:cs="Times New Roman"/>
          <w:sz w:val="24"/>
          <w:szCs w:val="24"/>
        </w:rPr>
        <w:t xml:space="preserve">demanded </w:t>
      </w:r>
      <w:r w:rsidR="0054720D" w:rsidRPr="00AE141E">
        <w:rPr>
          <w:rFonts w:ascii="Times New Roman" w:hAnsi="Times New Roman" w:cs="Times New Roman"/>
          <w:sz w:val="24"/>
          <w:szCs w:val="24"/>
        </w:rPr>
        <w:t xml:space="preserve">that </w:t>
      </w:r>
      <w:r w:rsidR="000413AF" w:rsidRPr="00AE141E">
        <w:rPr>
          <w:rFonts w:ascii="Times New Roman" w:hAnsi="Times New Roman" w:cs="Times New Roman"/>
          <w:sz w:val="24"/>
          <w:szCs w:val="24"/>
        </w:rPr>
        <w:t>they</w:t>
      </w:r>
      <w:r w:rsidR="0054720D" w:rsidRPr="00AE141E">
        <w:rPr>
          <w:rFonts w:ascii="Times New Roman" w:hAnsi="Times New Roman" w:cs="Times New Roman"/>
          <w:sz w:val="24"/>
          <w:szCs w:val="24"/>
        </w:rPr>
        <w:t xml:space="preserve"> learn ‘about our own country’</w:t>
      </w:r>
      <w:r w:rsidR="00D02D25" w:rsidRPr="00AE141E">
        <w:rPr>
          <w:rFonts w:ascii="Times New Roman" w:hAnsi="Times New Roman" w:cs="Times New Roman"/>
          <w:sz w:val="24"/>
          <w:szCs w:val="24"/>
        </w:rPr>
        <w:t xml:space="preserve"> and approvingly cited </w:t>
      </w:r>
      <w:r w:rsidR="000413AF" w:rsidRPr="00AE141E">
        <w:rPr>
          <w:rFonts w:ascii="Times New Roman" w:hAnsi="Times New Roman" w:cs="Times New Roman"/>
          <w:sz w:val="24"/>
          <w:szCs w:val="24"/>
        </w:rPr>
        <w:t>their</w:t>
      </w:r>
      <w:r w:rsidR="00D02D25" w:rsidRPr="00AE141E">
        <w:rPr>
          <w:rFonts w:ascii="Times New Roman" w:hAnsi="Times New Roman" w:cs="Times New Roman"/>
          <w:sz w:val="24"/>
          <w:szCs w:val="24"/>
        </w:rPr>
        <w:t xml:space="preserve"> mother</w:t>
      </w:r>
      <w:r w:rsidR="000413AF" w:rsidRPr="00AE141E">
        <w:rPr>
          <w:rFonts w:ascii="Times New Roman" w:hAnsi="Times New Roman" w:cs="Times New Roman"/>
          <w:sz w:val="24"/>
          <w:szCs w:val="24"/>
        </w:rPr>
        <w:t>s’</w:t>
      </w:r>
      <w:r w:rsidR="00D02D25" w:rsidRPr="00AE141E">
        <w:rPr>
          <w:rFonts w:ascii="Times New Roman" w:hAnsi="Times New Roman" w:cs="Times New Roman"/>
          <w:sz w:val="24"/>
          <w:szCs w:val="24"/>
        </w:rPr>
        <w:t xml:space="preserve"> claim</w:t>
      </w:r>
      <w:r w:rsidR="000413AF" w:rsidRPr="00AE141E">
        <w:rPr>
          <w:rFonts w:ascii="Times New Roman" w:hAnsi="Times New Roman" w:cs="Times New Roman"/>
          <w:sz w:val="24"/>
          <w:szCs w:val="24"/>
        </w:rPr>
        <w:t>s</w:t>
      </w:r>
      <w:r w:rsidR="00D02D25" w:rsidRPr="00AE141E">
        <w:rPr>
          <w:rFonts w:ascii="Times New Roman" w:hAnsi="Times New Roman" w:cs="Times New Roman"/>
          <w:sz w:val="24"/>
          <w:szCs w:val="24"/>
        </w:rPr>
        <w:t xml:space="preserve"> that multicultural education amounted to ‘brainwashing’.</w:t>
      </w:r>
      <w:r w:rsidR="00CF65F0">
        <w:rPr>
          <w:rStyle w:val="FootnoteReference"/>
          <w:rFonts w:ascii="Times New Roman" w:hAnsi="Times New Roman" w:cs="Times New Roman"/>
          <w:sz w:val="24"/>
          <w:szCs w:val="24"/>
        </w:rPr>
        <w:footnoteReference w:id="646"/>
      </w:r>
      <w:r w:rsidR="003B0EE3" w:rsidRPr="00AE141E">
        <w:rPr>
          <w:rFonts w:ascii="Times New Roman" w:hAnsi="Times New Roman" w:cs="Times New Roman"/>
          <w:sz w:val="24"/>
          <w:szCs w:val="24"/>
        </w:rPr>
        <w:t xml:space="preserve"> </w:t>
      </w:r>
    </w:p>
    <w:p w14:paraId="7790CB12" w14:textId="12847879" w:rsidR="00AC7FAA" w:rsidRPr="00AE141E" w:rsidRDefault="00B35A2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Likewise, </w:t>
      </w:r>
      <w:r w:rsidR="00D76779" w:rsidRPr="00AE141E">
        <w:rPr>
          <w:rFonts w:ascii="Times New Roman" w:hAnsi="Times New Roman" w:cs="Times New Roman"/>
          <w:sz w:val="24"/>
          <w:szCs w:val="24"/>
        </w:rPr>
        <w:t xml:space="preserve">White </w:t>
      </w:r>
      <w:r w:rsidR="0013089B" w:rsidRPr="00AE141E">
        <w:rPr>
          <w:rFonts w:ascii="Times New Roman" w:hAnsi="Times New Roman" w:cs="Times New Roman"/>
          <w:sz w:val="24"/>
          <w:szCs w:val="24"/>
        </w:rPr>
        <w:t>eleven- and twelve-year-olds</w:t>
      </w:r>
      <w:r w:rsidR="004E1D2E" w:rsidRPr="00AE141E">
        <w:rPr>
          <w:rFonts w:ascii="Times New Roman" w:hAnsi="Times New Roman" w:cs="Times New Roman"/>
          <w:sz w:val="24"/>
          <w:szCs w:val="24"/>
        </w:rPr>
        <w:t xml:space="preserve"> in an outer-London school</w:t>
      </w:r>
      <w:r w:rsidR="006D29C1" w:rsidRPr="00AE141E">
        <w:rPr>
          <w:rFonts w:ascii="Times New Roman" w:hAnsi="Times New Roman" w:cs="Times New Roman"/>
          <w:sz w:val="24"/>
          <w:szCs w:val="24"/>
        </w:rPr>
        <w:t xml:space="preserve"> </w:t>
      </w:r>
      <w:r w:rsidR="005777DC" w:rsidRPr="00AE141E">
        <w:rPr>
          <w:rFonts w:ascii="Times New Roman" w:hAnsi="Times New Roman" w:cs="Times New Roman"/>
          <w:sz w:val="24"/>
          <w:szCs w:val="24"/>
        </w:rPr>
        <w:t>responded to</w:t>
      </w:r>
      <w:r w:rsidR="006D29C1" w:rsidRPr="00AE141E">
        <w:rPr>
          <w:rFonts w:ascii="Times New Roman" w:hAnsi="Times New Roman" w:cs="Times New Roman"/>
          <w:sz w:val="24"/>
          <w:szCs w:val="24"/>
        </w:rPr>
        <w:t xml:space="preserve"> </w:t>
      </w:r>
      <w:r w:rsidR="003E3CCC" w:rsidRPr="00AE141E">
        <w:rPr>
          <w:rFonts w:ascii="Times New Roman" w:hAnsi="Times New Roman" w:cs="Times New Roman"/>
          <w:sz w:val="24"/>
          <w:szCs w:val="24"/>
        </w:rPr>
        <w:t>a</w:t>
      </w:r>
      <w:r w:rsidR="006D29C1" w:rsidRPr="00AE141E">
        <w:rPr>
          <w:rFonts w:ascii="Times New Roman" w:hAnsi="Times New Roman" w:cs="Times New Roman"/>
          <w:sz w:val="24"/>
          <w:szCs w:val="24"/>
        </w:rPr>
        <w:t xml:space="preserve"> humanities study on India</w:t>
      </w:r>
      <w:r w:rsidR="005777DC" w:rsidRPr="00AE141E">
        <w:rPr>
          <w:rFonts w:ascii="Times New Roman" w:hAnsi="Times New Roman" w:cs="Times New Roman"/>
          <w:sz w:val="24"/>
          <w:szCs w:val="24"/>
        </w:rPr>
        <w:t xml:space="preserve"> with </w:t>
      </w:r>
      <w:r w:rsidR="00A27D11" w:rsidRPr="00AE141E">
        <w:rPr>
          <w:rFonts w:ascii="Times New Roman" w:hAnsi="Times New Roman" w:cs="Times New Roman"/>
          <w:sz w:val="24"/>
          <w:szCs w:val="24"/>
        </w:rPr>
        <w:t>calls</w:t>
      </w:r>
      <w:r w:rsidR="005777DC" w:rsidRPr="00AE141E">
        <w:rPr>
          <w:rFonts w:ascii="Times New Roman" w:hAnsi="Times New Roman" w:cs="Times New Roman"/>
          <w:sz w:val="24"/>
          <w:szCs w:val="24"/>
        </w:rPr>
        <w:t xml:space="preserve"> to </w:t>
      </w:r>
      <w:r w:rsidR="00A27D11" w:rsidRPr="00AE141E">
        <w:rPr>
          <w:rFonts w:ascii="Times New Roman" w:hAnsi="Times New Roman" w:cs="Times New Roman"/>
          <w:sz w:val="24"/>
          <w:szCs w:val="24"/>
        </w:rPr>
        <w:t>‘</w:t>
      </w:r>
      <w:r w:rsidR="005777DC" w:rsidRPr="00AE141E">
        <w:rPr>
          <w:rFonts w:ascii="Times New Roman" w:hAnsi="Times New Roman" w:cs="Times New Roman"/>
          <w:sz w:val="24"/>
          <w:szCs w:val="24"/>
        </w:rPr>
        <w:t>do more about England’</w:t>
      </w:r>
      <w:r w:rsidR="00A27D11" w:rsidRPr="00AE141E">
        <w:rPr>
          <w:rFonts w:ascii="Times New Roman" w:hAnsi="Times New Roman" w:cs="Times New Roman"/>
          <w:sz w:val="24"/>
          <w:szCs w:val="24"/>
        </w:rPr>
        <w:t>.</w:t>
      </w:r>
      <w:r w:rsidR="00613633" w:rsidRPr="00AE141E">
        <w:rPr>
          <w:rStyle w:val="FootnoteReference"/>
          <w:rFonts w:ascii="Times New Roman" w:hAnsi="Times New Roman" w:cs="Times New Roman"/>
          <w:sz w:val="24"/>
          <w:szCs w:val="24"/>
        </w:rPr>
        <w:footnoteReference w:id="647"/>
      </w:r>
      <w:r w:rsidR="007905F0" w:rsidRPr="00AE141E">
        <w:rPr>
          <w:rFonts w:ascii="Times New Roman" w:hAnsi="Times New Roman" w:cs="Times New Roman"/>
          <w:sz w:val="24"/>
          <w:szCs w:val="24"/>
        </w:rPr>
        <w:t xml:space="preserve"> </w:t>
      </w:r>
      <w:r w:rsidR="003E3CCC" w:rsidRPr="00AE141E">
        <w:rPr>
          <w:rFonts w:ascii="Times New Roman" w:hAnsi="Times New Roman" w:cs="Times New Roman"/>
          <w:sz w:val="24"/>
          <w:szCs w:val="24"/>
        </w:rPr>
        <w:t>These</w:t>
      </w:r>
      <w:r w:rsidR="00115A53" w:rsidRPr="00AE141E">
        <w:rPr>
          <w:rFonts w:ascii="Times New Roman" w:hAnsi="Times New Roman" w:cs="Times New Roman"/>
          <w:sz w:val="24"/>
          <w:szCs w:val="24"/>
        </w:rPr>
        <w:t xml:space="preserve"> pupils </w:t>
      </w:r>
      <w:r w:rsidR="006C03DF" w:rsidRPr="00AE141E">
        <w:rPr>
          <w:rFonts w:ascii="Times New Roman" w:hAnsi="Times New Roman" w:cs="Times New Roman"/>
          <w:sz w:val="24"/>
          <w:szCs w:val="24"/>
        </w:rPr>
        <w:t xml:space="preserve">mobilised </w:t>
      </w:r>
      <w:r w:rsidR="0086086D" w:rsidRPr="00AE141E">
        <w:rPr>
          <w:rFonts w:ascii="Times New Roman" w:hAnsi="Times New Roman" w:cs="Times New Roman"/>
          <w:sz w:val="24"/>
          <w:szCs w:val="24"/>
        </w:rPr>
        <w:t>their new knowledge of the history of Indian independence to</w:t>
      </w:r>
      <w:r w:rsidR="006C03DF" w:rsidRPr="00AE141E">
        <w:rPr>
          <w:rFonts w:ascii="Times New Roman" w:hAnsi="Times New Roman" w:cs="Times New Roman"/>
          <w:sz w:val="24"/>
          <w:szCs w:val="24"/>
        </w:rPr>
        <w:t xml:space="preserve"> support </w:t>
      </w:r>
      <w:r w:rsidR="0086086D" w:rsidRPr="00AE141E">
        <w:rPr>
          <w:rFonts w:ascii="Times New Roman" w:hAnsi="Times New Roman" w:cs="Times New Roman"/>
          <w:sz w:val="24"/>
          <w:szCs w:val="24"/>
        </w:rPr>
        <w:t>calls</w:t>
      </w:r>
      <w:r w:rsidR="006C03DF" w:rsidRPr="00AE141E">
        <w:rPr>
          <w:rFonts w:ascii="Times New Roman" w:hAnsi="Times New Roman" w:cs="Times New Roman"/>
          <w:sz w:val="24"/>
          <w:szCs w:val="24"/>
        </w:rPr>
        <w:t xml:space="preserve"> for repatriation</w:t>
      </w:r>
      <w:r w:rsidR="00316A05" w:rsidRPr="00AE141E">
        <w:rPr>
          <w:rFonts w:ascii="Times New Roman" w:hAnsi="Times New Roman" w:cs="Times New Roman"/>
          <w:sz w:val="24"/>
          <w:szCs w:val="24"/>
        </w:rPr>
        <w:t>. Their argument rested on two conceits</w:t>
      </w:r>
      <w:r w:rsidR="00BF2719" w:rsidRPr="00AE141E">
        <w:rPr>
          <w:rFonts w:ascii="Times New Roman" w:hAnsi="Times New Roman" w:cs="Times New Roman"/>
          <w:sz w:val="24"/>
          <w:szCs w:val="24"/>
        </w:rPr>
        <w:t xml:space="preserve">: the </w:t>
      </w:r>
      <w:r w:rsidR="00815079" w:rsidRPr="00AE141E">
        <w:rPr>
          <w:rFonts w:ascii="Times New Roman" w:hAnsi="Times New Roman" w:cs="Times New Roman"/>
          <w:sz w:val="24"/>
          <w:szCs w:val="24"/>
        </w:rPr>
        <w:t>notion</w:t>
      </w:r>
      <w:r w:rsidR="00BF2719" w:rsidRPr="00AE141E">
        <w:rPr>
          <w:rFonts w:ascii="Times New Roman" w:hAnsi="Times New Roman" w:cs="Times New Roman"/>
          <w:sz w:val="24"/>
          <w:szCs w:val="24"/>
        </w:rPr>
        <w:t xml:space="preserve"> that a kind of reverse colonisation was at play in Indian migration to Britain (‘if Indians had a right to India the British had a right to Britain’) and </w:t>
      </w:r>
      <w:r w:rsidR="00815079" w:rsidRPr="00AE141E">
        <w:rPr>
          <w:rFonts w:ascii="Times New Roman" w:hAnsi="Times New Roman" w:cs="Times New Roman"/>
          <w:sz w:val="24"/>
          <w:szCs w:val="24"/>
        </w:rPr>
        <w:t>that ‘</w:t>
      </w:r>
      <w:r w:rsidR="00137D54" w:rsidRPr="00AE141E">
        <w:rPr>
          <w:rFonts w:ascii="Times New Roman" w:hAnsi="Times New Roman" w:cs="Times New Roman"/>
          <w:sz w:val="24"/>
          <w:szCs w:val="24"/>
        </w:rPr>
        <w:t>rights were accompanied by duties and Indians should stay in their own country, building it up and eliminating poverty</w:t>
      </w:r>
      <w:r w:rsidR="00815079" w:rsidRPr="00AE141E">
        <w:rPr>
          <w:rFonts w:ascii="Times New Roman" w:hAnsi="Times New Roman" w:cs="Times New Roman"/>
          <w:sz w:val="24"/>
          <w:szCs w:val="24"/>
        </w:rPr>
        <w:t>’.</w:t>
      </w:r>
      <w:r w:rsidR="00137D54" w:rsidRPr="00AE141E">
        <w:rPr>
          <w:rFonts w:ascii="Times New Roman" w:hAnsi="Times New Roman" w:cs="Times New Roman"/>
          <w:sz w:val="24"/>
          <w:szCs w:val="24"/>
        </w:rPr>
        <w:t xml:space="preserve"> </w:t>
      </w:r>
      <w:r w:rsidR="00586F6A" w:rsidRPr="00AE141E">
        <w:rPr>
          <w:rFonts w:ascii="Times New Roman" w:hAnsi="Times New Roman" w:cs="Times New Roman"/>
          <w:sz w:val="24"/>
          <w:szCs w:val="24"/>
        </w:rPr>
        <w:t xml:space="preserve">Both were guided by ignorance (wilful or otherwise) of differential power dynamics, </w:t>
      </w:r>
      <w:r w:rsidR="00E8049B" w:rsidRPr="00AE141E">
        <w:rPr>
          <w:rFonts w:ascii="Times New Roman" w:hAnsi="Times New Roman" w:cs="Times New Roman"/>
          <w:sz w:val="24"/>
          <w:szCs w:val="24"/>
        </w:rPr>
        <w:t xml:space="preserve">economic and human extraction which comprised colonialism and its legacies. </w:t>
      </w:r>
      <w:r w:rsidR="00586F6A" w:rsidRPr="00AE141E">
        <w:rPr>
          <w:rFonts w:ascii="Times New Roman" w:hAnsi="Times New Roman" w:cs="Times New Roman"/>
          <w:sz w:val="24"/>
          <w:szCs w:val="24"/>
        </w:rPr>
        <w:t>Underlying the</w:t>
      </w:r>
      <w:r w:rsidR="00E8049B" w:rsidRPr="00AE141E">
        <w:rPr>
          <w:rFonts w:ascii="Times New Roman" w:hAnsi="Times New Roman" w:cs="Times New Roman"/>
          <w:sz w:val="24"/>
          <w:szCs w:val="24"/>
        </w:rPr>
        <w:t xml:space="preserve">ir </w:t>
      </w:r>
      <w:r w:rsidR="00586F6A" w:rsidRPr="00AE141E">
        <w:rPr>
          <w:rFonts w:ascii="Times New Roman" w:hAnsi="Times New Roman" w:cs="Times New Roman"/>
          <w:sz w:val="24"/>
          <w:szCs w:val="24"/>
        </w:rPr>
        <w:t>anger was a familiar notion of memory as a zero-sum-game.</w:t>
      </w:r>
      <w:r w:rsidR="00E8049B" w:rsidRPr="00AE141E">
        <w:rPr>
          <w:rStyle w:val="FootnoteReference"/>
          <w:rFonts w:ascii="Times New Roman" w:hAnsi="Times New Roman" w:cs="Times New Roman"/>
          <w:sz w:val="24"/>
          <w:szCs w:val="24"/>
        </w:rPr>
        <w:footnoteReference w:id="648"/>
      </w:r>
      <w:r w:rsidR="00BA5DE7" w:rsidRPr="00AE141E">
        <w:rPr>
          <w:rFonts w:ascii="Times New Roman" w:hAnsi="Times New Roman" w:cs="Times New Roman"/>
          <w:sz w:val="24"/>
          <w:szCs w:val="24"/>
        </w:rPr>
        <w:t xml:space="preserve"> </w:t>
      </w:r>
    </w:p>
    <w:p w14:paraId="779AC086" w14:textId="7153CDAA" w:rsidR="00262708" w:rsidRPr="00AE141E" w:rsidRDefault="00237C7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At best, classroom-based approaches to multicultural and anti-racist education could give young </w:t>
      </w:r>
      <w:r w:rsidR="00644415" w:rsidRPr="00AE141E">
        <w:rPr>
          <w:rFonts w:ascii="Times New Roman" w:hAnsi="Times New Roman" w:cs="Times New Roman"/>
          <w:sz w:val="24"/>
          <w:szCs w:val="24"/>
        </w:rPr>
        <w:t xml:space="preserve">people the tools to critically appraise the information they received </w:t>
      </w:r>
      <w:r w:rsidR="00ED7298" w:rsidRPr="00AE141E">
        <w:rPr>
          <w:rFonts w:ascii="Times New Roman" w:hAnsi="Times New Roman" w:cs="Times New Roman"/>
          <w:sz w:val="24"/>
          <w:szCs w:val="24"/>
        </w:rPr>
        <w:t>from external sources</w:t>
      </w:r>
      <w:r w:rsidR="006E6A79" w:rsidRPr="00AE141E">
        <w:rPr>
          <w:rFonts w:ascii="Times New Roman" w:hAnsi="Times New Roman" w:cs="Times New Roman"/>
          <w:sz w:val="24"/>
          <w:szCs w:val="24"/>
        </w:rPr>
        <w:t xml:space="preserve">, </w:t>
      </w:r>
      <w:r w:rsidR="00AC7FAA" w:rsidRPr="00AE141E">
        <w:rPr>
          <w:rFonts w:ascii="Times New Roman" w:hAnsi="Times New Roman" w:cs="Times New Roman"/>
          <w:sz w:val="24"/>
          <w:szCs w:val="24"/>
        </w:rPr>
        <w:t>including</w:t>
      </w:r>
      <w:r w:rsidR="006E6A79" w:rsidRPr="00AE141E">
        <w:rPr>
          <w:rFonts w:ascii="Times New Roman" w:hAnsi="Times New Roman" w:cs="Times New Roman"/>
          <w:sz w:val="24"/>
          <w:szCs w:val="24"/>
        </w:rPr>
        <w:t xml:space="preserve"> </w:t>
      </w:r>
      <w:r w:rsidR="00AC7FAA" w:rsidRPr="00AE141E">
        <w:rPr>
          <w:rFonts w:ascii="Times New Roman" w:hAnsi="Times New Roman" w:cs="Times New Roman"/>
          <w:sz w:val="24"/>
          <w:szCs w:val="24"/>
        </w:rPr>
        <w:t>family, friends, and media</w:t>
      </w:r>
      <w:r w:rsidR="00ED7298" w:rsidRPr="00AE141E">
        <w:rPr>
          <w:rFonts w:ascii="Times New Roman" w:hAnsi="Times New Roman" w:cs="Times New Roman"/>
          <w:sz w:val="24"/>
          <w:szCs w:val="24"/>
        </w:rPr>
        <w:t>.</w:t>
      </w:r>
      <w:r w:rsidR="007436FF" w:rsidRPr="00AE141E">
        <w:rPr>
          <w:rStyle w:val="FootnoteReference"/>
          <w:rFonts w:ascii="Times New Roman" w:hAnsi="Times New Roman" w:cs="Times New Roman"/>
          <w:sz w:val="24"/>
          <w:szCs w:val="24"/>
        </w:rPr>
        <w:footnoteReference w:id="649"/>
      </w:r>
      <w:r w:rsidR="00ED7298" w:rsidRPr="00AE141E">
        <w:rPr>
          <w:rFonts w:ascii="Times New Roman" w:hAnsi="Times New Roman" w:cs="Times New Roman"/>
          <w:sz w:val="24"/>
          <w:szCs w:val="24"/>
        </w:rPr>
        <w:t xml:space="preserve"> </w:t>
      </w:r>
      <w:r w:rsidR="008414FC" w:rsidRPr="00AE141E">
        <w:rPr>
          <w:rFonts w:ascii="Times New Roman" w:hAnsi="Times New Roman" w:cs="Times New Roman"/>
          <w:sz w:val="24"/>
          <w:szCs w:val="24"/>
        </w:rPr>
        <w:t xml:space="preserve">Educators </w:t>
      </w:r>
      <w:r w:rsidR="003544F5" w:rsidRPr="00AE141E">
        <w:rPr>
          <w:rFonts w:ascii="Times New Roman" w:hAnsi="Times New Roman" w:cs="Times New Roman"/>
          <w:sz w:val="24"/>
          <w:szCs w:val="24"/>
        </w:rPr>
        <w:t xml:space="preserve">noted the subtle ways in which </w:t>
      </w:r>
      <w:r w:rsidR="002600E6" w:rsidRPr="00AE141E">
        <w:rPr>
          <w:rFonts w:ascii="Times New Roman" w:hAnsi="Times New Roman" w:cs="Times New Roman"/>
          <w:sz w:val="24"/>
          <w:szCs w:val="24"/>
        </w:rPr>
        <w:t>popular television programming could undermine the anti-racist message</w:t>
      </w:r>
      <w:r w:rsidR="00351F79" w:rsidRPr="00AE141E">
        <w:rPr>
          <w:rFonts w:ascii="Times New Roman" w:hAnsi="Times New Roman" w:cs="Times New Roman"/>
          <w:sz w:val="24"/>
          <w:szCs w:val="24"/>
        </w:rPr>
        <w:t>.</w:t>
      </w:r>
      <w:r w:rsidR="00351F79" w:rsidRPr="00AE141E">
        <w:rPr>
          <w:rStyle w:val="FootnoteReference"/>
          <w:rFonts w:ascii="Times New Roman" w:hAnsi="Times New Roman" w:cs="Times New Roman"/>
          <w:sz w:val="24"/>
          <w:szCs w:val="24"/>
        </w:rPr>
        <w:footnoteReference w:id="650"/>
      </w:r>
      <w:r w:rsidR="00351F79" w:rsidRPr="00AE141E">
        <w:rPr>
          <w:rFonts w:ascii="Times New Roman" w:hAnsi="Times New Roman" w:cs="Times New Roman"/>
          <w:sz w:val="24"/>
          <w:szCs w:val="24"/>
        </w:rPr>
        <w:t xml:space="preserve"> </w:t>
      </w:r>
      <w:r w:rsidR="004B6B3D" w:rsidRPr="00AE141E">
        <w:rPr>
          <w:rFonts w:ascii="Times New Roman" w:hAnsi="Times New Roman" w:cs="Times New Roman"/>
          <w:sz w:val="24"/>
          <w:szCs w:val="24"/>
        </w:rPr>
        <w:t>Mark Puddy</w:t>
      </w:r>
      <w:r w:rsidR="002600E6" w:rsidRPr="00AE141E">
        <w:rPr>
          <w:rFonts w:ascii="Times New Roman" w:hAnsi="Times New Roman" w:cs="Times New Roman"/>
          <w:sz w:val="24"/>
          <w:szCs w:val="24"/>
        </w:rPr>
        <w:t xml:space="preserve">, in </w:t>
      </w:r>
      <w:r w:rsidR="00FB2763" w:rsidRPr="00AE141E">
        <w:rPr>
          <w:rFonts w:ascii="Times New Roman" w:hAnsi="Times New Roman" w:cs="Times New Roman"/>
          <w:sz w:val="24"/>
          <w:szCs w:val="24"/>
        </w:rPr>
        <w:t>a 198</w:t>
      </w:r>
      <w:r w:rsidR="004B6B3D" w:rsidRPr="00AE141E">
        <w:rPr>
          <w:rFonts w:ascii="Times New Roman" w:hAnsi="Times New Roman" w:cs="Times New Roman"/>
          <w:sz w:val="24"/>
          <w:szCs w:val="24"/>
        </w:rPr>
        <w:t xml:space="preserve">5 </w:t>
      </w:r>
      <w:r w:rsidR="00FB2763" w:rsidRPr="00AE141E">
        <w:rPr>
          <w:rFonts w:ascii="Times New Roman" w:hAnsi="Times New Roman" w:cs="Times New Roman"/>
          <w:sz w:val="24"/>
          <w:szCs w:val="24"/>
        </w:rPr>
        <w:t xml:space="preserve">edition of </w:t>
      </w:r>
      <w:r w:rsidR="004B6B3D" w:rsidRPr="00AE141E">
        <w:rPr>
          <w:rFonts w:ascii="Times New Roman" w:hAnsi="Times New Roman" w:cs="Times New Roman"/>
          <w:i/>
          <w:sz w:val="24"/>
          <w:szCs w:val="24"/>
        </w:rPr>
        <w:t>Multicultural Teaching</w:t>
      </w:r>
      <w:r w:rsidR="00FB2763" w:rsidRPr="00AE141E">
        <w:rPr>
          <w:rFonts w:ascii="Times New Roman" w:hAnsi="Times New Roman" w:cs="Times New Roman"/>
          <w:sz w:val="24"/>
          <w:szCs w:val="24"/>
        </w:rPr>
        <w:t>, went so far as to present teachers as engaged in a battle for hearts and minds with</w:t>
      </w:r>
      <w:r w:rsidR="007E299D" w:rsidRPr="00AE141E">
        <w:rPr>
          <w:rFonts w:ascii="Times New Roman" w:hAnsi="Times New Roman" w:cs="Times New Roman"/>
          <w:sz w:val="24"/>
          <w:szCs w:val="24"/>
        </w:rPr>
        <w:t xml:space="preserve"> the</w:t>
      </w:r>
      <w:r w:rsidR="00FB2763" w:rsidRPr="00AE141E">
        <w:rPr>
          <w:rFonts w:ascii="Times New Roman" w:hAnsi="Times New Roman" w:cs="Times New Roman"/>
          <w:sz w:val="24"/>
          <w:szCs w:val="24"/>
        </w:rPr>
        <w:t xml:space="preserve"> (vastly better resourced and mor</w:t>
      </w:r>
      <w:r w:rsidR="007E299D" w:rsidRPr="00AE141E">
        <w:rPr>
          <w:rFonts w:ascii="Times New Roman" w:hAnsi="Times New Roman" w:cs="Times New Roman"/>
          <w:sz w:val="24"/>
          <w:szCs w:val="24"/>
        </w:rPr>
        <w:t xml:space="preserve">e engaging) education offered by </w:t>
      </w:r>
      <w:r w:rsidR="002D0CDC" w:rsidRPr="00AE141E">
        <w:rPr>
          <w:rFonts w:ascii="Times New Roman" w:hAnsi="Times New Roman" w:cs="Times New Roman"/>
          <w:sz w:val="24"/>
          <w:szCs w:val="24"/>
        </w:rPr>
        <w:t>major TV stations.</w:t>
      </w:r>
      <w:r w:rsidR="002E729F" w:rsidRPr="00AE141E">
        <w:rPr>
          <w:rStyle w:val="FootnoteReference"/>
          <w:rFonts w:ascii="Times New Roman" w:hAnsi="Times New Roman" w:cs="Times New Roman"/>
          <w:sz w:val="24"/>
          <w:szCs w:val="24"/>
        </w:rPr>
        <w:footnoteReference w:id="651"/>
      </w:r>
      <w:r w:rsidR="00666EAA" w:rsidRPr="00AE141E">
        <w:rPr>
          <w:rFonts w:ascii="Times New Roman" w:hAnsi="Times New Roman" w:cs="Times New Roman"/>
          <w:sz w:val="24"/>
          <w:szCs w:val="24"/>
        </w:rPr>
        <w:t xml:space="preserve"> He</w:t>
      </w:r>
      <w:r w:rsidR="00F5795F" w:rsidRPr="00AE141E">
        <w:rPr>
          <w:rFonts w:ascii="Times New Roman" w:hAnsi="Times New Roman" w:cs="Times New Roman"/>
          <w:sz w:val="24"/>
          <w:szCs w:val="24"/>
        </w:rPr>
        <w:t xml:space="preserve"> </w:t>
      </w:r>
      <w:r w:rsidR="00144622" w:rsidRPr="00AE141E">
        <w:rPr>
          <w:rFonts w:ascii="Times New Roman" w:hAnsi="Times New Roman" w:cs="Times New Roman"/>
          <w:sz w:val="24"/>
          <w:szCs w:val="24"/>
        </w:rPr>
        <w:t xml:space="preserve">criticised the tendency of broadcast media to present </w:t>
      </w:r>
      <w:r w:rsidR="00FA16C9" w:rsidRPr="00AE141E">
        <w:rPr>
          <w:rFonts w:ascii="Times New Roman" w:hAnsi="Times New Roman" w:cs="Times New Roman"/>
          <w:sz w:val="24"/>
          <w:szCs w:val="24"/>
        </w:rPr>
        <w:t>people in the Global South as ‘</w:t>
      </w:r>
      <w:r w:rsidR="008E78B9" w:rsidRPr="00AE141E">
        <w:rPr>
          <w:rFonts w:ascii="Times New Roman" w:hAnsi="Times New Roman" w:cs="Times New Roman"/>
          <w:sz w:val="24"/>
          <w:szCs w:val="24"/>
        </w:rPr>
        <w:t>undernourished, poorly educat</w:t>
      </w:r>
      <w:r w:rsidR="00FA16C9" w:rsidRPr="00AE141E">
        <w:rPr>
          <w:rFonts w:ascii="Times New Roman" w:hAnsi="Times New Roman" w:cs="Times New Roman"/>
          <w:sz w:val="24"/>
          <w:szCs w:val="24"/>
        </w:rPr>
        <w:t>ed</w:t>
      </w:r>
      <w:r w:rsidR="008E78B9" w:rsidRPr="00AE141E">
        <w:rPr>
          <w:rFonts w:ascii="Times New Roman" w:hAnsi="Times New Roman" w:cs="Times New Roman"/>
          <w:sz w:val="24"/>
          <w:szCs w:val="24"/>
        </w:rPr>
        <w:t xml:space="preserve"> </w:t>
      </w:r>
      <w:r w:rsidR="000857FE" w:rsidRPr="00AE141E">
        <w:rPr>
          <w:rFonts w:ascii="Times New Roman" w:hAnsi="Times New Roman" w:cs="Times New Roman"/>
          <w:sz w:val="24"/>
          <w:szCs w:val="24"/>
        </w:rPr>
        <w:t xml:space="preserve">and </w:t>
      </w:r>
      <w:r w:rsidR="008E78B9" w:rsidRPr="00AE141E">
        <w:rPr>
          <w:rFonts w:ascii="Times New Roman" w:hAnsi="Times New Roman" w:cs="Times New Roman"/>
          <w:sz w:val="24"/>
          <w:szCs w:val="24"/>
        </w:rPr>
        <w:t>poverty stricken</w:t>
      </w:r>
      <w:r w:rsidR="00FA16C9" w:rsidRPr="00AE141E">
        <w:rPr>
          <w:rFonts w:ascii="Times New Roman" w:hAnsi="Times New Roman" w:cs="Times New Roman"/>
          <w:sz w:val="24"/>
          <w:szCs w:val="24"/>
        </w:rPr>
        <w:t>’</w:t>
      </w:r>
      <w:r w:rsidR="008E78B9" w:rsidRPr="00AE141E">
        <w:rPr>
          <w:rFonts w:ascii="Times New Roman" w:hAnsi="Times New Roman" w:cs="Times New Roman"/>
          <w:sz w:val="24"/>
          <w:szCs w:val="24"/>
        </w:rPr>
        <w:t xml:space="preserve"> </w:t>
      </w:r>
      <w:r w:rsidR="00E13610" w:rsidRPr="00AE141E">
        <w:rPr>
          <w:rFonts w:ascii="Times New Roman" w:hAnsi="Times New Roman" w:cs="Times New Roman"/>
          <w:sz w:val="24"/>
          <w:szCs w:val="24"/>
        </w:rPr>
        <w:t xml:space="preserve">– and dependent upon the Global North for their survival. </w:t>
      </w:r>
      <w:r w:rsidR="00472B0A" w:rsidRPr="00AE141E">
        <w:rPr>
          <w:rFonts w:ascii="Times New Roman" w:hAnsi="Times New Roman" w:cs="Times New Roman"/>
          <w:sz w:val="24"/>
          <w:szCs w:val="24"/>
        </w:rPr>
        <w:t>The</w:t>
      </w:r>
      <w:r w:rsidR="0045220B" w:rsidRPr="00AE141E">
        <w:rPr>
          <w:rFonts w:ascii="Times New Roman" w:hAnsi="Times New Roman" w:cs="Times New Roman"/>
          <w:sz w:val="24"/>
          <w:szCs w:val="24"/>
        </w:rPr>
        <w:t>se narratives naturalised</w:t>
      </w:r>
      <w:r w:rsidR="00DA160B" w:rsidRPr="00AE141E">
        <w:rPr>
          <w:rFonts w:ascii="Times New Roman" w:hAnsi="Times New Roman" w:cs="Times New Roman"/>
          <w:sz w:val="24"/>
          <w:szCs w:val="24"/>
        </w:rPr>
        <w:t xml:space="preserve"> </w:t>
      </w:r>
      <w:r w:rsidR="00E67006" w:rsidRPr="00AE141E">
        <w:rPr>
          <w:rFonts w:ascii="Times New Roman" w:hAnsi="Times New Roman" w:cs="Times New Roman"/>
          <w:sz w:val="24"/>
          <w:szCs w:val="24"/>
        </w:rPr>
        <w:t>an economic divide in fact produced by colonialism, wh</w:t>
      </w:r>
      <w:r w:rsidR="007A66E5" w:rsidRPr="00AE141E">
        <w:rPr>
          <w:rFonts w:ascii="Times New Roman" w:hAnsi="Times New Roman" w:cs="Times New Roman"/>
          <w:sz w:val="24"/>
          <w:szCs w:val="24"/>
        </w:rPr>
        <w:t>ile re</w:t>
      </w:r>
      <w:r w:rsidR="00472B0A" w:rsidRPr="00AE141E">
        <w:rPr>
          <w:rFonts w:ascii="Times New Roman" w:hAnsi="Times New Roman" w:cs="Times New Roman"/>
          <w:sz w:val="24"/>
          <w:szCs w:val="24"/>
        </w:rPr>
        <w:t>present</w:t>
      </w:r>
      <w:r w:rsidR="007A66E5" w:rsidRPr="00AE141E">
        <w:rPr>
          <w:rFonts w:ascii="Times New Roman" w:hAnsi="Times New Roman" w:cs="Times New Roman"/>
          <w:sz w:val="24"/>
          <w:szCs w:val="24"/>
        </w:rPr>
        <w:t>ing</w:t>
      </w:r>
      <w:r w:rsidR="00472B0A" w:rsidRPr="00AE141E">
        <w:rPr>
          <w:rFonts w:ascii="Times New Roman" w:hAnsi="Times New Roman" w:cs="Times New Roman"/>
          <w:sz w:val="24"/>
          <w:szCs w:val="24"/>
        </w:rPr>
        <w:t xml:space="preserve"> a racialised agent/dependent binary</w:t>
      </w:r>
      <w:r w:rsidR="00C0190D" w:rsidRPr="00AE141E">
        <w:rPr>
          <w:rFonts w:ascii="Times New Roman" w:hAnsi="Times New Roman" w:cs="Times New Roman"/>
          <w:sz w:val="24"/>
          <w:szCs w:val="24"/>
        </w:rPr>
        <w:t xml:space="preserve">. Puddy </w:t>
      </w:r>
      <w:r w:rsidR="00F24A2C" w:rsidRPr="00AE141E">
        <w:rPr>
          <w:rFonts w:ascii="Times New Roman" w:hAnsi="Times New Roman" w:cs="Times New Roman"/>
          <w:sz w:val="24"/>
          <w:szCs w:val="24"/>
        </w:rPr>
        <w:t>situated</w:t>
      </w:r>
      <w:r w:rsidR="00DC5247" w:rsidRPr="00AE141E">
        <w:rPr>
          <w:rFonts w:ascii="Times New Roman" w:hAnsi="Times New Roman" w:cs="Times New Roman"/>
          <w:sz w:val="24"/>
          <w:szCs w:val="24"/>
        </w:rPr>
        <w:t xml:space="preserve"> </w:t>
      </w:r>
      <w:r w:rsidR="00F24A2C" w:rsidRPr="00AE141E">
        <w:rPr>
          <w:rFonts w:ascii="Times New Roman" w:hAnsi="Times New Roman" w:cs="Times New Roman"/>
          <w:sz w:val="24"/>
          <w:szCs w:val="24"/>
        </w:rPr>
        <w:t>such</w:t>
      </w:r>
      <w:r w:rsidR="00DC5247" w:rsidRPr="00AE141E">
        <w:rPr>
          <w:rFonts w:ascii="Times New Roman" w:hAnsi="Times New Roman" w:cs="Times New Roman"/>
          <w:sz w:val="24"/>
          <w:szCs w:val="24"/>
        </w:rPr>
        <w:t xml:space="preserve"> coverage </w:t>
      </w:r>
      <w:r w:rsidR="00F24A2C" w:rsidRPr="00AE141E">
        <w:rPr>
          <w:rFonts w:ascii="Times New Roman" w:hAnsi="Times New Roman" w:cs="Times New Roman"/>
          <w:sz w:val="24"/>
          <w:szCs w:val="24"/>
        </w:rPr>
        <w:t>within a broader ideological comple</w:t>
      </w:r>
      <w:r w:rsidR="007A5B8E" w:rsidRPr="00AE141E">
        <w:rPr>
          <w:rFonts w:ascii="Times New Roman" w:hAnsi="Times New Roman" w:cs="Times New Roman"/>
          <w:sz w:val="24"/>
          <w:szCs w:val="24"/>
        </w:rPr>
        <w:t>x produced by present-day neo-colonialism</w:t>
      </w:r>
      <w:r w:rsidR="000E397C" w:rsidRPr="00AE141E">
        <w:rPr>
          <w:rFonts w:ascii="Times New Roman" w:hAnsi="Times New Roman" w:cs="Times New Roman"/>
          <w:sz w:val="24"/>
          <w:szCs w:val="24"/>
        </w:rPr>
        <w:t xml:space="preserve">; the need to preserve countries in the Global South as </w:t>
      </w:r>
      <w:r w:rsidR="00F7190A" w:rsidRPr="00AE141E">
        <w:rPr>
          <w:rFonts w:ascii="Times New Roman" w:hAnsi="Times New Roman" w:cs="Times New Roman"/>
          <w:sz w:val="24"/>
          <w:szCs w:val="24"/>
        </w:rPr>
        <w:t xml:space="preserve">‘markets </w:t>
      </w:r>
      <w:r w:rsidR="008E78B9" w:rsidRPr="00AE141E">
        <w:rPr>
          <w:rFonts w:ascii="Times New Roman" w:hAnsi="Times New Roman" w:cs="Times New Roman"/>
          <w:sz w:val="24"/>
          <w:szCs w:val="24"/>
        </w:rPr>
        <w:t>for Britain's goods, suppliers of Britain's raw materials and a source of cheap labour</w:t>
      </w:r>
      <w:r w:rsidR="00F7190A" w:rsidRPr="00AE141E">
        <w:rPr>
          <w:rFonts w:ascii="Times New Roman" w:hAnsi="Times New Roman" w:cs="Times New Roman"/>
          <w:sz w:val="24"/>
          <w:szCs w:val="24"/>
        </w:rPr>
        <w:t>’.</w:t>
      </w:r>
    </w:p>
    <w:p w14:paraId="405AD29F" w14:textId="67963E58" w:rsidR="007436FF" w:rsidRPr="00AE141E" w:rsidRDefault="00C70E7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The ‘balloon game’ experiment invite</w:t>
      </w:r>
      <w:r w:rsidR="003400C0" w:rsidRPr="00AE141E">
        <w:rPr>
          <w:rFonts w:ascii="Times New Roman" w:hAnsi="Times New Roman" w:cs="Times New Roman"/>
          <w:sz w:val="24"/>
          <w:szCs w:val="24"/>
        </w:rPr>
        <w:t>d</w:t>
      </w:r>
      <w:r w:rsidRPr="00AE141E">
        <w:rPr>
          <w:rFonts w:ascii="Times New Roman" w:hAnsi="Times New Roman" w:cs="Times New Roman"/>
          <w:sz w:val="24"/>
          <w:szCs w:val="24"/>
        </w:rPr>
        <w:t xml:space="preserve"> young people to </w:t>
      </w:r>
      <w:r w:rsidR="00DA7E94" w:rsidRPr="00AE141E">
        <w:rPr>
          <w:rFonts w:ascii="Times New Roman" w:hAnsi="Times New Roman" w:cs="Times New Roman"/>
          <w:sz w:val="24"/>
          <w:szCs w:val="24"/>
        </w:rPr>
        <w:t>image themselves</w:t>
      </w:r>
      <w:r w:rsidR="00F414D3" w:rsidRPr="00AE141E">
        <w:rPr>
          <w:rFonts w:ascii="Times New Roman" w:hAnsi="Times New Roman" w:cs="Times New Roman"/>
          <w:sz w:val="24"/>
          <w:szCs w:val="24"/>
        </w:rPr>
        <w:t xml:space="preserve"> flying</w:t>
      </w:r>
      <w:r w:rsidR="00DA7E94" w:rsidRPr="00AE141E">
        <w:rPr>
          <w:rFonts w:ascii="Times New Roman" w:hAnsi="Times New Roman" w:cs="Times New Roman"/>
          <w:sz w:val="24"/>
          <w:szCs w:val="24"/>
        </w:rPr>
        <w:t xml:space="preserve"> in a hot air balloon which, out </w:t>
      </w:r>
      <w:r w:rsidR="00E058DA" w:rsidRPr="00AE141E">
        <w:rPr>
          <w:rFonts w:ascii="Times New Roman" w:hAnsi="Times New Roman" w:cs="Times New Roman"/>
          <w:sz w:val="24"/>
          <w:szCs w:val="24"/>
        </w:rPr>
        <w:t>of</w:t>
      </w:r>
      <w:r w:rsidR="00DA7E94" w:rsidRPr="00AE141E">
        <w:rPr>
          <w:rFonts w:ascii="Times New Roman" w:hAnsi="Times New Roman" w:cs="Times New Roman"/>
          <w:sz w:val="24"/>
          <w:szCs w:val="24"/>
        </w:rPr>
        <w:t xml:space="preserve"> control, deposits them in a country </w:t>
      </w:r>
      <w:r w:rsidR="00F414D3" w:rsidRPr="00AE141E">
        <w:rPr>
          <w:rFonts w:ascii="Times New Roman" w:hAnsi="Times New Roman" w:cs="Times New Roman"/>
          <w:sz w:val="24"/>
          <w:szCs w:val="24"/>
        </w:rPr>
        <w:t>which they would rather have avoided</w:t>
      </w:r>
      <w:r w:rsidR="007B0211" w:rsidRPr="00AE141E">
        <w:rPr>
          <w:rFonts w:ascii="Times New Roman" w:hAnsi="Times New Roman" w:cs="Times New Roman"/>
          <w:sz w:val="24"/>
          <w:szCs w:val="24"/>
        </w:rPr>
        <w:t>; their observat</w:t>
      </w:r>
      <w:r w:rsidR="002F426D" w:rsidRPr="00AE141E">
        <w:rPr>
          <w:rFonts w:ascii="Times New Roman" w:hAnsi="Times New Roman" w:cs="Times New Roman"/>
          <w:sz w:val="24"/>
          <w:szCs w:val="24"/>
        </w:rPr>
        <w:t xml:space="preserve">ions </w:t>
      </w:r>
      <w:r w:rsidR="003400C0" w:rsidRPr="00AE141E">
        <w:rPr>
          <w:rFonts w:ascii="Times New Roman" w:hAnsi="Times New Roman" w:cs="Times New Roman"/>
          <w:sz w:val="24"/>
          <w:szCs w:val="24"/>
        </w:rPr>
        <w:t>were</w:t>
      </w:r>
      <w:r w:rsidR="002F426D" w:rsidRPr="00AE141E">
        <w:rPr>
          <w:rFonts w:ascii="Times New Roman" w:hAnsi="Times New Roman" w:cs="Times New Roman"/>
          <w:sz w:val="24"/>
          <w:szCs w:val="24"/>
        </w:rPr>
        <w:t xml:space="preserve"> then written up as a short story</w:t>
      </w:r>
      <w:r w:rsidR="00F414D3" w:rsidRPr="00AE141E">
        <w:rPr>
          <w:rFonts w:ascii="Times New Roman" w:hAnsi="Times New Roman" w:cs="Times New Roman"/>
          <w:sz w:val="24"/>
          <w:szCs w:val="24"/>
        </w:rPr>
        <w:t>. The Schools Council conducted the experiment with</w:t>
      </w:r>
      <w:r w:rsidR="00955252" w:rsidRPr="00AE141E">
        <w:rPr>
          <w:rFonts w:ascii="Times New Roman" w:hAnsi="Times New Roman" w:cs="Times New Roman"/>
          <w:sz w:val="24"/>
          <w:szCs w:val="24"/>
        </w:rPr>
        <w:t xml:space="preserve"> groups of</w:t>
      </w:r>
      <w:r w:rsidR="00F414D3" w:rsidRPr="00AE141E">
        <w:rPr>
          <w:rFonts w:ascii="Times New Roman" w:hAnsi="Times New Roman" w:cs="Times New Roman"/>
          <w:sz w:val="24"/>
          <w:szCs w:val="24"/>
        </w:rPr>
        <w:t xml:space="preserve"> </w:t>
      </w:r>
      <w:r w:rsidR="00202EA6" w:rsidRPr="00AE141E">
        <w:rPr>
          <w:rFonts w:ascii="Times New Roman" w:hAnsi="Times New Roman" w:cs="Times New Roman"/>
          <w:sz w:val="24"/>
          <w:szCs w:val="24"/>
        </w:rPr>
        <w:t>nine- to eleven-year-olds</w:t>
      </w:r>
      <w:r w:rsidR="00955252" w:rsidRPr="00AE141E">
        <w:rPr>
          <w:rFonts w:ascii="Times New Roman" w:hAnsi="Times New Roman" w:cs="Times New Roman"/>
          <w:sz w:val="24"/>
          <w:szCs w:val="24"/>
        </w:rPr>
        <w:t xml:space="preserve"> </w:t>
      </w:r>
      <w:r w:rsidR="00BC43B0" w:rsidRPr="00AE141E">
        <w:rPr>
          <w:rFonts w:ascii="Times New Roman" w:hAnsi="Times New Roman" w:cs="Times New Roman"/>
          <w:sz w:val="24"/>
          <w:szCs w:val="24"/>
        </w:rPr>
        <w:t>in various locations in England</w:t>
      </w:r>
      <w:r w:rsidR="002F426D" w:rsidRPr="00AE141E">
        <w:rPr>
          <w:rFonts w:ascii="Times New Roman" w:hAnsi="Times New Roman" w:cs="Times New Roman"/>
          <w:sz w:val="24"/>
          <w:szCs w:val="24"/>
        </w:rPr>
        <w:t xml:space="preserve">, whose stories </w:t>
      </w:r>
      <w:r w:rsidR="005078EA" w:rsidRPr="00AE141E">
        <w:rPr>
          <w:rFonts w:ascii="Times New Roman" w:hAnsi="Times New Roman" w:cs="Times New Roman"/>
          <w:sz w:val="24"/>
          <w:szCs w:val="24"/>
        </w:rPr>
        <w:t>often featured ‘African settings’ of some description</w:t>
      </w:r>
      <w:r w:rsidR="0015114C" w:rsidRPr="00AE141E">
        <w:rPr>
          <w:rFonts w:ascii="Times New Roman" w:hAnsi="Times New Roman" w:cs="Times New Roman"/>
          <w:sz w:val="24"/>
          <w:szCs w:val="24"/>
        </w:rPr>
        <w:t>.</w:t>
      </w:r>
      <w:r w:rsidR="006D6901" w:rsidRPr="00AE141E">
        <w:rPr>
          <w:rStyle w:val="FootnoteReference"/>
          <w:rFonts w:ascii="Times New Roman" w:hAnsi="Times New Roman" w:cs="Times New Roman"/>
          <w:sz w:val="24"/>
          <w:szCs w:val="24"/>
        </w:rPr>
        <w:footnoteReference w:id="652"/>
      </w:r>
      <w:r w:rsidR="0015114C" w:rsidRPr="00AE141E">
        <w:rPr>
          <w:rFonts w:ascii="Times New Roman" w:hAnsi="Times New Roman" w:cs="Times New Roman"/>
          <w:sz w:val="24"/>
          <w:szCs w:val="24"/>
        </w:rPr>
        <w:t xml:space="preserve"> T</w:t>
      </w:r>
      <w:r w:rsidR="000D0EEE" w:rsidRPr="00AE141E">
        <w:rPr>
          <w:rFonts w:ascii="Times New Roman" w:hAnsi="Times New Roman" w:cs="Times New Roman"/>
          <w:sz w:val="24"/>
          <w:szCs w:val="24"/>
        </w:rPr>
        <w:t>wo images predominated in these stories: the ‘Oxfam image</w:t>
      </w:r>
      <w:r w:rsidR="00807CE6" w:rsidRPr="00AE141E">
        <w:rPr>
          <w:rFonts w:ascii="Times New Roman" w:hAnsi="Times New Roman" w:cs="Times New Roman"/>
          <w:sz w:val="24"/>
          <w:szCs w:val="24"/>
        </w:rPr>
        <w:t>’ of hopeless dependency, and the ‘Tarzan image’. The latter</w:t>
      </w:r>
      <w:r w:rsidR="00AC77F8" w:rsidRPr="00AE141E">
        <w:rPr>
          <w:rFonts w:ascii="Times New Roman" w:hAnsi="Times New Roman" w:cs="Times New Roman"/>
          <w:sz w:val="24"/>
          <w:szCs w:val="24"/>
        </w:rPr>
        <w:t xml:space="preserve"> portrayed</w:t>
      </w:r>
      <w:r w:rsidR="00FF34DE" w:rsidRPr="00AE141E">
        <w:rPr>
          <w:rFonts w:ascii="Times New Roman" w:hAnsi="Times New Roman" w:cs="Times New Roman"/>
          <w:sz w:val="24"/>
          <w:szCs w:val="24"/>
        </w:rPr>
        <w:t xml:space="preserve"> Black</w:t>
      </w:r>
      <w:r w:rsidR="00AC77F8" w:rsidRPr="00AE141E">
        <w:rPr>
          <w:rFonts w:ascii="Times New Roman" w:hAnsi="Times New Roman" w:cs="Times New Roman"/>
          <w:sz w:val="24"/>
          <w:szCs w:val="24"/>
        </w:rPr>
        <w:t xml:space="preserve"> African</w:t>
      </w:r>
      <w:r w:rsidR="00FF34DE" w:rsidRPr="00AE141E">
        <w:rPr>
          <w:rFonts w:ascii="Times New Roman" w:hAnsi="Times New Roman" w:cs="Times New Roman"/>
          <w:sz w:val="24"/>
          <w:szCs w:val="24"/>
        </w:rPr>
        <w:t xml:space="preserve"> people</w:t>
      </w:r>
      <w:r w:rsidR="00AC77F8" w:rsidRPr="00AE141E">
        <w:rPr>
          <w:rFonts w:ascii="Times New Roman" w:hAnsi="Times New Roman" w:cs="Times New Roman"/>
          <w:sz w:val="24"/>
          <w:szCs w:val="24"/>
        </w:rPr>
        <w:t xml:space="preserve"> as an intrinsically hostile</w:t>
      </w:r>
      <w:r w:rsidR="006D7079" w:rsidRPr="00AE141E">
        <w:rPr>
          <w:rFonts w:ascii="Times New Roman" w:hAnsi="Times New Roman" w:cs="Times New Roman"/>
          <w:sz w:val="24"/>
          <w:szCs w:val="24"/>
        </w:rPr>
        <w:t xml:space="preserve"> and animalistic force</w:t>
      </w:r>
      <w:r w:rsidR="008A2881" w:rsidRPr="00AE141E">
        <w:rPr>
          <w:rFonts w:ascii="Times New Roman" w:hAnsi="Times New Roman" w:cs="Times New Roman"/>
          <w:sz w:val="24"/>
          <w:szCs w:val="24"/>
        </w:rPr>
        <w:t>, loca</w:t>
      </w:r>
      <w:r w:rsidR="00FF34DE" w:rsidRPr="00AE141E">
        <w:rPr>
          <w:rFonts w:ascii="Times New Roman" w:hAnsi="Times New Roman" w:cs="Times New Roman"/>
          <w:sz w:val="24"/>
          <w:szCs w:val="24"/>
        </w:rPr>
        <w:t>t</w:t>
      </w:r>
      <w:r w:rsidR="00D1191B" w:rsidRPr="00AE141E">
        <w:rPr>
          <w:rFonts w:ascii="Times New Roman" w:hAnsi="Times New Roman" w:cs="Times New Roman"/>
          <w:sz w:val="24"/>
          <w:szCs w:val="24"/>
        </w:rPr>
        <w:t>ed not only outside of history but outside of humanity. The Schools Council attributed this image</w:t>
      </w:r>
      <w:r w:rsidR="007C7281" w:rsidRPr="00AE141E">
        <w:rPr>
          <w:rFonts w:ascii="Times New Roman" w:hAnsi="Times New Roman" w:cs="Times New Roman"/>
          <w:sz w:val="24"/>
          <w:szCs w:val="24"/>
        </w:rPr>
        <w:t xml:space="preserve"> less to Edgar Rice Burroughs’ original novel</w:t>
      </w:r>
      <w:r w:rsidR="00210EC0" w:rsidRPr="00AE141E">
        <w:rPr>
          <w:rFonts w:ascii="Times New Roman" w:hAnsi="Times New Roman" w:cs="Times New Roman"/>
          <w:sz w:val="24"/>
          <w:szCs w:val="24"/>
        </w:rPr>
        <w:t xml:space="preserve"> than to its reproduction in </w:t>
      </w:r>
      <w:r w:rsidR="00273DF4" w:rsidRPr="00AE141E">
        <w:rPr>
          <w:rFonts w:ascii="Times New Roman" w:hAnsi="Times New Roman" w:cs="Times New Roman"/>
          <w:sz w:val="24"/>
          <w:szCs w:val="24"/>
        </w:rPr>
        <w:t>popular film,</w:t>
      </w:r>
      <w:r w:rsidR="007436FF" w:rsidRPr="00AE141E">
        <w:rPr>
          <w:rFonts w:ascii="Times New Roman" w:hAnsi="Times New Roman" w:cs="Times New Roman"/>
          <w:sz w:val="24"/>
          <w:szCs w:val="24"/>
        </w:rPr>
        <w:t xml:space="preserve"> </w:t>
      </w:r>
      <w:r w:rsidR="00202EA6" w:rsidRPr="00AE141E">
        <w:rPr>
          <w:rFonts w:ascii="Times New Roman" w:hAnsi="Times New Roman" w:cs="Times New Roman"/>
          <w:sz w:val="24"/>
          <w:szCs w:val="24"/>
        </w:rPr>
        <w:t>‘</w:t>
      </w:r>
      <w:r w:rsidR="007436FF" w:rsidRPr="00AE141E">
        <w:rPr>
          <w:rFonts w:ascii="Times New Roman" w:hAnsi="Times New Roman" w:cs="Times New Roman"/>
          <w:sz w:val="24"/>
          <w:szCs w:val="24"/>
        </w:rPr>
        <w:t>television, adventure stories and comics</w:t>
      </w:r>
      <w:r w:rsidR="00273DF4" w:rsidRPr="00AE141E">
        <w:rPr>
          <w:rFonts w:ascii="Times New Roman" w:hAnsi="Times New Roman" w:cs="Times New Roman"/>
          <w:sz w:val="24"/>
          <w:szCs w:val="24"/>
        </w:rPr>
        <w:t>’</w:t>
      </w:r>
      <w:r w:rsidR="007436FF" w:rsidRPr="00AE141E">
        <w:rPr>
          <w:rFonts w:ascii="Times New Roman" w:hAnsi="Times New Roman" w:cs="Times New Roman"/>
          <w:sz w:val="24"/>
          <w:szCs w:val="24"/>
        </w:rPr>
        <w:t>.</w:t>
      </w:r>
    </w:p>
    <w:p w14:paraId="24196655" w14:textId="77777777" w:rsidR="002F600A" w:rsidRPr="00AE141E" w:rsidRDefault="0049643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We can trace some of the influences on young people’s racial attitudes through a national survey of children’s reading interests, conducted in 1975 – with the obvious caveat that, as with other forms of knowledge, </w:t>
      </w:r>
      <w:r w:rsidR="00244645" w:rsidRPr="00AE141E">
        <w:rPr>
          <w:rFonts w:ascii="Times New Roman" w:hAnsi="Times New Roman" w:cs="Times New Roman"/>
          <w:sz w:val="24"/>
          <w:szCs w:val="24"/>
        </w:rPr>
        <w:t xml:space="preserve">the attitudes to race present in </w:t>
      </w:r>
      <w:r w:rsidR="007155AA" w:rsidRPr="00AE141E">
        <w:rPr>
          <w:rFonts w:ascii="Times New Roman" w:hAnsi="Times New Roman" w:cs="Times New Roman"/>
          <w:sz w:val="24"/>
          <w:szCs w:val="24"/>
        </w:rPr>
        <w:t>children’s books would not have been uncritically absorbed.</w:t>
      </w:r>
      <w:r w:rsidR="000D3575" w:rsidRPr="00AE141E">
        <w:rPr>
          <w:rFonts w:ascii="Times New Roman" w:hAnsi="Times New Roman" w:cs="Times New Roman"/>
          <w:sz w:val="24"/>
          <w:szCs w:val="24"/>
        </w:rPr>
        <w:t xml:space="preserve"> </w:t>
      </w:r>
      <w:r w:rsidR="009300B1" w:rsidRPr="00AE141E">
        <w:rPr>
          <w:rFonts w:ascii="Times New Roman" w:hAnsi="Times New Roman" w:cs="Times New Roman"/>
          <w:sz w:val="24"/>
          <w:szCs w:val="24"/>
        </w:rPr>
        <w:t xml:space="preserve">The survey </w:t>
      </w:r>
      <w:r w:rsidR="00BE2F94" w:rsidRPr="00AE141E">
        <w:rPr>
          <w:rFonts w:ascii="Times New Roman" w:hAnsi="Times New Roman" w:cs="Times New Roman"/>
          <w:sz w:val="24"/>
          <w:szCs w:val="24"/>
        </w:rPr>
        <w:t xml:space="preserve">asked readers between the ages of </w:t>
      </w:r>
      <w:r w:rsidR="00012234" w:rsidRPr="00AE141E">
        <w:rPr>
          <w:rFonts w:ascii="Times New Roman" w:hAnsi="Times New Roman" w:cs="Times New Roman"/>
          <w:sz w:val="24"/>
          <w:szCs w:val="24"/>
        </w:rPr>
        <w:t xml:space="preserve">eleven and fifteen to share </w:t>
      </w:r>
      <w:r w:rsidR="00B46FEE" w:rsidRPr="00AE141E">
        <w:rPr>
          <w:rFonts w:ascii="Times New Roman" w:hAnsi="Times New Roman" w:cs="Times New Roman"/>
          <w:sz w:val="24"/>
          <w:szCs w:val="24"/>
        </w:rPr>
        <w:t xml:space="preserve">the titles of books </w:t>
      </w:r>
      <w:r w:rsidR="00DA7F5F" w:rsidRPr="00AE141E">
        <w:rPr>
          <w:rFonts w:ascii="Times New Roman" w:hAnsi="Times New Roman" w:cs="Times New Roman"/>
          <w:sz w:val="24"/>
          <w:szCs w:val="24"/>
        </w:rPr>
        <w:t xml:space="preserve">which they had read in the preceding month. Books mentioned more than ten </w:t>
      </w:r>
      <w:r w:rsidR="000D3575" w:rsidRPr="00AE141E">
        <w:rPr>
          <w:rFonts w:ascii="Times New Roman" w:hAnsi="Times New Roman" w:cs="Times New Roman"/>
          <w:sz w:val="24"/>
          <w:szCs w:val="24"/>
        </w:rPr>
        <w:t>times in completed questionnaires</w:t>
      </w:r>
      <w:r w:rsidR="00DA7F5F" w:rsidRPr="00AE141E">
        <w:rPr>
          <w:rFonts w:ascii="Times New Roman" w:hAnsi="Times New Roman" w:cs="Times New Roman"/>
          <w:sz w:val="24"/>
          <w:szCs w:val="24"/>
        </w:rPr>
        <w:t xml:space="preserve"> were </w:t>
      </w:r>
      <w:r w:rsidR="004928A8" w:rsidRPr="00AE141E">
        <w:rPr>
          <w:rFonts w:ascii="Times New Roman" w:hAnsi="Times New Roman" w:cs="Times New Roman"/>
          <w:sz w:val="24"/>
          <w:szCs w:val="24"/>
        </w:rPr>
        <w:t xml:space="preserve">collated in a table, which reveals the </w:t>
      </w:r>
      <w:r w:rsidR="0095326C" w:rsidRPr="00AE141E">
        <w:rPr>
          <w:rFonts w:ascii="Times New Roman" w:hAnsi="Times New Roman" w:cs="Times New Roman"/>
          <w:sz w:val="24"/>
          <w:szCs w:val="24"/>
        </w:rPr>
        <w:t>enduring</w:t>
      </w:r>
      <w:r w:rsidR="004928A8" w:rsidRPr="00AE141E">
        <w:rPr>
          <w:rFonts w:ascii="Times New Roman" w:hAnsi="Times New Roman" w:cs="Times New Roman"/>
          <w:sz w:val="24"/>
          <w:szCs w:val="24"/>
        </w:rPr>
        <w:t xml:space="preserve"> popularity of older imperial classics</w:t>
      </w:r>
      <w:r w:rsidR="00445F7F" w:rsidRPr="00AE141E">
        <w:rPr>
          <w:rFonts w:ascii="Times New Roman" w:hAnsi="Times New Roman" w:cs="Times New Roman"/>
          <w:sz w:val="24"/>
          <w:szCs w:val="24"/>
        </w:rPr>
        <w:t xml:space="preserve"> (including </w:t>
      </w:r>
      <w:r w:rsidR="004928A8" w:rsidRPr="00AE141E">
        <w:rPr>
          <w:rFonts w:ascii="Times New Roman" w:hAnsi="Times New Roman" w:cs="Times New Roman"/>
          <w:sz w:val="24"/>
          <w:szCs w:val="24"/>
        </w:rPr>
        <w:t>R.M. Ballantyne</w:t>
      </w:r>
      <w:r w:rsidR="00445F7F" w:rsidRPr="00AE141E">
        <w:rPr>
          <w:rFonts w:ascii="Times New Roman" w:hAnsi="Times New Roman" w:cs="Times New Roman"/>
          <w:sz w:val="24"/>
          <w:szCs w:val="24"/>
        </w:rPr>
        <w:t>’</w:t>
      </w:r>
      <w:r w:rsidR="004928A8" w:rsidRPr="00AE141E">
        <w:rPr>
          <w:rFonts w:ascii="Times New Roman" w:hAnsi="Times New Roman" w:cs="Times New Roman"/>
          <w:sz w:val="24"/>
          <w:szCs w:val="24"/>
        </w:rPr>
        <w:t xml:space="preserve">s </w:t>
      </w:r>
      <w:r w:rsidR="004928A8" w:rsidRPr="00AE141E">
        <w:rPr>
          <w:rFonts w:ascii="Times New Roman" w:hAnsi="Times New Roman" w:cs="Times New Roman"/>
          <w:i/>
          <w:sz w:val="24"/>
          <w:szCs w:val="24"/>
        </w:rPr>
        <w:t>Coral Island</w:t>
      </w:r>
      <w:r w:rsidR="00445F7F" w:rsidRPr="00AE141E">
        <w:rPr>
          <w:rFonts w:ascii="Times New Roman" w:hAnsi="Times New Roman" w:cs="Times New Roman"/>
          <w:sz w:val="24"/>
          <w:szCs w:val="24"/>
        </w:rPr>
        <w:t>;</w:t>
      </w:r>
      <w:r w:rsidR="004928A8" w:rsidRPr="00AE141E">
        <w:rPr>
          <w:rFonts w:ascii="Times New Roman" w:hAnsi="Times New Roman" w:cs="Times New Roman"/>
          <w:sz w:val="24"/>
          <w:szCs w:val="24"/>
        </w:rPr>
        <w:t xml:space="preserve"> Hugh Lofting</w:t>
      </w:r>
      <w:r w:rsidR="00445F7F" w:rsidRPr="00AE141E">
        <w:rPr>
          <w:rFonts w:ascii="Times New Roman" w:hAnsi="Times New Roman" w:cs="Times New Roman"/>
          <w:sz w:val="24"/>
          <w:szCs w:val="24"/>
        </w:rPr>
        <w:t>’</w:t>
      </w:r>
      <w:r w:rsidR="004928A8" w:rsidRPr="00AE141E">
        <w:rPr>
          <w:rFonts w:ascii="Times New Roman" w:hAnsi="Times New Roman" w:cs="Times New Roman"/>
          <w:sz w:val="24"/>
          <w:szCs w:val="24"/>
        </w:rPr>
        <w:t xml:space="preserve">s </w:t>
      </w:r>
      <w:r w:rsidR="004928A8" w:rsidRPr="00AE141E">
        <w:rPr>
          <w:rFonts w:ascii="Times New Roman" w:hAnsi="Times New Roman" w:cs="Times New Roman"/>
          <w:i/>
          <w:sz w:val="24"/>
          <w:szCs w:val="24"/>
        </w:rPr>
        <w:t>Doctor Doolittle</w:t>
      </w:r>
      <w:r w:rsidR="004928A8" w:rsidRPr="00AE141E">
        <w:rPr>
          <w:rFonts w:ascii="Times New Roman" w:hAnsi="Times New Roman" w:cs="Times New Roman"/>
          <w:sz w:val="24"/>
          <w:szCs w:val="24"/>
        </w:rPr>
        <w:t>; Rudyard Kipling</w:t>
      </w:r>
      <w:r w:rsidR="00445F7F" w:rsidRPr="00AE141E">
        <w:rPr>
          <w:rFonts w:ascii="Times New Roman" w:hAnsi="Times New Roman" w:cs="Times New Roman"/>
          <w:sz w:val="24"/>
          <w:szCs w:val="24"/>
        </w:rPr>
        <w:t>’</w:t>
      </w:r>
      <w:r w:rsidR="004928A8" w:rsidRPr="00AE141E">
        <w:rPr>
          <w:rFonts w:ascii="Times New Roman" w:hAnsi="Times New Roman" w:cs="Times New Roman"/>
          <w:sz w:val="24"/>
          <w:szCs w:val="24"/>
        </w:rPr>
        <w:t xml:space="preserve">s </w:t>
      </w:r>
      <w:r w:rsidR="004928A8" w:rsidRPr="00AE141E">
        <w:rPr>
          <w:rFonts w:ascii="Times New Roman" w:hAnsi="Times New Roman" w:cs="Times New Roman"/>
          <w:i/>
          <w:sz w:val="24"/>
          <w:szCs w:val="24"/>
        </w:rPr>
        <w:t>The Jungle Book</w:t>
      </w:r>
      <w:r w:rsidR="00445F7F" w:rsidRPr="00AE141E">
        <w:rPr>
          <w:rFonts w:ascii="Times New Roman" w:hAnsi="Times New Roman" w:cs="Times New Roman"/>
          <w:sz w:val="24"/>
          <w:szCs w:val="24"/>
        </w:rPr>
        <w:t xml:space="preserve">; </w:t>
      </w:r>
      <w:r w:rsidR="004928A8" w:rsidRPr="00AE141E">
        <w:rPr>
          <w:rFonts w:ascii="Times New Roman" w:hAnsi="Times New Roman" w:cs="Times New Roman"/>
          <w:sz w:val="24"/>
          <w:szCs w:val="24"/>
        </w:rPr>
        <w:t>H. Rider Haggard</w:t>
      </w:r>
      <w:r w:rsidR="00445F7F" w:rsidRPr="00AE141E">
        <w:rPr>
          <w:rFonts w:ascii="Times New Roman" w:hAnsi="Times New Roman" w:cs="Times New Roman"/>
          <w:sz w:val="24"/>
          <w:szCs w:val="24"/>
        </w:rPr>
        <w:t>’</w:t>
      </w:r>
      <w:r w:rsidR="004928A8" w:rsidRPr="00AE141E">
        <w:rPr>
          <w:rFonts w:ascii="Times New Roman" w:hAnsi="Times New Roman" w:cs="Times New Roman"/>
          <w:sz w:val="24"/>
          <w:szCs w:val="24"/>
        </w:rPr>
        <w:t xml:space="preserve">s </w:t>
      </w:r>
      <w:r w:rsidR="004928A8" w:rsidRPr="00AE141E">
        <w:rPr>
          <w:rFonts w:ascii="Times New Roman" w:hAnsi="Times New Roman" w:cs="Times New Roman"/>
          <w:i/>
          <w:sz w:val="24"/>
          <w:szCs w:val="24"/>
        </w:rPr>
        <w:t>King Solomon</w:t>
      </w:r>
      <w:r w:rsidR="00445F7F" w:rsidRPr="00AE141E">
        <w:rPr>
          <w:rFonts w:ascii="Times New Roman" w:hAnsi="Times New Roman" w:cs="Times New Roman"/>
          <w:i/>
          <w:sz w:val="24"/>
          <w:szCs w:val="24"/>
        </w:rPr>
        <w:t>’</w:t>
      </w:r>
      <w:r w:rsidR="004928A8" w:rsidRPr="00AE141E">
        <w:rPr>
          <w:rFonts w:ascii="Times New Roman" w:hAnsi="Times New Roman" w:cs="Times New Roman"/>
          <w:i/>
          <w:sz w:val="24"/>
          <w:szCs w:val="24"/>
        </w:rPr>
        <w:t>s Mines</w:t>
      </w:r>
      <w:r w:rsidR="004928A8" w:rsidRPr="00AE141E">
        <w:rPr>
          <w:rFonts w:ascii="Times New Roman" w:hAnsi="Times New Roman" w:cs="Times New Roman"/>
          <w:sz w:val="24"/>
          <w:szCs w:val="24"/>
        </w:rPr>
        <w:t xml:space="preserve">; </w:t>
      </w:r>
      <w:r w:rsidR="00445F7F" w:rsidRPr="00AE141E">
        <w:rPr>
          <w:rFonts w:ascii="Times New Roman" w:hAnsi="Times New Roman" w:cs="Times New Roman"/>
          <w:sz w:val="24"/>
          <w:szCs w:val="24"/>
        </w:rPr>
        <w:t xml:space="preserve">and </w:t>
      </w:r>
      <w:r w:rsidR="004928A8" w:rsidRPr="00AE141E">
        <w:rPr>
          <w:rFonts w:ascii="Times New Roman" w:hAnsi="Times New Roman" w:cs="Times New Roman"/>
          <w:sz w:val="24"/>
          <w:szCs w:val="24"/>
        </w:rPr>
        <w:t>Daniel Defoe</w:t>
      </w:r>
      <w:r w:rsidR="00445F7F" w:rsidRPr="00AE141E">
        <w:rPr>
          <w:rFonts w:ascii="Times New Roman" w:hAnsi="Times New Roman" w:cs="Times New Roman"/>
          <w:sz w:val="24"/>
          <w:szCs w:val="24"/>
        </w:rPr>
        <w:t>’</w:t>
      </w:r>
      <w:r w:rsidR="004928A8" w:rsidRPr="00AE141E">
        <w:rPr>
          <w:rFonts w:ascii="Times New Roman" w:hAnsi="Times New Roman" w:cs="Times New Roman"/>
          <w:sz w:val="24"/>
          <w:szCs w:val="24"/>
        </w:rPr>
        <w:t xml:space="preserve">s </w:t>
      </w:r>
      <w:r w:rsidR="004928A8" w:rsidRPr="00AE141E">
        <w:rPr>
          <w:rFonts w:ascii="Times New Roman" w:hAnsi="Times New Roman" w:cs="Times New Roman"/>
          <w:i/>
          <w:sz w:val="24"/>
          <w:szCs w:val="24"/>
        </w:rPr>
        <w:t>Robinson Crusoe</w:t>
      </w:r>
      <w:r w:rsidR="00445F7F" w:rsidRPr="00AE141E">
        <w:rPr>
          <w:rFonts w:ascii="Times New Roman" w:hAnsi="Times New Roman" w:cs="Times New Roman"/>
          <w:sz w:val="24"/>
          <w:szCs w:val="24"/>
        </w:rPr>
        <w:t>).</w:t>
      </w:r>
      <w:r w:rsidR="00E473F6" w:rsidRPr="00AE141E">
        <w:rPr>
          <w:rStyle w:val="FootnoteReference"/>
          <w:rFonts w:ascii="Times New Roman" w:hAnsi="Times New Roman" w:cs="Times New Roman"/>
          <w:sz w:val="24"/>
          <w:szCs w:val="24"/>
        </w:rPr>
        <w:footnoteReference w:id="653"/>
      </w:r>
      <w:r w:rsidR="00445F7F" w:rsidRPr="00AE141E">
        <w:rPr>
          <w:rFonts w:ascii="Times New Roman" w:hAnsi="Times New Roman" w:cs="Times New Roman"/>
          <w:sz w:val="24"/>
          <w:szCs w:val="24"/>
        </w:rPr>
        <w:t xml:space="preserve"> </w:t>
      </w:r>
      <w:r w:rsidR="009436CD" w:rsidRPr="00AE141E">
        <w:rPr>
          <w:rFonts w:ascii="Times New Roman" w:hAnsi="Times New Roman" w:cs="Times New Roman"/>
          <w:sz w:val="24"/>
          <w:szCs w:val="24"/>
        </w:rPr>
        <w:t xml:space="preserve">Bob Dixon has described the latter as a ‘blue-print’ for </w:t>
      </w:r>
      <w:r w:rsidR="00E4057C" w:rsidRPr="00AE141E">
        <w:rPr>
          <w:rFonts w:ascii="Times New Roman" w:hAnsi="Times New Roman" w:cs="Times New Roman"/>
          <w:sz w:val="24"/>
          <w:szCs w:val="24"/>
        </w:rPr>
        <w:t>empire in fiction and, by extension, the process of colonisation.</w:t>
      </w:r>
      <w:r w:rsidR="00FB7D24" w:rsidRPr="00AE141E">
        <w:rPr>
          <w:rStyle w:val="FootnoteReference"/>
          <w:rFonts w:ascii="Times New Roman" w:hAnsi="Times New Roman" w:cs="Times New Roman"/>
          <w:sz w:val="24"/>
          <w:szCs w:val="24"/>
        </w:rPr>
        <w:footnoteReference w:id="654"/>
      </w:r>
      <w:r w:rsidR="00E4057C" w:rsidRPr="00AE141E">
        <w:rPr>
          <w:rFonts w:ascii="Times New Roman" w:hAnsi="Times New Roman" w:cs="Times New Roman"/>
          <w:sz w:val="24"/>
          <w:szCs w:val="24"/>
        </w:rPr>
        <w:t xml:space="preserve"> </w:t>
      </w:r>
      <w:r w:rsidR="008F132D" w:rsidRPr="00AE141E">
        <w:rPr>
          <w:rFonts w:ascii="Times New Roman" w:hAnsi="Times New Roman" w:cs="Times New Roman"/>
          <w:sz w:val="24"/>
          <w:szCs w:val="24"/>
        </w:rPr>
        <w:t>Its themes of empire as a theatre of masculine self-realisation</w:t>
      </w:r>
      <w:r w:rsidR="006E0647" w:rsidRPr="00AE141E">
        <w:rPr>
          <w:rFonts w:ascii="Times New Roman" w:hAnsi="Times New Roman" w:cs="Times New Roman"/>
          <w:sz w:val="24"/>
          <w:szCs w:val="24"/>
        </w:rPr>
        <w:t xml:space="preserve">, at the cost of the lives and dignity of the colonised, </w:t>
      </w:r>
      <w:r w:rsidR="00610EF5" w:rsidRPr="00AE141E">
        <w:rPr>
          <w:rFonts w:ascii="Times New Roman" w:hAnsi="Times New Roman" w:cs="Times New Roman"/>
          <w:sz w:val="24"/>
          <w:szCs w:val="24"/>
        </w:rPr>
        <w:t>were</w:t>
      </w:r>
      <w:r w:rsidR="008F1C8C" w:rsidRPr="00AE141E">
        <w:rPr>
          <w:rFonts w:ascii="Times New Roman" w:hAnsi="Times New Roman" w:cs="Times New Roman"/>
          <w:sz w:val="24"/>
          <w:szCs w:val="24"/>
        </w:rPr>
        <w:t xml:space="preserve"> </w:t>
      </w:r>
      <w:r w:rsidR="00610EF5" w:rsidRPr="00AE141E">
        <w:rPr>
          <w:rFonts w:ascii="Times New Roman" w:hAnsi="Times New Roman" w:cs="Times New Roman"/>
          <w:sz w:val="24"/>
          <w:szCs w:val="24"/>
        </w:rPr>
        <w:t xml:space="preserve">echoed in </w:t>
      </w:r>
      <w:r w:rsidR="008F1C8C" w:rsidRPr="00AE141E">
        <w:rPr>
          <w:rFonts w:ascii="Times New Roman" w:hAnsi="Times New Roman" w:cs="Times New Roman"/>
          <w:sz w:val="24"/>
          <w:szCs w:val="24"/>
        </w:rPr>
        <w:t>later iterations of the genre</w:t>
      </w:r>
      <w:r w:rsidR="00943BC3" w:rsidRPr="00AE141E">
        <w:rPr>
          <w:rFonts w:ascii="Times New Roman" w:hAnsi="Times New Roman" w:cs="Times New Roman"/>
          <w:sz w:val="24"/>
          <w:szCs w:val="24"/>
        </w:rPr>
        <w:t xml:space="preserve"> – notably, W.E. Johns’ </w:t>
      </w:r>
      <w:r w:rsidR="00943BC3" w:rsidRPr="00AE141E">
        <w:rPr>
          <w:rFonts w:ascii="Times New Roman" w:hAnsi="Times New Roman" w:cs="Times New Roman"/>
          <w:i/>
          <w:sz w:val="24"/>
          <w:szCs w:val="24"/>
        </w:rPr>
        <w:t xml:space="preserve">Biggles </w:t>
      </w:r>
      <w:r w:rsidR="00943BC3" w:rsidRPr="00AE141E">
        <w:rPr>
          <w:rFonts w:ascii="Times New Roman" w:hAnsi="Times New Roman" w:cs="Times New Roman"/>
          <w:sz w:val="24"/>
          <w:szCs w:val="24"/>
        </w:rPr>
        <w:t xml:space="preserve">novels, </w:t>
      </w:r>
      <w:r w:rsidR="000D0E0B" w:rsidRPr="00AE141E">
        <w:rPr>
          <w:rFonts w:ascii="Times New Roman" w:hAnsi="Times New Roman" w:cs="Times New Roman"/>
          <w:sz w:val="24"/>
          <w:szCs w:val="24"/>
        </w:rPr>
        <w:t xml:space="preserve">three of which appeared in the table. </w:t>
      </w:r>
    </w:p>
    <w:p w14:paraId="372122C4" w14:textId="181977E6" w:rsidR="0085040F" w:rsidRPr="00AE141E" w:rsidRDefault="005B75E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Biggles, Johns’ eponymous protagonist, </w:t>
      </w:r>
      <w:r w:rsidR="0001716D" w:rsidRPr="00AE141E">
        <w:rPr>
          <w:rFonts w:ascii="Times New Roman" w:hAnsi="Times New Roman" w:cs="Times New Roman"/>
          <w:sz w:val="24"/>
          <w:szCs w:val="24"/>
        </w:rPr>
        <w:t xml:space="preserve">reasserted imperial masculinity during the era of imperial decline. </w:t>
      </w:r>
      <w:r w:rsidR="0054775A" w:rsidRPr="00AE141E">
        <w:rPr>
          <w:rFonts w:ascii="Times New Roman" w:hAnsi="Times New Roman" w:cs="Times New Roman"/>
          <w:sz w:val="24"/>
          <w:szCs w:val="24"/>
        </w:rPr>
        <w:t>H</w:t>
      </w:r>
      <w:r w:rsidR="00FF7860" w:rsidRPr="00AE141E">
        <w:rPr>
          <w:rFonts w:ascii="Times New Roman" w:hAnsi="Times New Roman" w:cs="Times New Roman"/>
          <w:sz w:val="24"/>
          <w:szCs w:val="24"/>
        </w:rPr>
        <w:t>i</w:t>
      </w:r>
      <w:r w:rsidR="003D1AE5" w:rsidRPr="00AE141E">
        <w:rPr>
          <w:rFonts w:ascii="Times New Roman" w:hAnsi="Times New Roman" w:cs="Times New Roman"/>
          <w:sz w:val="24"/>
          <w:szCs w:val="24"/>
        </w:rPr>
        <w:t xml:space="preserve">s exploits </w:t>
      </w:r>
      <w:r w:rsidR="00975DEB" w:rsidRPr="00AE141E">
        <w:rPr>
          <w:rFonts w:ascii="Times New Roman" w:hAnsi="Times New Roman" w:cs="Times New Roman"/>
          <w:sz w:val="24"/>
          <w:szCs w:val="24"/>
        </w:rPr>
        <w:t>were</w:t>
      </w:r>
      <w:r w:rsidR="003D1AE5" w:rsidRPr="00AE141E">
        <w:rPr>
          <w:rFonts w:ascii="Times New Roman" w:hAnsi="Times New Roman" w:cs="Times New Roman"/>
          <w:sz w:val="24"/>
          <w:szCs w:val="24"/>
        </w:rPr>
        <w:t xml:space="preserve"> framed within the tradition of the ‘White man’s burden’ – a moral duty to </w:t>
      </w:r>
      <w:r w:rsidR="00977BF6" w:rsidRPr="00AE141E">
        <w:rPr>
          <w:rFonts w:ascii="Times New Roman" w:hAnsi="Times New Roman" w:cs="Times New Roman"/>
          <w:sz w:val="24"/>
          <w:szCs w:val="24"/>
        </w:rPr>
        <w:t xml:space="preserve">police the globe and </w:t>
      </w:r>
      <w:r w:rsidR="00B57715" w:rsidRPr="00AE141E">
        <w:rPr>
          <w:rFonts w:ascii="Times New Roman" w:hAnsi="Times New Roman" w:cs="Times New Roman"/>
          <w:sz w:val="24"/>
          <w:szCs w:val="24"/>
        </w:rPr>
        <w:t xml:space="preserve">to </w:t>
      </w:r>
      <w:r w:rsidR="00977BF6" w:rsidRPr="00AE141E">
        <w:rPr>
          <w:rFonts w:ascii="Times New Roman" w:hAnsi="Times New Roman" w:cs="Times New Roman"/>
          <w:sz w:val="24"/>
          <w:szCs w:val="24"/>
        </w:rPr>
        <w:t xml:space="preserve">deliver a specifically British form of justice. </w:t>
      </w:r>
      <w:r w:rsidR="00AD38BC" w:rsidRPr="00AE141E">
        <w:rPr>
          <w:rFonts w:ascii="Times New Roman" w:hAnsi="Times New Roman" w:cs="Times New Roman"/>
          <w:sz w:val="24"/>
          <w:szCs w:val="24"/>
        </w:rPr>
        <w:t xml:space="preserve">Biggles </w:t>
      </w:r>
      <w:r w:rsidR="00AD38BC" w:rsidRPr="00AE141E">
        <w:rPr>
          <w:rFonts w:ascii="Times New Roman" w:hAnsi="Times New Roman" w:cs="Times New Roman"/>
          <w:sz w:val="24"/>
          <w:szCs w:val="24"/>
        </w:rPr>
        <w:lastRenderedPageBreak/>
        <w:t xml:space="preserve">ventriloquised </w:t>
      </w:r>
      <w:r w:rsidR="003D6FBD" w:rsidRPr="00AE141E">
        <w:rPr>
          <w:rFonts w:ascii="Times New Roman" w:hAnsi="Times New Roman" w:cs="Times New Roman"/>
          <w:sz w:val="24"/>
          <w:szCs w:val="24"/>
        </w:rPr>
        <w:t>anxiety</w:t>
      </w:r>
      <w:r w:rsidR="00512B33" w:rsidRPr="00AE141E">
        <w:rPr>
          <w:rFonts w:ascii="Times New Roman" w:hAnsi="Times New Roman" w:cs="Times New Roman"/>
          <w:sz w:val="24"/>
          <w:szCs w:val="24"/>
        </w:rPr>
        <w:t xml:space="preserve"> and resentment at </w:t>
      </w:r>
      <w:r w:rsidR="00BF0C7A" w:rsidRPr="00AE141E">
        <w:rPr>
          <w:rFonts w:ascii="Times New Roman" w:hAnsi="Times New Roman" w:cs="Times New Roman"/>
          <w:sz w:val="24"/>
          <w:szCs w:val="24"/>
        </w:rPr>
        <w:t>the process of decolonisation</w:t>
      </w:r>
      <w:r w:rsidR="00E30587" w:rsidRPr="00AE141E">
        <w:rPr>
          <w:rFonts w:ascii="Times New Roman" w:hAnsi="Times New Roman" w:cs="Times New Roman"/>
          <w:sz w:val="24"/>
          <w:szCs w:val="24"/>
        </w:rPr>
        <w:t xml:space="preserve">, presenting this as an expression of moral and political cowardice which </w:t>
      </w:r>
      <w:r w:rsidR="00B858BD" w:rsidRPr="00AE141E">
        <w:rPr>
          <w:rFonts w:ascii="Times New Roman" w:hAnsi="Times New Roman" w:cs="Times New Roman"/>
          <w:sz w:val="24"/>
          <w:szCs w:val="24"/>
        </w:rPr>
        <w:t xml:space="preserve">left the British vulnerable to </w:t>
      </w:r>
      <w:r w:rsidR="00261F41" w:rsidRPr="00AE141E">
        <w:rPr>
          <w:rFonts w:ascii="Times New Roman" w:hAnsi="Times New Roman" w:cs="Times New Roman"/>
          <w:sz w:val="24"/>
          <w:szCs w:val="24"/>
        </w:rPr>
        <w:t>exploitation</w:t>
      </w:r>
      <w:r w:rsidR="00B858BD" w:rsidRPr="00AE141E">
        <w:rPr>
          <w:rFonts w:ascii="Times New Roman" w:hAnsi="Times New Roman" w:cs="Times New Roman"/>
          <w:sz w:val="24"/>
          <w:szCs w:val="24"/>
        </w:rPr>
        <w:t xml:space="preserve">. </w:t>
      </w:r>
      <w:r w:rsidR="00261F41" w:rsidRPr="00AE141E">
        <w:rPr>
          <w:rFonts w:ascii="Times New Roman" w:hAnsi="Times New Roman" w:cs="Times New Roman"/>
          <w:sz w:val="24"/>
          <w:szCs w:val="24"/>
        </w:rPr>
        <w:t xml:space="preserve">Thus, in </w:t>
      </w:r>
      <w:r w:rsidR="00261F41" w:rsidRPr="00AE141E">
        <w:rPr>
          <w:rFonts w:ascii="Times New Roman" w:hAnsi="Times New Roman" w:cs="Times New Roman"/>
          <w:i/>
          <w:sz w:val="24"/>
          <w:szCs w:val="24"/>
        </w:rPr>
        <w:t xml:space="preserve">Biggles and the Black Raider </w:t>
      </w:r>
      <w:r w:rsidR="00261F41" w:rsidRPr="00AE141E">
        <w:rPr>
          <w:rFonts w:ascii="Times New Roman" w:hAnsi="Times New Roman" w:cs="Times New Roman"/>
          <w:sz w:val="24"/>
          <w:szCs w:val="24"/>
        </w:rPr>
        <w:t>(1954), Biggles agrees to take a job</w:t>
      </w:r>
    </w:p>
    <w:p w14:paraId="497A51DC" w14:textId="2067547E" w:rsidR="004928A8" w:rsidRPr="00AE141E" w:rsidRDefault="00AB6704"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o</w:t>
      </w:r>
      <w:r w:rsidR="00892728" w:rsidRPr="00AE141E">
        <w:rPr>
          <w:rFonts w:ascii="Times New Roman" w:hAnsi="Times New Roman" w:cs="Times New Roman"/>
          <w:sz w:val="24"/>
          <w:szCs w:val="24"/>
        </w:rPr>
        <w:t xml:space="preserve">n the understanding </w:t>
      </w:r>
      <w:r w:rsidR="00EF52CC" w:rsidRPr="00AE141E">
        <w:rPr>
          <w:rFonts w:ascii="Times New Roman" w:hAnsi="Times New Roman" w:cs="Times New Roman"/>
          <w:sz w:val="24"/>
          <w:szCs w:val="24"/>
        </w:rPr>
        <w:t>that</w:t>
      </w:r>
      <w:r w:rsidR="00892728" w:rsidRPr="00AE141E">
        <w:rPr>
          <w:rFonts w:ascii="Times New Roman" w:hAnsi="Times New Roman" w:cs="Times New Roman"/>
          <w:sz w:val="24"/>
          <w:szCs w:val="24"/>
        </w:rPr>
        <w:t xml:space="preserve"> there’s no interference by bureaucrats at home. I want no bleating in the House of Commons about a poor innocent native </w:t>
      </w:r>
      <w:r w:rsidR="00FD6320" w:rsidRPr="00AE141E">
        <w:rPr>
          <w:rFonts w:ascii="Times New Roman" w:hAnsi="Times New Roman" w:cs="Times New Roman"/>
          <w:sz w:val="24"/>
          <w:szCs w:val="24"/>
        </w:rPr>
        <w:t xml:space="preserve">being shot […] </w:t>
      </w:r>
      <w:r w:rsidR="00EF52CC" w:rsidRPr="00AE141E">
        <w:rPr>
          <w:rFonts w:ascii="Times New Roman" w:hAnsi="Times New Roman" w:cs="Times New Roman"/>
          <w:sz w:val="24"/>
          <w:szCs w:val="24"/>
        </w:rPr>
        <w:t>Nobody</w:t>
      </w:r>
      <w:r w:rsidR="00170E21" w:rsidRPr="00AE141E">
        <w:rPr>
          <w:rFonts w:ascii="Times New Roman" w:hAnsi="Times New Roman" w:cs="Times New Roman"/>
          <w:sz w:val="24"/>
          <w:szCs w:val="24"/>
        </w:rPr>
        <w:t xml:space="preserve"> says a word if fifty British tommies are bumped off; but let one poor benighted heathen get </w:t>
      </w:r>
      <w:r w:rsidR="00E455B7" w:rsidRPr="00AE141E">
        <w:rPr>
          <w:rFonts w:ascii="Times New Roman" w:hAnsi="Times New Roman" w:cs="Times New Roman"/>
          <w:sz w:val="24"/>
          <w:szCs w:val="24"/>
        </w:rPr>
        <w:t>the</w:t>
      </w:r>
      <w:r w:rsidR="00170E21" w:rsidRPr="00AE141E">
        <w:rPr>
          <w:rFonts w:ascii="Times New Roman" w:hAnsi="Times New Roman" w:cs="Times New Roman"/>
          <w:sz w:val="24"/>
          <w:szCs w:val="24"/>
        </w:rPr>
        <w:t xml:space="preserve"> </w:t>
      </w:r>
      <w:r w:rsidR="00E455B7" w:rsidRPr="00AE141E">
        <w:rPr>
          <w:rFonts w:ascii="Times New Roman" w:hAnsi="Times New Roman" w:cs="Times New Roman"/>
          <w:sz w:val="24"/>
          <w:szCs w:val="24"/>
        </w:rPr>
        <w:t>works</w:t>
      </w:r>
      <w:r w:rsidR="00170E21" w:rsidRPr="00AE141E">
        <w:rPr>
          <w:rFonts w:ascii="Times New Roman" w:hAnsi="Times New Roman" w:cs="Times New Roman"/>
          <w:sz w:val="24"/>
          <w:szCs w:val="24"/>
        </w:rPr>
        <w:t xml:space="preserve"> and the balloon goes up</w:t>
      </w:r>
      <w:r w:rsidR="00EF52CC" w:rsidRPr="00AE141E">
        <w:rPr>
          <w:rFonts w:ascii="Times New Roman" w:hAnsi="Times New Roman" w:cs="Times New Roman"/>
          <w:sz w:val="24"/>
          <w:szCs w:val="24"/>
        </w:rPr>
        <w:t>. Then people wonder why things are going to pot.</w:t>
      </w:r>
      <w:r w:rsidR="00E455B7" w:rsidRPr="00AE141E">
        <w:rPr>
          <w:rStyle w:val="FootnoteReference"/>
          <w:rFonts w:ascii="Times New Roman" w:hAnsi="Times New Roman" w:cs="Times New Roman"/>
          <w:sz w:val="24"/>
          <w:szCs w:val="24"/>
        </w:rPr>
        <w:footnoteReference w:id="655"/>
      </w:r>
    </w:p>
    <w:p w14:paraId="1178C5F6" w14:textId="650E4BA0" w:rsidR="000D3575" w:rsidRPr="00AE141E" w:rsidRDefault="003B146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Biggles’</w:t>
      </w:r>
      <w:r w:rsidR="00D30ABA" w:rsidRPr="00AE141E">
        <w:rPr>
          <w:rFonts w:ascii="Times New Roman" w:hAnsi="Times New Roman" w:cs="Times New Roman"/>
          <w:sz w:val="24"/>
          <w:szCs w:val="24"/>
        </w:rPr>
        <w:t xml:space="preserve"> paranoid </w:t>
      </w:r>
      <w:r w:rsidRPr="00AE141E">
        <w:rPr>
          <w:rFonts w:ascii="Times New Roman" w:hAnsi="Times New Roman" w:cs="Times New Roman"/>
          <w:sz w:val="24"/>
          <w:szCs w:val="24"/>
        </w:rPr>
        <w:t xml:space="preserve">fear of a racial power reversal, with which the reader </w:t>
      </w:r>
      <w:r w:rsidR="00F436B9" w:rsidRPr="00AE141E">
        <w:rPr>
          <w:rFonts w:ascii="Times New Roman" w:hAnsi="Times New Roman" w:cs="Times New Roman"/>
          <w:sz w:val="24"/>
          <w:szCs w:val="24"/>
        </w:rPr>
        <w:t>is</w:t>
      </w:r>
      <w:r w:rsidRPr="00AE141E">
        <w:rPr>
          <w:rFonts w:ascii="Times New Roman" w:hAnsi="Times New Roman" w:cs="Times New Roman"/>
          <w:sz w:val="24"/>
          <w:szCs w:val="24"/>
        </w:rPr>
        <w:t xml:space="preserve"> expected to sympathise, is familiar from </w:t>
      </w:r>
      <w:r w:rsidR="00E2282C" w:rsidRPr="00AE141E">
        <w:rPr>
          <w:rFonts w:ascii="Times New Roman" w:hAnsi="Times New Roman" w:cs="Times New Roman"/>
          <w:sz w:val="24"/>
          <w:szCs w:val="24"/>
        </w:rPr>
        <w:t>contemporary discussions of immigratio</w:t>
      </w:r>
      <w:r w:rsidR="00537A7F" w:rsidRPr="00AE141E">
        <w:rPr>
          <w:rFonts w:ascii="Times New Roman" w:hAnsi="Times New Roman" w:cs="Times New Roman"/>
          <w:sz w:val="24"/>
          <w:szCs w:val="24"/>
        </w:rPr>
        <w:t>n which depicted the presence of former colonial subjects in the metropole as a</w:t>
      </w:r>
      <w:r w:rsidR="003B4B8F" w:rsidRPr="00AE141E">
        <w:rPr>
          <w:rFonts w:ascii="Times New Roman" w:hAnsi="Times New Roman" w:cs="Times New Roman"/>
          <w:sz w:val="24"/>
          <w:szCs w:val="24"/>
        </w:rPr>
        <w:t>n oppressive</w:t>
      </w:r>
      <w:r w:rsidR="00A80EB0" w:rsidRPr="00AE141E">
        <w:rPr>
          <w:rFonts w:ascii="Times New Roman" w:hAnsi="Times New Roman" w:cs="Times New Roman"/>
          <w:sz w:val="24"/>
          <w:szCs w:val="24"/>
        </w:rPr>
        <w:t>, counter-imperial</w:t>
      </w:r>
      <w:r w:rsidR="00537A7F" w:rsidRPr="00AE141E">
        <w:rPr>
          <w:rFonts w:ascii="Times New Roman" w:hAnsi="Times New Roman" w:cs="Times New Roman"/>
          <w:sz w:val="24"/>
          <w:szCs w:val="24"/>
        </w:rPr>
        <w:t xml:space="preserve"> threat to White Britishness</w:t>
      </w:r>
      <w:r w:rsidR="001660EE" w:rsidRPr="00AE141E">
        <w:rPr>
          <w:rFonts w:ascii="Times New Roman" w:hAnsi="Times New Roman" w:cs="Times New Roman"/>
          <w:sz w:val="24"/>
          <w:szCs w:val="24"/>
        </w:rPr>
        <w:t>.</w:t>
      </w:r>
      <w:r w:rsidR="00CC49B2" w:rsidRPr="00AE141E">
        <w:rPr>
          <w:rStyle w:val="FootnoteReference"/>
          <w:rFonts w:ascii="Times New Roman" w:hAnsi="Times New Roman" w:cs="Times New Roman"/>
          <w:sz w:val="24"/>
          <w:szCs w:val="24"/>
        </w:rPr>
        <w:footnoteReference w:id="656"/>
      </w:r>
    </w:p>
    <w:p w14:paraId="0806DFBA" w14:textId="056F072A" w:rsidR="008D2386" w:rsidRDefault="00F43C58" w:rsidP="00AE141E">
      <w:pPr>
        <w:tabs>
          <w:tab w:val="left" w:pos="6730"/>
        </w:tabs>
        <w:spacing w:before="240" w:line="360" w:lineRule="auto"/>
        <w:rPr>
          <w:rFonts w:ascii="Times New Roman" w:hAnsi="Times New Roman" w:cs="Times New Roman"/>
          <w:sz w:val="24"/>
          <w:szCs w:val="24"/>
        </w:rPr>
      </w:pPr>
      <w:r w:rsidRPr="00AE141E">
        <w:rPr>
          <w:rFonts w:ascii="Times New Roman" w:hAnsi="Times New Roman" w:cs="Times New Roman"/>
          <w:sz w:val="24"/>
          <w:szCs w:val="24"/>
        </w:rPr>
        <w:t xml:space="preserve">For </w:t>
      </w:r>
      <w:r w:rsidR="00916A19" w:rsidRPr="00AE141E">
        <w:rPr>
          <w:rFonts w:ascii="Times New Roman" w:hAnsi="Times New Roman" w:cs="Times New Roman"/>
          <w:sz w:val="24"/>
          <w:szCs w:val="24"/>
        </w:rPr>
        <w:t xml:space="preserve">young people </w:t>
      </w:r>
      <w:r w:rsidRPr="00AE141E">
        <w:rPr>
          <w:rFonts w:ascii="Times New Roman" w:hAnsi="Times New Roman" w:cs="Times New Roman"/>
          <w:sz w:val="24"/>
          <w:szCs w:val="24"/>
        </w:rPr>
        <w:t xml:space="preserve">at the upper end of the age-range surveyed, a common theme seems to have been the desire for thrill and excitement. </w:t>
      </w:r>
      <w:r w:rsidR="00AE0F10" w:rsidRPr="00AE141E">
        <w:rPr>
          <w:rFonts w:ascii="Times New Roman" w:hAnsi="Times New Roman" w:cs="Times New Roman"/>
          <w:sz w:val="24"/>
          <w:szCs w:val="24"/>
        </w:rPr>
        <w:t xml:space="preserve">The </w:t>
      </w:r>
      <w:r w:rsidR="003907A9" w:rsidRPr="00AE141E">
        <w:rPr>
          <w:rFonts w:ascii="Times New Roman" w:hAnsi="Times New Roman" w:cs="Times New Roman"/>
          <w:sz w:val="24"/>
          <w:szCs w:val="24"/>
        </w:rPr>
        <w:t>emotional landscape of the imperial adventure story</w:t>
      </w:r>
      <w:r w:rsidR="00265AD1" w:rsidRPr="00AE141E">
        <w:rPr>
          <w:rFonts w:ascii="Times New Roman" w:hAnsi="Times New Roman" w:cs="Times New Roman"/>
          <w:sz w:val="24"/>
          <w:szCs w:val="24"/>
        </w:rPr>
        <w:t xml:space="preserve"> (tales of </w:t>
      </w:r>
      <w:r w:rsidR="00FD720B">
        <w:rPr>
          <w:rFonts w:ascii="Times New Roman" w:hAnsi="Times New Roman" w:cs="Times New Roman"/>
          <w:sz w:val="24"/>
          <w:szCs w:val="24"/>
        </w:rPr>
        <w:t>‘</w:t>
      </w:r>
      <w:r w:rsidR="00265AD1" w:rsidRPr="00AE141E">
        <w:rPr>
          <w:rFonts w:ascii="Times New Roman" w:hAnsi="Times New Roman" w:cs="Times New Roman"/>
          <w:sz w:val="24"/>
          <w:szCs w:val="24"/>
        </w:rPr>
        <w:t>derring</w:t>
      </w:r>
      <w:r w:rsidR="00830131" w:rsidRPr="00AE141E">
        <w:rPr>
          <w:rFonts w:ascii="Times New Roman" w:hAnsi="Times New Roman" w:cs="Times New Roman"/>
          <w:sz w:val="24"/>
          <w:szCs w:val="24"/>
        </w:rPr>
        <w:t>-</w:t>
      </w:r>
      <w:r w:rsidR="00265AD1" w:rsidRPr="00AE141E">
        <w:rPr>
          <w:rFonts w:ascii="Times New Roman" w:hAnsi="Times New Roman" w:cs="Times New Roman"/>
          <w:sz w:val="24"/>
          <w:szCs w:val="24"/>
        </w:rPr>
        <w:t>do</w:t>
      </w:r>
      <w:r w:rsidR="00FD720B">
        <w:rPr>
          <w:rFonts w:ascii="Times New Roman" w:hAnsi="Times New Roman" w:cs="Times New Roman"/>
          <w:sz w:val="24"/>
          <w:szCs w:val="24"/>
        </w:rPr>
        <w:t>’</w:t>
      </w:r>
      <w:r w:rsidR="00265AD1" w:rsidRPr="00AE141E">
        <w:rPr>
          <w:rFonts w:ascii="Times New Roman" w:hAnsi="Times New Roman" w:cs="Times New Roman"/>
          <w:sz w:val="24"/>
          <w:szCs w:val="24"/>
        </w:rPr>
        <w:t xml:space="preserve"> </w:t>
      </w:r>
      <w:r w:rsidR="00830131" w:rsidRPr="00AE141E">
        <w:rPr>
          <w:rFonts w:ascii="Times New Roman" w:hAnsi="Times New Roman" w:cs="Times New Roman"/>
          <w:sz w:val="24"/>
          <w:szCs w:val="24"/>
        </w:rPr>
        <w:t>and the deliverance of justice against the odds</w:t>
      </w:r>
      <w:r w:rsidR="00CB6D56" w:rsidRPr="00AE141E">
        <w:rPr>
          <w:rFonts w:ascii="Times New Roman" w:hAnsi="Times New Roman" w:cs="Times New Roman"/>
          <w:sz w:val="24"/>
          <w:szCs w:val="24"/>
        </w:rPr>
        <w:t>, playing out against a harsh foreign landscape</w:t>
      </w:r>
      <w:r w:rsidR="00830131" w:rsidRPr="00AE141E">
        <w:rPr>
          <w:rFonts w:ascii="Times New Roman" w:hAnsi="Times New Roman" w:cs="Times New Roman"/>
          <w:sz w:val="24"/>
          <w:szCs w:val="24"/>
        </w:rPr>
        <w:t>)</w:t>
      </w:r>
      <w:r w:rsidR="003907A9" w:rsidRPr="00AE141E">
        <w:rPr>
          <w:rFonts w:ascii="Times New Roman" w:hAnsi="Times New Roman" w:cs="Times New Roman"/>
          <w:sz w:val="24"/>
          <w:szCs w:val="24"/>
        </w:rPr>
        <w:t xml:space="preserve"> was </w:t>
      </w:r>
      <w:r w:rsidR="00916CEC" w:rsidRPr="00AE141E">
        <w:rPr>
          <w:rFonts w:ascii="Times New Roman" w:hAnsi="Times New Roman" w:cs="Times New Roman"/>
          <w:sz w:val="24"/>
          <w:szCs w:val="24"/>
        </w:rPr>
        <w:t xml:space="preserve">often </w:t>
      </w:r>
      <w:r w:rsidR="00C64D67" w:rsidRPr="00AE141E">
        <w:rPr>
          <w:rFonts w:ascii="Times New Roman" w:hAnsi="Times New Roman" w:cs="Times New Roman"/>
          <w:sz w:val="24"/>
          <w:szCs w:val="24"/>
        </w:rPr>
        <w:t>transposed</w:t>
      </w:r>
      <w:r w:rsidR="00916CEC" w:rsidRPr="00AE141E">
        <w:rPr>
          <w:rFonts w:ascii="Times New Roman" w:hAnsi="Times New Roman" w:cs="Times New Roman"/>
          <w:sz w:val="24"/>
          <w:szCs w:val="24"/>
        </w:rPr>
        <w:t xml:space="preserve"> onto </w:t>
      </w:r>
      <w:r w:rsidR="00C64D67" w:rsidRPr="00AE141E">
        <w:rPr>
          <w:rFonts w:ascii="Times New Roman" w:hAnsi="Times New Roman" w:cs="Times New Roman"/>
          <w:sz w:val="24"/>
          <w:szCs w:val="24"/>
        </w:rPr>
        <w:t xml:space="preserve">the Second World War. </w:t>
      </w:r>
      <w:r w:rsidR="003B3C3A" w:rsidRPr="00AE141E">
        <w:rPr>
          <w:rFonts w:ascii="Times New Roman" w:hAnsi="Times New Roman" w:cs="Times New Roman"/>
          <w:sz w:val="24"/>
          <w:szCs w:val="24"/>
        </w:rPr>
        <w:t>T</w:t>
      </w:r>
      <w:r w:rsidR="003E2EFF" w:rsidRPr="00AE141E">
        <w:rPr>
          <w:rFonts w:ascii="Times New Roman" w:hAnsi="Times New Roman" w:cs="Times New Roman"/>
          <w:sz w:val="24"/>
          <w:szCs w:val="24"/>
        </w:rPr>
        <w:t>his wa</w:t>
      </w:r>
      <w:r w:rsidR="002B15F8" w:rsidRPr="00AE141E">
        <w:rPr>
          <w:rFonts w:ascii="Times New Roman" w:hAnsi="Times New Roman" w:cs="Times New Roman"/>
          <w:sz w:val="24"/>
          <w:szCs w:val="24"/>
        </w:rPr>
        <w:t xml:space="preserve">s one component of a broader cultural shift </w:t>
      </w:r>
      <w:r w:rsidR="001B4409" w:rsidRPr="00AE141E">
        <w:rPr>
          <w:rFonts w:ascii="Times New Roman" w:hAnsi="Times New Roman" w:cs="Times New Roman"/>
          <w:sz w:val="24"/>
          <w:szCs w:val="24"/>
        </w:rPr>
        <w:t xml:space="preserve">in which the war came to occupy </w:t>
      </w:r>
      <w:r w:rsidR="00CD0998" w:rsidRPr="00AE141E">
        <w:rPr>
          <w:rFonts w:ascii="Times New Roman" w:hAnsi="Times New Roman" w:cs="Times New Roman"/>
          <w:sz w:val="24"/>
          <w:szCs w:val="24"/>
        </w:rPr>
        <w:t>the empire’s former space within the national mythos.</w:t>
      </w:r>
      <w:r w:rsidR="002B15F8" w:rsidRPr="00AE141E">
        <w:rPr>
          <w:rFonts w:ascii="Times New Roman" w:hAnsi="Times New Roman" w:cs="Times New Roman"/>
          <w:sz w:val="24"/>
          <w:szCs w:val="24"/>
        </w:rPr>
        <w:t xml:space="preserve"> </w:t>
      </w:r>
      <w:r w:rsidR="002447BF" w:rsidRPr="00AE141E">
        <w:rPr>
          <w:rFonts w:ascii="Times New Roman" w:hAnsi="Times New Roman" w:cs="Times New Roman"/>
          <w:sz w:val="24"/>
          <w:szCs w:val="24"/>
        </w:rPr>
        <w:t>Popular texts in the genre of war-fiction included</w:t>
      </w:r>
      <w:r w:rsidR="006F64B7" w:rsidRPr="00AE141E">
        <w:rPr>
          <w:rFonts w:ascii="Times New Roman" w:hAnsi="Times New Roman" w:cs="Times New Roman"/>
          <w:sz w:val="24"/>
          <w:szCs w:val="24"/>
        </w:rPr>
        <w:t xml:space="preserve"> Ian Serraillier’s </w:t>
      </w:r>
      <w:r w:rsidR="006F64B7" w:rsidRPr="00AE141E">
        <w:rPr>
          <w:rFonts w:ascii="Times New Roman" w:hAnsi="Times New Roman" w:cs="Times New Roman"/>
          <w:i/>
          <w:sz w:val="24"/>
          <w:szCs w:val="24"/>
        </w:rPr>
        <w:t>The Silver Sword</w:t>
      </w:r>
      <w:r w:rsidR="006F64B7" w:rsidRPr="00AE141E">
        <w:rPr>
          <w:rFonts w:ascii="Times New Roman" w:hAnsi="Times New Roman" w:cs="Times New Roman"/>
          <w:sz w:val="24"/>
          <w:szCs w:val="24"/>
        </w:rPr>
        <w:t xml:space="preserve">, </w:t>
      </w:r>
      <w:r w:rsidR="00453116" w:rsidRPr="00AE141E">
        <w:rPr>
          <w:rFonts w:ascii="Times New Roman" w:hAnsi="Times New Roman" w:cs="Times New Roman"/>
          <w:sz w:val="24"/>
          <w:szCs w:val="24"/>
        </w:rPr>
        <w:t xml:space="preserve">Paul Brickhill’s </w:t>
      </w:r>
      <w:r w:rsidR="00453116" w:rsidRPr="00AE141E">
        <w:rPr>
          <w:rFonts w:ascii="Times New Roman" w:hAnsi="Times New Roman" w:cs="Times New Roman"/>
          <w:i/>
          <w:sz w:val="24"/>
          <w:szCs w:val="24"/>
        </w:rPr>
        <w:t>The Dam Busters</w:t>
      </w:r>
      <w:r w:rsidR="00533DCF">
        <w:rPr>
          <w:rFonts w:ascii="Times New Roman" w:hAnsi="Times New Roman" w:cs="Times New Roman"/>
          <w:sz w:val="24"/>
          <w:szCs w:val="24"/>
        </w:rPr>
        <w:t xml:space="preserve"> and </w:t>
      </w:r>
      <w:r w:rsidR="00732F03" w:rsidRPr="00AE141E">
        <w:rPr>
          <w:rFonts w:ascii="Times New Roman" w:hAnsi="Times New Roman" w:cs="Times New Roman"/>
          <w:i/>
          <w:sz w:val="24"/>
          <w:szCs w:val="24"/>
        </w:rPr>
        <w:t>Reach for the Sky</w:t>
      </w:r>
      <w:r w:rsidR="00732F03" w:rsidRPr="00AE141E">
        <w:rPr>
          <w:rFonts w:ascii="Times New Roman" w:hAnsi="Times New Roman" w:cs="Times New Roman"/>
          <w:sz w:val="24"/>
          <w:szCs w:val="24"/>
        </w:rPr>
        <w:t xml:space="preserve">, and </w:t>
      </w:r>
      <w:r w:rsidR="00453116" w:rsidRPr="00AE141E">
        <w:rPr>
          <w:rFonts w:ascii="Times New Roman" w:hAnsi="Times New Roman" w:cs="Times New Roman"/>
          <w:sz w:val="24"/>
          <w:szCs w:val="24"/>
        </w:rPr>
        <w:t>Alistair MacLean’s The</w:t>
      </w:r>
      <w:r w:rsidR="00453116" w:rsidRPr="00AE141E">
        <w:rPr>
          <w:rFonts w:ascii="Times New Roman" w:hAnsi="Times New Roman" w:cs="Times New Roman"/>
          <w:i/>
          <w:sz w:val="24"/>
          <w:szCs w:val="24"/>
        </w:rPr>
        <w:t xml:space="preserve"> Guns of Navarone</w:t>
      </w:r>
      <w:r w:rsidR="00732F03" w:rsidRPr="00AE141E">
        <w:rPr>
          <w:rFonts w:ascii="Times New Roman" w:hAnsi="Times New Roman" w:cs="Times New Roman"/>
          <w:i/>
          <w:sz w:val="24"/>
          <w:szCs w:val="24"/>
        </w:rPr>
        <w:t xml:space="preserve"> </w:t>
      </w:r>
      <w:r w:rsidR="00732F03" w:rsidRPr="00AE141E">
        <w:rPr>
          <w:rFonts w:ascii="Times New Roman" w:hAnsi="Times New Roman" w:cs="Times New Roman"/>
          <w:sz w:val="24"/>
          <w:szCs w:val="24"/>
        </w:rPr>
        <w:t>and</w:t>
      </w:r>
      <w:r w:rsidR="00453116" w:rsidRPr="00AE141E">
        <w:rPr>
          <w:rFonts w:ascii="Times New Roman" w:hAnsi="Times New Roman" w:cs="Times New Roman"/>
          <w:i/>
          <w:sz w:val="24"/>
          <w:szCs w:val="24"/>
        </w:rPr>
        <w:t xml:space="preserve"> Where Eagles Dare</w:t>
      </w:r>
      <w:r w:rsidR="00732F03" w:rsidRPr="00BA0111">
        <w:rPr>
          <w:rFonts w:ascii="Times New Roman" w:hAnsi="Times New Roman" w:cs="Times New Roman"/>
          <w:iCs/>
          <w:sz w:val="24"/>
          <w:szCs w:val="24"/>
        </w:rPr>
        <w:t>.</w:t>
      </w:r>
      <w:r w:rsidR="003D5630" w:rsidRPr="00BA0111">
        <w:rPr>
          <w:rStyle w:val="FootnoteReference"/>
          <w:rFonts w:ascii="Times New Roman" w:hAnsi="Times New Roman" w:cs="Times New Roman"/>
          <w:iCs/>
          <w:sz w:val="24"/>
          <w:szCs w:val="24"/>
        </w:rPr>
        <w:footnoteReference w:id="657"/>
      </w:r>
      <w:r w:rsidR="007F6194" w:rsidRPr="00BA0111">
        <w:rPr>
          <w:rFonts w:ascii="Times New Roman" w:hAnsi="Times New Roman" w:cs="Times New Roman"/>
          <w:iCs/>
          <w:sz w:val="24"/>
          <w:szCs w:val="24"/>
        </w:rPr>
        <w:t xml:space="preserve"> </w:t>
      </w:r>
      <w:r w:rsidR="004B38CC" w:rsidRPr="00AE141E">
        <w:rPr>
          <w:rFonts w:ascii="Times New Roman" w:hAnsi="Times New Roman" w:cs="Times New Roman"/>
          <w:sz w:val="24"/>
          <w:szCs w:val="24"/>
        </w:rPr>
        <w:t>The popularity of these novels may also be linked to a desire to gain access to</w:t>
      </w:r>
      <w:r w:rsidR="001E6FA1" w:rsidRPr="00AE141E">
        <w:rPr>
          <w:rFonts w:ascii="Times New Roman" w:hAnsi="Times New Roman" w:cs="Times New Roman"/>
          <w:sz w:val="24"/>
          <w:szCs w:val="24"/>
        </w:rPr>
        <w:t xml:space="preserve"> otherwise</w:t>
      </w:r>
      <w:r w:rsidR="004B38CC" w:rsidRPr="00AE141E">
        <w:rPr>
          <w:rFonts w:ascii="Times New Roman" w:hAnsi="Times New Roman" w:cs="Times New Roman"/>
          <w:sz w:val="24"/>
          <w:szCs w:val="24"/>
        </w:rPr>
        <w:t xml:space="preserve"> restricted </w:t>
      </w:r>
      <w:r w:rsidR="001E6FA1" w:rsidRPr="00AE141E">
        <w:rPr>
          <w:rFonts w:ascii="Times New Roman" w:hAnsi="Times New Roman" w:cs="Times New Roman"/>
          <w:sz w:val="24"/>
          <w:szCs w:val="24"/>
        </w:rPr>
        <w:t>material</w:t>
      </w:r>
      <w:r w:rsidR="006352B1" w:rsidRPr="00AE141E">
        <w:rPr>
          <w:rFonts w:ascii="Times New Roman" w:hAnsi="Times New Roman" w:cs="Times New Roman"/>
          <w:sz w:val="24"/>
          <w:szCs w:val="24"/>
        </w:rPr>
        <w:t xml:space="preserve"> – </w:t>
      </w:r>
      <w:r w:rsidR="00DD4B11" w:rsidRPr="00AE141E">
        <w:rPr>
          <w:rFonts w:ascii="Times New Roman" w:hAnsi="Times New Roman" w:cs="Times New Roman"/>
          <w:sz w:val="24"/>
          <w:szCs w:val="24"/>
        </w:rPr>
        <w:t>including depictions of violence – which were</w:t>
      </w:r>
      <w:r w:rsidR="006352B1" w:rsidRPr="00AE141E">
        <w:rPr>
          <w:rFonts w:ascii="Times New Roman" w:hAnsi="Times New Roman" w:cs="Times New Roman"/>
          <w:sz w:val="24"/>
          <w:szCs w:val="24"/>
        </w:rPr>
        <w:t xml:space="preserve"> seen as belonging to the adult world.</w:t>
      </w:r>
    </w:p>
    <w:p w14:paraId="50FD9EF2" w14:textId="558F673B" w:rsidR="00685B73" w:rsidRPr="008D2386" w:rsidRDefault="00DD4B11" w:rsidP="00AE141E">
      <w:pPr>
        <w:tabs>
          <w:tab w:val="left" w:pos="6730"/>
        </w:tabs>
        <w:spacing w:before="240" w:line="360" w:lineRule="auto"/>
        <w:rPr>
          <w:rFonts w:ascii="Times New Roman" w:hAnsi="Times New Roman" w:cs="Times New Roman"/>
          <w:iCs/>
          <w:sz w:val="24"/>
          <w:szCs w:val="24"/>
        </w:rPr>
      </w:pPr>
      <w:r w:rsidRPr="00AE141E">
        <w:rPr>
          <w:rFonts w:ascii="Times New Roman" w:hAnsi="Times New Roman" w:cs="Times New Roman"/>
          <w:sz w:val="24"/>
          <w:szCs w:val="24"/>
        </w:rPr>
        <w:t xml:space="preserve">Certainly, </w:t>
      </w:r>
      <w:r w:rsidR="0056153F" w:rsidRPr="00AE141E">
        <w:rPr>
          <w:rFonts w:ascii="Times New Roman" w:hAnsi="Times New Roman" w:cs="Times New Roman"/>
          <w:sz w:val="24"/>
          <w:szCs w:val="24"/>
        </w:rPr>
        <w:t>curiosity about sex and violence go some way to accounting for the popularity of</w:t>
      </w:r>
      <w:r w:rsidR="00E66166">
        <w:rPr>
          <w:rFonts w:ascii="Times New Roman" w:hAnsi="Times New Roman" w:cs="Times New Roman"/>
          <w:sz w:val="24"/>
          <w:szCs w:val="24"/>
        </w:rPr>
        <w:t xml:space="preserve"> </w:t>
      </w:r>
      <w:r w:rsidR="00E66166" w:rsidRPr="00AE141E">
        <w:rPr>
          <w:rFonts w:ascii="Times New Roman" w:hAnsi="Times New Roman" w:cs="Times New Roman"/>
          <w:sz w:val="24"/>
          <w:szCs w:val="24"/>
        </w:rPr>
        <w:t>the second most widely read book in the 14+ age-group</w:t>
      </w:r>
      <w:r w:rsidR="00B03975">
        <w:rPr>
          <w:rFonts w:ascii="Times New Roman" w:hAnsi="Times New Roman" w:cs="Times New Roman"/>
          <w:sz w:val="24"/>
          <w:szCs w:val="24"/>
        </w:rPr>
        <w:t>,</w:t>
      </w:r>
      <w:r w:rsidR="00E66166">
        <w:rPr>
          <w:rFonts w:ascii="Times New Roman" w:hAnsi="Times New Roman" w:cs="Times New Roman"/>
          <w:sz w:val="24"/>
          <w:szCs w:val="24"/>
        </w:rPr>
        <w:t xml:space="preserve"> </w:t>
      </w:r>
      <w:r w:rsidR="0056153F" w:rsidRPr="00AE141E">
        <w:rPr>
          <w:rFonts w:ascii="Times New Roman" w:hAnsi="Times New Roman" w:cs="Times New Roman"/>
          <w:sz w:val="24"/>
          <w:szCs w:val="24"/>
        </w:rPr>
        <w:t xml:space="preserve">Richard Allen’s </w:t>
      </w:r>
      <w:r w:rsidR="0056153F" w:rsidRPr="00AE141E">
        <w:rPr>
          <w:rFonts w:ascii="Times New Roman" w:hAnsi="Times New Roman" w:cs="Times New Roman"/>
          <w:i/>
          <w:sz w:val="24"/>
          <w:szCs w:val="24"/>
        </w:rPr>
        <w:t>Skinhead</w:t>
      </w:r>
      <w:r w:rsidR="00B03975">
        <w:rPr>
          <w:rFonts w:ascii="Times New Roman" w:hAnsi="Times New Roman" w:cs="Times New Roman"/>
          <w:i/>
          <w:sz w:val="24"/>
          <w:szCs w:val="24"/>
        </w:rPr>
        <w:t xml:space="preserve">, </w:t>
      </w:r>
      <w:r w:rsidR="00DC2CBE" w:rsidRPr="00AE141E">
        <w:rPr>
          <w:rFonts w:ascii="Times New Roman" w:hAnsi="Times New Roman" w:cs="Times New Roman"/>
          <w:sz w:val="24"/>
          <w:szCs w:val="24"/>
        </w:rPr>
        <w:t xml:space="preserve">which </w:t>
      </w:r>
      <w:r w:rsidR="00DC2CBE" w:rsidRPr="00AE141E">
        <w:rPr>
          <w:rFonts w:ascii="Times New Roman" w:hAnsi="Times New Roman" w:cs="Times New Roman"/>
          <w:sz w:val="24"/>
          <w:szCs w:val="24"/>
        </w:rPr>
        <w:lastRenderedPageBreak/>
        <w:t>depicts racial</w:t>
      </w:r>
      <w:r w:rsidR="00B26462" w:rsidRPr="00AE141E">
        <w:rPr>
          <w:rFonts w:ascii="Times New Roman" w:hAnsi="Times New Roman" w:cs="Times New Roman"/>
          <w:sz w:val="24"/>
          <w:szCs w:val="24"/>
        </w:rPr>
        <w:t xml:space="preserve"> violence and sexual assault in gleeful</w:t>
      </w:r>
      <w:r w:rsidR="00A151AF">
        <w:rPr>
          <w:rFonts w:ascii="Times New Roman" w:hAnsi="Times New Roman" w:cs="Times New Roman"/>
          <w:sz w:val="24"/>
          <w:szCs w:val="24"/>
        </w:rPr>
        <w:t xml:space="preserve">ly graphic </w:t>
      </w:r>
      <w:r w:rsidR="00B26462" w:rsidRPr="00AE141E">
        <w:rPr>
          <w:rFonts w:ascii="Times New Roman" w:hAnsi="Times New Roman" w:cs="Times New Roman"/>
          <w:sz w:val="24"/>
          <w:szCs w:val="24"/>
        </w:rPr>
        <w:t>detail.</w:t>
      </w:r>
      <w:r w:rsidR="00B03975">
        <w:rPr>
          <w:rStyle w:val="FootnoteReference"/>
          <w:rFonts w:ascii="Times New Roman" w:hAnsi="Times New Roman" w:cs="Times New Roman"/>
          <w:sz w:val="24"/>
          <w:szCs w:val="24"/>
        </w:rPr>
        <w:footnoteReference w:id="658"/>
      </w:r>
      <w:r w:rsidR="00B26462" w:rsidRPr="00AE141E">
        <w:rPr>
          <w:rFonts w:ascii="Times New Roman" w:hAnsi="Times New Roman" w:cs="Times New Roman"/>
          <w:sz w:val="24"/>
          <w:szCs w:val="24"/>
        </w:rPr>
        <w:t xml:space="preserve"> </w:t>
      </w:r>
      <w:r w:rsidR="00775C40" w:rsidRPr="00AE141E">
        <w:rPr>
          <w:rFonts w:ascii="Times New Roman" w:hAnsi="Times New Roman" w:cs="Times New Roman"/>
          <w:sz w:val="24"/>
          <w:szCs w:val="24"/>
        </w:rPr>
        <w:t>Allen’s work</w:t>
      </w:r>
      <w:r w:rsidR="00EA7889" w:rsidRPr="00AE141E">
        <w:rPr>
          <w:rFonts w:ascii="Times New Roman" w:hAnsi="Times New Roman" w:cs="Times New Roman"/>
          <w:sz w:val="24"/>
          <w:szCs w:val="24"/>
        </w:rPr>
        <w:t xml:space="preserve"> was a vital component of </w:t>
      </w:r>
      <w:r w:rsidR="00A41AEC" w:rsidRPr="00AE141E">
        <w:rPr>
          <w:rFonts w:ascii="Times New Roman" w:hAnsi="Times New Roman" w:cs="Times New Roman"/>
          <w:sz w:val="24"/>
          <w:szCs w:val="24"/>
        </w:rPr>
        <w:t>the ‘youth</w:t>
      </w:r>
      <w:r w:rsidR="003B5636" w:rsidRPr="00AE141E">
        <w:rPr>
          <w:rFonts w:ascii="Times New Roman" w:hAnsi="Times New Roman" w:cs="Times New Roman"/>
          <w:sz w:val="24"/>
          <w:szCs w:val="24"/>
        </w:rPr>
        <w:t>-s</w:t>
      </w:r>
      <w:r w:rsidR="00A41AEC" w:rsidRPr="00AE141E">
        <w:rPr>
          <w:rFonts w:ascii="Times New Roman" w:hAnsi="Times New Roman" w:cs="Times New Roman"/>
          <w:sz w:val="24"/>
          <w:szCs w:val="24"/>
        </w:rPr>
        <w:t>ploitation’ genre,</w:t>
      </w:r>
      <w:r w:rsidR="00EA7889" w:rsidRPr="00AE141E">
        <w:rPr>
          <w:rFonts w:ascii="Times New Roman" w:hAnsi="Times New Roman" w:cs="Times New Roman"/>
          <w:sz w:val="24"/>
          <w:szCs w:val="24"/>
        </w:rPr>
        <w:t xml:space="preserve"> which</w:t>
      </w:r>
      <w:r w:rsidR="00A41AEC" w:rsidRPr="00AE141E">
        <w:rPr>
          <w:rFonts w:ascii="Times New Roman" w:hAnsi="Times New Roman" w:cs="Times New Roman"/>
          <w:sz w:val="24"/>
          <w:szCs w:val="24"/>
        </w:rPr>
        <w:t xml:space="preserve"> spoke specifically to </w:t>
      </w:r>
      <w:r w:rsidR="005C6203" w:rsidRPr="00AE141E">
        <w:rPr>
          <w:rFonts w:ascii="Times New Roman" w:hAnsi="Times New Roman" w:cs="Times New Roman"/>
          <w:sz w:val="24"/>
          <w:szCs w:val="24"/>
        </w:rPr>
        <w:t xml:space="preserve">young people’s feelings of </w:t>
      </w:r>
      <w:r w:rsidR="00255DAB" w:rsidRPr="00AE141E">
        <w:rPr>
          <w:rFonts w:ascii="Times New Roman" w:hAnsi="Times New Roman" w:cs="Times New Roman"/>
          <w:sz w:val="24"/>
          <w:szCs w:val="24"/>
        </w:rPr>
        <w:t>social, economic, and political marginalisation</w:t>
      </w:r>
      <w:r w:rsidR="00FD6136" w:rsidRPr="00AE141E">
        <w:rPr>
          <w:rFonts w:ascii="Times New Roman" w:hAnsi="Times New Roman" w:cs="Times New Roman"/>
          <w:sz w:val="24"/>
          <w:szCs w:val="24"/>
        </w:rPr>
        <w:t xml:space="preserve">. As </w:t>
      </w:r>
      <w:r w:rsidR="00A2083B" w:rsidRPr="00AE141E">
        <w:rPr>
          <w:rFonts w:ascii="Times New Roman" w:hAnsi="Times New Roman" w:cs="Times New Roman"/>
          <w:sz w:val="24"/>
          <w:szCs w:val="24"/>
        </w:rPr>
        <w:t>Bill Osgerby</w:t>
      </w:r>
      <w:r w:rsidR="00FD6136" w:rsidRPr="00AE141E">
        <w:rPr>
          <w:rFonts w:ascii="Times New Roman" w:hAnsi="Times New Roman" w:cs="Times New Roman"/>
          <w:sz w:val="24"/>
          <w:szCs w:val="24"/>
        </w:rPr>
        <w:t xml:space="preserve"> writes, </w:t>
      </w:r>
      <w:r w:rsidR="00793C9A" w:rsidRPr="00AE141E">
        <w:rPr>
          <w:rFonts w:ascii="Times New Roman" w:hAnsi="Times New Roman" w:cs="Times New Roman"/>
          <w:i/>
          <w:sz w:val="24"/>
          <w:szCs w:val="24"/>
        </w:rPr>
        <w:t xml:space="preserve">Skinhead </w:t>
      </w:r>
      <w:r w:rsidR="00793C9A" w:rsidRPr="00AE141E">
        <w:rPr>
          <w:rFonts w:ascii="Times New Roman" w:hAnsi="Times New Roman" w:cs="Times New Roman"/>
          <w:sz w:val="24"/>
          <w:szCs w:val="24"/>
        </w:rPr>
        <w:t>displayed a profoundly anti-authoritarian</w:t>
      </w:r>
      <w:r w:rsidR="00DB7B11" w:rsidRPr="00AE141E">
        <w:rPr>
          <w:rFonts w:ascii="Times New Roman" w:hAnsi="Times New Roman" w:cs="Times New Roman"/>
          <w:sz w:val="24"/>
          <w:szCs w:val="24"/>
        </w:rPr>
        <w:t xml:space="preserve"> streak which </w:t>
      </w:r>
      <w:r w:rsidR="009E3B65">
        <w:rPr>
          <w:rFonts w:ascii="Times New Roman" w:hAnsi="Times New Roman" w:cs="Times New Roman"/>
          <w:sz w:val="24"/>
          <w:szCs w:val="24"/>
        </w:rPr>
        <w:t>acknowledged</w:t>
      </w:r>
      <w:r w:rsidR="00DB7B11" w:rsidRPr="00AE141E">
        <w:rPr>
          <w:rFonts w:ascii="Times New Roman" w:hAnsi="Times New Roman" w:cs="Times New Roman"/>
          <w:sz w:val="24"/>
          <w:szCs w:val="24"/>
        </w:rPr>
        <w:t xml:space="preserve"> youth desires for</w:t>
      </w:r>
      <w:r w:rsidR="00030111" w:rsidRPr="00AE141E">
        <w:rPr>
          <w:rFonts w:ascii="Times New Roman" w:hAnsi="Times New Roman" w:cs="Times New Roman"/>
          <w:sz w:val="24"/>
          <w:szCs w:val="24"/>
        </w:rPr>
        <w:t xml:space="preserve"> rebellious</w:t>
      </w:r>
      <w:r w:rsidR="00DB7B11" w:rsidRPr="00AE141E">
        <w:rPr>
          <w:rFonts w:ascii="Times New Roman" w:hAnsi="Times New Roman" w:cs="Times New Roman"/>
          <w:sz w:val="24"/>
          <w:szCs w:val="24"/>
        </w:rPr>
        <w:t xml:space="preserve"> self-actualisation</w:t>
      </w:r>
      <w:r w:rsidR="00030111" w:rsidRPr="00AE141E">
        <w:rPr>
          <w:rFonts w:ascii="Times New Roman" w:hAnsi="Times New Roman" w:cs="Times New Roman"/>
          <w:sz w:val="24"/>
          <w:szCs w:val="24"/>
        </w:rPr>
        <w:t>.</w:t>
      </w:r>
      <w:r w:rsidR="00A23F13" w:rsidRPr="00AE141E">
        <w:rPr>
          <w:rStyle w:val="FootnoteReference"/>
          <w:rFonts w:ascii="Times New Roman" w:hAnsi="Times New Roman" w:cs="Times New Roman"/>
          <w:sz w:val="24"/>
          <w:szCs w:val="24"/>
        </w:rPr>
        <w:footnoteReference w:id="659"/>
      </w:r>
      <w:r w:rsidR="00030111" w:rsidRPr="00AE141E">
        <w:rPr>
          <w:rFonts w:ascii="Times New Roman" w:hAnsi="Times New Roman" w:cs="Times New Roman"/>
          <w:sz w:val="24"/>
          <w:szCs w:val="24"/>
        </w:rPr>
        <w:t xml:space="preserve"> </w:t>
      </w:r>
      <w:r w:rsidR="00A2083B" w:rsidRPr="00AE141E">
        <w:rPr>
          <w:rFonts w:ascii="Times New Roman" w:hAnsi="Times New Roman" w:cs="Times New Roman"/>
          <w:sz w:val="24"/>
          <w:szCs w:val="24"/>
        </w:rPr>
        <w:t>S</w:t>
      </w:r>
      <w:r w:rsidR="00030111" w:rsidRPr="00AE141E">
        <w:rPr>
          <w:rFonts w:ascii="Times New Roman" w:hAnsi="Times New Roman" w:cs="Times New Roman"/>
          <w:sz w:val="24"/>
          <w:szCs w:val="24"/>
        </w:rPr>
        <w:t xml:space="preserve">uch </w:t>
      </w:r>
      <w:r w:rsidR="009E3B65">
        <w:rPr>
          <w:rFonts w:ascii="Times New Roman" w:hAnsi="Times New Roman" w:cs="Times New Roman"/>
          <w:sz w:val="24"/>
          <w:szCs w:val="24"/>
        </w:rPr>
        <w:t>texts</w:t>
      </w:r>
      <w:r w:rsidR="00030111" w:rsidRPr="00AE141E">
        <w:rPr>
          <w:rFonts w:ascii="Times New Roman" w:hAnsi="Times New Roman" w:cs="Times New Roman"/>
          <w:sz w:val="24"/>
          <w:szCs w:val="24"/>
        </w:rPr>
        <w:t xml:space="preserve"> would have been consumed away from, and in defiance of, </w:t>
      </w:r>
      <w:r w:rsidR="006625CD" w:rsidRPr="00AE141E">
        <w:rPr>
          <w:rFonts w:ascii="Times New Roman" w:hAnsi="Times New Roman" w:cs="Times New Roman"/>
          <w:sz w:val="24"/>
          <w:szCs w:val="24"/>
        </w:rPr>
        <w:t xml:space="preserve">the gaze of </w:t>
      </w:r>
      <w:r w:rsidR="00B57455" w:rsidRPr="00AE141E">
        <w:rPr>
          <w:rFonts w:ascii="Times New Roman" w:hAnsi="Times New Roman" w:cs="Times New Roman"/>
          <w:sz w:val="24"/>
          <w:szCs w:val="24"/>
        </w:rPr>
        <w:t xml:space="preserve">the older generation – symbolised by parental authority. </w:t>
      </w:r>
    </w:p>
    <w:p w14:paraId="50219693" w14:textId="516FF02E" w:rsidR="00DB2F61" w:rsidRPr="00AE141E" w:rsidRDefault="000B457B" w:rsidP="00AE141E">
      <w:pPr>
        <w:tabs>
          <w:tab w:val="left" w:pos="6730"/>
        </w:tabs>
        <w:spacing w:before="240" w:line="360" w:lineRule="auto"/>
        <w:rPr>
          <w:rFonts w:ascii="Times New Roman" w:hAnsi="Times New Roman" w:cs="Times New Roman"/>
          <w:sz w:val="24"/>
          <w:szCs w:val="24"/>
        </w:rPr>
      </w:pPr>
      <w:r w:rsidRPr="00AE141E">
        <w:rPr>
          <w:rFonts w:ascii="Times New Roman" w:hAnsi="Times New Roman" w:cs="Times New Roman"/>
          <w:sz w:val="24"/>
          <w:szCs w:val="24"/>
        </w:rPr>
        <w:t xml:space="preserve">Nevertheless, </w:t>
      </w:r>
      <w:r w:rsidR="002E3598" w:rsidRPr="00AE141E">
        <w:rPr>
          <w:rFonts w:ascii="Times New Roman" w:hAnsi="Times New Roman" w:cs="Times New Roman"/>
          <w:sz w:val="24"/>
          <w:szCs w:val="24"/>
        </w:rPr>
        <w:t xml:space="preserve">there </w:t>
      </w:r>
      <w:r w:rsidR="00497628">
        <w:rPr>
          <w:rFonts w:ascii="Times New Roman" w:hAnsi="Times New Roman" w:cs="Times New Roman"/>
          <w:sz w:val="24"/>
          <w:szCs w:val="24"/>
        </w:rPr>
        <w:t>were</w:t>
      </w:r>
      <w:r w:rsidR="002E3598" w:rsidRPr="00AE141E">
        <w:rPr>
          <w:rFonts w:ascii="Times New Roman" w:hAnsi="Times New Roman" w:cs="Times New Roman"/>
          <w:sz w:val="24"/>
          <w:szCs w:val="24"/>
        </w:rPr>
        <w:t xml:space="preserve"> many other novels on the list which </w:t>
      </w:r>
      <w:r w:rsidR="003518C8" w:rsidRPr="00AE141E">
        <w:rPr>
          <w:rFonts w:ascii="Times New Roman" w:hAnsi="Times New Roman" w:cs="Times New Roman"/>
          <w:sz w:val="24"/>
          <w:szCs w:val="24"/>
        </w:rPr>
        <w:t xml:space="preserve">would have been accessed within, and sanctioned by, </w:t>
      </w:r>
      <w:r w:rsidR="00206FFC" w:rsidRPr="00AE141E">
        <w:rPr>
          <w:rFonts w:ascii="Times New Roman" w:hAnsi="Times New Roman" w:cs="Times New Roman"/>
          <w:sz w:val="24"/>
          <w:szCs w:val="24"/>
        </w:rPr>
        <w:t>the family home.</w:t>
      </w:r>
      <w:r w:rsidR="00605B4B" w:rsidRPr="00AE141E">
        <w:rPr>
          <w:rFonts w:ascii="Times New Roman" w:hAnsi="Times New Roman" w:cs="Times New Roman"/>
          <w:sz w:val="24"/>
          <w:szCs w:val="24"/>
        </w:rPr>
        <w:t xml:space="preserve"> </w:t>
      </w:r>
      <w:r w:rsidR="00ED47E9" w:rsidRPr="00AE141E">
        <w:rPr>
          <w:rFonts w:ascii="Times New Roman" w:hAnsi="Times New Roman" w:cs="Times New Roman"/>
          <w:sz w:val="24"/>
          <w:szCs w:val="24"/>
        </w:rPr>
        <w:t>P</w:t>
      </w:r>
      <w:r w:rsidR="00605B4B" w:rsidRPr="00AE141E">
        <w:rPr>
          <w:rFonts w:ascii="Times New Roman" w:hAnsi="Times New Roman" w:cs="Times New Roman"/>
          <w:sz w:val="24"/>
          <w:szCs w:val="24"/>
        </w:rPr>
        <w:t xml:space="preserve">arental </w:t>
      </w:r>
      <w:r w:rsidR="000149E0" w:rsidRPr="00AE141E">
        <w:rPr>
          <w:rFonts w:ascii="Times New Roman" w:hAnsi="Times New Roman" w:cs="Times New Roman"/>
          <w:sz w:val="24"/>
          <w:szCs w:val="24"/>
        </w:rPr>
        <w:t xml:space="preserve">attitudes </w:t>
      </w:r>
      <w:r w:rsidR="0021776A">
        <w:rPr>
          <w:rFonts w:ascii="Times New Roman" w:hAnsi="Times New Roman" w:cs="Times New Roman"/>
          <w:sz w:val="24"/>
          <w:szCs w:val="24"/>
        </w:rPr>
        <w:t>typically</w:t>
      </w:r>
      <w:r w:rsidR="002E53ED" w:rsidRPr="00AE141E">
        <w:rPr>
          <w:rFonts w:ascii="Times New Roman" w:hAnsi="Times New Roman" w:cs="Times New Roman"/>
          <w:sz w:val="24"/>
          <w:szCs w:val="24"/>
        </w:rPr>
        <w:t xml:space="preserve"> </w:t>
      </w:r>
      <w:r w:rsidR="000149E0" w:rsidRPr="00AE141E">
        <w:rPr>
          <w:rFonts w:ascii="Times New Roman" w:hAnsi="Times New Roman" w:cs="Times New Roman"/>
          <w:sz w:val="24"/>
          <w:szCs w:val="24"/>
        </w:rPr>
        <w:t>form</w:t>
      </w:r>
      <w:r w:rsidR="002E53ED" w:rsidRPr="00AE141E">
        <w:rPr>
          <w:rFonts w:ascii="Times New Roman" w:hAnsi="Times New Roman" w:cs="Times New Roman"/>
          <w:sz w:val="24"/>
          <w:szCs w:val="24"/>
        </w:rPr>
        <w:t xml:space="preserve"> an important component of young people’s racial education.</w:t>
      </w:r>
      <w:r w:rsidR="007733FD">
        <w:rPr>
          <w:rStyle w:val="FootnoteReference"/>
          <w:rFonts w:ascii="Times New Roman" w:hAnsi="Times New Roman" w:cs="Times New Roman"/>
          <w:sz w:val="24"/>
          <w:szCs w:val="24"/>
        </w:rPr>
        <w:footnoteReference w:id="660"/>
      </w:r>
      <w:r w:rsidR="00DA4C91" w:rsidRPr="00AE141E">
        <w:rPr>
          <w:rFonts w:ascii="Times New Roman" w:hAnsi="Times New Roman" w:cs="Times New Roman"/>
          <w:sz w:val="24"/>
          <w:szCs w:val="24"/>
        </w:rPr>
        <w:t xml:space="preserve"> </w:t>
      </w:r>
      <w:r w:rsidR="00731A21" w:rsidRPr="00AE141E">
        <w:rPr>
          <w:rFonts w:ascii="Times New Roman" w:hAnsi="Times New Roman" w:cs="Times New Roman"/>
          <w:sz w:val="24"/>
          <w:szCs w:val="24"/>
        </w:rPr>
        <w:t>If a parent is respected as an authority figure</w:t>
      </w:r>
      <w:r w:rsidR="00F52E9A" w:rsidRPr="00AE141E">
        <w:rPr>
          <w:rFonts w:ascii="Times New Roman" w:hAnsi="Times New Roman" w:cs="Times New Roman"/>
          <w:sz w:val="24"/>
          <w:szCs w:val="24"/>
        </w:rPr>
        <w:t xml:space="preserve">, then </w:t>
      </w:r>
      <w:r w:rsidR="00390871" w:rsidRPr="00AE141E">
        <w:rPr>
          <w:rFonts w:ascii="Times New Roman" w:hAnsi="Times New Roman" w:cs="Times New Roman"/>
          <w:sz w:val="24"/>
          <w:szCs w:val="24"/>
        </w:rPr>
        <w:t>their beliefs will likely be given a special</w:t>
      </w:r>
      <w:r w:rsidR="00D52C7E" w:rsidRPr="00AE141E">
        <w:rPr>
          <w:rFonts w:ascii="Times New Roman" w:hAnsi="Times New Roman" w:cs="Times New Roman"/>
          <w:sz w:val="24"/>
          <w:szCs w:val="24"/>
        </w:rPr>
        <w:t xml:space="preserve">, privileged </w:t>
      </w:r>
      <w:r w:rsidR="00390871" w:rsidRPr="00AE141E">
        <w:rPr>
          <w:rFonts w:ascii="Times New Roman" w:hAnsi="Times New Roman" w:cs="Times New Roman"/>
          <w:sz w:val="24"/>
          <w:szCs w:val="24"/>
        </w:rPr>
        <w:t xml:space="preserve">position </w:t>
      </w:r>
      <w:r w:rsidR="00D52C7E" w:rsidRPr="00AE141E">
        <w:rPr>
          <w:rFonts w:ascii="Times New Roman" w:hAnsi="Times New Roman" w:cs="Times New Roman"/>
          <w:sz w:val="24"/>
          <w:szCs w:val="24"/>
        </w:rPr>
        <w:t>in their child’s view of the world.</w:t>
      </w:r>
      <w:r w:rsidR="000A1F2F" w:rsidRPr="00AE141E">
        <w:rPr>
          <w:rFonts w:ascii="Times New Roman" w:hAnsi="Times New Roman" w:cs="Times New Roman"/>
          <w:sz w:val="24"/>
          <w:szCs w:val="24"/>
        </w:rPr>
        <w:t xml:space="preserve"> Racism round the kitchen table echoe</w:t>
      </w:r>
      <w:r w:rsidR="0085040F" w:rsidRPr="00AE141E">
        <w:rPr>
          <w:rFonts w:ascii="Times New Roman" w:hAnsi="Times New Roman" w:cs="Times New Roman"/>
          <w:sz w:val="24"/>
          <w:szCs w:val="24"/>
        </w:rPr>
        <w:t>s</w:t>
      </w:r>
      <w:r w:rsidR="000A1F2F" w:rsidRPr="00AE141E">
        <w:rPr>
          <w:rFonts w:ascii="Times New Roman" w:hAnsi="Times New Roman" w:cs="Times New Roman"/>
          <w:sz w:val="24"/>
          <w:szCs w:val="24"/>
        </w:rPr>
        <w:t xml:space="preserve"> in the playground. </w:t>
      </w:r>
      <w:r w:rsidR="002205AD" w:rsidRPr="00AE141E">
        <w:rPr>
          <w:rFonts w:ascii="Times New Roman" w:hAnsi="Times New Roman" w:cs="Times New Roman"/>
          <w:sz w:val="24"/>
          <w:szCs w:val="24"/>
        </w:rPr>
        <w:t xml:space="preserve">More interestingly, perhaps, there is evidence that young people would use </w:t>
      </w:r>
      <w:r w:rsidR="00AA6C01" w:rsidRPr="00AE141E">
        <w:rPr>
          <w:rFonts w:ascii="Times New Roman" w:hAnsi="Times New Roman" w:cs="Times New Roman"/>
          <w:sz w:val="24"/>
          <w:szCs w:val="24"/>
        </w:rPr>
        <w:t xml:space="preserve">their understanding of age-based hierarchies </w:t>
      </w:r>
      <w:r w:rsidR="004E4ECA" w:rsidRPr="00AE141E">
        <w:rPr>
          <w:rFonts w:ascii="Times New Roman" w:hAnsi="Times New Roman" w:cs="Times New Roman"/>
          <w:sz w:val="24"/>
          <w:szCs w:val="24"/>
        </w:rPr>
        <w:t>to back u</w:t>
      </w:r>
      <w:r w:rsidR="0097221F" w:rsidRPr="00AE141E">
        <w:rPr>
          <w:rFonts w:ascii="Times New Roman" w:hAnsi="Times New Roman" w:cs="Times New Roman"/>
          <w:sz w:val="24"/>
          <w:szCs w:val="24"/>
        </w:rPr>
        <w:t xml:space="preserve">p their own beliefs. </w:t>
      </w:r>
      <w:r w:rsidR="00CD105C" w:rsidRPr="00AE141E">
        <w:rPr>
          <w:rFonts w:ascii="Times New Roman" w:hAnsi="Times New Roman" w:cs="Times New Roman"/>
          <w:sz w:val="24"/>
          <w:szCs w:val="24"/>
        </w:rPr>
        <w:t xml:space="preserve">The </w:t>
      </w:r>
      <w:r w:rsidR="005A3998" w:rsidRPr="00AE141E">
        <w:rPr>
          <w:rFonts w:ascii="Times New Roman" w:hAnsi="Times New Roman" w:cs="Times New Roman"/>
          <w:sz w:val="24"/>
          <w:szCs w:val="24"/>
        </w:rPr>
        <w:t xml:space="preserve">previously cited </w:t>
      </w:r>
      <w:r w:rsidR="00CD105C" w:rsidRPr="00AE141E">
        <w:rPr>
          <w:rFonts w:ascii="Times New Roman" w:hAnsi="Times New Roman" w:cs="Times New Roman"/>
          <w:sz w:val="24"/>
          <w:szCs w:val="24"/>
        </w:rPr>
        <w:t>second-year girls</w:t>
      </w:r>
      <w:r w:rsidR="005A3998" w:rsidRPr="00AE141E">
        <w:rPr>
          <w:rFonts w:ascii="Times New Roman" w:hAnsi="Times New Roman" w:cs="Times New Roman"/>
          <w:sz w:val="24"/>
          <w:szCs w:val="24"/>
        </w:rPr>
        <w:t xml:space="preserve">, </w:t>
      </w:r>
      <w:r w:rsidR="00AE1D7C" w:rsidRPr="00AE141E">
        <w:rPr>
          <w:rFonts w:ascii="Times New Roman" w:hAnsi="Times New Roman" w:cs="Times New Roman"/>
          <w:sz w:val="24"/>
          <w:szCs w:val="24"/>
        </w:rPr>
        <w:t xml:space="preserve">who protested </w:t>
      </w:r>
      <w:r w:rsidR="009920CF" w:rsidRPr="00AE141E">
        <w:rPr>
          <w:rFonts w:ascii="Times New Roman" w:hAnsi="Times New Roman" w:cs="Times New Roman"/>
          <w:sz w:val="24"/>
          <w:szCs w:val="24"/>
        </w:rPr>
        <w:t>the</w:t>
      </w:r>
      <w:r w:rsidR="00321894" w:rsidRPr="00AE141E">
        <w:rPr>
          <w:rFonts w:ascii="Times New Roman" w:hAnsi="Times New Roman" w:cs="Times New Roman"/>
          <w:sz w:val="24"/>
          <w:szCs w:val="24"/>
        </w:rPr>
        <w:t xml:space="preserve"> multicultural focus of their humanities course</w:t>
      </w:r>
      <w:r w:rsidR="005A3998" w:rsidRPr="00AE141E">
        <w:rPr>
          <w:rFonts w:ascii="Times New Roman" w:hAnsi="Times New Roman" w:cs="Times New Roman"/>
          <w:sz w:val="24"/>
          <w:szCs w:val="24"/>
        </w:rPr>
        <w:t xml:space="preserve">, certainly employed this tactic. </w:t>
      </w:r>
      <w:r w:rsidR="002C5F3A" w:rsidRPr="00AE141E">
        <w:rPr>
          <w:rFonts w:ascii="Times New Roman" w:hAnsi="Times New Roman" w:cs="Times New Roman"/>
          <w:sz w:val="24"/>
          <w:szCs w:val="24"/>
        </w:rPr>
        <w:t xml:space="preserve">One of their members, Joyce, </w:t>
      </w:r>
      <w:r w:rsidR="005F35E3" w:rsidRPr="00AE141E">
        <w:rPr>
          <w:rFonts w:ascii="Times New Roman" w:hAnsi="Times New Roman" w:cs="Times New Roman"/>
          <w:sz w:val="24"/>
          <w:szCs w:val="24"/>
        </w:rPr>
        <w:t>expressed her objections in the following terms: ‘m</w:t>
      </w:r>
      <w:r w:rsidR="006B37CA" w:rsidRPr="00AE141E">
        <w:rPr>
          <w:rFonts w:ascii="Times New Roman" w:hAnsi="Times New Roman" w:cs="Times New Roman"/>
          <w:sz w:val="24"/>
          <w:szCs w:val="24"/>
        </w:rPr>
        <w:t>y Mum</w:t>
      </w:r>
      <w:r w:rsidR="00B80E06" w:rsidRPr="00AE141E">
        <w:rPr>
          <w:rFonts w:ascii="Times New Roman" w:hAnsi="Times New Roman" w:cs="Times New Roman"/>
          <w:sz w:val="24"/>
          <w:szCs w:val="24"/>
        </w:rPr>
        <w:t xml:space="preserve"> </w:t>
      </w:r>
      <w:r w:rsidR="00DC12D5" w:rsidRPr="00AE141E">
        <w:rPr>
          <w:rFonts w:ascii="Times New Roman" w:hAnsi="Times New Roman" w:cs="Times New Roman"/>
          <w:sz w:val="24"/>
          <w:szCs w:val="24"/>
        </w:rPr>
        <w:t>and [</w:t>
      </w:r>
      <w:r w:rsidR="006B37CA" w:rsidRPr="00AE141E">
        <w:rPr>
          <w:rFonts w:ascii="Times New Roman" w:hAnsi="Times New Roman" w:cs="Times New Roman"/>
          <w:sz w:val="24"/>
          <w:szCs w:val="24"/>
        </w:rPr>
        <w:t>indicating her friend Jacky</w:t>
      </w:r>
      <w:r w:rsidR="00DC12D5" w:rsidRPr="00AE141E">
        <w:rPr>
          <w:rFonts w:ascii="Times New Roman" w:hAnsi="Times New Roman" w:cs="Times New Roman"/>
          <w:sz w:val="24"/>
          <w:szCs w:val="24"/>
        </w:rPr>
        <w:t>]</w:t>
      </w:r>
      <w:r w:rsidR="006B37CA" w:rsidRPr="00AE141E">
        <w:rPr>
          <w:rFonts w:ascii="Times New Roman" w:hAnsi="Times New Roman" w:cs="Times New Roman"/>
          <w:sz w:val="24"/>
          <w:szCs w:val="24"/>
        </w:rPr>
        <w:t xml:space="preserve"> her mum say they</w:t>
      </w:r>
      <w:r w:rsidR="005F35E3" w:rsidRPr="00AE141E">
        <w:rPr>
          <w:rFonts w:ascii="Times New Roman" w:hAnsi="Times New Roman" w:cs="Times New Roman"/>
          <w:sz w:val="24"/>
          <w:szCs w:val="24"/>
        </w:rPr>
        <w:t>’</w:t>
      </w:r>
      <w:r w:rsidR="006B37CA" w:rsidRPr="00AE141E">
        <w:rPr>
          <w:rFonts w:ascii="Times New Roman" w:hAnsi="Times New Roman" w:cs="Times New Roman"/>
          <w:sz w:val="24"/>
          <w:szCs w:val="24"/>
        </w:rPr>
        <w:t>re brainwashing us...we</w:t>
      </w:r>
      <w:r w:rsidR="008045B8" w:rsidRPr="00AE141E">
        <w:rPr>
          <w:rFonts w:ascii="Times New Roman" w:hAnsi="Times New Roman" w:cs="Times New Roman"/>
          <w:sz w:val="24"/>
          <w:szCs w:val="24"/>
        </w:rPr>
        <w:t>’</w:t>
      </w:r>
      <w:r w:rsidR="006B37CA" w:rsidRPr="00AE141E">
        <w:rPr>
          <w:rFonts w:ascii="Times New Roman" w:hAnsi="Times New Roman" w:cs="Times New Roman"/>
          <w:sz w:val="24"/>
          <w:szCs w:val="24"/>
        </w:rPr>
        <w:t>re doing too much of it. We should be learning about our own country. There</w:t>
      </w:r>
      <w:r w:rsidR="005F35E3" w:rsidRPr="00AE141E">
        <w:rPr>
          <w:rFonts w:ascii="Times New Roman" w:hAnsi="Times New Roman" w:cs="Times New Roman"/>
          <w:sz w:val="24"/>
          <w:szCs w:val="24"/>
        </w:rPr>
        <w:t>’</w:t>
      </w:r>
      <w:r w:rsidR="006B37CA" w:rsidRPr="00AE141E">
        <w:rPr>
          <w:rFonts w:ascii="Times New Roman" w:hAnsi="Times New Roman" w:cs="Times New Roman"/>
          <w:sz w:val="24"/>
          <w:szCs w:val="24"/>
        </w:rPr>
        <w:t>s more variety in England</w:t>
      </w:r>
      <w:r w:rsidR="005F35E3" w:rsidRPr="00AE141E">
        <w:rPr>
          <w:rFonts w:ascii="Times New Roman" w:hAnsi="Times New Roman" w:cs="Times New Roman"/>
          <w:sz w:val="24"/>
          <w:szCs w:val="24"/>
        </w:rPr>
        <w:t>’</w:t>
      </w:r>
      <w:r w:rsidR="006B37CA" w:rsidRPr="00AE141E">
        <w:rPr>
          <w:rFonts w:ascii="Times New Roman" w:hAnsi="Times New Roman" w:cs="Times New Roman"/>
          <w:sz w:val="24"/>
          <w:szCs w:val="24"/>
        </w:rPr>
        <w:t>.</w:t>
      </w:r>
      <w:r w:rsidR="00724831" w:rsidRPr="00AE141E">
        <w:rPr>
          <w:rStyle w:val="FootnoteReference"/>
          <w:rFonts w:ascii="Times New Roman" w:hAnsi="Times New Roman" w:cs="Times New Roman"/>
          <w:sz w:val="24"/>
          <w:szCs w:val="24"/>
        </w:rPr>
        <w:footnoteReference w:id="661"/>
      </w:r>
      <w:r w:rsidR="004A7A99" w:rsidRPr="00AE141E">
        <w:rPr>
          <w:rFonts w:ascii="Times New Roman" w:hAnsi="Times New Roman" w:cs="Times New Roman"/>
          <w:sz w:val="24"/>
          <w:szCs w:val="24"/>
        </w:rPr>
        <w:t xml:space="preserve"> Joyce’s </w:t>
      </w:r>
      <w:r w:rsidR="00D32472" w:rsidRPr="00AE141E">
        <w:rPr>
          <w:rFonts w:ascii="Times New Roman" w:hAnsi="Times New Roman" w:cs="Times New Roman"/>
          <w:sz w:val="24"/>
          <w:szCs w:val="24"/>
        </w:rPr>
        <w:t>words could be read as a simple expression of faith in her (and Jacky’s) parents’ beliefs. However, her d</w:t>
      </w:r>
      <w:r w:rsidR="00A7283F" w:rsidRPr="00AE141E">
        <w:rPr>
          <w:rFonts w:ascii="Times New Roman" w:hAnsi="Times New Roman" w:cs="Times New Roman"/>
          <w:sz w:val="24"/>
          <w:szCs w:val="24"/>
        </w:rPr>
        <w:t xml:space="preserve">efensive tone implies </w:t>
      </w:r>
      <w:r w:rsidR="00F9059D" w:rsidRPr="00AE141E">
        <w:rPr>
          <w:rFonts w:ascii="Times New Roman" w:hAnsi="Times New Roman" w:cs="Times New Roman"/>
          <w:sz w:val="24"/>
          <w:szCs w:val="24"/>
        </w:rPr>
        <w:t xml:space="preserve">that she saw herself as </w:t>
      </w:r>
      <w:r w:rsidR="00042512" w:rsidRPr="00AE141E">
        <w:rPr>
          <w:rFonts w:ascii="Times New Roman" w:hAnsi="Times New Roman" w:cs="Times New Roman"/>
          <w:sz w:val="24"/>
          <w:szCs w:val="24"/>
        </w:rPr>
        <w:t xml:space="preserve">upholding a </w:t>
      </w:r>
      <w:r w:rsidR="00042512" w:rsidRPr="00AE141E">
        <w:rPr>
          <w:rFonts w:ascii="Times New Roman" w:hAnsi="Times New Roman" w:cs="Times New Roman"/>
          <w:i/>
          <w:sz w:val="24"/>
          <w:szCs w:val="24"/>
        </w:rPr>
        <w:t>personal</w:t>
      </w:r>
      <w:r w:rsidR="00042512" w:rsidRPr="00AE141E">
        <w:rPr>
          <w:rFonts w:ascii="Times New Roman" w:hAnsi="Times New Roman" w:cs="Times New Roman"/>
          <w:sz w:val="24"/>
          <w:szCs w:val="24"/>
        </w:rPr>
        <w:t xml:space="preserve"> belief in racial and national superiority</w:t>
      </w:r>
      <w:r w:rsidR="003C02E9" w:rsidRPr="00AE141E">
        <w:rPr>
          <w:rFonts w:ascii="Times New Roman" w:hAnsi="Times New Roman" w:cs="Times New Roman"/>
          <w:sz w:val="24"/>
          <w:szCs w:val="24"/>
        </w:rPr>
        <w:t xml:space="preserve"> by invoking</w:t>
      </w:r>
      <w:r w:rsidR="00042512" w:rsidRPr="00AE141E">
        <w:rPr>
          <w:rFonts w:ascii="Times New Roman" w:hAnsi="Times New Roman" w:cs="Times New Roman"/>
          <w:sz w:val="24"/>
          <w:szCs w:val="24"/>
        </w:rPr>
        <w:t xml:space="preserve"> </w:t>
      </w:r>
      <w:r w:rsidR="003C02E9" w:rsidRPr="00AE141E">
        <w:rPr>
          <w:rFonts w:ascii="Times New Roman" w:hAnsi="Times New Roman" w:cs="Times New Roman"/>
          <w:sz w:val="24"/>
          <w:szCs w:val="24"/>
        </w:rPr>
        <w:t xml:space="preserve">the voices of </w:t>
      </w:r>
      <w:r w:rsidR="00042512" w:rsidRPr="00AE141E">
        <w:rPr>
          <w:rFonts w:ascii="Times New Roman" w:hAnsi="Times New Roman" w:cs="Times New Roman"/>
          <w:sz w:val="24"/>
          <w:szCs w:val="24"/>
        </w:rPr>
        <w:t>the group’s</w:t>
      </w:r>
      <w:r w:rsidR="003C02E9" w:rsidRPr="00AE141E">
        <w:rPr>
          <w:rFonts w:ascii="Times New Roman" w:hAnsi="Times New Roman" w:cs="Times New Roman"/>
          <w:sz w:val="24"/>
          <w:szCs w:val="24"/>
        </w:rPr>
        <w:t xml:space="preserve"> mothers – afforded greater power and credence </w:t>
      </w:r>
      <w:r w:rsidR="00925B92" w:rsidRPr="00AE141E">
        <w:rPr>
          <w:rFonts w:ascii="Times New Roman" w:hAnsi="Times New Roman" w:cs="Times New Roman"/>
          <w:sz w:val="24"/>
          <w:szCs w:val="24"/>
        </w:rPr>
        <w:t>due to their ‘adult’ status.</w:t>
      </w:r>
      <w:r w:rsidR="00C23E22" w:rsidRPr="00AE141E">
        <w:rPr>
          <w:rFonts w:ascii="Times New Roman" w:hAnsi="Times New Roman" w:cs="Times New Roman"/>
          <w:sz w:val="24"/>
          <w:szCs w:val="24"/>
        </w:rPr>
        <w:t xml:space="preserve"> By limiting its vision of education to that which took place within the school system, anti-racist education left the racial/racist education of other spheres (including home and media) uncontested. In 1986, the horrific, racially-motivated murder of Ahmed Iqbal Ullah – at a school which had </w:t>
      </w:r>
      <w:r w:rsidR="00C23E22" w:rsidRPr="00AE141E">
        <w:rPr>
          <w:rFonts w:ascii="Times New Roman" w:hAnsi="Times New Roman" w:cs="Times New Roman"/>
          <w:sz w:val="24"/>
          <w:szCs w:val="24"/>
        </w:rPr>
        <w:lastRenderedPageBreak/>
        <w:t xml:space="preserve">pioneered multicultural and anti-racist teaching in the Greater Manchester area – drew the effectiveness of these strategies sharply into question. </w:t>
      </w:r>
    </w:p>
    <w:p w14:paraId="507B7F05" w14:textId="2171F70F" w:rsidR="003428E8" w:rsidRPr="00AE141E" w:rsidRDefault="003428E8" w:rsidP="00AE141E">
      <w:pPr>
        <w:tabs>
          <w:tab w:val="left" w:pos="6730"/>
        </w:tabs>
        <w:spacing w:before="240" w:line="360" w:lineRule="auto"/>
        <w:rPr>
          <w:rFonts w:ascii="Times New Roman" w:hAnsi="Times New Roman" w:cs="Times New Roman"/>
          <w:b/>
          <w:bCs/>
          <w:sz w:val="24"/>
          <w:szCs w:val="24"/>
        </w:rPr>
      </w:pPr>
      <w:r w:rsidRPr="00AE141E">
        <w:rPr>
          <w:rFonts w:ascii="Times New Roman" w:hAnsi="Times New Roman" w:cs="Times New Roman"/>
          <w:b/>
          <w:bCs/>
          <w:sz w:val="24"/>
          <w:szCs w:val="24"/>
        </w:rPr>
        <w:t>Murder in the Playground</w:t>
      </w:r>
    </w:p>
    <w:p w14:paraId="13F0C86F" w14:textId="0C4B3FE0" w:rsidR="007D58FD" w:rsidRPr="00AE141E" w:rsidRDefault="004D60A1" w:rsidP="00AE141E">
      <w:pPr>
        <w:tabs>
          <w:tab w:val="left" w:pos="6730"/>
        </w:tabs>
        <w:spacing w:before="240" w:line="360" w:lineRule="auto"/>
        <w:rPr>
          <w:rFonts w:ascii="Times New Roman" w:hAnsi="Times New Roman" w:cs="Times New Roman"/>
          <w:sz w:val="24"/>
          <w:szCs w:val="24"/>
        </w:rPr>
      </w:pPr>
      <w:r w:rsidRPr="00AE141E">
        <w:rPr>
          <w:rFonts w:ascii="Times New Roman" w:hAnsi="Times New Roman" w:cs="Times New Roman"/>
          <w:sz w:val="24"/>
          <w:szCs w:val="24"/>
        </w:rPr>
        <w:t>On 17 September 1986 Ahmed Iqbal Ullah, a thirteen</w:t>
      </w:r>
      <w:r w:rsidR="00100B1A" w:rsidRPr="00AE141E">
        <w:rPr>
          <w:rFonts w:ascii="Times New Roman" w:hAnsi="Times New Roman" w:cs="Times New Roman"/>
          <w:sz w:val="24"/>
          <w:szCs w:val="24"/>
        </w:rPr>
        <w:t xml:space="preserve">-year-old </w:t>
      </w:r>
      <w:r w:rsidR="00075501" w:rsidRPr="00AE141E">
        <w:rPr>
          <w:rFonts w:ascii="Times New Roman" w:hAnsi="Times New Roman" w:cs="Times New Roman"/>
          <w:sz w:val="24"/>
          <w:szCs w:val="24"/>
        </w:rPr>
        <w:t>schoolboy</w:t>
      </w:r>
      <w:r w:rsidR="00100B1A" w:rsidRPr="00AE141E">
        <w:rPr>
          <w:rFonts w:ascii="Times New Roman" w:hAnsi="Times New Roman" w:cs="Times New Roman"/>
          <w:sz w:val="24"/>
          <w:szCs w:val="24"/>
        </w:rPr>
        <w:t xml:space="preserve"> of Bangladeshi heritage</w:t>
      </w:r>
      <w:r w:rsidRPr="00AE141E">
        <w:rPr>
          <w:rFonts w:ascii="Times New Roman" w:hAnsi="Times New Roman" w:cs="Times New Roman"/>
          <w:sz w:val="24"/>
          <w:szCs w:val="24"/>
        </w:rPr>
        <w:t xml:space="preserve">, </w:t>
      </w:r>
      <w:r w:rsidR="00100B1A" w:rsidRPr="00AE141E">
        <w:rPr>
          <w:rFonts w:ascii="Times New Roman" w:hAnsi="Times New Roman" w:cs="Times New Roman"/>
          <w:sz w:val="24"/>
          <w:szCs w:val="24"/>
        </w:rPr>
        <w:t xml:space="preserve">was murdered by a (White) </w:t>
      </w:r>
      <w:r w:rsidRPr="00AE141E">
        <w:rPr>
          <w:rFonts w:ascii="Times New Roman" w:hAnsi="Times New Roman" w:cs="Times New Roman"/>
          <w:sz w:val="24"/>
          <w:szCs w:val="24"/>
        </w:rPr>
        <w:t>fellow pupil in the playground of Burnage High Schoo</w:t>
      </w:r>
      <w:r w:rsidR="00075501" w:rsidRPr="00AE141E">
        <w:rPr>
          <w:rFonts w:ascii="Times New Roman" w:hAnsi="Times New Roman" w:cs="Times New Roman"/>
          <w:sz w:val="24"/>
          <w:szCs w:val="24"/>
        </w:rPr>
        <w:t xml:space="preserve">l. </w:t>
      </w:r>
      <w:r w:rsidR="000110D3" w:rsidRPr="00AE141E">
        <w:rPr>
          <w:rFonts w:ascii="Times New Roman" w:hAnsi="Times New Roman" w:cs="Times New Roman"/>
          <w:sz w:val="24"/>
          <w:szCs w:val="24"/>
        </w:rPr>
        <w:t xml:space="preserve">Ullah’s </w:t>
      </w:r>
      <w:r w:rsidR="00A937C1" w:rsidRPr="00AE141E">
        <w:rPr>
          <w:rFonts w:ascii="Times New Roman" w:hAnsi="Times New Roman" w:cs="Times New Roman"/>
          <w:sz w:val="24"/>
          <w:szCs w:val="24"/>
        </w:rPr>
        <w:t xml:space="preserve">murder horrified, but did not necessarily shock, the local Bangladeshi community, </w:t>
      </w:r>
      <w:r w:rsidR="00B44464" w:rsidRPr="00AE141E">
        <w:rPr>
          <w:rFonts w:ascii="Times New Roman" w:hAnsi="Times New Roman" w:cs="Times New Roman"/>
          <w:sz w:val="24"/>
          <w:szCs w:val="24"/>
        </w:rPr>
        <w:t xml:space="preserve">for whom racial violence was a constant threat. </w:t>
      </w:r>
      <w:r w:rsidR="00240D99" w:rsidRPr="00AE141E">
        <w:rPr>
          <w:rFonts w:ascii="Times New Roman" w:hAnsi="Times New Roman" w:cs="Times New Roman"/>
          <w:sz w:val="24"/>
          <w:szCs w:val="24"/>
        </w:rPr>
        <w:t>In Burnage</w:t>
      </w:r>
      <w:r w:rsidR="00474CDE" w:rsidRPr="00AE141E">
        <w:rPr>
          <w:rFonts w:ascii="Times New Roman" w:hAnsi="Times New Roman" w:cs="Times New Roman"/>
          <w:sz w:val="24"/>
          <w:szCs w:val="24"/>
        </w:rPr>
        <w:t xml:space="preserve"> itself, there was</w:t>
      </w:r>
      <w:r w:rsidR="00DD74E4">
        <w:rPr>
          <w:rFonts w:ascii="Times New Roman" w:hAnsi="Times New Roman" w:cs="Times New Roman"/>
          <w:sz w:val="24"/>
          <w:szCs w:val="24"/>
        </w:rPr>
        <w:t xml:space="preserve"> a</w:t>
      </w:r>
      <w:r w:rsidR="00474CDE" w:rsidRPr="00AE141E">
        <w:rPr>
          <w:rFonts w:ascii="Times New Roman" w:hAnsi="Times New Roman" w:cs="Times New Roman"/>
          <w:sz w:val="24"/>
          <w:szCs w:val="24"/>
        </w:rPr>
        <w:t xml:space="preserve"> long </w:t>
      </w:r>
      <w:r w:rsidR="00DD74E4">
        <w:rPr>
          <w:rFonts w:ascii="Times New Roman" w:hAnsi="Times New Roman" w:cs="Times New Roman"/>
          <w:sz w:val="24"/>
          <w:szCs w:val="24"/>
        </w:rPr>
        <w:t>precedent</w:t>
      </w:r>
      <w:r w:rsidR="00474CDE" w:rsidRPr="00AE141E">
        <w:rPr>
          <w:rFonts w:ascii="Times New Roman" w:hAnsi="Times New Roman" w:cs="Times New Roman"/>
          <w:sz w:val="24"/>
          <w:szCs w:val="24"/>
        </w:rPr>
        <w:t xml:space="preserve"> </w:t>
      </w:r>
      <w:r w:rsidR="00DD74E4">
        <w:rPr>
          <w:rFonts w:ascii="Times New Roman" w:hAnsi="Times New Roman" w:cs="Times New Roman"/>
          <w:sz w:val="24"/>
          <w:szCs w:val="24"/>
        </w:rPr>
        <w:t>of</w:t>
      </w:r>
      <w:r w:rsidR="00474CDE" w:rsidRPr="00AE141E">
        <w:rPr>
          <w:rFonts w:ascii="Times New Roman" w:hAnsi="Times New Roman" w:cs="Times New Roman"/>
          <w:sz w:val="24"/>
          <w:szCs w:val="24"/>
        </w:rPr>
        <w:t xml:space="preserve"> physical abuse </w:t>
      </w:r>
      <w:r w:rsidR="00DD74E4">
        <w:rPr>
          <w:rFonts w:ascii="Times New Roman" w:hAnsi="Times New Roman" w:cs="Times New Roman"/>
          <w:sz w:val="24"/>
          <w:szCs w:val="24"/>
        </w:rPr>
        <w:t>suffered by</w:t>
      </w:r>
      <w:r w:rsidR="00474CDE" w:rsidRPr="00AE141E">
        <w:rPr>
          <w:rFonts w:ascii="Times New Roman" w:hAnsi="Times New Roman" w:cs="Times New Roman"/>
          <w:sz w:val="24"/>
          <w:szCs w:val="24"/>
        </w:rPr>
        <w:t xml:space="preserve"> South Asian students</w:t>
      </w:r>
      <w:r w:rsidR="00EF07A1" w:rsidRPr="00AE141E">
        <w:rPr>
          <w:rFonts w:ascii="Times New Roman" w:hAnsi="Times New Roman" w:cs="Times New Roman"/>
          <w:sz w:val="24"/>
          <w:szCs w:val="24"/>
        </w:rPr>
        <w:t xml:space="preserve">– in 1982, the son of the Bangladeshi High Commissioner had been hospitalised </w:t>
      </w:r>
      <w:r w:rsidR="00431C47" w:rsidRPr="00AE141E">
        <w:rPr>
          <w:rFonts w:ascii="Times New Roman" w:hAnsi="Times New Roman" w:cs="Times New Roman"/>
          <w:sz w:val="24"/>
          <w:szCs w:val="24"/>
        </w:rPr>
        <w:t>after an attack by a five-strong gang of White students left him with a fractured cheekbone.</w:t>
      </w:r>
      <w:r w:rsidR="00B7291D" w:rsidRPr="00AE141E">
        <w:rPr>
          <w:rStyle w:val="FootnoteReference"/>
          <w:rFonts w:ascii="Times New Roman" w:hAnsi="Times New Roman" w:cs="Times New Roman"/>
          <w:sz w:val="24"/>
          <w:szCs w:val="24"/>
        </w:rPr>
        <w:footnoteReference w:id="662"/>
      </w:r>
      <w:r w:rsidR="00431C47" w:rsidRPr="00AE141E">
        <w:rPr>
          <w:rFonts w:ascii="Times New Roman" w:hAnsi="Times New Roman" w:cs="Times New Roman"/>
          <w:sz w:val="24"/>
          <w:szCs w:val="24"/>
        </w:rPr>
        <w:t xml:space="preserve"> For members of the community, there was no doubt that </w:t>
      </w:r>
      <w:r w:rsidR="0008223B" w:rsidRPr="00AE141E">
        <w:rPr>
          <w:rFonts w:ascii="Times New Roman" w:hAnsi="Times New Roman" w:cs="Times New Roman"/>
          <w:sz w:val="24"/>
          <w:szCs w:val="24"/>
        </w:rPr>
        <w:t>Ullah’s murder was a raci</w:t>
      </w:r>
      <w:r w:rsidR="001C23A8">
        <w:rPr>
          <w:rFonts w:ascii="Times New Roman" w:hAnsi="Times New Roman" w:cs="Times New Roman"/>
          <w:sz w:val="24"/>
          <w:szCs w:val="24"/>
        </w:rPr>
        <w:t xml:space="preserve">ally-motivated </w:t>
      </w:r>
      <w:r w:rsidR="0008223B" w:rsidRPr="00AE141E">
        <w:rPr>
          <w:rFonts w:ascii="Times New Roman" w:hAnsi="Times New Roman" w:cs="Times New Roman"/>
          <w:sz w:val="24"/>
          <w:szCs w:val="24"/>
        </w:rPr>
        <w:t xml:space="preserve">crime, yet the Greater Manchester Police </w:t>
      </w:r>
      <w:r w:rsidR="00E326A5" w:rsidRPr="00AE141E">
        <w:rPr>
          <w:rFonts w:ascii="Times New Roman" w:hAnsi="Times New Roman" w:cs="Times New Roman"/>
          <w:sz w:val="24"/>
          <w:szCs w:val="24"/>
        </w:rPr>
        <w:t xml:space="preserve">initially </w:t>
      </w:r>
      <w:r w:rsidR="0008223B" w:rsidRPr="00AE141E">
        <w:rPr>
          <w:rFonts w:ascii="Times New Roman" w:hAnsi="Times New Roman" w:cs="Times New Roman"/>
          <w:sz w:val="24"/>
          <w:szCs w:val="24"/>
        </w:rPr>
        <w:t>refused to consider it as such.</w:t>
      </w:r>
      <w:r w:rsidR="00E326A5" w:rsidRPr="00AE141E">
        <w:rPr>
          <w:rFonts w:ascii="Times New Roman" w:hAnsi="Times New Roman" w:cs="Times New Roman"/>
          <w:sz w:val="24"/>
          <w:szCs w:val="24"/>
        </w:rPr>
        <w:t xml:space="preserve"> </w:t>
      </w:r>
      <w:r w:rsidR="006D74C5" w:rsidRPr="00AE141E">
        <w:rPr>
          <w:rFonts w:ascii="Times New Roman" w:hAnsi="Times New Roman" w:cs="Times New Roman"/>
          <w:sz w:val="24"/>
          <w:szCs w:val="24"/>
        </w:rPr>
        <w:t xml:space="preserve">It was in this atmosphere of heightened communal tension that the </w:t>
      </w:r>
      <w:r w:rsidR="001C23A8">
        <w:rPr>
          <w:rFonts w:ascii="Times New Roman" w:hAnsi="Times New Roman" w:cs="Times New Roman"/>
          <w:sz w:val="24"/>
          <w:szCs w:val="24"/>
        </w:rPr>
        <w:t>‘</w:t>
      </w:r>
      <w:r w:rsidR="006D74C5" w:rsidRPr="00AE141E">
        <w:rPr>
          <w:rFonts w:ascii="Times New Roman" w:hAnsi="Times New Roman" w:cs="Times New Roman"/>
          <w:sz w:val="24"/>
          <w:szCs w:val="24"/>
        </w:rPr>
        <w:t>Macdonald Inquiry into Racism and Racial Violence in Manchester</w:t>
      </w:r>
      <w:r w:rsidR="001C23A8">
        <w:rPr>
          <w:rFonts w:ascii="Times New Roman" w:hAnsi="Times New Roman" w:cs="Times New Roman"/>
          <w:sz w:val="24"/>
          <w:szCs w:val="24"/>
        </w:rPr>
        <w:t>’</w:t>
      </w:r>
      <w:r w:rsidR="006D74C5" w:rsidRPr="00AE141E">
        <w:rPr>
          <w:rFonts w:ascii="Times New Roman" w:hAnsi="Times New Roman" w:cs="Times New Roman"/>
          <w:sz w:val="24"/>
          <w:szCs w:val="24"/>
        </w:rPr>
        <w:t xml:space="preserve"> was set up by Manchester City Council</w:t>
      </w:r>
      <w:r w:rsidR="00C8725B" w:rsidRPr="00AE141E">
        <w:rPr>
          <w:rFonts w:ascii="Times New Roman" w:hAnsi="Times New Roman" w:cs="Times New Roman"/>
          <w:sz w:val="24"/>
          <w:szCs w:val="24"/>
        </w:rPr>
        <w:t>.</w:t>
      </w:r>
      <w:r w:rsidR="006D74C5" w:rsidRPr="00AE141E">
        <w:rPr>
          <w:rFonts w:ascii="Times New Roman" w:hAnsi="Times New Roman" w:cs="Times New Roman"/>
          <w:sz w:val="24"/>
          <w:szCs w:val="24"/>
        </w:rPr>
        <w:t xml:space="preserve"> </w:t>
      </w:r>
      <w:r w:rsidR="00C8725B" w:rsidRPr="00AE141E">
        <w:rPr>
          <w:rFonts w:ascii="Times New Roman" w:hAnsi="Times New Roman" w:cs="Times New Roman"/>
          <w:sz w:val="24"/>
          <w:szCs w:val="24"/>
        </w:rPr>
        <w:t>The Inquiry</w:t>
      </w:r>
      <w:r w:rsidR="001C23A8">
        <w:rPr>
          <w:rFonts w:ascii="Times New Roman" w:hAnsi="Times New Roman" w:cs="Times New Roman"/>
          <w:sz w:val="24"/>
          <w:szCs w:val="24"/>
        </w:rPr>
        <w:t xml:space="preserve">’s purpose was </w:t>
      </w:r>
      <w:r w:rsidR="006D74C5" w:rsidRPr="00AE141E">
        <w:rPr>
          <w:rFonts w:ascii="Times New Roman" w:hAnsi="Times New Roman" w:cs="Times New Roman"/>
          <w:sz w:val="24"/>
          <w:szCs w:val="24"/>
        </w:rPr>
        <w:t xml:space="preserve">to examine the extent to which there was a racial aspect to the circumstances surrounding </w:t>
      </w:r>
      <w:r w:rsidR="001C23A8">
        <w:rPr>
          <w:rFonts w:ascii="Times New Roman" w:hAnsi="Times New Roman" w:cs="Times New Roman"/>
          <w:sz w:val="24"/>
          <w:szCs w:val="24"/>
        </w:rPr>
        <w:t>Ullah’s</w:t>
      </w:r>
      <w:r w:rsidR="006D74C5" w:rsidRPr="00AE141E">
        <w:rPr>
          <w:rFonts w:ascii="Times New Roman" w:hAnsi="Times New Roman" w:cs="Times New Roman"/>
          <w:sz w:val="24"/>
          <w:szCs w:val="24"/>
        </w:rPr>
        <w:t xml:space="preserve"> death</w:t>
      </w:r>
      <w:r w:rsidR="001C23A8">
        <w:rPr>
          <w:rFonts w:ascii="Times New Roman" w:hAnsi="Times New Roman" w:cs="Times New Roman"/>
          <w:sz w:val="24"/>
          <w:szCs w:val="24"/>
        </w:rPr>
        <w:t>,</w:t>
      </w:r>
      <w:r w:rsidR="006D74C5" w:rsidRPr="00AE141E">
        <w:rPr>
          <w:rFonts w:ascii="Times New Roman" w:hAnsi="Times New Roman" w:cs="Times New Roman"/>
          <w:sz w:val="24"/>
          <w:szCs w:val="24"/>
        </w:rPr>
        <w:t xml:space="preserve"> </w:t>
      </w:r>
      <w:r w:rsidR="00E7204A" w:rsidRPr="00AE141E">
        <w:rPr>
          <w:rFonts w:ascii="Times New Roman" w:hAnsi="Times New Roman" w:cs="Times New Roman"/>
          <w:sz w:val="24"/>
          <w:szCs w:val="24"/>
        </w:rPr>
        <w:t>and to</w:t>
      </w:r>
      <w:r w:rsidR="001C23A8">
        <w:rPr>
          <w:rFonts w:ascii="Times New Roman" w:hAnsi="Times New Roman" w:cs="Times New Roman"/>
          <w:sz w:val="24"/>
          <w:szCs w:val="24"/>
        </w:rPr>
        <w:t xml:space="preserve"> the</w:t>
      </w:r>
      <w:r w:rsidR="00E7204A" w:rsidRPr="00AE141E">
        <w:rPr>
          <w:rFonts w:ascii="Times New Roman" w:hAnsi="Times New Roman" w:cs="Times New Roman"/>
          <w:sz w:val="24"/>
          <w:szCs w:val="24"/>
        </w:rPr>
        <w:t xml:space="preserve"> broader</w:t>
      </w:r>
      <w:r w:rsidR="006D74C5" w:rsidRPr="00AE141E">
        <w:rPr>
          <w:rFonts w:ascii="Times New Roman" w:hAnsi="Times New Roman" w:cs="Times New Roman"/>
          <w:sz w:val="24"/>
          <w:szCs w:val="24"/>
        </w:rPr>
        <w:t xml:space="preserve"> problem of violence in Manchester schools</w:t>
      </w:r>
      <w:r w:rsidR="00E7204A" w:rsidRPr="00AE141E">
        <w:rPr>
          <w:rFonts w:ascii="Times New Roman" w:hAnsi="Times New Roman" w:cs="Times New Roman"/>
          <w:sz w:val="24"/>
          <w:szCs w:val="24"/>
        </w:rPr>
        <w:t xml:space="preserve">. </w:t>
      </w:r>
      <w:r w:rsidR="00741F73">
        <w:rPr>
          <w:rFonts w:ascii="Times New Roman" w:hAnsi="Times New Roman" w:cs="Times New Roman"/>
          <w:sz w:val="24"/>
          <w:szCs w:val="24"/>
        </w:rPr>
        <w:t>The Inquiry’s</w:t>
      </w:r>
      <w:r w:rsidR="003449E9" w:rsidRPr="00AE141E">
        <w:rPr>
          <w:rFonts w:ascii="Times New Roman" w:hAnsi="Times New Roman" w:cs="Times New Roman"/>
          <w:sz w:val="24"/>
          <w:szCs w:val="24"/>
        </w:rPr>
        <w:t xml:space="preserve"> </w:t>
      </w:r>
      <w:r w:rsidR="00741F73">
        <w:rPr>
          <w:rFonts w:ascii="Times New Roman" w:hAnsi="Times New Roman" w:cs="Times New Roman"/>
          <w:sz w:val="24"/>
          <w:szCs w:val="24"/>
        </w:rPr>
        <w:t>‘</w:t>
      </w:r>
      <w:r w:rsidR="003449E9" w:rsidRPr="00AE141E">
        <w:rPr>
          <w:rFonts w:ascii="Times New Roman" w:hAnsi="Times New Roman" w:cs="Times New Roman"/>
          <w:sz w:val="24"/>
          <w:szCs w:val="24"/>
        </w:rPr>
        <w:t>Terms of Reference</w:t>
      </w:r>
      <w:r w:rsidR="00741F73">
        <w:rPr>
          <w:rFonts w:ascii="Times New Roman" w:hAnsi="Times New Roman" w:cs="Times New Roman"/>
          <w:sz w:val="24"/>
          <w:szCs w:val="24"/>
        </w:rPr>
        <w:t>’</w:t>
      </w:r>
      <w:r w:rsidR="003449E9" w:rsidRPr="00AE141E">
        <w:rPr>
          <w:rFonts w:ascii="Times New Roman" w:hAnsi="Times New Roman" w:cs="Times New Roman"/>
          <w:sz w:val="24"/>
          <w:szCs w:val="24"/>
        </w:rPr>
        <w:t xml:space="preserve"> also </w:t>
      </w:r>
      <w:r w:rsidR="00741F73">
        <w:rPr>
          <w:rFonts w:ascii="Times New Roman" w:hAnsi="Times New Roman" w:cs="Times New Roman"/>
          <w:sz w:val="24"/>
          <w:szCs w:val="24"/>
        </w:rPr>
        <w:t xml:space="preserve">stated </w:t>
      </w:r>
      <w:r w:rsidR="0064062E">
        <w:rPr>
          <w:rFonts w:ascii="Times New Roman" w:hAnsi="Times New Roman" w:cs="Times New Roman"/>
          <w:sz w:val="24"/>
          <w:szCs w:val="24"/>
        </w:rPr>
        <w:t>its</w:t>
      </w:r>
      <w:r w:rsidR="00741F73">
        <w:rPr>
          <w:rFonts w:ascii="Times New Roman" w:hAnsi="Times New Roman" w:cs="Times New Roman"/>
          <w:sz w:val="24"/>
          <w:szCs w:val="24"/>
        </w:rPr>
        <w:t xml:space="preserve"> intent</w:t>
      </w:r>
      <w:r w:rsidR="007F55C1">
        <w:rPr>
          <w:rFonts w:ascii="Times New Roman" w:hAnsi="Times New Roman" w:cs="Times New Roman"/>
          <w:sz w:val="24"/>
          <w:szCs w:val="24"/>
        </w:rPr>
        <w:t xml:space="preserve"> to</w:t>
      </w:r>
      <w:r w:rsidR="006D74C5" w:rsidRPr="00AE141E">
        <w:rPr>
          <w:rFonts w:ascii="Times New Roman" w:hAnsi="Times New Roman" w:cs="Times New Roman"/>
          <w:sz w:val="24"/>
          <w:szCs w:val="24"/>
        </w:rPr>
        <w:t xml:space="preserve"> </w:t>
      </w:r>
      <w:r w:rsidR="003449E9" w:rsidRPr="00AE141E">
        <w:rPr>
          <w:rFonts w:ascii="Times New Roman" w:hAnsi="Times New Roman" w:cs="Times New Roman"/>
          <w:sz w:val="24"/>
          <w:szCs w:val="24"/>
        </w:rPr>
        <w:t>‘</w:t>
      </w:r>
      <w:r w:rsidR="006D74C5" w:rsidRPr="00AE141E">
        <w:rPr>
          <w:rFonts w:ascii="Times New Roman" w:hAnsi="Times New Roman" w:cs="Times New Roman"/>
          <w:sz w:val="24"/>
          <w:szCs w:val="24"/>
        </w:rPr>
        <w:t>recommend actions intended to eliminate or reduce racial harassment, racial violence and racism in schools</w:t>
      </w:r>
      <w:r w:rsidR="003449E9" w:rsidRPr="00AE141E">
        <w:rPr>
          <w:rFonts w:ascii="Times New Roman" w:hAnsi="Times New Roman" w:cs="Times New Roman"/>
          <w:sz w:val="24"/>
          <w:szCs w:val="24"/>
        </w:rPr>
        <w:t>’</w:t>
      </w:r>
      <w:r w:rsidR="006D74C5" w:rsidRPr="00AE141E">
        <w:rPr>
          <w:rFonts w:ascii="Times New Roman" w:hAnsi="Times New Roman" w:cs="Times New Roman"/>
          <w:sz w:val="24"/>
          <w:szCs w:val="24"/>
        </w:rPr>
        <w:t>.</w:t>
      </w:r>
      <w:r w:rsidR="003449E9" w:rsidRPr="00AE141E">
        <w:rPr>
          <w:rFonts w:ascii="Times New Roman" w:hAnsi="Times New Roman" w:cs="Times New Roman"/>
          <w:sz w:val="24"/>
          <w:szCs w:val="24"/>
        </w:rPr>
        <w:t xml:space="preserve"> </w:t>
      </w:r>
      <w:r w:rsidR="00A118FF" w:rsidRPr="00AE141E">
        <w:rPr>
          <w:rFonts w:ascii="Times New Roman" w:hAnsi="Times New Roman" w:cs="Times New Roman"/>
          <w:sz w:val="24"/>
          <w:szCs w:val="24"/>
        </w:rPr>
        <w:t xml:space="preserve">The Inquiry’s </w:t>
      </w:r>
      <w:r w:rsidR="006624BB">
        <w:rPr>
          <w:rFonts w:ascii="Times New Roman" w:hAnsi="Times New Roman" w:cs="Times New Roman"/>
          <w:sz w:val="24"/>
          <w:szCs w:val="24"/>
        </w:rPr>
        <w:t>R</w:t>
      </w:r>
      <w:r w:rsidR="00A118FF" w:rsidRPr="00AE141E">
        <w:rPr>
          <w:rFonts w:ascii="Times New Roman" w:hAnsi="Times New Roman" w:cs="Times New Roman"/>
          <w:sz w:val="24"/>
          <w:szCs w:val="24"/>
        </w:rPr>
        <w:t xml:space="preserve">eport, based on the </w:t>
      </w:r>
      <w:r w:rsidR="005B5BD1" w:rsidRPr="00AE141E">
        <w:rPr>
          <w:rFonts w:ascii="Times New Roman" w:hAnsi="Times New Roman" w:cs="Times New Roman"/>
          <w:sz w:val="24"/>
          <w:szCs w:val="24"/>
        </w:rPr>
        <w:t xml:space="preserve">voluntary </w:t>
      </w:r>
      <w:r w:rsidR="00A118FF" w:rsidRPr="00AE141E">
        <w:rPr>
          <w:rFonts w:ascii="Times New Roman" w:hAnsi="Times New Roman" w:cs="Times New Roman"/>
          <w:sz w:val="24"/>
          <w:szCs w:val="24"/>
        </w:rPr>
        <w:t xml:space="preserve">testimony of </w:t>
      </w:r>
      <w:r w:rsidR="005B5BD1" w:rsidRPr="00AE141E">
        <w:rPr>
          <w:rFonts w:ascii="Times New Roman" w:hAnsi="Times New Roman" w:cs="Times New Roman"/>
          <w:sz w:val="24"/>
          <w:szCs w:val="24"/>
        </w:rPr>
        <w:t xml:space="preserve">165 witnesses – comprising, amongst others, parents, teachers, and students </w:t>
      </w:r>
      <w:r w:rsidR="00484EE1" w:rsidRPr="00AE141E">
        <w:rPr>
          <w:rFonts w:ascii="Times New Roman" w:hAnsi="Times New Roman" w:cs="Times New Roman"/>
          <w:sz w:val="24"/>
          <w:szCs w:val="24"/>
        </w:rPr>
        <w:t>–</w:t>
      </w:r>
      <w:r w:rsidR="005B5BD1" w:rsidRPr="00AE141E">
        <w:rPr>
          <w:rFonts w:ascii="Times New Roman" w:hAnsi="Times New Roman" w:cs="Times New Roman"/>
          <w:sz w:val="24"/>
          <w:szCs w:val="24"/>
        </w:rPr>
        <w:t xml:space="preserve"> </w:t>
      </w:r>
      <w:r w:rsidR="00E02BB6" w:rsidRPr="00AE141E">
        <w:rPr>
          <w:rFonts w:ascii="Times New Roman" w:hAnsi="Times New Roman" w:cs="Times New Roman"/>
          <w:sz w:val="24"/>
          <w:szCs w:val="24"/>
        </w:rPr>
        <w:t>was</w:t>
      </w:r>
      <w:r w:rsidR="00484EE1" w:rsidRPr="00AE141E">
        <w:rPr>
          <w:rFonts w:ascii="Times New Roman" w:hAnsi="Times New Roman" w:cs="Times New Roman"/>
          <w:sz w:val="24"/>
          <w:szCs w:val="24"/>
        </w:rPr>
        <w:t xml:space="preserve"> published under the title </w:t>
      </w:r>
      <w:r w:rsidR="00484EE1" w:rsidRPr="00AE141E">
        <w:rPr>
          <w:rFonts w:ascii="Times New Roman" w:hAnsi="Times New Roman" w:cs="Times New Roman"/>
          <w:i/>
          <w:sz w:val="24"/>
          <w:szCs w:val="24"/>
        </w:rPr>
        <w:t xml:space="preserve">Murder in the Playground </w:t>
      </w:r>
      <w:r w:rsidR="00484EE1" w:rsidRPr="00AE141E">
        <w:rPr>
          <w:rFonts w:ascii="Times New Roman" w:hAnsi="Times New Roman" w:cs="Times New Roman"/>
          <w:sz w:val="24"/>
          <w:szCs w:val="24"/>
        </w:rPr>
        <w:t xml:space="preserve">in </w:t>
      </w:r>
      <w:r w:rsidR="006E5EB1" w:rsidRPr="00AE141E">
        <w:rPr>
          <w:rFonts w:ascii="Times New Roman" w:hAnsi="Times New Roman" w:cs="Times New Roman"/>
          <w:sz w:val="24"/>
          <w:szCs w:val="24"/>
        </w:rPr>
        <w:t>1989</w:t>
      </w:r>
      <w:r w:rsidR="00EB1242" w:rsidRPr="00AE141E">
        <w:rPr>
          <w:rFonts w:ascii="Times New Roman" w:hAnsi="Times New Roman" w:cs="Times New Roman"/>
          <w:sz w:val="24"/>
          <w:szCs w:val="24"/>
        </w:rPr>
        <w:t>.</w:t>
      </w:r>
      <w:r w:rsidR="00584FBD" w:rsidRPr="00AE141E">
        <w:rPr>
          <w:rFonts w:ascii="Times New Roman" w:hAnsi="Times New Roman" w:cs="Times New Roman"/>
          <w:sz w:val="24"/>
          <w:szCs w:val="24"/>
        </w:rPr>
        <w:t xml:space="preserve"> </w:t>
      </w:r>
    </w:p>
    <w:p w14:paraId="1193FDC4" w14:textId="198F222F" w:rsidR="00552DD3" w:rsidRPr="00AE141E" w:rsidRDefault="00D37917" w:rsidP="00AE141E">
      <w:pPr>
        <w:tabs>
          <w:tab w:val="left" w:pos="6730"/>
        </w:tabs>
        <w:spacing w:before="240" w:line="360" w:lineRule="auto"/>
        <w:rPr>
          <w:rFonts w:ascii="Times New Roman" w:hAnsi="Times New Roman" w:cs="Times New Roman"/>
          <w:sz w:val="24"/>
          <w:szCs w:val="24"/>
        </w:rPr>
      </w:pPr>
      <w:r w:rsidRPr="00AE141E">
        <w:rPr>
          <w:rFonts w:ascii="Times New Roman" w:hAnsi="Times New Roman" w:cs="Times New Roman"/>
          <w:i/>
          <w:sz w:val="24"/>
          <w:szCs w:val="24"/>
        </w:rPr>
        <w:t xml:space="preserve">Murder in the Playground </w:t>
      </w:r>
      <w:r w:rsidR="0098365D">
        <w:rPr>
          <w:rFonts w:ascii="Times New Roman" w:hAnsi="Times New Roman" w:cs="Times New Roman"/>
          <w:sz w:val="24"/>
          <w:szCs w:val="24"/>
        </w:rPr>
        <w:t>is</w:t>
      </w:r>
      <w:r w:rsidR="0048733C" w:rsidRPr="00AE141E">
        <w:rPr>
          <w:rFonts w:ascii="Times New Roman" w:hAnsi="Times New Roman" w:cs="Times New Roman"/>
          <w:sz w:val="24"/>
          <w:szCs w:val="24"/>
        </w:rPr>
        <w:t xml:space="preserve"> a</w:t>
      </w:r>
      <w:r w:rsidR="00730935" w:rsidRPr="00AE141E">
        <w:rPr>
          <w:rFonts w:ascii="Times New Roman" w:hAnsi="Times New Roman" w:cs="Times New Roman"/>
          <w:sz w:val="24"/>
          <w:szCs w:val="24"/>
        </w:rPr>
        <w:t xml:space="preserve"> </w:t>
      </w:r>
      <w:r w:rsidR="0098365D">
        <w:rPr>
          <w:rFonts w:ascii="Times New Roman" w:hAnsi="Times New Roman" w:cs="Times New Roman"/>
          <w:sz w:val="24"/>
          <w:szCs w:val="24"/>
        </w:rPr>
        <w:t xml:space="preserve">devastatingly </w:t>
      </w:r>
      <w:r w:rsidR="00730935" w:rsidRPr="00AE141E">
        <w:rPr>
          <w:rFonts w:ascii="Times New Roman" w:hAnsi="Times New Roman" w:cs="Times New Roman"/>
          <w:sz w:val="24"/>
          <w:szCs w:val="24"/>
        </w:rPr>
        <w:t>rich</w:t>
      </w:r>
      <w:r w:rsidR="0048733C" w:rsidRPr="00AE141E">
        <w:rPr>
          <w:rFonts w:ascii="Times New Roman" w:hAnsi="Times New Roman" w:cs="Times New Roman"/>
          <w:sz w:val="24"/>
          <w:szCs w:val="24"/>
        </w:rPr>
        <w:t xml:space="preserve"> repository of information in race, schooling, and anti-racist education in the Greater Manchester region. It also offers </w:t>
      </w:r>
      <w:r w:rsidR="002F048D" w:rsidRPr="00AE141E">
        <w:rPr>
          <w:rFonts w:ascii="Times New Roman" w:hAnsi="Times New Roman" w:cs="Times New Roman"/>
          <w:sz w:val="24"/>
          <w:szCs w:val="24"/>
        </w:rPr>
        <w:t>a detailed glimpse of the life of Burnage High School, which existed at the toxic confluence of</w:t>
      </w:r>
      <w:r w:rsidR="006E063A" w:rsidRPr="00AE141E">
        <w:rPr>
          <w:rFonts w:ascii="Times New Roman" w:hAnsi="Times New Roman" w:cs="Times New Roman"/>
          <w:sz w:val="24"/>
          <w:szCs w:val="24"/>
        </w:rPr>
        <w:t xml:space="preserve"> several educational formats and policy decisions – </w:t>
      </w:r>
      <w:r w:rsidR="00123821" w:rsidRPr="00AE141E">
        <w:rPr>
          <w:rFonts w:ascii="Times New Roman" w:hAnsi="Times New Roman" w:cs="Times New Roman"/>
          <w:sz w:val="24"/>
          <w:szCs w:val="24"/>
        </w:rPr>
        <w:t xml:space="preserve">including </w:t>
      </w:r>
      <w:r w:rsidR="006E063A" w:rsidRPr="00AE141E">
        <w:rPr>
          <w:rFonts w:ascii="Times New Roman" w:hAnsi="Times New Roman" w:cs="Times New Roman"/>
          <w:sz w:val="24"/>
          <w:szCs w:val="24"/>
        </w:rPr>
        <w:t xml:space="preserve">comprehensivisation, single-sex education, and anti-racist </w:t>
      </w:r>
      <w:r w:rsidR="00123821" w:rsidRPr="00AE141E">
        <w:rPr>
          <w:rFonts w:ascii="Times New Roman" w:hAnsi="Times New Roman" w:cs="Times New Roman"/>
          <w:sz w:val="24"/>
          <w:szCs w:val="24"/>
        </w:rPr>
        <w:t>education</w:t>
      </w:r>
      <w:r w:rsidR="006C6520" w:rsidRPr="00AE141E">
        <w:rPr>
          <w:rFonts w:ascii="Times New Roman" w:hAnsi="Times New Roman" w:cs="Times New Roman"/>
          <w:sz w:val="24"/>
          <w:szCs w:val="24"/>
        </w:rPr>
        <w:t xml:space="preserve">. When </w:t>
      </w:r>
      <w:r w:rsidR="00CE0F9B" w:rsidRPr="00AE141E">
        <w:rPr>
          <w:rFonts w:ascii="Times New Roman" w:hAnsi="Times New Roman" w:cs="Times New Roman"/>
          <w:sz w:val="24"/>
          <w:szCs w:val="24"/>
        </w:rPr>
        <w:t xml:space="preserve">Dr Gerry </w:t>
      </w:r>
      <w:r w:rsidR="006C6520" w:rsidRPr="00AE141E">
        <w:rPr>
          <w:rFonts w:ascii="Times New Roman" w:hAnsi="Times New Roman" w:cs="Times New Roman"/>
          <w:sz w:val="24"/>
          <w:szCs w:val="24"/>
        </w:rPr>
        <w:t xml:space="preserve">Gough took over the headship of Burnage in 1982, he inherited a former </w:t>
      </w:r>
      <w:r w:rsidR="00761075" w:rsidRPr="00AE141E">
        <w:rPr>
          <w:rFonts w:ascii="Times New Roman" w:hAnsi="Times New Roman" w:cs="Times New Roman"/>
          <w:sz w:val="24"/>
          <w:szCs w:val="24"/>
        </w:rPr>
        <w:t>g</w:t>
      </w:r>
      <w:r w:rsidR="006C6520" w:rsidRPr="00AE141E">
        <w:rPr>
          <w:rFonts w:ascii="Times New Roman" w:hAnsi="Times New Roman" w:cs="Times New Roman"/>
          <w:sz w:val="24"/>
          <w:szCs w:val="24"/>
        </w:rPr>
        <w:t xml:space="preserve">rammar </w:t>
      </w:r>
      <w:r w:rsidR="00761075" w:rsidRPr="00AE141E">
        <w:rPr>
          <w:rFonts w:ascii="Times New Roman" w:hAnsi="Times New Roman" w:cs="Times New Roman"/>
          <w:sz w:val="24"/>
          <w:szCs w:val="24"/>
        </w:rPr>
        <w:t>s</w:t>
      </w:r>
      <w:r w:rsidR="006C6520" w:rsidRPr="00AE141E">
        <w:rPr>
          <w:rFonts w:ascii="Times New Roman" w:hAnsi="Times New Roman" w:cs="Times New Roman"/>
          <w:sz w:val="24"/>
          <w:szCs w:val="24"/>
        </w:rPr>
        <w:t xml:space="preserve">chool which retained </w:t>
      </w:r>
      <w:r w:rsidR="00160EF5" w:rsidRPr="00AE141E">
        <w:rPr>
          <w:rFonts w:ascii="Times New Roman" w:hAnsi="Times New Roman" w:cs="Times New Roman"/>
          <w:sz w:val="24"/>
          <w:szCs w:val="24"/>
        </w:rPr>
        <w:t>a</w:t>
      </w:r>
      <w:r w:rsidR="00F50501" w:rsidRPr="00AE141E">
        <w:rPr>
          <w:rFonts w:ascii="Times New Roman" w:hAnsi="Times New Roman" w:cs="Times New Roman"/>
          <w:sz w:val="24"/>
          <w:szCs w:val="24"/>
        </w:rPr>
        <w:t xml:space="preserve">n appreciable number of </w:t>
      </w:r>
      <w:r w:rsidR="00160EF5" w:rsidRPr="00AE141E">
        <w:rPr>
          <w:rFonts w:ascii="Times New Roman" w:hAnsi="Times New Roman" w:cs="Times New Roman"/>
          <w:sz w:val="24"/>
          <w:szCs w:val="24"/>
        </w:rPr>
        <w:t xml:space="preserve">staff </w:t>
      </w:r>
      <w:r w:rsidR="00F50501" w:rsidRPr="00AE141E">
        <w:rPr>
          <w:rFonts w:ascii="Times New Roman" w:hAnsi="Times New Roman" w:cs="Times New Roman"/>
          <w:sz w:val="24"/>
          <w:szCs w:val="24"/>
        </w:rPr>
        <w:t xml:space="preserve">who </w:t>
      </w:r>
      <w:r w:rsidR="00463DD0" w:rsidRPr="00AE141E">
        <w:rPr>
          <w:rFonts w:ascii="Times New Roman" w:hAnsi="Times New Roman" w:cs="Times New Roman"/>
          <w:sz w:val="24"/>
          <w:szCs w:val="24"/>
        </w:rPr>
        <w:t>were committed to the ethos of the tripartite system of education</w:t>
      </w:r>
      <w:r w:rsidR="001810F7" w:rsidRPr="00AE141E">
        <w:rPr>
          <w:rFonts w:ascii="Times New Roman" w:hAnsi="Times New Roman" w:cs="Times New Roman"/>
          <w:sz w:val="24"/>
          <w:szCs w:val="24"/>
        </w:rPr>
        <w:t>.</w:t>
      </w:r>
      <w:r w:rsidR="004E3E70" w:rsidRPr="00AE141E">
        <w:rPr>
          <w:rStyle w:val="FootnoteReference"/>
          <w:rFonts w:ascii="Times New Roman" w:hAnsi="Times New Roman" w:cs="Times New Roman"/>
          <w:sz w:val="24"/>
          <w:szCs w:val="24"/>
        </w:rPr>
        <w:footnoteReference w:id="663"/>
      </w:r>
      <w:r w:rsidR="001810F7" w:rsidRPr="00AE141E">
        <w:rPr>
          <w:rFonts w:ascii="Times New Roman" w:hAnsi="Times New Roman" w:cs="Times New Roman"/>
          <w:sz w:val="24"/>
          <w:szCs w:val="24"/>
        </w:rPr>
        <w:t xml:space="preserve"> Evidence given to the Macdonald Inquiry suggested that </w:t>
      </w:r>
      <w:r w:rsidR="00FC17C9" w:rsidRPr="00AE141E">
        <w:rPr>
          <w:rFonts w:ascii="Times New Roman" w:hAnsi="Times New Roman" w:cs="Times New Roman"/>
          <w:sz w:val="24"/>
          <w:szCs w:val="24"/>
        </w:rPr>
        <w:t xml:space="preserve">many teachers felt </w:t>
      </w:r>
      <w:r w:rsidR="00F45747" w:rsidRPr="00AE141E">
        <w:rPr>
          <w:rFonts w:ascii="Times New Roman" w:hAnsi="Times New Roman" w:cs="Times New Roman"/>
          <w:sz w:val="24"/>
          <w:szCs w:val="24"/>
        </w:rPr>
        <w:t>nostalgia for a</w:t>
      </w:r>
      <w:r w:rsidR="00810C84" w:rsidRPr="00AE141E">
        <w:rPr>
          <w:rFonts w:ascii="Times New Roman" w:hAnsi="Times New Roman" w:cs="Times New Roman"/>
          <w:sz w:val="24"/>
          <w:szCs w:val="24"/>
        </w:rPr>
        <w:t xml:space="preserve"> </w:t>
      </w:r>
      <w:r w:rsidR="00F45747" w:rsidRPr="00AE141E">
        <w:rPr>
          <w:rFonts w:ascii="Times New Roman" w:hAnsi="Times New Roman" w:cs="Times New Roman"/>
          <w:sz w:val="24"/>
          <w:szCs w:val="24"/>
        </w:rPr>
        <w:t>‘golden age’ of Engl</w:t>
      </w:r>
      <w:r w:rsidR="002B55A2" w:rsidRPr="00AE141E">
        <w:rPr>
          <w:rFonts w:ascii="Times New Roman" w:hAnsi="Times New Roman" w:cs="Times New Roman"/>
          <w:sz w:val="24"/>
          <w:szCs w:val="24"/>
        </w:rPr>
        <w:t xml:space="preserve">ish </w:t>
      </w:r>
      <w:r w:rsidR="002B55A2" w:rsidRPr="00AE141E">
        <w:rPr>
          <w:rFonts w:ascii="Times New Roman" w:hAnsi="Times New Roman" w:cs="Times New Roman"/>
          <w:sz w:val="24"/>
          <w:szCs w:val="24"/>
        </w:rPr>
        <w:lastRenderedPageBreak/>
        <w:t xml:space="preserve">education, in which </w:t>
      </w:r>
      <w:r w:rsidR="00810C84" w:rsidRPr="00AE141E">
        <w:rPr>
          <w:rFonts w:ascii="Times New Roman" w:hAnsi="Times New Roman" w:cs="Times New Roman"/>
          <w:sz w:val="24"/>
          <w:szCs w:val="24"/>
        </w:rPr>
        <w:t>order</w:t>
      </w:r>
      <w:r w:rsidR="0032761E" w:rsidRPr="00AE141E">
        <w:rPr>
          <w:rFonts w:ascii="Times New Roman" w:hAnsi="Times New Roman" w:cs="Times New Roman"/>
          <w:sz w:val="24"/>
          <w:szCs w:val="24"/>
        </w:rPr>
        <w:t xml:space="preserve">, hierarchy, and </w:t>
      </w:r>
      <w:r w:rsidR="00935BCE" w:rsidRPr="00AE141E">
        <w:rPr>
          <w:rFonts w:ascii="Times New Roman" w:hAnsi="Times New Roman" w:cs="Times New Roman"/>
          <w:sz w:val="24"/>
          <w:szCs w:val="24"/>
        </w:rPr>
        <w:t>high academic standards</w:t>
      </w:r>
      <w:r w:rsidR="002B55A2" w:rsidRPr="00AE141E">
        <w:rPr>
          <w:rFonts w:ascii="Times New Roman" w:hAnsi="Times New Roman" w:cs="Times New Roman"/>
          <w:sz w:val="24"/>
          <w:szCs w:val="24"/>
        </w:rPr>
        <w:t xml:space="preserve"> </w:t>
      </w:r>
      <w:r w:rsidR="00935BCE" w:rsidRPr="00AE141E">
        <w:rPr>
          <w:rFonts w:ascii="Times New Roman" w:hAnsi="Times New Roman" w:cs="Times New Roman"/>
          <w:sz w:val="24"/>
          <w:szCs w:val="24"/>
        </w:rPr>
        <w:t>were</w:t>
      </w:r>
      <w:r w:rsidR="002B55A2" w:rsidRPr="00AE141E">
        <w:rPr>
          <w:rFonts w:ascii="Times New Roman" w:hAnsi="Times New Roman" w:cs="Times New Roman"/>
          <w:sz w:val="24"/>
          <w:szCs w:val="24"/>
        </w:rPr>
        <w:t xml:space="preserve"> enforced through corporal punishment</w:t>
      </w:r>
      <w:r w:rsidR="00740905" w:rsidRPr="00AE141E">
        <w:rPr>
          <w:rFonts w:ascii="Times New Roman" w:hAnsi="Times New Roman" w:cs="Times New Roman"/>
          <w:sz w:val="24"/>
          <w:szCs w:val="24"/>
        </w:rPr>
        <w:t>. Under this system,</w:t>
      </w:r>
      <w:r w:rsidR="00810C84" w:rsidRPr="00AE141E">
        <w:rPr>
          <w:rFonts w:ascii="Times New Roman" w:hAnsi="Times New Roman" w:cs="Times New Roman"/>
          <w:sz w:val="24"/>
          <w:szCs w:val="24"/>
        </w:rPr>
        <w:t xml:space="preserve"> it was imagined that</w:t>
      </w:r>
      <w:r w:rsidR="00740905" w:rsidRPr="00AE141E">
        <w:rPr>
          <w:rFonts w:ascii="Times New Roman" w:hAnsi="Times New Roman" w:cs="Times New Roman"/>
          <w:sz w:val="24"/>
          <w:szCs w:val="24"/>
        </w:rPr>
        <w:t xml:space="preserve"> </w:t>
      </w:r>
      <w:r w:rsidR="00810C84" w:rsidRPr="00AE141E">
        <w:rPr>
          <w:rFonts w:ascii="Times New Roman" w:hAnsi="Times New Roman" w:cs="Times New Roman"/>
          <w:sz w:val="24"/>
          <w:szCs w:val="24"/>
        </w:rPr>
        <w:t>‘i</w:t>
      </w:r>
      <w:r w:rsidR="0077499B" w:rsidRPr="00AE141E">
        <w:rPr>
          <w:rFonts w:ascii="Times New Roman" w:hAnsi="Times New Roman" w:cs="Times New Roman"/>
          <w:sz w:val="24"/>
          <w:szCs w:val="24"/>
        </w:rPr>
        <w:t>ndiscipline and racism did not exist</w:t>
      </w:r>
      <w:r w:rsidR="00810C84" w:rsidRPr="00AE141E">
        <w:rPr>
          <w:rFonts w:ascii="Times New Roman" w:hAnsi="Times New Roman" w:cs="Times New Roman"/>
          <w:sz w:val="24"/>
          <w:szCs w:val="24"/>
        </w:rPr>
        <w:t>’</w:t>
      </w:r>
      <w:r w:rsidR="0077499B" w:rsidRPr="00AE141E">
        <w:rPr>
          <w:rFonts w:ascii="Times New Roman" w:hAnsi="Times New Roman" w:cs="Times New Roman"/>
          <w:sz w:val="24"/>
          <w:szCs w:val="24"/>
        </w:rPr>
        <w:t xml:space="preserve">, and all children </w:t>
      </w:r>
      <w:r w:rsidR="00810C84" w:rsidRPr="00AE141E">
        <w:rPr>
          <w:rFonts w:ascii="Times New Roman" w:hAnsi="Times New Roman" w:cs="Times New Roman"/>
          <w:sz w:val="24"/>
          <w:szCs w:val="24"/>
        </w:rPr>
        <w:t xml:space="preserve">were given the chance to </w:t>
      </w:r>
      <w:r w:rsidR="0077499B" w:rsidRPr="00AE141E">
        <w:rPr>
          <w:rFonts w:ascii="Times New Roman" w:hAnsi="Times New Roman" w:cs="Times New Roman"/>
          <w:sz w:val="24"/>
          <w:szCs w:val="24"/>
        </w:rPr>
        <w:t>flouris</w:t>
      </w:r>
      <w:r w:rsidR="00810C84" w:rsidRPr="00AE141E">
        <w:rPr>
          <w:rFonts w:ascii="Times New Roman" w:hAnsi="Times New Roman" w:cs="Times New Roman"/>
          <w:sz w:val="24"/>
          <w:szCs w:val="24"/>
        </w:rPr>
        <w:t>h.</w:t>
      </w:r>
      <w:r w:rsidR="001C5E2D" w:rsidRPr="00AE141E">
        <w:rPr>
          <w:rFonts w:ascii="Times New Roman" w:hAnsi="Times New Roman" w:cs="Times New Roman"/>
          <w:sz w:val="24"/>
          <w:szCs w:val="24"/>
        </w:rPr>
        <w:t xml:space="preserve"> Macdonald believed</w:t>
      </w:r>
      <w:r w:rsidR="007D1030" w:rsidRPr="00AE141E">
        <w:rPr>
          <w:rFonts w:ascii="Times New Roman" w:hAnsi="Times New Roman" w:cs="Times New Roman"/>
          <w:sz w:val="24"/>
          <w:szCs w:val="24"/>
        </w:rPr>
        <w:t xml:space="preserve"> that </w:t>
      </w:r>
      <w:r w:rsidR="008B4132" w:rsidRPr="00AE141E">
        <w:rPr>
          <w:rFonts w:ascii="Times New Roman" w:hAnsi="Times New Roman" w:cs="Times New Roman"/>
          <w:sz w:val="24"/>
          <w:szCs w:val="24"/>
        </w:rPr>
        <w:t>Burnage’s</w:t>
      </w:r>
      <w:r w:rsidR="007D1030" w:rsidRPr="00AE141E">
        <w:rPr>
          <w:rFonts w:ascii="Times New Roman" w:hAnsi="Times New Roman" w:cs="Times New Roman"/>
          <w:sz w:val="24"/>
          <w:szCs w:val="24"/>
        </w:rPr>
        <w:t xml:space="preserve"> characteristic violence deri</w:t>
      </w:r>
      <w:r w:rsidR="00322AE6" w:rsidRPr="00AE141E">
        <w:rPr>
          <w:rFonts w:ascii="Times New Roman" w:hAnsi="Times New Roman" w:cs="Times New Roman"/>
          <w:sz w:val="24"/>
          <w:szCs w:val="24"/>
        </w:rPr>
        <w:t>ved not only from its masculine culture as a boys</w:t>
      </w:r>
      <w:r w:rsidR="00D441D3">
        <w:rPr>
          <w:rFonts w:ascii="Times New Roman" w:hAnsi="Times New Roman" w:cs="Times New Roman"/>
          <w:sz w:val="24"/>
          <w:szCs w:val="24"/>
        </w:rPr>
        <w:t>’</w:t>
      </w:r>
      <w:r w:rsidR="00322AE6" w:rsidRPr="00AE141E">
        <w:rPr>
          <w:rFonts w:ascii="Times New Roman" w:hAnsi="Times New Roman" w:cs="Times New Roman"/>
          <w:sz w:val="24"/>
          <w:szCs w:val="24"/>
        </w:rPr>
        <w:t xml:space="preserve"> school, but from </w:t>
      </w:r>
      <w:r w:rsidR="00AA6BF4" w:rsidRPr="00AE141E">
        <w:rPr>
          <w:rFonts w:ascii="Times New Roman" w:hAnsi="Times New Roman" w:cs="Times New Roman"/>
          <w:sz w:val="24"/>
          <w:szCs w:val="24"/>
        </w:rPr>
        <w:t xml:space="preserve">teachers’ own recourse to physical punishment, which seems to have endured </w:t>
      </w:r>
      <w:r w:rsidR="003B3840">
        <w:rPr>
          <w:rFonts w:ascii="Times New Roman" w:hAnsi="Times New Roman" w:cs="Times New Roman"/>
          <w:sz w:val="24"/>
          <w:szCs w:val="24"/>
        </w:rPr>
        <w:t xml:space="preserve">long </w:t>
      </w:r>
      <w:r w:rsidR="00781990" w:rsidRPr="00AE141E">
        <w:rPr>
          <w:rFonts w:ascii="Times New Roman" w:hAnsi="Times New Roman" w:cs="Times New Roman"/>
          <w:sz w:val="24"/>
          <w:szCs w:val="24"/>
        </w:rPr>
        <w:t>after its formal abolition.</w:t>
      </w:r>
    </w:p>
    <w:p w14:paraId="271C6AC7" w14:textId="4FF40182" w:rsidR="007D58FD" w:rsidRPr="00AE141E" w:rsidRDefault="00781990" w:rsidP="00AE141E">
      <w:pPr>
        <w:tabs>
          <w:tab w:val="left" w:pos="6730"/>
        </w:tabs>
        <w:spacing w:before="240" w:line="360" w:lineRule="auto"/>
        <w:rPr>
          <w:rFonts w:ascii="Times New Roman" w:hAnsi="Times New Roman" w:cs="Times New Roman"/>
          <w:sz w:val="24"/>
          <w:szCs w:val="24"/>
        </w:rPr>
      </w:pPr>
      <w:r w:rsidRPr="00AE141E">
        <w:rPr>
          <w:rFonts w:ascii="Times New Roman" w:hAnsi="Times New Roman" w:cs="Times New Roman"/>
          <w:sz w:val="24"/>
          <w:szCs w:val="24"/>
        </w:rPr>
        <w:t>Macdonald also reported upon a prevailing</w:t>
      </w:r>
      <w:r w:rsidR="003B3840">
        <w:rPr>
          <w:rFonts w:ascii="Times New Roman" w:hAnsi="Times New Roman" w:cs="Times New Roman"/>
          <w:sz w:val="24"/>
          <w:szCs w:val="24"/>
        </w:rPr>
        <w:t xml:space="preserve"> culture of professional</w:t>
      </w:r>
      <w:r w:rsidRPr="00AE141E">
        <w:rPr>
          <w:rFonts w:ascii="Times New Roman" w:hAnsi="Times New Roman" w:cs="Times New Roman"/>
          <w:sz w:val="24"/>
          <w:szCs w:val="24"/>
        </w:rPr>
        <w:t xml:space="preserve"> resistance to the anti-racist</w:t>
      </w:r>
      <w:r w:rsidR="00AD0C72" w:rsidRPr="00AE141E">
        <w:rPr>
          <w:rFonts w:ascii="Times New Roman" w:hAnsi="Times New Roman" w:cs="Times New Roman"/>
          <w:sz w:val="24"/>
          <w:szCs w:val="24"/>
        </w:rPr>
        <w:t xml:space="preserve"> and multicultural</w:t>
      </w:r>
      <w:r w:rsidRPr="00AE141E">
        <w:rPr>
          <w:rFonts w:ascii="Times New Roman" w:hAnsi="Times New Roman" w:cs="Times New Roman"/>
          <w:sz w:val="24"/>
          <w:szCs w:val="24"/>
        </w:rPr>
        <w:t xml:space="preserve"> </w:t>
      </w:r>
      <w:r w:rsidR="00AD0C72" w:rsidRPr="00AE141E">
        <w:rPr>
          <w:rFonts w:ascii="Times New Roman" w:hAnsi="Times New Roman" w:cs="Times New Roman"/>
          <w:sz w:val="24"/>
          <w:szCs w:val="24"/>
        </w:rPr>
        <w:t>policies</w:t>
      </w:r>
      <w:r w:rsidRPr="00AE141E">
        <w:rPr>
          <w:rFonts w:ascii="Times New Roman" w:hAnsi="Times New Roman" w:cs="Times New Roman"/>
          <w:sz w:val="24"/>
          <w:szCs w:val="24"/>
        </w:rPr>
        <w:t xml:space="preserve"> instituted by </w:t>
      </w:r>
      <w:r w:rsidR="00E2493B" w:rsidRPr="00AE141E">
        <w:rPr>
          <w:rFonts w:ascii="Times New Roman" w:hAnsi="Times New Roman" w:cs="Times New Roman"/>
          <w:sz w:val="24"/>
          <w:szCs w:val="24"/>
        </w:rPr>
        <w:t xml:space="preserve">Gough and </w:t>
      </w:r>
      <w:r w:rsidR="000F37B0" w:rsidRPr="00AE141E">
        <w:rPr>
          <w:rFonts w:ascii="Times New Roman" w:hAnsi="Times New Roman" w:cs="Times New Roman"/>
          <w:sz w:val="24"/>
          <w:szCs w:val="24"/>
        </w:rPr>
        <w:t>his allies on the management team.</w:t>
      </w:r>
      <w:r w:rsidR="00A25F1E" w:rsidRPr="00AE141E">
        <w:rPr>
          <w:rFonts w:ascii="Times New Roman" w:hAnsi="Times New Roman" w:cs="Times New Roman"/>
          <w:sz w:val="24"/>
          <w:szCs w:val="24"/>
        </w:rPr>
        <w:t xml:space="preserve"> </w:t>
      </w:r>
      <w:r w:rsidR="003B3840">
        <w:rPr>
          <w:rFonts w:ascii="Times New Roman" w:hAnsi="Times New Roman" w:cs="Times New Roman"/>
          <w:sz w:val="24"/>
          <w:szCs w:val="24"/>
        </w:rPr>
        <w:t>Gough’s</w:t>
      </w:r>
      <w:r w:rsidR="00A25F1E" w:rsidRPr="00AE141E">
        <w:rPr>
          <w:rFonts w:ascii="Times New Roman" w:hAnsi="Times New Roman" w:cs="Times New Roman"/>
          <w:sz w:val="24"/>
          <w:szCs w:val="24"/>
        </w:rPr>
        <w:t xml:space="preserve"> reforms were by no means radical; as the Inquiry noted, they consisted primarily of the </w:t>
      </w:r>
      <w:r w:rsidR="00AD0C72" w:rsidRPr="00AE141E">
        <w:rPr>
          <w:rFonts w:ascii="Times New Roman" w:hAnsi="Times New Roman" w:cs="Times New Roman"/>
          <w:sz w:val="24"/>
          <w:szCs w:val="24"/>
        </w:rPr>
        <w:t xml:space="preserve">‘soft underbelly of </w:t>
      </w:r>
      <w:r w:rsidR="00B005B5" w:rsidRPr="00AE141E">
        <w:rPr>
          <w:rFonts w:ascii="Times New Roman" w:hAnsi="Times New Roman" w:cs="Times New Roman"/>
          <w:sz w:val="24"/>
          <w:szCs w:val="24"/>
        </w:rPr>
        <w:t>multiculturalism’.</w:t>
      </w:r>
      <w:r w:rsidR="00D05695" w:rsidRPr="00AE141E">
        <w:rPr>
          <w:rStyle w:val="FootnoteReference"/>
          <w:rFonts w:ascii="Times New Roman" w:hAnsi="Times New Roman" w:cs="Times New Roman"/>
          <w:sz w:val="24"/>
          <w:szCs w:val="24"/>
        </w:rPr>
        <w:footnoteReference w:id="664"/>
      </w:r>
      <w:r w:rsidR="00B005B5" w:rsidRPr="00AE141E">
        <w:rPr>
          <w:rFonts w:ascii="Times New Roman" w:hAnsi="Times New Roman" w:cs="Times New Roman"/>
          <w:sz w:val="24"/>
          <w:szCs w:val="24"/>
        </w:rPr>
        <w:t xml:space="preserve"> Indian music, Eid festivals, and multi-faith assemblies gave Burnage the appearance of a school implementing the local authority’s policies on race</w:t>
      </w:r>
      <w:r w:rsidR="00DC0A56" w:rsidRPr="00AE141E">
        <w:rPr>
          <w:rFonts w:ascii="Times New Roman" w:hAnsi="Times New Roman" w:cs="Times New Roman"/>
          <w:sz w:val="24"/>
          <w:szCs w:val="24"/>
        </w:rPr>
        <w:t xml:space="preserve">. </w:t>
      </w:r>
      <w:r w:rsidR="00E333CF" w:rsidRPr="00AE141E">
        <w:rPr>
          <w:rFonts w:ascii="Times New Roman" w:hAnsi="Times New Roman" w:cs="Times New Roman"/>
          <w:sz w:val="24"/>
          <w:szCs w:val="24"/>
        </w:rPr>
        <w:t>Meanwhile, t</w:t>
      </w:r>
      <w:r w:rsidR="002765A9" w:rsidRPr="00AE141E">
        <w:rPr>
          <w:rFonts w:ascii="Times New Roman" w:hAnsi="Times New Roman" w:cs="Times New Roman"/>
          <w:sz w:val="24"/>
          <w:szCs w:val="24"/>
        </w:rPr>
        <w:t>he ‘unofficial’ culture of the school –</w:t>
      </w:r>
      <w:r w:rsidR="009E1438">
        <w:rPr>
          <w:rFonts w:ascii="Times New Roman" w:hAnsi="Times New Roman" w:cs="Times New Roman"/>
          <w:sz w:val="24"/>
          <w:szCs w:val="24"/>
        </w:rPr>
        <w:t xml:space="preserve"> </w:t>
      </w:r>
      <w:r w:rsidR="00A25F1E" w:rsidRPr="00AE141E">
        <w:rPr>
          <w:rFonts w:ascii="Times New Roman" w:hAnsi="Times New Roman" w:cs="Times New Roman"/>
          <w:sz w:val="24"/>
          <w:szCs w:val="24"/>
        </w:rPr>
        <w:t>in</w:t>
      </w:r>
      <w:r w:rsidR="002765A9" w:rsidRPr="00AE141E">
        <w:rPr>
          <w:rFonts w:ascii="Times New Roman" w:hAnsi="Times New Roman" w:cs="Times New Roman"/>
          <w:sz w:val="24"/>
          <w:szCs w:val="24"/>
        </w:rPr>
        <w:t xml:space="preserve"> the</w:t>
      </w:r>
      <w:r w:rsidR="00A25F1E" w:rsidRPr="00AE141E">
        <w:rPr>
          <w:rFonts w:ascii="Times New Roman" w:hAnsi="Times New Roman" w:cs="Times New Roman"/>
          <w:sz w:val="24"/>
          <w:szCs w:val="24"/>
        </w:rPr>
        <w:t xml:space="preserve"> corridors</w:t>
      </w:r>
      <w:r w:rsidR="009E1438">
        <w:rPr>
          <w:rFonts w:ascii="Times New Roman" w:hAnsi="Times New Roman" w:cs="Times New Roman"/>
          <w:sz w:val="24"/>
          <w:szCs w:val="24"/>
        </w:rPr>
        <w:t xml:space="preserve">, </w:t>
      </w:r>
      <w:r w:rsidR="002765A9" w:rsidRPr="00AE141E">
        <w:rPr>
          <w:rFonts w:ascii="Times New Roman" w:hAnsi="Times New Roman" w:cs="Times New Roman"/>
          <w:sz w:val="24"/>
          <w:szCs w:val="24"/>
        </w:rPr>
        <w:t xml:space="preserve">the </w:t>
      </w:r>
      <w:r w:rsidR="00A25F1E" w:rsidRPr="00AE141E">
        <w:rPr>
          <w:rFonts w:ascii="Times New Roman" w:hAnsi="Times New Roman" w:cs="Times New Roman"/>
          <w:sz w:val="24"/>
          <w:szCs w:val="24"/>
        </w:rPr>
        <w:t>playgrounds</w:t>
      </w:r>
      <w:r w:rsidR="009E1438">
        <w:rPr>
          <w:rFonts w:ascii="Times New Roman" w:hAnsi="Times New Roman" w:cs="Times New Roman"/>
          <w:sz w:val="24"/>
          <w:szCs w:val="24"/>
        </w:rPr>
        <w:t xml:space="preserve">, and the staffroom </w:t>
      </w:r>
      <w:r w:rsidR="002765A9" w:rsidRPr="00AE141E">
        <w:rPr>
          <w:rFonts w:ascii="Times New Roman" w:hAnsi="Times New Roman" w:cs="Times New Roman"/>
          <w:sz w:val="24"/>
          <w:szCs w:val="24"/>
        </w:rPr>
        <w:t xml:space="preserve">– seems to </w:t>
      </w:r>
      <w:r w:rsidR="00E333CF" w:rsidRPr="00AE141E">
        <w:rPr>
          <w:rFonts w:ascii="Times New Roman" w:hAnsi="Times New Roman" w:cs="Times New Roman"/>
          <w:sz w:val="24"/>
          <w:szCs w:val="24"/>
        </w:rPr>
        <w:t xml:space="preserve">have remained laden with uncontested racism. </w:t>
      </w:r>
      <w:r w:rsidR="008426AA" w:rsidRPr="00AE141E">
        <w:rPr>
          <w:rFonts w:ascii="Times New Roman" w:hAnsi="Times New Roman" w:cs="Times New Roman"/>
          <w:sz w:val="24"/>
          <w:szCs w:val="24"/>
        </w:rPr>
        <w:t xml:space="preserve">Staff </w:t>
      </w:r>
      <w:r w:rsidR="00D4141A" w:rsidRPr="00AE141E">
        <w:rPr>
          <w:rFonts w:ascii="Times New Roman" w:hAnsi="Times New Roman" w:cs="Times New Roman"/>
          <w:sz w:val="24"/>
          <w:szCs w:val="24"/>
        </w:rPr>
        <w:t>issued strong objections to the display of ‘</w:t>
      </w:r>
      <w:r w:rsidR="008426AA" w:rsidRPr="00AE141E">
        <w:rPr>
          <w:rFonts w:ascii="Times New Roman" w:hAnsi="Times New Roman" w:cs="Times New Roman"/>
          <w:sz w:val="24"/>
          <w:szCs w:val="24"/>
        </w:rPr>
        <w:t>pictures of buildings from non-European cultures</w:t>
      </w:r>
      <w:r w:rsidR="00D4141A" w:rsidRPr="00AE141E">
        <w:rPr>
          <w:rFonts w:ascii="Times New Roman" w:hAnsi="Times New Roman" w:cs="Times New Roman"/>
          <w:sz w:val="24"/>
          <w:szCs w:val="24"/>
        </w:rPr>
        <w:t>’ and to notice</w:t>
      </w:r>
      <w:r w:rsidR="003B3840">
        <w:rPr>
          <w:rFonts w:ascii="Times New Roman" w:hAnsi="Times New Roman" w:cs="Times New Roman"/>
          <w:sz w:val="24"/>
          <w:szCs w:val="24"/>
        </w:rPr>
        <w:t>s</w:t>
      </w:r>
      <w:r w:rsidR="00D4141A" w:rsidRPr="00AE141E">
        <w:rPr>
          <w:rFonts w:ascii="Times New Roman" w:hAnsi="Times New Roman" w:cs="Times New Roman"/>
          <w:sz w:val="24"/>
          <w:szCs w:val="24"/>
        </w:rPr>
        <w:t xml:space="preserve"> in languages other than English.</w:t>
      </w:r>
      <w:r w:rsidR="00217AA9" w:rsidRPr="00AE141E">
        <w:rPr>
          <w:rFonts w:ascii="Times New Roman" w:hAnsi="Times New Roman" w:cs="Times New Roman"/>
          <w:sz w:val="24"/>
          <w:szCs w:val="24"/>
        </w:rPr>
        <w:t xml:space="preserve"> One teacher</w:t>
      </w:r>
      <w:r w:rsidR="003B3840">
        <w:rPr>
          <w:rFonts w:ascii="Times New Roman" w:hAnsi="Times New Roman" w:cs="Times New Roman"/>
          <w:sz w:val="24"/>
          <w:szCs w:val="24"/>
        </w:rPr>
        <w:t xml:space="preserve"> </w:t>
      </w:r>
      <w:r w:rsidR="00217AA9" w:rsidRPr="00AE141E">
        <w:rPr>
          <w:rFonts w:ascii="Times New Roman" w:hAnsi="Times New Roman" w:cs="Times New Roman"/>
          <w:sz w:val="24"/>
          <w:szCs w:val="24"/>
        </w:rPr>
        <w:t xml:space="preserve">described </w:t>
      </w:r>
      <w:r w:rsidR="00607563" w:rsidRPr="00AE141E">
        <w:rPr>
          <w:rFonts w:ascii="Times New Roman" w:hAnsi="Times New Roman" w:cs="Times New Roman"/>
          <w:sz w:val="24"/>
          <w:szCs w:val="24"/>
        </w:rPr>
        <w:t>a</w:t>
      </w:r>
      <w:r w:rsidR="00217AA9" w:rsidRPr="00AE141E">
        <w:rPr>
          <w:rFonts w:ascii="Times New Roman" w:hAnsi="Times New Roman" w:cs="Times New Roman"/>
          <w:sz w:val="24"/>
          <w:szCs w:val="24"/>
        </w:rPr>
        <w:t xml:space="preserve"> general atmosphere </w:t>
      </w:r>
      <w:r w:rsidR="00607563" w:rsidRPr="00AE141E">
        <w:rPr>
          <w:rFonts w:ascii="Times New Roman" w:hAnsi="Times New Roman" w:cs="Times New Roman"/>
          <w:sz w:val="24"/>
          <w:szCs w:val="24"/>
        </w:rPr>
        <w:t xml:space="preserve">of open hostility to work on racism and an unwelcoming attitude to </w:t>
      </w:r>
      <w:r w:rsidR="008241E3" w:rsidRPr="00AE141E">
        <w:rPr>
          <w:rFonts w:ascii="Times New Roman" w:hAnsi="Times New Roman" w:cs="Times New Roman"/>
          <w:sz w:val="24"/>
          <w:szCs w:val="24"/>
        </w:rPr>
        <w:t xml:space="preserve">students </w:t>
      </w:r>
      <w:r w:rsidR="00273269" w:rsidRPr="00AE141E">
        <w:rPr>
          <w:rFonts w:ascii="Times New Roman" w:hAnsi="Times New Roman" w:cs="Times New Roman"/>
          <w:sz w:val="24"/>
          <w:szCs w:val="24"/>
        </w:rPr>
        <w:t>and their families, over 35 per cent of whom were of Asian or African-Caribbean heritage.</w:t>
      </w:r>
      <w:r w:rsidR="00443590" w:rsidRPr="00AE141E">
        <w:rPr>
          <w:rFonts w:ascii="Times New Roman" w:hAnsi="Times New Roman" w:cs="Times New Roman"/>
          <w:sz w:val="24"/>
          <w:szCs w:val="24"/>
        </w:rPr>
        <w:t xml:space="preserve"> </w:t>
      </w:r>
      <w:r w:rsidR="00996E70" w:rsidRPr="00AE141E">
        <w:rPr>
          <w:rFonts w:ascii="Times New Roman" w:hAnsi="Times New Roman" w:cs="Times New Roman"/>
          <w:sz w:val="24"/>
          <w:szCs w:val="24"/>
        </w:rPr>
        <w:t xml:space="preserve">Staff </w:t>
      </w:r>
      <w:r w:rsidR="00996E70">
        <w:rPr>
          <w:rFonts w:ascii="Times New Roman" w:hAnsi="Times New Roman" w:cs="Times New Roman"/>
          <w:sz w:val="24"/>
          <w:szCs w:val="24"/>
        </w:rPr>
        <w:t>routinely</w:t>
      </w:r>
      <w:r w:rsidR="00996E70" w:rsidRPr="00AE141E">
        <w:rPr>
          <w:rFonts w:ascii="Times New Roman" w:hAnsi="Times New Roman" w:cs="Times New Roman"/>
          <w:sz w:val="24"/>
          <w:szCs w:val="24"/>
        </w:rPr>
        <w:t xml:space="preserve"> dehumanise</w:t>
      </w:r>
      <w:r w:rsidR="00996E70">
        <w:rPr>
          <w:rFonts w:ascii="Times New Roman" w:hAnsi="Times New Roman" w:cs="Times New Roman"/>
          <w:sz w:val="24"/>
          <w:szCs w:val="24"/>
        </w:rPr>
        <w:t>d</w:t>
      </w:r>
      <w:r w:rsidR="00996E70" w:rsidRPr="00AE141E">
        <w:rPr>
          <w:rFonts w:ascii="Times New Roman" w:hAnsi="Times New Roman" w:cs="Times New Roman"/>
          <w:sz w:val="24"/>
          <w:szCs w:val="24"/>
        </w:rPr>
        <w:t xml:space="preserve"> students </w:t>
      </w:r>
      <w:r w:rsidR="00996E70">
        <w:rPr>
          <w:rFonts w:ascii="Times New Roman" w:hAnsi="Times New Roman" w:cs="Times New Roman"/>
          <w:sz w:val="24"/>
          <w:szCs w:val="24"/>
        </w:rPr>
        <w:t>by</w:t>
      </w:r>
      <w:r w:rsidR="00996E70" w:rsidRPr="00AE141E">
        <w:rPr>
          <w:rFonts w:ascii="Times New Roman" w:hAnsi="Times New Roman" w:cs="Times New Roman"/>
          <w:sz w:val="24"/>
          <w:szCs w:val="24"/>
        </w:rPr>
        <w:t xml:space="preserve"> refer</w:t>
      </w:r>
      <w:r w:rsidR="00996E70">
        <w:rPr>
          <w:rFonts w:ascii="Times New Roman" w:hAnsi="Times New Roman" w:cs="Times New Roman"/>
          <w:sz w:val="24"/>
          <w:szCs w:val="24"/>
        </w:rPr>
        <w:t>ring</w:t>
      </w:r>
      <w:r w:rsidR="00996E70" w:rsidRPr="00AE141E">
        <w:rPr>
          <w:rFonts w:ascii="Times New Roman" w:hAnsi="Times New Roman" w:cs="Times New Roman"/>
          <w:sz w:val="24"/>
          <w:szCs w:val="24"/>
        </w:rPr>
        <w:t xml:space="preserve"> to them using racial slurs.</w:t>
      </w:r>
    </w:p>
    <w:p w14:paraId="4AC7F302" w14:textId="77777777" w:rsidR="00296C09" w:rsidRDefault="00681BE0" w:rsidP="00996E70">
      <w:pPr>
        <w:tabs>
          <w:tab w:val="left" w:pos="6730"/>
        </w:tabs>
        <w:spacing w:before="240"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time went on, it seems that this </w:t>
      </w:r>
      <w:r w:rsidR="00602A17" w:rsidRPr="00AE141E">
        <w:rPr>
          <w:rFonts w:ascii="Times New Roman" w:hAnsi="Times New Roman" w:cs="Times New Roman"/>
          <w:sz w:val="24"/>
          <w:szCs w:val="24"/>
        </w:rPr>
        <w:t>generalised hostility took a more organised form.</w:t>
      </w:r>
      <w:r w:rsidR="00915613" w:rsidRPr="00AE141E">
        <w:rPr>
          <w:rFonts w:ascii="Times New Roman" w:hAnsi="Times New Roman" w:cs="Times New Roman"/>
          <w:sz w:val="24"/>
          <w:szCs w:val="24"/>
        </w:rPr>
        <w:t xml:space="preserve"> </w:t>
      </w:r>
      <w:r w:rsidR="007E1BDA" w:rsidRPr="00AE141E">
        <w:rPr>
          <w:rFonts w:ascii="Times New Roman" w:hAnsi="Times New Roman" w:cs="Times New Roman"/>
          <w:sz w:val="24"/>
          <w:szCs w:val="24"/>
        </w:rPr>
        <w:t>Staff members perceive</w:t>
      </w:r>
      <w:r w:rsidR="00D800D1" w:rsidRPr="00AE141E">
        <w:rPr>
          <w:rFonts w:ascii="Times New Roman" w:hAnsi="Times New Roman" w:cs="Times New Roman"/>
          <w:sz w:val="24"/>
          <w:szCs w:val="24"/>
        </w:rPr>
        <w:t xml:space="preserve">d </w:t>
      </w:r>
      <w:r w:rsidR="008B0249" w:rsidRPr="00AE141E">
        <w:rPr>
          <w:rFonts w:ascii="Times New Roman" w:hAnsi="Times New Roman" w:cs="Times New Roman"/>
          <w:sz w:val="24"/>
          <w:szCs w:val="24"/>
        </w:rPr>
        <w:t>as</w:t>
      </w:r>
      <w:r w:rsidR="00D800D1" w:rsidRPr="00AE141E">
        <w:rPr>
          <w:rFonts w:ascii="Times New Roman" w:hAnsi="Times New Roman" w:cs="Times New Roman"/>
          <w:sz w:val="24"/>
          <w:szCs w:val="24"/>
        </w:rPr>
        <w:t xml:space="preserve"> </w:t>
      </w:r>
      <w:r w:rsidR="008B0249" w:rsidRPr="00AE141E">
        <w:rPr>
          <w:rFonts w:ascii="Times New Roman" w:hAnsi="Times New Roman" w:cs="Times New Roman"/>
          <w:sz w:val="24"/>
          <w:szCs w:val="24"/>
        </w:rPr>
        <w:t>supportive of</w:t>
      </w:r>
      <w:r w:rsidR="00D800D1" w:rsidRPr="00AE141E">
        <w:rPr>
          <w:rFonts w:ascii="Times New Roman" w:hAnsi="Times New Roman" w:cs="Times New Roman"/>
          <w:sz w:val="24"/>
          <w:szCs w:val="24"/>
        </w:rPr>
        <w:t xml:space="preserve"> multi-cultural </w:t>
      </w:r>
      <w:r w:rsidR="008B0249" w:rsidRPr="00AE141E">
        <w:rPr>
          <w:rFonts w:ascii="Times New Roman" w:hAnsi="Times New Roman" w:cs="Times New Roman"/>
          <w:sz w:val="24"/>
          <w:szCs w:val="24"/>
        </w:rPr>
        <w:t>and</w:t>
      </w:r>
      <w:r w:rsidR="00D800D1" w:rsidRPr="00AE141E">
        <w:rPr>
          <w:rFonts w:ascii="Times New Roman" w:hAnsi="Times New Roman" w:cs="Times New Roman"/>
          <w:sz w:val="24"/>
          <w:szCs w:val="24"/>
        </w:rPr>
        <w:t xml:space="preserve"> anti-racist policies suffered verbal and physical abuse from their colleagues: </w:t>
      </w:r>
      <w:r w:rsidR="000151AC" w:rsidRPr="00AE141E">
        <w:rPr>
          <w:rFonts w:ascii="Times New Roman" w:hAnsi="Times New Roman" w:cs="Times New Roman"/>
          <w:sz w:val="24"/>
          <w:szCs w:val="24"/>
        </w:rPr>
        <w:t xml:space="preserve">one </w:t>
      </w:r>
      <w:r w:rsidR="008B0249" w:rsidRPr="00AE141E">
        <w:rPr>
          <w:rFonts w:ascii="Times New Roman" w:hAnsi="Times New Roman" w:cs="Times New Roman"/>
          <w:sz w:val="24"/>
          <w:szCs w:val="24"/>
        </w:rPr>
        <w:t>teacher</w:t>
      </w:r>
      <w:r w:rsidR="000151AC" w:rsidRPr="00AE141E">
        <w:rPr>
          <w:rFonts w:ascii="Times New Roman" w:hAnsi="Times New Roman" w:cs="Times New Roman"/>
          <w:sz w:val="24"/>
          <w:szCs w:val="24"/>
        </w:rPr>
        <w:t xml:space="preserve"> had his face symbolically ‘blacked with shoe polish’ at a party, </w:t>
      </w:r>
      <w:r w:rsidR="00C74237" w:rsidRPr="00AE141E">
        <w:rPr>
          <w:rFonts w:ascii="Times New Roman" w:hAnsi="Times New Roman" w:cs="Times New Roman"/>
          <w:sz w:val="24"/>
          <w:szCs w:val="24"/>
        </w:rPr>
        <w:t xml:space="preserve">while </w:t>
      </w:r>
      <w:r w:rsidR="008B0249" w:rsidRPr="00AE141E">
        <w:rPr>
          <w:rFonts w:ascii="Times New Roman" w:hAnsi="Times New Roman" w:cs="Times New Roman"/>
          <w:sz w:val="24"/>
          <w:szCs w:val="24"/>
        </w:rPr>
        <w:t>staff</w:t>
      </w:r>
      <w:r w:rsidR="000151AC" w:rsidRPr="00AE141E">
        <w:rPr>
          <w:rFonts w:ascii="Times New Roman" w:hAnsi="Times New Roman" w:cs="Times New Roman"/>
          <w:sz w:val="24"/>
          <w:szCs w:val="24"/>
        </w:rPr>
        <w:t xml:space="preserve"> </w:t>
      </w:r>
      <w:r w:rsidR="00915613" w:rsidRPr="00AE141E">
        <w:rPr>
          <w:rFonts w:ascii="Times New Roman" w:hAnsi="Times New Roman" w:cs="Times New Roman"/>
          <w:sz w:val="24"/>
          <w:szCs w:val="24"/>
        </w:rPr>
        <w:t xml:space="preserve">employed under Section 11 were sent </w:t>
      </w:r>
      <w:r w:rsidR="000151AC" w:rsidRPr="00AE141E">
        <w:rPr>
          <w:rFonts w:ascii="Times New Roman" w:hAnsi="Times New Roman" w:cs="Times New Roman"/>
          <w:sz w:val="24"/>
          <w:szCs w:val="24"/>
        </w:rPr>
        <w:t xml:space="preserve">internal </w:t>
      </w:r>
      <w:r w:rsidR="00915613" w:rsidRPr="00AE141E">
        <w:rPr>
          <w:rFonts w:ascii="Times New Roman" w:hAnsi="Times New Roman" w:cs="Times New Roman"/>
          <w:sz w:val="24"/>
          <w:szCs w:val="24"/>
        </w:rPr>
        <w:t>hate mail</w:t>
      </w:r>
      <w:r w:rsidR="000151AC" w:rsidRPr="00AE141E">
        <w:rPr>
          <w:rFonts w:ascii="Times New Roman" w:hAnsi="Times New Roman" w:cs="Times New Roman"/>
          <w:sz w:val="24"/>
          <w:szCs w:val="24"/>
        </w:rPr>
        <w:t>.</w:t>
      </w:r>
      <w:r w:rsidR="00C74237" w:rsidRPr="00AE141E">
        <w:rPr>
          <w:rStyle w:val="FootnoteReference"/>
          <w:rFonts w:ascii="Times New Roman" w:hAnsi="Times New Roman" w:cs="Times New Roman"/>
          <w:sz w:val="24"/>
          <w:szCs w:val="24"/>
        </w:rPr>
        <w:footnoteReference w:id="665"/>
      </w:r>
      <w:r w:rsidR="00F1355E" w:rsidRPr="00AE141E">
        <w:rPr>
          <w:rFonts w:ascii="Times New Roman" w:hAnsi="Times New Roman" w:cs="Times New Roman"/>
          <w:sz w:val="24"/>
          <w:szCs w:val="24"/>
        </w:rPr>
        <w:t xml:space="preserve"> </w:t>
      </w:r>
      <w:r w:rsidR="003B3840">
        <w:rPr>
          <w:rFonts w:ascii="Times New Roman" w:hAnsi="Times New Roman" w:cs="Times New Roman"/>
          <w:sz w:val="24"/>
          <w:szCs w:val="24"/>
        </w:rPr>
        <w:t>When t</w:t>
      </w:r>
      <w:r w:rsidR="00F1355E" w:rsidRPr="00AE141E">
        <w:rPr>
          <w:rFonts w:ascii="Times New Roman" w:hAnsi="Times New Roman" w:cs="Times New Roman"/>
          <w:sz w:val="24"/>
          <w:szCs w:val="24"/>
        </w:rPr>
        <w:t xml:space="preserve">he Deputy Head, Peter Moors, </w:t>
      </w:r>
      <w:r w:rsidR="00074D43" w:rsidRPr="00AE141E">
        <w:rPr>
          <w:rFonts w:ascii="Times New Roman" w:hAnsi="Times New Roman" w:cs="Times New Roman"/>
          <w:sz w:val="24"/>
          <w:szCs w:val="24"/>
        </w:rPr>
        <w:t>attempt</w:t>
      </w:r>
      <w:r w:rsidR="003B3840">
        <w:rPr>
          <w:rFonts w:ascii="Times New Roman" w:hAnsi="Times New Roman" w:cs="Times New Roman"/>
          <w:sz w:val="24"/>
          <w:szCs w:val="24"/>
        </w:rPr>
        <w:t>ed</w:t>
      </w:r>
      <w:r w:rsidR="00385CEA" w:rsidRPr="00AE141E">
        <w:rPr>
          <w:rFonts w:ascii="Times New Roman" w:hAnsi="Times New Roman" w:cs="Times New Roman"/>
          <w:sz w:val="24"/>
          <w:szCs w:val="24"/>
        </w:rPr>
        <w:t xml:space="preserve"> to </w:t>
      </w:r>
      <w:r w:rsidR="00074D43" w:rsidRPr="00AE141E">
        <w:rPr>
          <w:rFonts w:ascii="Times New Roman" w:hAnsi="Times New Roman" w:cs="Times New Roman"/>
          <w:sz w:val="24"/>
          <w:szCs w:val="24"/>
        </w:rPr>
        <w:t xml:space="preserve">accommodate </w:t>
      </w:r>
      <w:r w:rsidR="00074D43" w:rsidRPr="00AE141E">
        <w:rPr>
          <w:rFonts w:ascii="Times New Roman" w:hAnsi="Times New Roman" w:cs="Times New Roman"/>
          <w:i/>
          <w:sz w:val="24"/>
          <w:szCs w:val="24"/>
        </w:rPr>
        <w:t>halal</w:t>
      </w:r>
      <w:r w:rsidR="00074D43" w:rsidRPr="00AE141E">
        <w:rPr>
          <w:rFonts w:ascii="Times New Roman" w:hAnsi="Times New Roman" w:cs="Times New Roman"/>
          <w:sz w:val="24"/>
          <w:szCs w:val="24"/>
        </w:rPr>
        <w:t xml:space="preserve"> dietary requirements by </w:t>
      </w:r>
      <w:r w:rsidR="004C58F5" w:rsidRPr="00AE141E">
        <w:rPr>
          <w:rFonts w:ascii="Times New Roman" w:hAnsi="Times New Roman" w:cs="Times New Roman"/>
          <w:sz w:val="24"/>
          <w:szCs w:val="24"/>
        </w:rPr>
        <w:t>substituting pork for turkey in the school Christmas dinner</w:t>
      </w:r>
      <w:r w:rsidR="003B3840">
        <w:rPr>
          <w:rFonts w:ascii="Times New Roman" w:hAnsi="Times New Roman" w:cs="Times New Roman"/>
          <w:sz w:val="24"/>
          <w:szCs w:val="24"/>
        </w:rPr>
        <w:t>, he</w:t>
      </w:r>
      <w:r w:rsidR="004C58F5" w:rsidRPr="00AE141E">
        <w:rPr>
          <w:rFonts w:ascii="Times New Roman" w:hAnsi="Times New Roman" w:cs="Times New Roman"/>
          <w:sz w:val="24"/>
          <w:szCs w:val="24"/>
        </w:rPr>
        <w:t xml:space="preserve"> was met with mockery</w:t>
      </w:r>
      <w:r w:rsidR="003B3840">
        <w:rPr>
          <w:rFonts w:ascii="Times New Roman" w:hAnsi="Times New Roman" w:cs="Times New Roman"/>
          <w:sz w:val="24"/>
          <w:szCs w:val="24"/>
        </w:rPr>
        <w:t>. A</w:t>
      </w:r>
      <w:r w:rsidR="00EB6D69" w:rsidRPr="00AE141E">
        <w:rPr>
          <w:rFonts w:ascii="Times New Roman" w:hAnsi="Times New Roman" w:cs="Times New Roman"/>
          <w:sz w:val="24"/>
          <w:szCs w:val="24"/>
        </w:rPr>
        <w:t xml:space="preserve"> group of Middle Management staff displayed their objections by wearing pig badges, and pork scratchings were pinned to the school notice board.</w:t>
      </w:r>
    </w:p>
    <w:p w14:paraId="6062E04C" w14:textId="522383D1" w:rsidR="00296C09" w:rsidRDefault="00996E70" w:rsidP="00996E70">
      <w:pPr>
        <w:tabs>
          <w:tab w:val="left" w:pos="6730"/>
        </w:tabs>
        <w:spacing w:before="240" w:line="360" w:lineRule="auto"/>
        <w:rPr>
          <w:rFonts w:ascii="Times New Roman" w:hAnsi="Times New Roman" w:cs="Times New Roman"/>
          <w:sz w:val="24"/>
          <w:szCs w:val="24"/>
        </w:rPr>
      </w:pPr>
      <w:r>
        <w:rPr>
          <w:rFonts w:ascii="Times New Roman" w:hAnsi="Times New Roman" w:cs="Times New Roman"/>
          <w:sz w:val="24"/>
          <w:szCs w:val="24"/>
        </w:rPr>
        <w:t>R</w:t>
      </w:r>
      <w:r w:rsidR="00EC2C3C" w:rsidRPr="00AE141E">
        <w:rPr>
          <w:rFonts w:ascii="Times New Roman" w:hAnsi="Times New Roman" w:cs="Times New Roman"/>
          <w:sz w:val="24"/>
          <w:szCs w:val="24"/>
        </w:rPr>
        <w:t xml:space="preserve">esistance to anti-racist policy was connected to </w:t>
      </w:r>
      <w:r>
        <w:rPr>
          <w:rFonts w:ascii="Times New Roman" w:hAnsi="Times New Roman" w:cs="Times New Roman"/>
          <w:sz w:val="24"/>
          <w:szCs w:val="24"/>
        </w:rPr>
        <w:t>anxieties</w:t>
      </w:r>
      <w:r w:rsidR="00EC2C3C" w:rsidRPr="00AE141E">
        <w:rPr>
          <w:rFonts w:ascii="Times New Roman" w:hAnsi="Times New Roman" w:cs="Times New Roman"/>
          <w:sz w:val="24"/>
          <w:szCs w:val="24"/>
        </w:rPr>
        <w:t xml:space="preserve"> </w:t>
      </w:r>
      <w:r>
        <w:rPr>
          <w:rFonts w:ascii="Times New Roman" w:hAnsi="Times New Roman" w:cs="Times New Roman"/>
          <w:sz w:val="24"/>
          <w:szCs w:val="24"/>
        </w:rPr>
        <w:t>surrounding</w:t>
      </w:r>
      <w:r w:rsidR="00EC2C3C" w:rsidRPr="00AE141E">
        <w:rPr>
          <w:rFonts w:ascii="Times New Roman" w:hAnsi="Times New Roman" w:cs="Times New Roman"/>
          <w:sz w:val="24"/>
          <w:szCs w:val="24"/>
        </w:rPr>
        <w:t xml:space="preserve"> promotion and</w:t>
      </w:r>
      <w:r>
        <w:rPr>
          <w:rFonts w:ascii="Times New Roman" w:hAnsi="Times New Roman" w:cs="Times New Roman"/>
          <w:sz w:val="24"/>
          <w:szCs w:val="24"/>
        </w:rPr>
        <w:t xml:space="preserve"> professional</w:t>
      </w:r>
      <w:r w:rsidR="00EC2C3C" w:rsidRPr="00AE141E">
        <w:rPr>
          <w:rFonts w:ascii="Times New Roman" w:hAnsi="Times New Roman" w:cs="Times New Roman"/>
          <w:sz w:val="24"/>
          <w:szCs w:val="24"/>
        </w:rPr>
        <w:t xml:space="preserve"> status. </w:t>
      </w:r>
      <w:r w:rsidR="007B0F31" w:rsidRPr="00AE141E">
        <w:rPr>
          <w:rFonts w:ascii="Times New Roman" w:hAnsi="Times New Roman" w:cs="Times New Roman"/>
          <w:sz w:val="24"/>
          <w:szCs w:val="24"/>
        </w:rPr>
        <w:t xml:space="preserve">Anti-racism was perceived as a doctrine imposed from above, by administrators ‘remote from classroom experience’, who didn’t have to do the ‘dirty work’ in </w:t>
      </w:r>
      <w:r w:rsidR="007B0F31" w:rsidRPr="00AE141E">
        <w:rPr>
          <w:rFonts w:ascii="Times New Roman" w:hAnsi="Times New Roman" w:cs="Times New Roman"/>
          <w:sz w:val="24"/>
          <w:szCs w:val="24"/>
        </w:rPr>
        <w:lastRenderedPageBreak/>
        <w:t xml:space="preserve">communicating </w:t>
      </w:r>
      <w:r>
        <w:rPr>
          <w:rFonts w:ascii="Times New Roman" w:hAnsi="Times New Roman" w:cs="Times New Roman"/>
          <w:sz w:val="24"/>
          <w:szCs w:val="24"/>
        </w:rPr>
        <w:t>with</w:t>
      </w:r>
      <w:r w:rsidR="007B0F31" w:rsidRPr="00AE141E">
        <w:rPr>
          <w:rFonts w:ascii="Times New Roman" w:hAnsi="Times New Roman" w:cs="Times New Roman"/>
          <w:sz w:val="24"/>
          <w:szCs w:val="24"/>
        </w:rPr>
        <w:t xml:space="preserve"> students.</w:t>
      </w:r>
      <w:r w:rsidR="00D36172" w:rsidRPr="00AE141E">
        <w:rPr>
          <w:rStyle w:val="FootnoteReference"/>
          <w:rFonts w:ascii="Times New Roman" w:hAnsi="Times New Roman" w:cs="Times New Roman"/>
          <w:sz w:val="24"/>
          <w:szCs w:val="24"/>
        </w:rPr>
        <w:footnoteReference w:id="666"/>
      </w:r>
      <w:r w:rsidR="00EF46A4" w:rsidRPr="00AE141E">
        <w:rPr>
          <w:rFonts w:ascii="Times New Roman" w:hAnsi="Times New Roman" w:cs="Times New Roman"/>
          <w:sz w:val="24"/>
          <w:szCs w:val="24"/>
        </w:rPr>
        <w:t xml:space="preserve"> </w:t>
      </w:r>
      <w:r>
        <w:rPr>
          <w:rFonts w:ascii="Times New Roman" w:hAnsi="Times New Roman" w:cs="Times New Roman"/>
          <w:sz w:val="24"/>
          <w:szCs w:val="24"/>
        </w:rPr>
        <w:t>Burnage</w:t>
      </w:r>
      <w:r w:rsidR="003F39EE" w:rsidRPr="00AE141E">
        <w:rPr>
          <w:rFonts w:ascii="Times New Roman" w:hAnsi="Times New Roman" w:cs="Times New Roman"/>
          <w:sz w:val="24"/>
          <w:szCs w:val="24"/>
        </w:rPr>
        <w:t xml:space="preserve"> staff viewed racism itself as a </w:t>
      </w:r>
      <w:r w:rsidR="00D8024F" w:rsidRPr="00AE141E">
        <w:rPr>
          <w:rFonts w:ascii="Times New Roman" w:hAnsi="Times New Roman" w:cs="Times New Roman"/>
          <w:sz w:val="24"/>
          <w:szCs w:val="24"/>
        </w:rPr>
        <w:t>question</w:t>
      </w:r>
      <w:r w:rsidR="003F39EE" w:rsidRPr="00AE141E">
        <w:rPr>
          <w:rFonts w:ascii="Times New Roman" w:hAnsi="Times New Roman" w:cs="Times New Roman"/>
          <w:sz w:val="24"/>
          <w:szCs w:val="24"/>
        </w:rPr>
        <w:t xml:space="preserve"> of individual morality</w:t>
      </w:r>
      <w:r w:rsidR="00921F8A" w:rsidRPr="00AE141E">
        <w:rPr>
          <w:rFonts w:ascii="Times New Roman" w:hAnsi="Times New Roman" w:cs="Times New Roman"/>
          <w:sz w:val="24"/>
          <w:szCs w:val="24"/>
        </w:rPr>
        <w:t xml:space="preserve">. </w:t>
      </w:r>
      <w:r w:rsidR="0001145B" w:rsidRPr="00AE141E">
        <w:rPr>
          <w:rFonts w:ascii="Times New Roman" w:hAnsi="Times New Roman" w:cs="Times New Roman"/>
          <w:sz w:val="24"/>
          <w:szCs w:val="24"/>
        </w:rPr>
        <w:t>The</w:t>
      </w:r>
      <w:r w:rsidR="00C47B44" w:rsidRPr="00AE141E">
        <w:rPr>
          <w:rFonts w:ascii="Times New Roman" w:hAnsi="Times New Roman" w:cs="Times New Roman"/>
          <w:sz w:val="24"/>
          <w:szCs w:val="24"/>
        </w:rPr>
        <w:t xml:space="preserve"> </w:t>
      </w:r>
      <w:r w:rsidR="008A00EB" w:rsidRPr="00AE141E">
        <w:rPr>
          <w:rFonts w:ascii="Times New Roman" w:hAnsi="Times New Roman" w:cs="Times New Roman"/>
          <w:sz w:val="24"/>
          <w:szCs w:val="24"/>
        </w:rPr>
        <w:t xml:space="preserve">common </w:t>
      </w:r>
      <w:r w:rsidR="00C47B44" w:rsidRPr="00AE141E">
        <w:rPr>
          <w:rFonts w:ascii="Times New Roman" w:hAnsi="Times New Roman" w:cs="Times New Roman"/>
          <w:sz w:val="24"/>
          <w:szCs w:val="24"/>
        </w:rPr>
        <w:t>refusal to consider racism a structural p</w:t>
      </w:r>
      <w:r w:rsidR="00D8024F" w:rsidRPr="00AE141E">
        <w:rPr>
          <w:rFonts w:ascii="Times New Roman" w:hAnsi="Times New Roman" w:cs="Times New Roman"/>
          <w:sz w:val="24"/>
          <w:szCs w:val="24"/>
        </w:rPr>
        <w:t>roblem likely stems from its</w:t>
      </w:r>
      <w:r w:rsidR="0001145B" w:rsidRPr="00AE141E">
        <w:rPr>
          <w:rFonts w:ascii="Times New Roman" w:hAnsi="Times New Roman" w:cs="Times New Roman"/>
          <w:sz w:val="24"/>
          <w:szCs w:val="24"/>
        </w:rPr>
        <w:t xml:space="preserve"> dehistor</w:t>
      </w:r>
      <w:r w:rsidR="006A3C43" w:rsidRPr="00AE141E">
        <w:rPr>
          <w:rFonts w:ascii="Times New Roman" w:hAnsi="Times New Roman" w:cs="Times New Roman"/>
          <w:sz w:val="24"/>
          <w:szCs w:val="24"/>
        </w:rPr>
        <w:t>icisation</w:t>
      </w:r>
      <w:r w:rsidR="003B3F6B" w:rsidRPr="00AE141E">
        <w:rPr>
          <w:rFonts w:ascii="Times New Roman" w:hAnsi="Times New Roman" w:cs="Times New Roman"/>
          <w:sz w:val="24"/>
          <w:szCs w:val="24"/>
        </w:rPr>
        <w:t xml:space="preserve">: </w:t>
      </w:r>
      <w:r w:rsidR="00067937" w:rsidRPr="00AE141E">
        <w:rPr>
          <w:rFonts w:ascii="Times New Roman" w:hAnsi="Times New Roman" w:cs="Times New Roman"/>
          <w:sz w:val="24"/>
          <w:szCs w:val="24"/>
        </w:rPr>
        <w:t xml:space="preserve">unless situated </w:t>
      </w:r>
      <w:r w:rsidR="00AD04D0" w:rsidRPr="00AE141E">
        <w:rPr>
          <w:rFonts w:ascii="Times New Roman" w:hAnsi="Times New Roman" w:cs="Times New Roman"/>
          <w:sz w:val="24"/>
          <w:szCs w:val="24"/>
        </w:rPr>
        <w:t xml:space="preserve">appropriately as a tool of imperial domination, the systematic </w:t>
      </w:r>
      <w:r w:rsidR="001A74AD" w:rsidRPr="00AE141E">
        <w:rPr>
          <w:rFonts w:ascii="Times New Roman" w:hAnsi="Times New Roman" w:cs="Times New Roman"/>
          <w:sz w:val="24"/>
          <w:szCs w:val="24"/>
        </w:rPr>
        <w:t xml:space="preserve">conception and </w:t>
      </w:r>
      <w:r w:rsidR="00294D1F" w:rsidRPr="00AE141E">
        <w:rPr>
          <w:rFonts w:ascii="Times New Roman" w:hAnsi="Times New Roman" w:cs="Times New Roman"/>
          <w:sz w:val="24"/>
          <w:szCs w:val="24"/>
        </w:rPr>
        <w:t>enforcement of racial ideology cannot be properly understood</w:t>
      </w:r>
      <w:r w:rsidR="00D8024F" w:rsidRPr="00AE141E">
        <w:rPr>
          <w:rFonts w:ascii="Times New Roman" w:hAnsi="Times New Roman" w:cs="Times New Roman"/>
          <w:sz w:val="24"/>
          <w:szCs w:val="24"/>
        </w:rPr>
        <w:t xml:space="preserve">. </w:t>
      </w:r>
      <w:r w:rsidR="00294D1F" w:rsidRPr="00AE141E">
        <w:rPr>
          <w:rFonts w:ascii="Times New Roman" w:hAnsi="Times New Roman" w:cs="Times New Roman"/>
          <w:sz w:val="24"/>
          <w:szCs w:val="24"/>
        </w:rPr>
        <w:t xml:space="preserve">When racism is reduced to </w:t>
      </w:r>
      <w:r w:rsidR="008A0200" w:rsidRPr="00AE141E">
        <w:rPr>
          <w:rFonts w:ascii="Times New Roman" w:hAnsi="Times New Roman" w:cs="Times New Roman"/>
          <w:sz w:val="24"/>
          <w:szCs w:val="24"/>
        </w:rPr>
        <w:t xml:space="preserve">a </w:t>
      </w:r>
      <w:r w:rsidR="00EE4027" w:rsidRPr="00AE141E">
        <w:rPr>
          <w:rFonts w:ascii="Times New Roman" w:hAnsi="Times New Roman" w:cs="Times New Roman"/>
          <w:sz w:val="24"/>
          <w:szCs w:val="24"/>
        </w:rPr>
        <w:t xml:space="preserve">purely </w:t>
      </w:r>
      <w:r w:rsidR="008A0200" w:rsidRPr="00AE141E">
        <w:rPr>
          <w:rFonts w:ascii="Times New Roman" w:hAnsi="Times New Roman" w:cs="Times New Roman"/>
          <w:sz w:val="24"/>
          <w:szCs w:val="24"/>
        </w:rPr>
        <w:t>personal problem,</w:t>
      </w:r>
      <w:r w:rsidR="00810FB1" w:rsidRPr="00AE141E">
        <w:rPr>
          <w:rFonts w:ascii="Times New Roman" w:hAnsi="Times New Roman" w:cs="Times New Roman"/>
          <w:sz w:val="24"/>
          <w:szCs w:val="24"/>
        </w:rPr>
        <w:t xml:space="preserve"> </w:t>
      </w:r>
      <w:r w:rsidR="008A0200" w:rsidRPr="00AE141E">
        <w:rPr>
          <w:rFonts w:ascii="Times New Roman" w:hAnsi="Times New Roman" w:cs="Times New Roman"/>
          <w:sz w:val="24"/>
          <w:szCs w:val="24"/>
        </w:rPr>
        <w:t xml:space="preserve">accusations </w:t>
      </w:r>
      <w:r w:rsidR="00810FB1" w:rsidRPr="00AE141E">
        <w:rPr>
          <w:rFonts w:ascii="Times New Roman" w:hAnsi="Times New Roman" w:cs="Times New Roman"/>
          <w:sz w:val="24"/>
          <w:szCs w:val="24"/>
        </w:rPr>
        <w:t xml:space="preserve">of racial prejudice </w:t>
      </w:r>
      <w:r w:rsidR="008A0200" w:rsidRPr="00AE141E">
        <w:rPr>
          <w:rFonts w:ascii="Times New Roman" w:hAnsi="Times New Roman" w:cs="Times New Roman"/>
          <w:sz w:val="24"/>
          <w:szCs w:val="24"/>
        </w:rPr>
        <w:t xml:space="preserve">will be associated </w:t>
      </w:r>
      <w:r w:rsidR="00810FB1" w:rsidRPr="00AE141E">
        <w:rPr>
          <w:rFonts w:ascii="Times New Roman" w:hAnsi="Times New Roman" w:cs="Times New Roman"/>
          <w:sz w:val="24"/>
          <w:szCs w:val="24"/>
        </w:rPr>
        <w:t>with a damning condemnation of an individual’s moral character</w:t>
      </w:r>
      <w:r w:rsidR="00DE0E2E" w:rsidRPr="00AE141E">
        <w:rPr>
          <w:rFonts w:ascii="Times New Roman" w:hAnsi="Times New Roman" w:cs="Times New Roman"/>
          <w:sz w:val="24"/>
          <w:szCs w:val="24"/>
        </w:rPr>
        <w:t xml:space="preserve">, and a concurrent attempt to deny </w:t>
      </w:r>
      <w:r w:rsidR="00CE288D" w:rsidRPr="00AE141E">
        <w:rPr>
          <w:rFonts w:ascii="Times New Roman" w:hAnsi="Times New Roman" w:cs="Times New Roman"/>
          <w:sz w:val="24"/>
          <w:szCs w:val="24"/>
        </w:rPr>
        <w:t>or ignore such accusations. In Burnage High School,</w:t>
      </w:r>
      <w:r w:rsidR="00EE4027" w:rsidRPr="00AE141E">
        <w:rPr>
          <w:rFonts w:ascii="Times New Roman" w:hAnsi="Times New Roman" w:cs="Times New Roman"/>
          <w:sz w:val="24"/>
          <w:szCs w:val="24"/>
        </w:rPr>
        <w:t xml:space="preserve"> this thought process </w:t>
      </w:r>
      <w:r w:rsidR="00AD3C2E" w:rsidRPr="00AE141E">
        <w:rPr>
          <w:rFonts w:ascii="Times New Roman" w:hAnsi="Times New Roman" w:cs="Times New Roman"/>
          <w:sz w:val="24"/>
          <w:szCs w:val="24"/>
        </w:rPr>
        <w:t xml:space="preserve">generated a collapse in staff morale and a rejection of anti-racist policies. As </w:t>
      </w:r>
      <w:r w:rsidR="00AC5EDE" w:rsidRPr="00AE141E">
        <w:rPr>
          <w:rFonts w:ascii="Times New Roman" w:hAnsi="Times New Roman" w:cs="Times New Roman"/>
          <w:sz w:val="24"/>
          <w:szCs w:val="24"/>
        </w:rPr>
        <w:t>one</w:t>
      </w:r>
      <w:r w:rsidR="00AD3C2E" w:rsidRPr="00AE141E">
        <w:rPr>
          <w:rFonts w:ascii="Times New Roman" w:hAnsi="Times New Roman" w:cs="Times New Roman"/>
          <w:sz w:val="24"/>
          <w:szCs w:val="24"/>
        </w:rPr>
        <w:t xml:space="preserve"> teacher summarised:</w:t>
      </w:r>
      <w:r w:rsidR="00CE288D" w:rsidRPr="00AE141E">
        <w:rPr>
          <w:rFonts w:ascii="Times New Roman" w:hAnsi="Times New Roman" w:cs="Times New Roman"/>
          <w:sz w:val="24"/>
          <w:szCs w:val="24"/>
        </w:rPr>
        <w:t xml:space="preserve"> </w:t>
      </w:r>
      <w:r w:rsidR="00AD3C2E" w:rsidRPr="00AE141E">
        <w:rPr>
          <w:rFonts w:ascii="Times New Roman" w:hAnsi="Times New Roman" w:cs="Times New Roman"/>
          <w:sz w:val="24"/>
          <w:szCs w:val="24"/>
        </w:rPr>
        <w:t>‘p</w:t>
      </w:r>
      <w:r w:rsidR="00DE0E2E" w:rsidRPr="00AE141E">
        <w:rPr>
          <w:rFonts w:ascii="Times New Roman" w:hAnsi="Times New Roman" w:cs="Times New Roman"/>
          <w:sz w:val="24"/>
          <w:szCs w:val="24"/>
        </w:rPr>
        <w:t>eople were very opposed to initiatives being taken because nobody on the staff wanted to be called a racist. If somebody is called a racist, they take that as being deeply offensive’.</w:t>
      </w:r>
      <w:r w:rsidR="00B77D25" w:rsidRPr="00AE141E">
        <w:rPr>
          <w:rFonts w:ascii="Times New Roman" w:hAnsi="Times New Roman" w:cs="Times New Roman"/>
          <w:sz w:val="24"/>
          <w:szCs w:val="24"/>
        </w:rPr>
        <w:t xml:space="preserve"> </w:t>
      </w:r>
    </w:p>
    <w:p w14:paraId="4989ECD5" w14:textId="4285AA77" w:rsidR="00F1355E" w:rsidRPr="00AE141E" w:rsidRDefault="00B05BD3" w:rsidP="00996E70">
      <w:pPr>
        <w:tabs>
          <w:tab w:val="left" w:pos="6730"/>
        </w:tabs>
        <w:spacing w:before="240"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refusal </w:t>
      </w:r>
      <w:r w:rsidR="00E729D5" w:rsidRPr="00AE141E">
        <w:rPr>
          <w:rFonts w:ascii="Times New Roman" w:hAnsi="Times New Roman" w:cs="Times New Roman"/>
          <w:sz w:val="24"/>
          <w:szCs w:val="24"/>
        </w:rPr>
        <w:t xml:space="preserve">of many existing staff members </w:t>
      </w:r>
      <w:r w:rsidRPr="00AE141E">
        <w:rPr>
          <w:rFonts w:ascii="Times New Roman" w:hAnsi="Times New Roman" w:cs="Times New Roman"/>
          <w:sz w:val="24"/>
          <w:szCs w:val="24"/>
        </w:rPr>
        <w:t>to engage w</w:t>
      </w:r>
      <w:r w:rsidR="00E729D5" w:rsidRPr="00AE141E">
        <w:rPr>
          <w:rFonts w:ascii="Times New Roman" w:hAnsi="Times New Roman" w:cs="Times New Roman"/>
          <w:sz w:val="24"/>
          <w:szCs w:val="24"/>
        </w:rPr>
        <w:t xml:space="preserve">ith </w:t>
      </w:r>
      <w:r w:rsidR="008C5684" w:rsidRPr="00AE141E">
        <w:rPr>
          <w:rFonts w:ascii="Times New Roman" w:hAnsi="Times New Roman" w:cs="Times New Roman"/>
          <w:sz w:val="24"/>
          <w:szCs w:val="24"/>
        </w:rPr>
        <w:t>multicultural or anti-racist policy led Dr Gough to turn elsewhere for support: he brought in a number of</w:t>
      </w:r>
      <w:r w:rsidR="00BB736F" w:rsidRPr="00AE141E">
        <w:rPr>
          <w:rFonts w:ascii="Times New Roman" w:hAnsi="Times New Roman" w:cs="Times New Roman"/>
          <w:sz w:val="24"/>
          <w:szCs w:val="24"/>
        </w:rPr>
        <w:t xml:space="preserve"> new teachers deemed</w:t>
      </w:r>
      <w:r w:rsidR="008C5684" w:rsidRPr="00AE141E">
        <w:rPr>
          <w:rFonts w:ascii="Times New Roman" w:hAnsi="Times New Roman" w:cs="Times New Roman"/>
          <w:sz w:val="24"/>
          <w:szCs w:val="24"/>
        </w:rPr>
        <w:t xml:space="preserve"> </w:t>
      </w:r>
      <w:r w:rsidR="00BB736F" w:rsidRPr="00AE141E">
        <w:rPr>
          <w:rFonts w:ascii="Times New Roman" w:hAnsi="Times New Roman" w:cs="Times New Roman"/>
          <w:sz w:val="24"/>
          <w:szCs w:val="24"/>
        </w:rPr>
        <w:t xml:space="preserve">sympathetic to the cause, especially through Section 11 funding. </w:t>
      </w:r>
      <w:r w:rsidR="00D44FF2" w:rsidRPr="00AE141E">
        <w:rPr>
          <w:rFonts w:ascii="Times New Roman" w:hAnsi="Times New Roman" w:cs="Times New Roman"/>
          <w:sz w:val="24"/>
          <w:szCs w:val="24"/>
        </w:rPr>
        <w:t>The new hires</w:t>
      </w:r>
      <w:r w:rsidR="00BB736F" w:rsidRPr="00AE141E">
        <w:rPr>
          <w:rFonts w:ascii="Times New Roman" w:hAnsi="Times New Roman" w:cs="Times New Roman"/>
          <w:sz w:val="24"/>
          <w:szCs w:val="24"/>
        </w:rPr>
        <w:t xml:space="preserve"> stoked</w:t>
      </w:r>
      <w:r w:rsidR="008C25DF">
        <w:rPr>
          <w:rFonts w:ascii="Times New Roman" w:hAnsi="Times New Roman" w:cs="Times New Roman"/>
          <w:sz w:val="24"/>
          <w:szCs w:val="24"/>
        </w:rPr>
        <w:t xml:space="preserve"> further</w:t>
      </w:r>
      <w:r w:rsidR="00BB736F" w:rsidRPr="00AE141E">
        <w:rPr>
          <w:rFonts w:ascii="Times New Roman" w:hAnsi="Times New Roman" w:cs="Times New Roman"/>
          <w:sz w:val="24"/>
          <w:szCs w:val="24"/>
        </w:rPr>
        <w:t xml:space="preserve"> resentment.</w:t>
      </w:r>
      <w:r w:rsidR="00D44FF2" w:rsidRPr="00AE141E">
        <w:rPr>
          <w:rFonts w:ascii="Times New Roman" w:hAnsi="Times New Roman" w:cs="Times New Roman"/>
          <w:sz w:val="24"/>
          <w:szCs w:val="24"/>
        </w:rPr>
        <w:t xml:space="preserve"> </w:t>
      </w:r>
      <w:r w:rsidR="003A1316" w:rsidRPr="00AE141E">
        <w:rPr>
          <w:rFonts w:ascii="Times New Roman" w:hAnsi="Times New Roman" w:cs="Times New Roman"/>
          <w:sz w:val="24"/>
          <w:szCs w:val="24"/>
        </w:rPr>
        <w:t xml:space="preserve">On one occasion, a member of staff complained that to get a Scale 4 (senior) </w:t>
      </w:r>
      <w:r w:rsidR="0084468B" w:rsidRPr="00AE141E">
        <w:rPr>
          <w:rFonts w:ascii="Times New Roman" w:hAnsi="Times New Roman" w:cs="Times New Roman"/>
          <w:sz w:val="24"/>
          <w:szCs w:val="24"/>
        </w:rPr>
        <w:t>teaching position in the school, ‘you had to be a Muslim’.</w:t>
      </w:r>
      <w:r w:rsidR="00FA23F7">
        <w:rPr>
          <w:rStyle w:val="FootnoteReference"/>
          <w:rFonts w:ascii="Times New Roman" w:hAnsi="Times New Roman" w:cs="Times New Roman"/>
          <w:sz w:val="24"/>
          <w:szCs w:val="24"/>
        </w:rPr>
        <w:footnoteReference w:id="667"/>
      </w:r>
      <w:r w:rsidR="0084468B" w:rsidRPr="00AE141E">
        <w:rPr>
          <w:rFonts w:ascii="Times New Roman" w:hAnsi="Times New Roman" w:cs="Times New Roman"/>
          <w:sz w:val="24"/>
          <w:szCs w:val="24"/>
        </w:rPr>
        <w:t xml:space="preserve"> </w:t>
      </w:r>
      <w:r w:rsidR="005159D7" w:rsidRPr="00AE141E">
        <w:rPr>
          <w:rFonts w:ascii="Times New Roman" w:hAnsi="Times New Roman" w:cs="Times New Roman"/>
          <w:sz w:val="24"/>
          <w:szCs w:val="24"/>
        </w:rPr>
        <w:t>There were evidently</w:t>
      </w:r>
      <w:r w:rsidR="00F67ABA" w:rsidRPr="00AE141E">
        <w:rPr>
          <w:rFonts w:ascii="Times New Roman" w:hAnsi="Times New Roman" w:cs="Times New Roman"/>
          <w:sz w:val="24"/>
          <w:szCs w:val="24"/>
        </w:rPr>
        <w:t xml:space="preserve"> fears that the introduction of a teaching apparatus dedicated to anti-racist educatio</w:t>
      </w:r>
      <w:r w:rsidR="001A3FFB" w:rsidRPr="00AE141E">
        <w:rPr>
          <w:rFonts w:ascii="Times New Roman" w:hAnsi="Times New Roman" w:cs="Times New Roman"/>
          <w:sz w:val="24"/>
          <w:szCs w:val="24"/>
        </w:rPr>
        <w:t xml:space="preserve">n, including Section 11 posts, was allowing perceived outsiders to </w:t>
      </w:r>
      <w:r w:rsidR="00C05D4E" w:rsidRPr="00AE141E">
        <w:rPr>
          <w:rFonts w:ascii="Times New Roman" w:hAnsi="Times New Roman" w:cs="Times New Roman"/>
          <w:sz w:val="24"/>
          <w:szCs w:val="24"/>
        </w:rPr>
        <w:t xml:space="preserve">bypass conventional routes to employment and </w:t>
      </w:r>
      <w:r w:rsidR="005A4B07" w:rsidRPr="00AE141E">
        <w:rPr>
          <w:rFonts w:ascii="Times New Roman" w:hAnsi="Times New Roman" w:cs="Times New Roman"/>
          <w:sz w:val="24"/>
          <w:szCs w:val="24"/>
        </w:rPr>
        <w:t>promotion</w:t>
      </w:r>
      <w:r w:rsidR="001763AB" w:rsidRPr="00AE141E">
        <w:rPr>
          <w:rFonts w:ascii="Times New Roman" w:hAnsi="Times New Roman" w:cs="Times New Roman"/>
          <w:sz w:val="24"/>
          <w:szCs w:val="24"/>
        </w:rPr>
        <w:t>.</w:t>
      </w:r>
      <w:r w:rsidR="009E5D1F" w:rsidRPr="00AE141E">
        <w:rPr>
          <w:rStyle w:val="FootnoteReference"/>
          <w:rFonts w:ascii="Times New Roman" w:hAnsi="Times New Roman" w:cs="Times New Roman"/>
          <w:sz w:val="24"/>
          <w:szCs w:val="24"/>
        </w:rPr>
        <w:footnoteReference w:id="668"/>
      </w:r>
    </w:p>
    <w:p w14:paraId="5CA5F8AF" w14:textId="5F3E16AC" w:rsidR="00295D8D" w:rsidRPr="00AE141E" w:rsidRDefault="001D2AE7" w:rsidP="00AE141E">
      <w:pPr>
        <w:spacing w:line="360" w:lineRule="auto"/>
        <w:rPr>
          <w:rFonts w:ascii="Times New Roman" w:hAnsi="Times New Roman" w:cs="Times New Roman"/>
          <w:sz w:val="24"/>
          <w:szCs w:val="24"/>
        </w:rPr>
      </w:pPr>
      <w:r>
        <w:rPr>
          <w:rFonts w:ascii="Times New Roman" w:hAnsi="Times New Roman" w:cs="Times New Roman"/>
          <w:sz w:val="24"/>
          <w:szCs w:val="24"/>
        </w:rPr>
        <w:t>The Macdonald Inquiry recognised</w:t>
      </w:r>
      <w:r w:rsidR="00713CAA" w:rsidRPr="00AE141E">
        <w:rPr>
          <w:rFonts w:ascii="Times New Roman" w:hAnsi="Times New Roman" w:cs="Times New Roman"/>
          <w:sz w:val="24"/>
          <w:szCs w:val="24"/>
        </w:rPr>
        <w:t xml:space="preserve"> clear evidence of ‘racial bigotry’</w:t>
      </w:r>
      <w:r w:rsidR="00857432" w:rsidRPr="00AE141E">
        <w:rPr>
          <w:rFonts w:ascii="Times New Roman" w:hAnsi="Times New Roman" w:cs="Times New Roman"/>
          <w:sz w:val="24"/>
          <w:szCs w:val="24"/>
        </w:rPr>
        <w:t xml:space="preserve"> amongst staff members at Burnage High School</w:t>
      </w:r>
      <w:r>
        <w:rPr>
          <w:rFonts w:ascii="Times New Roman" w:hAnsi="Times New Roman" w:cs="Times New Roman"/>
          <w:sz w:val="24"/>
          <w:szCs w:val="24"/>
        </w:rPr>
        <w:t xml:space="preserve"> but</w:t>
      </w:r>
      <w:r w:rsidR="0043768D" w:rsidRPr="00AE141E">
        <w:rPr>
          <w:rFonts w:ascii="Times New Roman" w:hAnsi="Times New Roman" w:cs="Times New Roman"/>
          <w:sz w:val="24"/>
          <w:szCs w:val="24"/>
        </w:rPr>
        <w:t xml:space="preserve"> refrained from concluding that racism was ‘rampant or widespread’.</w:t>
      </w:r>
      <w:r w:rsidR="000657AF" w:rsidRPr="00AE141E">
        <w:rPr>
          <w:rStyle w:val="FootnoteReference"/>
          <w:rFonts w:ascii="Times New Roman" w:hAnsi="Times New Roman" w:cs="Times New Roman"/>
          <w:sz w:val="24"/>
          <w:szCs w:val="24"/>
        </w:rPr>
        <w:footnoteReference w:id="669"/>
      </w:r>
      <w:r w:rsidR="0043768D" w:rsidRPr="00AE141E">
        <w:rPr>
          <w:rFonts w:ascii="Times New Roman" w:hAnsi="Times New Roman" w:cs="Times New Roman"/>
          <w:sz w:val="24"/>
          <w:szCs w:val="24"/>
        </w:rPr>
        <w:t xml:space="preserve"> </w:t>
      </w:r>
      <w:r w:rsidR="00A00AF4" w:rsidRPr="00AE141E">
        <w:rPr>
          <w:rFonts w:ascii="Times New Roman" w:hAnsi="Times New Roman" w:cs="Times New Roman"/>
          <w:sz w:val="24"/>
          <w:szCs w:val="24"/>
        </w:rPr>
        <w:t>To consider it as such, they argued, would be ‘a complete distortion of the evidence given to us or our own perceptions of the many teachers whom we met and who gave evidence’.</w:t>
      </w:r>
      <w:r w:rsidR="00330550" w:rsidRPr="00AE141E">
        <w:rPr>
          <w:rFonts w:ascii="Times New Roman" w:hAnsi="Times New Roman" w:cs="Times New Roman"/>
          <w:sz w:val="24"/>
          <w:szCs w:val="24"/>
        </w:rPr>
        <w:t xml:space="preserve"> </w:t>
      </w:r>
      <w:r w:rsidR="00495A0E" w:rsidRPr="00AE141E">
        <w:rPr>
          <w:rFonts w:ascii="Times New Roman" w:hAnsi="Times New Roman" w:cs="Times New Roman"/>
          <w:sz w:val="24"/>
          <w:szCs w:val="24"/>
        </w:rPr>
        <w:t>There is a bizarre d</w:t>
      </w:r>
      <w:r w:rsidR="00330550" w:rsidRPr="00AE141E">
        <w:rPr>
          <w:rFonts w:ascii="Times New Roman" w:hAnsi="Times New Roman" w:cs="Times New Roman"/>
          <w:sz w:val="24"/>
          <w:szCs w:val="24"/>
        </w:rPr>
        <w:t xml:space="preserve">iscrepancy </w:t>
      </w:r>
      <w:r w:rsidR="00495A0E" w:rsidRPr="00AE141E">
        <w:rPr>
          <w:rFonts w:ascii="Times New Roman" w:hAnsi="Times New Roman" w:cs="Times New Roman"/>
          <w:sz w:val="24"/>
          <w:szCs w:val="24"/>
        </w:rPr>
        <w:t>between these pronouncements and</w:t>
      </w:r>
      <w:r w:rsidR="00330550" w:rsidRPr="00AE141E">
        <w:rPr>
          <w:rFonts w:ascii="Times New Roman" w:hAnsi="Times New Roman" w:cs="Times New Roman"/>
          <w:sz w:val="24"/>
          <w:szCs w:val="24"/>
        </w:rPr>
        <w:t xml:space="preserve"> the actual contents of the </w:t>
      </w:r>
      <w:r w:rsidR="006624BB">
        <w:rPr>
          <w:rFonts w:ascii="Times New Roman" w:hAnsi="Times New Roman" w:cs="Times New Roman"/>
          <w:sz w:val="24"/>
          <w:szCs w:val="24"/>
        </w:rPr>
        <w:t>R</w:t>
      </w:r>
      <w:r w:rsidR="00330550" w:rsidRPr="00AE141E">
        <w:rPr>
          <w:rFonts w:ascii="Times New Roman" w:hAnsi="Times New Roman" w:cs="Times New Roman"/>
          <w:sz w:val="24"/>
          <w:szCs w:val="24"/>
        </w:rPr>
        <w:t>eport</w:t>
      </w:r>
      <w:r w:rsidR="003B6238" w:rsidRPr="00AE141E">
        <w:rPr>
          <w:rFonts w:ascii="Times New Roman" w:hAnsi="Times New Roman" w:cs="Times New Roman"/>
          <w:sz w:val="24"/>
          <w:szCs w:val="24"/>
        </w:rPr>
        <w:t xml:space="preserve">, which </w:t>
      </w:r>
      <w:r w:rsidR="00C00098" w:rsidRPr="00AE141E">
        <w:rPr>
          <w:rFonts w:ascii="Times New Roman" w:hAnsi="Times New Roman" w:cs="Times New Roman"/>
          <w:sz w:val="24"/>
          <w:szCs w:val="24"/>
        </w:rPr>
        <w:t>prove the endemic nature of racism</w:t>
      </w:r>
      <w:r w:rsidR="007F066A">
        <w:rPr>
          <w:rFonts w:ascii="Times New Roman" w:hAnsi="Times New Roman" w:cs="Times New Roman"/>
          <w:sz w:val="24"/>
          <w:szCs w:val="24"/>
        </w:rPr>
        <w:t xml:space="preserve"> </w:t>
      </w:r>
      <w:r w:rsidR="000D3201" w:rsidRPr="00AE141E">
        <w:rPr>
          <w:rFonts w:ascii="Times New Roman" w:hAnsi="Times New Roman" w:cs="Times New Roman"/>
          <w:sz w:val="24"/>
          <w:szCs w:val="24"/>
        </w:rPr>
        <w:t xml:space="preserve">amongst </w:t>
      </w:r>
      <w:r w:rsidR="00F72BB9" w:rsidRPr="00AE141E">
        <w:rPr>
          <w:rFonts w:ascii="Times New Roman" w:hAnsi="Times New Roman" w:cs="Times New Roman"/>
          <w:sz w:val="24"/>
          <w:szCs w:val="24"/>
        </w:rPr>
        <w:t xml:space="preserve">both </w:t>
      </w:r>
      <w:r w:rsidR="000D3201" w:rsidRPr="00AE141E">
        <w:rPr>
          <w:rFonts w:ascii="Times New Roman" w:hAnsi="Times New Roman" w:cs="Times New Roman"/>
          <w:sz w:val="24"/>
          <w:szCs w:val="24"/>
        </w:rPr>
        <w:t>students and staff.</w:t>
      </w:r>
      <w:r w:rsidR="0050546F" w:rsidRPr="00AE141E">
        <w:rPr>
          <w:rFonts w:ascii="Times New Roman" w:hAnsi="Times New Roman" w:cs="Times New Roman"/>
          <w:sz w:val="24"/>
          <w:szCs w:val="24"/>
        </w:rPr>
        <w:t xml:space="preserve"> The inconsistency </w:t>
      </w:r>
      <w:r w:rsidR="003F302D" w:rsidRPr="00AE141E">
        <w:rPr>
          <w:rFonts w:ascii="Times New Roman" w:hAnsi="Times New Roman" w:cs="Times New Roman"/>
          <w:sz w:val="24"/>
          <w:szCs w:val="24"/>
        </w:rPr>
        <w:t>might</w:t>
      </w:r>
      <w:r w:rsidR="0050546F" w:rsidRPr="00AE141E">
        <w:rPr>
          <w:rFonts w:ascii="Times New Roman" w:hAnsi="Times New Roman" w:cs="Times New Roman"/>
          <w:sz w:val="24"/>
          <w:szCs w:val="24"/>
        </w:rPr>
        <w:t xml:space="preserve"> be accounted for </w:t>
      </w:r>
      <w:r w:rsidR="007E6801" w:rsidRPr="00AE141E">
        <w:rPr>
          <w:rFonts w:ascii="Times New Roman" w:hAnsi="Times New Roman" w:cs="Times New Roman"/>
          <w:sz w:val="24"/>
          <w:szCs w:val="24"/>
        </w:rPr>
        <w:t xml:space="preserve">if we </w:t>
      </w:r>
      <w:r w:rsidR="00754FBE" w:rsidRPr="00AE141E">
        <w:rPr>
          <w:rFonts w:ascii="Times New Roman" w:hAnsi="Times New Roman" w:cs="Times New Roman"/>
          <w:sz w:val="24"/>
          <w:szCs w:val="24"/>
        </w:rPr>
        <w:t>suppose</w:t>
      </w:r>
      <w:r w:rsidR="007E6801" w:rsidRPr="00AE141E">
        <w:rPr>
          <w:rFonts w:ascii="Times New Roman" w:hAnsi="Times New Roman" w:cs="Times New Roman"/>
          <w:sz w:val="24"/>
          <w:szCs w:val="24"/>
        </w:rPr>
        <w:t xml:space="preserve"> that the Inquiry </w:t>
      </w:r>
      <w:r w:rsidR="007E6801" w:rsidRPr="007F066A">
        <w:rPr>
          <w:rFonts w:ascii="Times New Roman" w:hAnsi="Times New Roman" w:cs="Times New Roman"/>
          <w:i/>
          <w:iCs/>
          <w:sz w:val="24"/>
          <w:szCs w:val="24"/>
        </w:rPr>
        <w:t>itself</w:t>
      </w:r>
      <w:r w:rsidR="004F7686">
        <w:rPr>
          <w:rFonts w:ascii="Times New Roman" w:hAnsi="Times New Roman" w:cs="Times New Roman"/>
          <w:sz w:val="24"/>
          <w:szCs w:val="24"/>
        </w:rPr>
        <w:t xml:space="preserve"> </w:t>
      </w:r>
      <w:r w:rsidR="00515D54" w:rsidRPr="00AE141E">
        <w:rPr>
          <w:rFonts w:ascii="Times New Roman" w:hAnsi="Times New Roman" w:cs="Times New Roman"/>
          <w:sz w:val="24"/>
          <w:szCs w:val="24"/>
        </w:rPr>
        <w:t xml:space="preserve">believed </w:t>
      </w:r>
      <w:r w:rsidR="00515D54" w:rsidRPr="00AE141E">
        <w:rPr>
          <w:rFonts w:ascii="Times New Roman" w:hAnsi="Times New Roman" w:cs="Times New Roman"/>
          <w:sz w:val="24"/>
          <w:szCs w:val="24"/>
        </w:rPr>
        <w:lastRenderedPageBreak/>
        <w:t>that accusations of racism were equivalent to moral damnation</w:t>
      </w:r>
      <w:r w:rsidR="002911B7">
        <w:rPr>
          <w:rFonts w:ascii="Times New Roman" w:hAnsi="Times New Roman" w:cs="Times New Roman"/>
          <w:sz w:val="24"/>
          <w:szCs w:val="24"/>
        </w:rPr>
        <w:t xml:space="preserve"> –</w:t>
      </w:r>
      <w:r w:rsidR="00515D54" w:rsidRPr="00AE141E">
        <w:rPr>
          <w:rFonts w:ascii="Times New Roman" w:hAnsi="Times New Roman" w:cs="Times New Roman"/>
          <w:sz w:val="24"/>
          <w:szCs w:val="24"/>
        </w:rPr>
        <w:t xml:space="preserve"> and</w:t>
      </w:r>
      <w:r w:rsidR="002911B7">
        <w:rPr>
          <w:rFonts w:ascii="Times New Roman" w:hAnsi="Times New Roman" w:cs="Times New Roman"/>
          <w:sz w:val="24"/>
          <w:szCs w:val="24"/>
        </w:rPr>
        <w:t xml:space="preserve"> </w:t>
      </w:r>
      <w:r w:rsidR="007F066A">
        <w:rPr>
          <w:rFonts w:ascii="Times New Roman" w:hAnsi="Times New Roman" w:cs="Times New Roman"/>
          <w:sz w:val="24"/>
          <w:szCs w:val="24"/>
        </w:rPr>
        <w:t>was reluctant</w:t>
      </w:r>
      <w:r w:rsidR="008D07F3" w:rsidRPr="00AE141E">
        <w:rPr>
          <w:rFonts w:ascii="Times New Roman" w:hAnsi="Times New Roman" w:cs="Times New Roman"/>
          <w:sz w:val="24"/>
          <w:szCs w:val="24"/>
        </w:rPr>
        <w:t xml:space="preserve"> to apply so severe a judgement to the individuals with whom it had met and worked.</w:t>
      </w:r>
      <w:r w:rsidR="002911B7">
        <w:rPr>
          <w:rFonts w:ascii="Times New Roman" w:hAnsi="Times New Roman" w:cs="Times New Roman"/>
          <w:sz w:val="24"/>
          <w:szCs w:val="24"/>
        </w:rPr>
        <w:t xml:space="preserve"> </w:t>
      </w:r>
      <w:r w:rsidR="006D0B7A" w:rsidRPr="00AE141E">
        <w:rPr>
          <w:rFonts w:ascii="Times New Roman" w:hAnsi="Times New Roman" w:cs="Times New Roman"/>
          <w:sz w:val="24"/>
          <w:szCs w:val="24"/>
        </w:rPr>
        <w:t xml:space="preserve">A separation of racism from its systemic dimension was </w:t>
      </w:r>
      <w:r w:rsidR="002911B7">
        <w:rPr>
          <w:rFonts w:ascii="Times New Roman" w:hAnsi="Times New Roman" w:cs="Times New Roman"/>
          <w:sz w:val="24"/>
          <w:szCs w:val="24"/>
        </w:rPr>
        <w:t>certainly</w:t>
      </w:r>
      <w:r w:rsidR="006D0B7A" w:rsidRPr="00AE141E">
        <w:rPr>
          <w:rFonts w:ascii="Times New Roman" w:hAnsi="Times New Roman" w:cs="Times New Roman"/>
          <w:sz w:val="24"/>
          <w:szCs w:val="24"/>
        </w:rPr>
        <w:t xml:space="preserve"> present in </w:t>
      </w:r>
      <w:r w:rsidR="00955345" w:rsidRPr="00AE141E">
        <w:rPr>
          <w:rFonts w:ascii="Times New Roman" w:hAnsi="Times New Roman" w:cs="Times New Roman"/>
          <w:sz w:val="24"/>
          <w:szCs w:val="24"/>
        </w:rPr>
        <w:t xml:space="preserve">Macdonald’s description </w:t>
      </w:r>
      <w:r w:rsidR="000E3496" w:rsidRPr="00AE141E">
        <w:rPr>
          <w:rFonts w:ascii="Times New Roman" w:hAnsi="Times New Roman" w:cs="Times New Roman"/>
          <w:sz w:val="24"/>
          <w:szCs w:val="24"/>
        </w:rPr>
        <w:t>of Burnage’s lack of concern for a group of White students</w:t>
      </w:r>
      <w:r w:rsidR="00B32073" w:rsidRPr="00AE141E">
        <w:rPr>
          <w:rFonts w:ascii="Times New Roman" w:hAnsi="Times New Roman" w:cs="Times New Roman"/>
          <w:sz w:val="24"/>
          <w:szCs w:val="24"/>
        </w:rPr>
        <w:t>, who had been</w:t>
      </w:r>
      <w:r w:rsidR="000E3496" w:rsidRPr="00AE141E">
        <w:rPr>
          <w:rFonts w:ascii="Times New Roman" w:hAnsi="Times New Roman" w:cs="Times New Roman"/>
          <w:sz w:val="24"/>
          <w:szCs w:val="24"/>
        </w:rPr>
        <w:t xml:space="preserve"> </w:t>
      </w:r>
      <w:r w:rsidR="009347AB" w:rsidRPr="00AE141E">
        <w:rPr>
          <w:rFonts w:ascii="Times New Roman" w:hAnsi="Times New Roman" w:cs="Times New Roman"/>
          <w:sz w:val="24"/>
          <w:szCs w:val="24"/>
        </w:rPr>
        <w:t>f</w:t>
      </w:r>
      <w:r w:rsidR="00B32073" w:rsidRPr="00AE141E">
        <w:rPr>
          <w:rFonts w:ascii="Times New Roman" w:hAnsi="Times New Roman" w:cs="Times New Roman"/>
          <w:sz w:val="24"/>
          <w:szCs w:val="24"/>
        </w:rPr>
        <w:t xml:space="preserve">orced out of school </w:t>
      </w:r>
      <w:r w:rsidR="00693922" w:rsidRPr="00AE141E">
        <w:rPr>
          <w:rFonts w:ascii="Times New Roman" w:hAnsi="Times New Roman" w:cs="Times New Roman"/>
          <w:sz w:val="24"/>
          <w:szCs w:val="24"/>
        </w:rPr>
        <w:t xml:space="preserve">due to their placement on a ‘hit-list’ of racist pupils composed by </w:t>
      </w:r>
      <w:r w:rsidR="00054D86" w:rsidRPr="00AE141E">
        <w:rPr>
          <w:rFonts w:ascii="Times New Roman" w:hAnsi="Times New Roman" w:cs="Times New Roman"/>
          <w:sz w:val="24"/>
          <w:szCs w:val="24"/>
        </w:rPr>
        <w:t>their South Asian peers in the</w:t>
      </w:r>
      <w:r w:rsidR="004A1D95" w:rsidRPr="00AE141E">
        <w:rPr>
          <w:rFonts w:ascii="Times New Roman" w:hAnsi="Times New Roman" w:cs="Times New Roman"/>
          <w:sz w:val="24"/>
          <w:szCs w:val="24"/>
        </w:rPr>
        <w:t xml:space="preserve"> aftermath of Ullah’s murder, as </w:t>
      </w:r>
      <w:r w:rsidR="00BF5915" w:rsidRPr="00AE141E">
        <w:rPr>
          <w:rFonts w:ascii="Times New Roman" w:hAnsi="Times New Roman" w:cs="Times New Roman"/>
          <w:sz w:val="24"/>
          <w:szCs w:val="24"/>
        </w:rPr>
        <w:t>‘racist’</w:t>
      </w:r>
      <w:r w:rsidR="00AE2460" w:rsidRPr="00AE141E">
        <w:rPr>
          <w:rFonts w:ascii="Times New Roman" w:hAnsi="Times New Roman" w:cs="Times New Roman"/>
          <w:sz w:val="24"/>
          <w:szCs w:val="24"/>
        </w:rPr>
        <w:t>.</w:t>
      </w:r>
      <w:r w:rsidR="00040159">
        <w:rPr>
          <w:rStyle w:val="FootnoteReference"/>
          <w:rFonts w:ascii="Times New Roman" w:hAnsi="Times New Roman" w:cs="Times New Roman"/>
          <w:sz w:val="24"/>
          <w:szCs w:val="24"/>
        </w:rPr>
        <w:footnoteReference w:id="670"/>
      </w:r>
      <w:r w:rsidR="00AE2460" w:rsidRPr="00AE141E">
        <w:rPr>
          <w:rFonts w:ascii="Times New Roman" w:hAnsi="Times New Roman" w:cs="Times New Roman"/>
          <w:sz w:val="24"/>
          <w:szCs w:val="24"/>
        </w:rPr>
        <w:t xml:space="preserve"> </w:t>
      </w:r>
      <w:r w:rsidR="00A35C10" w:rsidRPr="00AE141E">
        <w:rPr>
          <w:rFonts w:ascii="Times New Roman" w:hAnsi="Times New Roman" w:cs="Times New Roman"/>
          <w:sz w:val="24"/>
          <w:szCs w:val="24"/>
        </w:rPr>
        <w:t xml:space="preserve">Shockingly, given the accounts of racial </w:t>
      </w:r>
      <w:r w:rsidR="00D9221E" w:rsidRPr="00AE141E">
        <w:rPr>
          <w:rFonts w:ascii="Times New Roman" w:hAnsi="Times New Roman" w:cs="Times New Roman"/>
          <w:sz w:val="24"/>
          <w:szCs w:val="24"/>
        </w:rPr>
        <w:t>hostility given above, Macdonald also described the incident as ‘</w:t>
      </w:r>
      <w:r w:rsidR="00295D8D" w:rsidRPr="00AE141E">
        <w:rPr>
          <w:rFonts w:ascii="Times New Roman" w:hAnsi="Times New Roman" w:cs="Times New Roman"/>
          <w:sz w:val="24"/>
          <w:szCs w:val="24"/>
        </w:rPr>
        <w:t>one of the most obvious acts of discrimination we have come across</w:t>
      </w:r>
      <w:r w:rsidR="00D9221E" w:rsidRPr="00AE141E">
        <w:rPr>
          <w:rFonts w:ascii="Times New Roman" w:hAnsi="Times New Roman" w:cs="Times New Roman"/>
          <w:sz w:val="24"/>
          <w:szCs w:val="24"/>
        </w:rPr>
        <w:t xml:space="preserve"> </w:t>
      </w:r>
      <w:r w:rsidR="00295D8D" w:rsidRPr="00AE141E">
        <w:rPr>
          <w:rFonts w:ascii="Times New Roman" w:hAnsi="Times New Roman" w:cs="Times New Roman"/>
          <w:sz w:val="24"/>
          <w:szCs w:val="24"/>
        </w:rPr>
        <w:t>in the course of this Inquiry</w:t>
      </w:r>
      <w:r w:rsidR="00D9221E" w:rsidRPr="00AE141E">
        <w:rPr>
          <w:rFonts w:ascii="Times New Roman" w:hAnsi="Times New Roman" w:cs="Times New Roman"/>
          <w:sz w:val="24"/>
          <w:szCs w:val="24"/>
        </w:rPr>
        <w:t>’.</w:t>
      </w:r>
    </w:p>
    <w:p w14:paraId="7304E258" w14:textId="6F7806BA" w:rsidR="00111CF7" w:rsidRPr="00AE141E" w:rsidRDefault="008D07F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At times, the </w:t>
      </w:r>
      <w:r w:rsidR="00E56B0F">
        <w:rPr>
          <w:rFonts w:ascii="Times New Roman" w:hAnsi="Times New Roman" w:cs="Times New Roman"/>
          <w:sz w:val="24"/>
          <w:szCs w:val="24"/>
        </w:rPr>
        <w:t>R</w:t>
      </w:r>
      <w:r w:rsidRPr="00AE141E">
        <w:rPr>
          <w:rFonts w:ascii="Times New Roman" w:hAnsi="Times New Roman" w:cs="Times New Roman"/>
          <w:sz w:val="24"/>
          <w:szCs w:val="24"/>
        </w:rPr>
        <w:t xml:space="preserve">eport </w:t>
      </w:r>
      <w:r w:rsidR="002911B7">
        <w:rPr>
          <w:rFonts w:ascii="Times New Roman" w:hAnsi="Times New Roman" w:cs="Times New Roman"/>
          <w:sz w:val="24"/>
          <w:szCs w:val="24"/>
        </w:rPr>
        <w:t>identified</w:t>
      </w:r>
      <w:r w:rsidR="0040752F" w:rsidRPr="00AE141E">
        <w:rPr>
          <w:rFonts w:ascii="Times New Roman" w:hAnsi="Times New Roman" w:cs="Times New Roman"/>
          <w:sz w:val="24"/>
          <w:szCs w:val="24"/>
        </w:rPr>
        <w:t xml:space="preserve"> raci</w:t>
      </w:r>
      <w:r w:rsidR="004A304D">
        <w:rPr>
          <w:rFonts w:ascii="Times New Roman" w:hAnsi="Times New Roman" w:cs="Times New Roman"/>
          <w:sz w:val="24"/>
          <w:szCs w:val="24"/>
        </w:rPr>
        <w:t>al violence</w:t>
      </w:r>
      <w:r w:rsidR="0040752F" w:rsidRPr="00AE141E">
        <w:rPr>
          <w:rFonts w:ascii="Times New Roman" w:hAnsi="Times New Roman" w:cs="Times New Roman"/>
          <w:sz w:val="24"/>
          <w:szCs w:val="24"/>
        </w:rPr>
        <w:t xml:space="preserve"> </w:t>
      </w:r>
      <w:r w:rsidR="002911B7">
        <w:rPr>
          <w:rFonts w:ascii="Times New Roman" w:hAnsi="Times New Roman" w:cs="Times New Roman"/>
          <w:sz w:val="24"/>
          <w:szCs w:val="24"/>
        </w:rPr>
        <w:t>a</w:t>
      </w:r>
      <w:r w:rsidR="0040752F" w:rsidRPr="00AE141E">
        <w:rPr>
          <w:rFonts w:ascii="Times New Roman" w:hAnsi="Times New Roman" w:cs="Times New Roman"/>
          <w:sz w:val="24"/>
          <w:szCs w:val="24"/>
        </w:rPr>
        <w:t>s a</w:t>
      </w:r>
      <w:r w:rsidR="004A304D">
        <w:rPr>
          <w:rFonts w:ascii="Times New Roman" w:hAnsi="Times New Roman" w:cs="Times New Roman"/>
          <w:sz w:val="24"/>
          <w:szCs w:val="24"/>
        </w:rPr>
        <w:t xml:space="preserve"> problem specific to</w:t>
      </w:r>
      <w:r w:rsidR="0040752F" w:rsidRPr="00AE141E">
        <w:rPr>
          <w:rFonts w:ascii="Times New Roman" w:hAnsi="Times New Roman" w:cs="Times New Roman"/>
          <w:sz w:val="24"/>
          <w:szCs w:val="24"/>
        </w:rPr>
        <w:t xml:space="preserve"> poor and working-class </w:t>
      </w:r>
      <w:r w:rsidR="004A304D">
        <w:rPr>
          <w:rFonts w:ascii="Times New Roman" w:hAnsi="Times New Roman" w:cs="Times New Roman"/>
          <w:sz w:val="24"/>
          <w:szCs w:val="24"/>
        </w:rPr>
        <w:t>communi</w:t>
      </w:r>
      <w:r w:rsidR="00F471CD" w:rsidRPr="00AE141E">
        <w:rPr>
          <w:rFonts w:ascii="Times New Roman" w:hAnsi="Times New Roman" w:cs="Times New Roman"/>
          <w:sz w:val="24"/>
          <w:szCs w:val="24"/>
        </w:rPr>
        <w:t>ties.</w:t>
      </w:r>
      <w:r w:rsidR="00311223" w:rsidRPr="00AE141E">
        <w:rPr>
          <w:rFonts w:ascii="Times New Roman" w:hAnsi="Times New Roman" w:cs="Times New Roman"/>
          <w:sz w:val="24"/>
          <w:szCs w:val="24"/>
        </w:rPr>
        <w:t xml:space="preserve"> </w:t>
      </w:r>
      <w:r w:rsidR="00E56B0F">
        <w:rPr>
          <w:rFonts w:ascii="Times New Roman" w:hAnsi="Times New Roman" w:cs="Times New Roman"/>
          <w:sz w:val="24"/>
          <w:szCs w:val="24"/>
        </w:rPr>
        <w:t xml:space="preserve">It offered an illuminating </w:t>
      </w:r>
      <w:r w:rsidR="00311223" w:rsidRPr="00AE141E">
        <w:rPr>
          <w:rFonts w:ascii="Times New Roman" w:hAnsi="Times New Roman" w:cs="Times New Roman"/>
          <w:sz w:val="24"/>
          <w:szCs w:val="24"/>
        </w:rPr>
        <w:t xml:space="preserve">account of the meeting between Geoff Turner, a local youth worker, and </w:t>
      </w:r>
      <w:r w:rsidR="00C742EC" w:rsidRPr="00AE141E">
        <w:rPr>
          <w:rFonts w:ascii="Times New Roman" w:hAnsi="Times New Roman" w:cs="Times New Roman"/>
          <w:sz w:val="24"/>
          <w:szCs w:val="24"/>
        </w:rPr>
        <w:t xml:space="preserve">students at Burnage High School </w:t>
      </w:r>
      <w:r w:rsidR="00E56B0F">
        <w:rPr>
          <w:rFonts w:ascii="Times New Roman" w:hAnsi="Times New Roman" w:cs="Times New Roman"/>
          <w:sz w:val="24"/>
          <w:szCs w:val="24"/>
        </w:rPr>
        <w:t>in the immediate aftermath of the murder</w:t>
      </w:r>
      <w:r w:rsidR="00C742EC" w:rsidRPr="00AE141E">
        <w:rPr>
          <w:rFonts w:ascii="Times New Roman" w:hAnsi="Times New Roman" w:cs="Times New Roman"/>
          <w:sz w:val="24"/>
          <w:szCs w:val="24"/>
        </w:rPr>
        <w:t xml:space="preserve">. </w:t>
      </w:r>
      <w:r w:rsidR="00EE2690" w:rsidRPr="00AE141E">
        <w:rPr>
          <w:rFonts w:ascii="Times New Roman" w:hAnsi="Times New Roman" w:cs="Times New Roman"/>
          <w:sz w:val="24"/>
          <w:szCs w:val="24"/>
        </w:rPr>
        <w:t>Turner</w:t>
      </w:r>
      <w:r w:rsidR="00E56B0F">
        <w:rPr>
          <w:rFonts w:ascii="Times New Roman" w:hAnsi="Times New Roman" w:cs="Times New Roman"/>
          <w:sz w:val="24"/>
          <w:szCs w:val="24"/>
        </w:rPr>
        <w:t xml:space="preserve">’s </w:t>
      </w:r>
      <w:r w:rsidR="00EE2690" w:rsidRPr="00AE141E">
        <w:rPr>
          <w:rFonts w:ascii="Times New Roman" w:hAnsi="Times New Roman" w:cs="Times New Roman"/>
          <w:sz w:val="24"/>
          <w:szCs w:val="24"/>
        </w:rPr>
        <w:t>brief</w:t>
      </w:r>
      <w:r w:rsidR="00E56B0F">
        <w:rPr>
          <w:rFonts w:ascii="Times New Roman" w:hAnsi="Times New Roman" w:cs="Times New Roman"/>
          <w:sz w:val="24"/>
          <w:szCs w:val="24"/>
        </w:rPr>
        <w:t>ing</w:t>
      </w:r>
      <w:r w:rsidR="00EE2690" w:rsidRPr="00AE141E">
        <w:rPr>
          <w:rFonts w:ascii="Times New Roman" w:hAnsi="Times New Roman" w:cs="Times New Roman"/>
          <w:sz w:val="24"/>
          <w:szCs w:val="24"/>
        </w:rPr>
        <w:t xml:space="preserve"> </w:t>
      </w:r>
      <w:r w:rsidR="00E56B0F">
        <w:rPr>
          <w:rFonts w:ascii="Times New Roman" w:hAnsi="Times New Roman" w:cs="Times New Roman"/>
          <w:sz w:val="24"/>
          <w:szCs w:val="24"/>
        </w:rPr>
        <w:t>noted</w:t>
      </w:r>
      <w:r w:rsidR="00EE2690" w:rsidRPr="00AE141E">
        <w:rPr>
          <w:rFonts w:ascii="Times New Roman" w:hAnsi="Times New Roman" w:cs="Times New Roman"/>
          <w:sz w:val="24"/>
          <w:szCs w:val="24"/>
        </w:rPr>
        <w:t xml:space="preserve"> that he was going to</w:t>
      </w:r>
      <w:r w:rsidR="00E56B0F">
        <w:rPr>
          <w:rFonts w:ascii="Times New Roman" w:hAnsi="Times New Roman" w:cs="Times New Roman"/>
          <w:sz w:val="24"/>
          <w:szCs w:val="24"/>
        </w:rPr>
        <w:t xml:space="preserve"> be</w:t>
      </w:r>
      <w:r w:rsidR="00EE2690" w:rsidRPr="00AE141E">
        <w:rPr>
          <w:rFonts w:ascii="Times New Roman" w:hAnsi="Times New Roman" w:cs="Times New Roman"/>
          <w:sz w:val="24"/>
          <w:szCs w:val="24"/>
        </w:rPr>
        <w:t xml:space="preserve"> work</w:t>
      </w:r>
      <w:r w:rsidR="00E56B0F">
        <w:rPr>
          <w:rFonts w:ascii="Times New Roman" w:hAnsi="Times New Roman" w:cs="Times New Roman"/>
          <w:sz w:val="24"/>
          <w:szCs w:val="24"/>
        </w:rPr>
        <w:t>ing</w:t>
      </w:r>
      <w:r w:rsidR="00EE2690" w:rsidRPr="00AE141E">
        <w:rPr>
          <w:rFonts w:ascii="Times New Roman" w:hAnsi="Times New Roman" w:cs="Times New Roman"/>
          <w:sz w:val="24"/>
          <w:szCs w:val="24"/>
        </w:rPr>
        <w:t xml:space="preserve"> with a group of ‘</w:t>
      </w:r>
      <w:r w:rsidR="004C1C43" w:rsidRPr="00AE141E">
        <w:rPr>
          <w:rFonts w:ascii="Times New Roman" w:hAnsi="Times New Roman" w:cs="Times New Roman"/>
          <w:sz w:val="24"/>
          <w:szCs w:val="24"/>
        </w:rPr>
        <w:t>very racist white youths</w:t>
      </w:r>
      <w:r w:rsidR="00EE2690" w:rsidRPr="00AE141E">
        <w:rPr>
          <w:rFonts w:ascii="Times New Roman" w:hAnsi="Times New Roman" w:cs="Times New Roman"/>
          <w:sz w:val="24"/>
          <w:szCs w:val="24"/>
        </w:rPr>
        <w:t>’.</w:t>
      </w:r>
      <w:r w:rsidR="0032380B" w:rsidRPr="00AE141E">
        <w:rPr>
          <w:rStyle w:val="FootnoteReference"/>
          <w:rFonts w:ascii="Times New Roman" w:hAnsi="Times New Roman" w:cs="Times New Roman"/>
          <w:sz w:val="24"/>
          <w:szCs w:val="24"/>
        </w:rPr>
        <w:footnoteReference w:id="671"/>
      </w:r>
      <w:r w:rsidR="00EE2690" w:rsidRPr="00AE141E">
        <w:rPr>
          <w:rFonts w:ascii="Times New Roman" w:hAnsi="Times New Roman" w:cs="Times New Roman"/>
          <w:sz w:val="24"/>
          <w:szCs w:val="24"/>
        </w:rPr>
        <w:t xml:space="preserve"> </w:t>
      </w:r>
      <w:r w:rsidR="00E56B0F">
        <w:rPr>
          <w:rFonts w:ascii="Times New Roman" w:hAnsi="Times New Roman" w:cs="Times New Roman"/>
          <w:sz w:val="24"/>
          <w:szCs w:val="24"/>
        </w:rPr>
        <w:t xml:space="preserve">As </w:t>
      </w:r>
      <w:r w:rsidR="009243BC" w:rsidRPr="00AE141E">
        <w:rPr>
          <w:rFonts w:ascii="Times New Roman" w:hAnsi="Times New Roman" w:cs="Times New Roman"/>
          <w:i/>
          <w:sz w:val="24"/>
          <w:szCs w:val="24"/>
        </w:rPr>
        <w:t xml:space="preserve">Murder in the Playground </w:t>
      </w:r>
      <w:r w:rsidR="009243BC" w:rsidRPr="00AE141E">
        <w:rPr>
          <w:rFonts w:ascii="Times New Roman" w:hAnsi="Times New Roman" w:cs="Times New Roman"/>
          <w:sz w:val="24"/>
          <w:szCs w:val="24"/>
        </w:rPr>
        <w:t>uncritically report</w:t>
      </w:r>
      <w:r w:rsidR="00F15DDC" w:rsidRPr="00AE141E">
        <w:rPr>
          <w:rFonts w:ascii="Times New Roman" w:hAnsi="Times New Roman" w:cs="Times New Roman"/>
          <w:sz w:val="24"/>
          <w:szCs w:val="24"/>
        </w:rPr>
        <w:t>ed</w:t>
      </w:r>
      <w:r w:rsidR="00E56B0F">
        <w:rPr>
          <w:rFonts w:ascii="Times New Roman" w:hAnsi="Times New Roman" w:cs="Times New Roman"/>
          <w:sz w:val="24"/>
          <w:szCs w:val="24"/>
        </w:rPr>
        <w:t>,</w:t>
      </w:r>
      <w:r w:rsidR="00F15DDC" w:rsidRPr="00AE141E">
        <w:rPr>
          <w:rFonts w:ascii="Times New Roman" w:hAnsi="Times New Roman" w:cs="Times New Roman"/>
          <w:sz w:val="24"/>
          <w:szCs w:val="24"/>
        </w:rPr>
        <w:t xml:space="preserve"> </w:t>
      </w:r>
      <w:r w:rsidR="009243BC" w:rsidRPr="00AE141E">
        <w:rPr>
          <w:rFonts w:ascii="Times New Roman" w:hAnsi="Times New Roman" w:cs="Times New Roman"/>
          <w:sz w:val="24"/>
          <w:szCs w:val="24"/>
        </w:rPr>
        <w:t>he arrived expecting to ‘</w:t>
      </w:r>
      <w:r w:rsidR="004C1C43" w:rsidRPr="00AE141E">
        <w:rPr>
          <w:rFonts w:ascii="Times New Roman" w:hAnsi="Times New Roman" w:cs="Times New Roman"/>
          <w:sz w:val="24"/>
          <w:szCs w:val="24"/>
        </w:rPr>
        <w:t>meet a group of louts, the thuggish element of society</w:t>
      </w:r>
      <w:r w:rsidR="009243BC" w:rsidRPr="00AE141E">
        <w:rPr>
          <w:rFonts w:ascii="Times New Roman" w:hAnsi="Times New Roman" w:cs="Times New Roman"/>
          <w:sz w:val="24"/>
          <w:szCs w:val="24"/>
        </w:rPr>
        <w:t>’</w:t>
      </w:r>
      <w:r w:rsidR="00DA5D3C" w:rsidRPr="00AE141E">
        <w:rPr>
          <w:rFonts w:ascii="Times New Roman" w:hAnsi="Times New Roman" w:cs="Times New Roman"/>
          <w:sz w:val="24"/>
          <w:szCs w:val="24"/>
        </w:rPr>
        <w:t xml:space="preserve"> and was shocked when he instead encountered</w:t>
      </w:r>
      <w:r w:rsidR="004C1C43" w:rsidRPr="00AE141E">
        <w:rPr>
          <w:rFonts w:ascii="Times New Roman" w:hAnsi="Times New Roman" w:cs="Times New Roman"/>
          <w:sz w:val="24"/>
          <w:szCs w:val="24"/>
        </w:rPr>
        <w:t xml:space="preserve"> </w:t>
      </w:r>
      <w:r w:rsidR="00DA5D3C" w:rsidRPr="00AE141E">
        <w:rPr>
          <w:rFonts w:ascii="Times New Roman" w:hAnsi="Times New Roman" w:cs="Times New Roman"/>
          <w:sz w:val="24"/>
          <w:szCs w:val="24"/>
        </w:rPr>
        <w:t xml:space="preserve">‘an </w:t>
      </w:r>
      <w:r w:rsidR="004C1C43" w:rsidRPr="00AE141E">
        <w:rPr>
          <w:rFonts w:ascii="Times New Roman" w:hAnsi="Times New Roman" w:cs="Times New Roman"/>
          <w:sz w:val="24"/>
          <w:szCs w:val="24"/>
        </w:rPr>
        <w:t>intelligent and neatly dressed group of boys</w:t>
      </w:r>
      <w:r w:rsidR="00DA5D3C" w:rsidRPr="00AE141E">
        <w:rPr>
          <w:rFonts w:ascii="Times New Roman" w:hAnsi="Times New Roman" w:cs="Times New Roman"/>
          <w:sz w:val="24"/>
          <w:szCs w:val="24"/>
        </w:rPr>
        <w:t xml:space="preserve">’. </w:t>
      </w:r>
      <w:r w:rsidR="00590213" w:rsidRPr="00AE141E">
        <w:rPr>
          <w:rFonts w:ascii="Times New Roman" w:hAnsi="Times New Roman" w:cs="Times New Roman"/>
          <w:sz w:val="24"/>
          <w:szCs w:val="24"/>
        </w:rPr>
        <w:t xml:space="preserve">This classed language </w:t>
      </w:r>
      <w:r w:rsidR="00334D33" w:rsidRPr="00AE141E">
        <w:rPr>
          <w:rFonts w:ascii="Times New Roman" w:hAnsi="Times New Roman" w:cs="Times New Roman"/>
          <w:sz w:val="24"/>
          <w:szCs w:val="24"/>
        </w:rPr>
        <w:t xml:space="preserve">implicitly </w:t>
      </w:r>
      <w:r w:rsidR="00E56B0F">
        <w:rPr>
          <w:rFonts w:ascii="Times New Roman" w:hAnsi="Times New Roman" w:cs="Times New Roman"/>
          <w:sz w:val="24"/>
          <w:szCs w:val="24"/>
        </w:rPr>
        <w:t>abetted</w:t>
      </w:r>
      <w:r w:rsidR="00E07C66" w:rsidRPr="00AE141E">
        <w:rPr>
          <w:rFonts w:ascii="Times New Roman" w:hAnsi="Times New Roman" w:cs="Times New Roman"/>
          <w:sz w:val="24"/>
          <w:szCs w:val="24"/>
        </w:rPr>
        <w:t xml:space="preserve"> </w:t>
      </w:r>
      <w:r w:rsidR="006857AB">
        <w:rPr>
          <w:rFonts w:ascii="Times New Roman" w:hAnsi="Times New Roman" w:cs="Times New Roman"/>
          <w:sz w:val="24"/>
          <w:szCs w:val="24"/>
        </w:rPr>
        <w:t>Turner’s</w:t>
      </w:r>
      <w:r w:rsidR="00E07C66" w:rsidRPr="00AE141E">
        <w:rPr>
          <w:rFonts w:ascii="Times New Roman" w:hAnsi="Times New Roman" w:cs="Times New Roman"/>
          <w:sz w:val="24"/>
          <w:szCs w:val="24"/>
        </w:rPr>
        <w:t xml:space="preserve"> conclusion</w:t>
      </w:r>
      <w:r w:rsidR="006857AB">
        <w:rPr>
          <w:rFonts w:ascii="Times New Roman" w:hAnsi="Times New Roman" w:cs="Times New Roman"/>
          <w:sz w:val="24"/>
          <w:szCs w:val="24"/>
        </w:rPr>
        <w:t xml:space="preserve"> (shared by the Report)</w:t>
      </w:r>
      <w:r w:rsidR="00E07C66" w:rsidRPr="00AE141E">
        <w:rPr>
          <w:rFonts w:ascii="Times New Roman" w:hAnsi="Times New Roman" w:cs="Times New Roman"/>
          <w:sz w:val="24"/>
          <w:szCs w:val="24"/>
        </w:rPr>
        <w:t xml:space="preserve"> </w:t>
      </w:r>
      <w:r w:rsidR="00A46665" w:rsidRPr="00AE141E">
        <w:rPr>
          <w:rFonts w:ascii="Times New Roman" w:hAnsi="Times New Roman" w:cs="Times New Roman"/>
          <w:sz w:val="24"/>
          <w:szCs w:val="24"/>
        </w:rPr>
        <w:t>that none of the pupils ‘had any connection with racist organisations</w:t>
      </w:r>
      <w:r w:rsidR="004F7686">
        <w:rPr>
          <w:rFonts w:ascii="Times New Roman" w:hAnsi="Times New Roman" w:cs="Times New Roman"/>
          <w:sz w:val="24"/>
          <w:szCs w:val="24"/>
        </w:rPr>
        <w:t>’</w:t>
      </w:r>
      <w:r w:rsidR="006857AB">
        <w:rPr>
          <w:rFonts w:ascii="Times New Roman" w:hAnsi="Times New Roman" w:cs="Times New Roman"/>
          <w:sz w:val="24"/>
          <w:szCs w:val="24"/>
        </w:rPr>
        <w:t>. It should also be noted that</w:t>
      </w:r>
      <w:r w:rsidR="00560E3F" w:rsidRPr="00AE141E">
        <w:rPr>
          <w:rFonts w:ascii="Times New Roman" w:hAnsi="Times New Roman" w:cs="Times New Roman"/>
          <w:sz w:val="24"/>
          <w:szCs w:val="24"/>
        </w:rPr>
        <w:t xml:space="preserve"> the </w:t>
      </w:r>
      <w:r w:rsidR="006857AB">
        <w:rPr>
          <w:rFonts w:ascii="Times New Roman" w:hAnsi="Times New Roman" w:cs="Times New Roman"/>
          <w:sz w:val="24"/>
          <w:szCs w:val="24"/>
        </w:rPr>
        <w:t>Inquiry</w:t>
      </w:r>
      <w:r w:rsidR="00560E3F" w:rsidRPr="00AE141E">
        <w:rPr>
          <w:rFonts w:ascii="Times New Roman" w:hAnsi="Times New Roman" w:cs="Times New Roman"/>
          <w:sz w:val="24"/>
          <w:szCs w:val="24"/>
        </w:rPr>
        <w:t xml:space="preserve"> here</w:t>
      </w:r>
      <w:r w:rsidR="00213C5D" w:rsidRPr="00AE141E">
        <w:rPr>
          <w:rFonts w:ascii="Times New Roman" w:hAnsi="Times New Roman" w:cs="Times New Roman"/>
          <w:sz w:val="24"/>
          <w:szCs w:val="24"/>
        </w:rPr>
        <w:t xml:space="preserve"> seemed to reduce the threat of racist violence to the </w:t>
      </w:r>
      <w:r w:rsidR="00213C5D" w:rsidRPr="006857AB">
        <w:rPr>
          <w:rFonts w:ascii="Times New Roman" w:hAnsi="Times New Roman" w:cs="Times New Roman"/>
          <w:i/>
          <w:iCs/>
          <w:sz w:val="24"/>
          <w:szCs w:val="24"/>
        </w:rPr>
        <w:t>organised</w:t>
      </w:r>
      <w:r w:rsidR="00213C5D" w:rsidRPr="00AE141E">
        <w:rPr>
          <w:rFonts w:ascii="Times New Roman" w:hAnsi="Times New Roman" w:cs="Times New Roman"/>
          <w:sz w:val="24"/>
          <w:szCs w:val="24"/>
        </w:rPr>
        <w:t xml:space="preserve"> violence of the far-right</w:t>
      </w:r>
      <w:r w:rsidR="00A46665" w:rsidRPr="00AE141E">
        <w:rPr>
          <w:rFonts w:ascii="Times New Roman" w:hAnsi="Times New Roman" w:cs="Times New Roman"/>
          <w:sz w:val="24"/>
          <w:szCs w:val="24"/>
        </w:rPr>
        <w:t xml:space="preserve">. </w:t>
      </w:r>
    </w:p>
    <w:p w14:paraId="4AE7087A" w14:textId="141907E3" w:rsidR="00164480" w:rsidRPr="00AE141E" w:rsidRDefault="005D5EC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Macdonald’s treatment of </w:t>
      </w:r>
      <w:r w:rsidR="00B56F23" w:rsidRPr="00AE141E">
        <w:rPr>
          <w:rFonts w:ascii="Times New Roman" w:hAnsi="Times New Roman" w:cs="Times New Roman"/>
          <w:sz w:val="24"/>
          <w:szCs w:val="24"/>
        </w:rPr>
        <w:t xml:space="preserve">staff </w:t>
      </w:r>
      <w:r w:rsidR="00F15DDC" w:rsidRPr="00AE141E">
        <w:rPr>
          <w:rFonts w:ascii="Times New Roman" w:hAnsi="Times New Roman" w:cs="Times New Roman"/>
          <w:sz w:val="24"/>
          <w:szCs w:val="24"/>
        </w:rPr>
        <w:t>prejudice</w:t>
      </w:r>
      <w:r w:rsidR="00B56F23" w:rsidRPr="00AE141E">
        <w:rPr>
          <w:rFonts w:ascii="Times New Roman" w:hAnsi="Times New Roman" w:cs="Times New Roman"/>
          <w:sz w:val="24"/>
          <w:szCs w:val="24"/>
        </w:rPr>
        <w:t xml:space="preserve"> and Turner’s encounter </w:t>
      </w:r>
      <w:r w:rsidR="00EA6842" w:rsidRPr="00AE141E">
        <w:rPr>
          <w:rFonts w:ascii="Times New Roman" w:hAnsi="Times New Roman" w:cs="Times New Roman"/>
          <w:sz w:val="24"/>
          <w:szCs w:val="24"/>
        </w:rPr>
        <w:t>with White members of the student-body tally with a broader</w:t>
      </w:r>
      <w:r w:rsidR="00FB7F6C" w:rsidRPr="00AE141E">
        <w:rPr>
          <w:rFonts w:ascii="Times New Roman" w:hAnsi="Times New Roman" w:cs="Times New Roman"/>
          <w:sz w:val="24"/>
          <w:szCs w:val="24"/>
        </w:rPr>
        <w:t xml:space="preserve"> equivocation on </w:t>
      </w:r>
      <w:r w:rsidR="009541EE" w:rsidRPr="00AE141E">
        <w:rPr>
          <w:rFonts w:ascii="Times New Roman" w:hAnsi="Times New Roman" w:cs="Times New Roman"/>
          <w:sz w:val="24"/>
          <w:szCs w:val="24"/>
        </w:rPr>
        <w:t>questions of race and racism</w:t>
      </w:r>
      <w:r w:rsidR="00FB7F6C" w:rsidRPr="00AE141E">
        <w:rPr>
          <w:rFonts w:ascii="Times New Roman" w:hAnsi="Times New Roman" w:cs="Times New Roman"/>
          <w:sz w:val="24"/>
          <w:szCs w:val="24"/>
        </w:rPr>
        <w:t>.</w:t>
      </w:r>
      <w:r w:rsidR="00473886" w:rsidRPr="00AE141E">
        <w:rPr>
          <w:rFonts w:ascii="Times New Roman" w:hAnsi="Times New Roman" w:cs="Times New Roman"/>
          <w:sz w:val="24"/>
          <w:szCs w:val="24"/>
        </w:rPr>
        <w:t xml:space="preserve"> </w:t>
      </w:r>
      <w:r w:rsidR="00191D53" w:rsidRPr="00AE141E">
        <w:rPr>
          <w:rFonts w:ascii="Times New Roman" w:hAnsi="Times New Roman" w:cs="Times New Roman"/>
          <w:sz w:val="24"/>
          <w:szCs w:val="24"/>
        </w:rPr>
        <w:t xml:space="preserve">The Inquiry concluded that Ullah’s murder by </w:t>
      </w:r>
      <w:r w:rsidR="003A7746" w:rsidRPr="00AE141E">
        <w:rPr>
          <w:rFonts w:ascii="Times New Roman" w:hAnsi="Times New Roman" w:cs="Times New Roman"/>
          <w:sz w:val="24"/>
          <w:szCs w:val="24"/>
        </w:rPr>
        <w:t>fellow-student Darren Coulburn was</w:t>
      </w:r>
      <w:r w:rsidR="00D40BED" w:rsidRPr="00AE141E">
        <w:rPr>
          <w:rFonts w:ascii="Times New Roman" w:hAnsi="Times New Roman" w:cs="Times New Roman"/>
          <w:sz w:val="24"/>
          <w:szCs w:val="24"/>
        </w:rPr>
        <w:t xml:space="preserve"> not racially motivated – Coulburn had not set out that morning to </w:t>
      </w:r>
      <w:r w:rsidR="001E094C" w:rsidRPr="00AE141E">
        <w:rPr>
          <w:rFonts w:ascii="Times New Roman" w:hAnsi="Times New Roman" w:cs="Times New Roman"/>
          <w:sz w:val="24"/>
          <w:szCs w:val="24"/>
        </w:rPr>
        <w:t xml:space="preserve">‘kill someone of another race against whom he felt prejudice’ – but </w:t>
      </w:r>
      <w:r w:rsidR="00E01F87" w:rsidRPr="00F727A5">
        <w:rPr>
          <w:rFonts w:ascii="Times New Roman" w:hAnsi="Times New Roman" w:cs="Times New Roman"/>
          <w:i/>
          <w:iCs/>
          <w:sz w:val="24"/>
          <w:szCs w:val="24"/>
        </w:rPr>
        <w:t>was</w:t>
      </w:r>
      <w:r w:rsidR="00E01F87" w:rsidRPr="00AE141E">
        <w:rPr>
          <w:rFonts w:ascii="Times New Roman" w:hAnsi="Times New Roman" w:cs="Times New Roman"/>
          <w:sz w:val="24"/>
          <w:szCs w:val="24"/>
        </w:rPr>
        <w:t xml:space="preserve"> inex</w:t>
      </w:r>
      <w:r w:rsidR="00555D7A" w:rsidRPr="00AE141E">
        <w:rPr>
          <w:rFonts w:ascii="Times New Roman" w:hAnsi="Times New Roman" w:cs="Times New Roman"/>
          <w:sz w:val="24"/>
          <w:szCs w:val="24"/>
        </w:rPr>
        <w:t>tricable from the</w:t>
      </w:r>
      <w:r w:rsidR="00E01F87" w:rsidRPr="00AE141E">
        <w:rPr>
          <w:rFonts w:ascii="Times New Roman" w:hAnsi="Times New Roman" w:cs="Times New Roman"/>
          <w:sz w:val="24"/>
          <w:szCs w:val="24"/>
        </w:rPr>
        <w:t xml:space="preserve"> racist culture in which it occurred.</w:t>
      </w:r>
      <w:r w:rsidR="00DB148A" w:rsidRPr="00AE141E">
        <w:rPr>
          <w:rStyle w:val="FootnoteReference"/>
          <w:rFonts w:ascii="Times New Roman" w:hAnsi="Times New Roman" w:cs="Times New Roman"/>
          <w:sz w:val="24"/>
          <w:szCs w:val="24"/>
        </w:rPr>
        <w:footnoteReference w:id="672"/>
      </w:r>
      <w:r w:rsidR="00E01F87" w:rsidRPr="00AE141E">
        <w:rPr>
          <w:rFonts w:ascii="Times New Roman" w:hAnsi="Times New Roman" w:cs="Times New Roman"/>
          <w:sz w:val="24"/>
          <w:szCs w:val="24"/>
        </w:rPr>
        <w:t xml:space="preserve"> </w:t>
      </w:r>
      <w:r w:rsidR="00555D7A" w:rsidRPr="00AE141E">
        <w:rPr>
          <w:rFonts w:ascii="Times New Roman" w:hAnsi="Times New Roman" w:cs="Times New Roman"/>
          <w:sz w:val="24"/>
          <w:szCs w:val="24"/>
        </w:rPr>
        <w:t xml:space="preserve">Macdonald described a school environment in which students of South Asian heritage were routinely dehumanised </w:t>
      </w:r>
      <w:r w:rsidR="00B31646" w:rsidRPr="00AE141E">
        <w:rPr>
          <w:rFonts w:ascii="Times New Roman" w:hAnsi="Times New Roman" w:cs="Times New Roman"/>
          <w:sz w:val="24"/>
          <w:szCs w:val="24"/>
        </w:rPr>
        <w:t xml:space="preserve">by their classmates </w:t>
      </w:r>
      <w:r w:rsidR="006C0EED" w:rsidRPr="00AE141E">
        <w:rPr>
          <w:rFonts w:ascii="Times New Roman" w:hAnsi="Times New Roman" w:cs="Times New Roman"/>
          <w:sz w:val="24"/>
          <w:szCs w:val="24"/>
        </w:rPr>
        <w:t>–</w:t>
      </w:r>
      <w:r w:rsidR="00555D7A" w:rsidRPr="00AE141E">
        <w:rPr>
          <w:rFonts w:ascii="Times New Roman" w:hAnsi="Times New Roman" w:cs="Times New Roman"/>
          <w:sz w:val="24"/>
          <w:szCs w:val="24"/>
        </w:rPr>
        <w:t xml:space="preserve"> identified</w:t>
      </w:r>
      <w:r w:rsidR="006C0EED" w:rsidRPr="00AE141E">
        <w:rPr>
          <w:rFonts w:ascii="Times New Roman" w:hAnsi="Times New Roman" w:cs="Times New Roman"/>
          <w:sz w:val="24"/>
          <w:szCs w:val="24"/>
        </w:rPr>
        <w:t xml:space="preserve"> more often by racial slurs than by </w:t>
      </w:r>
      <w:r w:rsidR="00B31646" w:rsidRPr="00AE141E">
        <w:rPr>
          <w:rFonts w:ascii="Times New Roman" w:hAnsi="Times New Roman" w:cs="Times New Roman"/>
          <w:sz w:val="24"/>
          <w:szCs w:val="24"/>
        </w:rPr>
        <w:t xml:space="preserve">their than by their individual names. Coulburn was a product of this racist culture. So too, </w:t>
      </w:r>
      <w:r w:rsidR="00A624E4" w:rsidRPr="00AE141E">
        <w:rPr>
          <w:rFonts w:ascii="Times New Roman" w:hAnsi="Times New Roman" w:cs="Times New Roman"/>
          <w:sz w:val="24"/>
          <w:szCs w:val="24"/>
        </w:rPr>
        <w:t>was</w:t>
      </w:r>
      <w:r w:rsidR="00B31646" w:rsidRPr="00AE141E">
        <w:rPr>
          <w:rFonts w:ascii="Times New Roman" w:hAnsi="Times New Roman" w:cs="Times New Roman"/>
          <w:sz w:val="24"/>
          <w:szCs w:val="24"/>
        </w:rPr>
        <w:t xml:space="preserve"> Ullah, who was </w:t>
      </w:r>
      <w:r w:rsidR="00A624E4" w:rsidRPr="00AE141E">
        <w:rPr>
          <w:rFonts w:ascii="Times New Roman" w:hAnsi="Times New Roman" w:cs="Times New Roman"/>
          <w:sz w:val="24"/>
          <w:szCs w:val="24"/>
        </w:rPr>
        <w:t xml:space="preserve">murdered in the process of defending younger students from </w:t>
      </w:r>
      <w:r w:rsidR="00EE44A0" w:rsidRPr="00AE141E">
        <w:rPr>
          <w:rFonts w:ascii="Times New Roman" w:hAnsi="Times New Roman" w:cs="Times New Roman"/>
          <w:sz w:val="24"/>
          <w:szCs w:val="24"/>
        </w:rPr>
        <w:t xml:space="preserve">bullying. The omnipresent threat of harassment and violence forced older students of colour to </w:t>
      </w:r>
      <w:r w:rsidR="00FD7848" w:rsidRPr="00AE141E">
        <w:rPr>
          <w:rFonts w:ascii="Times New Roman" w:hAnsi="Times New Roman" w:cs="Times New Roman"/>
          <w:sz w:val="24"/>
          <w:szCs w:val="24"/>
        </w:rPr>
        <w:t xml:space="preserve">protect their more vulnerable peers. </w:t>
      </w:r>
      <w:r w:rsidR="00817A78" w:rsidRPr="00AE141E">
        <w:rPr>
          <w:rFonts w:ascii="Times New Roman" w:hAnsi="Times New Roman" w:cs="Times New Roman"/>
          <w:sz w:val="24"/>
          <w:szCs w:val="24"/>
        </w:rPr>
        <w:t>Th</w:t>
      </w:r>
      <w:r w:rsidR="00F727A5">
        <w:rPr>
          <w:rFonts w:ascii="Times New Roman" w:hAnsi="Times New Roman" w:cs="Times New Roman"/>
          <w:sz w:val="24"/>
          <w:szCs w:val="24"/>
        </w:rPr>
        <w:t>is</w:t>
      </w:r>
      <w:r w:rsidR="00817A78" w:rsidRPr="00AE141E">
        <w:rPr>
          <w:rFonts w:ascii="Times New Roman" w:hAnsi="Times New Roman" w:cs="Times New Roman"/>
          <w:sz w:val="24"/>
          <w:szCs w:val="24"/>
        </w:rPr>
        <w:t xml:space="preserve"> culture was so firmly embedded that many students and teachers </w:t>
      </w:r>
      <w:r w:rsidR="00817A78" w:rsidRPr="00AE141E">
        <w:rPr>
          <w:rFonts w:ascii="Times New Roman" w:hAnsi="Times New Roman" w:cs="Times New Roman"/>
          <w:sz w:val="24"/>
          <w:szCs w:val="24"/>
        </w:rPr>
        <w:lastRenderedPageBreak/>
        <w:t>‘</w:t>
      </w:r>
      <w:r w:rsidR="00111CF7" w:rsidRPr="00AE141E">
        <w:rPr>
          <w:rFonts w:ascii="Times New Roman" w:hAnsi="Times New Roman" w:cs="Times New Roman"/>
          <w:sz w:val="24"/>
          <w:szCs w:val="24"/>
        </w:rPr>
        <w:t>did not regard the conduct to which it gives rise a</w:t>
      </w:r>
      <w:r w:rsidR="00CD096B" w:rsidRPr="00AE141E">
        <w:rPr>
          <w:rFonts w:ascii="Times New Roman" w:hAnsi="Times New Roman" w:cs="Times New Roman"/>
          <w:sz w:val="24"/>
          <w:szCs w:val="24"/>
        </w:rPr>
        <w:t>s</w:t>
      </w:r>
      <w:r w:rsidR="00111CF7" w:rsidRPr="00AE141E">
        <w:rPr>
          <w:rFonts w:ascii="Times New Roman" w:hAnsi="Times New Roman" w:cs="Times New Roman"/>
          <w:sz w:val="24"/>
          <w:szCs w:val="24"/>
        </w:rPr>
        <w:t xml:space="preserve"> unusual or offensive’</w:t>
      </w:r>
      <w:r w:rsidR="00817A78" w:rsidRPr="00AE141E">
        <w:rPr>
          <w:rFonts w:ascii="Times New Roman" w:hAnsi="Times New Roman" w:cs="Times New Roman"/>
          <w:sz w:val="24"/>
          <w:szCs w:val="24"/>
        </w:rPr>
        <w:t xml:space="preserve">. </w:t>
      </w:r>
      <w:r w:rsidR="003B582F" w:rsidRPr="00AE141E">
        <w:rPr>
          <w:rFonts w:ascii="Times New Roman" w:hAnsi="Times New Roman" w:cs="Times New Roman"/>
          <w:sz w:val="24"/>
          <w:szCs w:val="24"/>
        </w:rPr>
        <w:t xml:space="preserve">Tellingly, </w:t>
      </w:r>
      <w:r w:rsidR="00A067BD" w:rsidRPr="00AE141E">
        <w:rPr>
          <w:rFonts w:ascii="Times New Roman" w:hAnsi="Times New Roman" w:cs="Times New Roman"/>
          <w:sz w:val="24"/>
          <w:szCs w:val="24"/>
        </w:rPr>
        <w:t xml:space="preserve">of all the White </w:t>
      </w:r>
      <w:r w:rsidR="00164480" w:rsidRPr="00AE141E">
        <w:rPr>
          <w:rFonts w:ascii="Times New Roman" w:hAnsi="Times New Roman" w:cs="Times New Roman"/>
          <w:sz w:val="24"/>
          <w:szCs w:val="24"/>
        </w:rPr>
        <w:t>witnesses who gave evidence to the Inquiry, whether parent or student, only one saw the murder as racist.</w:t>
      </w:r>
    </w:p>
    <w:p w14:paraId="357C289E" w14:textId="028CC805" w:rsidR="00473886" w:rsidRPr="00AE141E" w:rsidRDefault="00F727A5" w:rsidP="00AE141E">
      <w:pPr>
        <w:spacing w:line="360" w:lineRule="auto"/>
        <w:rPr>
          <w:rFonts w:ascii="Times New Roman" w:hAnsi="Times New Roman" w:cs="Times New Roman"/>
          <w:sz w:val="24"/>
          <w:szCs w:val="24"/>
        </w:rPr>
      </w:pPr>
      <w:r>
        <w:rPr>
          <w:rFonts w:ascii="Times New Roman" w:hAnsi="Times New Roman" w:cs="Times New Roman"/>
          <w:sz w:val="24"/>
          <w:szCs w:val="24"/>
        </w:rPr>
        <w:t>The</w:t>
      </w:r>
      <w:r w:rsidR="00FC17E6" w:rsidRPr="00AE141E">
        <w:rPr>
          <w:rFonts w:ascii="Times New Roman" w:hAnsi="Times New Roman" w:cs="Times New Roman"/>
          <w:sz w:val="24"/>
          <w:szCs w:val="24"/>
        </w:rPr>
        <w:t xml:space="preserve"> </w:t>
      </w:r>
      <w:r w:rsidR="00A475D7" w:rsidRPr="00AE141E">
        <w:rPr>
          <w:rFonts w:ascii="Times New Roman" w:hAnsi="Times New Roman" w:cs="Times New Roman"/>
          <w:sz w:val="24"/>
          <w:szCs w:val="24"/>
        </w:rPr>
        <w:t>f</w:t>
      </w:r>
      <w:r w:rsidR="00FC17E6" w:rsidRPr="00AE141E">
        <w:rPr>
          <w:rFonts w:ascii="Times New Roman" w:hAnsi="Times New Roman" w:cs="Times New Roman"/>
          <w:sz w:val="24"/>
          <w:szCs w:val="24"/>
        </w:rPr>
        <w:t xml:space="preserve">inal </w:t>
      </w:r>
      <w:r>
        <w:rPr>
          <w:rFonts w:ascii="Times New Roman" w:hAnsi="Times New Roman" w:cs="Times New Roman"/>
          <w:sz w:val="24"/>
          <w:szCs w:val="24"/>
        </w:rPr>
        <w:t>R</w:t>
      </w:r>
      <w:r w:rsidR="00FC17E6" w:rsidRPr="00AE141E">
        <w:rPr>
          <w:rFonts w:ascii="Times New Roman" w:hAnsi="Times New Roman" w:cs="Times New Roman"/>
          <w:sz w:val="24"/>
          <w:szCs w:val="24"/>
        </w:rPr>
        <w:t xml:space="preserve">eport argued that </w:t>
      </w:r>
      <w:r w:rsidR="006624BB">
        <w:rPr>
          <w:rFonts w:ascii="Times New Roman" w:hAnsi="Times New Roman" w:cs="Times New Roman"/>
          <w:sz w:val="24"/>
          <w:szCs w:val="24"/>
        </w:rPr>
        <w:t>Burnage</w:t>
      </w:r>
      <w:r w:rsidR="00674EC5" w:rsidRPr="00AE141E">
        <w:rPr>
          <w:rFonts w:ascii="Times New Roman" w:hAnsi="Times New Roman" w:cs="Times New Roman"/>
          <w:sz w:val="24"/>
          <w:szCs w:val="24"/>
        </w:rPr>
        <w:t xml:space="preserve"> had a responsibility to accommodate </w:t>
      </w:r>
      <w:r w:rsidR="00BF037F" w:rsidRPr="00AE141E">
        <w:rPr>
          <w:rFonts w:ascii="Times New Roman" w:hAnsi="Times New Roman" w:cs="Times New Roman"/>
          <w:sz w:val="24"/>
          <w:szCs w:val="24"/>
        </w:rPr>
        <w:t xml:space="preserve">White witnesses’ </w:t>
      </w:r>
      <w:r w:rsidR="00944679" w:rsidRPr="00AE141E">
        <w:rPr>
          <w:rFonts w:ascii="Times New Roman" w:hAnsi="Times New Roman" w:cs="Times New Roman"/>
          <w:sz w:val="24"/>
          <w:szCs w:val="24"/>
        </w:rPr>
        <w:t>view of the murder</w:t>
      </w:r>
      <w:r w:rsidR="00D27172" w:rsidRPr="00AE141E">
        <w:rPr>
          <w:rFonts w:ascii="Times New Roman" w:hAnsi="Times New Roman" w:cs="Times New Roman"/>
          <w:sz w:val="24"/>
          <w:szCs w:val="24"/>
        </w:rPr>
        <w:t xml:space="preserve">. It </w:t>
      </w:r>
      <w:r w:rsidR="001F5CBE" w:rsidRPr="00AE141E">
        <w:rPr>
          <w:rFonts w:ascii="Times New Roman" w:hAnsi="Times New Roman" w:cs="Times New Roman"/>
          <w:sz w:val="24"/>
          <w:szCs w:val="24"/>
        </w:rPr>
        <w:t>heavily implied that competing versions of ‘the truth’ held equal validity</w:t>
      </w:r>
      <w:r w:rsidR="00834E36" w:rsidRPr="00AE141E">
        <w:rPr>
          <w:rFonts w:ascii="Times New Roman" w:hAnsi="Times New Roman" w:cs="Times New Roman"/>
          <w:sz w:val="24"/>
          <w:szCs w:val="24"/>
        </w:rPr>
        <w:t xml:space="preserve"> </w:t>
      </w:r>
      <w:r w:rsidR="001F5CBE" w:rsidRPr="00AE141E">
        <w:rPr>
          <w:rFonts w:ascii="Times New Roman" w:hAnsi="Times New Roman" w:cs="Times New Roman"/>
          <w:sz w:val="24"/>
          <w:szCs w:val="24"/>
        </w:rPr>
        <w:t xml:space="preserve">and </w:t>
      </w:r>
      <w:r w:rsidR="00F4199B" w:rsidRPr="00AE141E">
        <w:rPr>
          <w:rFonts w:ascii="Times New Roman" w:hAnsi="Times New Roman" w:cs="Times New Roman"/>
          <w:sz w:val="24"/>
          <w:szCs w:val="24"/>
        </w:rPr>
        <w:t>demonstrated</w:t>
      </w:r>
      <w:r w:rsidR="00797FE2" w:rsidRPr="00AE141E">
        <w:rPr>
          <w:rFonts w:ascii="Times New Roman" w:hAnsi="Times New Roman" w:cs="Times New Roman"/>
          <w:sz w:val="24"/>
          <w:szCs w:val="24"/>
        </w:rPr>
        <w:t xml:space="preserve"> reluctance to mediate</w:t>
      </w:r>
      <w:r w:rsidR="006624BB">
        <w:rPr>
          <w:rFonts w:ascii="Times New Roman" w:hAnsi="Times New Roman" w:cs="Times New Roman"/>
          <w:sz w:val="24"/>
          <w:szCs w:val="24"/>
        </w:rPr>
        <w:t xml:space="preserve"> or judge</w:t>
      </w:r>
      <w:r w:rsidR="00797FE2" w:rsidRPr="00AE141E">
        <w:rPr>
          <w:rFonts w:ascii="Times New Roman" w:hAnsi="Times New Roman" w:cs="Times New Roman"/>
          <w:sz w:val="24"/>
          <w:szCs w:val="24"/>
        </w:rPr>
        <w:t xml:space="preserve"> between the two.</w:t>
      </w:r>
      <w:r w:rsidR="00680DCD" w:rsidRPr="00AE141E">
        <w:rPr>
          <w:rStyle w:val="FootnoteReference"/>
          <w:rFonts w:ascii="Times New Roman" w:hAnsi="Times New Roman" w:cs="Times New Roman"/>
          <w:sz w:val="24"/>
          <w:szCs w:val="24"/>
        </w:rPr>
        <w:footnoteReference w:id="673"/>
      </w:r>
      <w:r w:rsidR="00BF0A2B" w:rsidRPr="00AE141E">
        <w:rPr>
          <w:rFonts w:ascii="Times New Roman" w:hAnsi="Times New Roman" w:cs="Times New Roman"/>
          <w:sz w:val="24"/>
          <w:szCs w:val="24"/>
        </w:rPr>
        <w:t xml:space="preserve"> </w:t>
      </w:r>
      <w:r w:rsidR="006F5BFD" w:rsidRPr="00AE141E">
        <w:rPr>
          <w:rFonts w:ascii="Times New Roman" w:hAnsi="Times New Roman" w:cs="Times New Roman"/>
          <w:sz w:val="24"/>
          <w:szCs w:val="24"/>
        </w:rPr>
        <w:t>Macdonald argued that B</w:t>
      </w:r>
      <w:r w:rsidR="009A334F" w:rsidRPr="00AE141E">
        <w:rPr>
          <w:rFonts w:ascii="Times New Roman" w:hAnsi="Times New Roman" w:cs="Times New Roman"/>
          <w:sz w:val="24"/>
          <w:szCs w:val="24"/>
        </w:rPr>
        <w:t>urnage’s commitment to presenting Ullah’s murder as a racist event</w:t>
      </w:r>
      <w:r w:rsidR="006F5BFD" w:rsidRPr="00AE141E">
        <w:rPr>
          <w:rFonts w:ascii="Times New Roman" w:hAnsi="Times New Roman" w:cs="Times New Roman"/>
          <w:sz w:val="24"/>
          <w:szCs w:val="24"/>
        </w:rPr>
        <w:t xml:space="preserve"> stripped it of its complexity</w:t>
      </w:r>
      <w:r w:rsidR="00987048" w:rsidRPr="00AE141E">
        <w:rPr>
          <w:rFonts w:ascii="Times New Roman" w:hAnsi="Times New Roman" w:cs="Times New Roman"/>
          <w:sz w:val="24"/>
          <w:szCs w:val="24"/>
        </w:rPr>
        <w:t xml:space="preserve"> and thereby failed to make ‘</w:t>
      </w:r>
      <w:r w:rsidR="000D5BB3" w:rsidRPr="00AE141E">
        <w:rPr>
          <w:rFonts w:ascii="Times New Roman" w:hAnsi="Times New Roman" w:cs="Times New Roman"/>
          <w:sz w:val="24"/>
          <w:szCs w:val="24"/>
        </w:rPr>
        <w:t>the necessary and significant distinction between Darren Coulburn and his white peers’</w:t>
      </w:r>
      <w:r w:rsidR="00987048" w:rsidRPr="00AE141E">
        <w:rPr>
          <w:rFonts w:ascii="Times New Roman" w:hAnsi="Times New Roman" w:cs="Times New Roman"/>
          <w:sz w:val="24"/>
          <w:szCs w:val="24"/>
        </w:rPr>
        <w:t xml:space="preserve">. Throughout the </w:t>
      </w:r>
      <w:r w:rsidR="006624BB">
        <w:rPr>
          <w:rFonts w:ascii="Times New Roman" w:hAnsi="Times New Roman" w:cs="Times New Roman"/>
          <w:sz w:val="24"/>
          <w:szCs w:val="24"/>
        </w:rPr>
        <w:t>R</w:t>
      </w:r>
      <w:r w:rsidR="00987048" w:rsidRPr="00AE141E">
        <w:rPr>
          <w:rFonts w:ascii="Times New Roman" w:hAnsi="Times New Roman" w:cs="Times New Roman"/>
          <w:sz w:val="24"/>
          <w:szCs w:val="24"/>
        </w:rPr>
        <w:t xml:space="preserve">eport, a relativist attitude to the truth </w:t>
      </w:r>
      <w:r w:rsidR="006624BB">
        <w:rPr>
          <w:rFonts w:ascii="Times New Roman" w:hAnsi="Times New Roman" w:cs="Times New Roman"/>
          <w:sz w:val="24"/>
          <w:szCs w:val="24"/>
        </w:rPr>
        <w:t>was</w:t>
      </w:r>
      <w:r w:rsidR="00987048" w:rsidRPr="00AE141E">
        <w:rPr>
          <w:rFonts w:ascii="Times New Roman" w:hAnsi="Times New Roman" w:cs="Times New Roman"/>
          <w:sz w:val="24"/>
          <w:szCs w:val="24"/>
        </w:rPr>
        <w:t xml:space="preserve"> connected to fears of </w:t>
      </w:r>
      <w:r w:rsidR="005C6053" w:rsidRPr="00AE141E">
        <w:rPr>
          <w:rFonts w:ascii="Times New Roman" w:hAnsi="Times New Roman" w:cs="Times New Roman"/>
          <w:sz w:val="24"/>
          <w:szCs w:val="24"/>
        </w:rPr>
        <w:t xml:space="preserve">stoking communal tension by offending White sensibilities. </w:t>
      </w:r>
      <w:r w:rsidR="00FC15E7" w:rsidRPr="00AE141E">
        <w:rPr>
          <w:rFonts w:ascii="Times New Roman" w:hAnsi="Times New Roman" w:cs="Times New Roman"/>
          <w:sz w:val="24"/>
          <w:szCs w:val="24"/>
        </w:rPr>
        <w:t>I</w:t>
      </w:r>
      <w:r w:rsidR="00074BA7" w:rsidRPr="00AE141E">
        <w:rPr>
          <w:rFonts w:ascii="Times New Roman" w:hAnsi="Times New Roman" w:cs="Times New Roman"/>
          <w:sz w:val="24"/>
          <w:szCs w:val="24"/>
        </w:rPr>
        <w:t>n apparent contradiction of the Inquiry’s demands that Ullah’s murder be</w:t>
      </w:r>
      <w:r w:rsidR="0058083B" w:rsidRPr="00AE141E">
        <w:rPr>
          <w:rFonts w:ascii="Times New Roman" w:hAnsi="Times New Roman" w:cs="Times New Roman"/>
          <w:sz w:val="24"/>
          <w:szCs w:val="24"/>
        </w:rPr>
        <w:t xml:space="preserve"> set within the broader context of systematic racist dehumanisation, </w:t>
      </w:r>
      <w:r w:rsidR="00B057AD" w:rsidRPr="00AE141E">
        <w:rPr>
          <w:rFonts w:ascii="Times New Roman" w:hAnsi="Times New Roman" w:cs="Times New Roman"/>
          <w:sz w:val="24"/>
          <w:szCs w:val="24"/>
        </w:rPr>
        <w:t xml:space="preserve">Macdonald objected to </w:t>
      </w:r>
      <w:r w:rsidR="0009206F" w:rsidRPr="00AE141E">
        <w:rPr>
          <w:rFonts w:ascii="Times New Roman" w:hAnsi="Times New Roman" w:cs="Times New Roman"/>
          <w:sz w:val="24"/>
          <w:szCs w:val="24"/>
        </w:rPr>
        <w:t>the school’s ‘</w:t>
      </w:r>
      <w:r w:rsidR="008C510C" w:rsidRPr="00AE141E">
        <w:rPr>
          <w:rFonts w:ascii="Times New Roman" w:hAnsi="Times New Roman" w:cs="Times New Roman"/>
          <w:sz w:val="24"/>
          <w:szCs w:val="24"/>
        </w:rPr>
        <w:t>view of the murder as racist and as an escalation of racist name calling</w:t>
      </w:r>
      <w:r w:rsidR="0009206F" w:rsidRPr="00AE141E">
        <w:rPr>
          <w:rFonts w:ascii="Times New Roman" w:hAnsi="Times New Roman" w:cs="Times New Roman"/>
          <w:sz w:val="24"/>
          <w:szCs w:val="24"/>
        </w:rPr>
        <w:t>’</w:t>
      </w:r>
      <w:r w:rsidR="008C510C" w:rsidRPr="00AE141E">
        <w:rPr>
          <w:rFonts w:ascii="Times New Roman" w:hAnsi="Times New Roman" w:cs="Times New Roman"/>
          <w:sz w:val="24"/>
          <w:szCs w:val="24"/>
        </w:rPr>
        <w:t xml:space="preserve">, </w:t>
      </w:r>
      <w:r w:rsidR="0009206F" w:rsidRPr="00AE141E">
        <w:rPr>
          <w:rFonts w:ascii="Times New Roman" w:hAnsi="Times New Roman" w:cs="Times New Roman"/>
          <w:sz w:val="24"/>
          <w:szCs w:val="24"/>
        </w:rPr>
        <w:t xml:space="preserve">on the grounds that this placed </w:t>
      </w:r>
      <w:r w:rsidR="0009206F" w:rsidRPr="00AE141E">
        <w:rPr>
          <w:rFonts w:ascii="Times New Roman" w:hAnsi="Times New Roman" w:cs="Times New Roman"/>
          <w:i/>
          <w:sz w:val="24"/>
          <w:szCs w:val="24"/>
        </w:rPr>
        <w:t>all</w:t>
      </w:r>
      <w:r w:rsidR="008C510C" w:rsidRPr="00AE141E">
        <w:rPr>
          <w:rFonts w:ascii="Times New Roman" w:hAnsi="Times New Roman" w:cs="Times New Roman"/>
          <w:sz w:val="24"/>
          <w:szCs w:val="24"/>
        </w:rPr>
        <w:t xml:space="preserve"> </w:t>
      </w:r>
      <w:r w:rsidR="0009206F" w:rsidRPr="00AE141E">
        <w:rPr>
          <w:rFonts w:ascii="Times New Roman" w:hAnsi="Times New Roman" w:cs="Times New Roman"/>
          <w:sz w:val="24"/>
          <w:szCs w:val="24"/>
        </w:rPr>
        <w:t>White students ‘</w:t>
      </w:r>
      <w:r w:rsidR="008C510C" w:rsidRPr="00AE141E">
        <w:rPr>
          <w:rFonts w:ascii="Times New Roman" w:hAnsi="Times New Roman" w:cs="Times New Roman"/>
          <w:sz w:val="24"/>
          <w:szCs w:val="24"/>
        </w:rPr>
        <w:t>more or less in the same camp as Darren Coulburn</w:t>
      </w:r>
      <w:r w:rsidR="0009206F" w:rsidRPr="00AE141E">
        <w:rPr>
          <w:rFonts w:ascii="Times New Roman" w:hAnsi="Times New Roman" w:cs="Times New Roman"/>
          <w:sz w:val="24"/>
          <w:szCs w:val="24"/>
        </w:rPr>
        <w:t>’.</w:t>
      </w:r>
      <w:r w:rsidR="00390DE0" w:rsidRPr="00AE141E">
        <w:rPr>
          <w:rFonts w:ascii="Times New Roman" w:hAnsi="Times New Roman" w:cs="Times New Roman"/>
          <w:sz w:val="24"/>
          <w:szCs w:val="24"/>
        </w:rPr>
        <w:t xml:space="preserve"> The </w:t>
      </w:r>
      <w:r w:rsidR="006624BB">
        <w:rPr>
          <w:rFonts w:ascii="Times New Roman" w:hAnsi="Times New Roman" w:cs="Times New Roman"/>
          <w:sz w:val="24"/>
          <w:szCs w:val="24"/>
        </w:rPr>
        <w:t>R</w:t>
      </w:r>
      <w:r w:rsidR="00390DE0" w:rsidRPr="00AE141E">
        <w:rPr>
          <w:rFonts w:ascii="Times New Roman" w:hAnsi="Times New Roman" w:cs="Times New Roman"/>
          <w:sz w:val="24"/>
          <w:szCs w:val="24"/>
        </w:rPr>
        <w:t xml:space="preserve">eport </w:t>
      </w:r>
      <w:r w:rsidR="00032CFF" w:rsidRPr="00AE141E">
        <w:rPr>
          <w:rFonts w:ascii="Times New Roman" w:hAnsi="Times New Roman" w:cs="Times New Roman"/>
          <w:sz w:val="24"/>
          <w:szCs w:val="24"/>
        </w:rPr>
        <w:t>determined</w:t>
      </w:r>
      <w:r w:rsidR="00390DE0" w:rsidRPr="00AE141E">
        <w:rPr>
          <w:rFonts w:ascii="Times New Roman" w:hAnsi="Times New Roman" w:cs="Times New Roman"/>
          <w:sz w:val="24"/>
          <w:szCs w:val="24"/>
        </w:rPr>
        <w:t xml:space="preserve"> that </w:t>
      </w:r>
      <w:r w:rsidR="00F4199B" w:rsidRPr="00AE141E">
        <w:rPr>
          <w:rFonts w:ascii="Times New Roman" w:hAnsi="Times New Roman" w:cs="Times New Roman"/>
          <w:sz w:val="24"/>
          <w:szCs w:val="24"/>
        </w:rPr>
        <w:t xml:space="preserve">Burnage’s anti-racist policy displayed a fixation with </w:t>
      </w:r>
      <w:r w:rsidR="008D640D" w:rsidRPr="00AE141E">
        <w:rPr>
          <w:rFonts w:ascii="Times New Roman" w:hAnsi="Times New Roman" w:cs="Times New Roman"/>
          <w:sz w:val="24"/>
          <w:szCs w:val="24"/>
        </w:rPr>
        <w:t xml:space="preserve">‘categories and camps’ which served only to alienate White members of the school community from </w:t>
      </w:r>
      <w:r w:rsidR="00FA7396" w:rsidRPr="00AE141E">
        <w:rPr>
          <w:rFonts w:ascii="Times New Roman" w:hAnsi="Times New Roman" w:cs="Times New Roman"/>
          <w:sz w:val="24"/>
          <w:szCs w:val="24"/>
        </w:rPr>
        <w:t>anti-racist work.</w:t>
      </w:r>
      <w:r w:rsidR="00B91C0B" w:rsidRPr="00AE141E">
        <w:rPr>
          <w:rStyle w:val="FootnoteReference"/>
          <w:rFonts w:ascii="Times New Roman" w:hAnsi="Times New Roman" w:cs="Times New Roman"/>
          <w:sz w:val="24"/>
          <w:szCs w:val="24"/>
        </w:rPr>
        <w:footnoteReference w:id="674"/>
      </w:r>
    </w:p>
    <w:p w14:paraId="7E91C20F" w14:textId="77777777" w:rsidR="00E4465F" w:rsidRDefault="00BB5158" w:rsidP="00AE141E">
      <w:pPr>
        <w:spacing w:line="360" w:lineRule="auto"/>
        <w:rPr>
          <w:rFonts w:ascii="Times New Roman" w:hAnsi="Times New Roman" w:cs="Times New Roman"/>
          <w:sz w:val="24"/>
          <w:szCs w:val="24"/>
        </w:rPr>
      </w:pPr>
      <w:r w:rsidRPr="00AE141E">
        <w:rPr>
          <w:rFonts w:ascii="Times New Roman" w:hAnsi="Times New Roman" w:cs="Times New Roman"/>
          <w:i/>
          <w:sz w:val="24"/>
          <w:szCs w:val="24"/>
        </w:rPr>
        <w:t xml:space="preserve">Murder in the Playground </w:t>
      </w:r>
      <w:r w:rsidR="00F54CE5" w:rsidRPr="00AE141E">
        <w:rPr>
          <w:rFonts w:ascii="Times New Roman" w:hAnsi="Times New Roman" w:cs="Times New Roman"/>
          <w:sz w:val="24"/>
          <w:szCs w:val="24"/>
        </w:rPr>
        <w:t>was consistently (and, at times, unfairly) critical of the design and implementation of Burnage High School’s anti-racist polic</w:t>
      </w:r>
      <w:r w:rsidR="00945C06" w:rsidRPr="00AE141E">
        <w:rPr>
          <w:rFonts w:ascii="Times New Roman" w:hAnsi="Times New Roman" w:cs="Times New Roman"/>
          <w:sz w:val="24"/>
          <w:szCs w:val="24"/>
        </w:rPr>
        <w:t>ies</w:t>
      </w:r>
      <w:r w:rsidR="00F54CE5" w:rsidRPr="00AE141E">
        <w:rPr>
          <w:rFonts w:ascii="Times New Roman" w:hAnsi="Times New Roman" w:cs="Times New Roman"/>
          <w:sz w:val="24"/>
          <w:szCs w:val="24"/>
        </w:rPr>
        <w:t xml:space="preserve">. </w:t>
      </w:r>
      <w:r w:rsidR="0063686C" w:rsidRPr="00AE141E">
        <w:rPr>
          <w:rFonts w:ascii="Times New Roman" w:hAnsi="Times New Roman" w:cs="Times New Roman"/>
          <w:sz w:val="24"/>
          <w:szCs w:val="24"/>
        </w:rPr>
        <w:t>Nevertheless, it</w:t>
      </w:r>
      <w:r w:rsidR="00A97ED5" w:rsidRPr="00AE141E">
        <w:rPr>
          <w:rFonts w:ascii="Times New Roman" w:hAnsi="Times New Roman" w:cs="Times New Roman"/>
          <w:sz w:val="24"/>
          <w:szCs w:val="24"/>
        </w:rPr>
        <w:t xml:space="preserve"> was very clear that the ‘senseless and counter-productive’ implementation of </w:t>
      </w:r>
      <w:r w:rsidR="00945C06" w:rsidRPr="00AE141E">
        <w:rPr>
          <w:rFonts w:ascii="Times New Roman" w:hAnsi="Times New Roman" w:cs="Times New Roman"/>
          <w:sz w:val="24"/>
          <w:szCs w:val="24"/>
        </w:rPr>
        <w:t>anti-racist policies in one school must not discredit their use more broadly</w:t>
      </w:r>
      <w:r w:rsidR="009B2D5B" w:rsidRPr="00AE141E">
        <w:rPr>
          <w:rFonts w:ascii="Times New Roman" w:hAnsi="Times New Roman" w:cs="Times New Roman"/>
          <w:sz w:val="24"/>
          <w:szCs w:val="24"/>
        </w:rPr>
        <w:t>.</w:t>
      </w:r>
      <w:r w:rsidR="008206EC" w:rsidRPr="00AE141E">
        <w:rPr>
          <w:rStyle w:val="FootnoteReference"/>
          <w:rFonts w:ascii="Times New Roman" w:hAnsi="Times New Roman" w:cs="Times New Roman"/>
          <w:sz w:val="24"/>
          <w:szCs w:val="24"/>
        </w:rPr>
        <w:footnoteReference w:id="675"/>
      </w:r>
      <w:r w:rsidR="00886477" w:rsidRPr="00AE141E">
        <w:rPr>
          <w:rFonts w:ascii="Times New Roman" w:hAnsi="Times New Roman" w:cs="Times New Roman"/>
          <w:sz w:val="24"/>
          <w:szCs w:val="24"/>
        </w:rPr>
        <w:t xml:space="preserve"> This did not stop </w:t>
      </w:r>
      <w:r w:rsidR="00C70342" w:rsidRPr="00AE141E">
        <w:rPr>
          <w:rFonts w:ascii="Times New Roman" w:hAnsi="Times New Roman" w:cs="Times New Roman"/>
          <w:sz w:val="24"/>
          <w:szCs w:val="24"/>
        </w:rPr>
        <w:t>press commentary which framed the tragedy at Burnage as conclusive evidence of the dangerous failure of anti-racist education</w:t>
      </w:r>
      <w:r w:rsidR="008D6E6F" w:rsidRPr="00AE141E">
        <w:rPr>
          <w:rFonts w:ascii="Times New Roman" w:hAnsi="Times New Roman" w:cs="Times New Roman"/>
          <w:sz w:val="24"/>
          <w:szCs w:val="24"/>
        </w:rPr>
        <w:t>.</w:t>
      </w:r>
      <w:r w:rsidR="00C70342" w:rsidRPr="00AE141E">
        <w:rPr>
          <w:rFonts w:ascii="Times New Roman" w:hAnsi="Times New Roman" w:cs="Times New Roman"/>
          <w:sz w:val="24"/>
          <w:szCs w:val="24"/>
        </w:rPr>
        <w:t xml:space="preserve"> </w:t>
      </w:r>
      <w:r w:rsidR="009B08AE" w:rsidRPr="00AE141E">
        <w:rPr>
          <w:rFonts w:ascii="Times New Roman" w:hAnsi="Times New Roman" w:cs="Times New Roman"/>
          <w:sz w:val="24"/>
          <w:szCs w:val="24"/>
        </w:rPr>
        <w:t xml:space="preserve">On </w:t>
      </w:r>
      <w:r w:rsidR="00C25824" w:rsidRPr="00AE141E">
        <w:rPr>
          <w:rFonts w:ascii="Times New Roman" w:hAnsi="Times New Roman" w:cs="Times New Roman"/>
          <w:sz w:val="24"/>
          <w:szCs w:val="24"/>
        </w:rPr>
        <w:t xml:space="preserve">25 </w:t>
      </w:r>
      <w:r w:rsidR="009B08AE" w:rsidRPr="00AE141E">
        <w:rPr>
          <w:rFonts w:ascii="Times New Roman" w:hAnsi="Times New Roman" w:cs="Times New Roman"/>
          <w:sz w:val="24"/>
          <w:szCs w:val="24"/>
        </w:rPr>
        <w:t xml:space="preserve">April </w:t>
      </w:r>
      <w:r w:rsidR="00C25824" w:rsidRPr="00AE141E">
        <w:rPr>
          <w:rFonts w:ascii="Times New Roman" w:hAnsi="Times New Roman" w:cs="Times New Roman"/>
          <w:sz w:val="24"/>
          <w:szCs w:val="24"/>
        </w:rPr>
        <w:t>1988</w:t>
      </w:r>
      <w:r w:rsidR="009B08AE" w:rsidRPr="00AE141E">
        <w:rPr>
          <w:rFonts w:ascii="Times New Roman" w:hAnsi="Times New Roman" w:cs="Times New Roman"/>
          <w:sz w:val="24"/>
          <w:szCs w:val="24"/>
        </w:rPr>
        <w:t xml:space="preserve">, </w:t>
      </w:r>
      <w:r w:rsidR="009B08AE" w:rsidRPr="00AE141E">
        <w:rPr>
          <w:rFonts w:ascii="Times New Roman" w:hAnsi="Times New Roman" w:cs="Times New Roman"/>
          <w:i/>
          <w:sz w:val="24"/>
          <w:szCs w:val="24"/>
        </w:rPr>
        <w:t>Manchester Evening News</w:t>
      </w:r>
      <w:r w:rsidR="009B08AE" w:rsidRPr="00AE141E">
        <w:rPr>
          <w:rFonts w:ascii="Times New Roman" w:hAnsi="Times New Roman" w:cs="Times New Roman"/>
          <w:sz w:val="24"/>
          <w:szCs w:val="24"/>
        </w:rPr>
        <w:t xml:space="preserve"> </w:t>
      </w:r>
      <w:r w:rsidR="00E4465F">
        <w:rPr>
          <w:rFonts w:ascii="Times New Roman" w:hAnsi="Times New Roman" w:cs="Times New Roman"/>
          <w:sz w:val="24"/>
          <w:szCs w:val="24"/>
        </w:rPr>
        <w:t>leaked the Burnage Report’s</w:t>
      </w:r>
      <w:r w:rsidR="009B08AE" w:rsidRPr="00AE141E">
        <w:rPr>
          <w:rFonts w:ascii="Times New Roman" w:hAnsi="Times New Roman" w:cs="Times New Roman"/>
          <w:sz w:val="24"/>
          <w:szCs w:val="24"/>
        </w:rPr>
        <w:t xml:space="preserve"> </w:t>
      </w:r>
      <w:r w:rsidR="00E4465F">
        <w:rPr>
          <w:rFonts w:ascii="Times New Roman" w:hAnsi="Times New Roman" w:cs="Times New Roman"/>
          <w:sz w:val="24"/>
          <w:szCs w:val="24"/>
        </w:rPr>
        <w:t>conclusions</w:t>
      </w:r>
      <w:r w:rsidR="00011B8C" w:rsidRPr="00AE141E">
        <w:rPr>
          <w:rFonts w:ascii="Times New Roman" w:hAnsi="Times New Roman" w:cs="Times New Roman"/>
          <w:sz w:val="24"/>
          <w:szCs w:val="24"/>
        </w:rPr>
        <w:t xml:space="preserve">. </w:t>
      </w:r>
      <w:r w:rsidR="00897E40" w:rsidRPr="00AE141E">
        <w:rPr>
          <w:rFonts w:ascii="Times New Roman" w:hAnsi="Times New Roman" w:cs="Times New Roman"/>
          <w:sz w:val="24"/>
          <w:szCs w:val="24"/>
        </w:rPr>
        <w:t>Journalists</w:t>
      </w:r>
      <w:r w:rsidR="00011B8C" w:rsidRPr="00AE141E">
        <w:rPr>
          <w:rFonts w:ascii="Times New Roman" w:hAnsi="Times New Roman" w:cs="Times New Roman"/>
          <w:sz w:val="24"/>
          <w:szCs w:val="24"/>
        </w:rPr>
        <w:t xml:space="preserve"> in the national press</w:t>
      </w:r>
      <w:r w:rsidR="00897E40" w:rsidRPr="00AE141E">
        <w:rPr>
          <w:rFonts w:ascii="Times New Roman" w:hAnsi="Times New Roman" w:cs="Times New Roman"/>
          <w:sz w:val="24"/>
          <w:szCs w:val="24"/>
        </w:rPr>
        <w:t xml:space="preserve"> </w:t>
      </w:r>
      <w:r w:rsidR="00011B8C" w:rsidRPr="00AE141E">
        <w:rPr>
          <w:rFonts w:ascii="Times New Roman" w:hAnsi="Times New Roman" w:cs="Times New Roman"/>
          <w:sz w:val="24"/>
          <w:szCs w:val="24"/>
        </w:rPr>
        <w:t xml:space="preserve">quickly </w:t>
      </w:r>
      <w:r w:rsidR="00897E40" w:rsidRPr="00AE141E">
        <w:rPr>
          <w:rFonts w:ascii="Times New Roman" w:hAnsi="Times New Roman" w:cs="Times New Roman"/>
          <w:sz w:val="24"/>
          <w:szCs w:val="24"/>
        </w:rPr>
        <w:t xml:space="preserve">homed in on the Inquiry’s criticism of Gough </w:t>
      </w:r>
      <w:r w:rsidR="00032CFF" w:rsidRPr="00AE141E">
        <w:rPr>
          <w:rFonts w:ascii="Times New Roman" w:hAnsi="Times New Roman" w:cs="Times New Roman"/>
          <w:sz w:val="24"/>
          <w:szCs w:val="24"/>
        </w:rPr>
        <w:t xml:space="preserve">and </w:t>
      </w:r>
      <w:r w:rsidR="00897E40" w:rsidRPr="00AE141E">
        <w:rPr>
          <w:rFonts w:ascii="Times New Roman" w:hAnsi="Times New Roman" w:cs="Times New Roman"/>
          <w:sz w:val="24"/>
          <w:szCs w:val="24"/>
        </w:rPr>
        <w:t>his anti-racist polic</w:t>
      </w:r>
      <w:r w:rsidR="00CE0F9B" w:rsidRPr="00AE141E">
        <w:rPr>
          <w:rFonts w:ascii="Times New Roman" w:hAnsi="Times New Roman" w:cs="Times New Roman"/>
          <w:sz w:val="24"/>
          <w:szCs w:val="24"/>
        </w:rPr>
        <w:t>ies</w:t>
      </w:r>
      <w:r w:rsidR="00897E40" w:rsidRPr="00AE141E">
        <w:rPr>
          <w:rFonts w:ascii="Times New Roman" w:hAnsi="Times New Roman" w:cs="Times New Roman"/>
          <w:sz w:val="24"/>
          <w:szCs w:val="24"/>
        </w:rPr>
        <w:t xml:space="preserve">. </w:t>
      </w:r>
    </w:p>
    <w:p w14:paraId="43AC0781" w14:textId="412F4DFB" w:rsidR="00E66318" w:rsidRPr="00AE141E" w:rsidRDefault="00E4465F" w:rsidP="00AE141E">
      <w:pPr>
        <w:spacing w:line="360" w:lineRule="auto"/>
        <w:rPr>
          <w:rFonts w:ascii="Times New Roman" w:hAnsi="Times New Roman" w:cs="Times New Roman"/>
          <w:sz w:val="24"/>
          <w:szCs w:val="24"/>
        </w:rPr>
      </w:pPr>
      <w:r>
        <w:rPr>
          <w:rFonts w:ascii="Times New Roman" w:hAnsi="Times New Roman" w:cs="Times New Roman"/>
          <w:sz w:val="24"/>
          <w:szCs w:val="24"/>
        </w:rPr>
        <w:t>The management’s</w:t>
      </w:r>
      <w:r w:rsidR="00CA12FE" w:rsidRPr="00AE141E">
        <w:rPr>
          <w:rFonts w:ascii="Times New Roman" w:hAnsi="Times New Roman" w:cs="Times New Roman"/>
          <w:sz w:val="24"/>
          <w:szCs w:val="24"/>
        </w:rPr>
        <w:t xml:space="preserve"> embrace of anti-racism was posited as the </w:t>
      </w:r>
      <w:r w:rsidR="00CA12FE" w:rsidRPr="00AE141E">
        <w:rPr>
          <w:rFonts w:ascii="Times New Roman" w:hAnsi="Times New Roman" w:cs="Times New Roman"/>
          <w:i/>
          <w:sz w:val="24"/>
          <w:szCs w:val="24"/>
        </w:rPr>
        <w:t xml:space="preserve">cause </w:t>
      </w:r>
      <w:r w:rsidR="00CA12FE" w:rsidRPr="00AE141E">
        <w:rPr>
          <w:rFonts w:ascii="Times New Roman" w:hAnsi="Times New Roman" w:cs="Times New Roman"/>
          <w:sz w:val="24"/>
          <w:szCs w:val="24"/>
        </w:rPr>
        <w:t>of racial violence in the school</w:t>
      </w:r>
      <w:r w:rsidR="00897E40" w:rsidRPr="00AE141E">
        <w:rPr>
          <w:rFonts w:ascii="Times New Roman" w:hAnsi="Times New Roman" w:cs="Times New Roman"/>
          <w:sz w:val="24"/>
          <w:szCs w:val="24"/>
        </w:rPr>
        <w:t xml:space="preserve">. The </w:t>
      </w:r>
      <w:r w:rsidR="00897E40" w:rsidRPr="00AE141E">
        <w:rPr>
          <w:rFonts w:ascii="Times New Roman" w:hAnsi="Times New Roman" w:cs="Times New Roman"/>
          <w:i/>
          <w:sz w:val="24"/>
          <w:szCs w:val="24"/>
        </w:rPr>
        <w:t xml:space="preserve">Daily Mail </w:t>
      </w:r>
      <w:r w:rsidR="00897E40" w:rsidRPr="00AE141E">
        <w:rPr>
          <w:rFonts w:ascii="Times New Roman" w:hAnsi="Times New Roman" w:cs="Times New Roman"/>
          <w:sz w:val="24"/>
          <w:szCs w:val="24"/>
        </w:rPr>
        <w:t xml:space="preserve">led with headlines including ‘Dream of Harmony Tore this School </w:t>
      </w:r>
      <w:r w:rsidR="00897E40" w:rsidRPr="00AE141E">
        <w:rPr>
          <w:rFonts w:ascii="Times New Roman" w:hAnsi="Times New Roman" w:cs="Times New Roman"/>
          <w:sz w:val="24"/>
          <w:szCs w:val="24"/>
        </w:rPr>
        <w:lastRenderedPageBreak/>
        <w:t>Apart’, ‘Condemned: Anti-racist Head who Led his School to Disaster’, and ‘This Dangerous Obsession’.</w:t>
      </w:r>
      <w:r w:rsidR="00897E40" w:rsidRPr="00AE141E">
        <w:rPr>
          <w:rStyle w:val="FootnoteReference"/>
          <w:rFonts w:ascii="Times New Roman" w:hAnsi="Times New Roman" w:cs="Times New Roman"/>
          <w:sz w:val="24"/>
          <w:szCs w:val="24"/>
        </w:rPr>
        <w:footnoteReference w:id="676"/>
      </w:r>
      <w:r w:rsidR="00897E40" w:rsidRPr="00AE141E">
        <w:rPr>
          <w:rFonts w:ascii="Times New Roman" w:hAnsi="Times New Roman" w:cs="Times New Roman"/>
          <w:sz w:val="24"/>
          <w:szCs w:val="24"/>
        </w:rPr>
        <w:t xml:space="preserve"> The latter proclaimed anti-racism to be a ‘blinkered and self-defeating creed’ tragically endemic to ‘certain Left-dominated education authorities’.</w:t>
      </w:r>
      <w:r w:rsidR="00F54742" w:rsidRPr="00AE141E">
        <w:rPr>
          <w:rFonts w:ascii="Times New Roman" w:hAnsi="Times New Roman" w:cs="Times New Roman"/>
          <w:sz w:val="24"/>
          <w:szCs w:val="24"/>
        </w:rPr>
        <w:t xml:space="preserve"> The ferocity of these attacks was </w:t>
      </w:r>
      <w:r w:rsidR="00AD37DA" w:rsidRPr="00AE141E">
        <w:rPr>
          <w:rFonts w:ascii="Times New Roman" w:hAnsi="Times New Roman" w:cs="Times New Roman"/>
          <w:sz w:val="24"/>
          <w:szCs w:val="24"/>
        </w:rPr>
        <w:t>symbolic of the rise of a powerful ‘</w:t>
      </w:r>
      <w:r w:rsidR="007E0AD4" w:rsidRPr="00AE141E">
        <w:rPr>
          <w:rFonts w:ascii="Times New Roman" w:hAnsi="Times New Roman" w:cs="Times New Roman"/>
          <w:sz w:val="24"/>
          <w:szCs w:val="24"/>
        </w:rPr>
        <w:t>N</w:t>
      </w:r>
      <w:r w:rsidR="00AD37DA" w:rsidRPr="00AE141E">
        <w:rPr>
          <w:rFonts w:ascii="Times New Roman" w:hAnsi="Times New Roman" w:cs="Times New Roman"/>
          <w:sz w:val="24"/>
          <w:szCs w:val="24"/>
        </w:rPr>
        <w:t xml:space="preserve">ew </w:t>
      </w:r>
      <w:r w:rsidR="007E0AD4" w:rsidRPr="00AE141E">
        <w:rPr>
          <w:rFonts w:ascii="Times New Roman" w:hAnsi="Times New Roman" w:cs="Times New Roman"/>
          <w:sz w:val="24"/>
          <w:szCs w:val="24"/>
        </w:rPr>
        <w:t>R</w:t>
      </w:r>
      <w:r w:rsidR="00AD37DA" w:rsidRPr="00AE141E">
        <w:rPr>
          <w:rFonts w:ascii="Times New Roman" w:hAnsi="Times New Roman" w:cs="Times New Roman"/>
          <w:sz w:val="24"/>
          <w:szCs w:val="24"/>
        </w:rPr>
        <w:t xml:space="preserve">ight’, </w:t>
      </w:r>
      <w:r w:rsidR="005E1C22" w:rsidRPr="00AE141E">
        <w:rPr>
          <w:rFonts w:ascii="Times New Roman" w:hAnsi="Times New Roman" w:cs="Times New Roman"/>
          <w:sz w:val="24"/>
          <w:szCs w:val="24"/>
        </w:rPr>
        <w:t xml:space="preserve">whose </w:t>
      </w:r>
      <w:r w:rsidR="00C23165" w:rsidRPr="00AE141E">
        <w:rPr>
          <w:rFonts w:ascii="Times New Roman" w:hAnsi="Times New Roman" w:cs="Times New Roman"/>
          <w:sz w:val="24"/>
          <w:szCs w:val="24"/>
        </w:rPr>
        <w:t>desire to stamp out the values of the so-called ‘loony left’ in English schools would fundamentally shape ed</w:t>
      </w:r>
      <w:r w:rsidR="00C3536B" w:rsidRPr="00AE141E">
        <w:rPr>
          <w:rFonts w:ascii="Times New Roman" w:hAnsi="Times New Roman" w:cs="Times New Roman"/>
          <w:sz w:val="24"/>
          <w:szCs w:val="24"/>
        </w:rPr>
        <w:t xml:space="preserve">ucational policy under Thatcher </w:t>
      </w:r>
      <w:r w:rsidR="005413F8" w:rsidRPr="00AE141E">
        <w:rPr>
          <w:rFonts w:ascii="Times New Roman" w:hAnsi="Times New Roman" w:cs="Times New Roman"/>
          <w:sz w:val="24"/>
          <w:szCs w:val="24"/>
        </w:rPr>
        <w:t xml:space="preserve">– up to and including the </w:t>
      </w:r>
      <w:r w:rsidR="00AC388A" w:rsidRPr="00AE141E">
        <w:rPr>
          <w:rFonts w:ascii="Times New Roman" w:hAnsi="Times New Roman" w:cs="Times New Roman"/>
          <w:sz w:val="24"/>
          <w:szCs w:val="24"/>
        </w:rPr>
        <w:t xml:space="preserve">introduction of the </w:t>
      </w:r>
      <w:r w:rsidR="005413F8" w:rsidRPr="00AE141E">
        <w:rPr>
          <w:rFonts w:ascii="Times New Roman" w:hAnsi="Times New Roman" w:cs="Times New Roman"/>
          <w:sz w:val="24"/>
          <w:szCs w:val="24"/>
        </w:rPr>
        <w:t xml:space="preserve">first </w:t>
      </w:r>
      <w:r w:rsidR="00AC388A" w:rsidRPr="00AE141E">
        <w:rPr>
          <w:rFonts w:ascii="Times New Roman" w:hAnsi="Times New Roman" w:cs="Times New Roman"/>
          <w:sz w:val="24"/>
          <w:szCs w:val="24"/>
        </w:rPr>
        <w:t>‘N</w:t>
      </w:r>
      <w:r w:rsidR="005413F8" w:rsidRPr="00AE141E">
        <w:rPr>
          <w:rFonts w:ascii="Times New Roman" w:hAnsi="Times New Roman" w:cs="Times New Roman"/>
          <w:sz w:val="24"/>
          <w:szCs w:val="24"/>
        </w:rPr>
        <w:t xml:space="preserve">ational </w:t>
      </w:r>
      <w:r w:rsidR="00AC388A" w:rsidRPr="00AE141E">
        <w:rPr>
          <w:rFonts w:ascii="Times New Roman" w:hAnsi="Times New Roman" w:cs="Times New Roman"/>
          <w:sz w:val="24"/>
          <w:szCs w:val="24"/>
        </w:rPr>
        <w:t>C</w:t>
      </w:r>
      <w:r w:rsidR="005413F8" w:rsidRPr="00AE141E">
        <w:rPr>
          <w:rFonts w:ascii="Times New Roman" w:hAnsi="Times New Roman" w:cs="Times New Roman"/>
          <w:sz w:val="24"/>
          <w:szCs w:val="24"/>
        </w:rPr>
        <w:t>urriculum</w:t>
      </w:r>
      <w:r w:rsidR="00AC388A" w:rsidRPr="00AE141E">
        <w:rPr>
          <w:rFonts w:ascii="Times New Roman" w:hAnsi="Times New Roman" w:cs="Times New Roman"/>
          <w:sz w:val="24"/>
          <w:szCs w:val="24"/>
        </w:rPr>
        <w:t>’ in 1988.</w:t>
      </w:r>
      <w:r w:rsidR="00622F11" w:rsidRPr="00AE141E">
        <w:rPr>
          <w:rFonts w:ascii="Times New Roman" w:hAnsi="Times New Roman" w:cs="Times New Roman"/>
          <w:sz w:val="24"/>
          <w:szCs w:val="24"/>
        </w:rPr>
        <w:t xml:space="preserve"> </w:t>
      </w:r>
      <w:r w:rsidR="00DC4E80">
        <w:rPr>
          <w:rFonts w:ascii="Times New Roman" w:hAnsi="Times New Roman" w:cs="Times New Roman"/>
          <w:sz w:val="24"/>
          <w:szCs w:val="24"/>
        </w:rPr>
        <w:t>As the Chapter 4 will explore, t</w:t>
      </w:r>
      <w:r w:rsidR="007E0AD4" w:rsidRPr="00AE141E">
        <w:rPr>
          <w:rFonts w:ascii="Times New Roman" w:hAnsi="Times New Roman" w:cs="Times New Roman"/>
          <w:sz w:val="24"/>
          <w:szCs w:val="24"/>
        </w:rPr>
        <w:t xml:space="preserve">he New Right’s unabashed attempts to gain </w:t>
      </w:r>
      <w:r w:rsidR="00C0229E" w:rsidRPr="00AE141E">
        <w:rPr>
          <w:rFonts w:ascii="Times New Roman" w:hAnsi="Times New Roman" w:cs="Times New Roman"/>
          <w:sz w:val="24"/>
          <w:szCs w:val="24"/>
        </w:rPr>
        <w:t>cultural hegemony sounded the death knell of the educational experimentation of the previous decades</w:t>
      </w:r>
      <w:r w:rsidR="006C5B0E" w:rsidRPr="00AE141E">
        <w:rPr>
          <w:rFonts w:ascii="Times New Roman" w:hAnsi="Times New Roman" w:cs="Times New Roman"/>
          <w:sz w:val="24"/>
          <w:szCs w:val="24"/>
        </w:rPr>
        <w:t>.</w:t>
      </w:r>
    </w:p>
    <w:p w14:paraId="6E53D9B8" w14:textId="77777777" w:rsidR="007B4181" w:rsidRPr="00AE141E" w:rsidRDefault="007B4181"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br w:type="page"/>
      </w:r>
    </w:p>
    <w:p w14:paraId="07E862D9" w14:textId="4B12D57D" w:rsidR="00DF0C4F" w:rsidRDefault="00764109" w:rsidP="001A12F1">
      <w:pPr>
        <w:pStyle w:val="Heading1"/>
      </w:pPr>
      <w:bookmarkStart w:id="18" w:name="_Toc193726231"/>
      <w:r w:rsidRPr="00DF0C4F">
        <w:lastRenderedPageBreak/>
        <w:t>4.</w:t>
      </w:r>
      <w:r w:rsidR="00E66318" w:rsidRPr="00DF0C4F">
        <w:t xml:space="preserve"> The </w:t>
      </w:r>
      <w:r w:rsidR="00E80733" w:rsidRPr="00DF0C4F">
        <w:t>C</w:t>
      </w:r>
      <w:r w:rsidR="00E66318" w:rsidRPr="00DF0C4F">
        <w:t xml:space="preserve">onservative </w:t>
      </w:r>
      <w:r w:rsidR="00E80733" w:rsidRPr="00DF0C4F">
        <w:t>B</w:t>
      </w:r>
      <w:r w:rsidR="00E66318" w:rsidRPr="00DF0C4F">
        <w:t>acklash and the National Curriculum, 1979-1995</w:t>
      </w:r>
      <w:bookmarkEnd w:id="18"/>
    </w:p>
    <w:p w14:paraId="6A1C6265" w14:textId="77777777" w:rsidR="001A12F1" w:rsidRPr="001A12F1" w:rsidRDefault="001A12F1" w:rsidP="001A12F1"/>
    <w:p w14:paraId="43CC1DC8" w14:textId="71E38A2D" w:rsidR="00F522B5" w:rsidRPr="00AE141E" w:rsidRDefault="00F522B5" w:rsidP="00AE141E">
      <w:pPr>
        <w:spacing w:line="360" w:lineRule="auto"/>
        <w:ind w:left="720"/>
        <w:rPr>
          <w:rFonts w:ascii="Times New Roman" w:hAnsi="Times New Roman" w:cs="Times New Roman"/>
          <w:b/>
          <w:bCs/>
          <w:sz w:val="24"/>
          <w:szCs w:val="24"/>
        </w:rPr>
      </w:pPr>
      <w:r w:rsidRPr="00AE141E">
        <w:rPr>
          <w:rFonts w:ascii="Times New Roman" w:hAnsi="Times New Roman" w:cs="Times New Roman"/>
          <w:i/>
          <w:sz w:val="24"/>
          <w:szCs w:val="24"/>
        </w:rPr>
        <w:t>There were those who would not admit it</w:t>
      </w:r>
      <w:r w:rsidR="00B46A4A">
        <w:rPr>
          <w:rFonts w:ascii="Times New Roman" w:hAnsi="Times New Roman" w:cs="Times New Roman"/>
          <w:i/>
          <w:sz w:val="24"/>
          <w:szCs w:val="24"/>
        </w:rPr>
        <w:t xml:space="preserve"> – </w:t>
      </w:r>
      <w:r w:rsidRPr="00AE141E">
        <w:rPr>
          <w:rFonts w:ascii="Times New Roman" w:hAnsi="Times New Roman" w:cs="Times New Roman"/>
          <w:i/>
          <w:sz w:val="24"/>
          <w:szCs w:val="24"/>
        </w:rPr>
        <w:t>even</w:t>
      </w:r>
      <w:r w:rsidR="00B46A4A">
        <w:rPr>
          <w:rFonts w:ascii="Times New Roman" w:hAnsi="Times New Roman" w:cs="Times New Roman"/>
          <w:i/>
          <w:sz w:val="24"/>
          <w:szCs w:val="24"/>
        </w:rPr>
        <w:t xml:space="preserve"> </w:t>
      </w:r>
      <w:r w:rsidRPr="00AE141E">
        <w:rPr>
          <w:rFonts w:ascii="Times New Roman" w:hAnsi="Times New Roman" w:cs="Times New Roman"/>
          <w:i/>
          <w:sz w:val="24"/>
          <w:szCs w:val="24"/>
        </w:rPr>
        <w:t>perhaps some here today</w:t>
      </w:r>
      <w:r w:rsidR="00B46A4A">
        <w:rPr>
          <w:rFonts w:ascii="Times New Roman" w:hAnsi="Times New Roman" w:cs="Times New Roman"/>
          <w:i/>
          <w:sz w:val="24"/>
          <w:szCs w:val="24"/>
        </w:rPr>
        <w:t xml:space="preserve"> – </w:t>
      </w:r>
      <w:r w:rsidRPr="00AE141E">
        <w:rPr>
          <w:rFonts w:ascii="Times New Roman" w:hAnsi="Times New Roman" w:cs="Times New Roman"/>
          <w:i/>
          <w:sz w:val="24"/>
          <w:szCs w:val="24"/>
        </w:rPr>
        <w:t>people</w:t>
      </w:r>
      <w:r w:rsidR="00B46A4A">
        <w:rPr>
          <w:rFonts w:ascii="Times New Roman" w:hAnsi="Times New Roman" w:cs="Times New Roman"/>
          <w:i/>
          <w:sz w:val="24"/>
          <w:szCs w:val="24"/>
        </w:rPr>
        <w:t xml:space="preserve"> </w:t>
      </w:r>
      <w:r w:rsidRPr="00AE141E">
        <w:rPr>
          <w:rFonts w:ascii="Times New Roman" w:hAnsi="Times New Roman" w:cs="Times New Roman"/>
          <w:i/>
          <w:sz w:val="24"/>
          <w:szCs w:val="24"/>
        </w:rPr>
        <w:t>who would have strenuously denied the suggestion but</w:t>
      </w:r>
      <w:r w:rsidR="009718B1">
        <w:rPr>
          <w:rFonts w:ascii="Times New Roman" w:hAnsi="Times New Roman" w:cs="Times New Roman"/>
          <w:i/>
          <w:sz w:val="24"/>
          <w:szCs w:val="24"/>
        </w:rPr>
        <w:t xml:space="preserve"> – </w:t>
      </w:r>
      <w:r w:rsidRPr="00AE141E">
        <w:rPr>
          <w:rFonts w:ascii="Times New Roman" w:hAnsi="Times New Roman" w:cs="Times New Roman"/>
          <w:i/>
          <w:sz w:val="24"/>
          <w:szCs w:val="24"/>
        </w:rPr>
        <w:t>in</w:t>
      </w:r>
      <w:r w:rsidR="009718B1">
        <w:rPr>
          <w:rFonts w:ascii="Times New Roman" w:hAnsi="Times New Roman" w:cs="Times New Roman"/>
          <w:i/>
          <w:sz w:val="24"/>
          <w:szCs w:val="24"/>
        </w:rPr>
        <w:t xml:space="preserve"> </w:t>
      </w:r>
      <w:r w:rsidRPr="00AE141E">
        <w:rPr>
          <w:rFonts w:ascii="Times New Roman" w:hAnsi="Times New Roman" w:cs="Times New Roman"/>
          <w:i/>
          <w:sz w:val="24"/>
          <w:szCs w:val="24"/>
        </w:rPr>
        <w:t>their heart of hearts</w:t>
      </w:r>
      <w:r w:rsidR="009718B1">
        <w:rPr>
          <w:rFonts w:ascii="Times New Roman" w:hAnsi="Times New Roman" w:cs="Times New Roman"/>
          <w:i/>
          <w:sz w:val="24"/>
          <w:szCs w:val="24"/>
        </w:rPr>
        <w:t xml:space="preserve"> – </w:t>
      </w:r>
      <w:r w:rsidRPr="00AE141E">
        <w:rPr>
          <w:rFonts w:ascii="Times New Roman" w:hAnsi="Times New Roman" w:cs="Times New Roman"/>
          <w:i/>
          <w:sz w:val="24"/>
          <w:szCs w:val="24"/>
        </w:rPr>
        <w:t>they</w:t>
      </w:r>
      <w:r w:rsidR="009718B1">
        <w:rPr>
          <w:rFonts w:ascii="Times New Roman" w:hAnsi="Times New Roman" w:cs="Times New Roman"/>
          <w:i/>
          <w:sz w:val="24"/>
          <w:szCs w:val="24"/>
        </w:rPr>
        <w:t xml:space="preserve"> </w:t>
      </w:r>
      <w:r w:rsidRPr="00AE141E">
        <w:rPr>
          <w:rFonts w:ascii="Times New Roman" w:hAnsi="Times New Roman" w:cs="Times New Roman"/>
          <w:i/>
          <w:sz w:val="24"/>
          <w:szCs w:val="24"/>
        </w:rPr>
        <w:t>too had their secret fears that it was true: that Britain was no longer the nation that had built an Empire and ruled a quarter of the world.</w:t>
      </w:r>
      <w:r w:rsidR="004E4292" w:rsidRPr="00AE141E">
        <w:rPr>
          <w:rFonts w:ascii="Times New Roman" w:hAnsi="Times New Roman" w:cs="Times New Roman"/>
          <w:i/>
          <w:sz w:val="24"/>
          <w:szCs w:val="24"/>
        </w:rPr>
        <w:t xml:space="preserve"> </w:t>
      </w:r>
      <w:r w:rsidRPr="00AE141E">
        <w:rPr>
          <w:rFonts w:ascii="Times New Roman" w:hAnsi="Times New Roman" w:cs="Times New Roman"/>
          <w:i/>
          <w:sz w:val="24"/>
          <w:szCs w:val="24"/>
        </w:rPr>
        <w:t>Well they were wrong</w:t>
      </w:r>
      <w:r w:rsidR="003D3DFF" w:rsidRPr="00AE141E">
        <w:rPr>
          <w:rFonts w:ascii="Times New Roman" w:hAnsi="Times New Roman" w:cs="Times New Roman"/>
          <w:i/>
          <w:sz w:val="24"/>
          <w:szCs w:val="24"/>
        </w:rPr>
        <w:t>.</w:t>
      </w:r>
      <w:r w:rsidR="005139AC" w:rsidRPr="00AE141E">
        <w:rPr>
          <w:rStyle w:val="FootnoteReference"/>
          <w:rFonts w:ascii="Times New Roman" w:hAnsi="Times New Roman" w:cs="Times New Roman"/>
          <w:i/>
          <w:sz w:val="24"/>
          <w:szCs w:val="24"/>
        </w:rPr>
        <w:footnoteReference w:id="677"/>
      </w:r>
      <w:r w:rsidR="00AD72C9" w:rsidRPr="00AE141E">
        <w:rPr>
          <w:rFonts w:ascii="Times New Roman" w:hAnsi="Times New Roman" w:cs="Times New Roman"/>
          <w:sz w:val="24"/>
          <w:szCs w:val="24"/>
        </w:rPr>
        <w:t xml:space="preserve"> </w:t>
      </w:r>
      <w:r w:rsidR="00773252" w:rsidRPr="00AE141E">
        <w:rPr>
          <w:rFonts w:ascii="Times New Roman" w:hAnsi="Times New Roman" w:cs="Times New Roman"/>
          <w:b/>
          <w:bCs/>
          <w:sz w:val="24"/>
          <w:szCs w:val="24"/>
        </w:rPr>
        <w:t>Margaret Thatcher, 1982</w:t>
      </w:r>
      <w:r w:rsidR="003D3DFF" w:rsidRPr="00AE141E">
        <w:rPr>
          <w:rFonts w:ascii="Times New Roman" w:hAnsi="Times New Roman" w:cs="Times New Roman"/>
          <w:b/>
          <w:bCs/>
          <w:sz w:val="24"/>
          <w:szCs w:val="24"/>
        </w:rPr>
        <w:t>.</w:t>
      </w:r>
    </w:p>
    <w:p w14:paraId="57112F22" w14:textId="77777777" w:rsidR="003A17B4" w:rsidRPr="00AE141E" w:rsidRDefault="003A17B4" w:rsidP="00AE141E">
      <w:pPr>
        <w:spacing w:line="360" w:lineRule="auto"/>
        <w:ind w:left="720"/>
        <w:rPr>
          <w:rFonts w:ascii="Times New Roman" w:hAnsi="Times New Roman" w:cs="Times New Roman"/>
          <w:b/>
          <w:bCs/>
          <w:sz w:val="24"/>
          <w:szCs w:val="24"/>
        </w:rPr>
      </w:pPr>
    </w:p>
    <w:p w14:paraId="587ED8D0" w14:textId="04CA1195" w:rsidR="003A17B4" w:rsidRPr="00AE141E" w:rsidRDefault="003A17B4" w:rsidP="00AE141E">
      <w:pPr>
        <w:spacing w:line="360" w:lineRule="auto"/>
        <w:ind w:left="720"/>
        <w:rPr>
          <w:rFonts w:ascii="Times New Roman" w:hAnsi="Times New Roman" w:cs="Times New Roman"/>
          <w:b/>
          <w:bCs/>
          <w:sz w:val="24"/>
          <w:szCs w:val="24"/>
        </w:rPr>
      </w:pPr>
      <w:r w:rsidRPr="00AE141E">
        <w:rPr>
          <w:rFonts w:ascii="Times New Roman" w:hAnsi="Times New Roman" w:cs="Times New Roman"/>
          <w:b/>
          <w:bCs/>
          <w:sz w:val="24"/>
          <w:szCs w:val="24"/>
        </w:rPr>
        <w:t>Chapter Summary</w:t>
      </w:r>
    </w:p>
    <w:p w14:paraId="35815517" w14:textId="0FD118BA" w:rsidR="003A17B4" w:rsidRDefault="003A17B4"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The following chapter encompasses the construction of ideological hegemony by the New Right. It interprets the formulation of the National Curriculum as part of this hegemonic project. I argue that the Education Reform Act and the resulting National Curriculum in History represented a racialised, disciplinary logic. By the mid-1990s, teachers were more likely than ever before to teach the history of non-European countries on their own terms, rather than as extensions of the metropolitan core. However, the space for dissent and challenge within the education system had been dramatically narrowed. The creative autonomy which fed the radical educational experiments of the previous two decades was deliberately and effectively removed.</w:t>
      </w:r>
    </w:p>
    <w:p w14:paraId="3EF21CB6" w14:textId="77777777" w:rsidR="001B3C14" w:rsidRPr="00AE141E" w:rsidRDefault="001B3C14" w:rsidP="00AE141E">
      <w:pPr>
        <w:spacing w:line="360" w:lineRule="auto"/>
        <w:ind w:left="720"/>
        <w:rPr>
          <w:rFonts w:ascii="Times New Roman" w:hAnsi="Times New Roman" w:cs="Times New Roman"/>
          <w:sz w:val="24"/>
          <w:szCs w:val="24"/>
        </w:rPr>
      </w:pPr>
    </w:p>
    <w:p w14:paraId="10EC14B5" w14:textId="59FE1973" w:rsidR="005B7079" w:rsidRPr="004A1BF9" w:rsidRDefault="004A1BF9" w:rsidP="005B7079">
      <w:pPr>
        <w:spacing w:line="360" w:lineRule="auto"/>
        <w:rPr>
          <w:rFonts w:ascii="Times New Roman" w:hAnsi="Times New Roman" w:cs="Times New Roman"/>
          <w:sz w:val="24"/>
          <w:szCs w:val="24"/>
        </w:rPr>
      </w:pPr>
      <w:r w:rsidRPr="004A1BF9">
        <w:rPr>
          <w:rFonts w:ascii="Times New Roman" w:hAnsi="Times New Roman" w:cs="Times New Roman"/>
          <w:sz w:val="24"/>
          <w:szCs w:val="24"/>
        </w:rPr>
        <w:t>The New Right</w:t>
      </w:r>
      <w:r w:rsidR="00060BEB">
        <w:rPr>
          <w:rFonts w:ascii="Times New Roman" w:hAnsi="Times New Roman" w:cs="Times New Roman"/>
          <w:sz w:val="24"/>
          <w:szCs w:val="24"/>
        </w:rPr>
        <w:t xml:space="preserve"> was a political and social movement which </w:t>
      </w:r>
      <w:r w:rsidR="00A954D0">
        <w:rPr>
          <w:rFonts w:ascii="Times New Roman" w:hAnsi="Times New Roman" w:cs="Times New Roman"/>
          <w:sz w:val="24"/>
          <w:szCs w:val="24"/>
        </w:rPr>
        <w:t xml:space="preserve">gathered </w:t>
      </w:r>
      <w:r w:rsidR="00DC2149">
        <w:rPr>
          <w:rFonts w:ascii="Times New Roman" w:hAnsi="Times New Roman" w:cs="Times New Roman"/>
          <w:sz w:val="24"/>
          <w:szCs w:val="24"/>
        </w:rPr>
        <w:t>force</w:t>
      </w:r>
      <w:r w:rsidR="006D63D6">
        <w:rPr>
          <w:rFonts w:ascii="Times New Roman" w:hAnsi="Times New Roman" w:cs="Times New Roman"/>
          <w:sz w:val="24"/>
          <w:szCs w:val="24"/>
        </w:rPr>
        <w:t xml:space="preserve"> </w:t>
      </w:r>
      <w:r w:rsidR="00D731C5">
        <w:rPr>
          <w:rFonts w:ascii="Times New Roman" w:hAnsi="Times New Roman" w:cs="Times New Roman"/>
          <w:sz w:val="24"/>
          <w:szCs w:val="24"/>
        </w:rPr>
        <w:t>from the 1970s onwards.</w:t>
      </w:r>
      <w:r w:rsidR="00C036A5">
        <w:rPr>
          <w:rFonts w:ascii="Times New Roman" w:hAnsi="Times New Roman" w:cs="Times New Roman"/>
          <w:sz w:val="24"/>
          <w:szCs w:val="24"/>
        </w:rPr>
        <w:t xml:space="preserve"> It drew strength from international networks</w:t>
      </w:r>
      <w:r w:rsidR="0006289D">
        <w:rPr>
          <w:rFonts w:ascii="Times New Roman" w:hAnsi="Times New Roman" w:cs="Times New Roman"/>
          <w:sz w:val="24"/>
          <w:szCs w:val="24"/>
        </w:rPr>
        <w:t xml:space="preserve"> </w:t>
      </w:r>
      <w:r w:rsidR="00C036A5">
        <w:rPr>
          <w:rFonts w:ascii="Times New Roman" w:hAnsi="Times New Roman" w:cs="Times New Roman"/>
          <w:sz w:val="24"/>
          <w:szCs w:val="24"/>
        </w:rPr>
        <w:t xml:space="preserve">but </w:t>
      </w:r>
      <w:r w:rsidR="0006289D">
        <w:rPr>
          <w:rFonts w:ascii="Times New Roman" w:hAnsi="Times New Roman" w:cs="Times New Roman"/>
          <w:sz w:val="24"/>
          <w:szCs w:val="24"/>
        </w:rPr>
        <w:t xml:space="preserve">took a nationally distinctive (and distinctively national) form in the British context. </w:t>
      </w:r>
      <w:r w:rsidR="000B0FD7">
        <w:rPr>
          <w:rFonts w:ascii="Times New Roman" w:hAnsi="Times New Roman" w:cs="Times New Roman"/>
          <w:sz w:val="24"/>
          <w:szCs w:val="24"/>
        </w:rPr>
        <w:t>T</w:t>
      </w:r>
      <w:r w:rsidR="007328D2" w:rsidRPr="00AE141E">
        <w:rPr>
          <w:rFonts w:ascii="Times New Roman" w:hAnsi="Times New Roman" w:cs="Times New Roman"/>
          <w:sz w:val="24"/>
          <w:szCs w:val="24"/>
        </w:rPr>
        <w:t xml:space="preserve">he </w:t>
      </w:r>
      <w:r w:rsidR="007328D2">
        <w:rPr>
          <w:rFonts w:ascii="Times New Roman" w:hAnsi="Times New Roman" w:cs="Times New Roman"/>
          <w:sz w:val="24"/>
          <w:szCs w:val="24"/>
        </w:rPr>
        <w:t>movement</w:t>
      </w:r>
      <w:r w:rsidR="007328D2" w:rsidRPr="00AE141E">
        <w:rPr>
          <w:rFonts w:ascii="Times New Roman" w:hAnsi="Times New Roman" w:cs="Times New Roman"/>
          <w:sz w:val="24"/>
          <w:szCs w:val="24"/>
        </w:rPr>
        <w:t xml:space="preserve"> took ideas seriously; it sought nothing less than the construction of a ‘new political language’ and the redefinition of the boundaries of the possible.</w:t>
      </w:r>
      <w:r w:rsidR="007328D2" w:rsidRPr="00AE141E">
        <w:rPr>
          <w:rStyle w:val="FootnoteReference"/>
          <w:rFonts w:ascii="Times New Roman" w:hAnsi="Times New Roman" w:cs="Times New Roman"/>
          <w:sz w:val="24"/>
          <w:szCs w:val="24"/>
        </w:rPr>
        <w:footnoteReference w:id="678"/>
      </w:r>
      <w:r w:rsidR="007328D2" w:rsidRPr="00AE141E">
        <w:rPr>
          <w:rFonts w:ascii="Times New Roman" w:hAnsi="Times New Roman" w:cs="Times New Roman"/>
          <w:sz w:val="24"/>
          <w:szCs w:val="24"/>
        </w:rPr>
        <w:t xml:space="preserve"> As such, it can be considered a hegemonic project.</w:t>
      </w:r>
      <w:r w:rsidR="000B0FD7">
        <w:rPr>
          <w:rFonts w:ascii="Times New Roman" w:hAnsi="Times New Roman" w:cs="Times New Roman"/>
          <w:sz w:val="24"/>
          <w:szCs w:val="24"/>
        </w:rPr>
        <w:t xml:space="preserve"> </w:t>
      </w:r>
      <w:r w:rsidR="005B7079">
        <w:rPr>
          <w:rFonts w:ascii="Times New Roman" w:hAnsi="Times New Roman" w:cs="Times New Roman"/>
          <w:sz w:val="24"/>
          <w:szCs w:val="24"/>
        </w:rPr>
        <w:t xml:space="preserve">As </w:t>
      </w:r>
      <w:r w:rsidR="004563EF">
        <w:rPr>
          <w:rFonts w:ascii="Times New Roman" w:hAnsi="Times New Roman" w:cs="Times New Roman"/>
          <w:sz w:val="24"/>
          <w:szCs w:val="24"/>
        </w:rPr>
        <w:t>Ruth Levitas</w:t>
      </w:r>
      <w:r w:rsidR="005B7079">
        <w:rPr>
          <w:rFonts w:ascii="Times New Roman" w:hAnsi="Times New Roman" w:cs="Times New Roman"/>
          <w:sz w:val="24"/>
          <w:szCs w:val="24"/>
        </w:rPr>
        <w:t xml:space="preserve"> has argued, </w:t>
      </w:r>
      <w:r w:rsidR="00627A7C">
        <w:rPr>
          <w:rFonts w:ascii="Times New Roman" w:hAnsi="Times New Roman" w:cs="Times New Roman"/>
          <w:sz w:val="24"/>
          <w:szCs w:val="24"/>
        </w:rPr>
        <w:t>the New Right was not simply an expression</w:t>
      </w:r>
      <w:r w:rsidR="000631DD">
        <w:rPr>
          <w:rFonts w:ascii="Times New Roman" w:hAnsi="Times New Roman" w:cs="Times New Roman"/>
          <w:sz w:val="24"/>
          <w:szCs w:val="24"/>
        </w:rPr>
        <w:t xml:space="preserve"> of</w:t>
      </w:r>
      <w:r w:rsidR="00313326">
        <w:rPr>
          <w:rFonts w:ascii="Times New Roman" w:hAnsi="Times New Roman" w:cs="Times New Roman"/>
          <w:sz w:val="24"/>
          <w:szCs w:val="24"/>
        </w:rPr>
        <w:t xml:space="preserve"> the abrupt a</w:t>
      </w:r>
      <w:r w:rsidR="0069507D">
        <w:rPr>
          <w:rFonts w:ascii="Times New Roman" w:hAnsi="Times New Roman" w:cs="Times New Roman"/>
          <w:sz w:val="24"/>
          <w:szCs w:val="24"/>
        </w:rPr>
        <w:t>scend</w:t>
      </w:r>
      <w:r w:rsidR="006A7D98">
        <w:rPr>
          <w:rFonts w:ascii="Times New Roman" w:hAnsi="Times New Roman" w:cs="Times New Roman"/>
          <w:sz w:val="24"/>
          <w:szCs w:val="24"/>
        </w:rPr>
        <w:t>a</w:t>
      </w:r>
      <w:r w:rsidR="0069507D">
        <w:rPr>
          <w:rFonts w:ascii="Times New Roman" w:hAnsi="Times New Roman" w:cs="Times New Roman"/>
          <w:sz w:val="24"/>
          <w:szCs w:val="24"/>
        </w:rPr>
        <w:t>ncy</w:t>
      </w:r>
      <w:r w:rsidR="00627A7C">
        <w:rPr>
          <w:rFonts w:ascii="Times New Roman" w:hAnsi="Times New Roman" w:cs="Times New Roman"/>
          <w:sz w:val="24"/>
          <w:szCs w:val="24"/>
        </w:rPr>
        <w:t xml:space="preserve"> of </w:t>
      </w:r>
      <w:r w:rsidR="00627A7C">
        <w:rPr>
          <w:rFonts w:ascii="Times New Roman" w:hAnsi="Times New Roman" w:cs="Times New Roman"/>
          <w:sz w:val="24"/>
          <w:szCs w:val="24"/>
        </w:rPr>
        <w:lastRenderedPageBreak/>
        <w:t>a traditional conservative ideology</w:t>
      </w:r>
      <w:r w:rsidR="0069507D">
        <w:rPr>
          <w:rFonts w:ascii="Times New Roman" w:hAnsi="Times New Roman" w:cs="Times New Roman"/>
          <w:sz w:val="24"/>
          <w:szCs w:val="24"/>
        </w:rPr>
        <w:t>.</w:t>
      </w:r>
      <w:r w:rsidR="004563EF">
        <w:rPr>
          <w:rStyle w:val="FootnoteReference"/>
          <w:rFonts w:ascii="Times New Roman" w:hAnsi="Times New Roman" w:cs="Times New Roman"/>
          <w:sz w:val="24"/>
          <w:szCs w:val="24"/>
        </w:rPr>
        <w:footnoteReference w:id="679"/>
      </w:r>
      <w:r w:rsidR="00E7113E">
        <w:rPr>
          <w:rFonts w:ascii="Times New Roman" w:hAnsi="Times New Roman" w:cs="Times New Roman"/>
          <w:sz w:val="24"/>
          <w:szCs w:val="24"/>
        </w:rPr>
        <w:t xml:space="preserve"> </w:t>
      </w:r>
      <w:r w:rsidR="00C43689">
        <w:rPr>
          <w:rFonts w:ascii="Times New Roman" w:hAnsi="Times New Roman" w:cs="Times New Roman"/>
          <w:sz w:val="24"/>
          <w:szCs w:val="24"/>
        </w:rPr>
        <w:t>Novel approaches to state and society were generated,</w:t>
      </w:r>
      <w:r w:rsidR="00DB3F67">
        <w:rPr>
          <w:rFonts w:ascii="Times New Roman" w:hAnsi="Times New Roman" w:cs="Times New Roman"/>
          <w:sz w:val="24"/>
          <w:szCs w:val="24"/>
        </w:rPr>
        <w:t xml:space="preserve"> while old</w:t>
      </w:r>
      <w:r w:rsidR="00E7113E">
        <w:rPr>
          <w:rFonts w:ascii="Times New Roman" w:hAnsi="Times New Roman" w:cs="Times New Roman"/>
          <w:sz w:val="24"/>
          <w:szCs w:val="24"/>
        </w:rPr>
        <w:t xml:space="preserve"> </w:t>
      </w:r>
      <w:r w:rsidR="00C43689">
        <w:rPr>
          <w:rFonts w:ascii="Times New Roman" w:hAnsi="Times New Roman" w:cs="Times New Roman"/>
          <w:sz w:val="24"/>
          <w:szCs w:val="24"/>
        </w:rPr>
        <w:t>ideas</w:t>
      </w:r>
      <w:r w:rsidR="00EE09BA">
        <w:rPr>
          <w:rFonts w:ascii="Times New Roman" w:hAnsi="Times New Roman" w:cs="Times New Roman"/>
          <w:sz w:val="24"/>
          <w:szCs w:val="24"/>
        </w:rPr>
        <w:t xml:space="preserve"> were</w:t>
      </w:r>
      <w:r w:rsidR="00301415">
        <w:rPr>
          <w:rFonts w:ascii="Times New Roman" w:hAnsi="Times New Roman" w:cs="Times New Roman"/>
          <w:sz w:val="24"/>
          <w:szCs w:val="24"/>
        </w:rPr>
        <w:t xml:space="preserve"> </w:t>
      </w:r>
      <w:r w:rsidR="00EE09BA">
        <w:rPr>
          <w:rFonts w:ascii="Times New Roman" w:hAnsi="Times New Roman" w:cs="Times New Roman"/>
          <w:sz w:val="24"/>
          <w:szCs w:val="24"/>
        </w:rPr>
        <w:t>transformed and</w:t>
      </w:r>
      <w:r w:rsidR="00E7113E">
        <w:rPr>
          <w:rFonts w:ascii="Times New Roman" w:hAnsi="Times New Roman" w:cs="Times New Roman"/>
          <w:sz w:val="24"/>
          <w:szCs w:val="24"/>
        </w:rPr>
        <w:t xml:space="preserve"> </w:t>
      </w:r>
      <w:r w:rsidR="00C43689">
        <w:rPr>
          <w:rFonts w:ascii="Times New Roman" w:hAnsi="Times New Roman" w:cs="Times New Roman"/>
          <w:sz w:val="24"/>
          <w:szCs w:val="24"/>
        </w:rPr>
        <w:t>restructured</w:t>
      </w:r>
      <w:r w:rsidR="00DB3F67">
        <w:rPr>
          <w:rFonts w:ascii="Times New Roman" w:hAnsi="Times New Roman" w:cs="Times New Roman"/>
          <w:sz w:val="24"/>
          <w:szCs w:val="24"/>
        </w:rPr>
        <w:t xml:space="preserve">. </w:t>
      </w:r>
      <w:r w:rsidR="002B3E99">
        <w:rPr>
          <w:rFonts w:ascii="Times New Roman" w:hAnsi="Times New Roman" w:cs="Times New Roman"/>
          <w:sz w:val="24"/>
          <w:szCs w:val="24"/>
        </w:rPr>
        <w:t xml:space="preserve">A </w:t>
      </w:r>
      <w:r w:rsidR="00E36BA7">
        <w:rPr>
          <w:rFonts w:ascii="Times New Roman" w:hAnsi="Times New Roman" w:cs="Times New Roman"/>
          <w:sz w:val="24"/>
          <w:szCs w:val="24"/>
        </w:rPr>
        <w:t>potent ‘</w:t>
      </w:r>
      <w:r w:rsidR="002B3E99">
        <w:rPr>
          <w:rFonts w:ascii="Times New Roman" w:hAnsi="Times New Roman" w:cs="Times New Roman"/>
          <w:sz w:val="24"/>
          <w:szCs w:val="24"/>
        </w:rPr>
        <w:t xml:space="preserve">ideological synthesis’ married the principles of </w:t>
      </w:r>
      <w:r w:rsidR="0015205F">
        <w:rPr>
          <w:rFonts w:ascii="Times New Roman" w:hAnsi="Times New Roman" w:cs="Times New Roman"/>
          <w:sz w:val="24"/>
          <w:szCs w:val="24"/>
        </w:rPr>
        <w:t>neoliberalism and ‘authoritarian conservatism’</w:t>
      </w:r>
      <w:r w:rsidR="002B3E99">
        <w:rPr>
          <w:rFonts w:ascii="Times New Roman" w:hAnsi="Times New Roman" w:cs="Times New Roman"/>
          <w:sz w:val="24"/>
          <w:szCs w:val="24"/>
        </w:rPr>
        <w:t xml:space="preserve">. As we will see, </w:t>
      </w:r>
      <w:r w:rsidR="00E36BA7">
        <w:rPr>
          <w:rFonts w:ascii="Times New Roman" w:hAnsi="Times New Roman" w:cs="Times New Roman"/>
          <w:sz w:val="24"/>
          <w:szCs w:val="24"/>
        </w:rPr>
        <w:t xml:space="preserve">these principles made strange and </w:t>
      </w:r>
      <w:r w:rsidR="00EC6241">
        <w:rPr>
          <w:rFonts w:ascii="Times New Roman" w:hAnsi="Times New Roman" w:cs="Times New Roman"/>
          <w:sz w:val="24"/>
          <w:szCs w:val="24"/>
        </w:rPr>
        <w:t>potentially hostile</w:t>
      </w:r>
      <w:r w:rsidR="005A035C">
        <w:rPr>
          <w:rFonts w:ascii="Times New Roman" w:hAnsi="Times New Roman" w:cs="Times New Roman"/>
          <w:sz w:val="24"/>
          <w:szCs w:val="24"/>
        </w:rPr>
        <w:t xml:space="preserve"> bedfellows. </w:t>
      </w:r>
      <w:r w:rsidR="00BE30F9">
        <w:rPr>
          <w:rFonts w:ascii="Times New Roman" w:hAnsi="Times New Roman" w:cs="Times New Roman"/>
          <w:sz w:val="24"/>
          <w:szCs w:val="24"/>
        </w:rPr>
        <w:t xml:space="preserve">The conservative </w:t>
      </w:r>
      <w:r w:rsidR="004F29D2">
        <w:rPr>
          <w:rFonts w:ascii="Times New Roman" w:hAnsi="Times New Roman" w:cs="Times New Roman"/>
          <w:sz w:val="24"/>
          <w:szCs w:val="24"/>
        </w:rPr>
        <w:t xml:space="preserve">stress on historical continuity, and its </w:t>
      </w:r>
      <w:r w:rsidR="00BE30F9">
        <w:rPr>
          <w:rFonts w:ascii="Times New Roman" w:hAnsi="Times New Roman" w:cs="Times New Roman"/>
          <w:sz w:val="24"/>
          <w:szCs w:val="24"/>
        </w:rPr>
        <w:t xml:space="preserve">impulse towards the resurrection of </w:t>
      </w:r>
      <w:r w:rsidR="004F29D2">
        <w:rPr>
          <w:rFonts w:ascii="Times New Roman" w:hAnsi="Times New Roman" w:cs="Times New Roman"/>
          <w:sz w:val="24"/>
          <w:szCs w:val="24"/>
        </w:rPr>
        <w:t xml:space="preserve">a lost ‘golden age’, </w:t>
      </w:r>
      <w:r w:rsidR="0039260D">
        <w:rPr>
          <w:rFonts w:ascii="Times New Roman" w:hAnsi="Times New Roman" w:cs="Times New Roman"/>
          <w:sz w:val="24"/>
          <w:szCs w:val="24"/>
        </w:rPr>
        <w:t>sometimes appear</w:t>
      </w:r>
      <w:r w:rsidR="00AA329F">
        <w:rPr>
          <w:rFonts w:ascii="Times New Roman" w:hAnsi="Times New Roman" w:cs="Times New Roman"/>
          <w:sz w:val="24"/>
          <w:szCs w:val="24"/>
        </w:rPr>
        <w:t>ed</w:t>
      </w:r>
      <w:r w:rsidR="0039260D">
        <w:rPr>
          <w:rFonts w:ascii="Times New Roman" w:hAnsi="Times New Roman" w:cs="Times New Roman"/>
          <w:sz w:val="24"/>
          <w:szCs w:val="24"/>
        </w:rPr>
        <w:t xml:space="preserve"> as</w:t>
      </w:r>
      <w:r w:rsidR="00AA329F">
        <w:rPr>
          <w:rFonts w:ascii="Times New Roman" w:hAnsi="Times New Roman" w:cs="Times New Roman"/>
          <w:sz w:val="24"/>
          <w:szCs w:val="24"/>
        </w:rPr>
        <w:t xml:space="preserve"> a</w:t>
      </w:r>
      <w:r w:rsidR="0039260D">
        <w:rPr>
          <w:rFonts w:ascii="Times New Roman" w:hAnsi="Times New Roman" w:cs="Times New Roman"/>
          <w:sz w:val="24"/>
          <w:szCs w:val="24"/>
        </w:rPr>
        <w:t xml:space="preserve"> cover </w:t>
      </w:r>
      <w:r w:rsidR="00AA329F">
        <w:rPr>
          <w:rFonts w:ascii="Times New Roman" w:hAnsi="Times New Roman" w:cs="Times New Roman"/>
          <w:sz w:val="24"/>
          <w:szCs w:val="24"/>
        </w:rPr>
        <w:t>or justification</w:t>
      </w:r>
      <w:r w:rsidR="00E54800">
        <w:rPr>
          <w:rFonts w:ascii="Times New Roman" w:hAnsi="Times New Roman" w:cs="Times New Roman"/>
          <w:sz w:val="24"/>
          <w:szCs w:val="24"/>
        </w:rPr>
        <w:t xml:space="preserve"> for the economic and social disjuncture </w:t>
      </w:r>
      <w:r w:rsidR="00903B75">
        <w:rPr>
          <w:rFonts w:ascii="Times New Roman" w:hAnsi="Times New Roman" w:cs="Times New Roman"/>
          <w:sz w:val="24"/>
          <w:szCs w:val="24"/>
        </w:rPr>
        <w:t>enacted</w:t>
      </w:r>
      <w:r w:rsidR="00E54800">
        <w:rPr>
          <w:rFonts w:ascii="Times New Roman" w:hAnsi="Times New Roman" w:cs="Times New Roman"/>
          <w:sz w:val="24"/>
          <w:szCs w:val="24"/>
        </w:rPr>
        <w:t xml:space="preserve"> by neoliberalism. </w:t>
      </w:r>
      <w:r w:rsidR="005A035C">
        <w:rPr>
          <w:rFonts w:ascii="Times New Roman" w:hAnsi="Times New Roman" w:cs="Times New Roman"/>
          <w:sz w:val="24"/>
          <w:szCs w:val="24"/>
        </w:rPr>
        <w:t xml:space="preserve">However, </w:t>
      </w:r>
      <w:r w:rsidR="006963BF">
        <w:rPr>
          <w:rFonts w:ascii="Times New Roman" w:hAnsi="Times New Roman" w:cs="Times New Roman"/>
          <w:sz w:val="24"/>
          <w:szCs w:val="24"/>
        </w:rPr>
        <w:t xml:space="preserve">the New Right was united by </w:t>
      </w:r>
      <w:r w:rsidR="00933034">
        <w:rPr>
          <w:rFonts w:ascii="Times New Roman" w:hAnsi="Times New Roman" w:cs="Times New Roman"/>
          <w:sz w:val="24"/>
          <w:szCs w:val="24"/>
        </w:rPr>
        <w:t xml:space="preserve">ambitious plans </w:t>
      </w:r>
      <w:r w:rsidR="00044525">
        <w:rPr>
          <w:rFonts w:ascii="Times New Roman" w:hAnsi="Times New Roman" w:cs="Times New Roman"/>
          <w:sz w:val="24"/>
          <w:szCs w:val="24"/>
        </w:rPr>
        <w:t xml:space="preserve">to slough off the skin of the post-war ideological consensus and to restore </w:t>
      </w:r>
      <w:r w:rsidR="00773A59">
        <w:rPr>
          <w:rFonts w:ascii="Times New Roman" w:hAnsi="Times New Roman" w:cs="Times New Roman"/>
          <w:sz w:val="24"/>
          <w:szCs w:val="24"/>
        </w:rPr>
        <w:t>a vanished national glory.</w:t>
      </w:r>
      <w:r w:rsidR="006476F0">
        <w:rPr>
          <w:rFonts w:ascii="Times New Roman" w:hAnsi="Times New Roman" w:cs="Times New Roman"/>
          <w:sz w:val="24"/>
          <w:szCs w:val="24"/>
        </w:rPr>
        <w:t xml:space="preserve"> </w:t>
      </w:r>
      <w:r w:rsidR="007328D2">
        <w:rPr>
          <w:rFonts w:ascii="Times New Roman" w:hAnsi="Times New Roman" w:cs="Times New Roman"/>
          <w:sz w:val="24"/>
          <w:szCs w:val="24"/>
        </w:rPr>
        <w:t>H</w:t>
      </w:r>
      <w:r w:rsidR="006476F0">
        <w:rPr>
          <w:rFonts w:ascii="Times New Roman" w:hAnsi="Times New Roman" w:cs="Times New Roman"/>
          <w:sz w:val="24"/>
          <w:szCs w:val="24"/>
        </w:rPr>
        <w:t>istory and education were both vitally important to this project.</w:t>
      </w:r>
    </w:p>
    <w:p w14:paraId="544C5145" w14:textId="226F4FA1" w:rsidR="009A0EB1" w:rsidRDefault="00C321C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To quote Stuart Hall</w:t>
      </w:r>
      <w:r w:rsidR="00E66318" w:rsidRPr="00AE141E">
        <w:rPr>
          <w:rFonts w:ascii="Times New Roman" w:hAnsi="Times New Roman" w:cs="Times New Roman"/>
          <w:sz w:val="24"/>
          <w:szCs w:val="24"/>
        </w:rPr>
        <w:t xml:space="preserve">, the British </w:t>
      </w:r>
      <w:r w:rsidR="007231D6">
        <w:rPr>
          <w:rFonts w:ascii="Times New Roman" w:hAnsi="Times New Roman" w:cs="Times New Roman"/>
          <w:sz w:val="24"/>
          <w:szCs w:val="24"/>
        </w:rPr>
        <w:t>New Right</w:t>
      </w:r>
      <w:r w:rsidR="00E66318" w:rsidRPr="00AE141E">
        <w:rPr>
          <w:rFonts w:ascii="Times New Roman" w:hAnsi="Times New Roman" w:cs="Times New Roman"/>
          <w:sz w:val="24"/>
          <w:szCs w:val="24"/>
        </w:rPr>
        <w:t xml:space="preserve"> ‘won territory without having to win power’.</w:t>
      </w:r>
      <w:r w:rsidR="0017370C" w:rsidRPr="00AE141E">
        <w:rPr>
          <w:rStyle w:val="FootnoteReference"/>
          <w:rFonts w:ascii="Times New Roman" w:hAnsi="Times New Roman" w:cs="Times New Roman"/>
          <w:sz w:val="24"/>
          <w:szCs w:val="24"/>
        </w:rPr>
        <w:footnoteReference w:id="680"/>
      </w:r>
      <w:r w:rsidR="001E703E">
        <w:rPr>
          <w:rFonts w:ascii="Times New Roman" w:hAnsi="Times New Roman" w:cs="Times New Roman"/>
          <w:sz w:val="24"/>
          <w:szCs w:val="24"/>
        </w:rPr>
        <w:t xml:space="preserve"> This was particularly true of the educational field.</w:t>
      </w:r>
      <w:r w:rsidR="00E66318" w:rsidRPr="00AE141E">
        <w:rPr>
          <w:rFonts w:ascii="Times New Roman" w:hAnsi="Times New Roman" w:cs="Times New Roman"/>
          <w:sz w:val="24"/>
          <w:szCs w:val="24"/>
        </w:rPr>
        <w:t xml:space="preserve"> Long before Margaret Thatcher’s Conservative Party was delivered into power by the 1979 general election, the seeds </w:t>
      </w:r>
      <w:r w:rsidR="00F8778D">
        <w:rPr>
          <w:rFonts w:ascii="Times New Roman" w:hAnsi="Times New Roman" w:cs="Times New Roman"/>
          <w:sz w:val="24"/>
          <w:szCs w:val="24"/>
        </w:rPr>
        <w:t>of</w:t>
      </w:r>
      <w:r w:rsidR="00E66318" w:rsidRPr="00AE141E">
        <w:rPr>
          <w:rFonts w:ascii="Times New Roman" w:hAnsi="Times New Roman" w:cs="Times New Roman"/>
          <w:sz w:val="24"/>
          <w:szCs w:val="24"/>
        </w:rPr>
        <w:t xml:space="preserve"> moral panic over ‘falling standards’ were sown. </w:t>
      </w:r>
      <w:r w:rsidR="00940185">
        <w:rPr>
          <w:rFonts w:ascii="Times New Roman" w:hAnsi="Times New Roman" w:cs="Times New Roman"/>
          <w:sz w:val="24"/>
          <w:szCs w:val="24"/>
        </w:rPr>
        <w:t>C</w:t>
      </w:r>
      <w:r w:rsidR="00E66318" w:rsidRPr="00AE141E">
        <w:rPr>
          <w:rFonts w:ascii="Times New Roman" w:hAnsi="Times New Roman" w:cs="Times New Roman"/>
          <w:sz w:val="24"/>
          <w:szCs w:val="24"/>
        </w:rPr>
        <w:t>omprehensivisation and child centred learning</w:t>
      </w:r>
      <w:r w:rsidR="00BA3BE9">
        <w:rPr>
          <w:rFonts w:ascii="Times New Roman" w:hAnsi="Times New Roman" w:cs="Times New Roman"/>
          <w:sz w:val="24"/>
          <w:szCs w:val="24"/>
        </w:rPr>
        <w:t xml:space="preserve"> </w:t>
      </w:r>
      <w:r w:rsidR="00940185">
        <w:rPr>
          <w:rFonts w:ascii="Times New Roman" w:hAnsi="Times New Roman" w:cs="Times New Roman"/>
          <w:sz w:val="24"/>
          <w:szCs w:val="24"/>
        </w:rPr>
        <w:t>may have been</w:t>
      </w:r>
      <w:r w:rsidR="00E66318" w:rsidRPr="00AE141E">
        <w:rPr>
          <w:rFonts w:ascii="Times New Roman" w:hAnsi="Times New Roman" w:cs="Times New Roman"/>
          <w:sz w:val="24"/>
          <w:szCs w:val="24"/>
        </w:rPr>
        <w:t xml:space="preserve"> the hallmarks of the preceding decade</w:t>
      </w:r>
      <w:r w:rsidR="004D453B">
        <w:rPr>
          <w:rFonts w:ascii="Times New Roman" w:hAnsi="Times New Roman" w:cs="Times New Roman"/>
          <w:sz w:val="24"/>
          <w:szCs w:val="24"/>
        </w:rPr>
        <w:t xml:space="preserve"> in education</w:t>
      </w:r>
      <w:r w:rsidR="00E66318" w:rsidRPr="00AE141E">
        <w:rPr>
          <w:rFonts w:ascii="Times New Roman" w:hAnsi="Times New Roman" w:cs="Times New Roman"/>
          <w:sz w:val="24"/>
          <w:szCs w:val="24"/>
        </w:rPr>
        <w:t>,</w:t>
      </w:r>
      <w:r w:rsidR="00940185">
        <w:rPr>
          <w:rFonts w:ascii="Times New Roman" w:hAnsi="Times New Roman" w:cs="Times New Roman"/>
          <w:sz w:val="24"/>
          <w:szCs w:val="24"/>
        </w:rPr>
        <w:t xml:space="preserve"> but</w:t>
      </w:r>
      <w:r w:rsidR="00E66318" w:rsidRPr="00AE141E">
        <w:rPr>
          <w:rFonts w:ascii="Times New Roman" w:hAnsi="Times New Roman" w:cs="Times New Roman"/>
          <w:sz w:val="24"/>
          <w:szCs w:val="24"/>
        </w:rPr>
        <w:t xml:space="preserve"> they were not without their critics. The </w:t>
      </w:r>
      <w:r w:rsidR="00E66318" w:rsidRPr="00AE141E">
        <w:rPr>
          <w:rFonts w:ascii="Times New Roman" w:hAnsi="Times New Roman" w:cs="Times New Roman"/>
          <w:i/>
          <w:sz w:val="24"/>
          <w:szCs w:val="24"/>
        </w:rPr>
        <w:t>Black Papers</w:t>
      </w:r>
      <w:r w:rsidR="007A20BD">
        <w:rPr>
          <w:rFonts w:ascii="Times New Roman" w:hAnsi="Times New Roman" w:cs="Times New Roman"/>
          <w:i/>
          <w:sz w:val="24"/>
          <w:szCs w:val="24"/>
        </w:rPr>
        <w:t>,</w:t>
      </w:r>
      <w:r w:rsidR="00F52DA6">
        <w:rPr>
          <w:rFonts w:ascii="Times New Roman" w:hAnsi="Times New Roman" w:cs="Times New Roman"/>
          <w:i/>
          <w:sz w:val="24"/>
          <w:szCs w:val="24"/>
        </w:rPr>
        <w:t xml:space="preserve"> </w:t>
      </w:r>
      <w:r w:rsidR="00F52DA6">
        <w:rPr>
          <w:rFonts w:ascii="Times New Roman" w:hAnsi="Times New Roman" w:cs="Times New Roman"/>
          <w:iCs/>
          <w:sz w:val="24"/>
          <w:szCs w:val="24"/>
        </w:rPr>
        <w:t>referenced at the start of Chapter 2,</w:t>
      </w:r>
      <w:r w:rsidR="007A20BD">
        <w:rPr>
          <w:rFonts w:ascii="Times New Roman" w:hAnsi="Times New Roman" w:cs="Times New Roman"/>
          <w:i/>
          <w:sz w:val="24"/>
          <w:szCs w:val="24"/>
        </w:rPr>
        <w:t xml:space="preserve"> </w:t>
      </w:r>
      <w:r w:rsidR="00E66318" w:rsidRPr="00AE141E">
        <w:rPr>
          <w:rFonts w:ascii="Times New Roman" w:hAnsi="Times New Roman" w:cs="Times New Roman"/>
          <w:sz w:val="24"/>
          <w:szCs w:val="24"/>
        </w:rPr>
        <w:t xml:space="preserve">were merely the first volley in a prolonged conservative attack on progressivism.  </w:t>
      </w:r>
    </w:p>
    <w:p w14:paraId="3A144A56" w14:textId="36A62286" w:rsidR="00E66318" w:rsidRPr="00AE141E" w:rsidRDefault="00971B93" w:rsidP="00AE141E">
      <w:pPr>
        <w:spacing w:line="360" w:lineRule="auto"/>
        <w:rPr>
          <w:rFonts w:ascii="Times New Roman" w:hAnsi="Times New Roman" w:cs="Times New Roman"/>
          <w:sz w:val="24"/>
          <w:szCs w:val="24"/>
        </w:rPr>
      </w:pPr>
      <w:r>
        <w:rPr>
          <w:rFonts w:ascii="Times New Roman" w:hAnsi="Times New Roman" w:cs="Times New Roman"/>
          <w:sz w:val="24"/>
          <w:szCs w:val="24"/>
        </w:rPr>
        <w:t>The debate</w:t>
      </w:r>
      <w:r w:rsidR="00E66318" w:rsidRPr="00AE141E">
        <w:rPr>
          <w:rFonts w:ascii="Times New Roman" w:hAnsi="Times New Roman" w:cs="Times New Roman"/>
          <w:sz w:val="24"/>
          <w:szCs w:val="24"/>
        </w:rPr>
        <w:t xml:space="preserve"> over educational standards drew </w:t>
      </w:r>
      <w:r w:rsidR="005C440B">
        <w:rPr>
          <w:rFonts w:ascii="Times New Roman" w:hAnsi="Times New Roman" w:cs="Times New Roman"/>
          <w:sz w:val="24"/>
          <w:szCs w:val="24"/>
        </w:rPr>
        <w:t xml:space="preserve">on </w:t>
      </w:r>
      <w:r w:rsidR="00E66318" w:rsidRPr="00AE141E">
        <w:rPr>
          <w:rFonts w:ascii="Times New Roman" w:hAnsi="Times New Roman" w:cs="Times New Roman"/>
          <w:sz w:val="24"/>
          <w:szCs w:val="24"/>
        </w:rPr>
        <w:t>working-class parents</w:t>
      </w:r>
      <w:r w:rsidR="005C440B">
        <w:rPr>
          <w:rFonts w:ascii="Times New Roman" w:hAnsi="Times New Roman" w:cs="Times New Roman"/>
          <w:sz w:val="24"/>
          <w:szCs w:val="24"/>
        </w:rPr>
        <w:t>’ desire</w:t>
      </w:r>
      <w:r w:rsidR="00E66318" w:rsidRPr="00AE141E">
        <w:rPr>
          <w:rFonts w:ascii="Times New Roman" w:hAnsi="Times New Roman" w:cs="Times New Roman"/>
          <w:sz w:val="24"/>
          <w:szCs w:val="24"/>
        </w:rPr>
        <w:t xml:space="preserve"> to guarantee a stable future for their children in a competitive job market.</w:t>
      </w:r>
      <w:r w:rsidR="003903D7" w:rsidRPr="00AE141E">
        <w:rPr>
          <w:rFonts w:ascii="Times New Roman" w:hAnsi="Times New Roman" w:cs="Times New Roman"/>
          <w:sz w:val="24"/>
          <w:szCs w:val="24"/>
        </w:rPr>
        <w:t xml:space="preserve"> </w:t>
      </w:r>
      <w:r w:rsidR="009378DF" w:rsidRPr="00AE141E">
        <w:rPr>
          <w:rFonts w:ascii="Times New Roman" w:hAnsi="Times New Roman" w:cs="Times New Roman"/>
          <w:sz w:val="24"/>
          <w:szCs w:val="24"/>
        </w:rPr>
        <w:t>Popular experience</w:t>
      </w:r>
      <w:r w:rsidR="00E66318" w:rsidRPr="00AE141E">
        <w:rPr>
          <w:rFonts w:ascii="Times New Roman" w:hAnsi="Times New Roman" w:cs="Times New Roman"/>
          <w:sz w:val="24"/>
          <w:szCs w:val="24"/>
        </w:rPr>
        <w:t xml:space="preserve"> suggested that comprehensivisation had failed to substantively redress class-based educational disadvantage. The resulting anger opened space for the right to seek to redirect working-class aspiration towards a more traditional education, characterised by ‘programmes of discipline’ and ‘relevance to industrial experience’.</w:t>
      </w:r>
      <w:r w:rsidR="003903D7">
        <w:rPr>
          <w:rStyle w:val="FootnoteReference"/>
          <w:rFonts w:ascii="Times New Roman" w:hAnsi="Times New Roman" w:cs="Times New Roman"/>
          <w:sz w:val="24"/>
          <w:szCs w:val="24"/>
        </w:rPr>
        <w:footnoteReference w:id="681"/>
      </w:r>
      <w:r w:rsidR="00E66318" w:rsidRPr="00AE141E">
        <w:rPr>
          <w:rFonts w:ascii="Times New Roman" w:hAnsi="Times New Roman" w:cs="Times New Roman"/>
          <w:sz w:val="24"/>
          <w:szCs w:val="24"/>
        </w:rPr>
        <w:t xml:space="preserve"> When James Callaghan initiated the ‘Great Debate’ on education with his 1976</w:t>
      </w:r>
      <w:r w:rsidR="009378DF" w:rsidRPr="00AE141E">
        <w:rPr>
          <w:rFonts w:ascii="Times New Roman" w:hAnsi="Times New Roman" w:cs="Times New Roman"/>
          <w:sz w:val="24"/>
          <w:szCs w:val="24"/>
        </w:rPr>
        <w:t xml:space="preserve"> ‘Ruskin Speech’</w:t>
      </w:r>
      <w:r w:rsidR="00E66318" w:rsidRPr="00AE141E">
        <w:rPr>
          <w:rFonts w:ascii="Times New Roman" w:hAnsi="Times New Roman" w:cs="Times New Roman"/>
          <w:sz w:val="24"/>
          <w:szCs w:val="24"/>
        </w:rPr>
        <w:t xml:space="preserve">, he deployed a language of attainment, adaptation to the needs of the marketplace, and ‘standards’ (a word mentioned no fewer than eleven </w:t>
      </w:r>
      <w:r w:rsidR="00E66318" w:rsidRPr="00AE141E">
        <w:rPr>
          <w:rFonts w:ascii="Times New Roman" w:hAnsi="Times New Roman" w:cs="Times New Roman"/>
          <w:sz w:val="24"/>
          <w:szCs w:val="24"/>
        </w:rPr>
        <w:lastRenderedPageBreak/>
        <w:t>times).</w:t>
      </w:r>
      <w:r w:rsidR="009378DF" w:rsidRPr="00AE141E">
        <w:rPr>
          <w:rStyle w:val="FootnoteReference"/>
          <w:rFonts w:ascii="Times New Roman" w:hAnsi="Times New Roman" w:cs="Times New Roman"/>
          <w:sz w:val="24"/>
          <w:szCs w:val="24"/>
        </w:rPr>
        <w:footnoteReference w:id="682"/>
      </w:r>
      <w:r w:rsidR="00E66318" w:rsidRPr="00AE141E">
        <w:rPr>
          <w:rFonts w:ascii="Times New Roman" w:hAnsi="Times New Roman" w:cs="Times New Roman"/>
          <w:sz w:val="24"/>
          <w:szCs w:val="24"/>
        </w:rPr>
        <w:t xml:space="preserve"> His </w:t>
      </w:r>
      <w:r w:rsidR="009378DF" w:rsidRPr="00AE141E">
        <w:rPr>
          <w:rFonts w:ascii="Times New Roman" w:hAnsi="Times New Roman" w:cs="Times New Roman"/>
          <w:sz w:val="24"/>
          <w:szCs w:val="24"/>
        </w:rPr>
        <w:t>intervention</w:t>
      </w:r>
      <w:r w:rsidR="00E66318" w:rsidRPr="00AE141E">
        <w:rPr>
          <w:rFonts w:ascii="Times New Roman" w:hAnsi="Times New Roman" w:cs="Times New Roman"/>
          <w:sz w:val="24"/>
          <w:szCs w:val="24"/>
        </w:rPr>
        <w:t xml:space="preserve"> was correctly perceived as evidence of the right’s success in defining the political agenda</w:t>
      </w:r>
      <w:r w:rsidR="000D5F1D" w:rsidRPr="00AE141E">
        <w:rPr>
          <w:rFonts w:ascii="Times New Roman" w:hAnsi="Times New Roman" w:cs="Times New Roman"/>
          <w:sz w:val="24"/>
          <w:szCs w:val="24"/>
        </w:rPr>
        <w:t>.</w:t>
      </w:r>
      <w:r w:rsidR="000D5F1D" w:rsidRPr="00AE141E">
        <w:rPr>
          <w:rStyle w:val="FootnoteReference"/>
          <w:rFonts w:ascii="Times New Roman" w:hAnsi="Times New Roman" w:cs="Times New Roman"/>
          <w:sz w:val="24"/>
          <w:szCs w:val="24"/>
        </w:rPr>
        <w:footnoteReference w:id="683"/>
      </w:r>
      <w:r w:rsidR="00E66318" w:rsidRPr="00AE141E">
        <w:rPr>
          <w:rFonts w:ascii="Times New Roman" w:hAnsi="Times New Roman" w:cs="Times New Roman"/>
          <w:sz w:val="24"/>
          <w:szCs w:val="24"/>
        </w:rPr>
        <w:t xml:space="preserve"> </w:t>
      </w:r>
    </w:p>
    <w:p w14:paraId="37749A83" w14:textId="6F077E1F" w:rsidR="00E66318" w:rsidRPr="00AE141E"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Behind the moral panic over falling standards lay a vision of </w:t>
      </w:r>
      <w:r w:rsidR="0081544E">
        <w:rPr>
          <w:rFonts w:ascii="Times New Roman" w:hAnsi="Times New Roman" w:cs="Times New Roman"/>
          <w:sz w:val="24"/>
          <w:szCs w:val="24"/>
        </w:rPr>
        <w:t xml:space="preserve">education </w:t>
      </w:r>
      <w:r w:rsidRPr="00AE141E">
        <w:rPr>
          <w:rFonts w:ascii="Times New Roman" w:hAnsi="Times New Roman" w:cs="Times New Roman"/>
          <w:sz w:val="24"/>
          <w:szCs w:val="24"/>
        </w:rPr>
        <w:t xml:space="preserve">as the embattled guarantor of national preservation. </w:t>
      </w:r>
      <w:r w:rsidR="00F00B08">
        <w:rPr>
          <w:rFonts w:ascii="Times New Roman" w:hAnsi="Times New Roman" w:cs="Times New Roman"/>
          <w:sz w:val="24"/>
          <w:szCs w:val="24"/>
        </w:rPr>
        <w:t>As Nancy Murray put it, t</w:t>
      </w:r>
      <w:r w:rsidRPr="00AE141E">
        <w:rPr>
          <w:rFonts w:ascii="Times New Roman" w:hAnsi="Times New Roman" w:cs="Times New Roman"/>
          <w:sz w:val="24"/>
          <w:szCs w:val="24"/>
        </w:rPr>
        <w:t xml:space="preserve">he </w:t>
      </w:r>
      <w:r w:rsidR="00483CB3">
        <w:rPr>
          <w:rFonts w:ascii="Times New Roman" w:hAnsi="Times New Roman" w:cs="Times New Roman"/>
          <w:sz w:val="24"/>
          <w:szCs w:val="24"/>
        </w:rPr>
        <w:t>school</w:t>
      </w:r>
      <w:r w:rsidRPr="00AE141E">
        <w:rPr>
          <w:rFonts w:ascii="Times New Roman" w:hAnsi="Times New Roman" w:cs="Times New Roman"/>
          <w:sz w:val="24"/>
          <w:szCs w:val="24"/>
        </w:rPr>
        <w:t xml:space="preserve"> system was </w:t>
      </w:r>
      <w:r w:rsidR="00F00B08">
        <w:rPr>
          <w:rFonts w:ascii="Times New Roman" w:hAnsi="Times New Roman" w:cs="Times New Roman"/>
          <w:sz w:val="24"/>
          <w:szCs w:val="24"/>
        </w:rPr>
        <w:t>believed</w:t>
      </w:r>
      <w:r w:rsidRPr="00AE141E">
        <w:rPr>
          <w:rFonts w:ascii="Times New Roman" w:hAnsi="Times New Roman" w:cs="Times New Roman"/>
          <w:sz w:val="24"/>
          <w:szCs w:val="24"/>
        </w:rPr>
        <w:t xml:space="preserve"> to be </w:t>
      </w:r>
      <w:r w:rsidR="00F00B08">
        <w:rPr>
          <w:rFonts w:ascii="Times New Roman" w:hAnsi="Times New Roman" w:cs="Times New Roman"/>
          <w:sz w:val="24"/>
          <w:szCs w:val="24"/>
        </w:rPr>
        <w:t>threatened by</w:t>
      </w:r>
      <w:r w:rsidRPr="00AE141E">
        <w:rPr>
          <w:rFonts w:ascii="Times New Roman" w:hAnsi="Times New Roman" w:cs="Times New Roman"/>
          <w:sz w:val="24"/>
          <w:szCs w:val="24"/>
        </w:rPr>
        <w:t xml:space="preserve"> an extraordinary alliance of ‘enemies within’</w:t>
      </w:r>
      <w:r w:rsidR="00F00B08">
        <w:rPr>
          <w:rFonts w:ascii="Times New Roman" w:hAnsi="Times New Roman" w:cs="Times New Roman"/>
          <w:sz w:val="24"/>
          <w:szCs w:val="24"/>
        </w:rPr>
        <w:t>:</w:t>
      </w:r>
      <w:r w:rsidRPr="00AE141E">
        <w:rPr>
          <w:rFonts w:ascii="Times New Roman" w:hAnsi="Times New Roman" w:cs="Times New Roman"/>
          <w:sz w:val="24"/>
          <w:szCs w:val="24"/>
        </w:rPr>
        <w:t xml:space="preserve"> ‘permissive parents, feckless teachers reared on 1960s’ pap, outright subversives […] and the pressure groups – black, gay, anti- sexist, peace, ecology - all with a “hidden curriculum” to get their political message across’.</w:t>
      </w:r>
      <w:r w:rsidR="000D5F1D" w:rsidRPr="00AE141E">
        <w:rPr>
          <w:rStyle w:val="FootnoteReference"/>
          <w:rFonts w:ascii="Times New Roman" w:hAnsi="Times New Roman" w:cs="Times New Roman"/>
          <w:sz w:val="24"/>
          <w:szCs w:val="24"/>
        </w:rPr>
        <w:footnoteReference w:id="684"/>
      </w:r>
      <w:r w:rsidRPr="00AE141E">
        <w:rPr>
          <w:rFonts w:ascii="Times New Roman" w:hAnsi="Times New Roman" w:cs="Times New Roman"/>
          <w:sz w:val="24"/>
          <w:szCs w:val="24"/>
        </w:rPr>
        <w:t xml:space="preserve"> The fear of </w:t>
      </w:r>
      <w:r w:rsidR="00DC0D1B">
        <w:rPr>
          <w:rFonts w:ascii="Times New Roman" w:hAnsi="Times New Roman" w:cs="Times New Roman"/>
          <w:sz w:val="24"/>
          <w:szCs w:val="24"/>
        </w:rPr>
        <w:t xml:space="preserve">left-wing </w:t>
      </w:r>
      <w:r w:rsidR="00F00B08">
        <w:rPr>
          <w:rFonts w:ascii="Times New Roman" w:hAnsi="Times New Roman" w:cs="Times New Roman"/>
          <w:sz w:val="24"/>
          <w:szCs w:val="24"/>
        </w:rPr>
        <w:t>indoctrination ultimately</w:t>
      </w:r>
      <w:r w:rsidRPr="00AE141E">
        <w:rPr>
          <w:rFonts w:ascii="Times New Roman" w:hAnsi="Times New Roman" w:cs="Times New Roman"/>
          <w:sz w:val="24"/>
          <w:szCs w:val="24"/>
        </w:rPr>
        <w:t xml:space="preserve"> rested on a denial of children’s subjectivity. Young people were envisaged as blank pages to be stamped with the politics of their educators. To teachers, this often seemed a laughable distortion of their daily realities. As a former teacher turned member of the House of Lords cautioned his fellow politicians: ‘I know how little children really listen to what you are saying. If they do listen but do not agree they are quite happy to say so […] One can become unnecessarily worried about the sensitivities of children over this matter’.</w:t>
      </w:r>
      <w:r w:rsidR="00DC42A5" w:rsidRPr="00AE141E">
        <w:rPr>
          <w:rStyle w:val="FootnoteReference"/>
          <w:rFonts w:ascii="Times New Roman" w:hAnsi="Times New Roman" w:cs="Times New Roman"/>
          <w:sz w:val="24"/>
          <w:szCs w:val="24"/>
        </w:rPr>
        <w:footnoteReference w:id="685"/>
      </w:r>
      <w:r w:rsidRPr="00AE141E">
        <w:rPr>
          <w:rFonts w:ascii="Times New Roman" w:hAnsi="Times New Roman" w:cs="Times New Roman"/>
          <w:sz w:val="24"/>
          <w:szCs w:val="24"/>
        </w:rPr>
        <w:t xml:space="preserve"> </w:t>
      </w:r>
    </w:p>
    <w:p w14:paraId="70FA9877" w14:textId="244AC8C3" w:rsidR="000F7546"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Gill Seidel has pointed to the role of philosophers as champions of the New Right.</w:t>
      </w:r>
      <w:r w:rsidR="00A05A32" w:rsidRPr="00AE141E">
        <w:rPr>
          <w:rStyle w:val="FootnoteReference"/>
          <w:rFonts w:ascii="Times New Roman" w:hAnsi="Times New Roman" w:cs="Times New Roman"/>
          <w:sz w:val="24"/>
          <w:szCs w:val="24"/>
        </w:rPr>
        <w:footnoteReference w:id="686"/>
      </w:r>
      <w:r w:rsidRPr="00AE141E">
        <w:rPr>
          <w:rFonts w:ascii="Times New Roman" w:hAnsi="Times New Roman" w:cs="Times New Roman"/>
          <w:sz w:val="24"/>
          <w:szCs w:val="24"/>
        </w:rPr>
        <w:t xml:space="preserve"> What is more often ignored is that these thinkers served equally as historians.</w:t>
      </w:r>
      <w:r w:rsidR="00246427" w:rsidRPr="00AE141E">
        <w:rPr>
          <w:rFonts w:ascii="Times New Roman" w:hAnsi="Times New Roman" w:cs="Times New Roman"/>
          <w:sz w:val="24"/>
          <w:szCs w:val="24"/>
        </w:rPr>
        <w:t xml:space="preserve"> At times, they were joined by commentators with a background in academic history.</w:t>
      </w:r>
      <w:r w:rsidR="00B91879" w:rsidRPr="00AE141E">
        <w:rPr>
          <w:rStyle w:val="FootnoteReference"/>
          <w:rFonts w:ascii="Times New Roman" w:hAnsi="Times New Roman" w:cs="Times New Roman"/>
          <w:sz w:val="24"/>
          <w:szCs w:val="24"/>
        </w:rPr>
        <w:footnoteReference w:id="687"/>
      </w:r>
      <w:r w:rsidRPr="00AE141E">
        <w:rPr>
          <w:rFonts w:ascii="Times New Roman" w:hAnsi="Times New Roman" w:cs="Times New Roman"/>
          <w:sz w:val="24"/>
          <w:szCs w:val="24"/>
        </w:rPr>
        <w:t xml:space="preserve"> </w:t>
      </w:r>
      <w:r w:rsidR="0062233D" w:rsidRPr="00AE141E">
        <w:rPr>
          <w:rFonts w:ascii="Times New Roman" w:hAnsi="Times New Roman" w:cs="Times New Roman"/>
          <w:sz w:val="24"/>
          <w:szCs w:val="24"/>
        </w:rPr>
        <w:t>The New Right aimed to establish an account of the past which was adequate to their political priorities and to institutionalise this in educational practice.</w:t>
      </w:r>
      <w:r w:rsidR="0062233D">
        <w:rPr>
          <w:rFonts w:ascii="Times New Roman" w:hAnsi="Times New Roman" w:cs="Times New Roman"/>
          <w:sz w:val="24"/>
          <w:szCs w:val="24"/>
        </w:rPr>
        <w:t xml:space="preserve"> </w:t>
      </w:r>
      <w:r w:rsidR="002153DF" w:rsidRPr="00AE141E">
        <w:rPr>
          <w:rFonts w:ascii="Times New Roman" w:hAnsi="Times New Roman" w:cs="Times New Roman"/>
          <w:sz w:val="24"/>
          <w:szCs w:val="24"/>
        </w:rPr>
        <w:t xml:space="preserve">A complex ecosystem of ‘thinktanks’, which made targeted interventions in the public debate, was instrumental to the </w:t>
      </w:r>
      <w:r w:rsidR="00585733" w:rsidRPr="00AE141E">
        <w:rPr>
          <w:rFonts w:ascii="Times New Roman" w:hAnsi="Times New Roman" w:cs="Times New Roman"/>
          <w:sz w:val="24"/>
          <w:szCs w:val="24"/>
        </w:rPr>
        <w:t>growth of the</w:t>
      </w:r>
      <w:r w:rsidR="002153DF" w:rsidRPr="00AE141E">
        <w:rPr>
          <w:rFonts w:ascii="Times New Roman" w:hAnsi="Times New Roman" w:cs="Times New Roman"/>
          <w:sz w:val="24"/>
          <w:szCs w:val="24"/>
        </w:rPr>
        <w:t xml:space="preserve"> </w:t>
      </w:r>
      <w:r w:rsidR="00585733" w:rsidRPr="00AE141E">
        <w:rPr>
          <w:rFonts w:ascii="Times New Roman" w:hAnsi="Times New Roman" w:cs="Times New Roman"/>
          <w:sz w:val="24"/>
          <w:szCs w:val="24"/>
        </w:rPr>
        <w:t>New Right’s</w:t>
      </w:r>
      <w:r w:rsidR="00B373B3" w:rsidRPr="00AE141E">
        <w:rPr>
          <w:rFonts w:ascii="Times New Roman" w:hAnsi="Times New Roman" w:cs="Times New Roman"/>
          <w:sz w:val="24"/>
          <w:szCs w:val="24"/>
        </w:rPr>
        <w:t xml:space="preserve"> cultural and ideological hegemony</w:t>
      </w:r>
      <w:r w:rsidR="00585733" w:rsidRPr="00AE141E">
        <w:rPr>
          <w:rFonts w:ascii="Times New Roman" w:hAnsi="Times New Roman" w:cs="Times New Roman"/>
          <w:sz w:val="24"/>
          <w:szCs w:val="24"/>
        </w:rPr>
        <w:t xml:space="preserve">. </w:t>
      </w:r>
      <w:r w:rsidR="003D534F" w:rsidRPr="00AE141E">
        <w:rPr>
          <w:rFonts w:ascii="Times New Roman" w:hAnsi="Times New Roman" w:cs="Times New Roman"/>
          <w:sz w:val="24"/>
          <w:szCs w:val="24"/>
        </w:rPr>
        <w:t>Groups such as the</w:t>
      </w:r>
      <w:r w:rsidR="0020012C" w:rsidRPr="00AE141E">
        <w:rPr>
          <w:rFonts w:ascii="Times New Roman" w:hAnsi="Times New Roman" w:cs="Times New Roman"/>
          <w:sz w:val="24"/>
          <w:szCs w:val="24"/>
        </w:rPr>
        <w:t xml:space="preserve"> Campaign for Real Education, </w:t>
      </w:r>
      <w:r w:rsidR="0020012C" w:rsidRPr="00AE141E">
        <w:rPr>
          <w:rFonts w:ascii="Times New Roman" w:hAnsi="Times New Roman" w:cs="Times New Roman"/>
          <w:sz w:val="24"/>
          <w:szCs w:val="24"/>
        </w:rPr>
        <w:lastRenderedPageBreak/>
        <w:t>the</w:t>
      </w:r>
      <w:r w:rsidR="003D534F" w:rsidRPr="00AE141E">
        <w:rPr>
          <w:rFonts w:ascii="Times New Roman" w:hAnsi="Times New Roman" w:cs="Times New Roman"/>
          <w:sz w:val="24"/>
          <w:szCs w:val="24"/>
        </w:rPr>
        <w:t xml:space="preserve"> </w:t>
      </w:r>
      <w:r w:rsidR="00A65024" w:rsidRPr="00AE141E">
        <w:rPr>
          <w:rFonts w:ascii="Times New Roman" w:hAnsi="Times New Roman" w:cs="Times New Roman"/>
          <w:sz w:val="24"/>
          <w:szCs w:val="24"/>
        </w:rPr>
        <w:t xml:space="preserve">Centre for Policy Studies, the </w:t>
      </w:r>
      <w:r w:rsidR="002B53F0" w:rsidRPr="00AE141E">
        <w:rPr>
          <w:rFonts w:ascii="Times New Roman" w:hAnsi="Times New Roman" w:cs="Times New Roman"/>
          <w:sz w:val="24"/>
          <w:szCs w:val="24"/>
        </w:rPr>
        <w:t>Conservative</w:t>
      </w:r>
      <w:r w:rsidR="00A65024" w:rsidRPr="00AE141E">
        <w:rPr>
          <w:rFonts w:ascii="Times New Roman" w:hAnsi="Times New Roman" w:cs="Times New Roman"/>
          <w:sz w:val="24"/>
          <w:szCs w:val="24"/>
        </w:rPr>
        <w:t xml:space="preserve"> Philosophy Group, </w:t>
      </w:r>
      <w:r w:rsidR="00535660" w:rsidRPr="00AE141E">
        <w:rPr>
          <w:rFonts w:ascii="Times New Roman" w:hAnsi="Times New Roman" w:cs="Times New Roman"/>
          <w:sz w:val="24"/>
          <w:szCs w:val="24"/>
        </w:rPr>
        <w:t xml:space="preserve">the Salisbury Group, and </w:t>
      </w:r>
      <w:r w:rsidR="002B53F0" w:rsidRPr="00AE141E">
        <w:rPr>
          <w:rFonts w:ascii="Times New Roman" w:hAnsi="Times New Roman" w:cs="Times New Roman"/>
          <w:sz w:val="24"/>
          <w:szCs w:val="24"/>
        </w:rPr>
        <w:t>the Social Affairs Unit</w:t>
      </w:r>
      <w:r w:rsidR="0020012C" w:rsidRPr="00AE141E">
        <w:rPr>
          <w:rFonts w:ascii="Times New Roman" w:hAnsi="Times New Roman" w:cs="Times New Roman"/>
          <w:sz w:val="24"/>
          <w:szCs w:val="24"/>
        </w:rPr>
        <w:t>,</w:t>
      </w:r>
      <w:r w:rsidR="002B53F0" w:rsidRPr="00AE141E">
        <w:rPr>
          <w:rFonts w:ascii="Times New Roman" w:hAnsi="Times New Roman" w:cs="Times New Roman"/>
          <w:sz w:val="24"/>
          <w:szCs w:val="24"/>
        </w:rPr>
        <w:t xml:space="preserve"> supplied a nucleus around </w:t>
      </w:r>
      <w:r w:rsidR="00747232" w:rsidRPr="00AE141E">
        <w:rPr>
          <w:rFonts w:ascii="Times New Roman" w:hAnsi="Times New Roman" w:cs="Times New Roman"/>
          <w:sz w:val="24"/>
          <w:szCs w:val="24"/>
        </w:rPr>
        <w:t xml:space="preserve">supporters could </w:t>
      </w:r>
      <w:r w:rsidR="004F2BD5" w:rsidRPr="00AE141E">
        <w:rPr>
          <w:rFonts w:ascii="Times New Roman" w:hAnsi="Times New Roman" w:cs="Times New Roman"/>
          <w:sz w:val="24"/>
          <w:szCs w:val="24"/>
        </w:rPr>
        <w:t>find community, organise, and publish</w:t>
      </w:r>
      <w:r w:rsidR="00630225" w:rsidRPr="00AE141E">
        <w:rPr>
          <w:rFonts w:ascii="Times New Roman" w:hAnsi="Times New Roman" w:cs="Times New Roman"/>
          <w:sz w:val="24"/>
          <w:szCs w:val="24"/>
        </w:rPr>
        <w:t>.</w:t>
      </w:r>
      <w:r w:rsidR="005F2B26" w:rsidRPr="00AE141E">
        <w:rPr>
          <w:rStyle w:val="FootnoteReference"/>
          <w:rFonts w:ascii="Times New Roman" w:hAnsi="Times New Roman" w:cs="Times New Roman"/>
          <w:sz w:val="24"/>
          <w:szCs w:val="24"/>
        </w:rPr>
        <w:footnoteReference w:id="688"/>
      </w:r>
      <w:r w:rsidR="004F2BD5" w:rsidRPr="00AE141E">
        <w:rPr>
          <w:rFonts w:ascii="Times New Roman" w:hAnsi="Times New Roman" w:cs="Times New Roman"/>
          <w:sz w:val="24"/>
          <w:szCs w:val="24"/>
        </w:rPr>
        <w:t xml:space="preserve"> </w:t>
      </w:r>
    </w:p>
    <w:p w14:paraId="1E5F0FC3" w14:textId="2ED050D5" w:rsidR="001E1501" w:rsidRDefault="00173DB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 Robert Phillips has claimed, </w:t>
      </w:r>
      <w:r w:rsidR="00C85035">
        <w:rPr>
          <w:rFonts w:ascii="Times New Roman" w:hAnsi="Times New Roman" w:cs="Times New Roman"/>
          <w:sz w:val="24"/>
          <w:szCs w:val="24"/>
        </w:rPr>
        <w:t>New Right pressure groups</w:t>
      </w:r>
      <w:r w:rsidR="001B297F" w:rsidRPr="00AE141E">
        <w:rPr>
          <w:rFonts w:ascii="Times New Roman" w:hAnsi="Times New Roman" w:cs="Times New Roman"/>
          <w:sz w:val="24"/>
          <w:szCs w:val="24"/>
        </w:rPr>
        <w:t xml:space="preserve"> </w:t>
      </w:r>
      <w:r w:rsidRPr="00AE141E">
        <w:rPr>
          <w:rFonts w:ascii="Times New Roman" w:hAnsi="Times New Roman" w:cs="Times New Roman"/>
          <w:sz w:val="24"/>
          <w:szCs w:val="24"/>
        </w:rPr>
        <w:t>raise</w:t>
      </w:r>
      <w:r w:rsidR="00C85035">
        <w:rPr>
          <w:rFonts w:ascii="Times New Roman" w:hAnsi="Times New Roman" w:cs="Times New Roman"/>
          <w:sz w:val="24"/>
          <w:szCs w:val="24"/>
        </w:rPr>
        <w:t>d</w:t>
      </w:r>
      <w:r w:rsidRPr="00AE141E">
        <w:rPr>
          <w:rFonts w:ascii="Times New Roman" w:hAnsi="Times New Roman" w:cs="Times New Roman"/>
          <w:sz w:val="24"/>
          <w:szCs w:val="24"/>
        </w:rPr>
        <w:t xml:space="preserve"> the profile of history teaching </w:t>
      </w:r>
      <w:r w:rsidR="001B297F" w:rsidRPr="00AE141E">
        <w:rPr>
          <w:rFonts w:ascii="Times New Roman" w:hAnsi="Times New Roman" w:cs="Times New Roman"/>
          <w:sz w:val="24"/>
          <w:szCs w:val="24"/>
        </w:rPr>
        <w:t>‘</w:t>
      </w:r>
      <w:r w:rsidRPr="00AE141E">
        <w:rPr>
          <w:rFonts w:ascii="Times New Roman" w:hAnsi="Times New Roman" w:cs="Times New Roman"/>
          <w:sz w:val="24"/>
          <w:szCs w:val="24"/>
        </w:rPr>
        <w:t>from the professional to the public domain’.</w:t>
      </w:r>
      <w:r w:rsidRPr="00AE141E">
        <w:rPr>
          <w:rStyle w:val="FootnoteReference"/>
          <w:rFonts w:ascii="Times New Roman" w:hAnsi="Times New Roman" w:cs="Times New Roman"/>
          <w:sz w:val="24"/>
          <w:szCs w:val="24"/>
        </w:rPr>
        <w:footnoteReference w:id="689"/>
      </w:r>
      <w:r w:rsidR="001B297F" w:rsidRPr="00AE141E">
        <w:rPr>
          <w:rFonts w:ascii="Times New Roman" w:hAnsi="Times New Roman" w:cs="Times New Roman"/>
          <w:sz w:val="24"/>
          <w:szCs w:val="24"/>
        </w:rPr>
        <w:t xml:space="preserve"> </w:t>
      </w:r>
      <w:r w:rsidR="001E1501" w:rsidRPr="00AE141E">
        <w:rPr>
          <w:rFonts w:ascii="Times New Roman" w:hAnsi="Times New Roman" w:cs="Times New Roman"/>
          <w:sz w:val="24"/>
          <w:szCs w:val="24"/>
        </w:rPr>
        <w:t xml:space="preserve"> </w:t>
      </w:r>
      <w:r w:rsidR="000652D5">
        <w:rPr>
          <w:rFonts w:ascii="Times New Roman" w:hAnsi="Times New Roman" w:cs="Times New Roman"/>
          <w:sz w:val="24"/>
          <w:szCs w:val="24"/>
        </w:rPr>
        <w:t>T</w:t>
      </w:r>
      <w:r w:rsidR="00C14350" w:rsidRPr="00AE141E">
        <w:rPr>
          <w:rFonts w:ascii="Times New Roman" w:hAnsi="Times New Roman" w:cs="Times New Roman"/>
          <w:sz w:val="24"/>
          <w:szCs w:val="24"/>
        </w:rPr>
        <w:t xml:space="preserve">he Centre for Policy Studies (CPS) </w:t>
      </w:r>
      <w:r w:rsidR="002A7636" w:rsidRPr="00AE141E">
        <w:rPr>
          <w:rFonts w:ascii="Times New Roman" w:hAnsi="Times New Roman" w:cs="Times New Roman"/>
          <w:sz w:val="24"/>
          <w:szCs w:val="24"/>
        </w:rPr>
        <w:t xml:space="preserve">produced </w:t>
      </w:r>
      <w:r w:rsidR="003012D0">
        <w:rPr>
          <w:rFonts w:ascii="Times New Roman" w:hAnsi="Times New Roman" w:cs="Times New Roman"/>
          <w:sz w:val="24"/>
          <w:szCs w:val="24"/>
        </w:rPr>
        <w:t xml:space="preserve">no fewer </w:t>
      </w:r>
      <w:r w:rsidR="002A7636" w:rsidRPr="00AE141E">
        <w:rPr>
          <w:rFonts w:ascii="Times New Roman" w:hAnsi="Times New Roman" w:cs="Times New Roman"/>
          <w:sz w:val="24"/>
          <w:szCs w:val="24"/>
        </w:rPr>
        <w:t xml:space="preserve">than </w:t>
      </w:r>
      <w:r w:rsidR="003012D0">
        <w:rPr>
          <w:rFonts w:ascii="Times New Roman" w:hAnsi="Times New Roman" w:cs="Times New Roman"/>
          <w:sz w:val="24"/>
          <w:szCs w:val="24"/>
        </w:rPr>
        <w:t>‘</w:t>
      </w:r>
      <w:r w:rsidR="002A7636" w:rsidRPr="00AE141E">
        <w:rPr>
          <w:rFonts w:ascii="Times New Roman" w:hAnsi="Times New Roman" w:cs="Times New Roman"/>
          <w:sz w:val="24"/>
          <w:szCs w:val="24"/>
        </w:rPr>
        <w:t xml:space="preserve">seventeen publications on education, five dealing exclusively or predominantly with history’, over the course of the 1980s. </w:t>
      </w:r>
      <w:r w:rsidR="00E362E7" w:rsidRPr="00AE141E">
        <w:rPr>
          <w:rFonts w:ascii="Times New Roman" w:hAnsi="Times New Roman" w:cs="Times New Roman"/>
          <w:sz w:val="24"/>
          <w:szCs w:val="24"/>
        </w:rPr>
        <w:t>The latter typically attacked the ‘</w:t>
      </w:r>
      <w:r w:rsidR="00A17280" w:rsidRPr="00AE141E">
        <w:rPr>
          <w:rFonts w:ascii="Times New Roman" w:hAnsi="Times New Roman" w:cs="Times New Roman"/>
          <w:sz w:val="24"/>
          <w:szCs w:val="24"/>
        </w:rPr>
        <w:t>n</w:t>
      </w:r>
      <w:r w:rsidR="00E362E7" w:rsidRPr="00AE141E">
        <w:rPr>
          <w:rFonts w:ascii="Times New Roman" w:hAnsi="Times New Roman" w:cs="Times New Roman"/>
          <w:sz w:val="24"/>
          <w:szCs w:val="24"/>
        </w:rPr>
        <w:t xml:space="preserve">ew </w:t>
      </w:r>
      <w:r w:rsidR="00A17280" w:rsidRPr="00AE141E">
        <w:rPr>
          <w:rFonts w:ascii="Times New Roman" w:hAnsi="Times New Roman" w:cs="Times New Roman"/>
          <w:sz w:val="24"/>
          <w:szCs w:val="24"/>
        </w:rPr>
        <w:t>h</w:t>
      </w:r>
      <w:r w:rsidR="00E362E7" w:rsidRPr="00AE141E">
        <w:rPr>
          <w:rFonts w:ascii="Times New Roman" w:hAnsi="Times New Roman" w:cs="Times New Roman"/>
          <w:sz w:val="24"/>
          <w:szCs w:val="24"/>
        </w:rPr>
        <w:t xml:space="preserve">istory’: </w:t>
      </w:r>
      <w:r w:rsidR="00E13C1F" w:rsidRPr="00AE141E">
        <w:rPr>
          <w:rFonts w:ascii="Times New Roman" w:hAnsi="Times New Roman" w:cs="Times New Roman"/>
          <w:sz w:val="24"/>
          <w:szCs w:val="24"/>
        </w:rPr>
        <w:t xml:space="preserve">a mode of historical study </w:t>
      </w:r>
      <w:r w:rsidR="00BB368A" w:rsidRPr="00AE141E">
        <w:rPr>
          <w:rFonts w:ascii="Times New Roman" w:hAnsi="Times New Roman" w:cs="Times New Roman"/>
          <w:sz w:val="24"/>
          <w:szCs w:val="24"/>
        </w:rPr>
        <w:t>supposedly characterised by</w:t>
      </w:r>
      <w:r w:rsidR="00E13C1F" w:rsidRPr="00AE141E">
        <w:rPr>
          <w:rFonts w:ascii="Times New Roman" w:hAnsi="Times New Roman" w:cs="Times New Roman"/>
          <w:sz w:val="24"/>
          <w:szCs w:val="24"/>
        </w:rPr>
        <w:t xml:space="preserve"> </w:t>
      </w:r>
      <w:r w:rsidR="00BB368A" w:rsidRPr="00AE141E">
        <w:rPr>
          <w:rFonts w:ascii="Times New Roman" w:hAnsi="Times New Roman" w:cs="Times New Roman"/>
          <w:sz w:val="24"/>
          <w:szCs w:val="24"/>
        </w:rPr>
        <w:t>cultural relativism and an overemphasis on ‘skills’ and ‘concepts’ at the expense of knowledge and narrative.</w:t>
      </w:r>
      <w:r w:rsidR="003D3991" w:rsidRPr="00AE141E">
        <w:rPr>
          <w:rFonts w:ascii="Times New Roman" w:hAnsi="Times New Roman" w:cs="Times New Roman"/>
          <w:sz w:val="24"/>
          <w:szCs w:val="24"/>
        </w:rPr>
        <w:t xml:space="preserve"> </w:t>
      </w:r>
      <w:r w:rsidR="002F0EF9" w:rsidRPr="00AE141E">
        <w:rPr>
          <w:rFonts w:ascii="Times New Roman" w:hAnsi="Times New Roman" w:cs="Times New Roman"/>
          <w:sz w:val="24"/>
          <w:szCs w:val="24"/>
        </w:rPr>
        <w:t xml:space="preserve">The ‘skills </w:t>
      </w:r>
      <w:r w:rsidR="002F0EF9" w:rsidRPr="00AE141E">
        <w:rPr>
          <w:rFonts w:ascii="Times New Roman" w:hAnsi="Times New Roman" w:cs="Times New Roman"/>
          <w:i/>
          <w:sz w:val="24"/>
          <w:szCs w:val="24"/>
        </w:rPr>
        <w:t>versus</w:t>
      </w:r>
      <w:r w:rsidR="002F0EF9" w:rsidRPr="00AE141E">
        <w:rPr>
          <w:rFonts w:ascii="Times New Roman" w:hAnsi="Times New Roman" w:cs="Times New Roman"/>
          <w:sz w:val="24"/>
          <w:szCs w:val="24"/>
        </w:rPr>
        <w:t xml:space="preserve"> content’ debate was very much a fabrication of the New Right. Although there was some genuine feeling amongst </w:t>
      </w:r>
      <w:r w:rsidR="0053700D" w:rsidRPr="00AE141E">
        <w:rPr>
          <w:rFonts w:ascii="Times New Roman" w:hAnsi="Times New Roman" w:cs="Times New Roman"/>
          <w:sz w:val="24"/>
          <w:szCs w:val="24"/>
        </w:rPr>
        <w:t>teachers</w:t>
      </w:r>
      <w:r w:rsidR="002F0EF9" w:rsidRPr="00AE141E">
        <w:rPr>
          <w:rFonts w:ascii="Times New Roman" w:hAnsi="Times New Roman" w:cs="Times New Roman"/>
          <w:sz w:val="24"/>
          <w:szCs w:val="24"/>
        </w:rPr>
        <w:t xml:space="preserve"> that the emphasis on abstract skills, divorced from chronological knowledge, may have gone too far, even the most fervent of SCHP’s supporters cannot be claimed to have </w:t>
      </w:r>
      <w:r w:rsidR="0053700D" w:rsidRPr="00AE141E">
        <w:rPr>
          <w:rFonts w:ascii="Times New Roman" w:hAnsi="Times New Roman" w:cs="Times New Roman"/>
          <w:sz w:val="24"/>
          <w:szCs w:val="24"/>
        </w:rPr>
        <w:t>truly</w:t>
      </w:r>
      <w:r w:rsidR="002F0EF9" w:rsidRPr="00AE141E">
        <w:rPr>
          <w:rFonts w:ascii="Times New Roman" w:hAnsi="Times New Roman" w:cs="Times New Roman"/>
          <w:sz w:val="24"/>
          <w:szCs w:val="24"/>
        </w:rPr>
        <w:t xml:space="preserve"> abandoned a fact-based approach.</w:t>
      </w:r>
      <w:r w:rsidR="0053700D" w:rsidRPr="00AE141E">
        <w:rPr>
          <w:rStyle w:val="FootnoteReference"/>
          <w:rFonts w:ascii="Times New Roman" w:hAnsi="Times New Roman" w:cs="Times New Roman"/>
          <w:sz w:val="24"/>
          <w:szCs w:val="24"/>
        </w:rPr>
        <w:footnoteReference w:id="690"/>
      </w:r>
      <w:r w:rsidR="002F0EF9" w:rsidRPr="00AE141E">
        <w:rPr>
          <w:rFonts w:ascii="Times New Roman" w:hAnsi="Times New Roman" w:cs="Times New Roman"/>
          <w:sz w:val="24"/>
          <w:szCs w:val="24"/>
        </w:rPr>
        <w:t xml:space="preserve"> </w:t>
      </w:r>
      <w:r w:rsidR="003D228B">
        <w:rPr>
          <w:rFonts w:ascii="Times New Roman" w:hAnsi="Times New Roman" w:cs="Times New Roman"/>
          <w:sz w:val="24"/>
          <w:szCs w:val="24"/>
        </w:rPr>
        <w:t>As we will see, c</w:t>
      </w:r>
      <w:r w:rsidR="0085005D" w:rsidRPr="00AE141E">
        <w:rPr>
          <w:rFonts w:ascii="Times New Roman" w:hAnsi="Times New Roman" w:cs="Times New Roman"/>
          <w:sz w:val="24"/>
          <w:szCs w:val="24"/>
        </w:rPr>
        <w:t xml:space="preserve">omplaints of the decline in </w:t>
      </w:r>
      <w:r w:rsidR="0053700D" w:rsidRPr="00AE141E">
        <w:rPr>
          <w:rFonts w:ascii="Times New Roman" w:hAnsi="Times New Roman" w:cs="Times New Roman"/>
          <w:sz w:val="24"/>
          <w:szCs w:val="24"/>
        </w:rPr>
        <w:t>knowledge and narrative</w:t>
      </w:r>
      <w:r w:rsidR="0085005D" w:rsidRPr="00AE141E">
        <w:rPr>
          <w:rFonts w:ascii="Times New Roman" w:hAnsi="Times New Roman" w:cs="Times New Roman"/>
          <w:sz w:val="24"/>
          <w:szCs w:val="24"/>
        </w:rPr>
        <w:t xml:space="preserve">-based learning </w:t>
      </w:r>
      <w:r w:rsidR="0053700D" w:rsidRPr="00AE141E">
        <w:rPr>
          <w:rFonts w:ascii="Times New Roman" w:hAnsi="Times New Roman" w:cs="Times New Roman"/>
          <w:sz w:val="24"/>
          <w:szCs w:val="24"/>
        </w:rPr>
        <w:t>seem to have stood in for broader cultural anxieties about the state of the nation.</w:t>
      </w:r>
    </w:p>
    <w:p w14:paraId="2123F84A" w14:textId="2E869FB9" w:rsidR="000F7546" w:rsidRDefault="000F7546" w:rsidP="000F7546">
      <w:pPr>
        <w:spacing w:line="360" w:lineRule="auto"/>
        <w:rPr>
          <w:rFonts w:ascii="Times New Roman" w:hAnsi="Times New Roman" w:cs="Times New Roman"/>
          <w:sz w:val="24"/>
          <w:szCs w:val="24"/>
        </w:rPr>
      </w:pPr>
      <w:r w:rsidRPr="00AE141E">
        <w:rPr>
          <w:rFonts w:ascii="Times New Roman" w:hAnsi="Times New Roman" w:cs="Times New Roman"/>
          <w:sz w:val="24"/>
          <w:szCs w:val="24"/>
        </w:rPr>
        <w:t>Throughout the 1980s, a popular sense of national decline was accompanied by a quest to recover the past glories of empire – a tendency which was expressed in the Falklands War of 1982. Following the short-lived conflict, the imperial spirit redirected inwards. As Stuart Hall argued, ‘an imperial metropolis cannot pretend its history has not occurred’.</w:t>
      </w:r>
      <w:r w:rsidRPr="00AE141E">
        <w:rPr>
          <w:rStyle w:val="FootnoteReference"/>
          <w:rFonts w:ascii="Times New Roman" w:hAnsi="Times New Roman" w:cs="Times New Roman"/>
          <w:sz w:val="24"/>
          <w:szCs w:val="24"/>
        </w:rPr>
        <w:footnoteReference w:id="691"/>
      </w:r>
      <w:r w:rsidRPr="00AE141E">
        <w:rPr>
          <w:rFonts w:ascii="Times New Roman" w:hAnsi="Times New Roman" w:cs="Times New Roman"/>
          <w:sz w:val="24"/>
          <w:szCs w:val="24"/>
        </w:rPr>
        <w:t xml:space="preserve"> The defence of empire manifested in attacks on various attempts by London councils</w:t>
      </w:r>
      <w:r w:rsidR="00A32F5A">
        <w:rPr>
          <w:rFonts w:ascii="Times New Roman" w:hAnsi="Times New Roman" w:cs="Times New Roman"/>
          <w:sz w:val="24"/>
          <w:szCs w:val="24"/>
        </w:rPr>
        <w:t xml:space="preserve"> (</w:t>
      </w:r>
      <w:r w:rsidRPr="00AE141E">
        <w:rPr>
          <w:rFonts w:ascii="Times New Roman" w:hAnsi="Times New Roman" w:cs="Times New Roman"/>
          <w:sz w:val="24"/>
          <w:szCs w:val="24"/>
        </w:rPr>
        <w:t>often designated ‘loony left’</w:t>
      </w:r>
      <w:r w:rsidR="00A32F5A">
        <w:rPr>
          <w:rFonts w:ascii="Times New Roman" w:hAnsi="Times New Roman" w:cs="Times New Roman"/>
          <w:sz w:val="24"/>
          <w:szCs w:val="24"/>
        </w:rPr>
        <w:t>)</w:t>
      </w:r>
      <w:r w:rsidRPr="00AE141E">
        <w:rPr>
          <w:rFonts w:ascii="Times New Roman" w:hAnsi="Times New Roman" w:cs="Times New Roman"/>
          <w:sz w:val="24"/>
          <w:szCs w:val="24"/>
        </w:rPr>
        <w:t xml:space="preserve"> to replace street names which connoted imperial subjugation. Thus, the </w:t>
      </w:r>
      <w:r w:rsidRPr="00AE141E">
        <w:rPr>
          <w:rFonts w:ascii="Times New Roman" w:hAnsi="Times New Roman" w:cs="Times New Roman"/>
          <w:i/>
          <w:sz w:val="24"/>
          <w:szCs w:val="24"/>
        </w:rPr>
        <w:t xml:space="preserve">Daily Mail </w:t>
      </w:r>
      <w:r w:rsidRPr="00AE141E">
        <w:rPr>
          <w:rFonts w:ascii="Times New Roman" w:hAnsi="Times New Roman" w:cs="Times New Roman"/>
          <w:sz w:val="24"/>
          <w:szCs w:val="24"/>
        </w:rPr>
        <w:t>initiated a press storm against Lambeth Council’s proposal to rename ‘Rhodesia Road’ as ‘Zimbabwe Road’.</w:t>
      </w:r>
      <w:r w:rsidRPr="00AE141E">
        <w:rPr>
          <w:rStyle w:val="FootnoteReference"/>
          <w:rFonts w:ascii="Times New Roman" w:hAnsi="Times New Roman" w:cs="Times New Roman"/>
          <w:sz w:val="24"/>
          <w:szCs w:val="24"/>
        </w:rPr>
        <w:footnoteReference w:id="692"/>
      </w:r>
      <w:r w:rsidRPr="00AE141E">
        <w:rPr>
          <w:rFonts w:ascii="Times New Roman" w:hAnsi="Times New Roman" w:cs="Times New Roman"/>
          <w:sz w:val="24"/>
          <w:szCs w:val="24"/>
        </w:rPr>
        <w:t xml:space="preserve"> In September 1985, a number of tabloid dailies ran the falsified story </w:t>
      </w:r>
      <w:r w:rsidRPr="00AE141E">
        <w:rPr>
          <w:rFonts w:ascii="Times New Roman" w:hAnsi="Times New Roman" w:cs="Times New Roman"/>
          <w:sz w:val="24"/>
          <w:szCs w:val="24"/>
        </w:rPr>
        <w:lastRenderedPageBreak/>
        <w:t>that Hackney Council was considering changing the name of Britannia Walk to ‘Shaheed-E-Azam Bhagot Singh [sic.] Avenue’.</w:t>
      </w:r>
      <w:r w:rsidR="004D4AF7">
        <w:rPr>
          <w:rStyle w:val="FootnoteReference"/>
          <w:rFonts w:ascii="Times New Roman" w:hAnsi="Times New Roman" w:cs="Times New Roman"/>
          <w:sz w:val="24"/>
          <w:szCs w:val="24"/>
        </w:rPr>
        <w:footnoteReference w:id="693"/>
      </w:r>
      <w:r w:rsidRPr="00AE141E">
        <w:rPr>
          <w:rFonts w:ascii="Times New Roman" w:hAnsi="Times New Roman" w:cs="Times New Roman"/>
          <w:sz w:val="24"/>
          <w:szCs w:val="24"/>
        </w:rPr>
        <w:t xml:space="preserve"> The headline ‘Britannia no longer rules the waves in a left-wing council borough’ was indicative of the general tone of imperial nostalgia. As </w:t>
      </w:r>
      <w:r>
        <w:rPr>
          <w:rFonts w:ascii="Times New Roman" w:hAnsi="Times New Roman" w:cs="Times New Roman"/>
          <w:sz w:val="24"/>
          <w:szCs w:val="24"/>
        </w:rPr>
        <w:t>Murray</w:t>
      </w:r>
      <w:r w:rsidRPr="00AE141E">
        <w:rPr>
          <w:rFonts w:ascii="Times New Roman" w:hAnsi="Times New Roman" w:cs="Times New Roman"/>
          <w:sz w:val="24"/>
          <w:szCs w:val="24"/>
        </w:rPr>
        <w:t xml:space="preserve"> commented, ‘any attempt to look at British history, culture and institutions from the black perspective has brought the press on to the offensive, exonerating British society from imputations of racism’, and reaffirming British values and the national ‘way of life’.</w:t>
      </w:r>
      <w:r>
        <w:rPr>
          <w:rStyle w:val="FootnoteReference"/>
          <w:rFonts w:ascii="Times New Roman" w:hAnsi="Times New Roman" w:cs="Times New Roman"/>
          <w:sz w:val="24"/>
          <w:szCs w:val="24"/>
        </w:rPr>
        <w:footnoteReference w:id="694"/>
      </w:r>
    </w:p>
    <w:p w14:paraId="68BD65BA" w14:textId="0E1F0D16" w:rsidR="00855642" w:rsidRPr="00B03B8C" w:rsidRDefault="00B03B8C" w:rsidP="000F754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The New Right on </w:t>
      </w:r>
      <w:r w:rsidR="00887FE0">
        <w:rPr>
          <w:rFonts w:ascii="Times New Roman" w:hAnsi="Times New Roman" w:cs="Times New Roman"/>
          <w:b/>
          <w:bCs/>
          <w:sz w:val="24"/>
          <w:szCs w:val="24"/>
        </w:rPr>
        <w:t>the Attack</w:t>
      </w:r>
    </w:p>
    <w:p w14:paraId="4CBBBA08" w14:textId="35B0E8D5" w:rsidR="00E66318" w:rsidRPr="00AE141E" w:rsidRDefault="000F7546" w:rsidP="00AE141E">
      <w:pPr>
        <w:spacing w:line="360" w:lineRule="auto"/>
        <w:rPr>
          <w:rFonts w:ascii="Times New Roman" w:hAnsi="Times New Roman" w:cs="Times New Roman"/>
          <w:sz w:val="24"/>
          <w:szCs w:val="24"/>
        </w:rPr>
      </w:pPr>
      <w:r w:rsidRPr="001B71C1">
        <w:rPr>
          <w:rFonts w:ascii="Times New Roman" w:hAnsi="Times New Roman" w:cs="Times New Roman"/>
          <w:sz w:val="24"/>
          <w:szCs w:val="24"/>
        </w:rPr>
        <w:t xml:space="preserve">The two currents of conservative backlash – </w:t>
      </w:r>
      <w:r>
        <w:rPr>
          <w:rFonts w:ascii="Times New Roman" w:hAnsi="Times New Roman" w:cs="Times New Roman"/>
          <w:sz w:val="24"/>
          <w:szCs w:val="24"/>
        </w:rPr>
        <w:t>nostalgic historical revival and ant</w:t>
      </w:r>
      <w:r w:rsidRPr="001B71C1">
        <w:rPr>
          <w:rFonts w:ascii="Times New Roman" w:hAnsi="Times New Roman" w:cs="Times New Roman"/>
          <w:sz w:val="24"/>
          <w:szCs w:val="24"/>
        </w:rPr>
        <w:t>i-progressivism – ran together in schools.</w:t>
      </w:r>
      <w:r>
        <w:rPr>
          <w:rFonts w:ascii="Times New Roman" w:hAnsi="Times New Roman" w:cs="Times New Roman"/>
          <w:sz w:val="24"/>
          <w:szCs w:val="24"/>
        </w:rPr>
        <w:t xml:space="preserve"> </w:t>
      </w:r>
      <w:r w:rsidR="00325393" w:rsidRPr="00AE141E">
        <w:rPr>
          <w:rFonts w:ascii="Times New Roman" w:hAnsi="Times New Roman" w:cs="Times New Roman"/>
          <w:sz w:val="24"/>
          <w:szCs w:val="24"/>
        </w:rPr>
        <w:t xml:space="preserve">An early CPS pamphlet, </w:t>
      </w:r>
      <w:r w:rsidR="008E0253" w:rsidRPr="00AE141E">
        <w:rPr>
          <w:rFonts w:ascii="Times New Roman" w:hAnsi="Times New Roman" w:cs="Times New Roman"/>
          <w:sz w:val="24"/>
          <w:szCs w:val="24"/>
        </w:rPr>
        <w:t>Hugh Thomas’</w:t>
      </w:r>
      <w:r w:rsidR="00325393" w:rsidRPr="00AE141E">
        <w:rPr>
          <w:rFonts w:ascii="Times New Roman" w:hAnsi="Times New Roman" w:cs="Times New Roman"/>
          <w:sz w:val="24"/>
          <w:szCs w:val="24"/>
        </w:rPr>
        <w:t xml:space="preserve"> </w:t>
      </w:r>
      <w:r w:rsidR="008E0253" w:rsidRPr="00AE141E">
        <w:rPr>
          <w:rFonts w:ascii="Times New Roman" w:hAnsi="Times New Roman" w:cs="Times New Roman"/>
          <w:i/>
          <w:sz w:val="24"/>
          <w:szCs w:val="24"/>
        </w:rPr>
        <w:t xml:space="preserve">History, Capitalism and Freedom </w:t>
      </w:r>
      <w:r w:rsidR="008E0253" w:rsidRPr="00AE141E">
        <w:rPr>
          <w:rFonts w:ascii="Times New Roman" w:hAnsi="Times New Roman" w:cs="Times New Roman"/>
          <w:sz w:val="24"/>
          <w:szCs w:val="24"/>
        </w:rPr>
        <w:t xml:space="preserve">(1979), featured an introduction penned </w:t>
      </w:r>
      <w:r w:rsidR="00240C6D" w:rsidRPr="00AE141E">
        <w:rPr>
          <w:rFonts w:ascii="Times New Roman" w:hAnsi="Times New Roman" w:cs="Times New Roman"/>
          <w:sz w:val="24"/>
          <w:szCs w:val="24"/>
        </w:rPr>
        <w:t xml:space="preserve">by Thatcher. </w:t>
      </w:r>
      <w:r w:rsidR="007F7602" w:rsidRPr="00AE141E">
        <w:rPr>
          <w:rFonts w:ascii="Times New Roman" w:hAnsi="Times New Roman" w:cs="Times New Roman"/>
          <w:sz w:val="24"/>
          <w:szCs w:val="24"/>
        </w:rPr>
        <w:t xml:space="preserve">The soon-to-be Prime Minister </w:t>
      </w:r>
      <w:r w:rsidR="002D41D5" w:rsidRPr="00AE141E">
        <w:rPr>
          <w:rFonts w:ascii="Times New Roman" w:hAnsi="Times New Roman" w:cs="Times New Roman"/>
          <w:sz w:val="24"/>
          <w:szCs w:val="24"/>
        </w:rPr>
        <w:t>despaired that the past was now being judged by the standards of the present</w:t>
      </w:r>
      <w:r w:rsidR="00A35D48" w:rsidRPr="00AE141E">
        <w:rPr>
          <w:rFonts w:ascii="Times New Roman" w:hAnsi="Times New Roman" w:cs="Times New Roman"/>
          <w:sz w:val="24"/>
          <w:szCs w:val="24"/>
        </w:rPr>
        <w:t>, leading to the denigration of Britain’s historic achievements</w:t>
      </w:r>
      <w:r w:rsidR="006E06D3" w:rsidRPr="00AE141E">
        <w:rPr>
          <w:rFonts w:ascii="Times New Roman" w:hAnsi="Times New Roman" w:cs="Times New Roman"/>
          <w:sz w:val="24"/>
          <w:szCs w:val="24"/>
        </w:rPr>
        <w:t xml:space="preserve"> (probably a reference to empire)</w:t>
      </w:r>
      <w:r w:rsidR="00A35D48" w:rsidRPr="00AE141E">
        <w:rPr>
          <w:rFonts w:ascii="Times New Roman" w:hAnsi="Times New Roman" w:cs="Times New Roman"/>
          <w:sz w:val="24"/>
          <w:szCs w:val="24"/>
        </w:rPr>
        <w:t>.</w:t>
      </w:r>
      <w:r w:rsidR="00521CD6" w:rsidRPr="00AE141E">
        <w:rPr>
          <w:rStyle w:val="FootnoteReference"/>
          <w:rFonts w:ascii="Times New Roman" w:hAnsi="Times New Roman" w:cs="Times New Roman"/>
          <w:sz w:val="24"/>
          <w:szCs w:val="24"/>
        </w:rPr>
        <w:footnoteReference w:id="695"/>
      </w:r>
      <w:r w:rsidR="00A93155" w:rsidRPr="00AE141E">
        <w:rPr>
          <w:rFonts w:ascii="Times New Roman" w:hAnsi="Times New Roman" w:cs="Times New Roman"/>
          <w:sz w:val="24"/>
          <w:szCs w:val="24"/>
        </w:rPr>
        <w:t xml:space="preserve"> Both Thomas and Thatcher called for the restoration of ‘</w:t>
      </w:r>
      <w:r w:rsidR="00726A48" w:rsidRPr="00AE141E">
        <w:rPr>
          <w:rFonts w:ascii="Times New Roman" w:hAnsi="Times New Roman" w:cs="Times New Roman"/>
          <w:sz w:val="24"/>
          <w:szCs w:val="24"/>
        </w:rPr>
        <w:t>strong and powerful visions of the past</w:t>
      </w:r>
      <w:r w:rsidR="00A93155" w:rsidRPr="00AE141E">
        <w:rPr>
          <w:rFonts w:ascii="Times New Roman" w:hAnsi="Times New Roman" w:cs="Times New Roman"/>
          <w:sz w:val="24"/>
          <w:szCs w:val="24"/>
        </w:rPr>
        <w:t>’</w:t>
      </w:r>
      <w:r w:rsidR="00726A48" w:rsidRPr="00AE141E">
        <w:rPr>
          <w:rFonts w:ascii="Times New Roman" w:hAnsi="Times New Roman" w:cs="Times New Roman"/>
          <w:sz w:val="24"/>
          <w:szCs w:val="24"/>
        </w:rPr>
        <w:t xml:space="preserve"> </w:t>
      </w:r>
      <w:r w:rsidR="00942074" w:rsidRPr="00AE141E">
        <w:rPr>
          <w:rFonts w:ascii="Times New Roman" w:hAnsi="Times New Roman" w:cs="Times New Roman"/>
          <w:sz w:val="24"/>
          <w:szCs w:val="24"/>
        </w:rPr>
        <w:t xml:space="preserve">capable of </w:t>
      </w:r>
      <w:r w:rsidR="00BA4A74" w:rsidRPr="00AE141E">
        <w:rPr>
          <w:rFonts w:ascii="Times New Roman" w:hAnsi="Times New Roman" w:cs="Times New Roman"/>
          <w:sz w:val="24"/>
          <w:szCs w:val="24"/>
        </w:rPr>
        <w:t xml:space="preserve">animating the national spirit. </w:t>
      </w:r>
      <w:r w:rsidR="004F0CA9" w:rsidRPr="00AE141E">
        <w:rPr>
          <w:rFonts w:ascii="Times New Roman" w:hAnsi="Times New Roman" w:cs="Times New Roman"/>
          <w:sz w:val="24"/>
          <w:szCs w:val="24"/>
        </w:rPr>
        <w:t>This was typical of the</w:t>
      </w:r>
      <w:r w:rsidR="00E66318" w:rsidRPr="00AE141E">
        <w:rPr>
          <w:rFonts w:ascii="Times New Roman" w:hAnsi="Times New Roman" w:cs="Times New Roman"/>
          <w:sz w:val="24"/>
          <w:szCs w:val="24"/>
        </w:rPr>
        <w:t xml:space="preserve"> political commentary of the New Right</w:t>
      </w:r>
      <w:r w:rsidR="004F0CA9" w:rsidRPr="00AE141E">
        <w:rPr>
          <w:rFonts w:ascii="Times New Roman" w:hAnsi="Times New Roman" w:cs="Times New Roman"/>
          <w:sz w:val="24"/>
          <w:szCs w:val="24"/>
        </w:rPr>
        <w:t xml:space="preserve">, which </w:t>
      </w:r>
      <w:r w:rsidR="00E66318" w:rsidRPr="00AE141E">
        <w:rPr>
          <w:rFonts w:ascii="Times New Roman" w:hAnsi="Times New Roman" w:cs="Times New Roman"/>
          <w:sz w:val="24"/>
          <w:szCs w:val="24"/>
        </w:rPr>
        <w:t>asserted the primacy of national cultural distinctiveness in education</w:t>
      </w:r>
      <w:r w:rsidR="004F0CA9" w:rsidRPr="00AE141E">
        <w:rPr>
          <w:rFonts w:ascii="Times New Roman" w:hAnsi="Times New Roman" w:cs="Times New Roman"/>
          <w:sz w:val="24"/>
          <w:szCs w:val="24"/>
        </w:rPr>
        <w:t>. P</w:t>
      </w:r>
      <w:r w:rsidR="00E66318" w:rsidRPr="00AE141E">
        <w:rPr>
          <w:rFonts w:ascii="Times New Roman" w:hAnsi="Times New Roman" w:cs="Times New Roman"/>
          <w:sz w:val="24"/>
          <w:szCs w:val="24"/>
        </w:rPr>
        <w:t>ut simply, ‘teachers in Britain have a duty to transmit British culture’.</w:t>
      </w:r>
      <w:r w:rsidR="00A05A32" w:rsidRPr="00AE141E">
        <w:rPr>
          <w:rStyle w:val="FootnoteReference"/>
          <w:rFonts w:ascii="Times New Roman" w:hAnsi="Times New Roman" w:cs="Times New Roman"/>
          <w:sz w:val="24"/>
          <w:szCs w:val="24"/>
        </w:rPr>
        <w:footnoteReference w:id="696"/>
      </w:r>
      <w:r w:rsidR="00E66318" w:rsidRPr="00AE141E">
        <w:rPr>
          <w:rFonts w:ascii="Times New Roman" w:hAnsi="Times New Roman" w:cs="Times New Roman"/>
          <w:sz w:val="24"/>
          <w:szCs w:val="24"/>
        </w:rPr>
        <w:t xml:space="preserve"> This pertained especially to the communication of history. For the influential conservative philosopher Roger Scruton, national history was the ‘thread which joins such nations to their culture and identity’.</w:t>
      </w:r>
      <w:r w:rsidR="00A05A32" w:rsidRPr="00AE141E">
        <w:rPr>
          <w:rStyle w:val="FootnoteReference"/>
          <w:rFonts w:ascii="Times New Roman" w:hAnsi="Times New Roman" w:cs="Times New Roman"/>
          <w:sz w:val="24"/>
          <w:szCs w:val="24"/>
        </w:rPr>
        <w:footnoteReference w:id="697"/>
      </w:r>
      <w:r w:rsidR="00E66318" w:rsidRPr="00AE141E">
        <w:rPr>
          <w:rFonts w:ascii="Times New Roman" w:hAnsi="Times New Roman" w:cs="Times New Roman"/>
          <w:sz w:val="24"/>
          <w:szCs w:val="24"/>
        </w:rPr>
        <w:t xml:space="preserve"> Failure to teach the national story would cut children off from their roots, compromising the moral and political health of the </w:t>
      </w:r>
      <w:r w:rsidR="002977CC" w:rsidRPr="00AE141E">
        <w:rPr>
          <w:rFonts w:ascii="Times New Roman" w:hAnsi="Times New Roman" w:cs="Times New Roman"/>
          <w:sz w:val="24"/>
          <w:szCs w:val="24"/>
        </w:rPr>
        <w:t>nation</w:t>
      </w:r>
      <w:r w:rsidR="00E66318" w:rsidRPr="00AE141E">
        <w:rPr>
          <w:rFonts w:ascii="Times New Roman" w:hAnsi="Times New Roman" w:cs="Times New Roman"/>
          <w:sz w:val="24"/>
          <w:szCs w:val="24"/>
        </w:rPr>
        <w:t xml:space="preserve"> and casting doubt on </w:t>
      </w:r>
      <w:r w:rsidR="002977CC" w:rsidRPr="00AE141E">
        <w:rPr>
          <w:rFonts w:ascii="Times New Roman" w:hAnsi="Times New Roman" w:cs="Times New Roman"/>
          <w:sz w:val="24"/>
          <w:szCs w:val="24"/>
        </w:rPr>
        <w:t>its future</w:t>
      </w:r>
      <w:r w:rsidR="00E66318" w:rsidRPr="00AE141E">
        <w:rPr>
          <w:rFonts w:ascii="Times New Roman" w:hAnsi="Times New Roman" w:cs="Times New Roman"/>
          <w:sz w:val="24"/>
          <w:szCs w:val="24"/>
        </w:rPr>
        <w:t xml:space="preserve">. This conception relied upon a reifying vision of national culture, and of history, which rendered it fixed and immutable. Continuity was the watchword of the New Right’s historical sensibility. Scruton spoke of a mystified ‘historical sense’ delivered by understanding a </w:t>
      </w:r>
      <w:r w:rsidR="00E66318" w:rsidRPr="00AE141E">
        <w:rPr>
          <w:rFonts w:ascii="Times New Roman" w:hAnsi="Times New Roman" w:cs="Times New Roman"/>
          <w:sz w:val="24"/>
          <w:szCs w:val="24"/>
        </w:rPr>
        <w:lastRenderedPageBreak/>
        <w:t>society’s contemporary ‘social and spiritual condition’.</w:t>
      </w:r>
      <w:r w:rsidR="005F135C" w:rsidRPr="00AE141E">
        <w:rPr>
          <w:rStyle w:val="FootnoteReference"/>
          <w:rFonts w:ascii="Times New Roman" w:hAnsi="Times New Roman" w:cs="Times New Roman"/>
          <w:sz w:val="24"/>
          <w:szCs w:val="24"/>
        </w:rPr>
        <w:footnoteReference w:id="698"/>
      </w:r>
      <w:r w:rsidR="00E66318" w:rsidRPr="00AE141E">
        <w:rPr>
          <w:rFonts w:ascii="Times New Roman" w:hAnsi="Times New Roman" w:cs="Times New Roman"/>
          <w:sz w:val="24"/>
          <w:szCs w:val="24"/>
        </w:rPr>
        <w:t xml:space="preserve"> Understanding the national past was contingent upon one’s membership of the national community in the present: the spirit which animated history was intelligible to today’s citizens as a mirror of their own reality. John Casey, Scruton’s mentor and co-founder of the Conservative Philosophy Group, was more specific. National distinctiveness resided</w:t>
      </w:r>
      <w:r w:rsidR="00EA5257">
        <w:rPr>
          <w:rFonts w:ascii="Times New Roman" w:hAnsi="Times New Roman" w:cs="Times New Roman"/>
          <w:sz w:val="24"/>
          <w:szCs w:val="24"/>
        </w:rPr>
        <w:t xml:space="preserve"> in</w:t>
      </w:r>
      <w:r w:rsidR="00E66318" w:rsidRPr="00AE141E">
        <w:rPr>
          <w:rFonts w:ascii="Times New Roman" w:hAnsi="Times New Roman" w:cs="Times New Roman"/>
          <w:sz w:val="24"/>
          <w:szCs w:val="24"/>
        </w:rPr>
        <w:t xml:space="preserve"> a ‘continuity of institutions’, the British people’s ‘immemorial acceptance’ of authority, and their loyalty to the state.</w:t>
      </w:r>
      <w:r w:rsidR="00933380" w:rsidRPr="00AE141E">
        <w:rPr>
          <w:rStyle w:val="FootnoteReference"/>
          <w:rFonts w:ascii="Times New Roman" w:hAnsi="Times New Roman" w:cs="Times New Roman"/>
          <w:sz w:val="24"/>
          <w:szCs w:val="24"/>
        </w:rPr>
        <w:footnoteReference w:id="699"/>
      </w:r>
      <w:r w:rsidR="00E66318" w:rsidRPr="00AE141E">
        <w:rPr>
          <w:rFonts w:ascii="Times New Roman" w:hAnsi="Times New Roman" w:cs="Times New Roman"/>
          <w:sz w:val="24"/>
          <w:szCs w:val="24"/>
        </w:rPr>
        <w:t xml:space="preserve"> </w:t>
      </w:r>
    </w:p>
    <w:p w14:paraId="50C76B01" w14:textId="1E249A28" w:rsidR="00015AD5" w:rsidRPr="00AE141E"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For Casey and for Scruton, questions of content and interpretation were indivisible. The ‘transmission of culture’ was allied to the pursuit of knowledge.</w:t>
      </w:r>
      <w:r w:rsidR="009065E3" w:rsidRPr="00AE141E">
        <w:rPr>
          <w:rStyle w:val="FootnoteReference"/>
          <w:rFonts w:ascii="Times New Roman" w:hAnsi="Times New Roman" w:cs="Times New Roman"/>
          <w:sz w:val="24"/>
          <w:szCs w:val="24"/>
        </w:rPr>
        <w:footnoteReference w:id="700"/>
      </w:r>
      <w:r w:rsidRPr="00AE141E">
        <w:rPr>
          <w:rFonts w:ascii="Times New Roman" w:hAnsi="Times New Roman" w:cs="Times New Roman"/>
          <w:sz w:val="24"/>
          <w:szCs w:val="24"/>
        </w:rPr>
        <w:t xml:space="preserve"> A chronological, sequential account of British political history would demonstrate the animating force of the national spirit and engender feelings of patriotism and kinship in the young. Advocates of the </w:t>
      </w:r>
      <w:r w:rsidR="00573025" w:rsidRPr="00AE141E">
        <w:rPr>
          <w:rFonts w:ascii="Times New Roman" w:hAnsi="Times New Roman" w:cs="Times New Roman"/>
          <w:sz w:val="24"/>
          <w:szCs w:val="24"/>
        </w:rPr>
        <w:t>‘</w:t>
      </w:r>
      <w:r w:rsidR="00A17280" w:rsidRPr="00AE141E">
        <w:rPr>
          <w:rFonts w:ascii="Times New Roman" w:hAnsi="Times New Roman" w:cs="Times New Roman"/>
          <w:sz w:val="24"/>
          <w:szCs w:val="24"/>
        </w:rPr>
        <w:t>n</w:t>
      </w:r>
      <w:r w:rsidRPr="00AE141E">
        <w:rPr>
          <w:rFonts w:ascii="Times New Roman" w:hAnsi="Times New Roman" w:cs="Times New Roman"/>
          <w:sz w:val="24"/>
          <w:szCs w:val="24"/>
        </w:rPr>
        <w:t xml:space="preserve">ew </w:t>
      </w:r>
      <w:r w:rsidR="00A17280" w:rsidRPr="00AE141E">
        <w:rPr>
          <w:rFonts w:ascii="Times New Roman" w:hAnsi="Times New Roman" w:cs="Times New Roman"/>
          <w:sz w:val="24"/>
          <w:szCs w:val="24"/>
        </w:rPr>
        <w:t>h</w:t>
      </w:r>
      <w:r w:rsidRPr="00AE141E">
        <w:rPr>
          <w:rFonts w:ascii="Times New Roman" w:hAnsi="Times New Roman" w:cs="Times New Roman"/>
          <w:sz w:val="24"/>
          <w:szCs w:val="24"/>
        </w:rPr>
        <w:t>istory</w:t>
      </w:r>
      <w:r w:rsidR="00573025" w:rsidRPr="00AE141E">
        <w:rPr>
          <w:rFonts w:ascii="Times New Roman" w:hAnsi="Times New Roman" w:cs="Times New Roman"/>
          <w:sz w:val="24"/>
          <w:szCs w:val="24"/>
        </w:rPr>
        <w:t>’</w:t>
      </w:r>
      <w:r w:rsidRPr="00AE141E">
        <w:rPr>
          <w:rFonts w:ascii="Times New Roman" w:hAnsi="Times New Roman" w:cs="Times New Roman"/>
          <w:sz w:val="24"/>
          <w:szCs w:val="24"/>
        </w:rPr>
        <w:t xml:space="preserve"> and of multiculturalism were accused of a ‘specious relativism’ which starved the past of its meaning and coherence.</w:t>
      </w:r>
      <w:r w:rsidR="009065E3" w:rsidRPr="00AE141E">
        <w:rPr>
          <w:rStyle w:val="FootnoteReference"/>
          <w:rFonts w:ascii="Times New Roman" w:hAnsi="Times New Roman" w:cs="Times New Roman"/>
          <w:sz w:val="24"/>
          <w:szCs w:val="24"/>
        </w:rPr>
        <w:footnoteReference w:id="701"/>
      </w:r>
      <w:r w:rsidRPr="00AE141E">
        <w:rPr>
          <w:rFonts w:ascii="Times New Roman" w:hAnsi="Times New Roman" w:cs="Times New Roman"/>
          <w:sz w:val="24"/>
          <w:szCs w:val="24"/>
        </w:rPr>
        <w:t xml:space="preserve"> To decentre British nationhood was to deprive history of its organising narrative and to throw the country’s very survival into question. According to conservative commentator Simon Pearce, the multicultural approach embraced by the Swann Report constituted a ‘dramatic break in the continuity of our national life’.</w:t>
      </w:r>
      <w:r w:rsidR="009065E3" w:rsidRPr="00AE141E">
        <w:rPr>
          <w:rStyle w:val="FootnoteReference"/>
          <w:rFonts w:ascii="Times New Roman" w:hAnsi="Times New Roman" w:cs="Times New Roman"/>
          <w:sz w:val="24"/>
          <w:szCs w:val="24"/>
        </w:rPr>
        <w:footnoteReference w:id="702"/>
      </w:r>
      <w:r w:rsidRPr="00AE141E">
        <w:rPr>
          <w:rFonts w:ascii="Times New Roman" w:hAnsi="Times New Roman" w:cs="Times New Roman"/>
          <w:sz w:val="24"/>
          <w:szCs w:val="24"/>
        </w:rPr>
        <w:t xml:space="preserve"> If continuity was the hallmark of the national character, then it stood to reason that breaks in continuity – including breaks in the continuity of historiographical interpretation – were in some sense anti-national.</w:t>
      </w:r>
      <w:r w:rsidR="00D523A9" w:rsidRPr="00AE141E">
        <w:rPr>
          <w:rFonts w:ascii="Times New Roman" w:hAnsi="Times New Roman" w:cs="Times New Roman"/>
          <w:sz w:val="24"/>
          <w:szCs w:val="24"/>
        </w:rPr>
        <w:t xml:space="preserve"> </w:t>
      </w:r>
      <w:r w:rsidR="00BD155E" w:rsidRPr="00AE141E">
        <w:rPr>
          <w:rFonts w:ascii="Times New Roman" w:hAnsi="Times New Roman" w:cs="Times New Roman"/>
          <w:sz w:val="24"/>
          <w:szCs w:val="24"/>
        </w:rPr>
        <w:t xml:space="preserve">The New Right </w:t>
      </w:r>
      <w:r w:rsidR="006C042D" w:rsidRPr="00AE141E">
        <w:rPr>
          <w:rFonts w:ascii="Times New Roman" w:hAnsi="Times New Roman" w:cs="Times New Roman"/>
          <w:sz w:val="24"/>
          <w:szCs w:val="24"/>
        </w:rPr>
        <w:t>reflected bitterly on the decline of a ‘</w:t>
      </w:r>
      <w:r w:rsidR="00C115C1" w:rsidRPr="00AE141E">
        <w:rPr>
          <w:rFonts w:ascii="Times New Roman" w:hAnsi="Times New Roman" w:cs="Times New Roman"/>
          <w:sz w:val="24"/>
          <w:szCs w:val="24"/>
        </w:rPr>
        <w:t>g</w:t>
      </w:r>
      <w:r w:rsidR="006C042D" w:rsidRPr="00AE141E">
        <w:rPr>
          <w:rFonts w:ascii="Times New Roman" w:hAnsi="Times New Roman" w:cs="Times New Roman"/>
          <w:sz w:val="24"/>
          <w:szCs w:val="24"/>
        </w:rPr>
        <w:t xml:space="preserve">olden </w:t>
      </w:r>
      <w:r w:rsidR="00C115C1" w:rsidRPr="00AE141E">
        <w:rPr>
          <w:rFonts w:ascii="Times New Roman" w:hAnsi="Times New Roman" w:cs="Times New Roman"/>
          <w:sz w:val="24"/>
          <w:szCs w:val="24"/>
        </w:rPr>
        <w:t>a</w:t>
      </w:r>
      <w:r w:rsidR="006C042D" w:rsidRPr="00AE141E">
        <w:rPr>
          <w:rFonts w:ascii="Times New Roman" w:hAnsi="Times New Roman" w:cs="Times New Roman"/>
          <w:sz w:val="24"/>
          <w:szCs w:val="24"/>
        </w:rPr>
        <w:t xml:space="preserve">ge’ of </w:t>
      </w:r>
      <w:r w:rsidR="00993583" w:rsidRPr="00AE141E">
        <w:rPr>
          <w:rFonts w:ascii="Times New Roman" w:hAnsi="Times New Roman" w:cs="Times New Roman"/>
          <w:sz w:val="24"/>
          <w:szCs w:val="24"/>
        </w:rPr>
        <w:t>histor</w:t>
      </w:r>
      <w:r w:rsidR="00920365">
        <w:rPr>
          <w:rFonts w:ascii="Times New Roman" w:hAnsi="Times New Roman" w:cs="Times New Roman"/>
          <w:sz w:val="24"/>
          <w:szCs w:val="24"/>
        </w:rPr>
        <w:t>y</w:t>
      </w:r>
      <w:r w:rsidR="00993583" w:rsidRPr="00AE141E">
        <w:rPr>
          <w:rFonts w:ascii="Times New Roman" w:hAnsi="Times New Roman" w:cs="Times New Roman"/>
          <w:sz w:val="24"/>
          <w:szCs w:val="24"/>
        </w:rPr>
        <w:t xml:space="preserve"> </w:t>
      </w:r>
      <w:r w:rsidR="00920365">
        <w:rPr>
          <w:rFonts w:ascii="Times New Roman" w:hAnsi="Times New Roman" w:cs="Times New Roman"/>
          <w:sz w:val="24"/>
          <w:szCs w:val="24"/>
        </w:rPr>
        <w:t>teaching</w:t>
      </w:r>
      <w:r w:rsidR="006C042D" w:rsidRPr="00AE141E">
        <w:rPr>
          <w:rFonts w:ascii="Times New Roman" w:hAnsi="Times New Roman" w:cs="Times New Roman"/>
          <w:sz w:val="24"/>
          <w:szCs w:val="24"/>
        </w:rPr>
        <w:t xml:space="preserve">, in which </w:t>
      </w:r>
      <w:r w:rsidR="00D56867" w:rsidRPr="00AE141E">
        <w:rPr>
          <w:rFonts w:ascii="Times New Roman" w:hAnsi="Times New Roman" w:cs="Times New Roman"/>
          <w:sz w:val="24"/>
          <w:szCs w:val="24"/>
        </w:rPr>
        <w:t xml:space="preserve">the role of the </w:t>
      </w:r>
      <w:r w:rsidR="00920365">
        <w:rPr>
          <w:rFonts w:ascii="Times New Roman" w:hAnsi="Times New Roman" w:cs="Times New Roman"/>
          <w:sz w:val="24"/>
          <w:szCs w:val="24"/>
        </w:rPr>
        <w:t>teacher</w:t>
      </w:r>
      <w:r w:rsidR="00D56867" w:rsidRPr="00AE141E">
        <w:rPr>
          <w:rFonts w:ascii="Times New Roman" w:hAnsi="Times New Roman" w:cs="Times New Roman"/>
          <w:sz w:val="24"/>
          <w:szCs w:val="24"/>
        </w:rPr>
        <w:t xml:space="preserve"> was </w:t>
      </w:r>
      <w:r w:rsidR="00993583" w:rsidRPr="00AE141E">
        <w:rPr>
          <w:rFonts w:ascii="Times New Roman" w:hAnsi="Times New Roman" w:cs="Times New Roman"/>
          <w:sz w:val="24"/>
          <w:szCs w:val="24"/>
        </w:rPr>
        <w:t xml:space="preserve">simply to introduce pupils to the ‘reality and certainty of the past as it </w:t>
      </w:r>
      <w:r w:rsidR="00BC41E7" w:rsidRPr="00AE141E">
        <w:rPr>
          <w:rFonts w:ascii="Times New Roman" w:hAnsi="Times New Roman" w:cs="Times New Roman"/>
          <w:sz w:val="24"/>
          <w:szCs w:val="24"/>
        </w:rPr>
        <w:t>existed’.</w:t>
      </w:r>
      <w:r w:rsidR="00B13909" w:rsidRPr="00AE141E">
        <w:rPr>
          <w:rStyle w:val="FootnoteReference"/>
          <w:rFonts w:ascii="Times New Roman" w:hAnsi="Times New Roman" w:cs="Times New Roman"/>
          <w:sz w:val="24"/>
          <w:szCs w:val="24"/>
        </w:rPr>
        <w:footnoteReference w:id="703"/>
      </w:r>
      <w:r w:rsidR="00BC41E7" w:rsidRPr="00AE141E">
        <w:rPr>
          <w:rFonts w:ascii="Times New Roman" w:hAnsi="Times New Roman" w:cs="Times New Roman"/>
          <w:sz w:val="24"/>
          <w:szCs w:val="24"/>
        </w:rPr>
        <w:t xml:space="preserve"> </w:t>
      </w:r>
      <w:r w:rsidR="009E79A4" w:rsidRPr="00AE141E">
        <w:rPr>
          <w:rFonts w:ascii="Times New Roman" w:hAnsi="Times New Roman" w:cs="Times New Roman"/>
          <w:sz w:val="24"/>
          <w:szCs w:val="24"/>
        </w:rPr>
        <w:t xml:space="preserve">History, in this interpretation, </w:t>
      </w:r>
      <w:r w:rsidR="0054374C" w:rsidRPr="00AE141E">
        <w:rPr>
          <w:rFonts w:ascii="Times New Roman" w:hAnsi="Times New Roman" w:cs="Times New Roman"/>
          <w:sz w:val="24"/>
          <w:szCs w:val="24"/>
        </w:rPr>
        <w:t xml:space="preserve">was a fixed, testable body of knowledge, comprising incontrovertible, morally significant </w:t>
      </w:r>
      <w:r w:rsidR="00C268F1" w:rsidRPr="00AE141E">
        <w:rPr>
          <w:rFonts w:ascii="Times New Roman" w:hAnsi="Times New Roman" w:cs="Times New Roman"/>
          <w:sz w:val="24"/>
          <w:szCs w:val="24"/>
        </w:rPr>
        <w:t>truths.</w:t>
      </w:r>
      <w:r w:rsidR="00D523A9" w:rsidRPr="00AE141E">
        <w:rPr>
          <w:rFonts w:ascii="Times New Roman" w:hAnsi="Times New Roman" w:cs="Times New Roman"/>
          <w:sz w:val="24"/>
          <w:szCs w:val="24"/>
        </w:rPr>
        <w:t xml:space="preserve"> </w:t>
      </w:r>
      <w:r w:rsidR="002408CB" w:rsidRPr="00AE141E">
        <w:rPr>
          <w:rFonts w:ascii="Times New Roman" w:hAnsi="Times New Roman" w:cs="Times New Roman"/>
          <w:sz w:val="24"/>
          <w:szCs w:val="24"/>
        </w:rPr>
        <w:t>The</w:t>
      </w:r>
      <w:r w:rsidR="006D0DDE" w:rsidRPr="00AE141E">
        <w:rPr>
          <w:rFonts w:ascii="Times New Roman" w:hAnsi="Times New Roman" w:cs="Times New Roman"/>
          <w:sz w:val="24"/>
          <w:szCs w:val="24"/>
        </w:rPr>
        <w:t xml:space="preserve"> d</w:t>
      </w:r>
      <w:r w:rsidR="00BD155E" w:rsidRPr="00AE141E">
        <w:rPr>
          <w:rFonts w:ascii="Times New Roman" w:hAnsi="Times New Roman" w:cs="Times New Roman"/>
          <w:sz w:val="24"/>
          <w:szCs w:val="24"/>
        </w:rPr>
        <w:t>esire for a past</w:t>
      </w:r>
      <w:r w:rsidR="00D523A9" w:rsidRPr="00AE141E">
        <w:rPr>
          <w:rFonts w:ascii="Times New Roman" w:hAnsi="Times New Roman" w:cs="Times New Roman"/>
          <w:sz w:val="24"/>
          <w:szCs w:val="24"/>
        </w:rPr>
        <w:t xml:space="preserve"> –</w:t>
      </w:r>
      <w:r w:rsidR="006D0DDE" w:rsidRPr="00AE141E">
        <w:rPr>
          <w:rFonts w:ascii="Times New Roman" w:hAnsi="Times New Roman" w:cs="Times New Roman"/>
          <w:sz w:val="24"/>
          <w:szCs w:val="24"/>
        </w:rPr>
        <w:t xml:space="preserve"> </w:t>
      </w:r>
      <w:r w:rsidR="006D0DDE" w:rsidRPr="00AE141E">
        <w:rPr>
          <w:rFonts w:ascii="Times New Roman" w:hAnsi="Times New Roman" w:cs="Times New Roman"/>
          <w:i/>
          <w:sz w:val="24"/>
          <w:szCs w:val="24"/>
        </w:rPr>
        <w:t>and</w:t>
      </w:r>
      <w:r w:rsidR="00D523A9" w:rsidRPr="00AE141E">
        <w:rPr>
          <w:rFonts w:ascii="Times New Roman" w:hAnsi="Times New Roman" w:cs="Times New Roman"/>
          <w:i/>
          <w:sz w:val="24"/>
          <w:szCs w:val="24"/>
        </w:rPr>
        <w:t xml:space="preserve"> </w:t>
      </w:r>
      <w:r w:rsidR="006D0DDE" w:rsidRPr="00AE141E">
        <w:rPr>
          <w:rFonts w:ascii="Times New Roman" w:hAnsi="Times New Roman" w:cs="Times New Roman"/>
          <w:i/>
          <w:sz w:val="24"/>
          <w:szCs w:val="24"/>
        </w:rPr>
        <w:t>for a histor</w:t>
      </w:r>
      <w:r w:rsidR="00D523A9" w:rsidRPr="00AE141E">
        <w:rPr>
          <w:rFonts w:ascii="Times New Roman" w:hAnsi="Times New Roman" w:cs="Times New Roman"/>
          <w:i/>
          <w:sz w:val="24"/>
          <w:szCs w:val="24"/>
        </w:rPr>
        <w:t>ical praxis</w:t>
      </w:r>
      <w:r w:rsidR="00D523A9" w:rsidRPr="00AE141E">
        <w:rPr>
          <w:rFonts w:ascii="Times New Roman" w:hAnsi="Times New Roman" w:cs="Times New Roman"/>
          <w:sz w:val="24"/>
          <w:szCs w:val="24"/>
        </w:rPr>
        <w:t xml:space="preserve"> –</w:t>
      </w:r>
      <w:r w:rsidR="00BD155E" w:rsidRPr="00AE141E">
        <w:rPr>
          <w:rFonts w:ascii="Times New Roman" w:hAnsi="Times New Roman" w:cs="Times New Roman"/>
          <w:sz w:val="24"/>
          <w:szCs w:val="24"/>
        </w:rPr>
        <w:t xml:space="preserve"> imagined</w:t>
      </w:r>
      <w:r w:rsidR="00D523A9" w:rsidRPr="00AE141E">
        <w:rPr>
          <w:rFonts w:ascii="Times New Roman" w:hAnsi="Times New Roman" w:cs="Times New Roman"/>
          <w:sz w:val="24"/>
          <w:szCs w:val="24"/>
        </w:rPr>
        <w:t xml:space="preserve"> </w:t>
      </w:r>
      <w:r w:rsidR="00BD155E" w:rsidRPr="00AE141E">
        <w:rPr>
          <w:rFonts w:ascii="Times New Roman" w:hAnsi="Times New Roman" w:cs="Times New Roman"/>
          <w:sz w:val="24"/>
          <w:szCs w:val="24"/>
        </w:rPr>
        <w:t>as fundamentally stable and assured</w:t>
      </w:r>
      <w:r w:rsidR="00D523A9" w:rsidRPr="00AE141E">
        <w:rPr>
          <w:rFonts w:ascii="Times New Roman" w:hAnsi="Times New Roman" w:cs="Times New Roman"/>
          <w:sz w:val="24"/>
          <w:szCs w:val="24"/>
        </w:rPr>
        <w:t xml:space="preserve">, </w:t>
      </w:r>
      <w:r w:rsidR="00870486">
        <w:rPr>
          <w:rFonts w:ascii="Times New Roman" w:hAnsi="Times New Roman" w:cs="Times New Roman"/>
          <w:sz w:val="24"/>
          <w:szCs w:val="24"/>
        </w:rPr>
        <w:t>spoke</w:t>
      </w:r>
      <w:r w:rsidR="00BD155E" w:rsidRPr="00AE141E">
        <w:rPr>
          <w:rFonts w:ascii="Times New Roman" w:hAnsi="Times New Roman" w:cs="Times New Roman"/>
          <w:sz w:val="24"/>
          <w:szCs w:val="24"/>
        </w:rPr>
        <w:t xml:space="preserve"> to</w:t>
      </w:r>
      <w:r w:rsidR="00164EEF" w:rsidRPr="00AE141E">
        <w:rPr>
          <w:rFonts w:ascii="Times New Roman" w:hAnsi="Times New Roman" w:cs="Times New Roman"/>
          <w:sz w:val="24"/>
          <w:szCs w:val="24"/>
        </w:rPr>
        <w:t xml:space="preserve"> a</w:t>
      </w:r>
      <w:r w:rsidR="00BD155E" w:rsidRPr="00AE141E">
        <w:rPr>
          <w:rFonts w:ascii="Times New Roman" w:hAnsi="Times New Roman" w:cs="Times New Roman"/>
          <w:sz w:val="24"/>
          <w:szCs w:val="24"/>
        </w:rPr>
        <w:t xml:space="preserve"> fear of the uncertainties and insecurities of the present.</w:t>
      </w:r>
    </w:p>
    <w:p w14:paraId="09A44D70" w14:textId="157CD4D9" w:rsidR="00EA6219" w:rsidRDefault="00786624" w:rsidP="00AE141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New Right sought to return empire to the heart of </w:t>
      </w:r>
      <w:r w:rsidR="00CE3264">
        <w:rPr>
          <w:rFonts w:ascii="Times New Roman" w:hAnsi="Times New Roman" w:cs="Times New Roman"/>
          <w:sz w:val="24"/>
          <w:szCs w:val="24"/>
        </w:rPr>
        <w:t>the</w:t>
      </w:r>
      <w:r w:rsidR="003C453F">
        <w:rPr>
          <w:rFonts w:ascii="Times New Roman" w:hAnsi="Times New Roman" w:cs="Times New Roman"/>
          <w:sz w:val="24"/>
          <w:szCs w:val="24"/>
        </w:rPr>
        <w:t xml:space="preserve"> </w:t>
      </w:r>
      <w:r>
        <w:rPr>
          <w:rFonts w:ascii="Times New Roman" w:hAnsi="Times New Roman" w:cs="Times New Roman"/>
          <w:sz w:val="24"/>
          <w:szCs w:val="24"/>
        </w:rPr>
        <w:t>national story.</w:t>
      </w:r>
      <w:r w:rsidR="0014334C" w:rsidRPr="00AE141E">
        <w:rPr>
          <w:rFonts w:ascii="Times New Roman" w:hAnsi="Times New Roman" w:cs="Times New Roman"/>
          <w:sz w:val="24"/>
          <w:szCs w:val="24"/>
        </w:rPr>
        <w:t xml:space="preserve"> Stuart D</w:t>
      </w:r>
      <w:r w:rsidR="0020012C" w:rsidRPr="00AE141E">
        <w:rPr>
          <w:rFonts w:ascii="Times New Roman" w:hAnsi="Times New Roman" w:cs="Times New Roman"/>
          <w:sz w:val="24"/>
          <w:szCs w:val="24"/>
        </w:rPr>
        <w:t>euchar, a some-time teacher associated with the Campaign for Real Education and the CPS, described the</w:t>
      </w:r>
      <w:r w:rsidR="003E4456" w:rsidRPr="00AE141E">
        <w:rPr>
          <w:rFonts w:ascii="Times New Roman" w:hAnsi="Times New Roman" w:cs="Times New Roman"/>
          <w:sz w:val="24"/>
          <w:szCs w:val="24"/>
        </w:rPr>
        <w:t xml:space="preserve"> </w:t>
      </w:r>
      <w:r w:rsidR="00573025" w:rsidRPr="00AE141E">
        <w:rPr>
          <w:rFonts w:ascii="Times New Roman" w:hAnsi="Times New Roman" w:cs="Times New Roman"/>
          <w:sz w:val="24"/>
          <w:szCs w:val="24"/>
        </w:rPr>
        <w:t>‘</w:t>
      </w:r>
      <w:r w:rsidR="00A17280" w:rsidRPr="00AE141E">
        <w:rPr>
          <w:rFonts w:ascii="Times New Roman" w:hAnsi="Times New Roman" w:cs="Times New Roman"/>
          <w:sz w:val="24"/>
          <w:szCs w:val="24"/>
        </w:rPr>
        <w:t>n</w:t>
      </w:r>
      <w:r w:rsidR="003E4456" w:rsidRPr="00AE141E">
        <w:rPr>
          <w:rFonts w:ascii="Times New Roman" w:hAnsi="Times New Roman" w:cs="Times New Roman"/>
          <w:sz w:val="24"/>
          <w:szCs w:val="24"/>
        </w:rPr>
        <w:t xml:space="preserve">ew </w:t>
      </w:r>
      <w:r w:rsidR="00A17280" w:rsidRPr="00AE141E">
        <w:rPr>
          <w:rFonts w:ascii="Times New Roman" w:hAnsi="Times New Roman" w:cs="Times New Roman"/>
          <w:sz w:val="24"/>
          <w:szCs w:val="24"/>
        </w:rPr>
        <w:t>h</w:t>
      </w:r>
      <w:r w:rsidR="003E4456" w:rsidRPr="00AE141E">
        <w:rPr>
          <w:rFonts w:ascii="Times New Roman" w:hAnsi="Times New Roman" w:cs="Times New Roman"/>
          <w:sz w:val="24"/>
          <w:szCs w:val="24"/>
        </w:rPr>
        <w:t>istory</w:t>
      </w:r>
      <w:r w:rsidR="00573025" w:rsidRPr="00AE141E">
        <w:rPr>
          <w:rFonts w:ascii="Times New Roman" w:hAnsi="Times New Roman" w:cs="Times New Roman"/>
          <w:sz w:val="24"/>
          <w:szCs w:val="24"/>
        </w:rPr>
        <w:t>’</w:t>
      </w:r>
      <w:r w:rsidR="0020012C" w:rsidRPr="00AE141E">
        <w:rPr>
          <w:rFonts w:ascii="Times New Roman" w:hAnsi="Times New Roman" w:cs="Times New Roman"/>
          <w:sz w:val="24"/>
          <w:szCs w:val="24"/>
        </w:rPr>
        <w:t xml:space="preserve"> as</w:t>
      </w:r>
      <w:r w:rsidR="003E4456" w:rsidRPr="00AE141E">
        <w:rPr>
          <w:rFonts w:ascii="Times New Roman" w:hAnsi="Times New Roman" w:cs="Times New Roman"/>
          <w:sz w:val="24"/>
          <w:szCs w:val="24"/>
        </w:rPr>
        <w:t xml:space="preserve"> a manifestation</w:t>
      </w:r>
      <w:r w:rsidR="00BC4BA4">
        <w:rPr>
          <w:rFonts w:ascii="Times New Roman" w:hAnsi="Times New Roman" w:cs="Times New Roman"/>
          <w:sz w:val="24"/>
          <w:szCs w:val="24"/>
        </w:rPr>
        <w:t xml:space="preserve"> of</w:t>
      </w:r>
      <w:r w:rsidR="003E4456" w:rsidRPr="00AE141E">
        <w:rPr>
          <w:rFonts w:ascii="Times New Roman" w:hAnsi="Times New Roman" w:cs="Times New Roman"/>
          <w:sz w:val="24"/>
          <w:szCs w:val="24"/>
        </w:rPr>
        <w:t xml:space="preserve"> </w:t>
      </w:r>
      <w:r w:rsidR="0020012C" w:rsidRPr="00AE141E">
        <w:rPr>
          <w:rFonts w:ascii="Times New Roman" w:hAnsi="Times New Roman" w:cs="Times New Roman"/>
          <w:sz w:val="24"/>
          <w:szCs w:val="24"/>
        </w:rPr>
        <w:t>the nation’s</w:t>
      </w:r>
      <w:r w:rsidR="003E4456" w:rsidRPr="00AE141E">
        <w:rPr>
          <w:rFonts w:ascii="Times New Roman" w:hAnsi="Times New Roman" w:cs="Times New Roman"/>
          <w:sz w:val="24"/>
          <w:szCs w:val="24"/>
        </w:rPr>
        <w:t xml:space="preserve"> </w:t>
      </w:r>
      <w:r w:rsidR="0020012C" w:rsidRPr="00AE141E">
        <w:rPr>
          <w:rFonts w:ascii="Times New Roman" w:hAnsi="Times New Roman" w:cs="Times New Roman"/>
          <w:sz w:val="24"/>
          <w:szCs w:val="24"/>
        </w:rPr>
        <w:t>‘</w:t>
      </w:r>
      <w:r w:rsidR="003E4456" w:rsidRPr="00AE141E">
        <w:rPr>
          <w:rFonts w:ascii="Times New Roman" w:hAnsi="Times New Roman" w:cs="Times New Roman"/>
          <w:sz w:val="24"/>
          <w:szCs w:val="24"/>
        </w:rPr>
        <w:t>post-colonial neuroses’</w:t>
      </w:r>
      <w:r w:rsidR="003109A2" w:rsidRPr="00AE141E">
        <w:rPr>
          <w:rFonts w:ascii="Times New Roman" w:hAnsi="Times New Roman" w:cs="Times New Roman"/>
          <w:sz w:val="24"/>
          <w:szCs w:val="24"/>
        </w:rPr>
        <w:t>.</w:t>
      </w:r>
      <w:r w:rsidR="00C115C1" w:rsidRPr="00AE141E">
        <w:rPr>
          <w:rStyle w:val="FootnoteReference"/>
          <w:rFonts w:ascii="Times New Roman" w:hAnsi="Times New Roman" w:cs="Times New Roman"/>
          <w:sz w:val="24"/>
          <w:szCs w:val="24"/>
        </w:rPr>
        <w:footnoteReference w:id="704"/>
      </w:r>
      <w:r w:rsidR="00BD0C1E">
        <w:rPr>
          <w:rFonts w:ascii="Times New Roman" w:hAnsi="Times New Roman" w:cs="Times New Roman"/>
          <w:sz w:val="24"/>
          <w:szCs w:val="24"/>
        </w:rPr>
        <w:t xml:space="preserve"> </w:t>
      </w:r>
      <w:r w:rsidR="00936564">
        <w:rPr>
          <w:rFonts w:ascii="Times New Roman" w:hAnsi="Times New Roman" w:cs="Times New Roman"/>
          <w:sz w:val="24"/>
          <w:szCs w:val="24"/>
        </w:rPr>
        <w:t>A</w:t>
      </w:r>
      <w:r w:rsidR="007E11DD">
        <w:rPr>
          <w:rFonts w:ascii="Times New Roman" w:hAnsi="Times New Roman" w:cs="Times New Roman"/>
          <w:sz w:val="24"/>
          <w:szCs w:val="24"/>
        </w:rPr>
        <w:t xml:space="preserve">nti-colonial histories attracted hostile </w:t>
      </w:r>
      <w:r w:rsidR="00BD0C1E">
        <w:rPr>
          <w:rFonts w:ascii="Times New Roman" w:hAnsi="Times New Roman" w:cs="Times New Roman"/>
          <w:sz w:val="24"/>
          <w:szCs w:val="24"/>
        </w:rPr>
        <w:t>attention</w:t>
      </w:r>
      <w:r w:rsidR="007E11DD">
        <w:rPr>
          <w:rFonts w:ascii="Times New Roman" w:hAnsi="Times New Roman" w:cs="Times New Roman"/>
          <w:sz w:val="24"/>
          <w:szCs w:val="24"/>
        </w:rPr>
        <w:t xml:space="preserve"> from the New Right</w:t>
      </w:r>
      <w:r w:rsidR="0073695D" w:rsidRPr="00AE141E">
        <w:rPr>
          <w:rFonts w:ascii="Times New Roman" w:hAnsi="Times New Roman" w:cs="Times New Roman"/>
          <w:sz w:val="24"/>
          <w:szCs w:val="24"/>
        </w:rPr>
        <w:t xml:space="preserve">, as </w:t>
      </w:r>
      <w:r w:rsidR="00E66318" w:rsidRPr="00AE141E">
        <w:rPr>
          <w:rFonts w:ascii="Times New Roman" w:hAnsi="Times New Roman" w:cs="Times New Roman"/>
          <w:sz w:val="24"/>
          <w:szCs w:val="24"/>
        </w:rPr>
        <w:t xml:space="preserve">illustrated by the outcry over a children’s educational series produced by the IRR. It was book three (entitled </w:t>
      </w:r>
      <w:r w:rsidR="00E66318" w:rsidRPr="00AE141E">
        <w:rPr>
          <w:rFonts w:ascii="Times New Roman" w:hAnsi="Times New Roman" w:cs="Times New Roman"/>
          <w:i/>
          <w:sz w:val="24"/>
          <w:szCs w:val="24"/>
        </w:rPr>
        <w:t>How Racism Came to Britain</w:t>
      </w:r>
      <w:r w:rsidR="00E66318" w:rsidRPr="00AE141E">
        <w:rPr>
          <w:rFonts w:ascii="Times New Roman" w:hAnsi="Times New Roman" w:cs="Times New Roman"/>
          <w:sz w:val="24"/>
          <w:szCs w:val="24"/>
        </w:rPr>
        <w:t>) around which a political firestorm eventually broke, generating dozens of critiques and a Channel 4</w:t>
      </w:r>
      <w:r w:rsidR="00B06090" w:rsidRPr="00AE141E">
        <w:rPr>
          <w:rFonts w:ascii="Times New Roman" w:hAnsi="Times New Roman" w:cs="Times New Roman"/>
          <w:sz w:val="24"/>
          <w:szCs w:val="24"/>
        </w:rPr>
        <w:t xml:space="preserve"> special</w:t>
      </w:r>
      <w:r w:rsidR="00E66318" w:rsidRPr="00AE141E">
        <w:rPr>
          <w:rFonts w:ascii="Times New Roman" w:hAnsi="Times New Roman" w:cs="Times New Roman"/>
          <w:sz w:val="24"/>
          <w:szCs w:val="24"/>
        </w:rPr>
        <w:t>.</w:t>
      </w:r>
      <w:r w:rsidR="00B06090" w:rsidRPr="00AE141E">
        <w:rPr>
          <w:rStyle w:val="FootnoteReference"/>
          <w:rFonts w:ascii="Times New Roman" w:hAnsi="Times New Roman" w:cs="Times New Roman"/>
          <w:sz w:val="24"/>
          <w:szCs w:val="24"/>
        </w:rPr>
        <w:footnoteReference w:id="705"/>
      </w:r>
      <w:r w:rsidR="00E66318" w:rsidRPr="00AE141E">
        <w:rPr>
          <w:rFonts w:ascii="Times New Roman" w:hAnsi="Times New Roman" w:cs="Times New Roman"/>
          <w:sz w:val="24"/>
          <w:szCs w:val="24"/>
        </w:rPr>
        <w:t xml:space="preserve"> </w:t>
      </w:r>
      <w:r w:rsidR="00E66318" w:rsidRPr="00AE141E">
        <w:rPr>
          <w:rFonts w:ascii="Times New Roman" w:hAnsi="Times New Roman" w:cs="Times New Roman"/>
          <w:i/>
          <w:sz w:val="24"/>
          <w:szCs w:val="24"/>
        </w:rPr>
        <w:t>How Racism Came to Britain</w:t>
      </w:r>
      <w:r w:rsidR="00E66318" w:rsidRPr="00AE141E">
        <w:rPr>
          <w:rFonts w:ascii="Times New Roman" w:hAnsi="Times New Roman" w:cs="Times New Roman"/>
          <w:sz w:val="24"/>
          <w:szCs w:val="24"/>
        </w:rPr>
        <w:t xml:space="preserve"> offered a series of cartoons which situated contemporary British racism in </w:t>
      </w:r>
      <w:r w:rsidR="00137BD7">
        <w:rPr>
          <w:rFonts w:ascii="Times New Roman" w:hAnsi="Times New Roman" w:cs="Times New Roman"/>
          <w:sz w:val="24"/>
          <w:szCs w:val="24"/>
        </w:rPr>
        <w:t>its</w:t>
      </w:r>
      <w:r w:rsidR="00E66318" w:rsidRPr="00AE141E">
        <w:rPr>
          <w:rFonts w:ascii="Times New Roman" w:hAnsi="Times New Roman" w:cs="Times New Roman"/>
          <w:sz w:val="24"/>
          <w:szCs w:val="24"/>
        </w:rPr>
        <w:t xml:space="preserve"> historical context, exploring the imperative of racial ideology as justification for imperial expansion. Politicians, journalists, and polemicists were perhaps attracted by the book’s </w:t>
      </w:r>
      <w:r w:rsidR="00137BD7">
        <w:rPr>
          <w:rFonts w:ascii="Times New Roman" w:hAnsi="Times New Roman" w:cs="Times New Roman"/>
          <w:sz w:val="24"/>
          <w:szCs w:val="24"/>
        </w:rPr>
        <w:t xml:space="preserve">cartoon </w:t>
      </w:r>
      <w:r w:rsidR="00E66318" w:rsidRPr="00AE141E">
        <w:rPr>
          <w:rFonts w:ascii="Times New Roman" w:hAnsi="Times New Roman" w:cs="Times New Roman"/>
          <w:sz w:val="24"/>
          <w:szCs w:val="24"/>
        </w:rPr>
        <w:t>format, which they argued was emblematic of its supposed caricature of the national story.</w:t>
      </w:r>
      <w:r w:rsidR="007C3360">
        <w:rPr>
          <w:rStyle w:val="FootnoteReference"/>
          <w:rFonts w:ascii="Times New Roman" w:hAnsi="Times New Roman" w:cs="Times New Roman"/>
          <w:sz w:val="24"/>
          <w:szCs w:val="24"/>
        </w:rPr>
        <w:footnoteReference w:id="706"/>
      </w:r>
      <w:r w:rsidR="00E66318" w:rsidRPr="00AE141E">
        <w:rPr>
          <w:rFonts w:ascii="Times New Roman" w:hAnsi="Times New Roman" w:cs="Times New Roman"/>
          <w:sz w:val="24"/>
          <w:szCs w:val="24"/>
        </w:rPr>
        <w:t xml:space="preserve"> </w:t>
      </w:r>
    </w:p>
    <w:p w14:paraId="404C10C8" w14:textId="0BB0C7E5" w:rsidR="00EA6219" w:rsidRPr="00A77612" w:rsidRDefault="00E66318" w:rsidP="00A77612">
      <w:pPr>
        <w:pStyle w:val="Style1"/>
        <w:rPr>
          <w:b w:val="0"/>
          <w:bCs w:val="0"/>
        </w:rPr>
      </w:pPr>
      <w:r w:rsidRPr="00A77612">
        <w:rPr>
          <w:b w:val="0"/>
          <w:bCs w:val="0"/>
        </w:rPr>
        <w:t xml:space="preserve">The storm announced itself on 25 July 1985, when </w:t>
      </w:r>
      <w:r w:rsidRPr="00A77612">
        <w:rPr>
          <w:b w:val="0"/>
          <w:bCs w:val="0"/>
          <w:i/>
        </w:rPr>
        <w:t xml:space="preserve">Times </w:t>
      </w:r>
      <w:r w:rsidRPr="00A77612">
        <w:rPr>
          <w:b w:val="0"/>
          <w:bCs w:val="0"/>
        </w:rPr>
        <w:t>columnist Ronald Butt issued a diatribe against ‘</w:t>
      </w:r>
      <w:bookmarkStart w:id="19" w:name="_Hlk177592438"/>
      <w:r w:rsidRPr="00A77612">
        <w:rPr>
          <w:b w:val="0"/>
          <w:bCs w:val="0"/>
        </w:rPr>
        <w:t>a book of great wickedness, perverting history’</w:t>
      </w:r>
      <w:bookmarkEnd w:id="19"/>
      <w:r w:rsidRPr="00A77612">
        <w:rPr>
          <w:b w:val="0"/>
          <w:bCs w:val="0"/>
        </w:rPr>
        <w:t>.</w:t>
      </w:r>
      <w:r w:rsidR="00B06090" w:rsidRPr="00A77612">
        <w:rPr>
          <w:rStyle w:val="FootnoteReference"/>
          <w:b w:val="0"/>
          <w:bCs w:val="0"/>
        </w:rPr>
        <w:footnoteReference w:id="707"/>
      </w:r>
      <w:r w:rsidRPr="00A77612">
        <w:rPr>
          <w:b w:val="0"/>
          <w:bCs w:val="0"/>
        </w:rPr>
        <w:t xml:space="preserve"> He was particularly incensed by the IRR’s apparent failure to credit British imperial achievement: the abolition of the slave trade, women’s freedom (represented by the abolition of </w:t>
      </w:r>
      <w:r w:rsidRPr="00A77612">
        <w:rPr>
          <w:b w:val="0"/>
          <w:bCs w:val="0"/>
          <w:i/>
        </w:rPr>
        <w:t>sati</w:t>
      </w:r>
      <w:r w:rsidRPr="00A77612">
        <w:rPr>
          <w:b w:val="0"/>
          <w:bCs w:val="0"/>
        </w:rPr>
        <w:t xml:space="preserve">), and the triumphs of ‘law-giving, administration and medicine’. Butt’s ‘balance sheet’ understanding of history, in which wrongs </w:t>
      </w:r>
      <w:r w:rsidR="000476F6" w:rsidRPr="00A77612">
        <w:rPr>
          <w:b w:val="0"/>
          <w:bCs w:val="0"/>
        </w:rPr>
        <w:t>were</w:t>
      </w:r>
      <w:r w:rsidRPr="00A77612">
        <w:rPr>
          <w:b w:val="0"/>
          <w:bCs w:val="0"/>
        </w:rPr>
        <w:t xml:space="preserve"> negated and justified by rights, had a rich liberal imperialist heritage. So, too, did the specific examples cited: in particular, the portrayal of </w:t>
      </w:r>
      <w:r w:rsidR="00061C0D" w:rsidRPr="00A77612">
        <w:rPr>
          <w:b w:val="0"/>
          <w:bCs w:val="0"/>
        </w:rPr>
        <w:t>women of colour as</w:t>
      </w:r>
      <w:r w:rsidRPr="00A77612">
        <w:rPr>
          <w:b w:val="0"/>
          <w:bCs w:val="0"/>
        </w:rPr>
        <w:t xml:space="preserve"> victim</w:t>
      </w:r>
      <w:r w:rsidR="00061C0D" w:rsidRPr="00A77612">
        <w:rPr>
          <w:b w:val="0"/>
          <w:bCs w:val="0"/>
        </w:rPr>
        <w:t>s</w:t>
      </w:r>
      <w:r w:rsidRPr="00A77612">
        <w:rPr>
          <w:b w:val="0"/>
          <w:bCs w:val="0"/>
        </w:rPr>
        <w:t xml:space="preserve"> of the supposedly unique predations of downwardly racialised men, and the</w:t>
      </w:r>
      <w:r w:rsidR="00061C0D" w:rsidRPr="00A77612">
        <w:rPr>
          <w:b w:val="0"/>
          <w:bCs w:val="0"/>
        </w:rPr>
        <w:t xml:space="preserve"> </w:t>
      </w:r>
      <w:r w:rsidRPr="00A77612">
        <w:rPr>
          <w:b w:val="0"/>
          <w:bCs w:val="0"/>
        </w:rPr>
        <w:t>instrumentali</w:t>
      </w:r>
      <w:r w:rsidR="00EC4615" w:rsidRPr="00A77612">
        <w:rPr>
          <w:b w:val="0"/>
          <w:bCs w:val="0"/>
        </w:rPr>
        <w:t>s</w:t>
      </w:r>
      <w:r w:rsidRPr="00A77612">
        <w:rPr>
          <w:b w:val="0"/>
          <w:bCs w:val="0"/>
        </w:rPr>
        <w:t xml:space="preserve">ation of </w:t>
      </w:r>
      <w:r w:rsidR="00061C0D" w:rsidRPr="00A77612">
        <w:rPr>
          <w:b w:val="0"/>
          <w:bCs w:val="0"/>
        </w:rPr>
        <w:t>their</w:t>
      </w:r>
      <w:r w:rsidRPr="00A77612">
        <w:rPr>
          <w:b w:val="0"/>
          <w:bCs w:val="0"/>
        </w:rPr>
        <w:t xml:space="preserve"> bod</w:t>
      </w:r>
      <w:r w:rsidR="00061C0D" w:rsidRPr="00A77612">
        <w:rPr>
          <w:b w:val="0"/>
          <w:bCs w:val="0"/>
        </w:rPr>
        <w:t>ies</w:t>
      </w:r>
      <w:r w:rsidRPr="00A77612">
        <w:rPr>
          <w:b w:val="0"/>
          <w:bCs w:val="0"/>
        </w:rPr>
        <w:t xml:space="preserve"> as a </w:t>
      </w:r>
      <w:r w:rsidR="002E7077" w:rsidRPr="00A77612">
        <w:rPr>
          <w:b w:val="0"/>
          <w:bCs w:val="0"/>
        </w:rPr>
        <w:t>rationale</w:t>
      </w:r>
      <w:r w:rsidRPr="00A77612">
        <w:rPr>
          <w:b w:val="0"/>
          <w:bCs w:val="0"/>
        </w:rPr>
        <w:t xml:space="preserve"> for White intervention.</w:t>
      </w:r>
      <w:r w:rsidR="00914BF2" w:rsidRPr="00A77612">
        <w:rPr>
          <w:rStyle w:val="FootnoteReference"/>
          <w:b w:val="0"/>
          <w:bCs w:val="0"/>
        </w:rPr>
        <w:footnoteReference w:id="708"/>
      </w:r>
    </w:p>
    <w:p w14:paraId="0E0EB628" w14:textId="70DBEE26" w:rsidR="00E66318" w:rsidRPr="00AE141E"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IRR and its educational work were the focus of several chapters in </w:t>
      </w:r>
      <w:r w:rsidRPr="00AE141E">
        <w:rPr>
          <w:rFonts w:ascii="Times New Roman" w:hAnsi="Times New Roman" w:cs="Times New Roman"/>
          <w:i/>
          <w:sz w:val="24"/>
          <w:szCs w:val="24"/>
        </w:rPr>
        <w:t xml:space="preserve">Anti-Racism: An Assault on Education and Value </w:t>
      </w:r>
      <w:r w:rsidRPr="00AE141E">
        <w:rPr>
          <w:rFonts w:ascii="Times New Roman" w:hAnsi="Times New Roman" w:cs="Times New Roman"/>
          <w:sz w:val="24"/>
          <w:szCs w:val="24"/>
        </w:rPr>
        <w:t xml:space="preserve">– an edited collection which brought together some of the key voices of the New Right. Four authors in the collection – John Marks, Tom Hastie, David Dale, and Simon Pearce – registered anger at new teaching materials which failed to credit the British people with the abolition of the slave trade. Pearce noted that the ‘successful agitation against the trade in Britain’ should be featured as a balancing corrective to accounts </w:t>
      </w:r>
      <w:r w:rsidRPr="00AE141E">
        <w:rPr>
          <w:rFonts w:ascii="Times New Roman" w:hAnsi="Times New Roman" w:cs="Times New Roman"/>
          <w:sz w:val="24"/>
          <w:szCs w:val="24"/>
        </w:rPr>
        <w:lastRenderedPageBreak/>
        <w:t>of colonial exploitation.</w:t>
      </w:r>
      <w:r w:rsidR="005A78D0" w:rsidRPr="00AE141E">
        <w:rPr>
          <w:rStyle w:val="FootnoteReference"/>
          <w:rFonts w:ascii="Times New Roman" w:hAnsi="Times New Roman" w:cs="Times New Roman"/>
          <w:sz w:val="24"/>
          <w:szCs w:val="24"/>
        </w:rPr>
        <w:footnoteReference w:id="709"/>
      </w:r>
      <w:r w:rsidRPr="00AE141E">
        <w:rPr>
          <w:rFonts w:ascii="Times New Roman" w:hAnsi="Times New Roman" w:cs="Times New Roman"/>
          <w:sz w:val="24"/>
          <w:szCs w:val="24"/>
        </w:rPr>
        <w:t xml:space="preserve"> </w:t>
      </w:r>
      <w:r w:rsidR="006A0C8E">
        <w:rPr>
          <w:rFonts w:ascii="Times New Roman" w:hAnsi="Times New Roman" w:cs="Times New Roman"/>
          <w:sz w:val="24"/>
          <w:szCs w:val="24"/>
        </w:rPr>
        <w:t>Abolitionism, narrated as the triumph of justice by means of legislative reform</w:t>
      </w:r>
      <w:r w:rsidR="00191C6E">
        <w:rPr>
          <w:rFonts w:ascii="Times New Roman" w:hAnsi="Times New Roman" w:cs="Times New Roman"/>
          <w:sz w:val="24"/>
          <w:szCs w:val="24"/>
        </w:rPr>
        <w:t>,</w:t>
      </w:r>
      <w:r w:rsidR="006A0C8E">
        <w:rPr>
          <w:rFonts w:ascii="Times New Roman" w:hAnsi="Times New Roman" w:cs="Times New Roman"/>
          <w:sz w:val="24"/>
          <w:szCs w:val="24"/>
        </w:rPr>
        <w:t xml:space="preserve"> was portrayed as </w:t>
      </w:r>
      <w:r w:rsidR="00191C6E">
        <w:rPr>
          <w:rFonts w:ascii="Times New Roman" w:hAnsi="Times New Roman" w:cs="Times New Roman"/>
          <w:sz w:val="24"/>
          <w:szCs w:val="24"/>
        </w:rPr>
        <w:t>the logical</w:t>
      </w:r>
      <w:r w:rsidR="006A0C8E">
        <w:rPr>
          <w:rFonts w:ascii="Times New Roman" w:hAnsi="Times New Roman" w:cs="Times New Roman"/>
          <w:sz w:val="24"/>
          <w:szCs w:val="24"/>
        </w:rPr>
        <w:t xml:space="preserve"> </w:t>
      </w:r>
      <w:r w:rsidR="00191C6E">
        <w:rPr>
          <w:rFonts w:ascii="Times New Roman" w:hAnsi="Times New Roman" w:cs="Times New Roman"/>
          <w:sz w:val="24"/>
          <w:szCs w:val="24"/>
        </w:rPr>
        <w:t>extension</w:t>
      </w:r>
      <w:r w:rsidR="006A0C8E">
        <w:rPr>
          <w:rFonts w:ascii="Times New Roman" w:hAnsi="Times New Roman" w:cs="Times New Roman"/>
          <w:sz w:val="24"/>
          <w:szCs w:val="24"/>
        </w:rPr>
        <w:t xml:space="preserve"> of </w:t>
      </w:r>
      <w:r w:rsidR="00981C81">
        <w:rPr>
          <w:rFonts w:ascii="Times New Roman" w:hAnsi="Times New Roman" w:cs="Times New Roman"/>
          <w:sz w:val="24"/>
          <w:szCs w:val="24"/>
        </w:rPr>
        <w:t>the</w:t>
      </w:r>
      <w:r w:rsidR="006A0C8E">
        <w:rPr>
          <w:rFonts w:ascii="Times New Roman" w:hAnsi="Times New Roman" w:cs="Times New Roman"/>
          <w:sz w:val="24"/>
          <w:szCs w:val="24"/>
        </w:rPr>
        <w:t xml:space="preserve"> national</w:t>
      </w:r>
      <w:r w:rsidR="00981C81">
        <w:rPr>
          <w:rFonts w:ascii="Times New Roman" w:hAnsi="Times New Roman" w:cs="Times New Roman"/>
          <w:sz w:val="24"/>
          <w:szCs w:val="24"/>
        </w:rPr>
        <w:t xml:space="preserve"> </w:t>
      </w:r>
      <w:r w:rsidR="006A0C8E">
        <w:rPr>
          <w:rFonts w:ascii="Times New Roman" w:hAnsi="Times New Roman" w:cs="Times New Roman"/>
          <w:sz w:val="24"/>
          <w:szCs w:val="24"/>
        </w:rPr>
        <w:t>character</w:t>
      </w:r>
      <w:r w:rsidR="00981C81">
        <w:rPr>
          <w:rFonts w:ascii="Times New Roman" w:hAnsi="Times New Roman" w:cs="Times New Roman"/>
          <w:sz w:val="24"/>
          <w:szCs w:val="24"/>
        </w:rPr>
        <w:t xml:space="preserve"> –</w:t>
      </w:r>
      <w:r w:rsidR="006A0C8E">
        <w:rPr>
          <w:rFonts w:ascii="Times New Roman" w:hAnsi="Times New Roman" w:cs="Times New Roman"/>
          <w:sz w:val="24"/>
          <w:szCs w:val="24"/>
        </w:rPr>
        <w:t xml:space="preserve"> defined</w:t>
      </w:r>
      <w:r w:rsidR="00981C81">
        <w:rPr>
          <w:rFonts w:ascii="Times New Roman" w:hAnsi="Times New Roman" w:cs="Times New Roman"/>
          <w:sz w:val="24"/>
          <w:szCs w:val="24"/>
        </w:rPr>
        <w:t xml:space="preserve"> </w:t>
      </w:r>
      <w:r w:rsidR="006A0C8E">
        <w:rPr>
          <w:rFonts w:ascii="Times New Roman" w:hAnsi="Times New Roman" w:cs="Times New Roman"/>
          <w:sz w:val="24"/>
          <w:szCs w:val="24"/>
        </w:rPr>
        <w:t>by</w:t>
      </w:r>
      <w:r w:rsidR="00981C81">
        <w:rPr>
          <w:rFonts w:ascii="Times New Roman" w:hAnsi="Times New Roman" w:cs="Times New Roman"/>
          <w:sz w:val="24"/>
          <w:szCs w:val="24"/>
        </w:rPr>
        <w:t xml:space="preserve"> </w:t>
      </w:r>
      <w:r w:rsidR="009142D3">
        <w:rPr>
          <w:rFonts w:ascii="Times New Roman" w:hAnsi="Times New Roman" w:cs="Times New Roman"/>
          <w:sz w:val="24"/>
          <w:szCs w:val="24"/>
        </w:rPr>
        <w:t>respect for the</w:t>
      </w:r>
      <w:r w:rsidR="006A0C8E">
        <w:rPr>
          <w:rFonts w:ascii="Times New Roman" w:hAnsi="Times New Roman" w:cs="Times New Roman"/>
          <w:sz w:val="24"/>
          <w:szCs w:val="24"/>
        </w:rPr>
        <w:t xml:space="preserve"> </w:t>
      </w:r>
      <w:r w:rsidR="00191C6E">
        <w:rPr>
          <w:rFonts w:ascii="Times New Roman" w:hAnsi="Times New Roman" w:cs="Times New Roman"/>
          <w:sz w:val="24"/>
          <w:szCs w:val="24"/>
        </w:rPr>
        <w:t>law</w:t>
      </w:r>
      <w:r w:rsidR="009142D3">
        <w:rPr>
          <w:rFonts w:ascii="Times New Roman" w:hAnsi="Times New Roman" w:cs="Times New Roman"/>
          <w:sz w:val="24"/>
          <w:szCs w:val="24"/>
        </w:rPr>
        <w:t xml:space="preserve">, fair-play, and </w:t>
      </w:r>
      <w:r w:rsidRPr="00AE141E">
        <w:rPr>
          <w:rFonts w:ascii="Times New Roman" w:hAnsi="Times New Roman" w:cs="Times New Roman"/>
          <w:sz w:val="24"/>
          <w:szCs w:val="24"/>
        </w:rPr>
        <w:t>institutional continuity. The characteristics to which Britishness was reduced could only be supported by a patrician view of empire. Thus, benevolent imperialism was reaffirmed as the key to national self-understanding.</w:t>
      </w:r>
    </w:p>
    <w:p w14:paraId="1794E9E0" w14:textId="5CB3492B" w:rsidR="00E000AF"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furore over </w:t>
      </w:r>
      <w:r w:rsidRPr="00AE141E">
        <w:rPr>
          <w:rFonts w:ascii="Times New Roman" w:hAnsi="Times New Roman" w:cs="Times New Roman"/>
          <w:i/>
          <w:sz w:val="24"/>
          <w:szCs w:val="24"/>
        </w:rPr>
        <w:t xml:space="preserve">How Racism Came to Britain </w:t>
      </w:r>
      <w:r w:rsidRPr="00AE141E">
        <w:rPr>
          <w:rFonts w:ascii="Times New Roman" w:hAnsi="Times New Roman" w:cs="Times New Roman"/>
          <w:sz w:val="24"/>
          <w:szCs w:val="24"/>
        </w:rPr>
        <w:t xml:space="preserve">was not an isolated </w:t>
      </w:r>
      <w:r w:rsidR="00DC0041">
        <w:rPr>
          <w:rFonts w:ascii="Times New Roman" w:hAnsi="Times New Roman" w:cs="Times New Roman"/>
          <w:sz w:val="24"/>
          <w:szCs w:val="24"/>
        </w:rPr>
        <w:t>incident</w:t>
      </w:r>
      <w:r w:rsidRPr="00AE141E">
        <w:rPr>
          <w:rFonts w:ascii="Times New Roman" w:hAnsi="Times New Roman" w:cs="Times New Roman"/>
          <w:sz w:val="24"/>
          <w:szCs w:val="24"/>
        </w:rPr>
        <w:t xml:space="preserve">. </w:t>
      </w:r>
      <w:r w:rsidR="005A0DA2">
        <w:rPr>
          <w:rFonts w:ascii="Times New Roman" w:hAnsi="Times New Roman" w:cs="Times New Roman"/>
          <w:sz w:val="24"/>
          <w:szCs w:val="24"/>
        </w:rPr>
        <w:t xml:space="preserve">From the mid-1970s </w:t>
      </w:r>
      <w:r w:rsidR="0005514D">
        <w:rPr>
          <w:rFonts w:ascii="Times New Roman" w:hAnsi="Times New Roman" w:cs="Times New Roman"/>
          <w:sz w:val="24"/>
          <w:szCs w:val="24"/>
        </w:rPr>
        <w:t>onwards</w:t>
      </w:r>
      <w:r w:rsidRPr="00AE141E">
        <w:rPr>
          <w:rFonts w:ascii="Times New Roman" w:hAnsi="Times New Roman" w:cs="Times New Roman"/>
          <w:sz w:val="24"/>
          <w:szCs w:val="24"/>
        </w:rPr>
        <w:t xml:space="preserve">, press campaigns against educational materials </w:t>
      </w:r>
      <w:r w:rsidR="00AD7293">
        <w:rPr>
          <w:rFonts w:ascii="Times New Roman" w:hAnsi="Times New Roman" w:cs="Times New Roman"/>
          <w:sz w:val="24"/>
          <w:szCs w:val="24"/>
        </w:rPr>
        <w:t>were launched</w:t>
      </w:r>
      <w:r w:rsidRPr="00AE141E">
        <w:rPr>
          <w:rFonts w:ascii="Times New Roman" w:hAnsi="Times New Roman" w:cs="Times New Roman"/>
          <w:sz w:val="24"/>
          <w:szCs w:val="24"/>
        </w:rPr>
        <w:t xml:space="preserve"> with stunning regularity. The 1985 dispute was foreshadowed by attacks on Basil Davidson’s secondary school textbook, </w:t>
      </w:r>
      <w:r w:rsidRPr="00AE141E">
        <w:rPr>
          <w:rFonts w:ascii="Times New Roman" w:hAnsi="Times New Roman" w:cs="Times New Roman"/>
          <w:i/>
          <w:sz w:val="24"/>
          <w:szCs w:val="24"/>
        </w:rPr>
        <w:t xml:space="preserve">Discovering Africa’s Past, </w:t>
      </w:r>
      <w:r w:rsidRPr="00AE141E">
        <w:rPr>
          <w:rFonts w:ascii="Times New Roman" w:hAnsi="Times New Roman" w:cs="Times New Roman"/>
          <w:sz w:val="24"/>
          <w:szCs w:val="24"/>
        </w:rPr>
        <w:t xml:space="preserve">which was published in 1978. On 2 April, </w:t>
      </w:r>
      <w:r w:rsidRPr="00AE141E">
        <w:rPr>
          <w:rFonts w:ascii="Times New Roman" w:hAnsi="Times New Roman" w:cs="Times New Roman"/>
          <w:i/>
          <w:sz w:val="24"/>
          <w:szCs w:val="24"/>
        </w:rPr>
        <w:t xml:space="preserve">The Sunday Express </w:t>
      </w:r>
      <w:r w:rsidRPr="00AE141E">
        <w:rPr>
          <w:rFonts w:ascii="Times New Roman" w:hAnsi="Times New Roman" w:cs="Times New Roman"/>
          <w:sz w:val="24"/>
          <w:szCs w:val="24"/>
        </w:rPr>
        <w:t xml:space="preserve">published an invective against Davidson’s work, which focused particularly on his portrayal of the Mau Mau rebellion in Kenya. The </w:t>
      </w:r>
      <w:r w:rsidRPr="00AE141E">
        <w:rPr>
          <w:rFonts w:ascii="Times New Roman" w:hAnsi="Times New Roman" w:cs="Times New Roman"/>
          <w:i/>
          <w:sz w:val="24"/>
          <w:szCs w:val="24"/>
        </w:rPr>
        <w:t xml:space="preserve">Express </w:t>
      </w:r>
      <w:r w:rsidRPr="00AE141E">
        <w:rPr>
          <w:rFonts w:ascii="Times New Roman" w:hAnsi="Times New Roman" w:cs="Times New Roman"/>
          <w:sz w:val="24"/>
          <w:szCs w:val="24"/>
        </w:rPr>
        <w:t>decried its representation as a liberation struggle and not as a ‘terror campaign’ against White settlers.</w:t>
      </w:r>
      <w:r w:rsidR="005A78D0" w:rsidRPr="00AE141E">
        <w:rPr>
          <w:rStyle w:val="FootnoteReference"/>
          <w:rFonts w:ascii="Times New Roman" w:hAnsi="Times New Roman" w:cs="Times New Roman"/>
          <w:sz w:val="24"/>
          <w:szCs w:val="24"/>
        </w:rPr>
        <w:footnoteReference w:id="710"/>
      </w:r>
      <w:r w:rsidRPr="00AE141E">
        <w:rPr>
          <w:rFonts w:ascii="Times New Roman" w:hAnsi="Times New Roman" w:cs="Times New Roman"/>
          <w:sz w:val="24"/>
          <w:szCs w:val="24"/>
        </w:rPr>
        <w:t xml:space="preserve"> </w:t>
      </w:r>
      <w:r w:rsidR="00306D36">
        <w:rPr>
          <w:rFonts w:ascii="Times New Roman" w:hAnsi="Times New Roman" w:cs="Times New Roman"/>
          <w:sz w:val="24"/>
          <w:szCs w:val="24"/>
        </w:rPr>
        <w:t>Here, an</w:t>
      </w:r>
      <w:r w:rsidRPr="00AE141E">
        <w:rPr>
          <w:rFonts w:ascii="Times New Roman" w:hAnsi="Times New Roman" w:cs="Times New Roman"/>
          <w:sz w:val="24"/>
          <w:szCs w:val="24"/>
        </w:rPr>
        <w:t xml:space="preserve"> understanding of empire as a benevolent enterprise foreclosed the understanding of violent anti-colonial resistance as a legitimate political </w:t>
      </w:r>
      <w:r w:rsidR="00306D36">
        <w:rPr>
          <w:rFonts w:ascii="Times New Roman" w:hAnsi="Times New Roman" w:cs="Times New Roman"/>
          <w:sz w:val="24"/>
          <w:szCs w:val="24"/>
        </w:rPr>
        <w:t>force</w:t>
      </w:r>
      <w:r w:rsidRPr="00AE141E">
        <w:rPr>
          <w:rFonts w:ascii="Times New Roman" w:hAnsi="Times New Roman" w:cs="Times New Roman"/>
          <w:sz w:val="24"/>
          <w:szCs w:val="24"/>
        </w:rPr>
        <w:t xml:space="preserve">. </w:t>
      </w:r>
      <w:r w:rsidR="00702705" w:rsidRPr="00AE141E">
        <w:rPr>
          <w:rFonts w:ascii="Times New Roman" w:hAnsi="Times New Roman" w:cs="Times New Roman"/>
          <w:i/>
          <w:sz w:val="24"/>
          <w:szCs w:val="24"/>
        </w:rPr>
        <w:t>Discovering Africa’s Past</w:t>
      </w:r>
      <w:r w:rsidR="00702705" w:rsidRPr="00AE141E">
        <w:rPr>
          <w:rFonts w:ascii="Times New Roman" w:hAnsi="Times New Roman" w:cs="Times New Roman"/>
          <w:sz w:val="24"/>
          <w:szCs w:val="24"/>
        </w:rPr>
        <w:t xml:space="preserve"> </w:t>
      </w:r>
      <w:r w:rsidR="00702705">
        <w:rPr>
          <w:rFonts w:ascii="Times New Roman" w:hAnsi="Times New Roman" w:cs="Times New Roman"/>
          <w:sz w:val="24"/>
          <w:szCs w:val="24"/>
        </w:rPr>
        <w:t xml:space="preserve">was also condemned </w:t>
      </w:r>
      <w:r w:rsidR="00464AF8">
        <w:rPr>
          <w:rFonts w:ascii="Times New Roman" w:hAnsi="Times New Roman" w:cs="Times New Roman"/>
          <w:sz w:val="24"/>
          <w:szCs w:val="24"/>
        </w:rPr>
        <w:t xml:space="preserve">for </w:t>
      </w:r>
      <w:r w:rsidR="00AF7C18">
        <w:rPr>
          <w:rFonts w:ascii="Times New Roman" w:hAnsi="Times New Roman" w:cs="Times New Roman"/>
          <w:sz w:val="24"/>
          <w:szCs w:val="24"/>
        </w:rPr>
        <w:t>its</w:t>
      </w:r>
      <w:r w:rsidR="0096317A" w:rsidRPr="00AE141E">
        <w:rPr>
          <w:rFonts w:ascii="Times New Roman" w:hAnsi="Times New Roman" w:cs="Times New Roman"/>
          <w:sz w:val="24"/>
          <w:szCs w:val="24"/>
        </w:rPr>
        <w:t xml:space="preserve"> a</w:t>
      </w:r>
      <w:r w:rsidR="00AF7C18">
        <w:rPr>
          <w:rFonts w:ascii="Times New Roman" w:hAnsi="Times New Roman" w:cs="Times New Roman"/>
          <w:sz w:val="24"/>
          <w:szCs w:val="24"/>
        </w:rPr>
        <w:t xml:space="preserve">lleged </w:t>
      </w:r>
      <w:r w:rsidRPr="00AE141E">
        <w:rPr>
          <w:rFonts w:ascii="Times New Roman" w:hAnsi="Times New Roman" w:cs="Times New Roman"/>
          <w:sz w:val="24"/>
          <w:szCs w:val="24"/>
        </w:rPr>
        <w:t xml:space="preserve">lack of balance. The </w:t>
      </w:r>
      <w:r w:rsidRPr="00AE141E">
        <w:rPr>
          <w:rFonts w:ascii="Times New Roman" w:hAnsi="Times New Roman" w:cs="Times New Roman"/>
          <w:i/>
          <w:sz w:val="24"/>
          <w:szCs w:val="24"/>
        </w:rPr>
        <w:t xml:space="preserve">Express </w:t>
      </w:r>
      <w:r w:rsidRPr="00AE141E">
        <w:rPr>
          <w:rFonts w:ascii="Times New Roman" w:hAnsi="Times New Roman" w:cs="Times New Roman"/>
          <w:sz w:val="24"/>
          <w:szCs w:val="24"/>
        </w:rPr>
        <w:t>demanded that Britain’s role in ‘helping the [African] continent’,</w:t>
      </w:r>
      <w:r w:rsidR="00E05359">
        <w:rPr>
          <w:rFonts w:ascii="Times New Roman" w:hAnsi="Times New Roman" w:cs="Times New Roman"/>
          <w:sz w:val="24"/>
          <w:szCs w:val="24"/>
        </w:rPr>
        <w:t xml:space="preserve"> as</w:t>
      </w:r>
      <w:r w:rsidRPr="00AE141E">
        <w:rPr>
          <w:rFonts w:ascii="Times New Roman" w:hAnsi="Times New Roman" w:cs="Times New Roman"/>
          <w:sz w:val="24"/>
          <w:szCs w:val="24"/>
        </w:rPr>
        <w:t xml:space="preserve"> symbolised by the work of David Livingstone, be recorded alongside its involvement in the transatlantic slave trade.</w:t>
      </w:r>
      <w:r w:rsidR="007B41E2">
        <w:rPr>
          <w:rFonts w:ascii="Times New Roman" w:hAnsi="Times New Roman" w:cs="Times New Roman"/>
          <w:sz w:val="24"/>
          <w:szCs w:val="24"/>
        </w:rPr>
        <w:t xml:space="preserve"> </w:t>
      </w:r>
    </w:p>
    <w:p w14:paraId="685C80D1" w14:textId="616B36E6" w:rsidR="00E66318" w:rsidRPr="00541D29" w:rsidRDefault="004F55AC" w:rsidP="00AE141E">
      <w:pPr>
        <w:spacing w:line="360" w:lineRule="auto"/>
        <w:rPr>
          <w:rFonts w:ascii="Times New Roman" w:hAnsi="Times New Roman" w:cs="Times New Roman"/>
          <w:sz w:val="24"/>
          <w:szCs w:val="24"/>
        </w:rPr>
      </w:pPr>
      <w:r w:rsidRPr="00541D29">
        <w:rPr>
          <w:rFonts w:ascii="Times New Roman" w:hAnsi="Times New Roman" w:cs="Times New Roman"/>
          <w:sz w:val="24"/>
          <w:szCs w:val="24"/>
        </w:rPr>
        <w:t>These accusations</w:t>
      </w:r>
      <w:r w:rsidR="007B41E2" w:rsidRPr="00541D29">
        <w:rPr>
          <w:rFonts w:ascii="Times New Roman" w:hAnsi="Times New Roman" w:cs="Times New Roman"/>
          <w:sz w:val="24"/>
          <w:szCs w:val="24"/>
        </w:rPr>
        <w:t xml:space="preserve"> attracted </w:t>
      </w:r>
      <w:r w:rsidRPr="00541D29">
        <w:rPr>
          <w:rFonts w:ascii="Times New Roman" w:hAnsi="Times New Roman" w:cs="Times New Roman"/>
          <w:sz w:val="24"/>
          <w:szCs w:val="24"/>
        </w:rPr>
        <w:t>governmental</w:t>
      </w:r>
      <w:r w:rsidR="007B41E2" w:rsidRPr="00541D29">
        <w:rPr>
          <w:rFonts w:ascii="Times New Roman" w:hAnsi="Times New Roman" w:cs="Times New Roman"/>
          <w:sz w:val="24"/>
          <w:szCs w:val="24"/>
        </w:rPr>
        <w:t xml:space="preserve"> attention.</w:t>
      </w:r>
      <w:r w:rsidR="00E66318" w:rsidRPr="00541D29">
        <w:rPr>
          <w:rFonts w:ascii="Times New Roman" w:hAnsi="Times New Roman" w:cs="Times New Roman"/>
          <w:sz w:val="24"/>
          <w:szCs w:val="24"/>
        </w:rPr>
        <w:t xml:space="preserve"> By mid-April, Lord Donaldson of Kingsbridge, a life peer in the House of Lords and Minister of State for </w:t>
      </w:r>
      <w:r w:rsidR="00AF7C18" w:rsidRPr="00541D29">
        <w:rPr>
          <w:rFonts w:ascii="Times New Roman" w:hAnsi="Times New Roman" w:cs="Times New Roman"/>
          <w:sz w:val="24"/>
          <w:szCs w:val="24"/>
        </w:rPr>
        <w:t>DES</w:t>
      </w:r>
      <w:r w:rsidR="00E66318" w:rsidRPr="00541D29">
        <w:rPr>
          <w:rFonts w:ascii="Times New Roman" w:hAnsi="Times New Roman" w:cs="Times New Roman"/>
          <w:sz w:val="24"/>
          <w:szCs w:val="24"/>
        </w:rPr>
        <w:t xml:space="preserve">, had cautioned </w:t>
      </w:r>
      <w:r w:rsidR="009A07D9" w:rsidRPr="00541D29">
        <w:rPr>
          <w:rFonts w:ascii="Times New Roman" w:hAnsi="Times New Roman" w:cs="Times New Roman"/>
          <w:sz w:val="24"/>
          <w:szCs w:val="24"/>
        </w:rPr>
        <w:t>LEAs</w:t>
      </w:r>
      <w:r w:rsidR="00E66318" w:rsidRPr="00541D29">
        <w:rPr>
          <w:rFonts w:ascii="Times New Roman" w:hAnsi="Times New Roman" w:cs="Times New Roman"/>
          <w:sz w:val="24"/>
          <w:szCs w:val="24"/>
        </w:rPr>
        <w:t xml:space="preserve"> that Davidson’s work was just ‘one side, and a somewhat biased side, of the story’</w:t>
      </w:r>
      <w:r w:rsidR="0092500E">
        <w:rPr>
          <w:rFonts w:ascii="Times New Roman" w:hAnsi="Times New Roman" w:cs="Times New Roman"/>
          <w:sz w:val="24"/>
          <w:szCs w:val="24"/>
        </w:rPr>
        <w:t>,</w:t>
      </w:r>
      <w:r w:rsidR="00E66318" w:rsidRPr="00541D29">
        <w:rPr>
          <w:rFonts w:ascii="Times New Roman" w:hAnsi="Times New Roman" w:cs="Times New Roman"/>
          <w:sz w:val="24"/>
          <w:szCs w:val="24"/>
        </w:rPr>
        <w:t xml:space="preserve"> in the interest of promoting balance and objectivity.</w:t>
      </w:r>
      <w:r w:rsidR="00C25A39" w:rsidRPr="00541D29">
        <w:rPr>
          <w:rStyle w:val="FootnoteReference"/>
          <w:rFonts w:ascii="Times New Roman" w:hAnsi="Times New Roman" w:cs="Times New Roman"/>
          <w:sz w:val="24"/>
          <w:szCs w:val="24"/>
        </w:rPr>
        <w:footnoteReference w:id="711"/>
      </w:r>
      <w:r w:rsidR="00E66318" w:rsidRPr="00541D29">
        <w:rPr>
          <w:rFonts w:ascii="Times New Roman" w:hAnsi="Times New Roman" w:cs="Times New Roman"/>
          <w:sz w:val="24"/>
          <w:szCs w:val="24"/>
        </w:rPr>
        <w:t xml:space="preserve"> In commending Donaldson’s actions, Lord Orr-Ewing asked a revealing question: ‘Is it not true that thousands of British colonial servants have helped educate, train and prepare African people for self-government, and that that side of the story should be better known to everyone in this country?’</w:t>
      </w:r>
      <w:r w:rsidR="00F322B0">
        <w:rPr>
          <w:rStyle w:val="FootnoteReference"/>
          <w:rFonts w:ascii="Times New Roman" w:hAnsi="Times New Roman" w:cs="Times New Roman"/>
          <w:sz w:val="24"/>
          <w:szCs w:val="24"/>
        </w:rPr>
        <w:footnoteReference w:id="712"/>
      </w:r>
      <w:r w:rsidR="00E66318" w:rsidRPr="00541D29">
        <w:rPr>
          <w:rFonts w:ascii="Times New Roman" w:hAnsi="Times New Roman" w:cs="Times New Roman"/>
          <w:sz w:val="24"/>
          <w:szCs w:val="24"/>
        </w:rPr>
        <w:t xml:space="preserve"> Orr-Ewing envisioned imperialism as a form of paternalistic trusteeship in which the father of </w:t>
      </w:r>
      <w:r w:rsidR="00E66318" w:rsidRPr="00541D29">
        <w:rPr>
          <w:rFonts w:ascii="Times New Roman" w:hAnsi="Times New Roman" w:cs="Times New Roman"/>
          <w:sz w:val="24"/>
          <w:szCs w:val="24"/>
        </w:rPr>
        <w:lastRenderedPageBreak/>
        <w:t xml:space="preserve">democracy (Britain) bestowed its knowledge upon grateful children. </w:t>
      </w:r>
      <w:r w:rsidR="001C2208" w:rsidRPr="00541D29">
        <w:rPr>
          <w:rFonts w:ascii="Times New Roman" w:hAnsi="Times New Roman" w:cs="Times New Roman"/>
          <w:sz w:val="24"/>
          <w:szCs w:val="24"/>
        </w:rPr>
        <w:t>Hence, f</w:t>
      </w:r>
      <w:r w:rsidR="007740B3" w:rsidRPr="00541D29">
        <w:rPr>
          <w:rFonts w:ascii="Times New Roman" w:hAnsi="Times New Roman" w:cs="Times New Roman"/>
          <w:sz w:val="24"/>
          <w:szCs w:val="24"/>
        </w:rPr>
        <w:t>orms of</w:t>
      </w:r>
      <w:r w:rsidR="00E66318" w:rsidRPr="00541D29">
        <w:rPr>
          <w:rFonts w:ascii="Times New Roman" w:hAnsi="Times New Roman" w:cs="Times New Roman"/>
          <w:sz w:val="24"/>
          <w:szCs w:val="24"/>
        </w:rPr>
        <w:t xml:space="preserve"> politics </w:t>
      </w:r>
      <w:r w:rsidR="007740B3" w:rsidRPr="00541D29">
        <w:rPr>
          <w:rFonts w:ascii="Times New Roman" w:hAnsi="Times New Roman" w:cs="Times New Roman"/>
          <w:sz w:val="24"/>
          <w:szCs w:val="24"/>
        </w:rPr>
        <w:t>which diverged fro</w:t>
      </w:r>
      <w:r w:rsidR="009E18D9" w:rsidRPr="00541D29">
        <w:rPr>
          <w:rFonts w:ascii="Times New Roman" w:hAnsi="Times New Roman" w:cs="Times New Roman"/>
          <w:sz w:val="24"/>
          <w:szCs w:val="24"/>
        </w:rPr>
        <w:t>m a</w:t>
      </w:r>
      <w:r w:rsidR="00E66318" w:rsidRPr="00541D29">
        <w:rPr>
          <w:rFonts w:ascii="Times New Roman" w:hAnsi="Times New Roman" w:cs="Times New Roman"/>
          <w:sz w:val="24"/>
          <w:szCs w:val="24"/>
        </w:rPr>
        <w:t xml:space="preserve"> democratic, legislative process</w:t>
      </w:r>
      <w:r w:rsidR="001C2208" w:rsidRPr="00541D29">
        <w:rPr>
          <w:rFonts w:ascii="Times New Roman" w:hAnsi="Times New Roman" w:cs="Times New Roman"/>
          <w:sz w:val="24"/>
          <w:szCs w:val="24"/>
        </w:rPr>
        <w:t xml:space="preserve"> modelled on the British Parliamentary system</w:t>
      </w:r>
      <w:r w:rsidR="00E66318" w:rsidRPr="00541D29">
        <w:rPr>
          <w:rFonts w:ascii="Times New Roman" w:hAnsi="Times New Roman" w:cs="Times New Roman"/>
          <w:sz w:val="24"/>
          <w:szCs w:val="24"/>
        </w:rPr>
        <w:t xml:space="preserve"> </w:t>
      </w:r>
      <w:r w:rsidR="009E18D9" w:rsidRPr="00541D29">
        <w:rPr>
          <w:rFonts w:ascii="Times New Roman" w:hAnsi="Times New Roman" w:cs="Times New Roman"/>
          <w:sz w:val="24"/>
          <w:szCs w:val="24"/>
        </w:rPr>
        <w:t>were interpreted as</w:t>
      </w:r>
      <w:r w:rsidR="00E66318" w:rsidRPr="00541D29">
        <w:rPr>
          <w:rFonts w:ascii="Times New Roman" w:hAnsi="Times New Roman" w:cs="Times New Roman"/>
          <w:sz w:val="24"/>
          <w:szCs w:val="24"/>
        </w:rPr>
        <w:t xml:space="preserve"> </w:t>
      </w:r>
      <w:r w:rsidR="009E18D9" w:rsidRPr="00541D29">
        <w:rPr>
          <w:rFonts w:ascii="Times New Roman" w:hAnsi="Times New Roman" w:cs="Times New Roman"/>
          <w:sz w:val="24"/>
          <w:szCs w:val="24"/>
        </w:rPr>
        <w:t xml:space="preserve">an </w:t>
      </w:r>
      <w:r w:rsidR="00A2643B" w:rsidRPr="00541D29">
        <w:rPr>
          <w:rFonts w:ascii="Times New Roman" w:hAnsi="Times New Roman" w:cs="Times New Roman"/>
          <w:sz w:val="24"/>
          <w:szCs w:val="24"/>
        </w:rPr>
        <w:t xml:space="preserve">ungrateful and </w:t>
      </w:r>
      <w:r w:rsidR="009E18D9" w:rsidRPr="00541D29">
        <w:rPr>
          <w:rFonts w:ascii="Times New Roman" w:hAnsi="Times New Roman" w:cs="Times New Roman"/>
          <w:sz w:val="24"/>
          <w:szCs w:val="24"/>
        </w:rPr>
        <w:t>illegitimate</w:t>
      </w:r>
      <w:r w:rsidR="001C2208" w:rsidRPr="00541D29">
        <w:rPr>
          <w:rFonts w:ascii="Times New Roman" w:hAnsi="Times New Roman" w:cs="Times New Roman"/>
          <w:sz w:val="24"/>
          <w:szCs w:val="24"/>
        </w:rPr>
        <w:t xml:space="preserve"> </w:t>
      </w:r>
      <w:r w:rsidR="00E66318" w:rsidRPr="00541D29">
        <w:rPr>
          <w:rFonts w:ascii="Times New Roman" w:hAnsi="Times New Roman" w:cs="Times New Roman"/>
          <w:sz w:val="24"/>
          <w:szCs w:val="24"/>
        </w:rPr>
        <w:t xml:space="preserve">rejection of colonial </w:t>
      </w:r>
      <w:r w:rsidR="00E8015A" w:rsidRPr="00541D29">
        <w:rPr>
          <w:rFonts w:ascii="Times New Roman" w:hAnsi="Times New Roman" w:cs="Times New Roman"/>
          <w:sz w:val="24"/>
          <w:szCs w:val="24"/>
        </w:rPr>
        <w:t>tutelage</w:t>
      </w:r>
      <w:r w:rsidR="001C2208" w:rsidRPr="00541D29">
        <w:rPr>
          <w:rFonts w:ascii="Times New Roman" w:hAnsi="Times New Roman" w:cs="Times New Roman"/>
          <w:sz w:val="24"/>
          <w:szCs w:val="24"/>
        </w:rPr>
        <w:t xml:space="preserve">. </w:t>
      </w:r>
      <w:r w:rsidR="00E8015A" w:rsidRPr="00541D29">
        <w:rPr>
          <w:rFonts w:ascii="Times New Roman" w:hAnsi="Times New Roman" w:cs="Times New Roman"/>
          <w:sz w:val="24"/>
          <w:szCs w:val="24"/>
        </w:rPr>
        <w:t>States which broke from this tradition</w:t>
      </w:r>
      <w:r w:rsidR="009D5168" w:rsidRPr="00541D29">
        <w:rPr>
          <w:rFonts w:ascii="Times New Roman" w:hAnsi="Times New Roman" w:cs="Times New Roman"/>
          <w:sz w:val="24"/>
          <w:szCs w:val="24"/>
        </w:rPr>
        <w:t>, often in the very moment of seizing independence,</w:t>
      </w:r>
      <w:r w:rsidR="00E8015A" w:rsidRPr="00541D29">
        <w:rPr>
          <w:rFonts w:ascii="Times New Roman" w:hAnsi="Times New Roman" w:cs="Times New Roman"/>
          <w:sz w:val="24"/>
          <w:szCs w:val="24"/>
        </w:rPr>
        <w:t xml:space="preserve"> were deemed </w:t>
      </w:r>
      <w:r w:rsidR="00E66318" w:rsidRPr="00541D29">
        <w:rPr>
          <w:rFonts w:ascii="Times New Roman" w:hAnsi="Times New Roman" w:cs="Times New Roman"/>
          <w:sz w:val="24"/>
          <w:szCs w:val="24"/>
        </w:rPr>
        <w:t>unworthy of self-governance.</w:t>
      </w:r>
    </w:p>
    <w:p w14:paraId="3FC6C6F7" w14:textId="1F9DD0DE" w:rsidR="00E66318" w:rsidRPr="00541D29" w:rsidRDefault="00E66318" w:rsidP="00AE141E">
      <w:pPr>
        <w:spacing w:line="360" w:lineRule="auto"/>
        <w:rPr>
          <w:rFonts w:ascii="Times New Roman" w:hAnsi="Times New Roman" w:cs="Times New Roman"/>
          <w:sz w:val="24"/>
          <w:szCs w:val="24"/>
        </w:rPr>
      </w:pPr>
      <w:r w:rsidRPr="00541D29">
        <w:rPr>
          <w:rFonts w:ascii="Times New Roman" w:hAnsi="Times New Roman" w:cs="Times New Roman"/>
          <w:sz w:val="24"/>
          <w:szCs w:val="24"/>
        </w:rPr>
        <w:t xml:space="preserve">Davidson’s defenders took two approaches. Some sought to refute accusations of bias. </w:t>
      </w:r>
      <w:r w:rsidR="00722158" w:rsidRPr="00541D29">
        <w:rPr>
          <w:rFonts w:ascii="Times New Roman" w:hAnsi="Times New Roman" w:cs="Times New Roman"/>
          <w:sz w:val="24"/>
          <w:szCs w:val="24"/>
        </w:rPr>
        <w:t xml:space="preserve">Thus, </w:t>
      </w:r>
      <w:r w:rsidRPr="00541D29">
        <w:rPr>
          <w:rFonts w:ascii="Times New Roman" w:hAnsi="Times New Roman" w:cs="Times New Roman"/>
          <w:sz w:val="24"/>
          <w:szCs w:val="24"/>
        </w:rPr>
        <w:t>Baroness Gaitskell described Davidson’s judgement on colonialism as ‘completely impartial’.</w:t>
      </w:r>
      <w:r w:rsidR="00673BC5" w:rsidRPr="00541D29">
        <w:rPr>
          <w:rStyle w:val="FootnoteReference"/>
          <w:rFonts w:ascii="Times New Roman" w:hAnsi="Times New Roman" w:cs="Times New Roman"/>
          <w:sz w:val="24"/>
          <w:szCs w:val="24"/>
        </w:rPr>
        <w:footnoteReference w:id="713"/>
      </w:r>
      <w:r w:rsidRPr="00541D29">
        <w:rPr>
          <w:rFonts w:ascii="Times New Roman" w:hAnsi="Times New Roman" w:cs="Times New Roman"/>
          <w:sz w:val="24"/>
          <w:szCs w:val="24"/>
        </w:rPr>
        <w:t xml:space="preserve"> Others accepted that Davidson’s was a biased perspective</w:t>
      </w:r>
      <w:r w:rsidR="00467AAA" w:rsidRPr="00541D29">
        <w:rPr>
          <w:rFonts w:ascii="Times New Roman" w:hAnsi="Times New Roman" w:cs="Times New Roman"/>
          <w:sz w:val="24"/>
          <w:szCs w:val="24"/>
        </w:rPr>
        <w:t xml:space="preserve"> –</w:t>
      </w:r>
      <w:r w:rsidRPr="00541D29">
        <w:rPr>
          <w:rFonts w:ascii="Times New Roman" w:hAnsi="Times New Roman" w:cs="Times New Roman"/>
          <w:sz w:val="24"/>
          <w:szCs w:val="24"/>
        </w:rPr>
        <w:t xml:space="preserve"> but</w:t>
      </w:r>
      <w:r w:rsidR="00467AAA" w:rsidRPr="00541D29">
        <w:rPr>
          <w:rFonts w:ascii="Times New Roman" w:hAnsi="Times New Roman" w:cs="Times New Roman"/>
          <w:sz w:val="24"/>
          <w:szCs w:val="24"/>
        </w:rPr>
        <w:t xml:space="preserve"> </w:t>
      </w:r>
      <w:r w:rsidRPr="00541D29">
        <w:rPr>
          <w:rFonts w:ascii="Times New Roman" w:hAnsi="Times New Roman" w:cs="Times New Roman"/>
          <w:sz w:val="24"/>
          <w:szCs w:val="24"/>
        </w:rPr>
        <w:t>noted that this was a universal characteristic of histori</w:t>
      </w:r>
      <w:r w:rsidR="004647C4" w:rsidRPr="00541D29">
        <w:rPr>
          <w:rFonts w:ascii="Times New Roman" w:hAnsi="Times New Roman" w:cs="Times New Roman"/>
          <w:sz w:val="24"/>
          <w:szCs w:val="24"/>
        </w:rPr>
        <w:t>cal writing</w:t>
      </w:r>
      <w:r w:rsidRPr="00541D29">
        <w:rPr>
          <w:rFonts w:ascii="Times New Roman" w:hAnsi="Times New Roman" w:cs="Times New Roman"/>
          <w:sz w:val="24"/>
          <w:szCs w:val="24"/>
        </w:rPr>
        <w:t xml:space="preserve">. Ginny Waters, an editor who had helped to prepare the book for publication, acknowledged that the book was ‘slanted’ but denied </w:t>
      </w:r>
      <w:r w:rsidR="00722158" w:rsidRPr="00541D29">
        <w:rPr>
          <w:rFonts w:ascii="Times New Roman" w:hAnsi="Times New Roman" w:cs="Times New Roman"/>
          <w:sz w:val="24"/>
          <w:szCs w:val="24"/>
        </w:rPr>
        <w:t>any</w:t>
      </w:r>
      <w:r w:rsidRPr="00541D29">
        <w:rPr>
          <w:rFonts w:ascii="Times New Roman" w:hAnsi="Times New Roman" w:cs="Times New Roman"/>
          <w:sz w:val="24"/>
          <w:szCs w:val="24"/>
        </w:rPr>
        <w:t xml:space="preserve"> need for the book to tell ‘the other side of the story’: ‘I think he [Davidson] felt that there had been plenty of criticism published about Africa and he did not want to touch on that’.</w:t>
      </w:r>
      <w:r w:rsidR="00583B0F" w:rsidRPr="00541D29">
        <w:rPr>
          <w:rStyle w:val="FootnoteReference"/>
          <w:rFonts w:ascii="Times New Roman" w:hAnsi="Times New Roman" w:cs="Times New Roman"/>
          <w:sz w:val="24"/>
          <w:szCs w:val="24"/>
        </w:rPr>
        <w:footnoteReference w:id="714"/>
      </w:r>
      <w:r w:rsidRPr="00541D29">
        <w:rPr>
          <w:rFonts w:ascii="Times New Roman" w:hAnsi="Times New Roman" w:cs="Times New Roman"/>
          <w:sz w:val="24"/>
          <w:szCs w:val="24"/>
        </w:rPr>
        <w:t xml:space="preserve"> </w:t>
      </w:r>
      <w:r w:rsidR="00C07445" w:rsidRPr="00541D29">
        <w:rPr>
          <w:rFonts w:ascii="Times New Roman" w:hAnsi="Times New Roman" w:cs="Times New Roman"/>
          <w:sz w:val="24"/>
          <w:szCs w:val="24"/>
        </w:rPr>
        <w:t xml:space="preserve">In Waters’ view, </w:t>
      </w:r>
      <w:r w:rsidRPr="00541D29">
        <w:rPr>
          <w:rFonts w:ascii="Times New Roman" w:hAnsi="Times New Roman" w:cs="Times New Roman"/>
          <w:i/>
          <w:sz w:val="24"/>
          <w:szCs w:val="24"/>
        </w:rPr>
        <w:t xml:space="preserve">Discovering Africa’s Past </w:t>
      </w:r>
      <w:r w:rsidRPr="00541D29">
        <w:rPr>
          <w:rFonts w:ascii="Times New Roman" w:hAnsi="Times New Roman" w:cs="Times New Roman"/>
          <w:sz w:val="24"/>
          <w:szCs w:val="24"/>
        </w:rPr>
        <w:t xml:space="preserve">was no more biased than any other work of history, and in fact was designed to balance out a historiographical tradition of colonial exculpation. </w:t>
      </w:r>
      <w:r w:rsidR="00FB76C1" w:rsidRPr="00541D29">
        <w:rPr>
          <w:rFonts w:ascii="Times New Roman" w:hAnsi="Times New Roman" w:cs="Times New Roman"/>
          <w:sz w:val="24"/>
          <w:szCs w:val="24"/>
        </w:rPr>
        <w:t>Of course, s</w:t>
      </w:r>
      <w:r w:rsidRPr="00541D29">
        <w:rPr>
          <w:rFonts w:ascii="Times New Roman" w:hAnsi="Times New Roman" w:cs="Times New Roman"/>
          <w:sz w:val="24"/>
          <w:szCs w:val="24"/>
        </w:rPr>
        <w:t>uch claims still accepted ‘balance’ as a necessary and desirable characteristic of good history and of good teaching – a concession, in this context, to the ideology of liberal imperialism.</w:t>
      </w:r>
    </w:p>
    <w:p w14:paraId="0E911E12" w14:textId="2602C45D" w:rsidR="00DB12F6" w:rsidRDefault="00661E37" w:rsidP="00FE4470">
      <w:pPr>
        <w:spacing w:line="360" w:lineRule="auto"/>
        <w:rPr>
          <w:rFonts w:ascii="Times New Roman" w:hAnsi="Times New Roman" w:cs="Times New Roman"/>
          <w:sz w:val="24"/>
          <w:szCs w:val="24"/>
        </w:rPr>
      </w:pPr>
      <w:r w:rsidRPr="00541D29">
        <w:rPr>
          <w:rFonts w:ascii="Times New Roman" w:hAnsi="Times New Roman" w:cs="Times New Roman"/>
          <w:sz w:val="24"/>
          <w:szCs w:val="24"/>
        </w:rPr>
        <w:t>In February 1986, the Association of Conservative Peers used a rare opportunity to set the subject for debate in the House of Lords to condemn the ‘politicisation’ of education.</w:t>
      </w:r>
      <w:r w:rsidRPr="00541D29">
        <w:rPr>
          <w:rStyle w:val="FootnoteReference"/>
          <w:rFonts w:ascii="Times New Roman" w:hAnsi="Times New Roman" w:cs="Times New Roman"/>
          <w:sz w:val="24"/>
          <w:szCs w:val="24"/>
        </w:rPr>
        <w:footnoteReference w:id="715"/>
      </w:r>
      <w:r w:rsidRPr="00541D29">
        <w:rPr>
          <w:rFonts w:ascii="Times New Roman" w:hAnsi="Times New Roman" w:cs="Times New Roman"/>
          <w:sz w:val="24"/>
          <w:szCs w:val="24"/>
        </w:rPr>
        <w:t xml:space="preserve"> Some members of the Association sought the renewal of governmental guidance on questions of bias and the teaching of ‘controversial’ subjects. Others wanted a guarantee that ‘politically contentious subjects should form no part of the curriculum of children below the age of 16’. What united advocates of the Motion was a sense that the national ‘cultural heritage’ – ‘our traditional beliefs and values and our democratic freedoms’ – were under threat. As Lord Jenkins of Putney pointed out, the Motion identified ‘politicisation’ as ‘something which takes place when the constitution is criticised</w:t>
      </w:r>
      <w:r w:rsidR="00B65A74">
        <w:rPr>
          <w:rFonts w:ascii="Times New Roman" w:hAnsi="Times New Roman" w:cs="Times New Roman"/>
          <w:sz w:val="24"/>
          <w:szCs w:val="24"/>
        </w:rPr>
        <w:t xml:space="preserve">’ </w:t>
      </w:r>
      <w:r w:rsidRPr="00541D29">
        <w:rPr>
          <w:rFonts w:ascii="Times New Roman" w:hAnsi="Times New Roman" w:cs="Times New Roman"/>
          <w:sz w:val="24"/>
          <w:szCs w:val="24"/>
        </w:rPr>
        <w:t>but</w:t>
      </w:r>
      <w:r w:rsidR="00B65A74">
        <w:rPr>
          <w:rFonts w:ascii="Times New Roman" w:hAnsi="Times New Roman" w:cs="Times New Roman"/>
          <w:sz w:val="24"/>
          <w:szCs w:val="24"/>
        </w:rPr>
        <w:t xml:space="preserve"> ‘</w:t>
      </w:r>
      <w:r w:rsidRPr="00541D29">
        <w:rPr>
          <w:rFonts w:ascii="Times New Roman" w:hAnsi="Times New Roman" w:cs="Times New Roman"/>
          <w:sz w:val="24"/>
          <w:szCs w:val="24"/>
        </w:rPr>
        <w:t>does not occur if the established order is merely explained or defended’.</w:t>
      </w:r>
      <w:r w:rsidR="00E65C1D">
        <w:rPr>
          <w:rStyle w:val="FootnoteReference"/>
          <w:rFonts w:ascii="Times New Roman" w:hAnsi="Times New Roman" w:cs="Times New Roman"/>
          <w:sz w:val="24"/>
          <w:szCs w:val="24"/>
        </w:rPr>
        <w:footnoteReference w:id="716"/>
      </w:r>
      <w:r w:rsidR="00D725E6" w:rsidRPr="00541D29">
        <w:rPr>
          <w:rFonts w:ascii="Times New Roman" w:hAnsi="Times New Roman" w:cs="Times New Roman"/>
          <w:sz w:val="24"/>
          <w:szCs w:val="24"/>
        </w:rPr>
        <w:t xml:space="preserve"> </w:t>
      </w:r>
      <w:r w:rsidRPr="00541D29">
        <w:rPr>
          <w:rFonts w:ascii="Times New Roman" w:hAnsi="Times New Roman" w:cs="Times New Roman"/>
          <w:sz w:val="24"/>
          <w:szCs w:val="24"/>
        </w:rPr>
        <w:t xml:space="preserve">The discourse of ‘politicisation’ </w:t>
      </w:r>
      <w:r w:rsidRPr="00541D29">
        <w:rPr>
          <w:rFonts w:ascii="Times New Roman" w:hAnsi="Times New Roman" w:cs="Times New Roman"/>
          <w:sz w:val="24"/>
          <w:szCs w:val="24"/>
        </w:rPr>
        <w:lastRenderedPageBreak/>
        <w:t xml:space="preserve">posited </w:t>
      </w:r>
      <w:r w:rsidR="00836631">
        <w:rPr>
          <w:rFonts w:ascii="Times New Roman" w:hAnsi="Times New Roman" w:cs="Times New Roman"/>
          <w:sz w:val="24"/>
          <w:szCs w:val="24"/>
        </w:rPr>
        <w:t xml:space="preserve">national </w:t>
      </w:r>
      <w:r w:rsidRPr="00541D29">
        <w:rPr>
          <w:rFonts w:ascii="Times New Roman" w:hAnsi="Times New Roman" w:cs="Times New Roman"/>
          <w:sz w:val="24"/>
          <w:szCs w:val="24"/>
        </w:rPr>
        <w:t>‘cultural heritage’ as</w:t>
      </w:r>
      <w:r w:rsidR="00836631">
        <w:rPr>
          <w:rFonts w:ascii="Times New Roman" w:hAnsi="Times New Roman" w:cs="Times New Roman"/>
          <w:sz w:val="24"/>
          <w:szCs w:val="24"/>
        </w:rPr>
        <w:t xml:space="preserve"> natural, normative, and</w:t>
      </w:r>
      <w:r w:rsidRPr="00541D29">
        <w:rPr>
          <w:rFonts w:ascii="Times New Roman" w:hAnsi="Times New Roman" w:cs="Times New Roman"/>
          <w:sz w:val="24"/>
          <w:szCs w:val="24"/>
        </w:rPr>
        <w:t xml:space="preserve"> free from political or ideological content.</w:t>
      </w:r>
      <w:r w:rsidR="00731BB6">
        <w:rPr>
          <w:rFonts w:ascii="Times New Roman" w:hAnsi="Times New Roman" w:cs="Times New Roman"/>
          <w:sz w:val="24"/>
          <w:szCs w:val="24"/>
        </w:rPr>
        <w:t xml:space="preserve"> </w:t>
      </w:r>
    </w:p>
    <w:p w14:paraId="42A37B4B" w14:textId="77777777" w:rsidR="00D60E2C" w:rsidRDefault="00661E37" w:rsidP="00AE141E">
      <w:pPr>
        <w:spacing w:line="360" w:lineRule="auto"/>
        <w:rPr>
          <w:rFonts w:ascii="Times New Roman" w:hAnsi="Times New Roman" w:cs="Times New Roman"/>
          <w:sz w:val="24"/>
          <w:szCs w:val="24"/>
        </w:rPr>
      </w:pPr>
      <w:r w:rsidRPr="00541D29">
        <w:rPr>
          <w:rFonts w:ascii="Times New Roman" w:hAnsi="Times New Roman" w:cs="Times New Roman"/>
          <w:sz w:val="24"/>
          <w:szCs w:val="24"/>
        </w:rPr>
        <w:t xml:space="preserve">It would be a mistake to read this as a mere rhetorical manoeuvre, born out of cynical hypocrisy. Instead, the terms of the Lords Debate hinted at </w:t>
      </w:r>
      <w:r w:rsidR="006D7245">
        <w:rPr>
          <w:rFonts w:ascii="Times New Roman" w:hAnsi="Times New Roman" w:cs="Times New Roman"/>
          <w:sz w:val="24"/>
          <w:szCs w:val="24"/>
        </w:rPr>
        <w:t>the New Right’s</w:t>
      </w:r>
      <w:r w:rsidRPr="00541D29">
        <w:rPr>
          <w:rFonts w:ascii="Times New Roman" w:hAnsi="Times New Roman" w:cs="Times New Roman"/>
          <w:sz w:val="24"/>
          <w:szCs w:val="24"/>
        </w:rPr>
        <w:t xml:space="preserve"> genuine belief in the </w:t>
      </w:r>
      <w:r w:rsidR="005253E0">
        <w:rPr>
          <w:rFonts w:ascii="Times New Roman" w:hAnsi="Times New Roman" w:cs="Times New Roman"/>
          <w:sz w:val="24"/>
          <w:szCs w:val="24"/>
        </w:rPr>
        <w:t>‘</w:t>
      </w:r>
      <w:r w:rsidRPr="00541D29">
        <w:rPr>
          <w:rFonts w:ascii="Times New Roman" w:hAnsi="Times New Roman" w:cs="Times New Roman"/>
          <w:sz w:val="24"/>
          <w:szCs w:val="24"/>
        </w:rPr>
        <w:t>universalism</w:t>
      </w:r>
      <w:r w:rsidR="00DB12F6">
        <w:rPr>
          <w:rFonts w:ascii="Times New Roman" w:hAnsi="Times New Roman" w:cs="Times New Roman"/>
          <w:sz w:val="24"/>
          <w:szCs w:val="24"/>
        </w:rPr>
        <w:t>’</w:t>
      </w:r>
      <w:r w:rsidR="00EF2754">
        <w:rPr>
          <w:rFonts w:ascii="Times New Roman" w:hAnsi="Times New Roman" w:cs="Times New Roman"/>
          <w:sz w:val="24"/>
          <w:szCs w:val="24"/>
        </w:rPr>
        <w:t xml:space="preserve"> </w:t>
      </w:r>
      <w:r w:rsidRPr="00541D29">
        <w:rPr>
          <w:rFonts w:ascii="Times New Roman" w:hAnsi="Times New Roman" w:cs="Times New Roman"/>
          <w:sz w:val="24"/>
          <w:szCs w:val="24"/>
        </w:rPr>
        <w:t xml:space="preserve">of </w:t>
      </w:r>
      <w:r w:rsidR="00DB12F6">
        <w:rPr>
          <w:rFonts w:ascii="Times New Roman" w:hAnsi="Times New Roman" w:cs="Times New Roman"/>
          <w:sz w:val="24"/>
          <w:szCs w:val="24"/>
        </w:rPr>
        <w:t>cultural forms variously expressed as English or European</w:t>
      </w:r>
      <w:r w:rsidR="00AE7DC5">
        <w:rPr>
          <w:rFonts w:ascii="Times New Roman" w:hAnsi="Times New Roman" w:cs="Times New Roman"/>
          <w:sz w:val="24"/>
          <w:szCs w:val="24"/>
        </w:rPr>
        <w:t>.</w:t>
      </w:r>
      <w:r w:rsidR="002044DA" w:rsidRPr="00541D29">
        <w:rPr>
          <w:rStyle w:val="FootnoteReference"/>
          <w:rFonts w:ascii="Times New Roman" w:hAnsi="Times New Roman" w:cs="Times New Roman"/>
          <w:sz w:val="24"/>
          <w:szCs w:val="24"/>
        </w:rPr>
        <w:footnoteReference w:id="717"/>
      </w:r>
      <w:r w:rsidR="009053D4">
        <w:rPr>
          <w:rFonts w:ascii="Times New Roman" w:hAnsi="Times New Roman" w:cs="Times New Roman"/>
          <w:sz w:val="24"/>
          <w:szCs w:val="24"/>
        </w:rPr>
        <w:t xml:space="preserve"> In this, they were influenced by</w:t>
      </w:r>
      <w:r w:rsidR="00153A04" w:rsidRPr="00541D29">
        <w:rPr>
          <w:rFonts w:ascii="Times New Roman" w:hAnsi="Times New Roman" w:cs="Times New Roman"/>
          <w:sz w:val="24"/>
          <w:szCs w:val="24"/>
        </w:rPr>
        <w:t xml:space="preserve"> a classically colonial belief in civilisational superiority, </w:t>
      </w:r>
      <w:r w:rsidR="00076318">
        <w:rPr>
          <w:rFonts w:ascii="Times New Roman" w:hAnsi="Times New Roman" w:cs="Times New Roman"/>
          <w:sz w:val="24"/>
          <w:szCs w:val="24"/>
        </w:rPr>
        <w:t>and by</w:t>
      </w:r>
      <w:r w:rsidR="0083588F">
        <w:rPr>
          <w:rFonts w:ascii="Times New Roman" w:hAnsi="Times New Roman" w:cs="Times New Roman"/>
          <w:sz w:val="24"/>
          <w:szCs w:val="24"/>
        </w:rPr>
        <w:t xml:space="preserve"> a</w:t>
      </w:r>
      <w:r w:rsidR="00153A04" w:rsidRPr="00541D29">
        <w:rPr>
          <w:rFonts w:ascii="Times New Roman" w:hAnsi="Times New Roman" w:cs="Times New Roman"/>
          <w:sz w:val="24"/>
          <w:szCs w:val="24"/>
        </w:rPr>
        <w:t xml:space="preserve"> proselytising </w:t>
      </w:r>
      <w:r w:rsidR="0083588F">
        <w:rPr>
          <w:rFonts w:ascii="Times New Roman" w:hAnsi="Times New Roman" w:cs="Times New Roman"/>
          <w:sz w:val="24"/>
          <w:szCs w:val="24"/>
        </w:rPr>
        <w:t>vision of Christianity</w:t>
      </w:r>
      <w:r w:rsidR="005F38B5">
        <w:rPr>
          <w:rFonts w:ascii="Times New Roman" w:hAnsi="Times New Roman" w:cs="Times New Roman"/>
          <w:sz w:val="24"/>
          <w:szCs w:val="24"/>
        </w:rPr>
        <w:t xml:space="preserve"> as </w:t>
      </w:r>
      <w:r w:rsidR="00D04EE8">
        <w:rPr>
          <w:rFonts w:ascii="Times New Roman" w:hAnsi="Times New Roman" w:cs="Times New Roman"/>
          <w:sz w:val="24"/>
          <w:szCs w:val="24"/>
        </w:rPr>
        <w:t>an expression of fundamental moral truth</w:t>
      </w:r>
      <w:r w:rsidR="00153A04" w:rsidRPr="00AE141E">
        <w:rPr>
          <w:rFonts w:ascii="Times New Roman" w:hAnsi="Times New Roman" w:cs="Times New Roman"/>
          <w:sz w:val="24"/>
          <w:szCs w:val="24"/>
        </w:rPr>
        <w:t>.</w:t>
      </w:r>
      <w:r w:rsidR="00076318">
        <w:rPr>
          <w:rStyle w:val="FootnoteReference"/>
          <w:rFonts w:ascii="Times New Roman" w:hAnsi="Times New Roman" w:cs="Times New Roman"/>
          <w:sz w:val="24"/>
          <w:szCs w:val="24"/>
        </w:rPr>
        <w:footnoteReference w:id="718"/>
      </w:r>
      <w:r w:rsidR="00153A04" w:rsidRPr="00AE141E">
        <w:rPr>
          <w:rFonts w:ascii="Times New Roman" w:hAnsi="Times New Roman" w:cs="Times New Roman"/>
          <w:sz w:val="24"/>
          <w:szCs w:val="24"/>
        </w:rPr>
        <w:t xml:space="preserve"> </w:t>
      </w:r>
      <w:r w:rsidR="00FE4470" w:rsidRPr="00541D29">
        <w:rPr>
          <w:rFonts w:ascii="Times New Roman" w:hAnsi="Times New Roman" w:cs="Times New Roman"/>
          <w:sz w:val="24"/>
          <w:szCs w:val="24"/>
        </w:rPr>
        <w:t>The New Right’s assumption of the normativity of their values manifested in a language of ‘commonsense’ politics. Stuart Hall has described how the image of the ‘ordinary citizen</w:t>
      </w:r>
      <w:r w:rsidR="00FE4470">
        <w:rPr>
          <w:rFonts w:ascii="Times New Roman" w:hAnsi="Times New Roman" w:cs="Times New Roman"/>
          <w:sz w:val="24"/>
          <w:szCs w:val="24"/>
        </w:rPr>
        <w:t>,</w:t>
      </w:r>
      <w:r w:rsidR="00FE4470" w:rsidRPr="00541D29">
        <w:rPr>
          <w:rFonts w:ascii="Times New Roman" w:hAnsi="Times New Roman" w:cs="Times New Roman"/>
          <w:sz w:val="24"/>
          <w:szCs w:val="24"/>
        </w:rPr>
        <w:t xml:space="preserve"> threatened by the depredations of </w:t>
      </w:r>
      <w:r w:rsidR="00D60E2C">
        <w:rPr>
          <w:rFonts w:ascii="Times New Roman" w:hAnsi="Times New Roman" w:cs="Times New Roman"/>
          <w:sz w:val="24"/>
          <w:szCs w:val="24"/>
        </w:rPr>
        <w:t>“</w:t>
      </w:r>
      <w:r w:rsidR="00FE4470" w:rsidRPr="00541D29">
        <w:rPr>
          <w:rFonts w:ascii="Times New Roman" w:hAnsi="Times New Roman" w:cs="Times New Roman"/>
          <w:sz w:val="24"/>
          <w:szCs w:val="24"/>
        </w:rPr>
        <w:t>extremists</w:t>
      </w:r>
      <w:r w:rsidR="00D60E2C">
        <w:rPr>
          <w:rFonts w:ascii="Times New Roman" w:hAnsi="Times New Roman" w:cs="Times New Roman"/>
          <w:sz w:val="24"/>
          <w:szCs w:val="24"/>
        </w:rPr>
        <w:t>”</w:t>
      </w:r>
      <w:r w:rsidR="00FE4470" w:rsidRPr="00541D29">
        <w:rPr>
          <w:rFonts w:ascii="Times New Roman" w:hAnsi="Times New Roman" w:cs="Times New Roman"/>
          <w:sz w:val="24"/>
          <w:szCs w:val="24"/>
        </w:rPr>
        <w:t>’</w:t>
      </w:r>
      <w:r w:rsidR="00FE4470">
        <w:rPr>
          <w:rFonts w:ascii="Times New Roman" w:hAnsi="Times New Roman" w:cs="Times New Roman"/>
          <w:sz w:val="24"/>
          <w:szCs w:val="24"/>
        </w:rPr>
        <w:t>,</w:t>
      </w:r>
      <w:r w:rsidR="00FE4470" w:rsidRPr="00541D29">
        <w:rPr>
          <w:rFonts w:ascii="Times New Roman" w:hAnsi="Times New Roman" w:cs="Times New Roman"/>
          <w:sz w:val="24"/>
          <w:szCs w:val="24"/>
        </w:rPr>
        <w:t xml:space="preserve"> was deployed in order to manufacture consent for the Thatcherite expansion of the law-and-order society.</w:t>
      </w:r>
      <w:r w:rsidR="00FE4470" w:rsidRPr="00541D29">
        <w:rPr>
          <w:rStyle w:val="FootnoteReference"/>
          <w:rFonts w:ascii="Times New Roman" w:hAnsi="Times New Roman" w:cs="Times New Roman"/>
          <w:sz w:val="24"/>
          <w:szCs w:val="24"/>
        </w:rPr>
        <w:footnoteReference w:id="719"/>
      </w:r>
      <w:r w:rsidR="00FE4470" w:rsidRPr="00541D29">
        <w:rPr>
          <w:rFonts w:ascii="Times New Roman" w:hAnsi="Times New Roman" w:cs="Times New Roman"/>
          <w:sz w:val="24"/>
          <w:szCs w:val="24"/>
        </w:rPr>
        <w:t xml:space="preserve"> A similar binary, which placed left-wing and progressive views in opposition to </w:t>
      </w:r>
      <w:r w:rsidR="00FE4470">
        <w:rPr>
          <w:rFonts w:ascii="Times New Roman" w:hAnsi="Times New Roman" w:cs="Times New Roman"/>
          <w:sz w:val="24"/>
          <w:szCs w:val="24"/>
        </w:rPr>
        <w:t>self-evident</w:t>
      </w:r>
      <w:r w:rsidR="00FE4470" w:rsidRPr="00541D29">
        <w:rPr>
          <w:rFonts w:ascii="Times New Roman" w:hAnsi="Times New Roman" w:cs="Times New Roman"/>
          <w:sz w:val="24"/>
          <w:szCs w:val="24"/>
        </w:rPr>
        <w:t xml:space="preserve">, </w:t>
      </w:r>
      <w:r w:rsidR="00FE4470">
        <w:rPr>
          <w:rFonts w:ascii="Times New Roman" w:hAnsi="Times New Roman" w:cs="Times New Roman"/>
          <w:sz w:val="24"/>
          <w:szCs w:val="24"/>
        </w:rPr>
        <w:t>universal</w:t>
      </w:r>
      <w:r w:rsidR="00FE4470" w:rsidRPr="00541D29">
        <w:rPr>
          <w:rFonts w:ascii="Times New Roman" w:hAnsi="Times New Roman" w:cs="Times New Roman"/>
          <w:sz w:val="24"/>
          <w:szCs w:val="24"/>
        </w:rPr>
        <w:t xml:space="preserve"> truths, functioned in the educational sphere.</w:t>
      </w:r>
      <w:r w:rsidR="00227A8C">
        <w:rPr>
          <w:rFonts w:ascii="Times New Roman" w:hAnsi="Times New Roman" w:cs="Times New Roman"/>
          <w:sz w:val="24"/>
          <w:szCs w:val="24"/>
        </w:rPr>
        <w:t xml:space="preserve"> </w:t>
      </w:r>
    </w:p>
    <w:p w14:paraId="20DDF266" w14:textId="5CDDC38A" w:rsidR="00864333" w:rsidRPr="00D60E2C" w:rsidRDefault="00153C06" w:rsidP="00AE141E">
      <w:pPr>
        <w:spacing w:line="360" w:lineRule="auto"/>
        <w:rPr>
          <w:rFonts w:ascii="Times New Roman" w:hAnsi="Times New Roman" w:cs="Times New Roman"/>
          <w:sz w:val="24"/>
          <w:szCs w:val="24"/>
        </w:rPr>
      </w:pPr>
      <w:r>
        <w:rPr>
          <w:rFonts w:ascii="Times New Roman" w:hAnsi="Times New Roman" w:cs="Times New Roman"/>
          <w:b/>
          <w:bCs/>
          <w:sz w:val="24"/>
          <w:szCs w:val="24"/>
        </w:rPr>
        <w:t>‘Commonsense</w:t>
      </w:r>
      <w:r w:rsidR="00776E91">
        <w:rPr>
          <w:rFonts w:ascii="Times New Roman" w:hAnsi="Times New Roman" w:cs="Times New Roman"/>
          <w:b/>
          <w:bCs/>
          <w:sz w:val="24"/>
          <w:szCs w:val="24"/>
        </w:rPr>
        <w:t>’</w:t>
      </w:r>
      <w:r>
        <w:rPr>
          <w:rFonts w:ascii="Times New Roman" w:hAnsi="Times New Roman" w:cs="Times New Roman"/>
          <w:b/>
          <w:bCs/>
          <w:sz w:val="24"/>
          <w:szCs w:val="24"/>
        </w:rPr>
        <w:t xml:space="preserve"> Politics and Freedom of Speech</w:t>
      </w:r>
    </w:p>
    <w:p w14:paraId="46BB0FD0" w14:textId="297B85D0" w:rsidR="00E66318" w:rsidRPr="00541D29" w:rsidRDefault="00E66318" w:rsidP="00AE141E">
      <w:pPr>
        <w:spacing w:line="360" w:lineRule="auto"/>
        <w:rPr>
          <w:rFonts w:ascii="Times New Roman" w:hAnsi="Times New Roman" w:cs="Times New Roman"/>
          <w:sz w:val="24"/>
          <w:szCs w:val="24"/>
        </w:rPr>
      </w:pPr>
      <w:r w:rsidRPr="00541D29">
        <w:rPr>
          <w:rFonts w:ascii="Times New Roman" w:hAnsi="Times New Roman" w:cs="Times New Roman"/>
          <w:sz w:val="24"/>
          <w:szCs w:val="24"/>
        </w:rPr>
        <w:t xml:space="preserve">In 1984, the Headmaster of Bradford’s Drummond Middle School, Ray Honeyford, published an article </w:t>
      </w:r>
      <w:r w:rsidR="00D475B4">
        <w:rPr>
          <w:rFonts w:ascii="Times New Roman" w:hAnsi="Times New Roman" w:cs="Times New Roman"/>
          <w:sz w:val="24"/>
          <w:szCs w:val="24"/>
        </w:rPr>
        <w:t>(</w:t>
      </w:r>
      <w:r w:rsidRPr="00541D29">
        <w:rPr>
          <w:rFonts w:ascii="Times New Roman" w:hAnsi="Times New Roman" w:cs="Times New Roman"/>
          <w:sz w:val="24"/>
          <w:szCs w:val="24"/>
        </w:rPr>
        <w:t>‘Education and Race – An Alternative View’</w:t>
      </w:r>
      <w:r w:rsidR="00D475B4">
        <w:rPr>
          <w:rFonts w:ascii="Times New Roman" w:hAnsi="Times New Roman" w:cs="Times New Roman"/>
          <w:sz w:val="24"/>
          <w:szCs w:val="24"/>
        </w:rPr>
        <w:t>)</w:t>
      </w:r>
      <w:r w:rsidRPr="00541D29">
        <w:rPr>
          <w:rFonts w:ascii="Times New Roman" w:hAnsi="Times New Roman" w:cs="Times New Roman"/>
          <w:sz w:val="24"/>
          <w:szCs w:val="24"/>
        </w:rPr>
        <w:t xml:space="preserve"> in </w:t>
      </w:r>
      <w:r w:rsidR="00221F7A" w:rsidRPr="00541D29">
        <w:rPr>
          <w:rFonts w:ascii="Times New Roman" w:hAnsi="Times New Roman" w:cs="Times New Roman"/>
          <w:sz w:val="24"/>
          <w:szCs w:val="24"/>
        </w:rPr>
        <w:t xml:space="preserve">one of </w:t>
      </w:r>
      <w:r w:rsidRPr="00541D29">
        <w:rPr>
          <w:rFonts w:ascii="Times New Roman" w:hAnsi="Times New Roman" w:cs="Times New Roman"/>
          <w:sz w:val="24"/>
          <w:szCs w:val="24"/>
        </w:rPr>
        <w:t>the premier organ</w:t>
      </w:r>
      <w:r w:rsidR="00221F7A" w:rsidRPr="00541D29">
        <w:rPr>
          <w:rFonts w:ascii="Times New Roman" w:hAnsi="Times New Roman" w:cs="Times New Roman"/>
          <w:sz w:val="24"/>
          <w:szCs w:val="24"/>
        </w:rPr>
        <w:t>s</w:t>
      </w:r>
      <w:r w:rsidRPr="00541D29">
        <w:rPr>
          <w:rFonts w:ascii="Times New Roman" w:hAnsi="Times New Roman" w:cs="Times New Roman"/>
          <w:sz w:val="24"/>
          <w:szCs w:val="24"/>
        </w:rPr>
        <w:t xml:space="preserve"> of the New Right, </w:t>
      </w:r>
      <w:r w:rsidR="00221F7A" w:rsidRPr="00541D29">
        <w:rPr>
          <w:rFonts w:ascii="Times New Roman" w:hAnsi="Times New Roman" w:cs="Times New Roman"/>
          <w:i/>
          <w:sz w:val="24"/>
          <w:szCs w:val="24"/>
        </w:rPr>
        <w:t>The</w:t>
      </w:r>
      <w:r w:rsidRPr="00541D29">
        <w:rPr>
          <w:rFonts w:ascii="Times New Roman" w:hAnsi="Times New Roman" w:cs="Times New Roman"/>
          <w:sz w:val="24"/>
          <w:szCs w:val="24"/>
        </w:rPr>
        <w:t xml:space="preserve"> </w:t>
      </w:r>
      <w:r w:rsidRPr="00541D29">
        <w:rPr>
          <w:rFonts w:ascii="Times New Roman" w:hAnsi="Times New Roman" w:cs="Times New Roman"/>
          <w:i/>
          <w:sz w:val="24"/>
          <w:szCs w:val="24"/>
        </w:rPr>
        <w:t>Salisbury Review.</w:t>
      </w:r>
      <w:r w:rsidR="00221F7A" w:rsidRPr="00541D29">
        <w:rPr>
          <w:rFonts w:ascii="Times New Roman" w:hAnsi="Times New Roman" w:cs="Times New Roman"/>
          <w:sz w:val="24"/>
          <w:szCs w:val="24"/>
        </w:rPr>
        <w:t xml:space="preserve"> </w:t>
      </w:r>
      <w:r w:rsidRPr="00541D29">
        <w:rPr>
          <w:rFonts w:ascii="Times New Roman" w:hAnsi="Times New Roman" w:cs="Times New Roman"/>
          <w:sz w:val="24"/>
          <w:szCs w:val="24"/>
        </w:rPr>
        <w:t xml:space="preserve">As a teacher in a school in which 95 per cent of students were drawn from </w:t>
      </w:r>
      <w:r w:rsidR="004200D6" w:rsidRPr="00541D29">
        <w:rPr>
          <w:rFonts w:ascii="Times New Roman" w:hAnsi="Times New Roman" w:cs="Times New Roman"/>
          <w:sz w:val="24"/>
          <w:szCs w:val="24"/>
        </w:rPr>
        <w:t>racially minoritised</w:t>
      </w:r>
      <w:r w:rsidRPr="00541D29">
        <w:rPr>
          <w:rFonts w:ascii="Times New Roman" w:hAnsi="Times New Roman" w:cs="Times New Roman"/>
          <w:sz w:val="24"/>
          <w:szCs w:val="24"/>
        </w:rPr>
        <w:t xml:space="preserve"> backgrounds (of whom the majority were of Pakistani heritage), Honeyford complained that he was the recipient of ‘vehement criticism’ whenever he questioned the ‘current educational orthodoxies connected with race’:</w:t>
      </w:r>
    </w:p>
    <w:p w14:paraId="115A8524" w14:textId="3F196C19" w:rsidR="00E66318" w:rsidRPr="00AE141E" w:rsidRDefault="00E66318" w:rsidP="00AE141E">
      <w:pPr>
        <w:spacing w:line="360" w:lineRule="auto"/>
        <w:ind w:left="720"/>
        <w:rPr>
          <w:rFonts w:ascii="Times New Roman" w:hAnsi="Times New Roman" w:cs="Times New Roman"/>
          <w:sz w:val="24"/>
          <w:szCs w:val="24"/>
        </w:rPr>
      </w:pPr>
      <w:r w:rsidRPr="00541D29">
        <w:rPr>
          <w:rFonts w:ascii="Times New Roman" w:hAnsi="Times New Roman" w:cs="Times New Roman"/>
          <w:sz w:val="24"/>
          <w:szCs w:val="24"/>
        </w:rPr>
        <w:t xml:space="preserve">It is very difficult to write honestly and openly of my experiences, and the reflections they evoke, since the race relations lobby is extremely powerful in the state education service. The propaganda generated by multi-racial zealots is now augmented by a growing bureaucracy of race in local authorities. And this makes freedom of speech </w:t>
      </w:r>
      <w:r w:rsidRPr="00541D29">
        <w:rPr>
          <w:rFonts w:ascii="Times New Roman" w:hAnsi="Times New Roman" w:cs="Times New Roman"/>
          <w:sz w:val="24"/>
          <w:szCs w:val="24"/>
        </w:rPr>
        <w:lastRenderedPageBreak/>
        <w:t>difficult to maintain. By exploiting the enormous</w:t>
      </w:r>
      <w:r w:rsidRPr="00AE141E">
        <w:rPr>
          <w:rFonts w:ascii="Times New Roman" w:hAnsi="Times New Roman" w:cs="Times New Roman"/>
          <w:sz w:val="24"/>
          <w:szCs w:val="24"/>
        </w:rPr>
        <w:t xml:space="preserve"> tolerance traditional in this country, the race lobby has so managed to induce and maintain feelings of guilt in the well-disposed majority, that decent people are not only afraid of voicing certain thoughts, they are uncertain even of their right to think those thoughts.</w:t>
      </w:r>
      <w:r w:rsidR="00221F7A" w:rsidRPr="00AE141E">
        <w:rPr>
          <w:rStyle w:val="FootnoteReference"/>
          <w:rFonts w:ascii="Times New Roman" w:hAnsi="Times New Roman" w:cs="Times New Roman"/>
          <w:sz w:val="24"/>
          <w:szCs w:val="24"/>
        </w:rPr>
        <w:footnoteReference w:id="720"/>
      </w:r>
    </w:p>
    <w:p w14:paraId="58B2831A" w14:textId="64A52FBC" w:rsidR="00E66318" w:rsidRPr="00AE141E"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Lurking here, as in much of Honeyford’s work, was the ghost of empire. He believed that the ‘race relations lobby’ had exploited the goodwill of the British people in order to induce a crushing post-colonial guilt. </w:t>
      </w:r>
      <w:r w:rsidR="000206A0" w:rsidRPr="00AE141E">
        <w:rPr>
          <w:rFonts w:ascii="Times New Roman" w:hAnsi="Times New Roman" w:cs="Times New Roman"/>
          <w:sz w:val="24"/>
          <w:szCs w:val="24"/>
        </w:rPr>
        <w:t>To</w:t>
      </w:r>
      <w:r w:rsidRPr="00AE141E">
        <w:rPr>
          <w:rFonts w:ascii="Times New Roman" w:hAnsi="Times New Roman" w:cs="Times New Roman"/>
          <w:sz w:val="24"/>
          <w:szCs w:val="24"/>
        </w:rPr>
        <w:t xml:space="preserve"> restore national self-respect, </w:t>
      </w:r>
      <w:r w:rsidR="00DD0E0F">
        <w:rPr>
          <w:rFonts w:ascii="Times New Roman" w:hAnsi="Times New Roman" w:cs="Times New Roman"/>
          <w:sz w:val="24"/>
          <w:szCs w:val="24"/>
        </w:rPr>
        <w:t xml:space="preserve">Honeyford argued, </w:t>
      </w:r>
      <w:r w:rsidR="00FB2181" w:rsidRPr="00AE141E">
        <w:rPr>
          <w:rFonts w:ascii="Times New Roman" w:hAnsi="Times New Roman" w:cs="Times New Roman"/>
          <w:sz w:val="24"/>
          <w:szCs w:val="24"/>
        </w:rPr>
        <w:t>‘sensible, civilised people’</w:t>
      </w:r>
      <w:r w:rsidR="00FB2181">
        <w:rPr>
          <w:rFonts w:ascii="Times New Roman" w:hAnsi="Times New Roman" w:cs="Times New Roman"/>
          <w:sz w:val="24"/>
          <w:szCs w:val="24"/>
        </w:rPr>
        <w:t>,</w:t>
      </w:r>
      <w:r w:rsidR="00FB2181"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must </w:t>
      </w:r>
      <w:r w:rsidR="00FB2181">
        <w:rPr>
          <w:rFonts w:ascii="Times New Roman" w:hAnsi="Times New Roman" w:cs="Times New Roman"/>
          <w:sz w:val="24"/>
          <w:szCs w:val="24"/>
        </w:rPr>
        <w:t>forget their</w:t>
      </w:r>
      <w:r w:rsidRPr="00AE141E">
        <w:rPr>
          <w:rFonts w:ascii="Times New Roman" w:hAnsi="Times New Roman" w:cs="Times New Roman"/>
          <w:sz w:val="24"/>
          <w:szCs w:val="24"/>
        </w:rPr>
        <w:t xml:space="preserve"> remorse for what </w:t>
      </w:r>
      <w:r w:rsidR="00FB2181">
        <w:rPr>
          <w:rFonts w:ascii="Times New Roman" w:hAnsi="Times New Roman" w:cs="Times New Roman"/>
          <w:sz w:val="24"/>
          <w:szCs w:val="24"/>
        </w:rPr>
        <w:t>their</w:t>
      </w:r>
      <w:r w:rsidRPr="00AE141E">
        <w:rPr>
          <w:rFonts w:ascii="Times New Roman" w:hAnsi="Times New Roman" w:cs="Times New Roman"/>
          <w:sz w:val="24"/>
          <w:szCs w:val="24"/>
        </w:rPr>
        <w:t xml:space="preserve"> </w:t>
      </w:r>
      <w:r w:rsidR="00FB2181">
        <w:rPr>
          <w:rFonts w:ascii="Times New Roman" w:hAnsi="Times New Roman" w:cs="Times New Roman"/>
          <w:sz w:val="24"/>
          <w:szCs w:val="24"/>
        </w:rPr>
        <w:t>‘</w:t>
      </w:r>
      <w:r w:rsidRPr="00AE141E">
        <w:rPr>
          <w:rFonts w:ascii="Times New Roman" w:hAnsi="Times New Roman" w:cs="Times New Roman"/>
          <w:sz w:val="24"/>
          <w:szCs w:val="24"/>
        </w:rPr>
        <w:t>forebears did in the name of Empire’.</w:t>
      </w:r>
      <w:r w:rsidR="00221F7A" w:rsidRPr="00AE141E">
        <w:rPr>
          <w:rStyle w:val="FootnoteReference"/>
          <w:rFonts w:ascii="Times New Roman" w:hAnsi="Times New Roman" w:cs="Times New Roman"/>
          <w:sz w:val="24"/>
          <w:szCs w:val="24"/>
        </w:rPr>
        <w:footnoteReference w:id="721"/>
      </w:r>
      <w:r w:rsidRPr="00AE141E">
        <w:rPr>
          <w:rFonts w:ascii="Times New Roman" w:hAnsi="Times New Roman" w:cs="Times New Roman"/>
          <w:sz w:val="24"/>
          <w:szCs w:val="24"/>
        </w:rPr>
        <w:t xml:space="preserve"> Implicit within this statement was a denial of the continuing power of imperial structures within present-day Britain. </w:t>
      </w:r>
    </w:p>
    <w:p w14:paraId="535C7228" w14:textId="3BA06D49" w:rsidR="00E66318" w:rsidRPr="00AE141E"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Honeyford’s article resulted in a catastrophic collapse of trust within the school and its wider community. </w:t>
      </w:r>
      <w:r w:rsidR="00FC1A4A">
        <w:rPr>
          <w:rFonts w:ascii="Times New Roman" w:hAnsi="Times New Roman" w:cs="Times New Roman"/>
          <w:sz w:val="24"/>
          <w:szCs w:val="24"/>
        </w:rPr>
        <w:t>When Honeyford was</w:t>
      </w:r>
      <w:r w:rsidRPr="00AE141E">
        <w:rPr>
          <w:rFonts w:ascii="Times New Roman" w:hAnsi="Times New Roman" w:cs="Times New Roman"/>
          <w:sz w:val="24"/>
          <w:szCs w:val="24"/>
        </w:rPr>
        <w:t xml:space="preserve"> suspen</w:t>
      </w:r>
      <w:r w:rsidR="00FC1A4A">
        <w:rPr>
          <w:rFonts w:ascii="Times New Roman" w:hAnsi="Times New Roman" w:cs="Times New Roman"/>
          <w:sz w:val="24"/>
          <w:szCs w:val="24"/>
        </w:rPr>
        <w:t>ded</w:t>
      </w:r>
      <w:r w:rsidRPr="00AE141E">
        <w:rPr>
          <w:rFonts w:ascii="Times New Roman" w:hAnsi="Times New Roman" w:cs="Times New Roman"/>
          <w:sz w:val="24"/>
          <w:szCs w:val="24"/>
        </w:rPr>
        <w:t xml:space="preserve"> by</w:t>
      </w:r>
      <w:r w:rsidR="00FC1A4A">
        <w:rPr>
          <w:rFonts w:ascii="Times New Roman" w:hAnsi="Times New Roman" w:cs="Times New Roman"/>
          <w:sz w:val="24"/>
          <w:szCs w:val="24"/>
        </w:rPr>
        <w:t xml:space="preserve"> the Bradford LEA</w:t>
      </w:r>
      <w:r w:rsidRPr="00AE141E">
        <w:rPr>
          <w:rFonts w:ascii="Times New Roman" w:hAnsi="Times New Roman" w:cs="Times New Roman"/>
          <w:sz w:val="24"/>
          <w:szCs w:val="24"/>
        </w:rPr>
        <w:t xml:space="preserve">, </w:t>
      </w:r>
      <w:r w:rsidR="00FC1A4A">
        <w:rPr>
          <w:rFonts w:ascii="Times New Roman" w:hAnsi="Times New Roman" w:cs="Times New Roman"/>
          <w:sz w:val="24"/>
          <w:szCs w:val="24"/>
        </w:rPr>
        <w:t>his</w:t>
      </w:r>
      <w:r w:rsidRPr="00AE141E">
        <w:rPr>
          <w:rFonts w:ascii="Times New Roman" w:hAnsi="Times New Roman" w:cs="Times New Roman"/>
          <w:sz w:val="24"/>
          <w:szCs w:val="24"/>
        </w:rPr>
        <w:t xml:space="preserve"> case became a </w:t>
      </w:r>
      <w:r w:rsidRPr="00AE141E">
        <w:rPr>
          <w:rFonts w:ascii="Times New Roman" w:hAnsi="Times New Roman" w:cs="Times New Roman"/>
          <w:i/>
          <w:sz w:val="24"/>
          <w:szCs w:val="24"/>
        </w:rPr>
        <w:t>cause célèbre</w:t>
      </w:r>
      <w:r w:rsidRPr="00AE141E">
        <w:rPr>
          <w:rFonts w:ascii="Times New Roman" w:hAnsi="Times New Roman" w:cs="Times New Roman"/>
          <w:sz w:val="24"/>
          <w:szCs w:val="24"/>
        </w:rPr>
        <w:t xml:space="preserve"> in the national press. Honeyford fought (and ultimately won) a</w:t>
      </w:r>
      <w:r w:rsidR="00F617EB" w:rsidRPr="00AE141E">
        <w:rPr>
          <w:rFonts w:ascii="Times New Roman" w:hAnsi="Times New Roman" w:cs="Times New Roman"/>
          <w:sz w:val="24"/>
          <w:szCs w:val="24"/>
        </w:rPr>
        <w:t xml:space="preserve"> court</w:t>
      </w:r>
      <w:r w:rsidRPr="00AE141E">
        <w:rPr>
          <w:rFonts w:ascii="Times New Roman" w:hAnsi="Times New Roman" w:cs="Times New Roman"/>
          <w:sz w:val="24"/>
          <w:szCs w:val="24"/>
        </w:rPr>
        <w:t xml:space="preserve"> case against his dismissal at the on the basis of freedom of speech – a framing which was enthusiastically taken up by journalists who lionised the teacher as a stalwart defender of British liberties. By 1985, the press campaign of support had raised Honeyford’s profile so successfully that he was voted the fourth most popular man in Britian in a poll by BBC Radio Four’s </w:t>
      </w:r>
      <w:r w:rsidRPr="00AE141E">
        <w:rPr>
          <w:rFonts w:ascii="Times New Roman" w:hAnsi="Times New Roman" w:cs="Times New Roman"/>
          <w:i/>
          <w:sz w:val="24"/>
          <w:szCs w:val="24"/>
        </w:rPr>
        <w:t>Today</w:t>
      </w:r>
      <w:r w:rsidRPr="00AE141E">
        <w:rPr>
          <w:rFonts w:ascii="Times New Roman" w:hAnsi="Times New Roman" w:cs="Times New Roman"/>
          <w:sz w:val="24"/>
          <w:szCs w:val="24"/>
        </w:rPr>
        <w:t>.</w:t>
      </w:r>
      <w:r w:rsidR="00F617EB" w:rsidRPr="00AE141E">
        <w:rPr>
          <w:rStyle w:val="FootnoteReference"/>
          <w:rFonts w:ascii="Times New Roman" w:hAnsi="Times New Roman" w:cs="Times New Roman"/>
          <w:sz w:val="24"/>
          <w:szCs w:val="24"/>
        </w:rPr>
        <w:footnoteReference w:id="722"/>
      </w:r>
      <w:r w:rsidRPr="00AE141E">
        <w:rPr>
          <w:rFonts w:ascii="Times New Roman" w:hAnsi="Times New Roman" w:cs="Times New Roman"/>
          <w:sz w:val="24"/>
          <w:szCs w:val="24"/>
        </w:rPr>
        <w:t xml:space="preserve"> </w:t>
      </w:r>
    </w:p>
    <w:p w14:paraId="2E9DF12E" w14:textId="2916ADB5" w:rsidR="00290EA1"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Amongst the most spirited defenders of the principle of freedom of speech and its role in defining British nationhood were those who had called for the suppression of the IRR’s teaching materials on imperial history.</w:t>
      </w:r>
      <w:r w:rsidR="004120ED" w:rsidRPr="00AE141E">
        <w:rPr>
          <w:rStyle w:val="FootnoteReference"/>
          <w:rFonts w:ascii="Times New Roman" w:hAnsi="Times New Roman" w:cs="Times New Roman"/>
          <w:sz w:val="24"/>
          <w:szCs w:val="24"/>
        </w:rPr>
        <w:footnoteReference w:id="723"/>
      </w:r>
      <w:r w:rsidRPr="00AE141E">
        <w:rPr>
          <w:rFonts w:ascii="Times New Roman" w:hAnsi="Times New Roman" w:cs="Times New Roman"/>
          <w:sz w:val="24"/>
          <w:szCs w:val="24"/>
        </w:rPr>
        <w:t xml:space="preserve"> </w:t>
      </w:r>
      <w:r w:rsidR="00C577CE">
        <w:rPr>
          <w:rFonts w:ascii="Times New Roman" w:hAnsi="Times New Roman" w:cs="Times New Roman"/>
          <w:sz w:val="24"/>
          <w:szCs w:val="24"/>
        </w:rPr>
        <w:t xml:space="preserve">Likewise, </w:t>
      </w:r>
      <w:r w:rsidRPr="00AE141E">
        <w:rPr>
          <w:rFonts w:ascii="Times New Roman" w:hAnsi="Times New Roman" w:cs="Times New Roman"/>
          <w:sz w:val="24"/>
          <w:szCs w:val="24"/>
        </w:rPr>
        <w:t>Antony Flew, a prolific New Right commentator, simultaneously accused antiracist educators of censorship and demanded that the Commission for Racial Equality</w:t>
      </w:r>
      <w:r w:rsidR="004F271A" w:rsidRPr="00AE141E">
        <w:rPr>
          <w:rFonts w:ascii="Times New Roman" w:hAnsi="Times New Roman" w:cs="Times New Roman"/>
          <w:sz w:val="24"/>
          <w:szCs w:val="24"/>
        </w:rPr>
        <w:t xml:space="preserve"> (CRE)</w:t>
      </w:r>
      <w:r w:rsidRPr="00AE141E">
        <w:rPr>
          <w:rFonts w:ascii="Times New Roman" w:hAnsi="Times New Roman" w:cs="Times New Roman"/>
          <w:sz w:val="24"/>
          <w:szCs w:val="24"/>
        </w:rPr>
        <w:t xml:space="preserve"> ‘be directed on pain of dissolution to formulate its own redefinition’.</w:t>
      </w:r>
      <w:r w:rsidR="004120ED" w:rsidRPr="00AE141E">
        <w:rPr>
          <w:rStyle w:val="FootnoteReference"/>
          <w:rFonts w:ascii="Times New Roman" w:hAnsi="Times New Roman" w:cs="Times New Roman"/>
          <w:sz w:val="24"/>
          <w:szCs w:val="24"/>
        </w:rPr>
        <w:footnoteReference w:id="724"/>
      </w:r>
      <w:r w:rsidRPr="00AE141E">
        <w:rPr>
          <w:rFonts w:ascii="Times New Roman" w:hAnsi="Times New Roman" w:cs="Times New Roman"/>
          <w:sz w:val="24"/>
          <w:szCs w:val="24"/>
        </w:rPr>
        <w:t xml:space="preserve"> Once again, this should not be interpreted as cynical hypocrisy. As </w:t>
      </w:r>
      <w:r w:rsidRPr="00AE141E">
        <w:rPr>
          <w:rFonts w:ascii="Times New Roman" w:hAnsi="Times New Roman" w:cs="Times New Roman"/>
          <w:sz w:val="24"/>
          <w:szCs w:val="24"/>
        </w:rPr>
        <w:lastRenderedPageBreak/>
        <w:t xml:space="preserve">David Oldman has argued, the </w:t>
      </w:r>
      <w:r w:rsidR="00561490">
        <w:rPr>
          <w:rFonts w:ascii="Times New Roman" w:hAnsi="Times New Roman" w:cs="Times New Roman"/>
          <w:sz w:val="24"/>
          <w:szCs w:val="24"/>
        </w:rPr>
        <w:t>moralising</w:t>
      </w:r>
      <w:r w:rsidRPr="00AE141E">
        <w:rPr>
          <w:rFonts w:ascii="Times New Roman" w:hAnsi="Times New Roman" w:cs="Times New Roman"/>
          <w:sz w:val="24"/>
          <w:szCs w:val="24"/>
        </w:rPr>
        <w:t xml:space="preserve"> empiricism of the New Right’s philosophy – which entailed ‘an appeal to “what everyone knows” in a language that “everyone can understand”’ – gave them </w:t>
      </w:r>
      <w:r w:rsidR="00C577CE">
        <w:rPr>
          <w:rFonts w:ascii="Times New Roman" w:hAnsi="Times New Roman" w:cs="Times New Roman"/>
          <w:sz w:val="24"/>
          <w:szCs w:val="24"/>
        </w:rPr>
        <w:t>absolute faith</w:t>
      </w:r>
      <w:r w:rsidRPr="00AE141E">
        <w:rPr>
          <w:rFonts w:ascii="Times New Roman" w:hAnsi="Times New Roman" w:cs="Times New Roman"/>
          <w:sz w:val="24"/>
          <w:szCs w:val="24"/>
        </w:rPr>
        <w:t xml:space="preserve"> in the</w:t>
      </w:r>
      <w:r w:rsidR="00C577CE">
        <w:rPr>
          <w:rFonts w:ascii="Times New Roman" w:hAnsi="Times New Roman" w:cs="Times New Roman"/>
          <w:sz w:val="24"/>
          <w:szCs w:val="24"/>
        </w:rPr>
        <w:t xml:space="preserve"> ‘</w:t>
      </w:r>
      <w:r w:rsidRPr="00AE141E">
        <w:rPr>
          <w:rFonts w:ascii="Times New Roman" w:hAnsi="Times New Roman" w:cs="Times New Roman"/>
          <w:sz w:val="24"/>
          <w:szCs w:val="24"/>
        </w:rPr>
        <w:t>truth of their factual assertions’.</w:t>
      </w:r>
      <w:r w:rsidR="0096767E" w:rsidRPr="00AE141E">
        <w:rPr>
          <w:rStyle w:val="FootnoteReference"/>
          <w:rFonts w:ascii="Times New Roman" w:hAnsi="Times New Roman" w:cs="Times New Roman"/>
          <w:sz w:val="24"/>
          <w:szCs w:val="24"/>
        </w:rPr>
        <w:footnoteReference w:id="725"/>
      </w:r>
      <w:r w:rsidRPr="00AE141E">
        <w:rPr>
          <w:rFonts w:ascii="Times New Roman" w:hAnsi="Times New Roman" w:cs="Times New Roman"/>
          <w:sz w:val="24"/>
          <w:szCs w:val="24"/>
        </w:rPr>
        <w:t xml:space="preserve"> Opponents of multicultural and anti-racist education ventriloquised the voices of an imagined community of ‘ordinary’, ‘fundamentally decent people’ whose </w:t>
      </w:r>
      <w:r w:rsidR="003C7966">
        <w:rPr>
          <w:rFonts w:ascii="Times New Roman" w:hAnsi="Times New Roman" w:cs="Times New Roman"/>
          <w:sz w:val="24"/>
          <w:szCs w:val="24"/>
        </w:rPr>
        <w:t xml:space="preserve">opinions and </w:t>
      </w:r>
      <w:r w:rsidRPr="00AE141E">
        <w:rPr>
          <w:rFonts w:ascii="Times New Roman" w:hAnsi="Times New Roman" w:cs="Times New Roman"/>
          <w:sz w:val="24"/>
          <w:szCs w:val="24"/>
        </w:rPr>
        <w:t xml:space="preserve">experiences </w:t>
      </w:r>
      <w:r w:rsidR="003C7966">
        <w:rPr>
          <w:rFonts w:ascii="Times New Roman" w:hAnsi="Times New Roman" w:cs="Times New Roman"/>
          <w:sz w:val="24"/>
          <w:szCs w:val="24"/>
        </w:rPr>
        <w:t>took on the cast of</w:t>
      </w:r>
      <w:r w:rsidR="003106EA">
        <w:rPr>
          <w:rFonts w:ascii="Times New Roman" w:hAnsi="Times New Roman" w:cs="Times New Roman"/>
          <w:sz w:val="24"/>
          <w:szCs w:val="24"/>
        </w:rPr>
        <w:t xml:space="preserve"> </w:t>
      </w:r>
      <w:r w:rsidRPr="00AE141E">
        <w:rPr>
          <w:rFonts w:ascii="Times New Roman" w:hAnsi="Times New Roman" w:cs="Times New Roman"/>
          <w:sz w:val="24"/>
          <w:szCs w:val="24"/>
        </w:rPr>
        <w:t>fundamental truths.</w:t>
      </w:r>
      <w:r w:rsidR="00F50BE7" w:rsidRPr="00AE141E">
        <w:rPr>
          <w:rStyle w:val="FootnoteReference"/>
          <w:rFonts w:ascii="Times New Roman" w:hAnsi="Times New Roman" w:cs="Times New Roman"/>
          <w:sz w:val="24"/>
          <w:szCs w:val="24"/>
        </w:rPr>
        <w:footnoteReference w:id="726"/>
      </w:r>
      <w:r w:rsidRPr="00AE141E">
        <w:rPr>
          <w:rFonts w:ascii="Times New Roman" w:hAnsi="Times New Roman" w:cs="Times New Roman"/>
          <w:sz w:val="24"/>
          <w:szCs w:val="24"/>
        </w:rPr>
        <w:t xml:space="preserve"> </w:t>
      </w:r>
      <w:r w:rsidR="003106EA">
        <w:rPr>
          <w:rFonts w:ascii="Times New Roman" w:hAnsi="Times New Roman" w:cs="Times New Roman"/>
          <w:sz w:val="24"/>
          <w:szCs w:val="24"/>
        </w:rPr>
        <w:t>Ideas</w:t>
      </w:r>
      <w:r w:rsidRPr="00AE141E">
        <w:rPr>
          <w:rFonts w:ascii="Times New Roman" w:hAnsi="Times New Roman" w:cs="Times New Roman"/>
          <w:sz w:val="24"/>
          <w:szCs w:val="24"/>
        </w:rPr>
        <w:t xml:space="preserve"> which fell outside the boundaries of </w:t>
      </w:r>
      <w:r w:rsidR="002F470E">
        <w:rPr>
          <w:rFonts w:ascii="Times New Roman" w:hAnsi="Times New Roman" w:cs="Times New Roman"/>
          <w:sz w:val="24"/>
          <w:szCs w:val="24"/>
        </w:rPr>
        <w:t>‘commonsense’ politics were not</w:t>
      </w:r>
      <w:r w:rsidRPr="00AE141E">
        <w:rPr>
          <w:rFonts w:ascii="Times New Roman" w:hAnsi="Times New Roman" w:cs="Times New Roman"/>
          <w:sz w:val="24"/>
          <w:szCs w:val="24"/>
        </w:rPr>
        <w:t xml:space="preserve"> conceptualised as mere difference</w:t>
      </w:r>
      <w:r w:rsidR="00AD7F69">
        <w:rPr>
          <w:rFonts w:ascii="Times New Roman" w:hAnsi="Times New Roman" w:cs="Times New Roman"/>
          <w:sz w:val="24"/>
          <w:szCs w:val="24"/>
        </w:rPr>
        <w:t>s</w:t>
      </w:r>
      <w:r w:rsidRPr="00AE141E">
        <w:rPr>
          <w:rFonts w:ascii="Times New Roman" w:hAnsi="Times New Roman" w:cs="Times New Roman"/>
          <w:sz w:val="24"/>
          <w:szCs w:val="24"/>
        </w:rPr>
        <w:t xml:space="preserve"> in opinion</w:t>
      </w:r>
      <w:r w:rsidR="00B11211">
        <w:rPr>
          <w:rFonts w:ascii="Times New Roman" w:hAnsi="Times New Roman" w:cs="Times New Roman"/>
          <w:sz w:val="24"/>
          <w:szCs w:val="24"/>
        </w:rPr>
        <w:t>,</w:t>
      </w:r>
      <w:r w:rsidRPr="00AE141E">
        <w:rPr>
          <w:rFonts w:ascii="Times New Roman" w:hAnsi="Times New Roman" w:cs="Times New Roman"/>
          <w:sz w:val="24"/>
          <w:szCs w:val="24"/>
        </w:rPr>
        <w:t xml:space="preserve"> </w:t>
      </w:r>
      <w:r w:rsidR="00B11211">
        <w:rPr>
          <w:rFonts w:ascii="Times New Roman" w:hAnsi="Times New Roman" w:cs="Times New Roman"/>
          <w:sz w:val="24"/>
          <w:szCs w:val="24"/>
        </w:rPr>
        <w:t>but as</w:t>
      </w:r>
      <w:r w:rsidR="00756E14">
        <w:rPr>
          <w:rFonts w:ascii="Times New Roman" w:hAnsi="Times New Roman" w:cs="Times New Roman"/>
          <w:sz w:val="24"/>
          <w:szCs w:val="24"/>
        </w:rPr>
        <w:t xml:space="preserve"> immoral</w:t>
      </w:r>
      <w:r w:rsidR="00B11211">
        <w:rPr>
          <w:rFonts w:ascii="Times New Roman" w:hAnsi="Times New Roman" w:cs="Times New Roman"/>
          <w:sz w:val="24"/>
          <w:szCs w:val="24"/>
        </w:rPr>
        <w:t xml:space="preserve"> </w:t>
      </w:r>
      <w:r w:rsidR="00D92091">
        <w:rPr>
          <w:rFonts w:ascii="Times New Roman" w:hAnsi="Times New Roman" w:cs="Times New Roman"/>
          <w:sz w:val="24"/>
          <w:szCs w:val="24"/>
        </w:rPr>
        <w:t>lie</w:t>
      </w:r>
      <w:r w:rsidR="002F470E">
        <w:rPr>
          <w:rFonts w:ascii="Times New Roman" w:hAnsi="Times New Roman" w:cs="Times New Roman"/>
          <w:sz w:val="24"/>
          <w:szCs w:val="24"/>
        </w:rPr>
        <w:t>s</w:t>
      </w:r>
      <w:r w:rsidRPr="00AE141E">
        <w:rPr>
          <w:rFonts w:ascii="Times New Roman" w:hAnsi="Times New Roman" w:cs="Times New Roman"/>
          <w:sz w:val="24"/>
          <w:szCs w:val="24"/>
        </w:rPr>
        <w:t xml:space="preserve">. As such, </w:t>
      </w:r>
      <w:r w:rsidR="003106EA">
        <w:rPr>
          <w:rFonts w:ascii="Times New Roman" w:hAnsi="Times New Roman" w:cs="Times New Roman"/>
          <w:sz w:val="24"/>
          <w:szCs w:val="24"/>
        </w:rPr>
        <w:t>they</w:t>
      </w:r>
      <w:r w:rsidRPr="00AE141E">
        <w:rPr>
          <w:rFonts w:ascii="Times New Roman" w:hAnsi="Times New Roman" w:cs="Times New Roman"/>
          <w:sz w:val="24"/>
          <w:szCs w:val="24"/>
        </w:rPr>
        <w:t xml:space="preserve"> </w:t>
      </w:r>
      <w:r w:rsidR="003106EA">
        <w:rPr>
          <w:rFonts w:ascii="Times New Roman" w:hAnsi="Times New Roman" w:cs="Times New Roman"/>
          <w:sz w:val="24"/>
          <w:szCs w:val="24"/>
        </w:rPr>
        <w:t>were</w:t>
      </w:r>
      <w:r w:rsidRPr="00AE141E">
        <w:rPr>
          <w:rFonts w:ascii="Times New Roman" w:hAnsi="Times New Roman" w:cs="Times New Roman"/>
          <w:sz w:val="24"/>
          <w:szCs w:val="24"/>
        </w:rPr>
        <w:t xml:space="preserve"> excluded from the protection of freedom of speech.</w:t>
      </w:r>
    </w:p>
    <w:p w14:paraId="5023DBBB" w14:textId="7E4B8BF3" w:rsidR="00D212A6" w:rsidRPr="00AE141E"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image of the man-on-the-street – the bearer of commonsense, practical wisdom – sometimes placed class in opposition to, and in conflict with, race. As a strategy of divide and rule, </w:t>
      </w:r>
      <w:r w:rsidR="00A77612">
        <w:rPr>
          <w:rFonts w:ascii="Times New Roman" w:hAnsi="Times New Roman" w:cs="Times New Roman"/>
          <w:sz w:val="24"/>
          <w:szCs w:val="24"/>
        </w:rPr>
        <w:t>this</w:t>
      </w:r>
      <w:r w:rsidRPr="00AE141E">
        <w:rPr>
          <w:rFonts w:ascii="Times New Roman" w:hAnsi="Times New Roman" w:cs="Times New Roman"/>
          <w:sz w:val="24"/>
          <w:szCs w:val="24"/>
        </w:rPr>
        <w:t xml:space="preserve"> may be considered an antecedent to today’s invocation of the White Working Class, which performs a similar ideological function in excluding downwardly racialised people from the political authority contained within the concept of the ‘salt of the earth’.</w:t>
      </w:r>
      <w:r w:rsidR="007E0F72" w:rsidRPr="00AE141E">
        <w:rPr>
          <w:rStyle w:val="FootnoteReference"/>
          <w:rFonts w:ascii="Times New Roman" w:hAnsi="Times New Roman" w:cs="Times New Roman"/>
          <w:sz w:val="24"/>
          <w:szCs w:val="24"/>
        </w:rPr>
        <w:footnoteReference w:id="727"/>
      </w:r>
      <w:r w:rsidRPr="00AE141E">
        <w:rPr>
          <w:rFonts w:ascii="Times New Roman" w:hAnsi="Times New Roman" w:cs="Times New Roman"/>
          <w:sz w:val="24"/>
          <w:szCs w:val="24"/>
        </w:rPr>
        <w:t xml:space="preserve"> In the 1980s, in keeping with neo-liberalism’s fear of organised working-class politics and its celebration of the meritocracy of the market, an explicit language of class was </w:t>
      </w:r>
      <w:r w:rsidR="005E5173">
        <w:rPr>
          <w:rFonts w:ascii="Times New Roman" w:hAnsi="Times New Roman" w:cs="Times New Roman"/>
          <w:sz w:val="24"/>
          <w:szCs w:val="24"/>
        </w:rPr>
        <w:t>deliberately</w:t>
      </w:r>
      <w:r w:rsidRPr="00AE141E">
        <w:rPr>
          <w:rFonts w:ascii="Times New Roman" w:hAnsi="Times New Roman" w:cs="Times New Roman"/>
          <w:sz w:val="24"/>
          <w:szCs w:val="24"/>
        </w:rPr>
        <w:t xml:space="preserve"> skirted. The ordinary, ‘fundamentally decent’ citizen was represented through the invocation of symbols of working-class life</w:t>
      </w:r>
      <w:r w:rsidR="005E5173">
        <w:rPr>
          <w:rFonts w:ascii="Times New Roman" w:hAnsi="Times New Roman" w:cs="Times New Roman"/>
          <w:sz w:val="24"/>
          <w:szCs w:val="24"/>
        </w:rPr>
        <w:t>,</w:t>
      </w:r>
      <w:r w:rsidRPr="00AE141E">
        <w:rPr>
          <w:rFonts w:ascii="Times New Roman" w:hAnsi="Times New Roman" w:cs="Times New Roman"/>
          <w:sz w:val="24"/>
          <w:szCs w:val="24"/>
        </w:rPr>
        <w:t xml:space="preserve"> or by reference to biographies illustrative of social mobility from a deprived past. The press outcry over Hackney Council’s purported attempt to rename Britan</w:t>
      </w:r>
      <w:r w:rsidR="00CA24EB">
        <w:rPr>
          <w:rFonts w:ascii="Times New Roman" w:hAnsi="Times New Roman" w:cs="Times New Roman"/>
          <w:sz w:val="24"/>
          <w:szCs w:val="24"/>
        </w:rPr>
        <w:t>n</w:t>
      </w:r>
      <w:r w:rsidRPr="00AE141E">
        <w:rPr>
          <w:rFonts w:ascii="Times New Roman" w:hAnsi="Times New Roman" w:cs="Times New Roman"/>
          <w:sz w:val="24"/>
          <w:szCs w:val="24"/>
        </w:rPr>
        <w:t>ia Walk positioned ‘local Cockneys</w:t>
      </w:r>
      <w:r w:rsidR="000B30F5">
        <w:rPr>
          <w:rFonts w:ascii="Times New Roman" w:hAnsi="Times New Roman" w:cs="Times New Roman"/>
          <w:sz w:val="24"/>
          <w:szCs w:val="24"/>
        </w:rPr>
        <w:t>’, ‘</w:t>
      </w:r>
      <w:r w:rsidRPr="00AE141E">
        <w:rPr>
          <w:rFonts w:ascii="Times New Roman" w:hAnsi="Times New Roman" w:cs="Times New Roman"/>
          <w:sz w:val="24"/>
          <w:szCs w:val="24"/>
        </w:rPr>
        <w:t>likely to be OUTNUMBERED by immigrants within 10 years’</w:t>
      </w:r>
      <w:r w:rsidR="000B30F5">
        <w:rPr>
          <w:rFonts w:ascii="Times New Roman" w:hAnsi="Times New Roman" w:cs="Times New Roman"/>
          <w:sz w:val="24"/>
          <w:szCs w:val="24"/>
        </w:rPr>
        <w:t>,</w:t>
      </w:r>
      <w:r w:rsidRPr="00AE141E">
        <w:rPr>
          <w:rFonts w:ascii="Times New Roman" w:hAnsi="Times New Roman" w:cs="Times New Roman"/>
          <w:sz w:val="24"/>
          <w:szCs w:val="24"/>
        </w:rPr>
        <w:t xml:space="preserve"> as the embattled defenders of </w:t>
      </w:r>
      <w:r w:rsidR="00F03B19">
        <w:rPr>
          <w:rFonts w:ascii="Times New Roman" w:hAnsi="Times New Roman" w:cs="Times New Roman"/>
          <w:sz w:val="24"/>
          <w:szCs w:val="24"/>
        </w:rPr>
        <w:t>a demotic, national</w:t>
      </w:r>
      <w:r w:rsidRPr="00AE141E">
        <w:rPr>
          <w:rFonts w:ascii="Times New Roman" w:hAnsi="Times New Roman" w:cs="Times New Roman"/>
          <w:sz w:val="24"/>
          <w:szCs w:val="24"/>
        </w:rPr>
        <w:t xml:space="preserve"> common</w:t>
      </w:r>
      <w:r w:rsidR="00A77612">
        <w:rPr>
          <w:rFonts w:ascii="Times New Roman" w:hAnsi="Times New Roman" w:cs="Times New Roman"/>
          <w:sz w:val="24"/>
          <w:szCs w:val="24"/>
        </w:rPr>
        <w:t xml:space="preserve"> </w:t>
      </w:r>
      <w:r w:rsidRPr="00AE141E">
        <w:rPr>
          <w:rFonts w:ascii="Times New Roman" w:hAnsi="Times New Roman" w:cs="Times New Roman"/>
          <w:sz w:val="24"/>
          <w:szCs w:val="24"/>
        </w:rPr>
        <w:t>sense against foreign subversion.</w:t>
      </w:r>
      <w:r w:rsidR="00116C1D" w:rsidRPr="00AE141E">
        <w:rPr>
          <w:rStyle w:val="FootnoteReference"/>
          <w:rFonts w:ascii="Times New Roman" w:hAnsi="Times New Roman" w:cs="Times New Roman"/>
          <w:sz w:val="24"/>
          <w:szCs w:val="24"/>
        </w:rPr>
        <w:footnoteReference w:id="728"/>
      </w:r>
      <w:r w:rsidRPr="00AE141E">
        <w:rPr>
          <w:rFonts w:ascii="Times New Roman" w:hAnsi="Times New Roman" w:cs="Times New Roman"/>
          <w:sz w:val="24"/>
          <w:szCs w:val="24"/>
        </w:rPr>
        <w:t xml:space="preserve"> </w:t>
      </w:r>
    </w:p>
    <w:p w14:paraId="6F737E74" w14:textId="76ED4C72" w:rsidR="00E66318" w:rsidRPr="00AE141E"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Dewsbury, White parents’ refusal to send their children to a school drawing most of its pupils from the town’s Asian and Muslim communities became another of the New Right’s chosen talking points. Eric Haley, a 53-year-old publican, rapidly assumed the </w:t>
      </w:r>
      <w:r w:rsidR="00AB52B8">
        <w:rPr>
          <w:rFonts w:ascii="Times New Roman" w:hAnsi="Times New Roman" w:cs="Times New Roman"/>
          <w:sz w:val="24"/>
          <w:szCs w:val="24"/>
        </w:rPr>
        <w:t xml:space="preserve">role of </w:t>
      </w:r>
      <w:r w:rsidRPr="00AE141E">
        <w:rPr>
          <w:rFonts w:ascii="Times New Roman" w:hAnsi="Times New Roman" w:cs="Times New Roman"/>
          <w:sz w:val="24"/>
          <w:szCs w:val="24"/>
        </w:rPr>
        <w:lastRenderedPageBreak/>
        <w:t>spokesperson for the parents. His public persona played to the media desire for authenticity with considerable success. Fred Naylor, Secretary of the Parental Alliance for Choice in Education (PACE) and educational adviser to the Dewsbury parents, described Haley as a ‘blunt Yorkshireman’ with exceptional ‘entrepreneurial qualities’ (he had held the jobs of builder, wholesale jeweller, and publican in quick succession).</w:t>
      </w:r>
      <w:r w:rsidR="00A64725" w:rsidRPr="00AE141E">
        <w:rPr>
          <w:rStyle w:val="FootnoteReference"/>
          <w:rFonts w:ascii="Times New Roman" w:hAnsi="Times New Roman" w:cs="Times New Roman"/>
          <w:sz w:val="24"/>
          <w:szCs w:val="24"/>
        </w:rPr>
        <w:footnoteReference w:id="729"/>
      </w:r>
      <w:r w:rsidRPr="00AE141E">
        <w:rPr>
          <w:rFonts w:ascii="Times New Roman" w:hAnsi="Times New Roman" w:cs="Times New Roman"/>
          <w:sz w:val="24"/>
          <w:szCs w:val="24"/>
        </w:rPr>
        <w:t xml:space="preserve"> In Naylor’s account, Haley became a sort of everyman hero charged with safeguarding national values; the preservation of freedom in England ‘depended on men like Eric’. The safety of the collective was underwritten by rugged individualism.</w:t>
      </w:r>
      <w:r w:rsidR="00E53219">
        <w:rPr>
          <w:rFonts w:ascii="Times New Roman" w:hAnsi="Times New Roman" w:cs="Times New Roman"/>
          <w:sz w:val="24"/>
          <w:szCs w:val="24"/>
        </w:rPr>
        <w:t xml:space="preserve"> </w:t>
      </w:r>
      <w:r w:rsidR="00E53219" w:rsidRPr="00AE141E">
        <w:rPr>
          <w:rFonts w:ascii="Times New Roman" w:hAnsi="Times New Roman" w:cs="Times New Roman"/>
          <w:sz w:val="24"/>
          <w:szCs w:val="24"/>
        </w:rPr>
        <w:t>The media’s narration of Ray Honeyford’s personal history invariably hit the same notes: born into a poor, working-class Mancunian family, Honeyford had qualified as a teacher via night classes, tenaciously climbing the social ladder.</w:t>
      </w:r>
      <w:r w:rsidR="00E53219" w:rsidRPr="00AE141E">
        <w:rPr>
          <w:rStyle w:val="FootnoteReference"/>
          <w:rFonts w:ascii="Times New Roman" w:hAnsi="Times New Roman" w:cs="Times New Roman"/>
          <w:sz w:val="24"/>
          <w:szCs w:val="24"/>
        </w:rPr>
        <w:footnoteReference w:id="730"/>
      </w:r>
      <w:r w:rsidR="00E53219" w:rsidRPr="00AE141E">
        <w:rPr>
          <w:rFonts w:ascii="Times New Roman" w:hAnsi="Times New Roman" w:cs="Times New Roman"/>
          <w:sz w:val="24"/>
          <w:szCs w:val="24"/>
        </w:rPr>
        <w:t xml:space="preserve"> Indeed, it is </w:t>
      </w:r>
      <w:r w:rsidR="00E53219">
        <w:rPr>
          <w:rFonts w:ascii="Times New Roman" w:hAnsi="Times New Roman" w:cs="Times New Roman"/>
          <w:sz w:val="24"/>
          <w:szCs w:val="24"/>
        </w:rPr>
        <w:t>likely</w:t>
      </w:r>
      <w:r w:rsidR="00E53219" w:rsidRPr="00AE141E">
        <w:rPr>
          <w:rFonts w:ascii="Times New Roman" w:hAnsi="Times New Roman" w:cs="Times New Roman"/>
          <w:sz w:val="24"/>
          <w:szCs w:val="24"/>
        </w:rPr>
        <w:t xml:space="preserve"> that his background was what made Honeyford a worthy and appealing champion for journalists and readers alike.</w:t>
      </w:r>
    </w:p>
    <w:p w14:paraId="3CC71490" w14:textId="7520F3E4" w:rsidR="00E66318" w:rsidRPr="00AE141E"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Unsurprisingly, the opposition of class and race was </w:t>
      </w:r>
      <w:r w:rsidR="00E43437">
        <w:rPr>
          <w:rFonts w:ascii="Times New Roman" w:hAnsi="Times New Roman" w:cs="Times New Roman"/>
          <w:sz w:val="24"/>
          <w:szCs w:val="24"/>
        </w:rPr>
        <w:t>extremely</w:t>
      </w:r>
      <w:r w:rsidRPr="00AE141E">
        <w:rPr>
          <w:rFonts w:ascii="Times New Roman" w:hAnsi="Times New Roman" w:cs="Times New Roman"/>
          <w:sz w:val="24"/>
          <w:szCs w:val="24"/>
        </w:rPr>
        <w:t xml:space="preserve"> prominent in the writings of the self-proclaimed socialist, former History teacher, and ILEA official</w:t>
      </w:r>
      <w:r w:rsidR="004D4D30">
        <w:rPr>
          <w:rFonts w:ascii="Times New Roman" w:hAnsi="Times New Roman" w:cs="Times New Roman"/>
          <w:sz w:val="24"/>
          <w:szCs w:val="24"/>
        </w:rPr>
        <w:t xml:space="preserve"> </w:t>
      </w:r>
      <w:r w:rsidRPr="00AE141E">
        <w:rPr>
          <w:rFonts w:ascii="Times New Roman" w:hAnsi="Times New Roman" w:cs="Times New Roman"/>
          <w:sz w:val="24"/>
          <w:szCs w:val="24"/>
        </w:rPr>
        <w:t>Tom Hastie.</w:t>
      </w:r>
      <w:r w:rsidR="00EC1483" w:rsidRPr="00AE141E">
        <w:rPr>
          <w:rStyle w:val="FootnoteReference"/>
          <w:rFonts w:ascii="Times New Roman" w:hAnsi="Times New Roman" w:cs="Times New Roman"/>
          <w:sz w:val="24"/>
          <w:szCs w:val="24"/>
        </w:rPr>
        <w:footnoteReference w:id="731"/>
      </w:r>
      <w:r w:rsidRPr="00AE141E">
        <w:rPr>
          <w:rFonts w:ascii="Times New Roman" w:hAnsi="Times New Roman" w:cs="Times New Roman"/>
          <w:sz w:val="24"/>
          <w:szCs w:val="24"/>
        </w:rPr>
        <w:t xml:space="preserve"> Hastie</w:t>
      </w:r>
      <w:r w:rsidR="00EC1483"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was thrown into alliance with the New Right precisely </w:t>
      </w:r>
      <w:r w:rsidRPr="00AE141E">
        <w:rPr>
          <w:rFonts w:ascii="Times New Roman" w:hAnsi="Times New Roman" w:cs="Times New Roman"/>
          <w:i/>
          <w:sz w:val="24"/>
          <w:szCs w:val="24"/>
        </w:rPr>
        <w:t>because of</w:t>
      </w:r>
      <w:r w:rsidRPr="00AE141E">
        <w:rPr>
          <w:rFonts w:ascii="Times New Roman" w:hAnsi="Times New Roman" w:cs="Times New Roman"/>
          <w:sz w:val="24"/>
          <w:szCs w:val="24"/>
        </w:rPr>
        <w:t xml:space="preserve"> his belief in the centrality of class as a force of historical change.</w:t>
      </w:r>
      <w:r w:rsidR="00EC1483" w:rsidRPr="00AE141E">
        <w:rPr>
          <w:rFonts w:ascii="Times New Roman" w:hAnsi="Times New Roman" w:cs="Times New Roman"/>
          <w:sz w:val="24"/>
          <w:szCs w:val="24"/>
        </w:rPr>
        <w:t xml:space="preserve"> He</w:t>
      </w:r>
      <w:r w:rsidRPr="00AE141E">
        <w:rPr>
          <w:rFonts w:ascii="Times New Roman" w:hAnsi="Times New Roman" w:cs="Times New Roman"/>
          <w:sz w:val="24"/>
          <w:szCs w:val="24"/>
        </w:rPr>
        <w:t xml:space="preserve"> argued that the real winner of the capitalist system was a multi-racial, transnational, capitalist class – not in itself an especially controversial statement. However, this argument was developed in a manner which placed class and race in competition with </w:t>
      </w:r>
      <w:r w:rsidR="002E4B61">
        <w:rPr>
          <w:rFonts w:ascii="Times New Roman" w:hAnsi="Times New Roman" w:cs="Times New Roman"/>
          <w:sz w:val="24"/>
          <w:szCs w:val="24"/>
        </w:rPr>
        <w:t>one</w:t>
      </w:r>
      <w:r w:rsidRPr="00AE141E">
        <w:rPr>
          <w:rFonts w:ascii="Times New Roman" w:hAnsi="Times New Roman" w:cs="Times New Roman"/>
          <w:sz w:val="24"/>
          <w:szCs w:val="24"/>
        </w:rPr>
        <w:t xml:space="preserve"> other.</w:t>
      </w:r>
      <w:r w:rsidR="00551A2F">
        <w:rPr>
          <w:rFonts w:ascii="Times New Roman" w:hAnsi="Times New Roman" w:cs="Times New Roman"/>
          <w:sz w:val="24"/>
          <w:szCs w:val="24"/>
        </w:rPr>
        <w:t xml:space="preserve"> </w:t>
      </w:r>
      <w:r w:rsidRPr="00AE141E">
        <w:rPr>
          <w:rFonts w:ascii="Times New Roman" w:hAnsi="Times New Roman" w:cs="Times New Roman"/>
          <w:sz w:val="24"/>
          <w:szCs w:val="24"/>
        </w:rPr>
        <w:t>According to Hastie, the only social group to hold a ‘monopoly’ on hardship and exploitation was ‘the poor – whatever their colour’</w:t>
      </w:r>
      <w:r w:rsidR="00551A2F">
        <w:rPr>
          <w:rFonts w:ascii="Times New Roman" w:hAnsi="Times New Roman" w:cs="Times New Roman"/>
          <w:sz w:val="24"/>
          <w:szCs w:val="24"/>
        </w:rPr>
        <w:t xml:space="preserve">; </w:t>
      </w:r>
      <w:r w:rsidRPr="00AE141E">
        <w:rPr>
          <w:rFonts w:ascii="Times New Roman" w:hAnsi="Times New Roman" w:cs="Times New Roman"/>
          <w:sz w:val="24"/>
          <w:szCs w:val="24"/>
        </w:rPr>
        <w:t xml:space="preserve">class ‘transcended race’ as a structure of oppression. </w:t>
      </w:r>
    </w:p>
    <w:p w14:paraId="3C6CB766" w14:textId="5B10BF02" w:rsidR="00E66318" w:rsidRDefault="00E663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Hastie’s historical sensibility might justly be described as vulgar Marxist – there is a persistent sense in his writing that historians’ embrace of race as a</w:t>
      </w:r>
      <w:r w:rsidR="00AC6FC6">
        <w:rPr>
          <w:rFonts w:ascii="Times New Roman" w:hAnsi="Times New Roman" w:cs="Times New Roman"/>
          <w:sz w:val="24"/>
          <w:szCs w:val="24"/>
        </w:rPr>
        <w:t xml:space="preserve">n </w:t>
      </w:r>
      <w:r w:rsidRPr="00AE141E">
        <w:rPr>
          <w:rFonts w:ascii="Times New Roman" w:hAnsi="Times New Roman" w:cs="Times New Roman"/>
          <w:sz w:val="24"/>
          <w:szCs w:val="24"/>
        </w:rPr>
        <w:t xml:space="preserve">analytical category </w:t>
      </w:r>
      <w:r w:rsidR="005E5173">
        <w:rPr>
          <w:rFonts w:ascii="Times New Roman" w:hAnsi="Times New Roman" w:cs="Times New Roman"/>
          <w:sz w:val="24"/>
          <w:szCs w:val="24"/>
        </w:rPr>
        <w:t xml:space="preserve">had </w:t>
      </w:r>
      <w:r w:rsidRPr="00AE141E">
        <w:rPr>
          <w:rFonts w:ascii="Times New Roman" w:hAnsi="Times New Roman" w:cs="Times New Roman"/>
          <w:sz w:val="24"/>
          <w:szCs w:val="24"/>
        </w:rPr>
        <w:t>unsettled</w:t>
      </w:r>
      <w:r w:rsidR="00221A09">
        <w:rPr>
          <w:rFonts w:ascii="Times New Roman" w:hAnsi="Times New Roman" w:cs="Times New Roman"/>
          <w:sz w:val="24"/>
          <w:szCs w:val="24"/>
        </w:rPr>
        <w:t xml:space="preserve"> and frustrated</w:t>
      </w:r>
      <w:r w:rsidRPr="00AE141E">
        <w:rPr>
          <w:rFonts w:ascii="Times New Roman" w:hAnsi="Times New Roman" w:cs="Times New Roman"/>
          <w:sz w:val="24"/>
          <w:szCs w:val="24"/>
        </w:rPr>
        <w:t xml:space="preserve"> his reduction of past to a chronicle of </w:t>
      </w:r>
      <w:r w:rsidR="00AC6FC6">
        <w:rPr>
          <w:rFonts w:ascii="Times New Roman" w:hAnsi="Times New Roman" w:cs="Times New Roman"/>
          <w:sz w:val="24"/>
          <w:szCs w:val="24"/>
        </w:rPr>
        <w:t>c</w:t>
      </w:r>
      <w:r w:rsidRPr="00AE141E">
        <w:rPr>
          <w:rFonts w:ascii="Times New Roman" w:hAnsi="Times New Roman" w:cs="Times New Roman"/>
          <w:sz w:val="24"/>
          <w:szCs w:val="24"/>
        </w:rPr>
        <w:t xml:space="preserve">lass struggle. This might help to explain Hastie’s bizarre assumption of a </w:t>
      </w:r>
      <w:r w:rsidR="00AC6FC6">
        <w:rPr>
          <w:rFonts w:ascii="Times New Roman" w:hAnsi="Times New Roman" w:cs="Times New Roman"/>
          <w:sz w:val="24"/>
          <w:szCs w:val="24"/>
        </w:rPr>
        <w:t>historical ‘</w:t>
      </w:r>
      <w:r w:rsidRPr="00AE141E">
        <w:rPr>
          <w:rFonts w:ascii="Times New Roman" w:hAnsi="Times New Roman" w:cs="Times New Roman"/>
          <w:sz w:val="24"/>
          <w:szCs w:val="24"/>
        </w:rPr>
        <w:t>zero-sum game</w:t>
      </w:r>
      <w:r w:rsidR="005859D4">
        <w:rPr>
          <w:rFonts w:ascii="Times New Roman" w:hAnsi="Times New Roman" w:cs="Times New Roman"/>
          <w:sz w:val="24"/>
          <w:szCs w:val="24"/>
        </w:rPr>
        <w:t>’,</w:t>
      </w:r>
      <w:r w:rsidRPr="00AE141E">
        <w:rPr>
          <w:rFonts w:ascii="Times New Roman" w:hAnsi="Times New Roman" w:cs="Times New Roman"/>
          <w:sz w:val="24"/>
          <w:szCs w:val="24"/>
        </w:rPr>
        <w:t xml:space="preserve"> in which attention to </w:t>
      </w:r>
      <w:r w:rsidRPr="00AE141E">
        <w:rPr>
          <w:rFonts w:ascii="Times New Roman" w:hAnsi="Times New Roman" w:cs="Times New Roman"/>
          <w:sz w:val="24"/>
          <w:szCs w:val="24"/>
        </w:rPr>
        <w:lastRenderedPageBreak/>
        <w:t>race necessarily detracted from – rather than informed –</w:t>
      </w:r>
      <w:r w:rsidR="005859D4">
        <w:rPr>
          <w:rFonts w:ascii="Times New Roman" w:hAnsi="Times New Roman" w:cs="Times New Roman"/>
          <w:sz w:val="24"/>
          <w:szCs w:val="24"/>
        </w:rPr>
        <w:t xml:space="preserve"> understandings</w:t>
      </w:r>
      <w:r w:rsidRPr="00AE141E">
        <w:rPr>
          <w:rFonts w:ascii="Times New Roman" w:hAnsi="Times New Roman" w:cs="Times New Roman"/>
          <w:sz w:val="24"/>
          <w:szCs w:val="24"/>
        </w:rPr>
        <w:t xml:space="preserve"> of class</w:t>
      </w:r>
      <w:r w:rsidR="005859D4">
        <w:rPr>
          <w:rFonts w:ascii="Times New Roman" w:hAnsi="Times New Roman" w:cs="Times New Roman"/>
          <w:sz w:val="24"/>
          <w:szCs w:val="24"/>
        </w:rPr>
        <w:t xml:space="preserve"> politics</w:t>
      </w:r>
      <w:r w:rsidR="00FE4D43" w:rsidRPr="00AE141E">
        <w:rPr>
          <w:rFonts w:ascii="Times New Roman" w:hAnsi="Times New Roman" w:cs="Times New Roman"/>
          <w:sz w:val="24"/>
          <w:szCs w:val="24"/>
        </w:rPr>
        <w:t>.</w:t>
      </w:r>
      <w:r w:rsidRPr="00AE141E">
        <w:rPr>
          <w:rFonts w:ascii="Times New Roman" w:hAnsi="Times New Roman" w:cs="Times New Roman"/>
          <w:sz w:val="24"/>
          <w:szCs w:val="24"/>
        </w:rPr>
        <w:t xml:space="preserve"> The prominence of </w:t>
      </w:r>
      <w:r w:rsidR="00FE4D43" w:rsidRPr="00AE141E">
        <w:rPr>
          <w:rFonts w:ascii="Times New Roman" w:hAnsi="Times New Roman" w:cs="Times New Roman"/>
          <w:sz w:val="24"/>
          <w:szCs w:val="24"/>
        </w:rPr>
        <w:t>his voice</w:t>
      </w:r>
      <w:r w:rsidRPr="00AE141E">
        <w:rPr>
          <w:rFonts w:ascii="Times New Roman" w:hAnsi="Times New Roman" w:cs="Times New Roman"/>
          <w:sz w:val="24"/>
          <w:szCs w:val="24"/>
        </w:rPr>
        <w:t xml:space="preserve"> in the defence of educational nationalism is a useful reminder that New Right </w:t>
      </w:r>
      <w:r w:rsidRPr="00CD5510">
        <w:rPr>
          <w:rFonts w:ascii="Times New Roman" w:hAnsi="Times New Roman" w:cs="Times New Roman"/>
          <w:iCs/>
          <w:sz w:val="24"/>
          <w:szCs w:val="24"/>
        </w:rPr>
        <w:t>conservatism</w:t>
      </w:r>
      <w:r w:rsidRPr="00AE141E">
        <w:rPr>
          <w:rFonts w:ascii="Times New Roman" w:hAnsi="Times New Roman" w:cs="Times New Roman"/>
          <w:sz w:val="24"/>
          <w:szCs w:val="24"/>
        </w:rPr>
        <w:t xml:space="preserve"> should not be treated as coterminous with Margaret Thatcher’s Conservative Party. In fact, the New Right’s invocation of the silently classed everyman as a buttress against the ‘manipulations’ of multicultural and antiracist education may well have appealed to those seeking a new language for class-based politics in the 1980s.</w:t>
      </w:r>
      <w:r w:rsidR="00334F69" w:rsidRPr="00AE141E">
        <w:rPr>
          <w:rStyle w:val="FootnoteReference"/>
          <w:rFonts w:ascii="Times New Roman" w:hAnsi="Times New Roman" w:cs="Times New Roman"/>
          <w:sz w:val="24"/>
          <w:szCs w:val="24"/>
        </w:rPr>
        <w:footnoteReference w:id="732"/>
      </w:r>
    </w:p>
    <w:p w14:paraId="66432E7A" w14:textId="77777777" w:rsidR="00DC1555" w:rsidRDefault="008052ED" w:rsidP="00AE141E">
      <w:pPr>
        <w:spacing w:line="360" w:lineRule="auto"/>
        <w:rPr>
          <w:rFonts w:ascii="Times New Roman" w:hAnsi="Times New Roman" w:cs="Times New Roman"/>
          <w:sz w:val="24"/>
          <w:szCs w:val="24"/>
        </w:rPr>
      </w:pPr>
      <w:r>
        <w:rPr>
          <w:rFonts w:ascii="Times New Roman" w:hAnsi="Times New Roman" w:cs="Times New Roman"/>
          <w:sz w:val="24"/>
          <w:szCs w:val="24"/>
        </w:rPr>
        <w:t xml:space="preserve">Hastie’s </w:t>
      </w:r>
      <w:r w:rsidR="0082632A">
        <w:rPr>
          <w:rFonts w:ascii="Times New Roman" w:hAnsi="Times New Roman" w:cs="Times New Roman"/>
          <w:sz w:val="24"/>
          <w:szCs w:val="24"/>
        </w:rPr>
        <w:t>assertion of the primacy of class as a structure of oppression rested on a denial of the</w:t>
      </w:r>
      <w:r w:rsidR="002E4B61">
        <w:rPr>
          <w:rFonts w:ascii="Times New Roman" w:hAnsi="Times New Roman" w:cs="Times New Roman"/>
          <w:sz w:val="24"/>
          <w:szCs w:val="24"/>
        </w:rPr>
        <w:t xml:space="preserve"> systematic </w:t>
      </w:r>
      <w:r w:rsidR="0082632A">
        <w:rPr>
          <w:rFonts w:ascii="Times New Roman" w:hAnsi="Times New Roman" w:cs="Times New Roman"/>
          <w:sz w:val="24"/>
          <w:szCs w:val="24"/>
        </w:rPr>
        <w:t xml:space="preserve">dimension of </w:t>
      </w:r>
      <w:r w:rsidR="00610628">
        <w:rPr>
          <w:rFonts w:ascii="Times New Roman" w:hAnsi="Times New Roman" w:cs="Times New Roman"/>
          <w:sz w:val="24"/>
          <w:szCs w:val="24"/>
        </w:rPr>
        <w:t>racism.</w:t>
      </w:r>
      <w:r w:rsidR="00DC1555">
        <w:rPr>
          <w:rFonts w:ascii="Times New Roman" w:hAnsi="Times New Roman" w:cs="Times New Roman"/>
          <w:sz w:val="24"/>
          <w:szCs w:val="24"/>
        </w:rPr>
        <w:t xml:space="preserve"> </w:t>
      </w:r>
      <w:r w:rsidR="00DC1555" w:rsidRPr="00AE141E">
        <w:rPr>
          <w:rFonts w:ascii="Times New Roman" w:hAnsi="Times New Roman" w:cs="Times New Roman"/>
          <w:sz w:val="24"/>
          <w:szCs w:val="24"/>
        </w:rPr>
        <w:t>As Hastie put it, ‘there are crazy people in every community, whatever its colour’, who must not be taken as representative of its wider dynamics.</w:t>
      </w:r>
      <w:r w:rsidR="00DC1555" w:rsidRPr="00AE141E">
        <w:rPr>
          <w:rStyle w:val="FootnoteReference"/>
          <w:rFonts w:ascii="Times New Roman" w:hAnsi="Times New Roman" w:cs="Times New Roman"/>
          <w:sz w:val="24"/>
          <w:szCs w:val="24"/>
        </w:rPr>
        <w:footnoteReference w:id="733"/>
      </w:r>
      <w:r w:rsidR="00DC1555" w:rsidRPr="00AE141E">
        <w:rPr>
          <w:rFonts w:ascii="Times New Roman" w:hAnsi="Times New Roman" w:cs="Times New Roman"/>
          <w:sz w:val="24"/>
          <w:szCs w:val="24"/>
        </w:rPr>
        <w:t xml:space="preserve"> </w:t>
      </w:r>
      <w:r w:rsidR="001063B1" w:rsidRPr="00AE141E">
        <w:rPr>
          <w:rFonts w:ascii="Times New Roman" w:hAnsi="Times New Roman" w:cs="Times New Roman"/>
          <w:sz w:val="24"/>
          <w:szCs w:val="24"/>
        </w:rPr>
        <w:t xml:space="preserve"> </w:t>
      </w:r>
      <w:r w:rsidR="00610628">
        <w:rPr>
          <w:rFonts w:ascii="Times New Roman" w:hAnsi="Times New Roman" w:cs="Times New Roman"/>
          <w:sz w:val="24"/>
          <w:szCs w:val="24"/>
        </w:rPr>
        <w:t>This was symptomatic of what contempora</w:t>
      </w:r>
      <w:r w:rsidR="00DC1555">
        <w:rPr>
          <w:rFonts w:ascii="Times New Roman" w:hAnsi="Times New Roman" w:cs="Times New Roman"/>
          <w:sz w:val="24"/>
          <w:szCs w:val="24"/>
        </w:rPr>
        <w:t>ries labelled</w:t>
      </w:r>
      <w:r w:rsidR="00610628">
        <w:rPr>
          <w:rFonts w:ascii="Times New Roman" w:hAnsi="Times New Roman" w:cs="Times New Roman"/>
          <w:sz w:val="24"/>
          <w:szCs w:val="24"/>
        </w:rPr>
        <w:t xml:space="preserve"> the</w:t>
      </w:r>
      <w:r w:rsidR="001063B1" w:rsidRPr="00AE141E">
        <w:rPr>
          <w:rFonts w:ascii="Times New Roman" w:hAnsi="Times New Roman" w:cs="Times New Roman"/>
          <w:sz w:val="24"/>
          <w:szCs w:val="24"/>
        </w:rPr>
        <w:t xml:space="preserve"> ‘New Racism’</w:t>
      </w:r>
      <w:r w:rsidR="00DC1555">
        <w:rPr>
          <w:rFonts w:ascii="Times New Roman" w:hAnsi="Times New Roman" w:cs="Times New Roman"/>
          <w:sz w:val="24"/>
          <w:szCs w:val="24"/>
        </w:rPr>
        <w:t xml:space="preserve"> – a doctrine which </w:t>
      </w:r>
      <w:r w:rsidR="001063B1" w:rsidRPr="00AE141E">
        <w:rPr>
          <w:rFonts w:ascii="Times New Roman" w:hAnsi="Times New Roman" w:cs="Times New Roman"/>
          <w:sz w:val="24"/>
          <w:szCs w:val="24"/>
        </w:rPr>
        <w:t>posited hostility to difference</w:t>
      </w:r>
      <w:r w:rsidR="001063B1">
        <w:rPr>
          <w:rFonts w:ascii="Times New Roman" w:hAnsi="Times New Roman" w:cs="Times New Roman"/>
          <w:sz w:val="24"/>
          <w:szCs w:val="24"/>
        </w:rPr>
        <w:t xml:space="preserve"> as</w:t>
      </w:r>
      <w:r w:rsidR="001063B1" w:rsidRPr="00AE141E">
        <w:rPr>
          <w:rFonts w:ascii="Times New Roman" w:hAnsi="Times New Roman" w:cs="Times New Roman"/>
          <w:sz w:val="24"/>
          <w:szCs w:val="24"/>
        </w:rPr>
        <w:t xml:space="preserve"> a natural, inevitable</w:t>
      </w:r>
      <w:r w:rsidR="001063B1">
        <w:rPr>
          <w:rFonts w:ascii="Times New Roman" w:hAnsi="Times New Roman" w:cs="Times New Roman"/>
          <w:sz w:val="24"/>
          <w:szCs w:val="24"/>
        </w:rPr>
        <w:t>, and hence dehistoricised</w:t>
      </w:r>
      <w:r w:rsidR="001063B1" w:rsidRPr="00AE141E">
        <w:rPr>
          <w:rFonts w:ascii="Times New Roman" w:hAnsi="Times New Roman" w:cs="Times New Roman"/>
          <w:sz w:val="24"/>
          <w:szCs w:val="24"/>
        </w:rPr>
        <w:t xml:space="preserve"> part of the human experience.</w:t>
      </w:r>
      <w:r w:rsidR="001063B1" w:rsidRPr="00AE141E">
        <w:rPr>
          <w:rStyle w:val="FootnoteReference"/>
          <w:rFonts w:ascii="Times New Roman" w:hAnsi="Times New Roman" w:cs="Times New Roman"/>
          <w:sz w:val="24"/>
          <w:szCs w:val="24"/>
        </w:rPr>
        <w:footnoteReference w:id="734"/>
      </w:r>
      <w:r w:rsidR="001063B1" w:rsidRPr="00AE141E">
        <w:rPr>
          <w:rFonts w:ascii="Times New Roman" w:hAnsi="Times New Roman" w:cs="Times New Roman"/>
          <w:sz w:val="24"/>
          <w:szCs w:val="24"/>
        </w:rPr>
        <w:t xml:space="preserve"> </w:t>
      </w:r>
      <w:r w:rsidR="00005986" w:rsidRPr="00AE141E">
        <w:rPr>
          <w:rFonts w:ascii="Times New Roman" w:hAnsi="Times New Roman" w:cs="Times New Roman"/>
          <w:sz w:val="24"/>
          <w:szCs w:val="24"/>
        </w:rPr>
        <w:t xml:space="preserve">Within this framework, racism had three principal sources: the personal moral failings of a small minority of White people, immigration itself, and the cultural and social deficiencies of immigrants and/or </w:t>
      </w:r>
      <w:r w:rsidR="00005986">
        <w:rPr>
          <w:rFonts w:ascii="Times New Roman" w:hAnsi="Times New Roman" w:cs="Times New Roman"/>
          <w:sz w:val="24"/>
          <w:szCs w:val="24"/>
        </w:rPr>
        <w:t>p</w:t>
      </w:r>
      <w:r w:rsidR="00005986" w:rsidRPr="00AE141E">
        <w:rPr>
          <w:rFonts w:ascii="Times New Roman" w:hAnsi="Times New Roman" w:cs="Times New Roman"/>
          <w:sz w:val="24"/>
          <w:szCs w:val="24"/>
        </w:rPr>
        <w:t xml:space="preserve">eople of </w:t>
      </w:r>
      <w:r w:rsidR="00005986">
        <w:rPr>
          <w:rFonts w:ascii="Times New Roman" w:hAnsi="Times New Roman" w:cs="Times New Roman"/>
          <w:sz w:val="24"/>
          <w:szCs w:val="24"/>
        </w:rPr>
        <w:t>c</w:t>
      </w:r>
      <w:r w:rsidR="00005986" w:rsidRPr="00AE141E">
        <w:rPr>
          <w:rFonts w:ascii="Times New Roman" w:hAnsi="Times New Roman" w:cs="Times New Roman"/>
          <w:sz w:val="24"/>
          <w:szCs w:val="24"/>
        </w:rPr>
        <w:t>olour.</w:t>
      </w:r>
    </w:p>
    <w:p w14:paraId="73274008" w14:textId="3A5AE2CD" w:rsidR="00005986" w:rsidRDefault="001063B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Honeyford distinguished between ‘prejudice’ – the product of a universal ‘preference for one’s own kind’ – and ‘discrimination’, which he described as an attempt to </w:t>
      </w:r>
      <w:r w:rsidRPr="008425DE">
        <w:rPr>
          <w:rFonts w:ascii="Times New Roman" w:hAnsi="Times New Roman" w:cs="Times New Roman"/>
          <w:iCs/>
          <w:sz w:val="24"/>
          <w:szCs w:val="24"/>
        </w:rPr>
        <w:t>enforce</w:t>
      </w:r>
      <w:r w:rsidRPr="00AE141E">
        <w:rPr>
          <w:rFonts w:ascii="Times New Roman" w:hAnsi="Times New Roman" w:cs="Times New Roman"/>
          <w:sz w:val="24"/>
          <w:szCs w:val="24"/>
        </w:rPr>
        <w:t xml:space="preserve"> ‘a preference </w:t>
      </w:r>
      <w:r w:rsidRPr="00495D26">
        <w:rPr>
          <w:rFonts w:ascii="Times New Roman" w:hAnsi="Times New Roman" w:cs="Times New Roman"/>
          <w:i/>
          <w:iCs/>
          <w:sz w:val="24"/>
          <w:szCs w:val="24"/>
        </w:rPr>
        <w:t>for</w:t>
      </w:r>
      <w:r w:rsidRPr="00AE141E">
        <w:rPr>
          <w:rFonts w:ascii="Times New Roman" w:hAnsi="Times New Roman" w:cs="Times New Roman"/>
          <w:sz w:val="24"/>
          <w:szCs w:val="24"/>
        </w:rPr>
        <w:t xml:space="preserve"> as an hostility </w:t>
      </w:r>
      <w:r w:rsidRPr="008425DE">
        <w:rPr>
          <w:rFonts w:ascii="Times New Roman" w:hAnsi="Times New Roman" w:cs="Times New Roman"/>
          <w:i/>
          <w:iCs/>
          <w:sz w:val="24"/>
          <w:szCs w:val="24"/>
        </w:rPr>
        <w:t>against</w:t>
      </w:r>
      <w:r>
        <w:rPr>
          <w:rFonts w:ascii="Times New Roman" w:hAnsi="Times New Roman" w:cs="Times New Roman"/>
          <w:i/>
          <w:iCs/>
          <w:sz w:val="24"/>
          <w:szCs w:val="24"/>
        </w:rPr>
        <w:t xml:space="preserve"> </w:t>
      </w:r>
      <w:r>
        <w:rPr>
          <w:rFonts w:ascii="Times New Roman" w:hAnsi="Times New Roman" w:cs="Times New Roman"/>
          <w:sz w:val="24"/>
          <w:szCs w:val="24"/>
        </w:rPr>
        <w:t>[emphasis added]</w:t>
      </w:r>
      <w:r w:rsidRPr="008425DE">
        <w:rPr>
          <w:rFonts w:ascii="Times New Roman" w:hAnsi="Times New Roman" w:cs="Times New Roman"/>
          <w:i/>
          <w:iCs/>
          <w:sz w:val="24"/>
          <w:szCs w:val="24"/>
        </w:rPr>
        <w:t>’</w:t>
      </w:r>
      <w:r w:rsidRPr="00AE141E">
        <w:rPr>
          <w:rFonts w:ascii="Times New Roman" w:hAnsi="Times New Roman" w:cs="Times New Roman"/>
          <w:sz w:val="24"/>
          <w:szCs w:val="24"/>
        </w:rPr>
        <w:t>.</w:t>
      </w:r>
      <w:r w:rsidRPr="00AE141E">
        <w:rPr>
          <w:rStyle w:val="FootnoteReference"/>
          <w:rFonts w:ascii="Times New Roman" w:hAnsi="Times New Roman" w:cs="Times New Roman"/>
          <w:sz w:val="24"/>
          <w:szCs w:val="24"/>
        </w:rPr>
        <w:footnoteReference w:id="735"/>
      </w:r>
      <w:r w:rsidRPr="00AE141E">
        <w:rPr>
          <w:rFonts w:ascii="Times New Roman" w:hAnsi="Times New Roman" w:cs="Times New Roman"/>
          <w:sz w:val="24"/>
          <w:szCs w:val="24"/>
        </w:rPr>
        <w:t xml:space="preserve"> He concluded that most people in Britain, regardless of racial identity, were ‘prejudiced non-discriminators’.  Prejudice could be counteracted by simple human interactions across the boundaries of race, although this was contingent upon ‘newcomers’’ willingness to assimilate to British cultural norms. Only a small minority of Britons, situated far beyond the social pale, were committed ‘discriminators’ – a curious and regrettable condition of which there was no clear origin, nor any proposed remedy. </w:t>
      </w:r>
    </w:p>
    <w:p w14:paraId="255B1EB6" w14:textId="4AAF7DD2" w:rsidR="00FE4D43" w:rsidRPr="00AE141E" w:rsidRDefault="001C096E" w:rsidP="00AE141E">
      <w:pPr>
        <w:spacing w:line="360" w:lineRule="auto"/>
        <w:rPr>
          <w:rFonts w:ascii="Times New Roman" w:hAnsi="Times New Roman" w:cs="Times New Roman"/>
          <w:sz w:val="24"/>
          <w:szCs w:val="24"/>
        </w:rPr>
      </w:pPr>
      <w:r>
        <w:rPr>
          <w:rFonts w:ascii="Times New Roman" w:hAnsi="Times New Roman" w:cs="Times New Roman"/>
          <w:sz w:val="24"/>
          <w:szCs w:val="24"/>
        </w:rPr>
        <w:t>To</w:t>
      </w:r>
      <w:r w:rsidR="00FE4D43" w:rsidRPr="00AE141E">
        <w:rPr>
          <w:rFonts w:ascii="Times New Roman" w:hAnsi="Times New Roman" w:cs="Times New Roman"/>
          <w:sz w:val="24"/>
          <w:szCs w:val="24"/>
        </w:rPr>
        <w:t xml:space="preserve"> deny the systematic nature of racial discrimination in the UK, it was </w:t>
      </w:r>
      <w:r>
        <w:rPr>
          <w:rFonts w:ascii="Times New Roman" w:hAnsi="Times New Roman" w:cs="Times New Roman"/>
          <w:sz w:val="24"/>
          <w:szCs w:val="24"/>
        </w:rPr>
        <w:t xml:space="preserve">first </w:t>
      </w:r>
      <w:r w:rsidR="00FE4D43" w:rsidRPr="00AE141E">
        <w:rPr>
          <w:rFonts w:ascii="Times New Roman" w:hAnsi="Times New Roman" w:cs="Times New Roman"/>
          <w:sz w:val="24"/>
          <w:szCs w:val="24"/>
        </w:rPr>
        <w:t>necessary to distort or to erase its imperial parentage. Thus, Hastie authored the following polemic on the writing of colonial history:</w:t>
      </w:r>
    </w:p>
    <w:p w14:paraId="33B5FC4B" w14:textId="14897345" w:rsidR="00FE4D43" w:rsidRPr="00AE141E" w:rsidRDefault="00FE4D43"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lastRenderedPageBreak/>
        <w:t xml:space="preserve">As a lifelong Socialist who has taught Commonwealth history at </w:t>
      </w:r>
      <w:r w:rsidR="00307796" w:rsidRPr="00AE141E">
        <w:rPr>
          <w:rFonts w:ascii="Times New Roman" w:hAnsi="Times New Roman" w:cs="Times New Roman"/>
          <w:sz w:val="24"/>
          <w:szCs w:val="24"/>
        </w:rPr>
        <w:t>“</w:t>
      </w:r>
      <w:r w:rsidRPr="00AE141E">
        <w:rPr>
          <w:rFonts w:ascii="Times New Roman" w:hAnsi="Times New Roman" w:cs="Times New Roman"/>
          <w:sz w:val="24"/>
          <w:szCs w:val="24"/>
        </w:rPr>
        <w:t>A</w:t>
      </w:r>
      <w:r w:rsidR="00307796" w:rsidRPr="00AE141E">
        <w:rPr>
          <w:rFonts w:ascii="Times New Roman" w:hAnsi="Times New Roman" w:cs="Times New Roman"/>
          <w:sz w:val="24"/>
          <w:szCs w:val="24"/>
        </w:rPr>
        <w:t>”</w:t>
      </w:r>
      <w:r w:rsidRPr="00AE141E">
        <w:rPr>
          <w:rFonts w:ascii="Times New Roman" w:hAnsi="Times New Roman" w:cs="Times New Roman"/>
          <w:sz w:val="24"/>
          <w:szCs w:val="24"/>
        </w:rPr>
        <w:t xml:space="preserve"> level, I am no stranger to the evils of imperialism, but </w:t>
      </w:r>
      <w:r w:rsidRPr="00AE141E">
        <w:rPr>
          <w:rFonts w:ascii="Times New Roman" w:hAnsi="Times New Roman" w:cs="Times New Roman"/>
          <w:i/>
          <w:sz w:val="24"/>
          <w:szCs w:val="24"/>
        </w:rPr>
        <w:t>I am also aware that those evils were made possible by men who were imperialists rather than by those who just happened to be white</w:t>
      </w:r>
      <w:r w:rsidRPr="00AE141E">
        <w:rPr>
          <w:rFonts w:ascii="Times New Roman" w:hAnsi="Times New Roman" w:cs="Times New Roman"/>
          <w:sz w:val="24"/>
          <w:szCs w:val="24"/>
        </w:rPr>
        <w:t xml:space="preserve"> […] Colour or race was quite incidental in the development of capitalism and its ultimate form, imperialism</w:t>
      </w:r>
      <w:r w:rsidRPr="00AE141E">
        <w:rPr>
          <w:rFonts w:ascii="Times New Roman" w:hAnsi="Times New Roman" w:cs="Times New Roman"/>
          <w:i/>
          <w:sz w:val="24"/>
          <w:szCs w:val="24"/>
        </w:rPr>
        <w:t>.</w:t>
      </w:r>
      <w:r w:rsidRPr="00AE141E">
        <w:rPr>
          <w:rFonts w:ascii="Times New Roman" w:hAnsi="Times New Roman" w:cs="Times New Roman"/>
          <w:sz w:val="24"/>
          <w:szCs w:val="24"/>
        </w:rPr>
        <w:t xml:space="preserve"> Is the </w:t>
      </w:r>
      <w:r w:rsidR="00307796" w:rsidRPr="00AE141E">
        <w:rPr>
          <w:rFonts w:ascii="Times New Roman" w:hAnsi="Times New Roman" w:cs="Times New Roman"/>
          <w:sz w:val="24"/>
          <w:szCs w:val="24"/>
        </w:rPr>
        <w:t>[IRR]</w:t>
      </w:r>
      <w:r w:rsidRPr="00AE141E">
        <w:rPr>
          <w:rFonts w:ascii="Times New Roman" w:hAnsi="Times New Roman" w:cs="Times New Roman"/>
          <w:sz w:val="24"/>
          <w:szCs w:val="24"/>
        </w:rPr>
        <w:t xml:space="preserve"> prepared to insist that had black societies enjoyed these same historical advantages of Western Europe then they would not have exploited them and their fellow human beings in a capitalist and imperialist manner? To claim that they would not have done so seems to attribute to blacks the qualities of a moral </w:t>
      </w:r>
      <w:r w:rsidRPr="00AE141E">
        <w:rPr>
          <w:rFonts w:ascii="Times New Roman" w:hAnsi="Times New Roman" w:cs="Times New Roman"/>
          <w:i/>
          <w:sz w:val="24"/>
          <w:szCs w:val="24"/>
        </w:rPr>
        <w:t>Herrenvolk</w:t>
      </w:r>
      <w:r w:rsidRPr="00AE141E">
        <w:rPr>
          <w:rFonts w:ascii="Times New Roman" w:hAnsi="Times New Roman" w:cs="Times New Roman"/>
          <w:sz w:val="24"/>
          <w:szCs w:val="24"/>
        </w:rPr>
        <w:t xml:space="preserve"> [emphasis added].</w:t>
      </w:r>
      <w:r w:rsidR="00F87B5B" w:rsidRPr="00AE141E">
        <w:rPr>
          <w:rStyle w:val="FootnoteReference"/>
          <w:rFonts w:ascii="Times New Roman" w:hAnsi="Times New Roman" w:cs="Times New Roman"/>
          <w:sz w:val="24"/>
          <w:szCs w:val="24"/>
        </w:rPr>
        <w:footnoteReference w:id="736"/>
      </w:r>
    </w:p>
    <w:p w14:paraId="679C8A5B" w14:textId="52C80383" w:rsidR="00FE4D43" w:rsidRPr="00AE141E" w:rsidRDefault="00FE4D4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his hurry to exculpate White people from moral accountability for the evils of slavery, Hastie failed to recognise racial categories as the product</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of, and justification for, imperial subjugation.</w:t>
      </w:r>
      <w:r w:rsidR="0048289C"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This approach had the effect of dehistoricising race and racism and portraying them as purely incidental to any account of the imperial past. Once again, despite Hastie’s repeated identification with a </w:t>
      </w:r>
      <w:r w:rsidR="00524315" w:rsidRPr="00AE141E">
        <w:rPr>
          <w:rFonts w:ascii="Times New Roman" w:hAnsi="Times New Roman" w:cs="Times New Roman"/>
          <w:sz w:val="24"/>
          <w:szCs w:val="24"/>
        </w:rPr>
        <w:t>s</w:t>
      </w:r>
      <w:r w:rsidRPr="00AE141E">
        <w:rPr>
          <w:rFonts w:ascii="Times New Roman" w:hAnsi="Times New Roman" w:cs="Times New Roman"/>
          <w:sz w:val="24"/>
          <w:szCs w:val="24"/>
        </w:rPr>
        <w:t>ocialist philosophy, his writings were imbued with a conservative mindset which accepted exploitation as the natural order of the world. Imperialism was the product of humankind’s essentially oppressive nature. By geographical accident, White people had simply been better placed to indulge this nature and claim the resulting spoils.</w:t>
      </w:r>
    </w:p>
    <w:p w14:paraId="6C3B276A" w14:textId="603186A6" w:rsidR="00841357" w:rsidRPr="00AE141E" w:rsidRDefault="000010EA" w:rsidP="00AE141E">
      <w:pPr>
        <w:spacing w:line="360" w:lineRule="auto"/>
        <w:rPr>
          <w:rFonts w:ascii="Times New Roman" w:hAnsi="Times New Roman" w:cs="Times New Roman"/>
          <w:sz w:val="24"/>
          <w:szCs w:val="24"/>
        </w:rPr>
      </w:pPr>
      <w:r>
        <w:rPr>
          <w:rFonts w:ascii="Times New Roman" w:hAnsi="Times New Roman" w:cs="Times New Roman"/>
          <w:sz w:val="24"/>
          <w:szCs w:val="24"/>
        </w:rPr>
        <w:t>By denying</w:t>
      </w:r>
      <w:r w:rsidR="00FE4D43" w:rsidRPr="00AE141E">
        <w:rPr>
          <w:rFonts w:ascii="Times New Roman" w:hAnsi="Times New Roman" w:cs="Times New Roman"/>
          <w:sz w:val="24"/>
          <w:szCs w:val="24"/>
        </w:rPr>
        <w:t xml:space="preserve"> systematic racism</w:t>
      </w:r>
      <w:r>
        <w:rPr>
          <w:rFonts w:ascii="Times New Roman" w:hAnsi="Times New Roman" w:cs="Times New Roman"/>
          <w:sz w:val="24"/>
          <w:szCs w:val="24"/>
        </w:rPr>
        <w:t xml:space="preserve">, </w:t>
      </w:r>
      <w:r w:rsidR="0048289C" w:rsidRPr="00AE141E">
        <w:rPr>
          <w:rFonts w:ascii="Times New Roman" w:hAnsi="Times New Roman" w:cs="Times New Roman"/>
          <w:sz w:val="24"/>
          <w:szCs w:val="24"/>
        </w:rPr>
        <w:t>the New Right</w:t>
      </w:r>
      <w:r>
        <w:rPr>
          <w:rFonts w:ascii="Times New Roman" w:hAnsi="Times New Roman" w:cs="Times New Roman"/>
          <w:sz w:val="24"/>
          <w:szCs w:val="24"/>
        </w:rPr>
        <w:t xml:space="preserve"> was able</w:t>
      </w:r>
      <w:r w:rsidR="00FE4D43" w:rsidRPr="00AE141E">
        <w:rPr>
          <w:rFonts w:ascii="Times New Roman" w:hAnsi="Times New Roman" w:cs="Times New Roman"/>
          <w:sz w:val="24"/>
          <w:szCs w:val="24"/>
        </w:rPr>
        <w:t xml:space="preserve"> to portray resistance to racial discrimination as morally equivalent to racism itself. Hastie chose to draw provocative parallels between the Nazi Party and advocates of anti-racist policy</w:t>
      </w:r>
      <w:r w:rsidR="00EF24B0">
        <w:rPr>
          <w:rFonts w:ascii="Times New Roman" w:hAnsi="Times New Roman" w:cs="Times New Roman"/>
          <w:sz w:val="24"/>
          <w:szCs w:val="24"/>
        </w:rPr>
        <w:t>,</w:t>
      </w:r>
      <w:r w:rsidR="00FE4D43" w:rsidRPr="00AE141E">
        <w:rPr>
          <w:rFonts w:ascii="Times New Roman" w:hAnsi="Times New Roman" w:cs="Times New Roman"/>
          <w:sz w:val="24"/>
          <w:szCs w:val="24"/>
        </w:rPr>
        <w:t xml:space="preserve"> due to their shared preoccupation with race.</w:t>
      </w:r>
      <w:r w:rsidR="00EF7554" w:rsidRPr="00AE141E">
        <w:rPr>
          <w:rStyle w:val="FootnoteReference"/>
          <w:rFonts w:ascii="Times New Roman" w:hAnsi="Times New Roman" w:cs="Times New Roman"/>
          <w:sz w:val="24"/>
          <w:szCs w:val="24"/>
        </w:rPr>
        <w:footnoteReference w:id="737"/>
      </w:r>
      <w:r w:rsidR="00FE4D43" w:rsidRPr="00AE141E">
        <w:rPr>
          <w:rFonts w:ascii="Times New Roman" w:hAnsi="Times New Roman" w:cs="Times New Roman"/>
          <w:sz w:val="24"/>
          <w:szCs w:val="24"/>
        </w:rPr>
        <w:t xml:space="preserve"> Others explored the same theme with greater subtlety, especially in the aftermath of the 1981 urban rebellions.</w:t>
      </w:r>
      <w:r w:rsidR="00613223">
        <w:rPr>
          <w:rFonts w:ascii="Times New Roman" w:hAnsi="Times New Roman" w:cs="Times New Roman"/>
          <w:sz w:val="24"/>
          <w:szCs w:val="24"/>
        </w:rPr>
        <w:t xml:space="preserve"> </w:t>
      </w:r>
      <w:r w:rsidR="00FE4D43" w:rsidRPr="00AE141E">
        <w:rPr>
          <w:rFonts w:ascii="Times New Roman" w:hAnsi="Times New Roman" w:cs="Times New Roman"/>
          <w:sz w:val="24"/>
          <w:szCs w:val="24"/>
        </w:rPr>
        <w:t>Nancy Murray has drawn attention to the work of conservative commentator Ronald Butt, who attributed the ‘burning of Brixton’ to the influence of ani-racist educators in peddling ‘black hatred of white society’.</w:t>
      </w:r>
      <w:r w:rsidR="008A0156" w:rsidRPr="00AE141E">
        <w:rPr>
          <w:rStyle w:val="FootnoteReference"/>
          <w:rFonts w:ascii="Times New Roman" w:hAnsi="Times New Roman" w:cs="Times New Roman"/>
          <w:sz w:val="24"/>
          <w:szCs w:val="24"/>
        </w:rPr>
        <w:footnoteReference w:id="738"/>
      </w:r>
      <w:r w:rsidR="00FE4D43" w:rsidRPr="00AE141E">
        <w:rPr>
          <w:rFonts w:ascii="Times New Roman" w:hAnsi="Times New Roman" w:cs="Times New Roman"/>
          <w:sz w:val="24"/>
          <w:szCs w:val="24"/>
        </w:rPr>
        <w:t xml:space="preserve"> Systematic racial discrimination in education, employment, and housing (amongst other fields) was conveniently erased as a source of anger and resistance. Similarly, Honeyford inveighed </w:t>
      </w:r>
      <w:r w:rsidR="00FE4D43" w:rsidRPr="00AE141E">
        <w:rPr>
          <w:rFonts w:ascii="Times New Roman" w:hAnsi="Times New Roman" w:cs="Times New Roman"/>
          <w:sz w:val="24"/>
          <w:szCs w:val="24"/>
        </w:rPr>
        <w:lastRenderedPageBreak/>
        <w:t>against the creation of ‘unnecessary chips on young black shoulders</w:t>
      </w:r>
      <w:r w:rsidR="007C4571">
        <w:rPr>
          <w:rFonts w:ascii="Times New Roman" w:hAnsi="Times New Roman" w:cs="Times New Roman"/>
          <w:sz w:val="24"/>
          <w:szCs w:val="24"/>
        </w:rPr>
        <w:t>’</w:t>
      </w:r>
      <w:r w:rsidR="00FE4D43" w:rsidRPr="00AE141E">
        <w:rPr>
          <w:rFonts w:ascii="Times New Roman" w:hAnsi="Times New Roman" w:cs="Times New Roman"/>
          <w:sz w:val="24"/>
          <w:szCs w:val="24"/>
        </w:rPr>
        <w:t>.</w:t>
      </w:r>
      <w:r w:rsidR="00C70E7C" w:rsidRPr="00AE141E">
        <w:rPr>
          <w:rStyle w:val="FootnoteReference"/>
          <w:rFonts w:ascii="Times New Roman" w:hAnsi="Times New Roman" w:cs="Times New Roman"/>
          <w:sz w:val="24"/>
          <w:szCs w:val="24"/>
        </w:rPr>
        <w:footnoteReference w:id="739"/>
      </w:r>
      <w:r w:rsidR="007C4571">
        <w:rPr>
          <w:rFonts w:ascii="Times New Roman" w:hAnsi="Times New Roman" w:cs="Times New Roman"/>
          <w:sz w:val="24"/>
          <w:szCs w:val="24"/>
        </w:rPr>
        <w:t xml:space="preserve"> A</w:t>
      </w:r>
      <w:r w:rsidR="007C4571" w:rsidRPr="00AE141E">
        <w:rPr>
          <w:rFonts w:ascii="Times New Roman" w:hAnsi="Times New Roman" w:cs="Times New Roman"/>
          <w:sz w:val="24"/>
          <w:szCs w:val="24"/>
        </w:rPr>
        <w:t>nti-racist education was blamed for drawing attention to racial divides, which would then inevitably overspill into physical violence</w:t>
      </w:r>
      <w:r w:rsidR="007C4571">
        <w:rPr>
          <w:rFonts w:ascii="Times New Roman" w:hAnsi="Times New Roman" w:cs="Times New Roman"/>
          <w:sz w:val="24"/>
          <w:szCs w:val="24"/>
        </w:rPr>
        <w:t>.</w:t>
      </w:r>
    </w:p>
    <w:p w14:paraId="3CD8F475" w14:textId="19DDAE3B" w:rsidR="002A6F73" w:rsidRPr="00AE141E" w:rsidRDefault="00FB220A"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Conservative</w:t>
      </w:r>
      <w:r w:rsidR="00661D93" w:rsidRPr="00AE141E">
        <w:rPr>
          <w:rFonts w:ascii="Times New Roman" w:hAnsi="Times New Roman" w:cs="Times New Roman"/>
          <w:b/>
          <w:bCs/>
          <w:sz w:val="24"/>
          <w:szCs w:val="24"/>
        </w:rPr>
        <w:t xml:space="preserve"> </w:t>
      </w:r>
      <w:r w:rsidR="00B632A4" w:rsidRPr="00AE141E">
        <w:rPr>
          <w:rFonts w:ascii="Times New Roman" w:hAnsi="Times New Roman" w:cs="Times New Roman"/>
          <w:b/>
          <w:bCs/>
          <w:sz w:val="24"/>
          <w:szCs w:val="24"/>
        </w:rPr>
        <w:t>C</w:t>
      </w:r>
      <w:r w:rsidR="00661D93" w:rsidRPr="00AE141E">
        <w:rPr>
          <w:rFonts w:ascii="Times New Roman" w:hAnsi="Times New Roman" w:cs="Times New Roman"/>
          <w:b/>
          <w:bCs/>
          <w:sz w:val="24"/>
          <w:szCs w:val="24"/>
        </w:rPr>
        <w:t>ultures</w:t>
      </w:r>
      <w:r w:rsidRPr="00AE141E">
        <w:rPr>
          <w:rFonts w:ascii="Times New Roman" w:hAnsi="Times New Roman" w:cs="Times New Roman"/>
          <w:b/>
          <w:bCs/>
          <w:sz w:val="24"/>
          <w:szCs w:val="24"/>
        </w:rPr>
        <w:t xml:space="preserve"> and </w:t>
      </w:r>
      <w:r w:rsidR="00B632A4" w:rsidRPr="00AE141E">
        <w:rPr>
          <w:rFonts w:ascii="Times New Roman" w:hAnsi="Times New Roman" w:cs="Times New Roman"/>
          <w:b/>
          <w:bCs/>
          <w:sz w:val="24"/>
          <w:szCs w:val="24"/>
        </w:rPr>
        <w:t>C</w:t>
      </w:r>
      <w:r w:rsidRPr="00AE141E">
        <w:rPr>
          <w:rFonts w:ascii="Times New Roman" w:hAnsi="Times New Roman" w:cs="Times New Roman"/>
          <w:b/>
          <w:bCs/>
          <w:sz w:val="24"/>
          <w:szCs w:val="24"/>
        </w:rPr>
        <w:t xml:space="preserve">lassroom </w:t>
      </w:r>
      <w:r w:rsidR="00B632A4" w:rsidRPr="00AE141E">
        <w:rPr>
          <w:rFonts w:ascii="Times New Roman" w:hAnsi="Times New Roman" w:cs="Times New Roman"/>
          <w:b/>
          <w:bCs/>
          <w:sz w:val="24"/>
          <w:szCs w:val="24"/>
        </w:rPr>
        <w:t>I</w:t>
      </w:r>
      <w:r w:rsidRPr="00AE141E">
        <w:rPr>
          <w:rFonts w:ascii="Times New Roman" w:hAnsi="Times New Roman" w:cs="Times New Roman"/>
          <w:b/>
          <w:bCs/>
          <w:sz w:val="24"/>
          <w:szCs w:val="24"/>
        </w:rPr>
        <w:t>mpact</w:t>
      </w:r>
    </w:p>
    <w:p w14:paraId="188405BC" w14:textId="4FA13B47" w:rsidR="008A346B" w:rsidRPr="00AE141E" w:rsidRDefault="00AD3C0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Multicultural and antiracist initiatives, along with critical approaches to the British empire, were targeted by an increasingly hostile environment as the 1980s progressed.</w:t>
      </w:r>
      <w:r>
        <w:rPr>
          <w:rFonts w:ascii="Times New Roman" w:hAnsi="Times New Roman" w:cs="Times New Roman"/>
          <w:sz w:val="24"/>
          <w:szCs w:val="24"/>
        </w:rPr>
        <w:t xml:space="preserve"> Nevertheless, radical experimentation continued to flourish. From the standpoint of the 1990s, the</w:t>
      </w:r>
      <w:r w:rsidR="00EF1C46" w:rsidRPr="00AE141E">
        <w:rPr>
          <w:rFonts w:ascii="Times New Roman" w:hAnsi="Times New Roman" w:cs="Times New Roman"/>
          <w:sz w:val="24"/>
          <w:szCs w:val="24"/>
        </w:rPr>
        <w:t xml:space="preserve"> </w:t>
      </w:r>
      <w:r w:rsidR="00817AE8" w:rsidRPr="00AE141E">
        <w:rPr>
          <w:rFonts w:ascii="Times New Roman" w:hAnsi="Times New Roman" w:cs="Times New Roman"/>
          <w:sz w:val="24"/>
          <w:szCs w:val="24"/>
        </w:rPr>
        <w:t xml:space="preserve">historian and </w:t>
      </w:r>
      <w:r w:rsidR="00EF1C46" w:rsidRPr="00AE141E">
        <w:rPr>
          <w:rFonts w:ascii="Times New Roman" w:hAnsi="Times New Roman" w:cs="Times New Roman"/>
          <w:sz w:val="24"/>
          <w:szCs w:val="24"/>
        </w:rPr>
        <w:t xml:space="preserve">educator Julia Bush </w:t>
      </w:r>
      <w:r w:rsidR="006635CB" w:rsidRPr="00AE141E">
        <w:rPr>
          <w:rFonts w:ascii="Times New Roman" w:hAnsi="Times New Roman" w:cs="Times New Roman"/>
          <w:sz w:val="24"/>
          <w:szCs w:val="24"/>
        </w:rPr>
        <w:t>looked back upon</w:t>
      </w:r>
      <w:r w:rsidR="00EF1C46" w:rsidRPr="00AE141E">
        <w:rPr>
          <w:rFonts w:ascii="Times New Roman" w:hAnsi="Times New Roman" w:cs="Times New Roman"/>
          <w:sz w:val="24"/>
          <w:szCs w:val="24"/>
        </w:rPr>
        <w:t xml:space="preserve"> the</w:t>
      </w:r>
      <w:r w:rsidR="006635CB" w:rsidRPr="00AE141E">
        <w:rPr>
          <w:rFonts w:ascii="Times New Roman" w:hAnsi="Times New Roman" w:cs="Times New Roman"/>
          <w:sz w:val="24"/>
          <w:szCs w:val="24"/>
        </w:rPr>
        <w:t xml:space="preserve"> </w:t>
      </w:r>
      <w:r>
        <w:rPr>
          <w:rFonts w:ascii="Times New Roman" w:hAnsi="Times New Roman" w:cs="Times New Roman"/>
          <w:sz w:val="24"/>
          <w:szCs w:val="24"/>
        </w:rPr>
        <w:t>preceding</w:t>
      </w:r>
      <w:r w:rsidR="006635CB" w:rsidRPr="00AE141E">
        <w:rPr>
          <w:rFonts w:ascii="Times New Roman" w:hAnsi="Times New Roman" w:cs="Times New Roman"/>
          <w:sz w:val="24"/>
          <w:szCs w:val="24"/>
        </w:rPr>
        <w:t xml:space="preserve"> decade with </w:t>
      </w:r>
      <w:r w:rsidR="00C35158" w:rsidRPr="00AE141E">
        <w:rPr>
          <w:rFonts w:ascii="Times New Roman" w:hAnsi="Times New Roman" w:cs="Times New Roman"/>
          <w:sz w:val="24"/>
          <w:szCs w:val="24"/>
        </w:rPr>
        <w:t xml:space="preserve">positive </w:t>
      </w:r>
      <w:r w:rsidR="006635CB" w:rsidRPr="00AE141E">
        <w:rPr>
          <w:rFonts w:ascii="Times New Roman" w:hAnsi="Times New Roman" w:cs="Times New Roman"/>
          <w:sz w:val="24"/>
          <w:szCs w:val="24"/>
        </w:rPr>
        <w:t>nostalgia</w:t>
      </w:r>
      <w:r>
        <w:rPr>
          <w:rFonts w:ascii="Times New Roman" w:hAnsi="Times New Roman" w:cs="Times New Roman"/>
          <w:sz w:val="24"/>
          <w:szCs w:val="24"/>
        </w:rPr>
        <w:t>:</w:t>
      </w:r>
      <w:r w:rsidR="004516A1" w:rsidRPr="00AE141E">
        <w:rPr>
          <w:rFonts w:ascii="Times New Roman" w:hAnsi="Times New Roman" w:cs="Times New Roman"/>
          <w:sz w:val="24"/>
          <w:szCs w:val="24"/>
        </w:rPr>
        <w:t xml:space="preserve"> </w:t>
      </w:r>
    </w:p>
    <w:p w14:paraId="6728C007" w14:textId="17AD8487" w:rsidR="00091EE8" w:rsidRPr="00AE141E" w:rsidRDefault="00C35158"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“M</w:t>
      </w:r>
      <w:r w:rsidR="00BD5E18" w:rsidRPr="00AE141E">
        <w:rPr>
          <w:rFonts w:ascii="Times New Roman" w:hAnsi="Times New Roman" w:cs="Times New Roman"/>
          <w:sz w:val="24"/>
          <w:szCs w:val="24"/>
        </w:rPr>
        <w:t>ulticultural education</w:t>
      </w:r>
      <w:r w:rsidRPr="00AE141E">
        <w:rPr>
          <w:rFonts w:ascii="Times New Roman" w:hAnsi="Times New Roman" w:cs="Times New Roman"/>
          <w:sz w:val="24"/>
          <w:szCs w:val="24"/>
        </w:rPr>
        <w:t xml:space="preserve">” </w:t>
      </w:r>
      <w:r w:rsidR="00BD5E18" w:rsidRPr="00AE141E">
        <w:rPr>
          <w:rFonts w:ascii="Times New Roman" w:hAnsi="Times New Roman" w:cs="Times New Roman"/>
          <w:sz w:val="24"/>
          <w:szCs w:val="24"/>
        </w:rPr>
        <w:t xml:space="preserve">was still fashionable. The Swann Report had spoken. The Greater London Council was not yet dead. Section 11 money flowed. We were supposed to be multiculturally educating all children (even adults?); and that included the </w:t>
      </w:r>
      <w:r w:rsidRPr="00AE141E">
        <w:rPr>
          <w:rFonts w:ascii="Times New Roman" w:hAnsi="Times New Roman" w:cs="Times New Roman"/>
          <w:sz w:val="24"/>
          <w:szCs w:val="24"/>
        </w:rPr>
        <w:t>“</w:t>
      </w:r>
      <w:r w:rsidR="00BD5E18" w:rsidRPr="00AE141E">
        <w:rPr>
          <w:rFonts w:ascii="Times New Roman" w:hAnsi="Times New Roman" w:cs="Times New Roman"/>
          <w:sz w:val="24"/>
          <w:szCs w:val="24"/>
        </w:rPr>
        <w:t>all-white dimension</w:t>
      </w:r>
      <w:r w:rsidRPr="00AE141E">
        <w:rPr>
          <w:rFonts w:ascii="Times New Roman" w:hAnsi="Times New Roman" w:cs="Times New Roman"/>
          <w:sz w:val="24"/>
          <w:szCs w:val="24"/>
        </w:rPr>
        <w:t>”</w:t>
      </w:r>
      <w:r w:rsidR="00BD5E18" w:rsidRPr="00AE141E">
        <w:rPr>
          <w:rFonts w:ascii="Times New Roman" w:hAnsi="Times New Roman" w:cs="Times New Roman"/>
          <w:sz w:val="24"/>
          <w:szCs w:val="24"/>
        </w:rPr>
        <w:t xml:space="preserve"> in the rural shires of innermost England</w:t>
      </w:r>
      <w:r w:rsidRPr="00AE141E">
        <w:rPr>
          <w:rFonts w:ascii="Times New Roman" w:hAnsi="Times New Roman" w:cs="Times New Roman"/>
          <w:sz w:val="24"/>
          <w:szCs w:val="24"/>
        </w:rPr>
        <w:t>.</w:t>
      </w:r>
      <w:r w:rsidR="007C198E" w:rsidRPr="00AE141E">
        <w:rPr>
          <w:rStyle w:val="FootnoteReference"/>
          <w:rFonts w:ascii="Times New Roman" w:hAnsi="Times New Roman" w:cs="Times New Roman"/>
          <w:sz w:val="24"/>
          <w:szCs w:val="24"/>
        </w:rPr>
        <w:footnoteReference w:id="740"/>
      </w:r>
    </w:p>
    <w:p w14:paraId="4DB820E8" w14:textId="77777777" w:rsidR="00AC4104" w:rsidRDefault="005D2F1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Bush’s portrayal of the 1980s as </w:t>
      </w:r>
      <w:r w:rsidR="002A4BD1" w:rsidRPr="00AE141E">
        <w:rPr>
          <w:rFonts w:ascii="Times New Roman" w:hAnsi="Times New Roman" w:cs="Times New Roman"/>
          <w:sz w:val="24"/>
          <w:szCs w:val="24"/>
        </w:rPr>
        <w:t xml:space="preserve">a </w:t>
      </w:r>
      <w:r w:rsidR="00726C72" w:rsidRPr="00AE141E">
        <w:rPr>
          <w:rFonts w:ascii="Times New Roman" w:hAnsi="Times New Roman" w:cs="Times New Roman"/>
          <w:sz w:val="24"/>
          <w:szCs w:val="24"/>
        </w:rPr>
        <w:t xml:space="preserve">halcyon </w:t>
      </w:r>
      <w:r w:rsidR="002A4BD1" w:rsidRPr="00AE141E">
        <w:rPr>
          <w:rFonts w:ascii="Times New Roman" w:hAnsi="Times New Roman" w:cs="Times New Roman"/>
          <w:sz w:val="24"/>
          <w:szCs w:val="24"/>
        </w:rPr>
        <w:t>age</w:t>
      </w:r>
      <w:r w:rsidR="00726C72" w:rsidRPr="00AE141E">
        <w:rPr>
          <w:rFonts w:ascii="Times New Roman" w:hAnsi="Times New Roman" w:cs="Times New Roman"/>
          <w:sz w:val="24"/>
          <w:szCs w:val="24"/>
        </w:rPr>
        <w:t xml:space="preserve"> of educational experimentation</w:t>
      </w:r>
      <w:r w:rsidR="002A4BD1" w:rsidRPr="00AE141E">
        <w:rPr>
          <w:rFonts w:ascii="Times New Roman" w:hAnsi="Times New Roman" w:cs="Times New Roman"/>
          <w:sz w:val="24"/>
          <w:szCs w:val="24"/>
        </w:rPr>
        <w:t xml:space="preserve"> was coloured by later events – specifically, the arrival of </w:t>
      </w:r>
      <w:r w:rsidR="00313F77" w:rsidRPr="00AE141E">
        <w:rPr>
          <w:rFonts w:ascii="Times New Roman" w:hAnsi="Times New Roman" w:cs="Times New Roman"/>
          <w:sz w:val="24"/>
          <w:szCs w:val="24"/>
        </w:rPr>
        <w:t xml:space="preserve">General Certificate of Secondary Education (GCSE) exams and the advent of the National Curriculum – which </w:t>
      </w:r>
      <w:r w:rsidR="00E2237B" w:rsidRPr="00AE141E">
        <w:rPr>
          <w:rFonts w:ascii="Times New Roman" w:hAnsi="Times New Roman" w:cs="Times New Roman"/>
          <w:sz w:val="24"/>
          <w:szCs w:val="24"/>
        </w:rPr>
        <w:t>figured as</w:t>
      </w:r>
      <w:r w:rsidR="007C282B" w:rsidRPr="00AE141E">
        <w:rPr>
          <w:rFonts w:ascii="Times New Roman" w:hAnsi="Times New Roman" w:cs="Times New Roman"/>
          <w:sz w:val="24"/>
          <w:szCs w:val="24"/>
        </w:rPr>
        <w:t xml:space="preserve"> major turning point</w:t>
      </w:r>
      <w:r w:rsidR="00E2237B" w:rsidRPr="00AE141E">
        <w:rPr>
          <w:rFonts w:ascii="Times New Roman" w:hAnsi="Times New Roman" w:cs="Times New Roman"/>
          <w:sz w:val="24"/>
          <w:szCs w:val="24"/>
        </w:rPr>
        <w:t>s</w:t>
      </w:r>
      <w:r w:rsidR="007C282B" w:rsidRPr="00AE141E">
        <w:rPr>
          <w:rFonts w:ascii="Times New Roman" w:hAnsi="Times New Roman" w:cs="Times New Roman"/>
          <w:sz w:val="24"/>
          <w:szCs w:val="24"/>
        </w:rPr>
        <w:t xml:space="preserve"> in </w:t>
      </w:r>
      <w:r w:rsidR="00FF7D0B" w:rsidRPr="00AE141E">
        <w:rPr>
          <w:rFonts w:ascii="Times New Roman" w:hAnsi="Times New Roman" w:cs="Times New Roman"/>
          <w:sz w:val="24"/>
          <w:szCs w:val="24"/>
        </w:rPr>
        <w:t xml:space="preserve">English educational history (and </w:t>
      </w:r>
      <w:r w:rsidR="00B62733" w:rsidRPr="00AE141E">
        <w:rPr>
          <w:rFonts w:ascii="Times New Roman" w:hAnsi="Times New Roman" w:cs="Times New Roman"/>
          <w:sz w:val="24"/>
          <w:szCs w:val="24"/>
        </w:rPr>
        <w:t>English historical education)</w:t>
      </w:r>
      <w:r w:rsidR="007C282B" w:rsidRPr="00AE141E">
        <w:rPr>
          <w:rFonts w:ascii="Times New Roman" w:hAnsi="Times New Roman" w:cs="Times New Roman"/>
          <w:sz w:val="24"/>
          <w:szCs w:val="24"/>
        </w:rPr>
        <w:t>.</w:t>
      </w:r>
      <w:r w:rsidR="00AF2852" w:rsidRPr="00AE141E">
        <w:rPr>
          <w:rFonts w:ascii="Times New Roman" w:hAnsi="Times New Roman" w:cs="Times New Roman"/>
          <w:sz w:val="24"/>
          <w:szCs w:val="24"/>
        </w:rPr>
        <w:t xml:space="preserve"> </w:t>
      </w:r>
      <w:r w:rsidR="0078609D" w:rsidRPr="00AE141E">
        <w:rPr>
          <w:rFonts w:ascii="Times New Roman" w:hAnsi="Times New Roman" w:cs="Times New Roman"/>
          <w:sz w:val="24"/>
          <w:szCs w:val="24"/>
        </w:rPr>
        <w:t>The introduction of the National Curriculum was a seminal moment precisely because it</w:t>
      </w:r>
      <w:r w:rsidR="00876E9D" w:rsidRPr="00AE141E">
        <w:rPr>
          <w:rFonts w:ascii="Times New Roman" w:hAnsi="Times New Roman" w:cs="Times New Roman"/>
          <w:sz w:val="24"/>
          <w:szCs w:val="24"/>
        </w:rPr>
        <w:t xml:space="preserve"> </w:t>
      </w:r>
      <w:r w:rsidR="00B62733" w:rsidRPr="00AE141E">
        <w:rPr>
          <w:rFonts w:ascii="Times New Roman" w:hAnsi="Times New Roman" w:cs="Times New Roman"/>
          <w:sz w:val="24"/>
          <w:szCs w:val="24"/>
        </w:rPr>
        <w:t>represented</w:t>
      </w:r>
      <w:r w:rsidR="00876E9D" w:rsidRPr="00AE141E">
        <w:rPr>
          <w:rFonts w:ascii="Times New Roman" w:hAnsi="Times New Roman" w:cs="Times New Roman"/>
          <w:sz w:val="24"/>
          <w:szCs w:val="24"/>
        </w:rPr>
        <w:t xml:space="preserve"> an </w:t>
      </w:r>
      <w:r w:rsidR="00414ACC" w:rsidRPr="00AE141E">
        <w:rPr>
          <w:rFonts w:ascii="Times New Roman" w:hAnsi="Times New Roman" w:cs="Times New Roman"/>
          <w:sz w:val="24"/>
          <w:szCs w:val="24"/>
        </w:rPr>
        <w:t>unprecedented centralisation of the education system</w:t>
      </w:r>
      <w:r w:rsidR="00AE36BB" w:rsidRPr="00AE141E">
        <w:rPr>
          <w:rFonts w:ascii="Times New Roman" w:hAnsi="Times New Roman" w:cs="Times New Roman"/>
          <w:sz w:val="24"/>
          <w:szCs w:val="24"/>
        </w:rPr>
        <w:t>. P</w:t>
      </w:r>
      <w:r w:rsidR="00414ACC" w:rsidRPr="00AE141E">
        <w:rPr>
          <w:rFonts w:ascii="Times New Roman" w:hAnsi="Times New Roman" w:cs="Times New Roman"/>
          <w:sz w:val="24"/>
          <w:szCs w:val="24"/>
        </w:rPr>
        <w:t xml:space="preserve">rior to this, </w:t>
      </w:r>
      <w:r w:rsidR="005B64BC" w:rsidRPr="00AE141E">
        <w:rPr>
          <w:rFonts w:ascii="Times New Roman" w:hAnsi="Times New Roman" w:cs="Times New Roman"/>
          <w:sz w:val="24"/>
          <w:szCs w:val="24"/>
        </w:rPr>
        <w:t>teachers’ professional autonomy remained relatively intact, and advocates of ‘progressive’ education were able to continue along much t</w:t>
      </w:r>
      <w:r w:rsidR="00AE36BB" w:rsidRPr="00AE141E">
        <w:rPr>
          <w:rFonts w:ascii="Times New Roman" w:hAnsi="Times New Roman" w:cs="Times New Roman"/>
          <w:sz w:val="24"/>
          <w:szCs w:val="24"/>
        </w:rPr>
        <w:t>he same path, regardless of the desires and demands of the government of the day.</w:t>
      </w:r>
      <w:r w:rsidR="002013BF">
        <w:rPr>
          <w:rFonts w:ascii="Times New Roman" w:hAnsi="Times New Roman" w:cs="Times New Roman"/>
          <w:sz w:val="24"/>
          <w:szCs w:val="24"/>
        </w:rPr>
        <w:t xml:space="preserve"> </w:t>
      </w:r>
      <w:r w:rsidR="00726C72" w:rsidRPr="00AE141E">
        <w:rPr>
          <w:rFonts w:ascii="Times New Roman" w:hAnsi="Times New Roman" w:cs="Times New Roman"/>
          <w:sz w:val="24"/>
          <w:szCs w:val="24"/>
        </w:rPr>
        <w:t>This is not</w:t>
      </w:r>
      <w:r w:rsidR="00AC4104">
        <w:rPr>
          <w:rFonts w:ascii="Times New Roman" w:hAnsi="Times New Roman" w:cs="Times New Roman"/>
          <w:sz w:val="24"/>
          <w:szCs w:val="24"/>
        </w:rPr>
        <w:t xml:space="preserve">, however, </w:t>
      </w:r>
      <w:r w:rsidR="00726C72" w:rsidRPr="00AE141E">
        <w:rPr>
          <w:rFonts w:ascii="Times New Roman" w:hAnsi="Times New Roman" w:cs="Times New Roman"/>
          <w:sz w:val="24"/>
          <w:szCs w:val="24"/>
        </w:rPr>
        <w:t>to say</w:t>
      </w:r>
      <w:r w:rsidR="005364C0">
        <w:rPr>
          <w:rFonts w:ascii="Times New Roman" w:hAnsi="Times New Roman" w:cs="Times New Roman"/>
          <w:sz w:val="24"/>
          <w:szCs w:val="24"/>
        </w:rPr>
        <w:t xml:space="preserve"> that</w:t>
      </w:r>
      <w:r w:rsidR="00726C72" w:rsidRPr="00AE141E">
        <w:rPr>
          <w:rFonts w:ascii="Times New Roman" w:hAnsi="Times New Roman" w:cs="Times New Roman"/>
          <w:sz w:val="24"/>
          <w:szCs w:val="24"/>
        </w:rPr>
        <w:t xml:space="preserve"> the changing political climate </w:t>
      </w:r>
      <w:r w:rsidR="00D47FA3" w:rsidRPr="00AE141E">
        <w:rPr>
          <w:rFonts w:ascii="Times New Roman" w:hAnsi="Times New Roman" w:cs="Times New Roman"/>
          <w:sz w:val="24"/>
          <w:szCs w:val="24"/>
        </w:rPr>
        <w:t>left no mark</w:t>
      </w:r>
      <w:r w:rsidR="00D864BE">
        <w:rPr>
          <w:rFonts w:ascii="Times New Roman" w:hAnsi="Times New Roman" w:cs="Times New Roman"/>
          <w:sz w:val="24"/>
          <w:szCs w:val="24"/>
        </w:rPr>
        <w:t xml:space="preserve"> on schools</w:t>
      </w:r>
      <w:r w:rsidR="003819AC">
        <w:rPr>
          <w:rFonts w:ascii="Times New Roman" w:hAnsi="Times New Roman" w:cs="Times New Roman"/>
          <w:sz w:val="24"/>
          <w:szCs w:val="24"/>
        </w:rPr>
        <w:t xml:space="preserve"> </w:t>
      </w:r>
      <w:r w:rsidR="00841357">
        <w:rPr>
          <w:rFonts w:ascii="Times New Roman" w:hAnsi="Times New Roman" w:cs="Times New Roman"/>
          <w:sz w:val="24"/>
          <w:szCs w:val="24"/>
        </w:rPr>
        <w:t xml:space="preserve">beyond </w:t>
      </w:r>
      <w:r w:rsidR="005B61A2" w:rsidRPr="00AE141E">
        <w:rPr>
          <w:rFonts w:ascii="Times New Roman" w:hAnsi="Times New Roman" w:cs="Times New Roman"/>
          <w:sz w:val="24"/>
          <w:szCs w:val="24"/>
        </w:rPr>
        <w:t>the</w:t>
      </w:r>
      <w:r w:rsidR="00841357">
        <w:rPr>
          <w:rFonts w:ascii="Times New Roman" w:hAnsi="Times New Roman" w:cs="Times New Roman"/>
          <w:sz w:val="24"/>
          <w:szCs w:val="24"/>
        </w:rPr>
        <w:t xml:space="preserve"> </w:t>
      </w:r>
      <w:r w:rsidR="003819AC">
        <w:rPr>
          <w:rFonts w:ascii="Times New Roman" w:hAnsi="Times New Roman" w:cs="Times New Roman"/>
          <w:sz w:val="24"/>
          <w:szCs w:val="24"/>
        </w:rPr>
        <w:t xml:space="preserve">eventual </w:t>
      </w:r>
      <w:r w:rsidR="00B14048" w:rsidRPr="00AE141E">
        <w:rPr>
          <w:rFonts w:ascii="Times New Roman" w:hAnsi="Times New Roman" w:cs="Times New Roman"/>
          <w:sz w:val="24"/>
          <w:szCs w:val="24"/>
        </w:rPr>
        <w:t>imprint of legislative change</w:t>
      </w:r>
      <w:r w:rsidR="00D864BE">
        <w:rPr>
          <w:rFonts w:ascii="Times New Roman" w:hAnsi="Times New Roman" w:cs="Times New Roman"/>
          <w:sz w:val="24"/>
          <w:szCs w:val="24"/>
        </w:rPr>
        <w:t>.</w:t>
      </w:r>
      <w:r w:rsidR="0086349E">
        <w:rPr>
          <w:rFonts w:ascii="Times New Roman" w:hAnsi="Times New Roman" w:cs="Times New Roman"/>
          <w:sz w:val="24"/>
          <w:szCs w:val="24"/>
        </w:rPr>
        <w:t xml:space="preserve"> </w:t>
      </w:r>
    </w:p>
    <w:p w14:paraId="0F78E1C4" w14:textId="3718CE89" w:rsidR="001617C0" w:rsidRPr="00AE141E" w:rsidRDefault="0086349E" w:rsidP="00AE141E">
      <w:pPr>
        <w:spacing w:line="360" w:lineRule="auto"/>
        <w:rPr>
          <w:rFonts w:ascii="Times New Roman" w:hAnsi="Times New Roman" w:cs="Times New Roman"/>
          <w:sz w:val="24"/>
          <w:szCs w:val="24"/>
        </w:rPr>
      </w:pPr>
      <w:r>
        <w:rPr>
          <w:rFonts w:ascii="Times New Roman" w:hAnsi="Times New Roman" w:cs="Times New Roman"/>
          <w:sz w:val="24"/>
          <w:szCs w:val="24"/>
        </w:rPr>
        <w:t>A</w:t>
      </w:r>
      <w:r w:rsidR="00106E74">
        <w:rPr>
          <w:rFonts w:ascii="Times New Roman" w:hAnsi="Times New Roman" w:cs="Times New Roman"/>
          <w:sz w:val="24"/>
          <w:szCs w:val="24"/>
        </w:rPr>
        <w:t xml:space="preserve"> culture of imperial </w:t>
      </w:r>
      <w:r w:rsidR="00627479">
        <w:rPr>
          <w:rFonts w:ascii="Times New Roman" w:hAnsi="Times New Roman" w:cs="Times New Roman"/>
          <w:sz w:val="24"/>
          <w:szCs w:val="24"/>
        </w:rPr>
        <w:t>rehabilitation made itself fel</w:t>
      </w:r>
      <w:r w:rsidR="00C77BDC">
        <w:rPr>
          <w:rFonts w:ascii="Times New Roman" w:hAnsi="Times New Roman" w:cs="Times New Roman"/>
          <w:sz w:val="24"/>
          <w:szCs w:val="24"/>
        </w:rPr>
        <w:t xml:space="preserve">t in some classrooms. </w:t>
      </w:r>
      <w:r w:rsidR="001B45EA" w:rsidRPr="00AE141E">
        <w:rPr>
          <w:rFonts w:ascii="Times New Roman" w:hAnsi="Times New Roman" w:cs="Times New Roman"/>
          <w:sz w:val="24"/>
          <w:szCs w:val="24"/>
        </w:rPr>
        <w:t>In 1980, Andrew Reekes</w:t>
      </w:r>
      <w:r w:rsidR="001F7165" w:rsidRPr="00AE141E">
        <w:rPr>
          <w:rFonts w:ascii="Times New Roman" w:hAnsi="Times New Roman" w:cs="Times New Roman"/>
          <w:sz w:val="24"/>
          <w:szCs w:val="24"/>
        </w:rPr>
        <w:t xml:space="preserve">, a teacher at Tonbridge School, planned a </w:t>
      </w:r>
      <w:r w:rsidR="001D2246" w:rsidRPr="00AE141E">
        <w:rPr>
          <w:rFonts w:ascii="Times New Roman" w:hAnsi="Times New Roman" w:cs="Times New Roman"/>
          <w:sz w:val="24"/>
          <w:szCs w:val="24"/>
        </w:rPr>
        <w:t>short programme of study</w:t>
      </w:r>
      <w:r w:rsidR="001F7165" w:rsidRPr="00AE141E">
        <w:rPr>
          <w:rFonts w:ascii="Times New Roman" w:hAnsi="Times New Roman" w:cs="Times New Roman"/>
          <w:sz w:val="24"/>
          <w:szCs w:val="24"/>
        </w:rPr>
        <w:t xml:space="preserve"> </w:t>
      </w:r>
      <w:r w:rsidR="006B7FD3" w:rsidRPr="00AE141E">
        <w:rPr>
          <w:rFonts w:ascii="Times New Roman" w:hAnsi="Times New Roman" w:cs="Times New Roman"/>
          <w:sz w:val="24"/>
          <w:szCs w:val="24"/>
        </w:rPr>
        <w:t>for a group of fourteen-year-old</w:t>
      </w:r>
      <w:r w:rsidR="008342B2" w:rsidRPr="00AE141E">
        <w:rPr>
          <w:rFonts w:ascii="Times New Roman" w:hAnsi="Times New Roman" w:cs="Times New Roman"/>
          <w:sz w:val="24"/>
          <w:szCs w:val="24"/>
        </w:rPr>
        <w:t xml:space="preserve">, non-examination-track </w:t>
      </w:r>
      <w:r w:rsidR="006B7FD3" w:rsidRPr="00AE141E">
        <w:rPr>
          <w:rFonts w:ascii="Times New Roman" w:hAnsi="Times New Roman" w:cs="Times New Roman"/>
          <w:sz w:val="24"/>
          <w:szCs w:val="24"/>
        </w:rPr>
        <w:t>students</w:t>
      </w:r>
      <w:r w:rsidR="008342B2" w:rsidRPr="00AE141E">
        <w:rPr>
          <w:rFonts w:ascii="Times New Roman" w:hAnsi="Times New Roman" w:cs="Times New Roman"/>
          <w:sz w:val="24"/>
          <w:szCs w:val="24"/>
        </w:rPr>
        <w:t>.</w:t>
      </w:r>
      <w:r w:rsidR="0066454F" w:rsidRPr="00AE141E">
        <w:rPr>
          <w:rStyle w:val="FootnoteReference"/>
          <w:rFonts w:ascii="Times New Roman" w:hAnsi="Times New Roman" w:cs="Times New Roman"/>
          <w:sz w:val="24"/>
          <w:szCs w:val="24"/>
        </w:rPr>
        <w:footnoteReference w:id="741"/>
      </w:r>
      <w:r w:rsidR="008342B2" w:rsidRPr="00AE141E">
        <w:rPr>
          <w:rFonts w:ascii="Times New Roman" w:hAnsi="Times New Roman" w:cs="Times New Roman"/>
          <w:sz w:val="24"/>
          <w:szCs w:val="24"/>
        </w:rPr>
        <w:t xml:space="preserve"> The course, like </w:t>
      </w:r>
      <w:r w:rsidR="00B21006" w:rsidRPr="00AE141E">
        <w:rPr>
          <w:rFonts w:ascii="Times New Roman" w:hAnsi="Times New Roman" w:cs="Times New Roman"/>
          <w:sz w:val="24"/>
          <w:szCs w:val="24"/>
        </w:rPr>
        <w:t xml:space="preserve">so </w:t>
      </w:r>
      <w:r w:rsidR="008342B2" w:rsidRPr="00AE141E">
        <w:rPr>
          <w:rFonts w:ascii="Times New Roman" w:hAnsi="Times New Roman" w:cs="Times New Roman"/>
          <w:sz w:val="24"/>
          <w:szCs w:val="24"/>
        </w:rPr>
        <w:t xml:space="preserve">many examined in the previous chapter, drew on the principles of participatory </w:t>
      </w:r>
      <w:r w:rsidR="002666CF" w:rsidRPr="00AE141E">
        <w:rPr>
          <w:rFonts w:ascii="Times New Roman" w:hAnsi="Times New Roman" w:cs="Times New Roman"/>
          <w:sz w:val="24"/>
          <w:szCs w:val="24"/>
        </w:rPr>
        <w:t>learning</w:t>
      </w:r>
      <w:r w:rsidR="00991004">
        <w:rPr>
          <w:rFonts w:ascii="Times New Roman" w:hAnsi="Times New Roman" w:cs="Times New Roman"/>
          <w:sz w:val="24"/>
          <w:szCs w:val="24"/>
        </w:rPr>
        <w:t>. P</w:t>
      </w:r>
      <w:r w:rsidR="002666CF" w:rsidRPr="00AE141E">
        <w:rPr>
          <w:rFonts w:ascii="Times New Roman" w:hAnsi="Times New Roman" w:cs="Times New Roman"/>
          <w:sz w:val="24"/>
          <w:szCs w:val="24"/>
        </w:rPr>
        <w:t>upils were to be treated as historians in their own right</w:t>
      </w:r>
      <w:r w:rsidR="002025DE" w:rsidRPr="00AE141E">
        <w:rPr>
          <w:rFonts w:ascii="Times New Roman" w:hAnsi="Times New Roman" w:cs="Times New Roman"/>
          <w:sz w:val="24"/>
          <w:szCs w:val="24"/>
        </w:rPr>
        <w:t xml:space="preserve"> </w:t>
      </w:r>
      <w:r w:rsidR="002666CF" w:rsidRPr="00AE141E">
        <w:rPr>
          <w:rFonts w:ascii="Times New Roman" w:hAnsi="Times New Roman" w:cs="Times New Roman"/>
          <w:sz w:val="24"/>
          <w:szCs w:val="24"/>
        </w:rPr>
        <w:t xml:space="preserve">and given the tools to </w:t>
      </w:r>
      <w:r w:rsidR="008A74CB" w:rsidRPr="00AE141E">
        <w:rPr>
          <w:rFonts w:ascii="Times New Roman" w:hAnsi="Times New Roman" w:cs="Times New Roman"/>
          <w:sz w:val="24"/>
          <w:szCs w:val="24"/>
        </w:rPr>
        <w:t>examine</w:t>
      </w:r>
      <w:r w:rsidR="00F01196" w:rsidRPr="00AE141E">
        <w:rPr>
          <w:rFonts w:ascii="Times New Roman" w:hAnsi="Times New Roman" w:cs="Times New Roman"/>
          <w:sz w:val="24"/>
          <w:szCs w:val="24"/>
        </w:rPr>
        <w:t xml:space="preserve"> their surroundings.</w:t>
      </w:r>
      <w:r w:rsidR="006B7FD3" w:rsidRPr="00AE141E">
        <w:rPr>
          <w:rFonts w:ascii="Times New Roman" w:hAnsi="Times New Roman" w:cs="Times New Roman"/>
          <w:sz w:val="24"/>
          <w:szCs w:val="24"/>
        </w:rPr>
        <w:t xml:space="preserve"> </w:t>
      </w:r>
      <w:r w:rsidR="008A74CB" w:rsidRPr="00AE141E">
        <w:rPr>
          <w:rFonts w:ascii="Times New Roman" w:hAnsi="Times New Roman" w:cs="Times New Roman"/>
          <w:sz w:val="24"/>
          <w:szCs w:val="24"/>
        </w:rPr>
        <w:lastRenderedPageBreak/>
        <w:t>Reekes’ students analysed the</w:t>
      </w:r>
      <w:r w:rsidR="006B7FD3" w:rsidRPr="00AE141E">
        <w:rPr>
          <w:rFonts w:ascii="Times New Roman" w:hAnsi="Times New Roman" w:cs="Times New Roman"/>
          <w:sz w:val="24"/>
          <w:szCs w:val="24"/>
        </w:rPr>
        <w:t xml:space="preserve"> Tonbridge School Registers, </w:t>
      </w:r>
      <w:r w:rsidR="008A74CB" w:rsidRPr="00AE141E">
        <w:rPr>
          <w:rFonts w:ascii="Times New Roman" w:hAnsi="Times New Roman" w:cs="Times New Roman"/>
          <w:sz w:val="24"/>
          <w:szCs w:val="24"/>
        </w:rPr>
        <w:t>‘</w:t>
      </w:r>
      <w:r w:rsidR="006B7FD3" w:rsidRPr="00AE141E">
        <w:rPr>
          <w:rFonts w:ascii="Times New Roman" w:hAnsi="Times New Roman" w:cs="Times New Roman"/>
          <w:sz w:val="24"/>
          <w:szCs w:val="24"/>
        </w:rPr>
        <w:t>a sort of Who</w:t>
      </w:r>
      <w:r w:rsidR="008A74CB" w:rsidRPr="00AE141E">
        <w:rPr>
          <w:rFonts w:ascii="Times New Roman" w:hAnsi="Times New Roman" w:cs="Times New Roman"/>
          <w:sz w:val="24"/>
          <w:szCs w:val="24"/>
        </w:rPr>
        <w:t>’</w:t>
      </w:r>
      <w:r w:rsidR="006B7FD3" w:rsidRPr="00AE141E">
        <w:rPr>
          <w:rFonts w:ascii="Times New Roman" w:hAnsi="Times New Roman" w:cs="Times New Roman"/>
          <w:sz w:val="24"/>
          <w:szCs w:val="24"/>
        </w:rPr>
        <w:t>s</w:t>
      </w:r>
      <w:r w:rsidR="006C724F">
        <w:rPr>
          <w:rFonts w:ascii="Times New Roman" w:hAnsi="Times New Roman" w:cs="Times New Roman"/>
          <w:sz w:val="24"/>
          <w:szCs w:val="24"/>
        </w:rPr>
        <w:t xml:space="preserve"> </w:t>
      </w:r>
      <w:r w:rsidR="006B7FD3" w:rsidRPr="00AE141E">
        <w:rPr>
          <w:rFonts w:ascii="Times New Roman" w:hAnsi="Times New Roman" w:cs="Times New Roman"/>
          <w:sz w:val="24"/>
          <w:szCs w:val="24"/>
        </w:rPr>
        <w:t>Who of nineteenth-century old boys</w:t>
      </w:r>
      <w:r w:rsidR="008A74CB" w:rsidRPr="00AE141E">
        <w:rPr>
          <w:rFonts w:ascii="Times New Roman" w:hAnsi="Times New Roman" w:cs="Times New Roman"/>
          <w:sz w:val="24"/>
          <w:szCs w:val="24"/>
        </w:rPr>
        <w:t>’</w:t>
      </w:r>
      <w:r w:rsidR="00D64C91" w:rsidRPr="00AE141E">
        <w:rPr>
          <w:rFonts w:ascii="Times New Roman" w:hAnsi="Times New Roman" w:cs="Times New Roman"/>
          <w:sz w:val="24"/>
          <w:szCs w:val="24"/>
        </w:rPr>
        <w:t>, through which it was discovered that a substantial portion had gone on to work in the colonies</w:t>
      </w:r>
      <w:r w:rsidR="006B7FD3" w:rsidRPr="00AE141E">
        <w:rPr>
          <w:rFonts w:ascii="Times New Roman" w:hAnsi="Times New Roman" w:cs="Times New Roman"/>
          <w:sz w:val="24"/>
          <w:szCs w:val="24"/>
        </w:rPr>
        <w:t>.</w:t>
      </w:r>
      <w:r w:rsidR="00A31928" w:rsidRPr="00AE141E">
        <w:rPr>
          <w:rFonts w:ascii="Times New Roman" w:hAnsi="Times New Roman" w:cs="Times New Roman"/>
          <w:sz w:val="24"/>
          <w:szCs w:val="24"/>
        </w:rPr>
        <w:t xml:space="preserve"> </w:t>
      </w:r>
      <w:r w:rsidR="006A1258" w:rsidRPr="00AE141E">
        <w:rPr>
          <w:rFonts w:ascii="Times New Roman" w:hAnsi="Times New Roman" w:cs="Times New Roman"/>
          <w:sz w:val="24"/>
          <w:szCs w:val="24"/>
        </w:rPr>
        <w:t>Reekes was determined to explore these colonial biographies in more detail</w:t>
      </w:r>
      <w:r w:rsidR="004E7852" w:rsidRPr="00AE141E">
        <w:rPr>
          <w:rFonts w:ascii="Times New Roman" w:hAnsi="Times New Roman" w:cs="Times New Roman"/>
          <w:sz w:val="24"/>
          <w:szCs w:val="24"/>
        </w:rPr>
        <w:t xml:space="preserve"> and devoted</w:t>
      </w:r>
      <w:r w:rsidR="00B05109" w:rsidRPr="00AE141E">
        <w:rPr>
          <w:rFonts w:ascii="Times New Roman" w:hAnsi="Times New Roman" w:cs="Times New Roman"/>
          <w:sz w:val="24"/>
          <w:szCs w:val="24"/>
        </w:rPr>
        <w:t xml:space="preserve"> the summer term to an </w:t>
      </w:r>
      <w:r w:rsidR="004E7852" w:rsidRPr="00AE141E">
        <w:rPr>
          <w:rFonts w:ascii="Times New Roman" w:hAnsi="Times New Roman" w:cs="Times New Roman"/>
          <w:sz w:val="24"/>
          <w:szCs w:val="24"/>
        </w:rPr>
        <w:t>ambitious</w:t>
      </w:r>
      <w:r w:rsidR="00B05109" w:rsidRPr="00AE141E">
        <w:rPr>
          <w:rFonts w:ascii="Times New Roman" w:hAnsi="Times New Roman" w:cs="Times New Roman"/>
          <w:sz w:val="24"/>
          <w:szCs w:val="24"/>
        </w:rPr>
        <w:t xml:space="preserve"> oral history project</w:t>
      </w:r>
      <w:r w:rsidR="004E7852" w:rsidRPr="00AE141E">
        <w:rPr>
          <w:rFonts w:ascii="Times New Roman" w:hAnsi="Times New Roman" w:cs="Times New Roman"/>
          <w:sz w:val="24"/>
          <w:szCs w:val="24"/>
        </w:rPr>
        <w:t>. A</w:t>
      </w:r>
      <w:r w:rsidR="00413C66" w:rsidRPr="00AE141E">
        <w:rPr>
          <w:rFonts w:ascii="Times New Roman" w:hAnsi="Times New Roman" w:cs="Times New Roman"/>
          <w:sz w:val="24"/>
          <w:szCs w:val="24"/>
        </w:rPr>
        <w:t xml:space="preserve"> call for </w:t>
      </w:r>
      <w:r w:rsidR="007D4113">
        <w:rPr>
          <w:rFonts w:ascii="Times New Roman" w:hAnsi="Times New Roman" w:cs="Times New Roman"/>
          <w:sz w:val="24"/>
          <w:szCs w:val="24"/>
        </w:rPr>
        <w:t>interviewees</w:t>
      </w:r>
      <w:r w:rsidR="00413C66" w:rsidRPr="00AE141E">
        <w:rPr>
          <w:rFonts w:ascii="Times New Roman" w:hAnsi="Times New Roman" w:cs="Times New Roman"/>
          <w:sz w:val="24"/>
          <w:szCs w:val="24"/>
        </w:rPr>
        <w:t xml:space="preserve"> received an enthusiastic</w:t>
      </w:r>
      <w:r w:rsidR="007D4113">
        <w:rPr>
          <w:rFonts w:ascii="Times New Roman" w:hAnsi="Times New Roman" w:cs="Times New Roman"/>
          <w:sz w:val="24"/>
          <w:szCs w:val="24"/>
        </w:rPr>
        <w:t xml:space="preserve"> local</w:t>
      </w:r>
      <w:r w:rsidR="00413C66" w:rsidRPr="00AE141E">
        <w:rPr>
          <w:rFonts w:ascii="Times New Roman" w:hAnsi="Times New Roman" w:cs="Times New Roman"/>
          <w:sz w:val="24"/>
          <w:szCs w:val="24"/>
        </w:rPr>
        <w:t xml:space="preserve"> respons</w:t>
      </w:r>
      <w:r w:rsidR="00465AFE" w:rsidRPr="00AE141E">
        <w:rPr>
          <w:rFonts w:ascii="Times New Roman" w:hAnsi="Times New Roman" w:cs="Times New Roman"/>
          <w:sz w:val="24"/>
          <w:szCs w:val="24"/>
        </w:rPr>
        <w:t>e. Each student was assigned a</w:t>
      </w:r>
      <w:r w:rsidR="007D4113">
        <w:rPr>
          <w:rFonts w:ascii="Times New Roman" w:hAnsi="Times New Roman" w:cs="Times New Roman"/>
          <w:sz w:val="24"/>
          <w:szCs w:val="24"/>
        </w:rPr>
        <w:t xml:space="preserve"> subject </w:t>
      </w:r>
      <w:r w:rsidR="00465AFE" w:rsidRPr="00AE141E">
        <w:rPr>
          <w:rFonts w:ascii="Times New Roman" w:hAnsi="Times New Roman" w:cs="Times New Roman"/>
          <w:sz w:val="24"/>
          <w:szCs w:val="24"/>
        </w:rPr>
        <w:t>who had personally participated in the colonial governance of India, whether as a</w:t>
      </w:r>
      <w:r w:rsidR="0081117C" w:rsidRPr="00AE141E">
        <w:rPr>
          <w:rFonts w:ascii="Times New Roman" w:hAnsi="Times New Roman" w:cs="Times New Roman"/>
          <w:sz w:val="24"/>
          <w:szCs w:val="24"/>
        </w:rPr>
        <w:t xml:space="preserve"> soldier, a civil servant, a policeman</w:t>
      </w:r>
      <w:r w:rsidR="00465AFE" w:rsidRPr="00AE141E">
        <w:rPr>
          <w:rFonts w:ascii="Times New Roman" w:hAnsi="Times New Roman" w:cs="Times New Roman"/>
          <w:sz w:val="24"/>
          <w:szCs w:val="24"/>
        </w:rPr>
        <w:t>,</w:t>
      </w:r>
      <w:r w:rsidR="0081117C" w:rsidRPr="00AE141E">
        <w:rPr>
          <w:rFonts w:ascii="Times New Roman" w:hAnsi="Times New Roman" w:cs="Times New Roman"/>
          <w:sz w:val="24"/>
          <w:szCs w:val="24"/>
        </w:rPr>
        <w:t xml:space="preserve"> a missionary, or a</w:t>
      </w:r>
      <w:r w:rsidR="00465AFE" w:rsidRPr="00AE141E">
        <w:rPr>
          <w:rFonts w:ascii="Times New Roman" w:hAnsi="Times New Roman" w:cs="Times New Roman"/>
          <w:sz w:val="24"/>
          <w:szCs w:val="24"/>
        </w:rPr>
        <w:t xml:space="preserve"> </w:t>
      </w:r>
      <w:r w:rsidR="0081117C" w:rsidRPr="00AE141E">
        <w:rPr>
          <w:rFonts w:ascii="Times New Roman" w:hAnsi="Times New Roman" w:cs="Times New Roman"/>
          <w:sz w:val="24"/>
          <w:szCs w:val="24"/>
        </w:rPr>
        <w:t>‘</w:t>
      </w:r>
      <w:r w:rsidR="0012223B" w:rsidRPr="00AE141E">
        <w:rPr>
          <w:rFonts w:ascii="Times New Roman" w:hAnsi="Times New Roman" w:cs="Times New Roman"/>
          <w:sz w:val="24"/>
          <w:szCs w:val="24"/>
        </w:rPr>
        <w:t>M</w:t>
      </w:r>
      <w:r w:rsidR="00465AFE" w:rsidRPr="00AE141E">
        <w:rPr>
          <w:rFonts w:ascii="Times New Roman" w:hAnsi="Times New Roman" w:cs="Times New Roman"/>
          <w:sz w:val="24"/>
          <w:szCs w:val="24"/>
        </w:rPr>
        <w:t>emsahib</w:t>
      </w:r>
      <w:r w:rsidR="0081117C" w:rsidRPr="00AE141E">
        <w:rPr>
          <w:rFonts w:ascii="Times New Roman" w:hAnsi="Times New Roman" w:cs="Times New Roman"/>
          <w:sz w:val="24"/>
          <w:szCs w:val="24"/>
        </w:rPr>
        <w:t>’.</w:t>
      </w:r>
    </w:p>
    <w:p w14:paraId="665AFD3B" w14:textId="51A2D17B" w:rsidR="00173ED0" w:rsidRDefault="00112A7B" w:rsidP="00A176E9">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Reekes envisioned his project as a form of restitution for </w:t>
      </w:r>
      <w:r w:rsidR="00EE3785" w:rsidRPr="00AE141E">
        <w:rPr>
          <w:rFonts w:ascii="Times New Roman" w:hAnsi="Times New Roman" w:cs="Times New Roman"/>
          <w:sz w:val="24"/>
          <w:szCs w:val="24"/>
        </w:rPr>
        <w:t>marginalised histories</w:t>
      </w:r>
      <w:r w:rsidR="00B02BDD" w:rsidRPr="00AE141E">
        <w:rPr>
          <w:rFonts w:ascii="Times New Roman" w:hAnsi="Times New Roman" w:cs="Times New Roman"/>
          <w:sz w:val="24"/>
          <w:szCs w:val="24"/>
        </w:rPr>
        <w:t>,</w:t>
      </w:r>
      <w:r w:rsidR="002C29A9" w:rsidRPr="00AE141E">
        <w:rPr>
          <w:rFonts w:ascii="Times New Roman" w:hAnsi="Times New Roman" w:cs="Times New Roman"/>
          <w:sz w:val="24"/>
          <w:szCs w:val="24"/>
        </w:rPr>
        <w:t xml:space="preserve"> and </w:t>
      </w:r>
      <w:r w:rsidR="00B02BDD" w:rsidRPr="00AE141E">
        <w:rPr>
          <w:rFonts w:ascii="Times New Roman" w:hAnsi="Times New Roman" w:cs="Times New Roman"/>
          <w:sz w:val="24"/>
          <w:szCs w:val="24"/>
        </w:rPr>
        <w:t xml:space="preserve">as </w:t>
      </w:r>
      <w:r w:rsidR="002C29A9" w:rsidRPr="00AE141E">
        <w:rPr>
          <w:rFonts w:ascii="Times New Roman" w:hAnsi="Times New Roman" w:cs="Times New Roman"/>
          <w:sz w:val="24"/>
          <w:szCs w:val="24"/>
        </w:rPr>
        <w:t>a corrective to the process of imperial forgetting which had been institutionalised in the British school system.</w:t>
      </w:r>
      <w:r w:rsidR="00B02BDD" w:rsidRPr="00AE141E">
        <w:rPr>
          <w:rFonts w:ascii="Times New Roman" w:hAnsi="Times New Roman" w:cs="Times New Roman"/>
          <w:sz w:val="24"/>
          <w:szCs w:val="24"/>
        </w:rPr>
        <w:t xml:space="preserve"> </w:t>
      </w:r>
      <w:r w:rsidR="00A27377" w:rsidRPr="00AE141E">
        <w:rPr>
          <w:rFonts w:ascii="Times New Roman" w:hAnsi="Times New Roman" w:cs="Times New Roman"/>
          <w:sz w:val="24"/>
          <w:szCs w:val="24"/>
        </w:rPr>
        <w:t>Readers might again</w:t>
      </w:r>
      <w:r w:rsidR="00245C70">
        <w:rPr>
          <w:rFonts w:ascii="Times New Roman" w:hAnsi="Times New Roman" w:cs="Times New Roman"/>
          <w:sz w:val="24"/>
          <w:szCs w:val="24"/>
        </w:rPr>
        <w:t xml:space="preserve"> be tempted to</w:t>
      </w:r>
      <w:r w:rsidR="00A27377" w:rsidRPr="00AE141E">
        <w:rPr>
          <w:rFonts w:ascii="Times New Roman" w:hAnsi="Times New Roman" w:cs="Times New Roman"/>
          <w:sz w:val="24"/>
          <w:szCs w:val="24"/>
        </w:rPr>
        <w:t xml:space="preserve"> draw parallels with the </w:t>
      </w:r>
      <w:r w:rsidR="00CB3E25" w:rsidRPr="00AE141E">
        <w:rPr>
          <w:rFonts w:ascii="Times New Roman" w:hAnsi="Times New Roman" w:cs="Times New Roman"/>
          <w:sz w:val="24"/>
          <w:szCs w:val="24"/>
        </w:rPr>
        <w:t>forms of historical education studied in the previous chapter</w:t>
      </w:r>
      <w:r w:rsidR="00245C70">
        <w:rPr>
          <w:rFonts w:ascii="Times New Roman" w:hAnsi="Times New Roman" w:cs="Times New Roman"/>
          <w:sz w:val="24"/>
          <w:szCs w:val="24"/>
        </w:rPr>
        <w:t>, but</w:t>
      </w:r>
      <w:r w:rsidR="00CB3E25" w:rsidRPr="00AE141E">
        <w:rPr>
          <w:rFonts w:ascii="Times New Roman" w:hAnsi="Times New Roman" w:cs="Times New Roman"/>
          <w:sz w:val="24"/>
          <w:szCs w:val="24"/>
        </w:rPr>
        <w:t xml:space="preserve"> </w:t>
      </w:r>
      <w:r w:rsidR="00C057DE" w:rsidRPr="00AE141E">
        <w:rPr>
          <w:rFonts w:ascii="Times New Roman" w:hAnsi="Times New Roman" w:cs="Times New Roman"/>
          <w:sz w:val="24"/>
          <w:szCs w:val="24"/>
        </w:rPr>
        <w:t>Reekes</w:t>
      </w:r>
      <w:r w:rsidR="00245C70">
        <w:rPr>
          <w:rFonts w:ascii="Times New Roman" w:hAnsi="Times New Roman" w:cs="Times New Roman"/>
          <w:sz w:val="24"/>
          <w:szCs w:val="24"/>
        </w:rPr>
        <w:t xml:space="preserve"> </w:t>
      </w:r>
      <w:r w:rsidR="00D04943" w:rsidRPr="00AE141E">
        <w:rPr>
          <w:rFonts w:ascii="Times New Roman" w:hAnsi="Times New Roman" w:cs="Times New Roman"/>
          <w:sz w:val="24"/>
          <w:szCs w:val="24"/>
        </w:rPr>
        <w:t>mourn</w:t>
      </w:r>
      <w:r w:rsidR="00245C70">
        <w:rPr>
          <w:rFonts w:ascii="Times New Roman" w:hAnsi="Times New Roman" w:cs="Times New Roman"/>
          <w:sz w:val="24"/>
          <w:szCs w:val="24"/>
        </w:rPr>
        <w:t>ed</w:t>
      </w:r>
      <w:r w:rsidR="00C057DE" w:rsidRPr="00AE141E">
        <w:rPr>
          <w:rFonts w:ascii="Times New Roman" w:hAnsi="Times New Roman" w:cs="Times New Roman"/>
          <w:sz w:val="24"/>
          <w:szCs w:val="24"/>
        </w:rPr>
        <w:t xml:space="preserve"> the erasure of the imperial past </w:t>
      </w:r>
      <w:r w:rsidR="00D04943" w:rsidRPr="00AE141E">
        <w:rPr>
          <w:rFonts w:ascii="Times New Roman" w:hAnsi="Times New Roman" w:cs="Times New Roman"/>
          <w:sz w:val="24"/>
          <w:szCs w:val="24"/>
        </w:rPr>
        <w:t xml:space="preserve">for a different reason. </w:t>
      </w:r>
      <w:r w:rsidR="00AC12F7">
        <w:rPr>
          <w:rFonts w:ascii="Times New Roman" w:hAnsi="Times New Roman" w:cs="Times New Roman"/>
          <w:sz w:val="24"/>
          <w:szCs w:val="24"/>
        </w:rPr>
        <w:t>He</w:t>
      </w:r>
      <w:r w:rsidR="004B7E44">
        <w:rPr>
          <w:rFonts w:ascii="Times New Roman" w:hAnsi="Times New Roman" w:cs="Times New Roman"/>
          <w:sz w:val="24"/>
          <w:szCs w:val="24"/>
        </w:rPr>
        <w:t xml:space="preserve"> envisaged the course as a challenge to </w:t>
      </w:r>
      <w:r w:rsidR="00AC12F7">
        <w:rPr>
          <w:rFonts w:ascii="Times New Roman" w:hAnsi="Times New Roman" w:cs="Times New Roman"/>
          <w:sz w:val="24"/>
          <w:szCs w:val="24"/>
        </w:rPr>
        <w:t>the present</w:t>
      </w:r>
      <w:r w:rsidR="0087283B" w:rsidRPr="00AE141E">
        <w:rPr>
          <w:rFonts w:ascii="Times New Roman" w:hAnsi="Times New Roman" w:cs="Times New Roman"/>
          <w:sz w:val="24"/>
          <w:szCs w:val="24"/>
        </w:rPr>
        <w:t xml:space="preserve"> generation</w:t>
      </w:r>
      <w:r w:rsidR="00460482" w:rsidRPr="00AE141E">
        <w:rPr>
          <w:rFonts w:ascii="Times New Roman" w:hAnsi="Times New Roman" w:cs="Times New Roman"/>
          <w:sz w:val="24"/>
          <w:szCs w:val="24"/>
        </w:rPr>
        <w:t xml:space="preserve"> of educators</w:t>
      </w:r>
      <w:r w:rsidR="0087283B" w:rsidRPr="00AE141E">
        <w:rPr>
          <w:rFonts w:ascii="Times New Roman" w:hAnsi="Times New Roman" w:cs="Times New Roman"/>
          <w:sz w:val="24"/>
          <w:szCs w:val="24"/>
        </w:rPr>
        <w:t xml:space="preserve">, for whom </w:t>
      </w:r>
      <w:r w:rsidR="006F6C74">
        <w:rPr>
          <w:rFonts w:ascii="Times New Roman" w:hAnsi="Times New Roman" w:cs="Times New Roman"/>
          <w:sz w:val="24"/>
          <w:szCs w:val="24"/>
        </w:rPr>
        <w:t>empire</w:t>
      </w:r>
      <w:r w:rsidR="00B64577" w:rsidRPr="00AE141E">
        <w:rPr>
          <w:rFonts w:ascii="Times New Roman" w:hAnsi="Times New Roman" w:cs="Times New Roman"/>
          <w:sz w:val="24"/>
          <w:szCs w:val="24"/>
        </w:rPr>
        <w:t xml:space="preserve"> </w:t>
      </w:r>
      <w:r w:rsidR="0087283B" w:rsidRPr="00AE141E">
        <w:rPr>
          <w:rFonts w:ascii="Times New Roman" w:hAnsi="Times New Roman" w:cs="Times New Roman"/>
          <w:sz w:val="24"/>
          <w:szCs w:val="24"/>
        </w:rPr>
        <w:t>ha</w:t>
      </w:r>
      <w:r w:rsidR="006F6C74">
        <w:rPr>
          <w:rFonts w:ascii="Times New Roman" w:hAnsi="Times New Roman" w:cs="Times New Roman"/>
          <w:sz w:val="24"/>
          <w:szCs w:val="24"/>
        </w:rPr>
        <w:t>d</w:t>
      </w:r>
      <w:r w:rsidR="0087283B" w:rsidRPr="00AE141E">
        <w:rPr>
          <w:rFonts w:ascii="Times New Roman" w:hAnsi="Times New Roman" w:cs="Times New Roman"/>
          <w:sz w:val="24"/>
          <w:szCs w:val="24"/>
        </w:rPr>
        <w:t xml:space="preserve"> be</w:t>
      </w:r>
      <w:r w:rsidR="006F6C74">
        <w:rPr>
          <w:rFonts w:ascii="Times New Roman" w:hAnsi="Times New Roman" w:cs="Times New Roman"/>
          <w:sz w:val="24"/>
          <w:szCs w:val="24"/>
        </w:rPr>
        <w:t>come</w:t>
      </w:r>
      <w:r w:rsidR="0087283B" w:rsidRPr="00AE141E">
        <w:rPr>
          <w:rFonts w:ascii="Times New Roman" w:hAnsi="Times New Roman" w:cs="Times New Roman"/>
          <w:sz w:val="24"/>
          <w:szCs w:val="24"/>
        </w:rPr>
        <w:t xml:space="preserve"> a </w:t>
      </w:r>
      <w:r w:rsidR="006F6C74">
        <w:rPr>
          <w:rFonts w:ascii="Times New Roman" w:hAnsi="Times New Roman" w:cs="Times New Roman"/>
          <w:sz w:val="24"/>
          <w:szCs w:val="24"/>
        </w:rPr>
        <w:t>‘</w:t>
      </w:r>
      <w:r w:rsidR="0087283B" w:rsidRPr="00AE141E">
        <w:rPr>
          <w:rFonts w:ascii="Times New Roman" w:hAnsi="Times New Roman" w:cs="Times New Roman"/>
          <w:sz w:val="24"/>
          <w:szCs w:val="24"/>
        </w:rPr>
        <w:t>dirty word and colonialism a matter purely for apology</w:t>
      </w:r>
      <w:r w:rsidR="00F01E36" w:rsidRPr="00AE141E">
        <w:rPr>
          <w:rFonts w:ascii="Times New Roman" w:hAnsi="Times New Roman" w:cs="Times New Roman"/>
          <w:sz w:val="24"/>
          <w:szCs w:val="24"/>
        </w:rPr>
        <w:t>’</w:t>
      </w:r>
      <w:r w:rsidR="0087283B" w:rsidRPr="00AE141E">
        <w:rPr>
          <w:rFonts w:ascii="Times New Roman" w:hAnsi="Times New Roman" w:cs="Times New Roman"/>
          <w:sz w:val="24"/>
          <w:szCs w:val="24"/>
        </w:rPr>
        <w:t>.</w:t>
      </w:r>
      <w:r w:rsidR="00245C70">
        <w:rPr>
          <w:rStyle w:val="FootnoteReference"/>
          <w:rFonts w:ascii="Times New Roman" w:hAnsi="Times New Roman" w:cs="Times New Roman"/>
          <w:sz w:val="24"/>
          <w:szCs w:val="24"/>
        </w:rPr>
        <w:footnoteReference w:id="742"/>
      </w:r>
      <w:r w:rsidR="0082237E" w:rsidRPr="00AE141E">
        <w:rPr>
          <w:rFonts w:ascii="Times New Roman" w:hAnsi="Times New Roman" w:cs="Times New Roman"/>
          <w:sz w:val="24"/>
          <w:szCs w:val="24"/>
        </w:rPr>
        <w:t xml:space="preserve"> </w:t>
      </w:r>
      <w:r w:rsidR="00726FFB">
        <w:rPr>
          <w:rFonts w:ascii="Times New Roman" w:hAnsi="Times New Roman" w:cs="Times New Roman"/>
          <w:sz w:val="24"/>
          <w:szCs w:val="24"/>
        </w:rPr>
        <w:t xml:space="preserve">According to Reekes’, </w:t>
      </w:r>
      <w:r w:rsidR="0082237E" w:rsidRPr="00AE141E">
        <w:rPr>
          <w:rFonts w:ascii="Times New Roman" w:hAnsi="Times New Roman" w:cs="Times New Roman"/>
          <w:sz w:val="24"/>
          <w:szCs w:val="24"/>
        </w:rPr>
        <w:t xml:space="preserve">his was </w:t>
      </w:r>
      <w:r w:rsidR="0033248B">
        <w:rPr>
          <w:rFonts w:ascii="Times New Roman" w:hAnsi="Times New Roman" w:cs="Times New Roman"/>
          <w:sz w:val="24"/>
          <w:szCs w:val="24"/>
        </w:rPr>
        <w:t>a</w:t>
      </w:r>
      <w:r w:rsidR="0082237E" w:rsidRPr="00AE141E">
        <w:rPr>
          <w:rFonts w:ascii="Times New Roman" w:hAnsi="Times New Roman" w:cs="Times New Roman"/>
          <w:sz w:val="24"/>
          <w:szCs w:val="24"/>
        </w:rPr>
        <w:t xml:space="preserve"> generation </w:t>
      </w:r>
      <w:r w:rsidR="00726FFB">
        <w:rPr>
          <w:rFonts w:ascii="Times New Roman" w:hAnsi="Times New Roman" w:cs="Times New Roman"/>
          <w:sz w:val="24"/>
          <w:szCs w:val="24"/>
        </w:rPr>
        <w:t>which</w:t>
      </w:r>
      <w:r w:rsidR="0033248B">
        <w:rPr>
          <w:rFonts w:ascii="Times New Roman" w:hAnsi="Times New Roman" w:cs="Times New Roman"/>
          <w:sz w:val="24"/>
          <w:szCs w:val="24"/>
        </w:rPr>
        <w:t xml:space="preserve"> had</w:t>
      </w:r>
      <w:r w:rsidR="006F6C74">
        <w:rPr>
          <w:rFonts w:ascii="Times New Roman" w:hAnsi="Times New Roman" w:cs="Times New Roman"/>
          <w:sz w:val="24"/>
          <w:szCs w:val="24"/>
        </w:rPr>
        <w:t xml:space="preserve"> been privileged to</w:t>
      </w:r>
      <w:r w:rsidR="0004794B" w:rsidRPr="00AE141E">
        <w:rPr>
          <w:rFonts w:ascii="Times New Roman" w:hAnsi="Times New Roman" w:cs="Times New Roman"/>
          <w:sz w:val="24"/>
          <w:szCs w:val="24"/>
        </w:rPr>
        <w:t xml:space="preserve"> grow up surrounded by the ‘</w:t>
      </w:r>
      <w:r w:rsidR="0082237E" w:rsidRPr="00AE141E">
        <w:rPr>
          <w:rFonts w:ascii="Times New Roman" w:hAnsi="Times New Roman" w:cs="Times New Roman"/>
          <w:sz w:val="24"/>
          <w:szCs w:val="24"/>
        </w:rPr>
        <w:t>artifacts of the Imperial adventure</w:t>
      </w:r>
      <w:r w:rsidR="0004794B" w:rsidRPr="00AE141E">
        <w:rPr>
          <w:rFonts w:ascii="Times New Roman" w:hAnsi="Times New Roman" w:cs="Times New Roman"/>
          <w:sz w:val="24"/>
          <w:szCs w:val="24"/>
        </w:rPr>
        <w:t>’</w:t>
      </w:r>
      <w:r w:rsidR="006C1AFF">
        <w:rPr>
          <w:rFonts w:ascii="Times New Roman" w:hAnsi="Times New Roman" w:cs="Times New Roman"/>
          <w:sz w:val="24"/>
          <w:szCs w:val="24"/>
        </w:rPr>
        <w:t xml:space="preserve"> (</w:t>
      </w:r>
      <w:r w:rsidR="002E09D0">
        <w:rPr>
          <w:rFonts w:ascii="Times New Roman" w:hAnsi="Times New Roman" w:cs="Times New Roman"/>
          <w:sz w:val="24"/>
          <w:szCs w:val="24"/>
        </w:rPr>
        <w:t xml:space="preserve">such as </w:t>
      </w:r>
      <w:r w:rsidR="0004794B" w:rsidRPr="00AE141E">
        <w:rPr>
          <w:rFonts w:ascii="Times New Roman" w:hAnsi="Times New Roman" w:cs="Times New Roman"/>
          <w:sz w:val="24"/>
          <w:szCs w:val="24"/>
        </w:rPr>
        <w:t>‘</w:t>
      </w:r>
      <w:r w:rsidR="0082237E" w:rsidRPr="00AE141E">
        <w:rPr>
          <w:rFonts w:ascii="Times New Roman" w:hAnsi="Times New Roman" w:cs="Times New Roman"/>
          <w:sz w:val="24"/>
          <w:szCs w:val="24"/>
        </w:rPr>
        <w:t>faded sepia tints of grandparents looking terribly English in exotic climes</w:t>
      </w:r>
      <w:r w:rsidR="0004794B" w:rsidRPr="00AE141E">
        <w:rPr>
          <w:rFonts w:ascii="Times New Roman" w:hAnsi="Times New Roman" w:cs="Times New Roman"/>
          <w:sz w:val="24"/>
          <w:szCs w:val="24"/>
        </w:rPr>
        <w:t>’</w:t>
      </w:r>
      <w:r w:rsidR="00FC1D5C">
        <w:rPr>
          <w:rFonts w:ascii="Times New Roman" w:hAnsi="Times New Roman" w:cs="Times New Roman"/>
          <w:sz w:val="24"/>
          <w:szCs w:val="24"/>
        </w:rPr>
        <w:t>)</w:t>
      </w:r>
      <w:r w:rsidR="0004794B" w:rsidRPr="00AE141E">
        <w:rPr>
          <w:rFonts w:ascii="Times New Roman" w:hAnsi="Times New Roman" w:cs="Times New Roman"/>
          <w:sz w:val="24"/>
          <w:szCs w:val="24"/>
        </w:rPr>
        <w:t>.</w:t>
      </w:r>
      <w:r w:rsidR="009F38DC">
        <w:rPr>
          <w:rFonts w:ascii="Times New Roman" w:hAnsi="Times New Roman" w:cs="Times New Roman"/>
          <w:sz w:val="24"/>
          <w:szCs w:val="24"/>
        </w:rPr>
        <w:t xml:space="preserve"> </w:t>
      </w:r>
      <w:r w:rsidR="00F326D5">
        <w:rPr>
          <w:rFonts w:ascii="Times New Roman" w:hAnsi="Times New Roman" w:cs="Times New Roman"/>
          <w:sz w:val="24"/>
          <w:szCs w:val="24"/>
        </w:rPr>
        <w:t>He</w:t>
      </w:r>
      <w:r w:rsidR="007C0BE2">
        <w:rPr>
          <w:rFonts w:ascii="Times New Roman" w:hAnsi="Times New Roman" w:cs="Times New Roman"/>
          <w:sz w:val="24"/>
          <w:szCs w:val="24"/>
        </w:rPr>
        <w:t xml:space="preserve"> regretted that knowledge of the imperial legacy had been denied to students</w:t>
      </w:r>
      <w:r w:rsidR="00D27620">
        <w:rPr>
          <w:rFonts w:ascii="Times New Roman" w:hAnsi="Times New Roman" w:cs="Times New Roman"/>
          <w:sz w:val="24"/>
          <w:szCs w:val="24"/>
        </w:rPr>
        <w:t xml:space="preserve"> born into an </w:t>
      </w:r>
      <w:r w:rsidR="0024037E" w:rsidRPr="00AE141E">
        <w:rPr>
          <w:rFonts w:ascii="Times New Roman" w:hAnsi="Times New Roman" w:cs="Times New Roman"/>
          <w:sz w:val="24"/>
          <w:szCs w:val="24"/>
        </w:rPr>
        <w:t>‘insular Britain of lowered horizons’</w:t>
      </w:r>
      <w:r w:rsidR="00D11D6F" w:rsidRPr="00AE141E">
        <w:rPr>
          <w:rFonts w:ascii="Times New Roman" w:hAnsi="Times New Roman" w:cs="Times New Roman"/>
          <w:sz w:val="24"/>
          <w:szCs w:val="24"/>
        </w:rPr>
        <w:t>.</w:t>
      </w:r>
      <w:r w:rsidR="0033248B">
        <w:rPr>
          <w:rFonts w:ascii="Times New Roman" w:hAnsi="Times New Roman" w:cs="Times New Roman"/>
          <w:sz w:val="24"/>
          <w:szCs w:val="24"/>
        </w:rPr>
        <w:t xml:space="preserve"> The goal of the course</w:t>
      </w:r>
      <w:r w:rsidR="002E09D0">
        <w:rPr>
          <w:rFonts w:ascii="Times New Roman" w:hAnsi="Times New Roman" w:cs="Times New Roman"/>
          <w:sz w:val="24"/>
          <w:szCs w:val="24"/>
        </w:rPr>
        <w:t xml:space="preserve"> </w:t>
      </w:r>
      <w:r w:rsidR="0033248B">
        <w:rPr>
          <w:rFonts w:ascii="Times New Roman" w:hAnsi="Times New Roman" w:cs="Times New Roman"/>
          <w:sz w:val="24"/>
          <w:szCs w:val="24"/>
        </w:rPr>
        <w:t>was</w:t>
      </w:r>
      <w:r w:rsidR="002E09D0">
        <w:rPr>
          <w:rFonts w:ascii="Times New Roman" w:hAnsi="Times New Roman" w:cs="Times New Roman"/>
          <w:sz w:val="24"/>
          <w:szCs w:val="24"/>
        </w:rPr>
        <w:t>, then,</w:t>
      </w:r>
      <w:r w:rsidR="0033248B">
        <w:rPr>
          <w:rFonts w:ascii="Times New Roman" w:hAnsi="Times New Roman" w:cs="Times New Roman"/>
          <w:sz w:val="24"/>
          <w:szCs w:val="24"/>
        </w:rPr>
        <w:t xml:space="preserve"> to </w:t>
      </w:r>
      <w:r w:rsidR="006F6C74">
        <w:rPr>
          <w:rFonts w:ascii="Times New Roman" w:hAnsi="Times New Roman" w:cs="Times New Roman"/>
          <w:sz w:val="24"/>
          <w:szCs w:val="24"/>
        </w:rPr>
        <w:t xml:space="preserve">recapture </w:t>
      </w:r>
      <w:r w:rsidR="001640BE">
        <w:rPr>
          <w:rFonts w:ascii="Times New Roman" w:hAnsi="Times New Roman" w:cs="Times New Roman"/>
          <w:sz w:val="24"/>
          <w:szCs w:val="24"/>
        </w:rPr>
        <w:t>some</w:t>
      </w:r>
      <w:r w:rsidR="006F6C74">
        <w:rPr>
          <w:rFonts w:ascii="Times New Roman" w:hAnsi="Times New Roman" w:cs="Times New Roman"/>
          <w:sz w:val="24"/>
          <w:szCs w:val="24"/>
        </w:rPr>
        <w:t xml:space="preserve"> sense of </w:t>
      </w:r>
      <w:r w:rsidR="001640BE">
        <w:rPr>
          <w:rFonts w:ascii="Times New Roman" w:hAnsi="Times New Roman" w:cs="Times New Roman"/>
          <w:sz w:val="24"/>
          <w:szCs w:val="24"/>
        </w:rPr>
        <w:t>lost national glory.</w:t>
      </w:r>
      <w:r w:rsidR="00A176E9" w:rsidRPr="00A176E9">
        <w:rPr>
          <w:rFonts w:ascii="Times New Roman" w:hAnsi="Times New Roman" w:cs="Times New Roman"/>
          <w:sz w:val="24"/>
          <w:szCs w:val="24"/>
        </w:rPr>
        <w:t xml:space="preserve"> </w:t>
      </w:r>
    </w:p>
    <w:p w14:paraId="7AB5FE7E" w14:textId="25B0C64D" w:rsidR="007047A2" w:rsidRDefault="00173ED0" w:rsidP="00AE141E">
      <w:pPr>
        <w:spacing w:line="360" w:lineRule="auto"/>
        <w:rPr>
          <w:rFonts w:ascii="Times New Roman" w:hAnsi="Times New Roman" w:cs="Times New Roman"/>
          <w:sz w:val="24"/>
          <w:szCs w:val="24"/>
        </w:rPr>
      </w:pPr>
      <w:r>
        <w:rPr>
          <w:rFonts w:ascii="Times New Roman" w:hAnsi="Times New Roman" w:cs="Times New Roman"/>
          <w:sz w:val="24"/>
          <w:szCs w:val="24"/>
        </w:rPr>
        <w:t xml:space="preserve">Reekes drew </w:t>
      </w:r>
      <w:r w:rsidR="00A176E9" w:rsidRPr="00AE141E">
        <w:rPr>
          <w:rFonts w:ascii="Times New Roman" w:hAnsi="Times New Roman" w:cs="Times New Roman"/>
          <w:sz w:val="24"/>
          <w:szCs w:val="24"/>
        </w:rPr>
        <w:t xml:space="preserve">inspiration from the success of the 1974 BBC radio series </w:t>
      </w:r>
      <w:r w:rsidR="00A176E9" w:rsidRPr="00AE141E">
        <w:rPr>
          <w:rFonts w:ascii="Times New Roman" w:hAnsi="Times New Roman" w:cs="Times New Roman"/>
          <w:i/>
          <w:sz w:val="24"/>
          <w:szCs w:val="24"/>
        </w:rPr>
        <w:t>Plain Tales from the Raj</w:t>
      </w:r>
      <w:r w:rsidR="00A176E9" w:rsidRPr="00AE141E">
        <w:rPr>
          <w:rFonts w:ascii="Times New Roman" w:hAnsi="Times New Roman" w:cs="Times New Roman"/>
          <w:sz w:val="24"/>
          <w:szCs w:val="24"/>
        </w:rPr>
        <w:t xml:space="preserve"> and the associated book, both of which comprised the historian Charles Allen’s </w:t>
      </w:r>
      <w:r w:rsidR="00544C43">
        <w:rPr>
          <w:rFonts w:ascii="Times New Roman" w:hAnsi="Times New Roman" w:cs="Times New Roman"/>
          <w:sz w:val="24"/>
          <w:szCs w:val="24"/>
        </w:rPr>
        <w:t>oral history</w:t>
      </w:r>
      <w:r w:rsidR="00F5308B">
        <w:rPr>
          <w:rFonts w:ascii="Times New Roman" w:hAnsi="Times New Roman" w:cs="Times New Roman"/>
          <w:sz w:val="24"/>
          <w:szCs w:val="24"/>
        </w:rPr>
        <w:t xml:space="preserve"> </w:t>
      </w:r>
      <w:r w:rsidR="00A176E9" w:rsidRPr="00AE141E">
        <w:rPr>
          <w:rFonts w:ascii="Times New Roman" w:hAnsi="Times New Roman" w:cs="Times New Roman"/>
          <w:sz w:val="24"/>
          <w:szCs w:val="24"/>
        </w:rPr>
        <w:t>interviews with the final generation of British colonial administrators.</w:t>
      </w:r>
      <w:r w:rsidR="00B302CA">
        <w:rPr>
          <w:rStyle w:val="FootnoteReference"/>
          <w:rFonts w:ascii="Times New Roman" w:hAnsi="Times New Roman" w:cs="Times New Roman"/>
          <w:sz w:val="24"/>
          <w:szCs w:val="24"/>
        </w:rPr>
        <w:footnoteReference w:id="743"/>
      </w:r>
      <w:r w:rsidR="00A176E9" w:rsidRPr="00AE141E">
        <w:rPr>
          <w:rFonts w:ascii="Times New Roman" w:hAnsi="Times New Roman" w:cs="Times New Roman"/>
          <w:sz w:val="24"/>
          <w:szCs w:val="24"/>
        </w:rPr>
        <w:t xml:space="preserve"> </w:t>
      </w:r>
      <w:r w:rsidR="00764AF2">
        <w:rPr>
          <w:rFonts w:ascii="Times New Roman" w:hAnsi="Times New Roman" w:cs="Times New Roman"/>
          <w:sz w:val="24"/>
          <w:szCs w:val="24"/>
        </w:rPr>
        <w:t xml:space="preserve">Elizabeth Buettner </w:t>
      </w:r>
      <w:r w:rsidR="00E631B8">
        <w:rPr>
          <w:rFonts w:ascii="Times New Roman" w:hAnsi="Times New Roman" w:cs="Times New Roman"/>
          <w:sz w:val="24"/>
          <w:szCs w:val="24"/>
        </w:rPr>
        <w:t xml:space="preserve">has </w:t>
      </w:r>
      <w:r w:rsidR="00E72C85">
        <w:rPr>
          <w:rFonts w:ascii="Times New Roman" w:hAnsi="Times New Roman" w:cs="Times New Roman"/>
          <w:sz w:val="24"/>
          <w:szCs w:val="24"/>
        </w:rPr>
        <w:t xml:space="preserve">described the dissemination of </w:t>
      </w:r>
      <w:r w:rsidR="004439EF">
        <w:rPr>
          <w:rFonts w:ascii="Times New Roman" w:hAnsi="Times New Roman" w:cs="Times New Roman"/>
          <w:sz w:val="24"/>
          <w:szCs w:val="24"/>
        </w:rPr>
        <w:t>Allen’s</w:t>
      </w:r>
      <w:r>
        <w:rPr>
          <w:rFonts w:ascii="Times New Roman" w:hAnsi="Times New Roman" w:cs="Times New Roman"/>
          <w:i/>
          <w:iCs/>
          <w:sz w:val="24"/>
          <w:szCs w:val="24"/>
        </w:rPr>
        <w:t xml:space="preserve"> </w:t>
      </w:r>
      <w:r>
        <w:rPr>
          <w:rFonts w:ascii="Times New Roman" w:hAnsi="Times New Roman" w:cs="Times New Roman"/>
          <w:sz w:val="24"/>
          <w:szCs w:val="24"/>
        </w:rPr>
        <w:t>work</w:t>
      </w:r>
      <w:r w:rsidR="00A477CA">
        <w:rPr>
          <w:rFonts w:ascii="Times New Roman" w:hAnsi="Times New Roman" w:cs="Times New Roman"/>
          <w:i/>
          <w:iCs/>
          <w:sz w:val="24"/>
          <w:szCs w:val="24"/>
        </w:rPr>
        <w:t xml:space="preserve"> </w:t>
      </w:r>
      <w:r>
        <w:rPr>
          <w:rFonts w:ascii="Times New Roman" w:hAnsi="Times New Roman" w:cs="Times New Roman"/>
          <w:sz w:val="24"/>
          <w:szCs w:val="24"/>
        </w:rPr>
        <w:t>as a seminal moment in the recollection of empire</w:t>
      </w:r>
      <w:r w:rsidR="00E72C85">
        <w:rPr>
          <w:rFonts w:ascii="Times New Roman" w:hAnsi="Times New Roman" w:cs="Times New Roman"/>
          <w:sz w:val="24"/>
          <w:szCs w:val="24"/>
        </w:rPr>
        <w:t>, in which the</w:t>
      </w:r>
      <w:r w:rsidR="00AC66C8">
        <w:rPr>
          <w:rFonts w:ascii="Times New Roman" w:hAnsi="Times New Roman" w:cs="Times New Roman"/>
          <w:sz w:val="24"/>
          <w:szCs w:val="24"/>
        </w:rPr>
        <w:t xml:space="preserve"> memories </w:t>
      </w:r>
      <w:r w:rsidR="00E72C85">
        <w:rPr>
          <w:rFonts w:ascii="Times New Roman" w:hAnsi="Times New Roman" w:cs="Times New Roman"/>
          <w:sz w:val="24"/>
          <w:szCs w:val="24"/>
        </w:rPr>
        <w:t xml:space="preserve">of repatriated ‘empire families’ were transferred </w:t>
      </w:r>
      <w:r w:rsidR="00AC66C8">
        <w:rPr>
          <w:rFonts w:ascii="Times New Roman" w:hAnsi="Times New Roman" w:cs="Times New Roman"/>
          <w:sz w:val="24"/>
          <w:szCs w:val="24"/>
        </w:rPr>
        <w:t xml:space="preserve">to </w:t>
      </w:r>
      <w:r w:rsidR="00B302CA">
        <w:rPr>
          <w:rFonts w:ascii="Times New Roman" w:hAnsi="Times New Roman" w:cs="Times New Roman"/>
          <w:sz w:val="24"/>
          <w:szCs w:val="24"/>
        </w:rPr>
        <w:t>‘</w:t>
      </w:r>
      <w:r w:rsidR="00AC66C8">
        <w:rPr>
          <w:rFonts w:ascii="Times New Roman" w:hAnsi="Times New Roman" w:cs="Times New Roman"/>
          <w:sz w:val="24"/>
          <w:szCs w:val="24"/>
        </w:rPr>
        <w:t>wider publics’.</w:t>
      </w:r>
      <w:r w:rsidR="00B302CA">
        <w:rPr>
          <w:rStyle w:val="FootnoteReference"/>
          <w:rFonts w:ascii="Times New Roman" w:hAnsi="Times New Roman" w:cs="Times New Roman"/>
          <w:sz w:val="24"/>
          <w:szCs w:val="24"/>
        </w:rPr>
        <w:footnoteReference w:id="744"/>
      </w:r>
      <w:r w:rsidR="00AC66C8">
        <w:rPr>
          <w:rFonts w:ascii="Times New Roman" w:hAnsi="Times New Roman" w:cs="Times New Roman"/>
          <w:sz w:val="24"/>
          <w:szCs w:val="24"/>
        </w:rPr>
        <w:t xml:space="preserve"> </w:t>
      </w:r>
      <w:r w:rsidR="00774384">
        <w:rPr>
          <w:rFonts w:ascii="Times New Roman" w:hAnsi="Times New Roman" w:cs="Times New Roman"/>
          <w:sz w:val="24"/>
          <w:szCs w:val="24"/>
        </w:rPr>
        <w:t xml:space="preserve">She argues that </w:t>
      </w:r>
      <w:r w:rsidR="00DB39A8">
        <w:rPr>
          <w:rFonts w:ascii="Times New Roman" w:hAnsi="Times New Roman" w:cs="Times New Roman"/>
          <w:sz w:val="24"/>
          <w:szCs w:val="24"/>
        </w:rPr>
        <w:t xml:space="preserve">‘empire families’ </w:t>
      </w:r>
      <w:r w:rsidR="00F6055B">
        <w:rPr>
          <w:rFonts w:ascii="Times New Roman" w:hAnsi="Times New Roman" w:cs="Times New Roman"/>
          <w:sz w:val="24"/>
          <w:szCs w:val="24"/>
        </w:rPr>
        <w:t>were engaged in a self-conscious</w:t>
      </w:r>
      <w:r w:rsidR="00A316E0">
        <w:rPr>
          <w:rFonts w:ascii="Times New Roman" w:hAnsi="Times New Roman" w:cs="Times New Roman"/>
          <w:sz w:val="24"/>
          <w:szCs w:val="24"/>
        </w:rPr>
        <w:t>, deeply personal</w:t>
      </w:r>
      <w:r w:rsidR="00F6055B">
        <w:rPr>
          <w:rFonts w:ascii="Times New Roman" w:hAnsi="Times New Roman" w:cs="Times New Roman"/>
          <w:sz w:val="24"/>
          <w:szCs w:val="24"/>
        </w:rPr>
        <w:t xml:space="preserve"> process of imperial rehabilitation which </w:t>
      </w:r>
      <w:r w:rsidR="000F4E17">
        <w:rPr>
          <w:rFonts w:ascii="Times New Roman" w:hAnsi="Times New Roman" w:cs="Times New Roman"/>
          <w:sz w:val="24"/>
          <w:szCs w:val="24"/>
        </w:rPr>
        <w:t>culminated in the</w:t>
      </w:r>
      <w:r w:rsidR="00A829F5">
        <w:rPr>
          <w:rFonts w:ascii="Times New Roman" w:hAnsi="Times New Roman" w:cs="Times New Roman"/>
          <w:sz w:val="24"/>
          <w:szCs w:val="24"/>
        </w:rPr>
        <w:t xml:space="preserve"> ‘Raj nostalgia’ of the </w:t>
      </w:r>
      <w:r w:rsidR="00F5308B">
        <w:rPr>
          <w:rFonts w:ascii="Times New Roman" w:hAnsi="Times New Roman" w:cs="Times New Roman"/>
          <w:sz w:val="24"/>
          <w:szCs w:val="24"/>
        </w:rPr>
        <w:t>1980s</w:t>
      </w:r>
      <w:r w:rsidR="00A829F5">
        <w:rPr>
          <w:rFonts w:ascii="Times New Roman" w:hAnsi="Times New Roman" w:cs="Times New Roman"/>
          <w:sz w:val="24"/>
          <w:szCs w:val="24"/>
        </w:rPr>
        <w:t>.</w:t>
      </w:r>
      <w:r w:rsidR="00F7324B">
        <w:rPr>
          <w:rFonts w:ascii="Times New Roman" w:hAnsi="Times New Roman" w:cs="Times New Roman"/>
          <w:sz w:val="24"/>
          <w:szCs w:val="24"/>
        </w:rPr>
        <w:t xml:space="preserve"> A self-justificatory narrative</w:t>
      </w:r>
      <w:r w:rsidR="001C7C4C">
        <w:rPr>
          <w:rFonts w:ascii="Times New Roman" w:hAnsi="Times New Roman" w:cs="Times New Roman"/>
          <w:sz w:val="24"/>
          <w:szCs w:val="24"/>
        </w:rPr>
        <w:t xml:space="preserve"> in which </w:t>
      </w:r>
      <w:r w:rsidR="00CE7E02">
        <w:rPr>
          <w:rFonts w:ascii="Times New Roman" w:hAnsi="Times New Roman" w:cs="Times New Roman"/>
          <w:sz w:val="24"/>
          <w:szCs w:val="24"/>
        </w:rPr>
        <w:t xml:space="preserve">violence and resistance were </w:t>
      </w:r>
      <w:r w:rsidR="003E6994">
        <w:rPr>
          <w:rFonts w:ascii="Times New Roman" w:hAnsi="Times New Roman" w:cs="Times New Roman"/>
          <w:sz w:val="24"/>
          <w:szCs w:val="24"/>
        </w:rPr>
        <w:t>subsumed</w:t>
      </w:r>
      <w:r w:rsidR="003E6994" w:rsidRPr="003E6994">
        <w:rPr>
          <w:rFonts w:ascii="Times New Roman" w:hAnsi="Times New Roman" w:cs="Times New Roman"/>
          <w:sz w:val="24"/>
          <w:szCs w:val="24"/>
        </w:rPr>
        <w:t xml:space="preserve"> by </w:t>
      </w:r>
      <w:r w:rsidR="003E6994">
        <w:rPr>
          <w:rFonts w:ascii="Times New Roman" w:hAnsi="Times New Roman" w:cs="Times New Roman"/>
          <w:sz w:val="24"/>
          <w:szCs w:val="24"/>
        </w:rPr>
        <w:t>‘</w:t>
      </w:r>
      <w:r w:rsidR="003E6994" w:rsidRPr="003E6994">
        <w:rPr>
          <w:rFonts w:ascii="Times New Roman" w:hAnsi="Times New Roman" w:cs="Times New Roman"/>
          <w:sz w:val="24"/>
          <w:szCs w:val="24"/>
        </w:rPr>
        <w:t>stories of affection and gratitude</w:t>
      </w:r>
      <w:r w:rsidR="003E6994">
        <w:rPr>
          <w:rFonts w:ascii="Times New Roman" w:hAnsi="Times New Roman" w:cs="Times New Roman"/>
          <w:sz w:val="24"/>
          <w:szCs w:val="24"/>
        </w:rPr>
        <w:t>’</w:t>
      </w:r>
      <w:r w:rsidR="001C7C4C">
        <w:rPr>
          <w:rFonts w:ascii="Times New Roman" w:hAnsi="Times New Roman" w:cs="Times New Roman"/>
          <w:sz w:val="24"/>
          <w:szCs w:val="24"/>
        </w:rPr>
        <w:t xml:space="preserve"> </w:t>
      </w:r>
      <w:r w:rsidR="00D420AD">
        <w:rPr>
          <w:rFonts w:ascii="Times New Roman" w:hAnsi="Times New Roman" w:cs="Times New Roman"/>
          <w:sz w:val="24"/>
          <w:szCs w:val="24"/>
        </w:rPr>
        <w:t xml:space="preserve">manifested in </w:t>
      </w:r>
      <w:r w:rsidR="004327FC">
        <w:rPr>
          <w:rFonts w:ascii="Times New Roman" w:hAnsi="Times New Roman" w:cs="Times New Roman"/>
          <w:sz w:val="24"/>
          <w:szCs w:val="24"/>
        </w:rPr>
        <w:t>a</w:t>
      </w:r>
      <w:r w:rsidR="003B0DE4">
        <w:rPr>
          <w:rFonts w:ascii="Times New Roman" w:hAnsi="Times New Roman" w:cs="Times New Roman"/>
          <w:sz w:val="24"/>
          <w:szCs w:val="24"/>
        </w:rPr>
        <w:t xml:space="preserve"> </w:t>
      </w:r>
      <w:r w:rsidR="004327FC">
        <w:rPr>
          <w:rFonts w:ascii="Times New Roman" w:hAnsi="Times New Roman" w:cs="Times New Roman"/>
          <w:sz w:val="24"/>
          <w:szCs w:val="24"/>
        </w:rPr>
        <w:t>host</w:t>
      </w:r>
      <w:r w:rsidR="003B0DE4">
        <w:rPr>
          <w:rFonts w:ascii="Times New Roman" w:hAnsi="Times New Roman" w:cs="Times New Roman"/>
          <w:sz w:val="24"/>
          <w:szCs w:val="24"/>
        </w:rPr>
        <w:t xml:space="preserve"> of popular cultural </w:t>
      </w:r>
      <w:r w:rsidR="003B0DE4">
        <w:rPr>
          <w:rFonts w:ascii="Times New Roman" w:hAnsi="Times New Roman" w:cs="Times New Roman"/>
          <w:sz w:val="24"/>
          <w:szCs w:val="24"/>
        </w:rPr>
        <w:lastRenderedPageBreak/>
        <w:t xml:space="preserve">representations of the Raj, including </w:t>
      </w:r>
      <w:r w:rsidR="003B0DE4" w:rsidRPr="00AE141E">
        <w:rPr>
          <w:rFonts w:ascii="Times New Roman" w:hAnsi="Times New Roman" w:cs="Times New Roman"/>
          <w:i/>
          <w:sz w:val="24"/>
          <w:szCs w:val="24"/>
        </w:rPr>
        <w:t>Heat and Dust</w:t>
      </w:r>
      <w:r w:rsidR="003B0DE4" w:rsidRPr="00AE141E">
        <w:rPr>
          <w:rFonts w:ascii="Times New Roman" w:hAnsi="Times New Roman" w:cs="Times New Roman"/>
          <w:sz w:val="24"/>
          <w:szCs w:val="24"/>
        </w:rPr>
        <w:t xml:space="preserve"> (1983), and </w:t>
      </w:r>
      <w:r w:rsidR="003B0DE4" w:rsidRPr="00AE141E">
        <w:rPr>
          <w:rFonts w:ascii="Times New Roman" w:hAnsi="Times New Roman" w:cs="Times New Roman"/>
          <w:i/>
          <w:sz w:val="24"/>
          <w:szCs w:val="24"/>
        </w:rPr>
        <w:t>Far Pavilions</w:t>
      </w:r>
      <w:r w:rsidR="003B0DE4" w:rsidRPr="00AE141E">
        <w:rPr>
          <w:rFonts w:ascii="Times New Roman" w:hAnsi="Times New Roman" w:cs="Times New Roman"/>
          <w:sz w:val="24"/>
          <w:szCs w:val="24"/>
        </w:rPr>
        <w:t xml:space="preserve">, </w:t>
      </w:r>
      <w:r w:rsidR="003B0DE4" w:rsidRPr="00AE141E">
        <w:rPr>
          <w:rFonts w:ascii="Times New Roman" w:hAnsi="Times New Roman" w:cs="Times New Roman"/>
          <w:i/>
          <w:sz w:val="24"/>
          <w:szCs w:val="24"/>
        </w:rPr>
        <w:t>A Passage to India</w:t>
      </w:r>
      <w:r w:rsidR="003B0DE4" w:rsidRPr="00AE141E">
        <w:rPr>
          <w:rFonts w:ascii="Times New Roman" w:hAnsi="Times New Roman" w:cs="Times New Roman"/>
          <w:sz w:val="24"/>
          <w:szCs w:val="24"/>
        </w:rPr>
        <w:t xml:space="preserve">, </w:t>
      </w:r>
      <w:r w:rsidR="003B0DE4" w:rsidRPr="00AE141E">
        <w:rPr>
          <w:rFonts w:ascii="Times New Roman" w:hAnsi="Times New Roman" w:cs="Times New Roman"/>
          <w:i/>
          <w:sz w:val="24"/>
          <w:szCs w:val="24"/>
        </w:rPr>
        <w:t>Kim</w:t>
      </w:r>
      <w:r w:rsidR="003B0DE4" w:rsidRPr="00AE141E">
        <w:rPr>
          <w:rFonts w:ascii="Times New Roman" w:hAnsi="Times New Roman" w:cs="Times New Roman"/>
          <w:sz w:val="24"/>
          <w:szCs w:val="24"/>
        </w:rPr>
        <w:t xml:space="preserve">, and </w:t>
      </w:r>
      <w:r w:rsidR="003B0DE4" w:rsidRPr="00AE141E">
        <w:rPr>
          <w:rFonts w:ascii="Times New Roman" w:hAnsi="Times New Roman" w:cs="Times New Roman"/>
          <w:i/>
          <w:sz w:val="24"/>
          <w:szCs w:val="24"/>
        </w:rPr>
        <w:t>The Jewel in the Crown</w:t>
      </w:r>
      <w:r w:rsidR="003B0DE4" w:rsidRPr="00AE141E">
        <w:rPr>
          <w:rFonts w:ascii="Times New Roman" w:hAnsi="Times New Roman" w:cs="Times New Roman"/>
          <w:sz w:val="24"/>
          <w:szCs w:val="24"/>
        </w:rPr>
        <w:t xml:space="preserve"> (all 1984).</w:t>
      </w:r>
      <w:r w:rsidR="003B0DE4" w:rsidRPr="00AE141E">
        <w:rPr>
          <w:rStyle w:val="FootnoteReference"/>
          <w:rFonts w:ascii="Times New Roman" w:hAnsi="Times New Roman" w:cs="Times New Roman"/>
          <w:sz w:val="24"/>
          <w:szCs w:val="24"/>
        </w:rPr>
        <w:footnoteReference w:id="745"/>
      </w:r>
      <w:r w:rsidR="003B0DE4" w:rsidRPr="00AE141E">
        <w:rPr>
          <w:rFonts w:ascii="Times New Roman" w:hAnsi="Times New Roman" w:cs="Times New Roman"/>
          <w:sz w:val="24"/>
          <w:szCs w:val="24"/>
        </w:rPr>
        <w:t xml:space="preserve"> </w:t>
      </w:r>
    </w:p>
    <w:p w14:paraId="3C3CAE9C" w14:textId="3CFC8AFA" w:rsidR="00864AEF" w:rsidRDefault="0051407F" w:rsidP="00AE141E">
      <w:pPr>
        <w:spacing w:line="360" w:lineRule="auto"/>
        <w:rPr>
          <w:rFonts w:ascii="Times New Roman" w:hAnsi="Times New Roman" w:cs="Times New Roman"/>
          <w:sz w:val="24"/>
          <w:szCs w:val="24"/>
        </w:rPr>
      </w:pPr>
      <w:r>
        <w:rPr>
          <w:rFonts w:ascii="Times New Roman" w:hAnsi="Times New Roman" w:cs="Times New Roman"/>
          <w:sz w:val="24"/>
          <w:szCs w:val="24"/>
        </w:rPr>
        <w:t>Tonbridge p</w:t>
      </w:r>
      <w:r w:rsidR="00BC0CAC" w:rsidRPr="00AE141E">
        <w:rPr>
          <w:rFonts w:ascii="Times New Roman" w:hAnsi="Times New Roman" w:cs="Times New Roman"/>
          <w:sz w:val="24"/>
          <w:szCs w:val="24"/>
        </w:rPr>
        <w:t>upils</w:t>
      </w:r>
      <w:r w:rsidR="007A7A43" w:rsidRPr="00AE141E">
        <w:rPr>
          <w:rFonts w:ascii="Times New Roman" w:hAnsi="Times New Roman" w:cs="Times New Roman"/>
          <w:sz w:val="24"/>
          <w:szCs w:val="24"/>
        </w:rPr>
        <w:t xml:space="preserve"> were reported to experience a mixture of enthusiasm and possessiveness towards ‘their own individual Raj representatives’</w:t>
      </w:r>
      <w:r w:rsidR="00FE3C59" w:rsidRPr="00AE141E">
        <w:rPr>
          <w:rFonts w:ascii="Times New Roman" w:hAnsi="Times New Roman" w:cs="Times New Roman"/>
          <w:sz w:val="24"/>
          <w:szCs w:val="24"/>
        </w:rPr>
        <w:t>.</w:t>
      </w:r>
      <w:r w:rsidR="0053626F" w:rsidRPr="00AE141E">
        <w:rPr>
          <w:rStyle w:val="FootnoteReference"/>
          <w:rFonts w:ascii="Times New Roman" w:hAnsi="Times New Roman" w:cs="Times New Roman"/>
          <w:sz w:val="24"/>
          <w:szCs w:val="24"/>
        </w:rPr>
        <w:footnoteReference w:id="746"/>
      </w:r>
      <w:r w:rsidR="00CF533A" w:rsidRPr="00AE141E">
        <w:rPr>
          <w:rFonts w:ascii="Times New Roman" w:hAnsi="Times New Roman" w:cs="Times New Roman"/>
          <w:sz w:val="24"/>
          <w:szCs w:val="24"/>
        </w:rPr>
        <w:t xml:space="preserve"> The </w:t>
      </w:r>
      <w:r w:rsidR="00F2109C" w:rsidRPr="00AE141E">
        <w:rPr>
          <w:rFonts w:ascii="Times New Roman" w:hAnsi="Times New Roman" w:cs="Times New Roman"/>
          <w:sz w:val="24"/>
          <w:szCs w:val="24"/>
        </w:rPr>
        <w:t>intimate</w:t>
      </w:r>
      <w:r w:rsidR="00CF533A" w:rsidRPr="00AE141E">
        <w:rPr>
          <w:rFonts w:ascii="Times New Roman" w:hAnsi="Times New Roman" w:cs="Times New Roman"/>
          <w:sz w:val="24"/>
          <w:szCs w:val="24"/>
        </w:rPr>
        <w:t xml:space="preserve"> personal connection between interviewer and interviewee</w:t>
      </w:r>
      <w:r w:rsidR="00B30829" w:rsidRPr="00AE141E">
        <w:rPr>
          <w:rFonts w:ascii="Times New Roman" w:hAnsi="Times New Roman" w:cs="Times New Roman"/>
          <w:sz w:val="24"/>
          <w:szCs w:val="24"/>
        </w:rPr>
        <w:t xml:space="preserve"> was symbolised by some students’ decision to take on a voluntary role as social worker to their subjects.</w:t>
      </w:r>
      <w:r w:rsidR="00FE3C59" w:rsidRPr="00AE141E">
        <w:rPr>
          <w:rFonts w:ascii="Times New Roman" w:hAnsi="Times New Roman" w:cs="Times New Roman"/>
          <w:sz w:val="24"/>
          <w:szCs w:val="24"/>
        </w:rPr>
        <w:t xml:space="preserve"> </w:t>
      </w:r>
      <w:r w:rsidR="001B5167" w:rsidRPr="00AE141E">
        <w:rPr>
          <w:rFonts w:ascii="Times New Roman" w:hAnsi="Times New Roman" w:cs="Times New Roman"/>
          <w:sz w:val="24"/>
          <w:szCs w:val="24"/>
        </w:rPr>
        <w:t xml:space="preserve">The </w:t>
      </w:r>
      <w:r w:rsidR="00084B26" w:rsidRPr="00AE141E">
        <w:rPr>
          <w:rFonts w:ascii="Times New Roman" w:hAnsi="Times New Roman" w:cs="Times New Roman"/>
          <w:sz w:val="24"/>
          <w:szCs w:val="24"/>
        </w:rPr>
        <w:t>bridging</w:t>
      </w:r>
      <w:r w:rsidR="001B5167" w:rsidRPr="00AE141E">
        <w:rPr>
          <w:rFonts w:ascii="Times New Roman" w:hAnsi="Times New Roman" w:cs="Times New Roman"/>
          <w:sz w:val="24"/>
          <w:szCs w:val="24"/>
        </w:rPr>
        <w:t xml:space="preserve"> of generational </w:t>
      </w:r>
      <w:r w:rsidR="00084B26" w:rsidRPr="00AE141E">
        <w:rPr>
          <w:rFonts w:ascii="Times New Roman" w:hAnsi="Times New Roman" w:cs="Times New Roman"/>
          <w:sz w:val="24"/>
          <w:szCs w:val="24"/>
        </w:rPr>
        <w:t>gaps, identification with interviewee</w:t>
      </w:r>
      <w:r w:rsidR="00E40DF0">
        <w:rPr>
          <w:rFonts w:ascii="Times New Roman" w:hAnsi="Times New Roman" w:cs="Times New Roman"/>
          <w:sz w:val="24"/>
          <w:szCs w:val="24"/>
        </w:rPr>
        <w:t>s</w:t>
      </w:r>
      <w:r w:rsidR="00084B26" w:rsidRPr="00AE141E">
        <w:rPr>
          <w:rFonts w:ascii="Times New Roman" w:hAnsi="Times New Roman" w:cs="Times New Roman"/>
          <w:sz w:val="24"/>
          <w:szCs w:val="24"/>
        </w:rPr>
        <w:t>,</w:t>
      </w:r>
      <w:r w:rsidR="001B5167" w:rsidRPr="00AE141E">
        <w:rPr>
          <w:rFonts w:ascii="Times New Roman" w:hAnsi="Times New Roman" w:cs="Times New Roman"/>
          <w:sz w:val="24"/>
          <w:szCs w:val="24"/>
        </w:rPr>
        <w:t xml:space="preserve"> and the internalisation </w:t>
      </w:r>
      <w:r w:rsidR="00084B26" w:rsidRPr="00AE141E">
        <w:rPr>
          <w:rFonts w:ascii="Times New Roman" w:hAnsi="Times New Roman" w:cs="Times New Roman"/>
          <w:sz w:val="24"/>
          <w:szCs w:val="24"/>
        </w:rPr>
        <w:t xml:space="preserve">of their views </w:t>
      </w:r>
      <w:r w:rsidR="003B7AB6">
        <w:rPr>
          <w:rFonts w:ascii="Times New Roman" w:hAnsi="Times New Roman" w:cs="Times New Roman"/>
          <w:sz w:val="24"/>
          <w:szCs w:val="24"/>
        </w:rPr>
        <w:t>were</w:t>
      </w:r>
      <w:r w:rsidR="00084B26" w:rsidRPr="00AE141E">
        <w:rPr>
          <w:rFonts w:ascii="Times New Roman" w:hAnsi="Times New Roman" w:cs="Times New Roman"/>
          <w:sz w:val="24"/>
          <w:szCs w:val="24"/>
        </w:rPr>
        <w:t xml:space="preserve"> built into the project. </w:t>
      </w:r>
      <w:r w:rsidR="00F1463D" w:rsidRPr="00AE141E">
        <w:rPr>
          <w:rFonts w:ascii="Times New Roman" w:hAnsi="Times New Roman" w:cs="Times New Roman"/>
          <w:sz w:val="24"/>
          <w:szCs w:val="24"/>
        </w:rPr>
        <w:t xml:space="preserve">There was an analytical element to the work </w:t>
      </w:r>
      <w:r w:rsidR="007F17CE" w:rsidRPr="00AE141E">
        <w:rPr>
          <w:rFonts w:ascii="Times New Roman" w:hAnsi="Times New Roman" w:cs="Times New Roman"/>
          <w:sz w:val="24"/>
          <w:szCs w:val="24"/>
        </w:rPr>
        <w:t>–</w:t>
      </w:r>
      <w:r w:rsidR="00F1463D" w:rsidRPr="00AE141E">
        <w:rPr>
          <w:rFonts w:ascii="Times New Roman" w:hAnsi="Times New Roman" w:cs="Times New Roman"/>
          <w:sz w:val="24"/>
          <w:szCs w:val="24"/>
        </w:rPr>
        <w:t xml:space="preserve"> </w:t>
      </w:r>
      <w:r w:rsidR="007F17CE" w:rsidRPr="00AE141E">
        <w:rPr>
          <w:rFonts w:ascii="Times New Roman" w:hAnsi="Times New Roman" w:cs="Times New Roman"/>
          <w:sz w:val="24"/>
          <w:szCs w:val="24"/>
        </w:rPr>
        <w:t>pupils were invited to situate the</w:t>
      </w:r>
      <w:r w:rsidR="003F0514" w:rsidRPr="00AE141E">
        <w:rPr>
          <w:rFonts w:ascii="Times New Roman" w:hAnsi="Times New Roman" w:cs="Times New Roman"/>
          <w:sz w:val="24"/>
          <w:szCs w:val="24"/>
        </w:rPr>
        <w:t xml:space="preserve"> life-stories they were recording within </w:t>
      </w:r>
      <w:r w:rsidR="006C6670" w:rsidRPr="00AE141E">
        <w:rPr>
          <w:rFonts w:ascii="Times New Roman" w:hAnsi="Times New Roman" w:cs="Times New Roman"/>
          <w:sz w:val="24"/>
          <w:szCs w:val="24"/>
        </w:rPr>
        <w:t xml:space="preserve">their existing framework of knowledge, and a few commented on the distinctly ‘Victorian’ pattern of life </w:t>
      </w:r>
      <w:r w:rsidR="001A7470" w:rsidRPr="00AE141E">
        <w:rPr>
          <w:rFonts w:ascii="Times New Roman" w:hAnsi="Times New Roman" w:cs="Times New Roman"/>
          <w:sz w:val="24"/>
          <w:szCs w:val="24"/>
        </w:rPr>
        <w:t xml:space="preserve">reported by their subjects. However, critical evaluation </w:t>
      </w:r>
      <w:r w:rsidR="00084B26" w:rsidRPr="00AE141E">
        <w:rPr>
          <w:rFonts w:ascii="Times New Roman" w:hAnsi="Times New Roman" w:cs="Times New Roman"/>
          <w:sz w:val="24"/>
          <w:szCs w:val="24"/>
        </w:rPr>
        <w:t>of the source material</w:t>
      </w:r>
      <w:r w:rsidR="001A7470" w:rsidRPr="00AE141E">
        <w:rPr>
          <w:rFonts w:ascii="Times New Roman" w:hAnsi="Times New Roman" w:cs="Times New Roman"/>
          <w:sz w:val="24"/>
          <w:szCs w:val="24"/>
        </w:rPr>
        <w:t xml:space="preserve"> seems to have been neglected in the pursuit of the e</w:t>
      </w:r>
      <w:r w:rsidR="004B1F6C" w:rsidRPr="00AE141E">
        <w:rPr>
          <w:rFonts w:ascii="Times New Roman" w:hAnsi="Times New Roman" w:cs="Times New Roman"/>
          <w:sz w:val="24"/>
          <w:szCs w:val="24"/>
        </w:rPr>
        <w:t>xcitement of the ‘exotic’</w:t>
      </w:r>
      <w:r w:rsidR="00BA4055" w:rsidRPr="00AE141E">
        <w:rPr>
          <w:rFonts w:ascii="Times New Roman" w:hAnsi="Times New Roman" w:cs="Times New Roman"/>
          <w:sz w:val="24"/>
          <w:szCs w:val="24"/>
        </w:rPr>
        <w:t xml:space="preserve">. The interviews </w:t>
      </w:r>
      <w:r w:rsidR="009F01F0" w:rsidRPr="00AE141E">
        <w:rPr>
          <w:rFonts w:ascii="Times New Roman" w:hAnsi="Times New Roman" w:cs="Times New Roman"/>
          <w:sz w:val="24"/>
          <w:szCs w:val="24"/>
        </w:rPr>
        <w:t xml:space="preserve">were </w:t>
      </w:r>
      <w:r w:rsidR="00AD374F">
        <w:rPr>
          <w:rFonts w:ascii="Times New Roman" w:hAnsi="Times New Roman" w:cs="Times New Roman"/>
          <w:sz w:val="24"/>
          <w:szCs w:val="24"/>
        </w:rPr>
        <w:t>understood</w:t>
      </w:r>
      <w:r w:rsidR="009F01F0" w:rsidRPr="00AE141E">
        <w:rPr>
          <w:rFonts w:ascii="Times New Roman" w:hAnsi="Times New Roman" w:cs="Times New Roman"/>
          <w:sz w:val="24"/>
          <w:szCs w:val="24"/>
        </w:rPr>
        <w:t xml:space="preserve"> as</w:t>
      </w:r>
      <w:r w:rsidR="009F01F0">
        <w:rPr>
          <w:rFonts w:ascii="Times New Roman" w:hAnsi="Times New Roman" w:cs="Times New Roman"/>
          <w:sz w:val="24"/>
          <w:szCs w:val="24"/>
        </w:rPr>
        <w:t xml:space="preserve"> </w:t>
      </w:r>
      <w:r w:rsidR="00B53AC0">
        <w:rPr>
          <w:rFonts w:ascii="Times New Roman" w:hAnsi="Times New Roman" w:cs="Times New Roman"/>
          <w:sz w:val="24"/>
          <w:szCs w:val="24"/>
        </w:rPr>
        <w:t xml:space="preserve">a </w:t>
      </w:r>
      <w:r w:rsidR="00AD374F">
        <w:rPr>
          <w:rFonts w:ascii="Times New Roman" w:hAnsi="Times New Roman" w:cs="Times New Roman"/>
          <w:sz w:val="24"/>
          <w:szCs w:val="24"/>
        </w:rPr>
        <w:t xml:space="preserve">window through which </w:t>
      </w:r>
      <w:r w:rsidR="003775EC">
        <w:rPr>
          <w:rFonts w:ascii="Times New Roman" w:hAnsi="Times New Roman" w:cs="Times New Roman"/>
          <w:sz w:val="24"/>
          <w:szCs w:val="24"/>
        </w:rPr>
        <w:t>an authentic historical truth could be glimpsed</w:t>
      </w:r>
      <w:r w:rsidR="00B53AC0">
        <w:rPr>
          <w:rFonts w:ascii="Times New Roman" w:hAnsi="Times New Roman" w:cs="Times New Roman"/>
          <w:sz w:val="24"/>
          <w:szCs w:val="24"/>
        </w:rPr>
        <w:t xml:space="preserve">. Hence, they </w:t>
      </w:r>
      <w:r w:rsidR="00BA4055" w:rsidRPr="00AE141E">
        <w:rPr>
          <w:rFonts w:ascii="Times New Roman" w:hAnsi="Times New Roman" w:cs="Times New Roman"/>
          <w:sz w:val="24"/>
          <w:szCs w:val="24"/>
        </w:rPr>
        <w:t>became an end in themselves, rather than the means to an end</w:t>
      </w:r>
      <w:r w:rsidR="00300E64" w:rsidRPr="00AE141E">
        <w:rPr>
          <w:rFonts w:ascii="Times New Roman" w:hAnsi="Times New Roman" w:cs="Times New Roman"/>
          <w:sz w:val="24"/>
          <w:szCs w:val="24"/>
        </w:rPr>
        <w:t>.</w:t>
      </w:r>
      <w:r w:rsidR="00B53AC0">
        <w:rPr>
          <w:rFonts w:ascii="Times New Roman" w:hAnsi="Times New Roman" w:cs="Times New Roman"/>
          <w:sz w:val="24"/>
          <w:szCs w:val="24"/>
        </w:rPr>
        <w:t xml:space="preserve"> T</w:t>
      </w:r>
      <w:r w:rsidR="007041D5" w:rsidRPr="00AE141E">
        <w:rPr>
          <w:rFonts w:ascii="Times New Roman" w:hAnsi="Times New Roman" w:cs="Times New Roman"/>
          <w:sz w:val="24"/>
          <w:szCs w:val="24"/>
        </w:rPr>
        <w:t xml:space="preserve">he </w:t>
      </w:r>
      <w:r w:rsidR="000F4ABB" w:rsidRPr="00AE141E">
        <w:rPr>
          <w:rFonts w:ascii="Times New Roman" w:hAnsi="Times New Roman" w:cs="Times New Roman"/>
          <w:sz w:val="24"/>
          <w:szCs w:val="24"/>
        </w:rPr>
        <w:t>project’s conclusions were</w:t>
      </w:r>
      <w:r w:rsidR="00B53AC0">
        <w:rPr>
          <w:rFonts w:ascii="Times New Roman" w:hAnsi="Times New Roman" w:cs="Times New Roman"/>
          <w:sz w:val="24"/>
          <w:szCs w:val="24"/>
        </w:rPr>
        <w:t xml:space="preserve"> ultimately</w:t>
      </w:r>
      <w:r w:rsidR="000F4ABB" w:rsidRPr="00AE141E">
        <w:rPr>
          <w:rFonts w:ascii="Times New Roman" w:hAnsi="Times New Roman" w:cs="Times New Roman"/>
          <w:sz w:val="24"/>
          <w:szCs w:val="24"/>
        </w:rPr>
        <w:t xml:space="preserve"> those delivered by its subjects</w:t>
      </w:r>
      <w:r w:rsidR="002E3967">
        <w:rPr>
          <w:rFonts w:ascii="Times New Roman" w:hAnsi="Times New Roman" w:cs="Times New Roman"/>
          <w:sz w:val="24"/>
          <w:szCs w:val="24"/>
        </w:rPr>
        <w:t xml:space="preserve"> </w:t>
      </w:r>
      <w:r w:rsidR="006A3B90" w:rsidRPr="00AE141E">
        <w:rPr>
          <w:rFonts w:ascii="Times New Roman" w:hAnsi="Times New Roman" w:cs="Times New Roman"/>
          <w:sz w:val="24"/>
          <w:szCs w:val="24"/>
        </w:rPr>
        <w:t xml:space="preserve">– ‘a belief that the job was worth doing and that the British did it rather well’. </w:t>
      </w:r>
      <w:r w:rsidR="00A360EE" w:rsidRPr="00AE141E">
        <w:rPr>
          <w:rFonts w:ascii="Times New Roman" w:hAnsi="Times New Roman" w:cs="Times New Roman"/>
          <w:sz w:val="24"/>
          <w:szCs w:val="24"/>
        </w:rPr>
        <w:t>Tellingly, of the many oral history projects then practi</w:t>
      </w:r>
      <w:r w:rsidR="00595333">
        <w:rPr>
          <w:rFonts w:ascii="Times New Roman" w:hAnsi="Times New Roman" w:cs="Times New Roman"/>
          <w:sz w:val="24"/>
          <w:szCs w:val="24"/>
        </w:rPr>
        <w:t>s</w:t>
      </w:r>
      <w:r w:rsidR="00A360EE" w:rsidRPr="00AE141E">
        <w:rPr>
          <w:rFonts w:ascii="Times New Roman" w:hAnsi="Times New Roman" w:cs="Times New Roman"/>
          <w:sz w:val="24"/>
          <w:szCs w:val="24"/>
        </w:rPr>
        <w:t xml:space="preserve">ed in English secondary schools, this is one of the few </w:t>
      </w:r>
      <w:r w:rsidR="00C7000F" w:rsidRPr="00AE141E">
        <w:rPr>
          <w:rFonts w:ascii="Times New Roman" w:hAnsi="Times New Roman" w:cs="Times New Roman"/>
          <w:sz w:val="24"/>
          <w:szCs w:val="24"/>
        </w:rPr>
        <w:t>deemed valuable enough to be preserved as anything more than personal</w:t>
      </w:r>
      <w:r w:rsidR="00175B69" w:rsidRPr="00AE141E">
        <w:rPr>
          <w:rFonts w:ascii="Times New Roman" w:hAnsi="Times New Roman" w:cs="Times New Roman"/>
          <w:sz w:val="24"/>
          <w:szCs w:val="24"/>
        </w:rPr>
        <w:t xml:space="preserve"> ephemera</w:t>
      </w:r>
      <w:r w:rsidR="00C7000F" w:rsidRPr="00AE141E">
        <w:rPr>
          <w:rFonts w:ascii="Times New Roman" w:hAnsi="Times New Roman" w:cs="Times New Roman"/>
          <w:sz w:val="24"/>
          <w:szCs w:val="24"/>
        </w:rPr>
        <w:t>: the Cambridge School of South Asian Studies</w:t>
      </w:r>
      <w:r w:rsidR="002334F2" w:rsidRPr="00AE141E">
        <w:rPr>
          <w:rFonts w:ascii="Times New Roman" w:hAnsi="Times New Roman" w:cs="Times New Roman"/>
          <w:sz w:val="24"/>
          <w:szCs w:val="24"/>
        </w:rPr>
        <w:t xml:space="preserve"> </w:t>
      </w:r>
      <w:r w:rsidR="00C7000F" w:rsidRPr="00AE141E">
        <w:rPr>
          <w:rFonts w:ascii="Times New Roman" w:hAnsi="Times New Roman" w:cs="Times New Roman"/>
          <w:sz w:val="24"/>
          <w:szCs w:val="24"/>
        </w:rPr>
        <w:t xml:space="preserve">expressed an interest in </w:t>
      </w:r>
      <w:r w:rsidR="00175B69" w:rsidRPr="00AE141E">
        <w:rPr>
          <w:rFonts w:ascii="Times New Roman" w:hAnsi="Times New Roman" w:cs="Times New Roman"/>
          <w:sz w:val="24"/>
          <w:szCs w:val="24"/>
        </w:rPr>
        <w:t>archiving the tapes.</w:t>
      </w:r>
      <w:r w:rsidR="00175B69" w:rsidRPr="00AE141E">
        <w:rPr>
          <w:rStyle w:val="FootnoteReference"/>
          <w:rFonts w:ascii="Times New Roman" w:hAnsi="Times New Roman" w:cs="Times New Roman"/>
          <w:sz w:val="24"/>
          <w:szCs w:val="24"/>
        </w:rPr>
        <w:footnoteReference w:id="747"/>
      </w:r>
      <w:r w:rsidR="00175B69" w:rsidRPr="00AE141E">
        <w:rPr>
          <w:rFonts w:ascii="Times New Roman" w:hAnsi="Times New Roman" w:cs="Times New Roman"/>
          <w:sz w:val="24"/>
          <w:szCs w:val="24"/>
        </w:rPr>
        <w:t xml:space="preserve"> </w:t>
      </w:r>
      <w:r w:rsidR="00E244A0">
        <w:rPr>
          <w:rFonts w:ascii="Times New Roman" w:hAnsi="Times New Roman" w:cs="Times New Roman"/>
          <w:sz w:val="24"/>
          <w:szCs w:val="24"/>
        </w:rPr>
        <w:t xml:space="preserve">The narrative of </w:t>
      </w:r>
      <w:r w:rsidR="00BD0AC8">
        <w:rPr>
          <w:rFonts w:ascii="Times New Roman" w:hAnsi="Times New Roman" w:cs="Times New Roman"/>
          <w:sz w:val="24"/>
          <w:szCs w:val="24"/>
        </w:rPr>
        <w:t>imperial ‘</w:t>
      </w:r>
      <w:r w:rsidR="00BD0AC8" w:rsidRPr="00AE141E">
        <w:rPr>
          <w:rFonts w:ascii="Times New Roman" w:hAnsi="Times New Roman" w:cs="Times New Roman"/>
          <w:sz w:val="24"/>
          <w:szCs w:val="24"/>
        </w:rPr>
        <w:t>justice and “fair play”’</w:t>
      </w:r>
      <w:r w:rsidR="00BD0AC8">
        <w:rPr>
          <w:rFonts w:ascii="Times New Roman" w:hAnsi="Times New Roman" w:cs="Times New Roman"/>
          <w:sz w:val="24"/>
          <w:szCs w:val="24"/>
        </w:rPr>
        <w:t xml:space="preserve"> seems to have been </w:t>
      </w:r>
      <w:r w:rsidR="00711E1F" w:rsidRPr="00AE141E">
        <w:rPr>
          <w:rFonts w:ascii="Times New Roman" w:hAnsi="Times New Roman" w:cs="Times New Roman"/>
          <w:sz w:val="24"/>
          <w:szCs w:val="24"/>
        </w:rPr>
        <w:t>amenable to</w:t>
      </w:r>
      <w:r w:rsidR="005A027C" w:rsidRPr="00AE141E">
        <w:rPr>
          <w:rFonts w:ascii="Times New Roman" w:hAnsi="Times New Roman" w:cs="Times New Roman"/>
          <w:sz w:val="24"/>
          <w:szCs w:val="24"/>
        </w:rPr>
        <w:t xml:space="preserve"> those </w:t>
      </w:r>
      <w:r w:rsidR="006C724F">
        <w:rPr>
          <w:rFonts w:ascii="Times New Roman" w:hAnsi="Times New Roman" w:cs="Times New Roman"/>
          <w:sz w:val="24"/>
          <w:szCs w:val="24"/>
        </w:rPr>
        <w:t>who filled</w:t>
      </w:r>
      <w:r w:rsidR="005A027C" w:rsidRPr="00AE141E">
        <w:rPr>
          <w:rFonts w:ascii="Times New Roman" w:hAnsi="Times New Roman" w:cs="Times New Roman"/>
          <w:sz w:val="24"/>
          <w:szCs w:val="24"/>
        </w:rPr>
        <w:t xml:space="preserve"> the semi-official role of custodians of the </w:t>
      </w:r>
      <w:r w:rsidR="00BA6FAC" w:rsidRPr="00AE141E">
        <w:rPr>
          <w:rFonts w:ascii="Times New Roman" w:hAnsi="Times New Roman" w:cs="Times New Roman"/>
          <w:sz w:val="24"/>
          <w:szCs w:val="24"/>
        </w:rPr>
        <w:t>past.</w:t>
      </w:r>
    </w:p>
    <w:p w14:paraId="7FA8946B" w14:textId="0D295711" w:rsidR="003A5EF8" w:rsidRPr="00AE141E" w:rsidRDefault="005E10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London’s India Office Library and Records (IOLR) had long been the country’s premier repository for information on the colonial experience in India. </w:t>
      </w:r>
      <w:r w:rsidR="004C7619">
        <w:rPr>
          <w:rFonts w:ascii="Times New Roman" w:hAnsi="Times New Roman" w:cs="Times New Roman"/>
          <w:sz w:val="24"/>
          <w:szCs w:val="24"/>
        </w:rPr>
        <w:t>In the 1980s, the vogue for ‘</w:t>
      </w:r>
      <w:r w:rsidR="004C7619" w:rsidRPr="00AE141E">
        <w:rPr>
          <w:rFonts w:ascii="Times New Roman" w:hAnsi="Times New Roman" w:cs="Times New Roman"/>
          <w:sz w:val="24"/>
          <w:szCs w:val="24"/>
        </w:rPr>
        <w:t xml:space="preserve">Raj nostalgia’ </w:t>
      </w:r>
      <w:r w:rsidR="004C7619">
        <w:rPr>
          <w:rFonts w:ascii="Times New Roman" w:hAnsi="Times New Roman" w:cs="Times New Roman"/>
          <w:sz w:val="24"/>
          <w:szCs w:val="24"/>
        </w:rPr>
        <w:t xml:space="preserve">and </w:t>
      </w:r>
      <w:r w:rsidRPr="00AE141E">
        <w:rPr>
          <w:rFonts w:ascii="Times New Roman" w:hAnsi="Times New Roman" w:cs="Times New Roman"/>
          <w:sz w:val="24"/>
          <w:szCs w:val="24"/>
        </w:rPr>
        <w:t xml:space="preserve">source-based, investigative learning </w:t>
      </w:r>
      <w:r w:rsidR="000D3F8E">
        <w:rPr>
          <w:rFonts w:ascii="Times New Roman" w:hAnsi="Times New Roman" w:cs="Times New Roman"/>
          <w:sz w:val="24"/>
          <w:szCs w:val="24"/>
        </w:rPr>
        <w:t>led to</w:t>
      </w:r>
      <w:r w:rsidRPr="00AE141E">
        <w:rPr>
          <w:rFonts w:ascii="Times New Roman" w:hAnsi="Times New Roman" w:cs="Times New Roman"/>
          <w:sz w:val="24"/>
          <w:szCs w:val="24"/>
        </w:rPr>
        <w:t xml:space="preserve"> increased demands on its services by youth audiences</w:t>
      </w:r>
      <w:r w:rsidR="003A5EF8" w:rsidRPr="00AE141E">
        <w:rPr>
          <w:rFonts w:ascii="Times New Roman" w:hAnsi="Times New Roman" w:cs="Times New Roman"/>
          <w:sz w:val="24"/>
          <w:szCs w:val="24"/>
        </w:rPr>
        <w:t>.</w:t>
      </w:r>
      <w:r w:rsidR="003A5EF8" w:rsidRPr="00AE141E">
        <w:rPr>
          <w:rStyle w:val="FootnoteReference"/>
          <w:rFonts w:ascii="Times New Roman" w:hAnsi="Times New Roman" w:cs="Times New Roman"/>
          <w:sz w:val="24"/>
          <w:szCs w:val="24"/>
        </w:rPr>
        <w:footnoteReference w:id="748"/>
      </w:r>
      <w:r w:rsidR="003A5EF8" w:rsidRPr="00AE141E">
        <w:rPr>
          <w:rFonts w:ascii="Times New Roman" w:hAnsi="Times New Roman" w:cs="Times New Roman"/>
          <w:sz w:val="24"/>
          <w:szCs w:val="24"/>
        </w:rPr>
        <w:t xml:space="preserve"> </w:t>
      </w:r>
      <w:r w:rsidR="003A5EF8">
        <w:rPr>
          <w:rFonts w:ascii="Times New Roman" w:hAnsi="Times New Roman" w:cs="Times New Roman"/>
          <w:sz w:val="24"/>
          <w:szCs w:val="24"/>
        </w:rPr>
        <w:t>T</w:t>
      </w:r>
      <w:r w:rsidR="003A5EF8" w:rsidRPr="00AE141E">
        <w:rPr>
          <w:rFonts w:ascii="Times New Roman" w:hAnsi="Times New Roman" w:cs="Times New Roman"/>
          <w:sz w:val="24"/>
          <w:szCs w:val="24"/>
        </w:rPr>
        <w:t>he historian and archivist S.R.</w:t>
      </w:r>
      <w:r w:rsidR="003A5EF8">
        <w:rPr>
          <w:rFonts w:ascii="Times New Roman" w:hAnsi="Times New Roman" w:cs="Times New Roman"/>
          <w:sz w:val="24"/>
          <w:szCs w:val="24"/>
        </w:rPr>
        <w:t xml:space="preserve"> </w:t>
      </w:r>
      <w:r w:rsidR="003A5EF8" w:rsidRPr="00AE141E">
        <w:rPr>
          <w:rFonts w:ascii="Times New Roman" w:hAnsi="Times New Roman" w:cs="Times New Roman"/>
          <w:sz w:val="24"/>
          <w:szCs w:val="24"/>
        </w:rPr>
        <w:t xml:space="preserve">Ashton described how Richard Attenborough’s cinematic biography of Gandhi had ‘generated a veritable flood of </w:t>
      </w:r>
      <w:r w:rsidR="003A5EF8" w:rsidRPr="00AE141E">
        <w:rPr>
          <w:rFonts w:ascii="Times New Roman" w:hAnsi="Times New Roman" w:cs="Times New Roman"/>
          <w:sz w:val="24"/>
          <w:szCs w:val="24"/>
        </w:rPr>
        <w:lastRenderedPageBreak/>
        <w:t>letters’ from school pupils. So many enquiries were in fact received that IOLR decided to compile a ‘selection of “Gandhi” documents’</w:t>
      </w:r>
      <w:r w:rsidR="003A5EF8">
        <w:rPr>
          <w:rFonts w:ascii="Times New Roman" w:hAnsi="Times New Roman" w:cs="Times New Roman"/>
          <w:sz w:val="24"/>
          <w:szCs w:val="24"/>
        </w:rPr>
        <w:t xml:space="preserve"> targeted at school students</w:t>
      </w:r>
      <w:r w:rsidR="003A5EF8" w:rsidRPr="00AE141E">
        <w:rPr>
          <w:rFonts w:ascii="Times New Roman" w:hAnsi="Times New Roman" w:cs="Times New Roman"/>
          <w:sz w:val="24"/>
          <w:szCs w:val="24"/>
        </w:rPr>
        <w:t>. The</w:t>
      </w:r>
      <w:r w:rsidR="003A5EF8">
        <w:rPr>
          <w:rFonts w:ascii="Times New Roman" w:hAnsi="Times New Roman" w:cs="Times New Roman"/>
          <w:sz w:val="24"/>
          <w:szCs w:val="24"/>
        </w:rPr>
        <w:t>se</w:t>
      </w:r>
      <w:r w:rsidR="003A5EF8" w:rsidRPr="00AE141E">
        <w:rPr>
          <w:rFonts w:ascii="Times New Roman" w:hAnsi="Times New Roman" w:cs="Times New Roman"/>
          <w:sz w:val="24"/>
          <w:szCs w:val="24"/>
        </w:rPr>
        <w:t xml:space="preserve"> learning materials covered biographical elements, alongside explorations of Gandhian political thought and its reception. </w:t>
      </w:r>
      <w:r w:rsidR="003A5EF8">
        <w:rPr>
          <w:rFonts w:ascii="Times New Roman" w:hAnsi="Times New Roman" w:cs="Times New Roman"/>
          <w:sz w:val="24"/>
          <w:szCs w:val="24"/>
        </w:rPr>
        <w:t xml:space="preserve">Reekes’ project should be treated as part of this broader cultural turn. </w:t>
      </w:r>
    </w:p>
    <w:p w14:paraId="338A86A4" w14:textId="05FDCF31" w:rsidR="00E45A63" w:rsidRDefault="009F439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1982, around the time </w:t>
      </w:r>
      <w:r>
        <w:rPr>
          <w:rFonts w:ascii="Times New Roman" w:hAnsi="Times New Roman" w:cs="Times New Roman"/>
          <w:sz w:val="24"/>
          <w:szCs w:val="24"/>
        </w:rPr>
        <w:t xml:space="preserve">the </w:t>
      </w:r>
      <w:r w:rsidRPr="00AE141E">
        <w:rPr>
          <w:rFonts w:ascii="Times New Roman" w:hAnsi="Times New Roman" w:cs="Times New Roman"/>
          <w:sz w:val="24"/>
          <w:szCs w:val="24"/>
        </w:rPr>
        <w:t>IOLR was absorbed into the British Library, it instituted a dedicated Education Service.</w:t>
      </w:r>
      <w:r w:rsidR="00C83331" w:rsidRPr="00AE141E">
        <w:rPr>
          <w:rStyle w:val="FootnoteReference"/>
          <w:rFonts w:ascii="Times New Roman" w:hAnsi="Times New Roman" w:cs="Times New Roman"/>
          <w:sz w:val="24"/>
          <w:szCs w:val="24"/>
        </w:rPr>
        <w:footnoteReference w:id="749"/>
      </w:r>
      <w:r w:rsidR="00E331E9" w:rsidRPr="00AE141E">
        <w:rPr>
          <w:rFonts w:ascii="Times New Roman" w:hAnsi="Times New Roman" w:cs="Times New Roman"/>
          <w:sz w:val="24"/>
          <w:szCs w:val="24"/>
        </w:rPr>
        <w:t xml:space="preserve"> </w:t>
      </w:r>
      <w:r w:rsidR="0035396C" w:rsidRPr="00AE141E">
        <w:rPr>
          <w:rFonts w:ascii="Times New Roman" w:hAnsi="Times New Roman" w:cs="Times New Roman"/>
          <w:sz w:val="24"/>
          <w:szCs w:val="24"/>
        </w:rPr>
        <w:t xml:space="preserve">The Service was a direct response </w:t>
      </w:r>
      <w:r w:rsidR="00C524CD" w:rsidRPr="00AE141E">
        <w:rPr>
          <w:rFonts w:ascii="Times New Roman" w:hAnsi="Times New Roman" w:cs="Times New Roman"/>
          <w:sz w:val="24"/>
          <w:szCs w:val="24"/>
        </w:rPr>
        <w:t xml:space="preserve">to a request from </w:t>
      </w:r>
      <w:r w:rsidR="00925078" w:rsidRPr="00AE141E">
        <w:rPr>
          <w:rFonts w:ascii="Times New Roman" w:hAnsi="Times New Roman" w:cs="Times New Roman"/>
          <w:sz w:val="24"/>
          <w:szCs w:val="24"/>
        </w:rPr>
        <w:t xml:space="preserve">Derek Merrill, </w:t>
      </w:r>
      <w:r w:rsidR="00C524CD" w:rsidRPr="00AE141E">
        <w:rPr>
          <w:rFonts w:ascii="Times New Roman" w:hAnsi="Times New Roman" w:cs="Times New Roman"/>
          <w:sz w:val="24"/>
          <w:szCs w:val="24"/>
        </w:rPr>
        <w:t>an</w:t>
      </w:r>
      <w:r w:rsidR="0035396C" w:rsidRPr="00AE141E">
        <w:rPr>
          <w:rFonts w:ascii="Times New Roman" w:hAnsi="Times New Roman" w:cs="Times New Roman"/>
          <w:sz w:val="24"/>
          <w:szCs w:val="24"/>
        </w:rPr>
        <w:t xml:space="preserve"> </w:t>
      </w:r>
      <w:r w:rsidR="001677AB" w:rsidRPr="00AE141E">
        <w:rPr>
          <w:rFonts w:ascii="Times New Roman" w:hAnsi="Times New Roman" w:cs="Times New Roman"/>
          <w:sz w:val="24"/>
          <w:szCs w:val="24"/>
        </w:rPr>
        <w:t xml:space="preserve">Advisory Teacher </w:t>
      </w:r>
      <w:r w:rsidR="00C524CD" w:rsidRPr="00AE141E">
        <w:rPr>
          <w:rFonts w:ascii="Times New Roman" w:hAnsi="Times New Roman" w:cs="Times New Roman"/>
          <w:sz w:val="24"/>
          <w:szCs w:val="24"/>
        </w:rPr>
        <w:t>based in</w:t>
      </w:r>
      <w:r w:rsidR="001677AB" w:rsidRPr="00AE141E">
        <w:rPr>
          <w:rFonts w:ascii="Times New Roman" w:hAnsi="Times New Roman" w:cs="Times New Roman"/>
          <w:sz w:val="24"/>
          <w:szCs w:val="24"/>
        </w:rPr>
        <w:t xml:space="preserve"> Ealing</w:t>
      </w:r>
      <w:r w:rsidR="0035396C" w:rsidRPr="00AE141E">
        <w:rPr>
          <w:rFonts w:ascii="Times New Roman" w:hAnsi="Times New Roman" w:cs="Times New Roman"/>
          <w:sz w:val="24"/>
          <w:szCs w:val="24"/>
        </w:rPr>
        <w:t xml:space="preserve">, </w:t>
      </w:r>
      <w:r w:rsidR="00044671" w:rsidRPr="00AE141E">
        <w:rPr>
          <w:rFonts w:ascii="Times New Roman" w:hAnsi="Times New Roman" w:cs="Times New Roman"/>
          <w:sz w:val="24"/>
          <w:szCs w:val="24"/>
        </w:rPr>
        <w:t>who sought</w:t>
      </w:r>
      <w:r w:rsidR="00E86511" w:rsidRPr="00AE141E">
        <w:rPr>
          <w:rFonts w:ascii="Times New Roman" w:hAnsi="Times New Roman" w:cs="Times New Roman"/>
          <w:sz w:val="24"/>
          <w:szCs w:val="24"/>
        </w:rPr>
        <w:t xml:space="preserve"> </w:t>
      </w:r>
      <w:r w:rsidR="00C524CD" w:rsidRPr="00AE141E">
        <w:rPr>
          <w:rFonts w:ascii="Times New Roman" w:hAnsi="Times New Roman" w:cs="Times New Roman"/>
          <w:sz w:val="24"/>
          <w:szCs w:val="24"/>
        </w:rPr>
        <w:t xml:space="preserve">assistance in </w:t>
      </w:r>
      <w:r w:rsidR="00E86511" w:rsidRPr="00AE141E">
        <w:rPr>
          <w:rFonts w:ascii="Times New Roman" w:hAnsi="Times New Roman" w:cs="Times New Roman"/>
          <w:sz w:val="24"/>
          <w:szCs w:val="24"/>
        </w:rPr>
        <w:t>the development of</w:t>
      </w:r>
      <w:r w:rsidR="00C524CD" w:rsidRPr="00AE141E">
        <w:rPr>
          <w:rFonts w:ascii="Times New Roman" w:hAnsi="Times New Roman" w:cs="Times New Roman"/>
          <w:sz w:val="24"/>
          <w:szCs w:val="24"/>
        </w:rPr>
        <w:t xml:space="preserve"> teaching materials </w:t>
      </w:r>
      <w:r w:rsidR="00E86511" w:rsidRPr="00AE141E">
        <w:rPr>
          <w:rFonts w:ascii="Times New Roman" w:hAnsi="Times New Roman" w:cs="Times New Roman"/>
          <w:sz w:val="24"/>
          <w:szCs w:val="24"/>
        </w:rPr>
        <w:t>on modern South Asian history</w:t>
      </w:r>
      <w:r w:rsidR="001677AB" w:rsidRPr="00AE141E">
        <w:rPr>
          <w:rFonts w:ascii="Times New Roman" w:hAnsi="Times New Roman" w:cs="Times New Roman"/>
          <w:sz w:val="24"/>
          <w:szCs w:val="24"/>
        </w:rPr>
        <w:t xml:space="preserve">. </w:t>
      </w:r>
      <w:r w:rsidR="00E00C3C">
        <w:rPr>
          <w:rFonts w:ascii="Times New Roman" w:hAnsi="Times New Roman" w:cs="Times New Roman"/>
          <w:sz w:val="24"/>
          <w:szCs w:val="24"/>
        </w:rPr>
        <w:t>Their collaboration p</w:t>
      </w:r>
      <w:r w:rsidR="00764759">
        <w:rPr>
          <w:rFonts w:ascii="Times New Roman" w:hAnsi="Times New Roman" w:cs="Times New Roman"/>
          <w:sz w:val="24"/>
          <w:szCs w:val="24"/>
        </w:rPr>
        <w:t xml:space="preserve">roduced a </w:t>
      </w:r>
      <w:r w:rsidR="00452F50">
        <w:rPr>
          <w:rFonts w:ascii="Times New Roman" w:hAnsi="Times New Roman" w:cs="Times New Roman"/>
          <w:sz w:val="24"/>
          <w:szCs w:val="24"/>
        </w:rPr>
        <w:t>pack of primary</w:t>
      </w:r>
      <w:r w:rsidR="00CE2639" w:rsidRPr="00AE141E">
        <w:rPr>
          <w:rFonts w:ascii="Times New Roman" w:hAnsi="Times New Roman" w:cs="Times New Roman"/>
          <w:sz w:val="24"/>
          <w:szCs w:val="24"/>
        </w:rPr>
        <w:t xml:space="preserve"> </w:t>
      </w:r>
      <w:r w:rsidR="00452F50">
        <w:rPr>
          <w:rFonts w:ascii="Times New Roman" w:hAnsi="Times New Roman" w:cs="Times New Roman"/>
          <w:sz w:val="24"/>
          <w:szCs w:val="24"/>
        </w:rPr>
        <w:t>sources</w:t>
      </w:r>
      <w:r w:rsidR="00CE2639" w:rsidRPr="00AE141E">
        <w:rPr>
          <w:rFonts w:ascii="Times New Roman" w:hAnsi="Times New Roman" w:cs="Times New Roman"/>
          <w:sz w:val="24"/>
          <w:szCs w:val="24"/>
        </w:rPr>
        <w:t xml:space="preserve"> on the</w:t>
      </w:r>
      <w:r w:rsidR="001677AB" w:rsidRPr="00AE141E">
        <w:rPr>
          <w:rFonts w:ascii="Times New Roman" w:hAnsi="Times New Roman" w:cs="Times New Roman"/>
          <w:sz w:val="24"/>
          <w:szCs w:val="24"/>
        </w:rPr>
        <w:t xml:space="preserve"> Amritsar Massacre</w:t>
      </w:r>
      <w:r w:rsidR="00764759">
        <w:rPr>
          <w:rFonts w:ascii="Times New Roman" w:hAnsi="Times New Roman" w:cs="Times New Roman"/>
          <w:sz w:val="24"/>
          <w:szCs w:val="24"/>
        </w:rPr>
        <w:t xml:space="preserve">, to be </w:t>
      </w:r>
      <w:r w:rsidR="00CE2639" w:rsidRPr="00AE141E">
        <w:rPr>
          <w:rFonts w:ascii="Times New Roman" w:hAnsi="Times New Roman" w:cs="Times New Roman"/>
          <w:sz w:val="24"/>
          <w:szCs w:val="24"/>
        </w:rPr>
        <w:t>dis</w:t>
      </w:r>
      <w:r w:rsidR="00727AC7" w:rsidRPr="00AE141E">
        <w:rPr>
          <w:rFonts w:ascii="Times New Roman" w:hAnsi="Times New Roman" w:cs="Times New Roman"/>
          <w:sz w:val="24"/>
          <w:szCs w:val="24"/>
        </w:rPr>
        <w:t xml:space="preserve">tributed across </w:t>
      </w:r>
      <w:r w:rsidR="00B830C1">
        <w:rPr>
          <w:rFonts w:ascii="Times New Roman" w:hAnsi="Times New Roman" w:cs="Times New Roman"/>
          <w:sz w:val="24"/>
          <w:szCs w:val="24"/>
        </w:rPr>
        <w:t>the Borough</w:t>
      </w:r>
      <w:r w:rsidR="001677AB" w:rsidRPr="00AE141E">
        <w:rPr>
          <w:rFonts w:ascii="Times New Roman" w:hAnsi="Times New Roman" w:cs="Times New Roman"/>
          <w:sz w:val="24"/>
          <w:szCs w:val="24"/>
        </w:rPr>
        <w:t>.</w:t>
      </w:r>
      <w:r w:rsidR="00727AC7" w:rsidRPr="00AE141E">
        <w:rPr>
          <w:rFonts w:ascii="Times New Roman" w:hAnsi="Times New Roman" w:cs="Times New Roman"/>
          <w:sz w:val="24"/>
          <w:szCs w:val="24"/>
        </w:rPr>
        <w:t xml:space="preserve"> </w:t>
      </w:r>
      <w:r w:rsidR="004B0A04">
        <w:rPr>
          <w:rFonts w:ascii="Times New Roman" w:hAnsi="Times New Roman" w:cs="Times New Roman"/>
          <w:sz w:val="24"/>
          <w:szCs w:val="24"/>
        </w:rPr>
        <w:t>As the IOLR reported, t</w:t>
      </w:r>
      <w:r w:rsidR="00C83331" w:rsidRPr="00AE141E">
        <w:rPr>
          <w:rFonts w:ascii="Times New Roman" w:hAnsi="Times New Roman" w:cs="Times New Roman"/>
          <w:sz w:val="24"/>
          <w:szCs w:val="24"/>
        </w:rPr>
        <w:t xml:space="preserve">he </w:t>
      </w:r>
      <w:r w:rsidR="001677AB" w:rsidRPr="00AE141E">
        <w:rPr>
          <w:rFonts w:ascii="Times New Roman" w:hAnsi="Times New Roman" w:cs="Times New Roman"/>
          <w:sz w:val="24"/>
          <w:szCs w:val="24"/>
        </w:rPr>
        <w:t xml:space="preserve">Amritsar Massacre </w:t>
      </w:r>
      <w:r w:rsidR="004B0A04">
        <w:rPr>
          <w:rFonts w:ascii="Times New Roman" w:hAnsi="Times New Roman" w:cs="Times New Roman"/>
          <w:sz w:val="24"/>
          <w:szCs w:val="24"/>
        </w:rPr>
        <w:t>had long been</w:t>
      </w:r>
      <w:r w:rsidR="00727AC7" w:rsidRPr="00AE141E">
        <w:rPr>
          <w:rFonts w:ascii="Times New Roman" w:hAnsi="Times New Roman" w:cs="Times New Roman"/>
          <w:sz w:val="24"/>
          <w:szCs w:val="24"/>
        </w:rPr>
        <w:t xml:space="preserve"> a</w:t>
      </w:r>
      <w:r w:rsidR="000D7963" w:rsidRPr="00AE141E">
        <w:rPr>
          <w:rFonts w:ascii="Times New Roman" w:hAnsi="Times New Roman" w:cs="Times New Roman"/>
          <w:sz w:val="24"/>
          <w:szCs w:val="24"/>
        </w:rPr>
        <w:t>mongst the most</w:t>
      </w:r>
      <w:r w:rsidR="00727AC7" w:rsidRPr="00AE141E">
        <w:rPr>
          <w:rFonts w:ascii="Times New Roman" w:hAnsi="Times New Roman" w:cs="Times New Roman"/>
          <w:sz w:val="24"/>
          <w:szCs w:val="24"/>
        </w:rPr>
        <w:t xml:space="preserve"> popular subject</w:t>
      </w:r>
      <w:r w:rsidR="000D7963" w:rsidRPr="00AE141E">
        <w:rPr>
          <w:rFonts w:ascii="Times New Roman" w:hAnsi="Times New Roman" w:cs="Times New Roman"/>
          <w:sz w:val="24"/>
          <w:szCs w:val="24"/>
        </w:rPr>
        <w:t>s</w:t>
      </w:r>
      <w:r w:rsidR="00727AC7" w:rsidRPr="00AE141E">
        <w:rPr>
          <w:rFonts w:ascii="Times New Roman" w:hAnsi="Times New Roman" w:cs="Times New Roman"/>
          <w:sz w:val="24"/>
          <w:szCs w:val="24"/>
        </w:rPr>
        <w:t xml:space="preserve"> </w:t>
      </w:r>
      <w:r w:rsidR="000D7963" w:rsidRPr="00AE141E">
        <w:rPr>
          <w:rFonts w:ascii="Times New Roman" w:hAnsi="Times New Roman" w:cs="Times New Roman"/>
          <w:sz w:val="24"/>
          <w:szCs w:val="24"/>
        </w:rPr>
        <w:t>of</w:t>
      </w:r>
      <w:r w:rsidR="005877E0" w:rsidRPr="00AE141E">
        <w:rPr>
          <w:rFonts w:ascii="Times New Roman" w:hAnsi="Times New Roman" w:cs="Times New Roman"/>
          <w:sz w:val="24"/>
          <w:szCs w:val="24"/>
        </w:rPr>
        <w:t xml:space="preserve"> inquir</w:t>
      </w:r>
      <w:r w:rsidR="000D7963" w:rsidRPr="00AE141E">
        <w:rPr>
          <w:rFonts w:ascii="Times New Roman" w:hAnsi="Times New Roman" w:cs="Times New Roman"/>
          <w:sz w:val="24"/>
          <w:szCs w:val="24"/>
        </w:rPr>
        <w:t>y</w:t>
      </w:r>
      <w:r w:rsidR="005877E0" w:rsidRPr="00AE141E">
        <w:rPr>
          <w:rFonts w:ascii="Times New Roman" w:hAnsi="Times New Roman" w:cs="Times New Roman"/>
          <w:sz w:val="24"/>
          <w:szCs w:val="24"/>
        </w:rPr>
        <w:t xml:space="preserve"> from teachers, students, and LEAs</w:t>
      </w:r>
      <w:r w:rsidR="001677AB" w:rsidRPr="00AE141E">
        <w:rPr>
          <w:rFonts w:ascii="Times New Roman" w:hAnsi="Times New Roman" w:cs="Times New Roman"/>
          <w:sz w:val="24"/>
          <w:szCs w:val="24"/>
        </w:rPr>
        <w:t xml:space="preserve">. </w:t>
      </w:r>
      <w:r w:rsidR="00AC2983" w:rsidRPr="00AE141E">
        <w:rPr>
          <w:rFonts w:ascii="Times New Roman" w:hAnsi="Times New Roman" w:cs="Times New Roman"/>
          <w:sz w:val="24"/>
          <w:szCs w:val="24"/>
        </w:rPr>
        <w:t>It</w:t>
      </w:r>
      <w:r w:rsidR="002F3F35" w:rsidRPr="00AE141E">
        <w:rPr>
          <w:rFonts w:ascii="Times New Roman" w:hAnsi="Times New Roman" w:cs="Times New Roman"/>
          <w:sz w:val="24"/>
          <w:szCs w:val="24"/>
        </w:rPr>
        <w:t xml:space="preserve"> attributed this</w:t>
      </w:r>
      <w:r w:rsidR="00AC2983" w:rsidRPr="00AE141E">
        <w:rPr>
          <w:rFonts w:ascii="Times New Roman" w:hAnsi="Times New Roman" w:cs="Times New Roman"/>
          <w:sz w:val="24"/>
          <w:szCs w:val="24"/>
        </w:rPr>
        <w:t xml:space="preserve"> </w:t>
      </w:r>
      <w:r w:rsidR="00383544" w:rsidRPr="00AE141E">
        <w:rPr>
          <w:rFonts w:ascii="Times New Roman" w:hAnsi="Times New Roman" w:cs="Times New Roman"/>
          <w:sz w:val="24"/>
          <w:szCs w:val="24"/>
        </w:rPr>
        <w:t>enthusiasm</w:t>
      </w:r>
      <w:r w:rsidR="002F3F35" w:rsidRPr="00AE141E">
        <w:rPr>
          <w:rFonts w:ascii="Times New Roman" w:hAnsi="Times New Roman" w:cs="Times New Roman"/>
          <w:sz w:val="24"/>
          <w:szCs w:val="24"/>
        </w:rPr>
        <w:t xml:space="preserve"> to the relevant </w:t>
      </w:r>
      <w:r w:rsidR="00764759">
        <w:rPr>
          <w:rFonts w:ascii="Times New Roman" w:hAnsi="Times New Roman" w:cs="Times New Roman"/>
          <w:sz w:val="24"/>
          <w:szCs w:val="24"/>
        </w:rPr>
        <w:t>source materials</w:t>
      </w:r>
      <w:r w:rsidR="002F3F35" w:rsidRPr="00AE141E">
        <w:rPr>
          <w:rFonts w:ascii="Times New Roman" w:hAnsi="Times New Roman" w:cs="Times New Roman"/>
          <w:sz w:val="24"/>
          <w:szCs w:val="24"/>
        </w:rPr>
        <w:t>, ‘</w:t>
      </w:r>
      <w:r w:rsidR="001677AB" w:rsidRPr="00AE141E">
        <w:rPr>
          <w:rFonts w:ascii="Times New Roman" w:hAnsi="Times New Roman" w:cs="Times New Roman"/>
          <w:sz w:val="24"/>
          <w:szCs w:val="24"/>
        </w:rPr>
        <w:t>based principally on the reports of two Committees of</w:t>
      </w:r>
      <w:r w:rsidR="00EB7C2A" w:rsidRPr="00AE141E">
        <w:rPr>
          <w:rFonts w:ascii="Times New Roman" w:hAnsi="Times New Roman" w:cs="Times New Roman"/>
          <w:sz w:val="24"/>
          <w:szCs w:val="24"/>
        </w:rPr>
        <w:t xml:space="preserve"> </w:t>
      </w:r>
      <w:r w:rsidR="001677AB" w:rsidRPr="00AE141E">
        <w:rPr>
          <w:rFonts w:ascii="Times New Roman" w:hAnsi="Times New Roman" w:cs="Times New Roman"/>
          <w:sz w:val="24"/>
          <w:szCs w:val="24"/>
        </w:rPr>
        <w:t xml:space="preserve">Enquiry </w:t>
      </w:r>
      <w:r w:rsidR="00764759">
        <w:rPr>
          <w:rFonts w:ascii="Times New Roman" w:hAnsi="Times New Roman" w:cs="Times New Roman"/>
          <w:sz w:val="24"/>
          <w:szCs w:val="24"/>
        </w:rPr>
        <w:t>–</w:t>
      </w:r>
      <w:r w:rsidR="001677AB" w:rsidRPr="00AE141E">
        <w:rPr>
          <w:rFonts w:ascii="Times New Roman" w:hAnsi="Times New Roman" w:cs="Times New Roman"/>
          <w:sz w:val="24"/>
          <w:szCs w:val="24"/>
        </w:rPr>
        <w:t xml:space="preserve"> one</w:t>
      </w:r>
      <w:r w:rsidR="00764759">
        <w:rPr>
          <w:rFonts w:ascii="Times New Roman" w:hAnsi="Times New Roman" w:cs="Times New Roman"/>
          <w:sz w:val="24"/>
          <w:szCs w:val="24"/>
        </w:rPr>
        <w:t xml:space="preserve"> </w:t>
      </w:r>
      <w:r w:rsidR="001677AB" w:rsidRPr="00AE141E">
        <w:rPr>
          <w:rFonts w:ascii="Times New Roman" w:hAnsi="Times New Roman" w:cs="Times New Roman"/>
          <w:sz w:val="24"/>
          <w:szCs w:val="24"/>
        </w:rPr>
        <w:t>British</w:t>
      </w:r>
      <w:r w:rsidR="00EB7C2A" w:rsidRPr="00AE141E">
        <w:rPr>
          <w:rFonts w:ascii="Times New Roman" w:hAnsi="Times New Roman" w:cs="Times New Roman"/>
          <w:sz w:val="24"/>
          <w:szCs w:val="24"/>
        </w:rPr>
        <w:t xml:space="preserve"> </w:t>
      </w:r>
      <w:r w:rsidR="001677AB" w:rsidRPr="00AE141E">
        <w:rPr>
          <w:rFonts w:ascii="Times New Roman" w:hAnsi="Times New Roman" w:cs="Times New Roman"/>
          <w:sz w:val="24"/>
          <w:szCs w:val="24"/>
        </w:rPr>
        <w:t>and one Indian</w:t>
      </w:r>
      <w:r w:rsidR="002F3F35" w:rsidRPr="00AE141E">
        <w:rPr>
          <w:rFonts w:ascii="Times New Roman" w:hAnsi="Times New Roman" w:cs="Times New Roman"/>
          <w:sz w:val="24"/>
          <w:szCs w:val="24"/>
        </w:rPr>
        <w:t xml:space="preserve">’, which </w:t>
      </w:r>
      <w:r w:rsidR="00764759">
        <w:rPr>
          <w:rFonts w:ascii="Times New Roman" w:hAnsi="Times New Roman" w:cs="Times New Roman"/>
          <w:sz w:val="24"/>
          <w:szCs w:val="24"/>
        </w:rPr>
        <w:t>were</w:t>
      </w:r>
      <w:r w:rsidR="002F3F35" w:rsidRPr="00AE141E">
        <w:rPr>
          <w:rFonts w:ascii="Times New Roman" w:hAnsi="Times New Roman" w:cs="Times New Roman"/>
          <w:sz w:val="24"/>
          <w:szCs w:val="24"/>
        </w:rPr>
        <w:t xml:space="preserve"> </w:t>
      </w:r>
      <w:r w:rsidR="00A4192E" w:rsidRPr="00AE141E">
        <w:rPr>
          <w:rFonts w:ascii="Times New Roman" w:hAnsi="Times New Roman" w:cs="Times New Roman"/>
          <w:sz w:val="24"/>
          <w:szCs w:val="24"/>
        </w:rPr>
        <w:t>concise</w:t>
      </w:r>
      <w:r w:rsidR="00513762">
        <w:rPr>
          <w:rFonts w:ascii="Times New Roman" w:hAnsi="Times New Roman" w:cs="Times New Roman"/>
          <w:sz w:val="24"/>
          <w:szCs w:val="24"/>
        </w:rPr>
        <w:t xml:space="preserve">, </w:t>
      </w:r>
      <w:r w:rsidR="00A4192E" w:rsidRPr="00AE141E">
        <w:rPr>
          <w:rFonts w:ascii="Times New Roman" w:hAnsi="Times New Roman" w:cs="Times New Roman"/>
          <w:sz w:val="24"/>
          <w:szCs w:val="24"/>
        </w:rPr>
        <w:t xml:space="preserve">teachable, and of interest for the questions </w:t>
      </w:r>
      <w:r w:rsidR="00EA2089">
        <w:rPr>
          <w:rFonts w:ascii="Times New Roman" w:hAnsi="Times New Roman" w:cs="Times New Roman"/>
          <w:sz w:val="24"/>
          <w:szCs w:val="24"/>
        </w:rPr>
        <w:t xml:space="preserve">they </w:t>
      </w:r>
      <w:r w:rsidR="00A4192E" w:rsidRPr="00AE141E">
        <w:rPr>
          <w:rFonts w:ascii="Times New Roman" w:hAnsi="Times New Roman" w:cs="Times New Roman"/>
          <w:sz w:val="24"/>
          <w:szCs w:val="24"/>
        </w:rPr>
        <w:t>raised a</w:t>
      </w:r>
      <w:r w:rsidR="004C4435" w:rsidRPr="00AE141E">
        <w:rPr>
          <w:rFonts w:ascii="Times New Roman" w:hAnsi="Times New Roman" w:cs="Times New Roman"/>
          <w:sz w:val="24"/>
          <w:szCs w:val="24"/>
        </w:rPr>
        <w:t>round historical methodology (</w:t>
      </w:r>
      <w:r w:rsidR="00EA2089">
        <w:rPr>
          <w:rFonts w:ascii="Times New Roman" w:hAnsi="Times New Roman" w:cs="Times New Roman"/>
          <w:sz w:val="24"/>
          <w:szCs w:val="24"/>
        </w:rPr>
        <w:t xml:space="preserve">e.g. </w:t>
      </w:r>
      <w:r w:rsidR="004C4435" w:rsidRPr="00AE141E">
        <w:rPr>
          <w:rFonts w:ascii="Times New Roman" w:hAnsi="Times New Roman" w:cs="Times New Roman"/>
          <w:sz w:val="24"/>
          <w:szCs w:val="24"/>
        </w:rPr>
        <w:t xml:space="preserve">the evaluation of </w:t>
      </w:r>
      <w:r w:rsidR="0095217A" w:rsidRPr="00AE141E">
        <w:rPr>
          <w:rFonts w:ascii="Times New Roman" w:hAnsi="Times New Roman" w:cs="Times New Roman"/>
          <w:sz w:val="24"/>
          <w:szCs w:val="24"/>
        </w:rPr>
        <w:t xml:space="preserve">conflicting </w:t>
      </w:r>
      <w:r w:rsidR="00EA2089">
        <w:rPr>
          <w:rFonts w:ascii="Times New Roman" w:hAnsi="Times New Roman" w:cs="Times New Roman"/>
          <w:sz w:val="24"/>
          <w:szCs w:val="24"/>
        </w:rPr>
        <w:t>accounts</w:t>
      </w:r>
      <w:r w:rsidR="0095217A" w:rsidRPr="00AE141E">
        <w:rPr>
          <w:rFonts w:ascii="Times New Roman" w:hAnsi="Times New Roman" w:cs="Times New Roman"/>
          <w:sz w:val="24"/>
          <w:szCs w:val="24"/>
        </w:rPr>
        <w:t xml:space="preserve">). </w:t>
      </w:r>
    </w:p>
    <w:p w14:paraId="73722B13" w14:textId="7208B278" w:rsidR="005D6866" w:rsidRPr="00AE141E" w:rsidRDefault="00E45A63" w:rsidP="00AE141E">
      <w:pPr>
        <w:spacing w:line="360" w:lineRule="auto"/>
        <w:rPr>
          <w:rFonts w:ascii="Times New Roman" w:hAnsi="Times New Roman" w:cs="Times New Roman"/>
          <w:sz w:val="24"/>
          <w:szCs w:val="24"/>
        </w:rPr>
      </w:pPr>
      <w:r>
        <w:rPr>
          <w:rFonts w:ascii="Times New Roman" w:hAnsi="Times New Roman" w:cs="Times New Roman"/>
          <w:sz w:val="24"/>
          <w:szCs w:val="24"/>
        </w:rPr>
        <w:t>T</w:t>
      </w:r>
      <w:r w:rsidR="00B848F8" w:rsidRPr="00AE141E">
        <w:rPr>
          <w:rFonts w:ascii="Times New Roman" w:hAnsi="Times New Roman" w:cs="Times New Roman"/>
          <w:sz w:val="24"/>
          <w:szCs w:val="24"/>
        </w:rPr>
        <w:t xml:space="preserve">he Amritsar Massacre </w:t>
      </w:r>
      <w:r w:rsidR="0081589A">
        <w:rPr>
          <w:rFonts w:ascii="Times New Roman" w:hAnsi="Times New Roman" w:cs="Times New Roman"/>
          <w:sz w:val="24"/>
          <w:szCs w:val="24"/>
        </w:rPr>
        <w:t>had one other essential characteristic which accounted for</w:t>
      </w:r>
      <w:r w:rsidR="00CD3E41">
        <w:rPr>
          <w:rFonts w:ascii="Times New Roman" w:hAnsi="Times New Roman" w:cs="Times New Roman"/>
          <w:sz w:val="24"/>
          <w:szCs w:val="24"/>
        </w:rPr>
        <w:t xml:space="preserve"> its popularity</w:t>
      </w:r>
      <w:r w:rsidR="0081589A">
        <w:rPr>
          <w:rFonts w:ascii="Times New Roman" w:hAnsi="Times New Roman" w:cs="Times New Roman"/>
          <w:sz w:val="24"/>
          <w:szCs w:val="24"/>
        </w:rPr>
        <w:t xml:space="preserve"> amongst teachers</w:t>
      </w:r>
      <w:r w:rsidR="003A4319" w:rsidRPr="00AE141E">
        <w:rPr>
          <w:rFonts w:ascii="Times New Roman" w:hAnsi="Times New Roman" w:cs="Times New Roman"/>
          <w:sz w:val="24"/>
          <w:szCs w:val="24"/>
        </w:rPr>
        <w:t xml:space="preserve"> – the ease with which it lent itself to ‘balance sheet’ modes of historical understanding. </w:t>
      </w:r>
      <w:r w:rsidR="002071C7" w:rsidRPr="00AE141E">
        <w:rPr>
          <w:rFonts w:ascii="Times New Roman" w:hAnsi="Times New Roman" w:cs="Times New Roman"/>
          <w:sz w:val="24"/>
          <w:szCs w:val="24"/>
        </w:rPr>
        <w:t xml:space="preserve">The glimpse which Reekes provided into his own classroom shows that, for the boys of </w:t>
      </w:r>
      <w:r w:rsidR="00600D35" w:rsidRPr="00AE141E">
        <w:rPr>
          <w:rFonts w:ascii="Times New Roman" w:hAnsi="Times New Roman" w:cs="Times New Roman"/>
          <w:sz w:val="24"/>
          <w:szCs w:val="24"/>
        </w:rPr>
        <w:t>Tonbridge School</w:t>
      </w:r>
      <w:r w:rsidR="00FE6CFD" w:rsidRPr="00AE141E">
        <w:rPr>
          <w:rFonts w:ascii="Times New Roman" w:hAnsi="Times New Roman" w:cs="Times New Roman"/>
          <w:sz w:val="24"/>
          <w:szCs w:val="24"/>
        </w:rPr>
        <w:t xml:space="preserve">, </w:t>
      </w:r>
      <w:r w:rsidR="00D6374E" w:rsidRPr="00AE141E">
        <w:rPr>
          <w:rFonts w:ascii="Times New Roman" w:hAnsi="Times New Roman" w:cs="Times New Roman"/>
          <w:sz w:val="24"/>
          <w:szCs w:val="24"/>
        </w:rPr>
        <w:t xml:space="preserve">teaching on </w:t>
      </w:r>
      <w:r w:rsidR="00FE6CFD" w:rsidRPr="00AE141E">
        <w:rPr>
          <w:rFonts w:ascii="Times New Roman" w:hAnsi="Times New Roman" w:cs="Times New Roman"/>
          <w:sz w:val="24"/>
          <w:szCs w:val="24"/>
        </w:rPr>
        <w:t xml:space="preserve">the Amritsar </w:t>
      </w:r>
      <w:r w:rsidR="00BE0BDA" w:rsidRPr="00AE141E">
        <w:rPr>
          <w:rFonts w:ascii="Times New Roman" w:hAnsi="Times New Roman" w:cs="Times New Roman"/>
          <w:sz w:val="24"/>
          <w:szCs w:val="24"/>
        </w:rPr>
        <w:t xml:space="preserve">Massacre was transformed into a </w:t>
      </w:r>
      <w:r w:rsidR="00EF0484" w:rsidRPr="00AE141E">
        <w:rPr>
          <w:rFonts w:ascii="Times New Roman" w:hAnsi="Times New Roman" w:cs="Times New Roman"/>
          <w:sz w:val="24"/>
          <w:szCs w:val="24"/>
        </w:rPr>
        <w:t>lesson</w:t>
      </w:r>
      <w:r w:rsidR="003B21C2" w:rsidRPr="00AE141E">
        <w:rPr>
          <w:rFonts w:ascii="Times New Roman" w:hAnsi="Times New Roman" w:cs="Times New Roman"/>
          <w:sz w:val="24"/>
          <w:szCs w:val="24"/>
        </w:rPr>
        <w:t xml:space="preserve"> </w:t>
      </w:r>
      <w:r w:rsidR="00EF0484" w:rsidRPr="00AE141E">
        <w:rPr>
          <w:rFonts w:ascii="Times New Roman" w:hAnsi="Times New Roman" w:cs="Times New Roman"/>
          <w:sz w:val="24"/>
          <w:szCs w:val="24"/>
        </w:rPr>
        <w:t>in</w:t>
      </w:r>
      <w:r w:rsidR="003B21C2" w:rsidRPr="00AE141E">
        <w:rPr>
          <w:rFonts w:ascii="Times New Roman" w:hAnsi="Times New Roman" w:cs="Times New Roman"/>
          <w:sz w:val="24"/>
          <w:szCs w:val="24"/>
        </w:rPr>
        <w:t xml:space="preserve"> ‘crowd control’, </w:t>
      </w:r>
      <w:r w:rsidR="00EF0484" w:rsidRPr="00AE141E">
        <w:rPr>
          <w:rFonts w:ascii="Times New Roman" w:hAnsi="Times New Roman" w:cs="Times New Roman"/>
          <w:sz w:val="24"/>
          <w:szCs w:val="24"/>
        </w:rPr>
        <w:t xml:space="preserve">guided by the </w:t>
      </w:r>
      <w:r w:rsidR="009B4415" w:rsidRPr="00AE141E">
        <w:rPr>
          <w:rFonts w:ascii="Times New Roman" w:hAnsi="Times New Roman" w:cs="Times New Roman"/>
          <w:sz w:val="24"/>
          <w:szCs w:val="24"/>
        </w:rPr>
        <w:t>‘</w:t>
      </w:r>
      <w:r w:rsidR="00EF0484" w:rsidRPr="00AE141E">
        <w:rPr>
          <w:rFonts w:ascii="Times New Roman" w:hAnsi="Times New Roman" w:cs="Times New Roman"/>
          <w:sz w:val="24"/>
          <w:szCs w:val="24"/>
        </w:rPr>
        <w:t>question of</w:t>
      </w:r>
      <w:r w:rsidR="003B21C2" w:rsidRPr="00AE141E">
        <w:rPr>
          <w:rFonts w:ascii="Times New Roman" w:hAnsi="Times New Roman" w:cs="Times New Roman"/>
          <w:sz w:val="24"/>
          <w:szCs w:val="24"/>
        </w:rPr>
        <w:t xml:space="preserve"> whether Brigadier-General Dyer should have fired on the dissident groups’.</w:t>
      </w:r>
      <w:r w:rsidR="00D924B9" w:rsidRPr="00AE141E">
        <w:rPr>
          <w:rStyle w:val="FootnoteReference"/>
          <w:rFonts w:ascii="Times New Roman" w:hAnsi="Times New Roman" w:cs="Times New Roman"/>
          <w:sz w:val="24"/>
          <w:szCs w:val="24"/>
        </w:rPr>
        <w:footnoteReference w:id="750"/>
      </w:r>
      <w:r w:rsidR="003B21C2" w:rsidRPr="00AE141E">
        <w:rPr>
          <w:rFonts w:ascii="Times New Roman" w:hAnsi="Times New Roman" w:cs="Times New Roman"/>
          <w:sz w:val="24"/>
          <w:szCs w:val="24"/>
        </w:rPr>
        <w:t xml:space="preserve"> </w:t>
      </w:r>
      <w:r w:rsidR="00D924B9" w:rsidRPr="00AE141E">
        <w:rPr>
          <w:rFonts w:ascii="Times New Roman" w:hAnsi="Times New Roman" w:cs="Times New Roman"/>
          <w:sz w:val="24"/>
          <w:szCs w:val="24"/>
        </w:rPr>
        <w:t xml:space="preserve">Pupils seem to have </w:t>
      </w:r>
      <w:r w:rsidR="005F5AB1" w:rsidRPr="00AE141E">
        <w:rPr>
          <w:rFonts w:ascii="Times New Roman" w:hAnsi="Times New Roman" w:cs="Times New Roman"/>
          <w:sz w:val="24"/>
          <w:szCs w:val="24"/>
        </w:rPr>
        <w:t xml:space="preserve"> </w:t>
      </w:r>
      <w:r w:rsidR="0010535B" w:rsidRPr="00AE141E">
        <w:rPr>
          <w:rFonts w:ascii="Times New Roman" w:hAnsi="Times New Roman" w:cs="Times New Roman"/>
          <w:sz w:val="24"/>
          <w:szCs w:val="24"/>
        </w:rPr>
        <w:t xml:space="preserve">been </w:t>
      </w:r>
      <w:r w:rsidR="005F5AB1" w:rsidRPr="00AE141E">
        <w:rPr>
          <w:rFonts w:ascii="Times New Roman" w:hAnsi="Times New Roman" w:cs="Times New Roman"/>
          <w:sz w:val="24"/>
          <w:szCs w:val="24"/>
        </w:rPr>
        <w:t>expected to debate the pros and cons of the massacre</w:t>
      </w:r>
      <w:r w:rsidR="0010535B" w:rsidRPr="00AE141E">
        <w:rPr>
          <w:rFonts w:ascii="Times New Roman" w:hAnsi="Times New Roman" w:cs="Times New Roman"/>
          <w:sz w:val="24"/>
          <w:szCs w:val="24"/>
        </w:rPr>
        <w:t xml:space="preserve"> – a practice i</w:t>
      </w:r>
      <w:r w:rsidR="00C04184" w:rsidRPr="00AE141E">
        <w:rPr>
          <w:rFonts w:ascii="Times New Roman" w:hAnsi="Times New Roman" w:cs="Times New Roman"/>
          <w:sz w:val="24"/>
          <w:szCs w:val="24"/>
        </w:rPr>
        <w:t xml:space="preserve">n keeping with a broader, liberal imperialist vision of history in which the </w:t>
      </w:r>
      <w:r w:rsidR="00A56EEF" w:rsidRPr="00AE141E">
        <w:rPr>
          <w:rFonts w:ascii="Times New Roman" w:hAnsi="Times New Roman" w:cs="Times New Roman"/>
          <w:sz w:val="24"/>
          <w:szCs w:val="24"/>
        </w:rPr>
        <w:t xml:space="preserve">‘positives’ and ‘negatives’ of empire were weighed against each other as a means of exculpation and redemption. </w:t>
      </w:r>
    </w:p>
    <w:p w14:paraId="6A49A598" w14:textId="3EC53FC2" w:rsidR="001F0651" w:rsidRDefault="00862B2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Reekes</w:t>
      </w:r>
      <w:r w:rsidR="00A921CF" w:rsidRPr="00AE141E">
        <w:rPr>
          <w:rFonts w:ascii="Times New Roman" w:hAnsi="Times New Roman" w:cs="Times New Roman"/>
          <w:sz w:val="24"/>
          <w:szCs w:val="24"/>
        </w:rPr>
        <w:t xml:space="preserve"> </w:t>
      </w:r>
      <w:r w:rsidR="005269F3" w:rsidRPr="00AE141E">
        <w:rPr>
          <w:rFonts w:ascii="Times New Roman" w:hAnsi="Times New Roman" w:cs="Times New Roman"/>
          <w:sz w:val="24"/>
          <w:szCs w:val="24"/>
        </w:rPr>
        <w:t>believed</w:t>
      </w:r>
      <w:r w:rsidR="00A921CF" w:rsidRPr="00AE141E">
        <w:rPr>
          <w:rFonts w:ascii="Times New Roman" w:hAnsi="Times New Roman" w:cs="Times New Roman"/>
          <w:sz w:val="24"/>
          <w:szCs w:val="24"/>
        </w:rPr>
        <w:t xml:space="preserve"> that </w:t>
      </w:r>
      <w:r w:rsidR="005269F3" w:rsidRPr="00AE141E">
        <w:rPr>
          <w:rFonts w:ascii="Times New Roman" w:hAnsi="Times New Roman" w:cs="Times New Roman"/>
          <w:sz w:val="24"/>
          <w:szCs w:val="24"/>
        </w:rPr>
        <w:t>the massacre</w:t>
      </w:r>
      <w:r w:rsidR="00A921CF" w:rsidRPr="00AE141E">
        <w:rPr>
          <w:rFonts w:ascii="Times New Roman" w:hAnsi="Times New Roman" w:cs="Times New Roman"/>
          <w:sz w:val="24"/>
          <w:szCs w:val="24"/>
        </w:rPr>
        <w:t xml:space="preserve"> represented the</w:t>
      </w:r>
      <w:r w:rsidR="008A7131" w:rsidRPr="00AE141E">
        <w:rPr>
          <w:rFonts w:ascii="Times New Roman" w:hAnsi="Times New Roman" w:cs="Times New Roman"/>
          <w:sz w:val="24"/>
          <w:szCs w:val="24"/>
        </w:rPr>
        <w:t xml:space="preserve"> ‘most </w:t>
      </w:r>
      <w:r w:rsidR="003A4319" w:rsidRPr="00AE141E">
        <w:rPr>
          <w:rFonts w:ascii="Times New Roman" w:hAnsi="Times New Roman" w:cs="Times New Roman"/>
          <w:sz w:val="24"/>
          <w:szCs w:val="24"/>
        </w:rPr>
        <w:t>frightful example of military ruthlessness towards unarmed civilians</w:t>
      </w:r>
      <w:r w:rsidR="008A7131" w:rsidRPr="00AE141E">
        <w:rPr>
          <w:rFonts w:ascii="Times New Roman" w:hAnsi="Times New Roman" w:cs="Times New Roman"/>
          <w:sz w:val="24"/>
          <w:szCs w:val="24"/>
        </w:rPr>
        <w:t>’</w:t>
      </w:r>
      <w:r w:rsidR="003A4319" w:rsidRPr="00AE141E">
        <w:rPr>
          <w:rFonts w:ascii="Times New Roman" w:hAnsi="Times New Roman" w:cs="Times New Roman"/>
          <w:sz w:val="24"/>
          <w:szCs w:val="24"/>
        </w:rPr>
        <w:t xml:space="preserve"> in </w:t>
      </w:r>
      <w:r w:rsidR="008A7131" w:rsidRPr="00AE141E">
        <w:rPr>
          <w:rFonts w:ascii="Times New Roman" w:hAnsi="Times New Roman" w:cs="Times New Roman"/>
          <w:sz w:val="24"/>
          <w:szCs w:val="24"/>
        </w:rPr>
        <w:t>the history of the British empire.</w:t>
      </w:r>
      <w:r w:rsidR="004E4341">
        <w:rPr>
          <w:rStyle w:val="FootnoteReference"/>
          <w:rFonts w:ascii="Times New Roman" w:hAnsi="Times New Roman" w:cs="Times New Roman"/>
          <w:sz w:val="24"/>
          <w:szCs w:val="24"/>
        </w:rPr>
        <w:footnoteReference w:id="751"/>
      </w:r>
      <w:r w:rsidR="008A7131" w:rsidRPr="00AE141E">
        <w:rPr>
          <w:rFonts w:ascii="Times New Roman" w:hAnsi="Times New Roman" w:cs="Times New Roman"/>
          <w:sz w:val="24"/>
          <w:szCs w:val="24"/>
        </w:rPr>
        <w:t xml:space="preserve"> </w:t>
      </w:r>
      <w:r w:rsidR="00EC6659" w:rsidRPr="00AE141E">
        <w:rPr>
          <w:rFonts w:ascii="Times New Roman" w:hAnsi="Times New Roman" w:cs="Times New Roman"/>
          <w:sz w:val="24"/>
          <w:szCs w:val="24"/>
        </w:rPr>
        <w:t xml:space="preserve">This hints at another </w:t>
      </w:r>
      <w:r w:rsidR="000D4F5F" w:rsidRPr="00AE141E">
        <w:rPr>
          <w:rFonts w:ascii="Times New Roman" w:hAnsi="Times New Roman" w:cs="Times New Roman"/>
          <w:sz w:val="24"/>
          <w:szCs w:val="24"/>
        </w:rPr>
        <w:t xml:space="preserve">possible reason for the popularity of teaching on </w:t>
      </w:r>
      <w:r w:rsidR="00005076" w:rsidRPr="00AE141E">
        <w:rPr>
          <w:rFonts w:ascii="Times New Roman" w:hAnsi="Times New Roman" w:cs="Times New Roman"/>
          <w:sz w:val="24"/>
          <w:szCs w:val="24"/>
        </w:rPr>
        <w:t>Jallianwala Bagh</w:t>
      </w:r>
      <w:r w:rsidR="004C1606" w:rsidRPr="00AE141E">
        <w:rPr>
          <w:rFonts w:ascii="Times New Roman" w:hAnsi="Times New Roman" w:cs="Times New Roman"/>
          <w:sz w:val="24"/>
          <w:szCs w:val="24"/>
        </w:rPr>
        <w:t xml:space="preserve">: it permitted </w:t>
      </w:r>
      <w:r w:rsidR="004C1606" w:rsidRPr="00AE141E">
        <w:rPr>
          <w:rFonts w:ascii="Times New Roman" w:hAnsi="Times New Roman" w:cs="Times New Roman"/>
          <w:sz w:val="24"/>
          <w:szCs w:val="24"/>
        </w:rPr>
        <w:lastRenderedPageBreak/>
        <w:t>colonial violence to be understood as exceptional, rather than as part of the fabric of empire.</w:t>
      </w:r>
      <w:r w:rsidR="00DB513C" w:rsidRPr="00AE141E">
        <w:rPr>
          <w:rFonts w:ascii="Times New Roman" w:hAnsi="Times New Roman" w:cs="Times New Roman"/>
          <w:sz w:val="24"/>
          <w:szCs w:val="24"/>
        </w:rPr>
        <w:t xml:space="preserve"> </w:t>
      </w:r>
      <w:r w:rsidR="004C67DE" w:rsidRPr="00AE141E">
        <w:rPr>
          <w:rFonts w:ascii="Times New Roman" w:hAnsi="Times New Roman" w:cs="Times New Roman"/>
          <w:sz w:val="24"/>
          <w:szCs w:val="24"/>
        </w:rPr>
        <w:t xml:space="preserve">In 1987, </w:t>
      </w:r>
      <w:r w:rsidR="00044671" w:rsidRPr="00AE141E">
        <w:rPr>
          <w:rFonts w:ascii="Times New Roman" w:hAnsi="Times New Roman" w:cs="Times New Roman"/>
          <w:sz w:val="24"/>
          <w:szCs w:val="24"/>
        </w:rPr>
        <w:t>Merrill co-authored a textbook</w:t>
      </w:r>
      <w:r w:rsidR="000063DB" w:rsidRPr="00AE141E">
        <w:rPr>
          <w:rFonts w:ascii="Times New Roman" w:hAnsi="Times New Roman" w:cs="Times New Roman"/>
          <w:sz w:val="24"/>
          <w:szCs w:val="24"/>
        </w:rPr>
        <w:t xml:space="preserve"> based on his work with the IOLR</w:t>
      </w:r>
      <w:r w:rsidR="00044671" w:rsidRPr="00AE141E">
        <w:rPr>
          <w:rFonts w:ascii="Times New Roman" w:hAnsi="Times New Roman" w:cs="Times New Roman"/>
          <w:sz w:val="24"/>
          <w:szCs w:val="24"/>
        </w:rPr>
        <w:t xml:space="preserve">, </w:t>
      </w:r>
      <w:r w:rsidR="004977C5" w:rsidRPr="00AE141E">
        <w:rPr>
          <w:rFonts w:ascii="Times New Roman" w:hAnsi="Times New Roman" w:cs="Times New Roman"/>
          <w:i/>
          <w:sz w:val="24"/>
          <w:szCs w:val="24"/>
        </w:rPr>
        <w:t>Amritsar 1919</w:t>
      </w:r>
      <w:r w:rsidR="000063DB" w:rsidRPr="00AE141E">
        <w:rPr>
          <w:rFonts w:ascii="Times New Roman" w:hAnsi="Times New Roman" w:cs="Times New Roman"/>
          <w:sz w:val="24"/>
          <w:szCs w:val="24"/>
        </w:rPr>
        <w:t>, which met with a scathing review from Tom Hastie.</w:t>
      </w:r>
      <w:r w:rsidR="0010535B" w:rsidRPr="00AE141E">
        <w:rPr>
          <w:rStyle w:val="FootnoteReference"/>
          <w:rFonts w:ascii="Times New Roman" w:hAnsi="Times New Roman" w:cs="Times New Roman"/>
          <w:sz w:val="24"/>
          <w:szCs w:val="24"/>
        </w:rPr>
        <w:footnoteReference w:id="752"/>
      </w:r>
      <w:r w:rsidR="000063DB" w:rsidRPr="00AE141E">
        <w:rPr>
          <w:rFonts w:ascii="Times New Roman" w:hAnsi="Times New Roman" w:cs="Times New Roman"/>
          <w:sz w:val="24"/>
          <w:szCs w:val="24"/>
        </w:rPr>
        <w:t xml:space="preserve"> </w:t>
      </w:r>
      <w:r w:rsidR="0097533D" w:rsidRPr="00AE141E">
        <w:rPr>
          <w:rFonts w:ascii="Times New Roman" w:hAnsi="Times New Roman" w:cs="Times New Roman"/>
          <w:sz w:val="24"/>
          <w:szCs w:val="24"/>
        </w:rPr>
        <w:t>Hastie to</w:t>
      </w:r>
      <w:r w:rsidR="00ED5162" w:rsidRPr="00AE141E">
        <w:rPr>
          <w:rFonts w:ascii="Times New Roman" w:hAnsi="Times New Roman" w:cs="Times New Roman"/>
          <w:sz w:val="24"/>
          <w:szCs w:val="24"/>
        </w:rPr>
        <w:t xml:space="preserve">ok umbrage with the text’s </w:t>
      </w:r>
      <w:r w:rsidR="00D21014" w:rsidRPr="00AE141E">
        <w:rPr>
          <w:rFonts w:ascii="Times New Roman" w:hAnsi="Times New Roman" w:cs="Times New Roman"/>
          <w:sz w:val="24"/>
          <w:szCs w:val="24"/>
        </w:rPr>
        <w:t>claim that a majority of English people</w:t>
      </w:r>
      <w:r w:rsidR="00DE65B6" w:rsidRPr="00AE141E">
        <w:rPr>
          <w:rFonts w:ascii="Times New Roman" w:hAnsi="Times New Roman" w:cs="Times New Roman"/>
          <w:sz w:val="24"/>
          <w:szCs w:val="24"/>
        </w:rPr>
        <w:t xml:space="preserve"> had</w:t>
      </w:r>
      <w:r w:rsidR="00D21014" w:rsidRPr="00AE141E">
        <w:rPr>
          <w:rFonts w:ascii="Times New Roman" w:hAnsi="Times New Roman" w:cs="Times New Roman"/>
          <w:sz w:val="24"/>
          <w:szCs w:val="24"/>
        </w:rPr>
        <w:t xml:space="preserve"> defended Dyer’s </w:t>
      </w:r>
      <w:r w:rsidR="00DE65B6" w:rsidRPr="00AE141E">
        <w:rPr>
          <w:rFonts w:ascii="Times New Roman" w:hAnsi="Times New Roman" w:cs="Times New Roman"/>
          <w:sz w:val="24"/>
          <w:szCs w:val="24"/>
        </w:rPr>
        <w:t>decision to fire on the crowd</w:t>
      </w:r>
      <w:r w:rsidR="00D21014" w:rsidRPr="00AE141E">
        <w:rPr>
          <w:rFonts w:ascii="Times New Roman" w:hAnsi="Times New Roman" w:cs="Times New Roman"/>
          <w:sz w:val="24"/>
          <w:szCs w:val="24"/>
        </w:rPr>
        <w:t xml:space="preserve">. </w:t>
      </w:r>
      <w:r w:rsidR="006C10A1" w:rsidRPr="00AE141E">
        <w:rPr>
          <w:rFonts w:ascii="Times New Roman" w:hAnsi="Times New Roman" w:cs="Times New Roman"/>
          <w:sz w:val="24"/>
          <w:szCs w:val="24"/>
        </w:rPr>
        <w:t xml:space="preserve">Merrill and his collaborators do seem to have underestimated the degree to </w:t>
      </w:r>
      <w:r w:rsidR="00EC78D7" w:rsidRPr="00AE141E">
        <w:rPr>
          <w:rFonts w:ascii="Times New Roman" w:hAnsi="Times New Roman" w:cs="Times New Roman"/>
          <w:sz w:val="24"/>
          <w:szCs w:val="24"/>
        </w:rPr>
        <w:t>which British public opinion was divided on the massacre</w:t>
      </w:r>
      <w:r w:rsidR="00BA35EA" w:rsidRPr="00AE141E">
        <w:rPr>
          <w:rFonts w:ascii="Times New Roman" w:hAnsi="Times New Roman" w:cs="Times New Roman"/>
          <w:sz w:val="24"/>
          <w:szCs w:val="24"/>
        </w:rPr>
        <w:t>.</w:t>
      </w:r>
      <w:r w:rsidR="00AD1B0E" w:rsidRPr="00AE141E">
        <w:rPr>
          <w:rStyle w:val="FootnoteReference"/>
          <w:rFonts w:ascii="Times New Roman" w:hAnsi="Times New Roman" w:cs="Times New Roman"/>
          <w:sz w:val="24"/>
          <w:szCs w:val="24"/>
        </w:rPr>
        <w:footnoteReference w:id="753"/>
      </w:r>
      <w:r w:rsidR="00BA35EA" w:rsidRPr="00AE141E">
        <w:rPr>
          <w:rFonts w:ascii="Times New Roman" w:hAnsi="Times New Roman" w:cs="Times New Roman"/>
          <w:sz w:val="24"/>
          <w:szCs w:val="24"/>
        </w:rPr>
        <w:t xml:space="preserve"> However, it would be difficult to agree with Hastie’s conclusion that Amritsar </w:t>
      </w:r>
      <w:r w:rsidR="00230C21">
        <w:rPr>
          <w:rFonts w:ascii="Times New Roman" w:hAnsi="Times New Roman" w:cs="Times New Roman"/>
          <w:sz w:val="24"/>
          <w:szCs w:val="24"/>
        </w:rPr>
        <w:t>was</w:t>
      </w:r>
      <w:r w:rsidR="00BA35EA" w:rsidRPr="00AE141E">
        <w:rPr>
          <w:rFonts w:ascii="Times New Roman" w:hAnsi="Times New Roman" w:cs="Times New Roman"/>
          <w:sz w:val="24"/>
          <w:szCs w:val="24"/>
        </w:rPr>
        <w:t xml:space="preserve"> the consequence of </w:t>
      </w:r>
      <w:r w:rsidR="00230C21">
        <w:rPr>
          <w:rFonts w:ascii="Times New Roman" w:hAnsi="Times New Roman" w:cs="Times New Roman"/>
          <w:sz w:val="24"/>
          <w:szCs w:val="24"/>
        </w:rPr>
        <w:t>‘</w:t>
      </w:r>
      <w:r w:rsidR="00BA35EA" w:rsidRPr="00AE141E">
        <w:rPr>
          <w:rFonts w:ascii="Times New Roman" w:hAnsi="Times New Roman" w:cs="Times New Roman"/>
          <w:sz w:val="24"/>
          <w:szCs w:val="24"/>
        </w:rPr>
        <w:t>one man</w:t>
      </w:r>
      <w:r w:rsidR="00230C21">
        <w:rPr>
          <w:rFonts w:ascii="Times New Roman" w:hAnsi="Times New Roman" w:cs="Times New Roman"/>
          <w:sz w:val="24"/>
          <w:szCs w:val="24"/>
        </w:rPr>
        <w:t>’</w:t>
      </w:r>
      <w:r w:rsidR="00BA35EA" w:rsidRPr="00AE141E">
        <w:rPr>
          <w:rFonts w:ascii="Times New Roman" w:hAnsi="Times New Roman" w:cs="Times New Roman"/>
          <w:sz w:val="24"/>
          <w:szCs w:val="24"/>
        </w:rPr>
        <w:t>s mental instability and incompetence (for which he was sacked)</w:t>
      </w:r>
      <w:r w:rsidR="00230C21">
        <w:rPr>
          <w:rFonts w:ascii="Times New Roman" w:hAnsi="Times New Roman" w:cs="Times New Roman"/>
          <w:sz w:val="24"/>
          <w:szCs w:val="24"/>
        </w:rPr>
        <w:t>’ and</w:t>
      </w:r>
      <w:r w:rsidR="00BA35EA" w:rsidRPr="00AE141E">
        <w:rPr>
          <w:rFonts w:ascii="Times New Roman" w:hAnsi="Times New Roman" w:cs="Times New Roman"/>
          <w:sz w:val="24"/>
          <w:szCs w:val="24"/>
        </w:rPr>
        <w:t xml:space="preserve"> </w:t>
      </w:r>
      <w:r w:rsidR="00230C21">
        <w:rPr>
          <w:rFonts w:ascii="Times New Roman" w:hAnsi="Times New Roman" w:cs="Times New Roman"/>
          <w:sz w:val="24"/>
          <w:szCs w:val="24"/>
        </w:rPr>
        <w:t>was</w:t>
      </w:r>
      <w:r w:rsidR="00BA35EA" w:rsidRPr="00AE141E">
        <w:rPr>
          <w:rFonts w:ascii="Times New Roman" w:hAnsi="Times New Roman" w:cs="Times New Roman"/>
          <w:sz w:val="24"/>
          <w:szCs w:val="24"/>
        </w:rPr>
        <w:t xml:space="preserve"> </w:t>
      </w:r>
      <w:r w:rsidR="00230C21">
        <w:rPr>
          <w:rFonts w:ascii="Times New Roman" w:hAnsi="Times New Roman" w:cs="Times New Roman"/>
          <w:sz w:val="24"/>
          <w:szCs w:val="24"/>
        </w:rPr>
        <w:t>‘</w:t>
      </w:r>
      <w:r w:rsidR="00BA35EA" w:rsidRPr="00AE141E">
        <w:rPr>
          <w:rFonts w:ascii="Times New Roman" w:hAnsi="Times New Roman" w:cs="Times New Roman"/>
          <w:sz w:val="24"/>
          <w:szCs w:val="24"/>
        </w:rPr>
        <w:t>certainly not typical of the British Raj’.</w:t>
      </w:r>
      <w:r w:rsidR="00D8062B">
        <w:rPr>
          <w:rStyle w:val="FootnoteReference"/>
          <w:rFonts w:ascii="Times New Roman" w:hAnsi="Times New Roman" w:cs="Times New Roman"/>
          <w:sz w:val="24"/>
          <w:szCs w:val="24"/>
        </w:rPr>
        <w:footnoteReference w:id="754"/>
      </w:r>
      <w:r w:rsidR="00BA35EA" w:rsidRPr="00AE141E">
        <w:rPr>
          <w:rFonts w:ascii="Times New Roman" w:hAnsi="Times New Roman" w:cs="Times New Roman"/>
          <w:sz w:val="24"/>
          <w:szCs w:val="24"/>
        </w:rPr>
        <w:t xml:space="preserve"> </w:t>
      </w:r>
    </w:p>
    <w:p w14:paraId="27C2C8F2" w14:textId="6C1C5B12" w:rsidR="006F38F9" w:rsidRPr="00AE141E" w:rsidRDefault="003402D6" w:rsidP="00AE141E">
      <w:pPr>
        <w:spacing w:line="360" w:lineRule="auto"/>
        <w:rPr>
          <w:rFonts w:ascii="Times New Roman" w:hAnsi="Times New Roman" w:cs="Times New Roman"/>
          <w:sz w:val="24"/>
          <w:szCs w:val="24"/>
        </w:rPr>
      </w:pPr>
      <w:r w:rsidRPr="00123073">
        <w:rPr>
          <w:rFonts w:ascii="Times New Roman" w:hAnsi="Times New Roman" w:cs="Times New Roman"/>
          <w:sz w:val="24"/>
          <w:szCs w:val="24"/>
        </w:rPr>
        <w:t xml:space="preserve">As Satia argues, </w:t>
      </w:r>
      <w:r w:rsidR="006434C2" w:rsidRPr="00123073">
        <w:rPr>
          <w:rFonts w:ascii="Times New Roman" w:hAnsi="Times New Roman" w:cs="Times New Roman"/>
          <w:sz w:val="24"/>
          <w:szCs w:val="24"/>
        </w:rPr>
        <w:t xml:space="preserve">the presentation of atrocities as the exceptional products of a few ‘bad apples’ amongst the governing elite </w:t>
      </w:r>
      <w:r w:rsidR="00511559" w:rsidRPr="00123073">
        <w:rPr>
          <w:rFonts w:ascii="Times New Roman" w:hAnsi="Times New Roman" w:cs="Times New Roman"/>
          <w:sz w:val="24"/>
          <w:szCs w:val="24"/>
        </w:rPr>
        <w:t>functioned as part of the liberal imperialist ‘balance sheet’</w:t>
      </w:r>
      <w:r w:rsidR="00E35553" w:rsidRPr="00123073">
        <w:rPr>
          <w:rFonts w:ascii="Times New Roman" w:hAnsi="Times New Roman" w:cs="Times New Roman"/>
          <w:sz w:val="24"/>
          <w:szCs w:val="24"/>
        </w:rPr>
        <w:t xml:space="preserve"> interpretation</w:t>
      </w:r>
      <w:r w:rsidR="00511559" w:rsidRPr="00123073">
        <w:rPr>
          <w:rFonts w:ascii="Times New Roman" w:hAnsi="Times New Roman" w:cs="Times New Roman"/>
          <w:sz w:val="24"/>
          <w:szCs w:val="24"/>
        </w:rPr>
        <w:t>.</w:t>
      </w:r>
      <w:r w:rsidR="00323F35" w:rsidRPr="00123073">
        <w:rPr>
          <w:rStyle w:val="FootnoteReference"/>
          <w:rFonts w:ascii="Times New Roman" w:hAnsi="Times New Roman" w:cs="Times New Roman"/>
          <w:sz w:val="24"/>
          <w:szCs w:val="24"/>
        </w:rPr>
        <w:footnoteReference w:id="755"/>
      </w:r>
      <w:r w:rsidR="00E35553" w:rsidRPr="00123073">
        <w:rPr>
          <w:rFonts w:ascii="Times New Roman" w:hAnsi="Times New Roman" w:cs="Times New Roman"/>
          <w:sz w:val="24"/>
          <w:szCs w:val="24"/>
        </w:rPr>
        <w:t xml:space="preserve"> </w:t>
      </w:r>
      <w:r w:rsidR="001939DF" w:rsidRPr="00123073">
        <w:rPr>
          <w:rFonts w:ascii="Times New Roman" w:hAnsi="Times New Roman" w:cs="Times New Roman"/>
          <w:sz w:val="24"/>
          <w:szCs w:val="24"/>
        </w:rPr>
        <w:t>The</w:t>
      </w:r>
      <w:r w:rsidR="00E35553" w:rsidRPr="00123073">
        <w:rPr>
          <w:rFonts w:ascii="Times New Roman" w:hAnsi="Times New Roman" w:cs="Times New Roman"/>
          <w:sz w:val="24"/>
          <w:szCs w:val="24"/>
        </w:rPr>
        <w:t xml:space="preserve"> public trials of Warren Hastings, the Governor-General of Bengal, and Edward John Eyre, Governor of Jamaica</w:t>
      </w:r>
      <w:r w:rsidR="001939DF" w:rsidRPr="00123073">
        <w:rPr>
          <w:rFonts w:ascii="Times New Roman" w:hAnsi="Times New Roman" w:cs="Times New Roman"/>
          <w:sz w:val="24"/>
          <w:szCs w:val="24"/>
        </w:rPr>
        <w:t xml:space="preserve">, </w:t>
      </w:r>
      <w:r w:rsidR="00CA0B29" w:rsidRPr="00123073">
        <w:rPr>
          <w:rFonts w:ascii="Times New Roman" w:hAnsi="Times New Roman" w:cs="Times New Roman"/>
          <w:sz w:val="24"/>
          <w:szCs w:val="24"/>
        </w:rPr>
        <w:t>excu</w:t>
      </w:r>
      <w:r w:rsidR="00402698" w:rsidRPr="00123073">
        <w:rPr>
          <w:rFonts w:ascii="Times New Roman" w:hAnsi="Times New Roman" w:cs="Times New Roman"/>
          <w:sz w:val="24"/>
          <w:szCs w:val="24"/>
        </w:rPr>
        <w:t xml:space="preserve">lpated the imperial system by shifting the blame onto its representatives. </w:t>
      </w:r>
      <w:r w:rsidR="008A0F9B" w:rsidRPr="00123073">
        <w:rPr>
          <w:rFonts w:ascii="Times New Roman" w:hAnsi="Times New Roman" w:cs="Times New Roman"/>
          <w:sz w:val="24"/>
          <w:szCs w:val="24"/>
        </w:rPr>
        <w:t xml:space="preserve">The condemnation of individuals in fact provided new justification for </w:t>
      </w:r>
      <w:r w:rsidR="00326B9F" w:rsidRPr="00123073">
        <w:rPr>
          <w:rFonts w:ascii="Times New Roman" w:hAnsi="Times New Roman" w:cs="Times New Roman"/>
          <w:sz w:val="24"/>
          <w:szCs w:val="24"/>
        </w:rPr>
        <w:t>imperial</w:t>
      </w:r>
      <w:r w:rsidR="008A0F9B" w:rsidRPr="00123073">
        <w:rPr>
          <w:rFonts w:ascii="Times New Roman" w:hAnsi="Times New Roman" w:cs="Times New Roman"/>
          <w:sz w:val="24"/>
          <w:szCs w:val="24"/>
        </w:rPr>
        <w:t xml:space="preserve"> rule</w:t>
      </w:r>
      <w:r w:rsidR="00C0273E" w:rsidRPr="00123073">
        <w:rPr>
          <w:rFonts w:ascii="Times New Roman" w:hAnsi="Times New Roman" w:cs="Times New Roman"/>
          <w:sz w:val="24"/>
          <w:szCs w:val="24"/>
        </w:rPr>
        <w:t>. C</w:t>
      </w:r>
      <w:r w:rsidR="00BD4A30" w:rsidRPr="00123073">
        <w:rPr>
          <w:rFonts w:ascii="Times New Roman" w:hAnsi="Times New Roman" w:cs="Times New Roman"/>
          <w:sz w:val="24"/>
          <w:szCs w:val="24"/>
        </w:rPr>
        <w:t xml:space="preserve">orruption would be redeemed by the </w:t>
      </w:r>
      <w:r w:rsidR="006C32C3" w:rsidRPr="00123073">
        <w:rPr>
          <w:rFonts w:ascii="Times New Roman" w:hAnsi="Times New Roman" w:cs="Times New Roman"/>
          <w:sz w:val="24"/>
          <w:szCs w:val="24"/>
        </w:rPr>
        <w:t>march of historical progress</w:t>
      </w:r>
      <w:r w:rsidR="008D7747" w:rsidRPr="00123073">
        <w:rPr>
          <w:rFonts w:ascii="Times New Roman" w:hAnsi="Times New Roman" w:cs="Times New Roman"/>
          <w:sz w:val="24"/>
          <w:szCs w:val="24"/>
        </w:rPr>
        <w:t xml:space="preserve"> – a </w:t>
      </w:r>
      <w:r w:rsidR="0069122D" w:rsidRPr="00123073">
        <w:rPr>
          <w:rFonts w:ascii="Times New Roman" w:hAnsi="Times New Roman" w:cs="Times New Roman"/>
          <w:sz w:val="24"/>
          <w:szCs w:val="24"/>
        </w:rPr>
        <w:t xml:space="preserve">process of </w:t>
      </w:r>
      <w:r w:rsidR="00646A3F" w:rsidRPr="00123073">
        <w:rPr>
          <w:rFonts w:ascii="Times New Roman" w:hAnsi="Times New Roman" w:cs="Times New Roman"/>
          <w:sz w:val="24"/>
          <w:szCs w:val="24"/>
        </w:rPr>
        <w:t xml:space="preserve">cathartic </w:t>
      </w:r>
      <w:r w:rsidR="0069122D" w:rsidRPr="00123073">
        <w:rPr>
          <w:rFonts w:ascii="Times New Roman" w:hAnsi="Times New Roman" w:cs="Times New Roman"/>
          <w:sz w:val="24"/>
          <w:szCs w:val="24"/>
        </w:rPr>
        <w:t xml:space="preserve">‘moral recuperation’ in which </w:t>
      </w:r>
      <w:r w:rsidR="008B1A4D" w:rsidRPr="00123073">
        <w:rPr>
          <w:rFonts w:ascii="Times New Roman" w:hAnsi="Times New Roman" w:cs="Times New Roman"/>
          <w:sz w:val="24"/>
          <w:szCs w:val="24"/>
        </w:rPr>
        <w:t>British stewardship</w:t>
      </w:r>
      <w:r w:rsidR="0069122D" w:rsidRPr="00123073">
        <w:rPr>
          <w:rFonts w:ascii="Times New Roman" w:hAnsi="Times New Roman" w:cs="Times New Roman"/>
          <w:sz w:val="24"/>
          <w:szCs w:val="24"/>
        </w:rPr>
        <w:t xml:space="preserve"> was to play an intrinsic</w:t>
      </w:r>
      <w:r w:rsidR="00D64894" w:rsidRPr="00123073">
        <w:rPr>
          <w:rFonts w:ascii="Times New Roman" w:hAnsi="Times New Roman" w:cs="Times New Roman"/>
          <w:sz w:val="24"/>
          <w:szCs w:val="24"/>
        </w:rPr>
        <w:t>, corrective</w:t>
      </w:r>
      <w:r w:rsidR="0069122D" w:rsidRPr="00123073">
        <w:rPr>
          <w:rFonts w:ascii="Times New Roman" w:hAnsi="Times New Roman" w:cs="Times New Roman"/>
          <w:sz w:val="24"/>
          <w:szCs w:val="24"/>
        </w:rPr>
        <w:t xml:space="preserve"> role</w:t>
      </w:r>
      <w:r w:rsidR="00A63D73" w:rsidRPr="00123073">
        <w:rPr>
          <w:rFonts w:ascii="Times New Roman" w:hAnsi="Times New Roman" w:cs="Times New Roman"/>
          <w:sz w:val="24"/>
          <w:szCs w:val="24"/>
        </w:rPr>
        <w:t>.</w:t>
      </w:r>
      <w:r w:rsidR="00350DEC" w:rsidRPr="00123073">
        <w:rPr>
          <w:rFonts w:ascii="Times New Roman" w:hAnsi="Times New Roman" w:cs="Times New Roman"/>
          <w:sz w:val="24"/>
          <w:szCs w:val="24"/>
        </w:rPr>
        <w:t xml:space="preserve"> Thus, </w:t>
      </w:r>
      <w:r w:rsidR="00C0273E" w:rsidRPr="00123073">
        <w:rPr>
          <w:rFonts w:ascii="Times New Roman" w:hAnsi="Times New Roman" w:cs="Times New Roman"/>
          <w:sz w:val="24"/>
          <w:szCs w:val="24"/>
        </w:rPr>
        <w:t xml:space="preserve">Winston </w:t>
      </w:r>
      <w:r w:rsidR="005216B1" w:rsidRPr="00123073">
        <w:rPr>
          <w:rFonts w:ascii="Times New Roman" w:hAnsi="Times New Roman" w:cs="Times New Roman"/>
          <w:sz w:val="24"/>
          <w:szCs w:val="24"/>
        </w:rPr>
        <w:t>Churchill</w:t>
      </w:r>
      <w:r w:rsidR="00C0273E" w:rsidRPr="00123073">
        <w:rPr>
          <w:rFonts w:ascii="Times New Roman" w:hAnsi="Times New Roman" w:cs="Times New Roman"/>
          <w:sz w:val="24"/>
          <w:szCs w:val="24"/>
        </w:rPr>
        <w:t xml:space="preserve"> c</w:t>
      </w:r>
      <w:r w:rsidR="00C74DF2" w:rsidRPr="00123073">
        <w:rPr>
          <w:rFonts w:ascii="Times New Roman" w:hAnsi="Times New Roman" w:cs="Times New Roman"/>
          <w:sz w:val="24"/>
          <w:szCs w:val="24"/>
        </w:rPr>
        <w:t xml:space="preserve">ould </w:t>
      </w:r>
      <w:r w:rsidR="00A402F2" w:rsidRPr="00123073">
        <w:rPr>
          <w:rFonts w:ascii="Times New Roman" w:hAnsi="Times New Roman" w:cs="Times New Roman"/>
          <w:sz w:val="24"/>
          <w:szCs w:val="24"/>
        </w:rPr>
        <w:t>claim that the massacre at</w:t>
      </w:r>
      <w:r w:rsidR="005216B1" w:rsidRPr="00123073">
        <w:rPr>
          <w:rFonts w:ascii="Times New Roman" w:hAnsi="Times New Roman" w:cs="Times New Roman"/>
          <w:sz w:val="24"/>
          <w:szCs w:val="24"/>
        </w:rPr>
        <w:t xml:space="preserve"> Jallianwala Bagh</w:t>
      </w:r>
      <w:r w:rsidR="007F6A44" w:rsidRPr="00123073">
        <w:rPr>
          <w:rFonts w:ascii="Times New Roman" w:hAnsi="Times New Roman" w:cs="Times New Roman"/>
          <w:sz w:val="24"/>
          <w:szCs w:val="24"/>
        </w:rPr>
        <w:t xml:space="preserve"> </w:t>
      </w:r>
      <w:r w:rsidR="00987BB3" w:rsidRPr="00123073">
        <w:rPr>
          <w:rFonts w:ascii="Times New Roman" w:hAnsi="Times New Roman" w:cs="Times New Roman"/>
          <w:sz w:val="24"/>
          <w:szCs w:val="24"/>
        </w:rPr>
        <w:t>was</w:t>
      </w:r>
      <w:r w:rsidR="007F6A44" w:rsidRPr="00123073">
        <w:rPr>
          <w:rFonts w:ascii="Times New Roman" w:hAnsi="Times New Roman" w:cs="Times New Roman"/>
          <w:sz w:val="24"/>
          <w:szCs w:val="24"/>
        </w:rPr>
        <w:t xml:space="preserve"> ‘</w:t>
      </w:r>
      <w:r w:rsidR="00563CB1" w:rsidRPr="00123073">
        <w:rPr>
          <w:rFonts w:ascii="Times New Roman" w:hAnsi="Times New Roman" w:cs="Times New Roman"/>
          <w:sz w:val="24"/>
          <w:szCs w:val="24"/>
        </w:rPr>
        <w:t>without pre</w:t>
      </w:r>
      <w:r w:rsidR="00563CB1" w:rsidRPr="00123073">
        <w:rPr>
          <w:rFonts w:ascii="Times New Roman" w:hAnsi="Times New Roman" w:cs="Times New Roman"/>
          <w:sz w:val="24"/>
          <w:szCs w:val="24"/>
        </w:rPr>
        <w:softHyphen/>
        <w:t>ce</w:t>
      </w:r>
      <w:r w:rsidR="00563CB1" w:rsidRPr="00123073">
        <w:rPr>
          <w:rFonts w:ascii="Times New Roman" w:hAnsi="Times New Roman" w:cs="Times New Roman"/>
          <w:sz w:val="24"/>
          <w:szCs w:val="24"/>
        </w:rPr>
        <w:softHyphen/>
        <w:t>dent or parallel</w:t>
      </w:r>
      <w:r w:rsidR="007F6A44" w:rsidRPr="00123073">
        <w:rPr>
          <w:rFonts w:ascii="Times New Roman" w:hAnsi="Times New Roman" w:cs="Times New Roman"/>
          <w:sz w:val="24"/>
          <w:szCs w:val="24"/>
        </w:rPr>
        <w:t>’</w:t>
      </w:r>
      <w:r w:rsidR="00563CB1" w:rsidRPr="00123073">
        <w:rPr>
          <w:rFonts w:ascii="Times New Roman" w:hAnsi="Times New Roman" w:cs="Times New Roman"/>
          <w:sz w:val="24"/>
          <w:szCs w:val="24"/>
        </w:rPr>
        <w:t xml:space="preserve"> in the history of the </w:t>
      </w:r>
      <w:r w:rsidR="00ED6283" w:rsidRPr="00123073">
        <w:rPr>
          <w:rFonts w:ascii="Times New Roman" w:hAnsi="Times New Roman" w:cs="Times New Roman"/>
          <w:sz w:val="24"/>
          <w:szCs w:val="24"/>
        </w:rPr>
        <w:t>empire and</w:t>
      </w:r>
      <w:r w:rsidR="00A402F2" w:rsidRPr="00123073">
        <w:rPr>
          <w:rFonts w:ascii="Times New Roman" w:hAnsi="Times New Roman" w:cs="Times New Roman"/>
          <w:sz w:val="24"/>
          <w:szCs w:val="24"/>
        </w:rPr>
        <w:t xml:space="preserve"> </w:t>
      </w:r>
      <w:r w:rsidR="00ED6283" w:rsidRPr="00123073">
        <w:rPr>
          <w:rFonts w:ascii="Times New Roman" w:hAnsi="Times New Roman" w:cs="Times New Roman"/>
          <w:sz w:val="24"/>
          <w:szCs w:val="24"/>
        </w:rPr>
        <w:t>retain an unshaken imperial pride</w:t>
      </w:r>
      <w:r w:rsidR="00563CB1" w:rsidRPr="00123073">
        <w:rPr>
          <w:rFonts w:ascii="Times New Roman" w:hAnsi="Times New Roman" w:cs="Times New Roman"/>
          <w:sz w:val="24"/>
          <w:szCs w:val="24"/>
        </w:rPr>
        <w:t>.</w:t>
      </w:r>
      <w:r w:rsidR="009F64EA">
        <w:rPr>
          <w:rStyle w:val="FootnoteReference"/>
          <w:rFonts w:ascii="Times New Roman" w:hAnsi="Times New Roman" w:cs="Times New Roman"/>
          <w:sz w:val="24"/>
          <w:szCs w:val="24"/>
        </w:rPr>
        <w:footnoteReference w:id="756"/>
      </w:r>
    </w:p>
    <w:p w14:paraId="735BD7D5" w14:textId="6C879ED7" w:rsidR="0079561C" w:rsidRPr="00AE141E" w:rsidRDefault="0079561C"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 xml:space="preserve">Legislative </w:t>
      </w:r>
      <w:r w:rsidR="00B632A4" w:rsidRPr="00AE141E">
        <w:rPr>
          <w:rFonts w:ascii="Times New Roman" w:hAnsi="Times New Roman" w:cs="Times New Roman"/>
          <w:b/>
          <w:bCs/>
          <w:sz w:val="24"/>
          <w:szCs w:val="24"/>
        </w:rPr>
        <w:t>C</w:t>
      </w:r>
      <w:r w:rsidRPr="00AE141E">
        <w:rPr>
          <w:rFonts w:ascii="Times New Roman" w:hAnsi="Times New Roman" w:cs="Times New Roman"/>
          <w:b/>
          <w:bCs/>
          <w:sz w:val="24"/>
          <w:szCs w:val="24"/>
        </w:rPr>
        <w:t>hange</w:t>
      </w:r>
      <w:r w:rsidR="006A79EB">
        <w:rPr>
          <w:rFonts w:ascii="Times New Roman" w:hAnsi="Times New Roman" w:cs="Times New Roman"/>
          <w:b/>
          <w:bCs/>
          <w:sz w:val="24"/>
          <w:szCs w:val="24"/>
        </w:rPr>
        <w:t>: The Formulation of the National Curriculum</w:t>
      </w:r>
    </w:p>
    <w:p w14:paraId="0A6EF1DE" w14:textId="73222D97" w:rsidR="00913DD3" w:rsidRDefault="0079561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1986 introduction of the GCSE</w:t>
      </w:r>
      <w:r w:rsidR="00B861C4">
        <w:rPr>
          <w:rFonts w:ascii="Times New Roman" w:hAnsi="Times New Roman" w:cs="Times New Roman"/>
          <w:sz w:val="24"/>
          <w:szCs w:val="24"/>
        </w:rPr>
        <w:t xml:space="preserve"> demonstrated</w:t>
      </w:r>
      <w:r w:rsidRPr="00AE141E">
        <w:rPr>
          <w:rFonts w:ascii="Times New Roman" w:hAnsi="Times New Roman" w:cs="Times New Roman"/>
          <w:sz w:val="24"/>
          <w:szCs w:val="24"/>
        </w:rPr>
        <w:t xml:space="preserve"> a centralising impulse within Conservative educational policy. GCSEs replaced the bipartite examination system of CSEs and O Levels with a common approach encompass</w:t>
      </w:r>
      <w:r w:rsidR="00C47C8F">
        <w:rPr>
          <w:rFonts w:ascii="Times New Roman" w:hAnsi="Times New Roman" w:cs="Times New Roman"/>
          <w:sz w:val="24"/>
          <w:szCs w:val="24"/>
        </w:rPr>
        <w:t>ing</w:t>
      </w:r>
      <w:r w:rsidRPr="00AE141E">
        <w:rPr>
          <w:rFonts w:ascii="Times New Roman" w:hAnsi="Times New Roman" w:cs="Times New Roman"/>
          <w:sz w:val="24"/>
          <w:szCs w:val="24"/>
        </w:rPr>
        <w:t xml:space="preserve"> students with a wide range of perceived abilit</w:t>
      </w:r>
      <w:r w:rsidR="00C47C8F">
        <w:rPr>
          <w:rFonts w:ascii="Times New Roman" w:hAnsi="Times New Roman" w:cs="Times New Roman"/>
          <w:sz w:val="24"/>
          <w:szCs w:val="24"/>
        </w:rPr>
        <w:t>ies</w:t>
      </w:r>
      <w:r w:rsidRPr="00AE141E">
        <w:rPr>
          <w:rFonts w:ascii="Times New Roman" w:hAnsi="Times New Roman" w:cs="Times New Roman"/>
          <w:sz w:val="24"/>
          <w:szCs w:val="24"/>
        </w:rPr>
        <w:t xml:space="preserve">. The National Criteria for History, published in 1985, laid out </w:t>
      </w:r>
      <w:r w:rsidR="002D1894">
        <w:rPr>
          <w:rFonts w:ascii="Times New Roman" w:hAnsi="Times New Roman" w:cs="Times New Roman"/>
          <w:sz w:val="24"/>
          <w:szCs w:val="24"/>
        </w:rPr>
        <w:t>standardised</w:t>
      </w:r>
      <w:r w:rsidRPr="00AE141E">
        <w:rPr>
          <w:rFonts w:ascii="Times New Roman" w:hAnsi="Times New Roman" w:cs="Times New Roman"/>
          <w:sz w:val="24"/>
          <w:szCs w:val="24"/>
        </w:rPr>
        <w:t xml:space="preserve"> assessment objectives</w:t>
      </w:r>
      <w:r w:rsidR="002D1894">
        <w:rPr>
          <w:rFonts w:ascii="Times New Roman" w:hAnsi="Times New Roman" w:cs="Times New Roman"/>
          <w:sz w:val="24"/>
          <w:szCs w:val="24"/>
        </w:rPr>
        <w:t xml:space="preserve"> for the new exams.</w:t>
      </w:r>
      <w:r w:rsidRPr="00AE141E">
        <w:rPr>
          <w:rFonts w:ascii="Times New Roman" w:hAnsi="Times New Roman" w:cs="Times New Roman"/>
          <w:sz w:val="24"/>
          <w:szCs w:val="24"/>
        </w:rPr>
        <w:t xml:space="preserve"> </w:t>
      </w:r>
      <w:r w:rsidR="002D1894">
        <w:rPr>
          <w:rFonts w:ascii="Times New Roman" w:hAnsi="Times New Roman" w:cs="Times New Roman"/>
          <w:sz w:val="24"/>
          <w:szCs w:val="24"/>
        </w:rPr>
        <w:t>F</w:t>
      </w:r>
      <w:r w:rsidRPr="00AE141E">
        <w:rPr>
          <w:rFonts w:ascii="Times New Roman" w:hAnsi="Times New Roman" w:cs="Times New Roman"/>
          <w:sz w:val="24"/>
          <w:szCs w:val="24"/>
        </w:rPr>
        <w:t xml:space="preserve">or the first time, candidates across the nation would be judged against </w:t>
      </w:r>
      <w:r w:rsidR="00494FD3">
        <w:rPr>
          <w:rFonts w:ascii="Times New Roman" w:hAnsi="Times New Roman" w:cs="Times New Roman"/>
          <w:sz w:val="24"/>
          <w:szCs w:val="24"/>
        </w:rPr>
        <w:t>a</w:t>
      </w:r>
      <w:r w:rsidRPr="00AE141E">
        <w:rPr>
          <w:rFonts w:ascii="Times New Roman" w:hAnsi="Times New Roman" w:cs="Times New Roman"/>
          <w:sz w:val="24"/>
          <w:szCs w:val="24"/>
        </w:rPr>
        <w:t xml:space="preserve"> common framework. </w:t>
      </w:r>
      <w:r w:rsidR="00C45EA0">
        <w:rPr>
          <w:rFonts w:ascii="Times New Roman" w:hAnsi="Times New Roman" w:cs="Times New Roman"/>
          <w:sz w:val="24"/>
          <w:szCs w:val="24"/>
        </w:rPr>
        <w:t>However, t</w:t>
      </w:r>
      <w:r w:rsidR="00751941" w:rsidRPr="00AE141E">
        <w:rPr>
          <w:rFonts w:ascii="Times New Roman" w:hAnsi="Times New Roman" w:cs="Times New Roman"/>
          <w:sz w:val="24"/>
          <w:szCs w:val="24"/>
        </w:rPr>
        <w:t>he Criteria</w:t>
      </w:r>
      <w:r w:rsidR="00751941">
        <w:rPr>
          <w:rFonts w:ascii="Times New Roman" w:hAnsi="Times New Roman" w:cs="Times New Roman"/>
          <w:sz w:val="24"/>
          <w:szCs w:val="24"/>
        </w:rPr>
        <w:t xml:space="preserve"> were</w:t>
      </w:r>
      <w:r w:rsidR="00751941" w:rsidRPr="00AE141E">
        <w:rPr>
          <w:rFonts w:ascii="Times New Roman" w:hAnsi="Times New Roman" w:cs="Times New Roman"/>
          <w:sz w:val="24"/>
          <w:szCs w:val="24"/>
        </w:rPr>
        <w:t xml:space="preserve"> </w:t>
      </w:r>
      <w:r w:rsidR="00C45EA0">
        <w:rPr>
          <w:rFonts w:ascii="Times New Roman" w:hAnsi="Times New Roman" w:cs="Times New Roman"/>
          <w:sz w:val="24"/>
          <w:szCs w:val="24"/>
        </w:rPr>
        <w:t>reluctant to prescribe a</w:t>
      </w:r>
      <w:r w:rsidR="0080347F">
        <w:rPr>
          <w:rFonts w:ascii="Times New Roman" w:hAnsi="Times New Roman" w:cs="Times New Roman"/>
          <w:sz w:val="24"/>
          <w:szCs w:val="24"/>
        </w:rPr>
        <w:t xml:space="preserve"> universally </w:t>
      </w:r>
      <w:r w:rsidR="0080347F">
        <w:rPr>
          <w:rFonts w:ascii="Times New Roman" w:hAnsi="Times New Roman" w:cs="Times New Roman"/>
          <w:sz w:val="24"/>
          <w:szCs w:val="24"/>
        </w:rPr>
        <w:lastRenderedPageBreak/>
        <w:t>applicable,</w:t>
      </w:r>
      <w:r w:rsidR="00C45EA0">
        <w:rPr>
          <w:rFonts w:ascii="Times New Roman" w:hAnsi="Times New Roman" w:cs="Times New Roman"/>
          <w:sz w:val="24"/>
          <w:szCs w:val="24"/>
        </w:rPr>
        <w:t xml:space="preserve"> minimum core </w:t>
      </w:r>
      <w:r w:rsidR="0080347F">
        <w:rPr>
          <w:rFonts w:ascii="Times New Roman" w:hAnsi="Times New Roman" w:cs="Times New Roman"/>
          <w:sz w:val="24"/>
          <w:szCs w:val="24"/>
        </w:rPr>
        <w:t>of content</w:t>
      </w:r>
      <w:r w:rsidR="00751941" w:rsidRPr="00AE141E">
        <w:rPr>
          <w:rFonts w:ascii="Times New Roman" w:hAnsi="Times New Roman" w:cs="Times New Roman"/>
          <w:sz w:val="24"/>
          <w:szCs w:val="24"/>
        </w:rPr>
        <w:t xml:space="preserve">. </w:t>
      </w:r>
      <w:r w:rsidR="008B4DA2">
        <w:rPr>
          <w:rFonts w:ascii="Times New Roman" w:hAnsi="Times New Roman" w:cs="Times New Roman"/>
          <w:sz w:val="24"/>
          <w:szCs w:val="24"/>
        </w:rPr>
        <w:t>For example, e</w:t>
      </w:r>
      <w:r w:rsidR="00751941" w:rsidRPr="00AE141E">
        <w:rPr>
          <w:rFonts w:ascii="Times New Roman" w:hAnsi="Times New Roman" w:cs="Times New Roman"/>
          <w:sz w:val="24"/>
          <w:szCs w:val="24"/>
        </w:rPr>
        <w:t>ach exam board was obliged to offer at least one syllabus in British History,</w:t>
      </w:r>
      <w:r w:rsidR="00751941">
        <w:rPr>
          <w:rFonts w:ascii="Times New Roman" w:hAnsi="Times New Roman" w:cs="Times New Roman"/>
          <w:sz w:val="24"/>
          <w:szCs w:val="24"/>
        </w:rPr>
        <w:t xml:space="preserve"> but</w:t>
      </w:r>
      <w:r w:rsidR="00751941" w:rsidRPr="00AE141E">
        <w:rPr>
          <w:rFonts w:ascii="Times New Roman" w:hAnsi="Times New Roman" w:cs="Times New Roman"/>
          <w:sz w:val="24"/>
          <w:szCs w:val="24"/>
        </w:rPr>
        <w:t xml:space="preserve"> no school was required to </w:t>
      </w:r>
      <w:r w:rsidR="00751941" w:rsidRPr="007A1AE1">
        <w:rPr>
          <w:rFonts w:ascii="Times New Roman" w:hAnsi="Times New Roman" w:cs="Times New Roman"/>
          <w:i/>
          <w:iCs/>
          <w:sz w:val="24"/>
          <w:szCs w:val="24"/>
        </w:rPr>
        <w:t>choose</w:t>
      </w:r>
      <w:r w:rsidR="00751941" w:rsidRPr="00AE141E">
        <w:rPr>
          <w:rFonts w:ascii="Times New Roman" w:hAnsi="Times New Roman" w:cs="Times New Roman"/>
          <w:sz w:val="24"/>
          <w:szCs w:val="24"/>
        </w:rPr>
        <w:t xml:space="preserve"> this option. In practice, three syllabuses seem to have predominated: the Schools History Project</w:t>
      </w:r>
      <w:r w:rsidR="00751941">
        <w:rPr>
          <w:rFonts w:ascii="Times New Roman" w:hAnsi="Times New Roman" w:cs="Times New Roman"/>
          <w:sz w:val="24"/>
          <w:szCs w:val="24"/>
        </w:rPr>
        <w:t xml:space="preserve"> </w:t>
      </w:r>
      <w:r w:rsidR="00751941" w:rsidRPr="00AE141E">
        <w:rPr>
          <w:rFonts w:ascii="Times New Roman" w:hAnsi="Times New Roman" w:cs="Times New Roman"/>
          <w:sz w:val="24"/>
          <w:szCs w:val="24"/>
        </w:rPr>
        <w:t>(as the SCHP had been renamed after the abolition of the Schools Council in 1984), British economic and social history (from c.1750), and modern world history.</w:t>
      </w:r>
      <w:r w:rsidR="00751941" w:rsidRPr="00AE141E">
        <w:rPr>
          <w:rStyle w:val="FootnoteReference"/>
          <w:rFonts w:ascii="Times New Roman" w:hAnsi="Times New Roman" w:cs="Times New Roman"/>
          <w:sz w:val="24"/>
          <w:szCs w:val="24"/>
        </w:rPr>
        <w:footnoteReference w:id="757"/>
      </w:r>
      <w:r w:rsidR="00751941" w:rsidRPr="00AE141E">
        <w:rPr>
          <w:rFonts w:ascii="Times New Roman" w:hAnsi="Times New Roman" w:cs="Times New Roman"/>
          <w:sz w:val="24"/>
          <w:szCs w:val="24"/>
        </w:rPr>
        <w:t xml:space="preserve"> </w:t>
      </w:r>
    </w:p>
    <w:p w14:paraId="48624A2B" w14:textId="5F7B9F78" w:rsidR="00E565B7" w:rsidRDefault="002D1894" w:rsidP="00A137E4">
      <w:pPr>
        <w:spacing w:line="360" w:lineRule="auto"/>
        <w:rPr>
          <w:rFonts w:ascii="Times New Roman" w:hAnsi="Times New Roman" w:cs="Times New Roman"/>
          <w:sz w:val="24"/>
          <w:szCs w:val="24"/>
        </w:rPr>
      </w:pPr>
      <w:r>
        <w:rPr>
          <w:rFonts w:ascii="Times New Roman" w:hAnsi="Times New Roman" w:cs="Times New Roman"/>
          <w:sz w:val="24"/>
          <w:szCs w:val="24"/>
        </w:rPr>
        <w:t>The National Criteria</w:t>
      </w:r>
      <w:r w:rsidR="0079561C" w:rsidRPr="00AE141E">
        <w:rPr>
          <w:rFonts w:ascii="Times New Roman" w:hAnsi="Times New Roman" w:cs="Times New Roman"/>
          <w:sz w:val="24"/>
          <w:szCs w:val="24"/>
        </w:rPr>
        <w:t xml:space="preserve"> </w:t>
      </w:r>
      <w:r w:rsidR="00DE4DA1" w:rsidRPr="00AE141E">
        <w:rPr>
          <w:rFonts w:ascii="Times New Roman" w:hAnsi="Times New Roman" w:cs="Times New Roman"/>
          <w:sz w:val="24"/>
          <w:szCs w:val="24"/>
        </w:rPr>
        <w:t>drew heavily upon the innovations of the</w:t>
      </w:r>
      <w:r w:rsidR="00401CBC" w:rsidRPr="00AE141E">
        <w:rPr>
          <w:rFonts w:ascii="Times New Roman" w:hAnsi="Times New Roman" w:cs="Times New Roman"/>
          <w:sz w:val="24"/>
          <w:szCs w:val="24"/>
        </w:rPr>
        <w:t xml:space="preserve"> SCHP</w:t>
      </w:r>
      <w:r w:rsidR="00DE4DA1" w:rsidRPr="00AE141E">
        <w:rPr>
          <w:rFonts w:ascii="Times New Roman" w:hAnsi="Times New Roman" w:cs="Times New Roman"/>
          <w:sz w:val="24"/>
          <w:szCs w:val="24"/>
        </w:rPr>
        <w:t xml:space="preserve">, </w:t>
      </w:r>
      <w:r w:rsidR="00537115">
        <w:rPr>
          <w:rFonts w:ascii="Times New Roman" w:hAnsi="Times New Roman" w:cs="Times New Roman"/>
          <w:sz w:val="24"/>
          <w:szCs w:val="24"/>
        </w:rPr>
        <w:t>most notably</w:t>
      </w:r>
      <w:r w:rsidR="00DE4DA1" w:rsidRPr="00AE141E">
        <w:rPr>
          <w:rFonts w:ascii="Times New Roman" w:hAnsi="Times New Roman" w:cs="Times New Roman"/>
          <w:sz w:val="24"/>
          <w:szCs w:val="24"/>
        </w:rPr>
        <w:t xml:space="preserve"> </w:t>
      </w:r>
      <w:r w:rsidR="00591888" w:rsidRPr="00AE141E">
        <w:rPr>
          <w:rFonts w:ascii="Times New Roman" w:hAnsi="Times New Roman" w:cs="Times New Roman"/>
          <w:sz w:val="24"/>
          <w:szCs w:val="24"/>
        </w:rPr>
        <w:t xml:space="preserve">in the priority </w:t>
      </w:r>
      <w:r w:rsidR="00537115">
        <w:rPr>
          <w:rFonts w:ascii="Times New Roman" w:hAnsi="Times New Roman" w:cs="Times New Roman"/>
          <w:sz w:val="24"/>
          <w:szCs w:val="24"/>
        </w:rPr>
        <w:t>it gave</w:t>
      </w:r>
      <w:r w:rsidR="00591888" w:rsidRPr="00AE141E">
        <w:rPr>
          <w:rFonts w:ascii="Times New Roman" w:hAnsi="Times New Roman" w:cs="Times New Roman"/>
          <w:sz w:val="24"/>
          <w:szCs w:val="24"/>
        </w:rPr>
        <w:t xml:space="preserve"> to </w:t>
      </w:r>
      <w:r w:rsidR="0079561C" w:rsidRPr="00AE141E">
        <w:rPr>
          <w:rFonts w:ascii="Times New Roman" w:hAnsi="Times New Roman" w:cs="Times New Roman"/>
          <w:sz w:val="24"/>
          <w:szCs w:val="24"/>
        </w:rPr>
        <w:t>‘evidence-based skills</w:t>
      </w:r>
      <w:r w:rsidR="00591888" w:rsidRPr="00AE141E">
        <w:rPr>
          <w:rFonts w:ascii="Times New Roman" w:hAnsi="Times New Roman" w:cs="Times New Roman"/>
          <w:sz w:val="24"/>
          <w:szCs w:val="24"/>
        </w:rPr>
        <w:t>’</w:t>
      </w:r>
      <w:r w:rsidR="0079561C" w:rsidRPr="00AE141E">
        <w:rPr>
          <w:rFonts w:ascii="Times New Roman" w:hAnsi="Times New Roman" w:cs="Times New Roman"/>
          <w:sz w:val="24"/>
          <w:szCs w:val="24"/>
        </w:rPr>
        <w:t xml:space="preserve"> </w:t>
      </w:r>
      <w:r w:rsidR="00591888" w:rsidRPr="00AE141E">
        <w:rPr>
          <w:rFonts w:ascii="Times New Roman" w:hAnsi="Times New Roman" w:cs="Times New Roman"/>
          <w:sz w:val="24"/>
          <w:szCs w:val="24"/>
        </w:rPr>
        <w:t>such as historical</w:t>
      </w:r>
      <w:r w:rsidR="0079561C" w:rsidRPr="00AE141E">
        <w:rPr>
          <w:rFonts w:ascii="Times New Roman" w:hAnsi="Times New Roman" w:cs="Times New Roman"/>
          <w:sz w:val="24"/>
          <w:szCs w:val="24"/>
        </w:rPr>
        <w:t xml:space="preserve"> empathy.</w:t>
      </w:r>
      <w:r w:rsidR="00CD7753" w:rsidRPr="00AE141E">
        <w:rPr>
          <w:rStyle w:val="FootnoteReference"/>
          <w:rFonts w:ascii="Times New Roman" w:hAnsi="Times New Roman" w:cs="Times New Roman"/>
          <w:sz w:val="24"/>
          <w:szCs w:val="24"/>
        </w:rPr>
        <w:footnoteReference w:id="758"/>
      </w:r>
      <w:r w:rsidR="0079561C" w:rsidRPr="00AE141E">
        <w:rPr>
          <w:rFonts w:ascii="Times New Roman" w:hAnsi="Times New Roman" w:cs="Times New Roman"/>
          <w:sz w:val="24"/>
          <w:szCs w:val="24"/>
        </w:rPr>
        <w:t xml:space="preserve"> For members of the New Right commentariat, </w:t>
      </w:r>
      <w:r>
        <w:rPr>
          <w:rFonts w:ascii="Times New Roman" w:hAnsi="Times New Roman" w:cs="Times New Roman"/>
          <w:sz w:val="24"/>
          <w:szCs w:val="24"/>
        </w:rPr>
        <w:t xml:space="preserve">this represented a </w:t>
      </w:r>
      <w:r w:rsidR="00A67912">
        <w:rPr>
          <w:rFonts w:ascii="Times New Roman" w:hAnsi="Times New Roman" w:cs="Times New Roman"/>
          <w:sz w:val="24"/>
          <w:szCs w:val="24"/>
        </w:rPr>
        <w:t>dangerous concession</w:t>
      </w:r>
      <w:r w:rsidR="0079561C" w:rsidRPr="00AE141E">
        <w:rPr>
          <w:rFonts w:ascii="Times New Roman" w:hAnsi="Times New Roman" w:cs="Times New Roman"/>
          <w:sz w:val="24"/>
          <w:szCs w:val="24"/>
        </w:rPr>
        <w:t xml:space="preserve"> to the hated ‘</w:t>
      </w:r>
      <w:r w:rsidR="00A17280" w:rsidRPr="00AE141E">
        <w:rPr>
          <w:rFonts w:ascii="Times New Roman" w:hAnsi="Times New Roman" w:cs="Times New Roman"/>
          <w:sz w:val="24"/>
          <w:szCs w:val="24"/>
        </w:rPr>
        <w:t>n</w:t>
      </w:r>
      <w:r w:rsidR="0079561C" w:rsidRPr="00AE141E">
        <w:rPr>
          <w:rFonts w:ascii="Times New Roman" w:hAnsi="Times New Roman" w:cs="Times New Roman"/>
          <w:sz w:val="24"/>
          <w:szCs w:val="24"/>
        </w:rPr>
        <w:t xml:space="preserve">ew </w:t>
      </w:r>
      <w:r w:rsidR="00A17280" w:rsidRPr="00AE141E">
        <w:rPr>
          <w:rFonts w:ascii="Times New Roman" w:hAnsi="Times New Roman" w:cs="Times New Roman"/>
          <w:sz w:val="24"/>
          <w:szCs w:val="24"/>
        </w:rPr>
        <w:t>h</w:t>
      </w:r>
      <w:r w:rsidR="0079561C" w:rsidRPr="00AE141E">
        <w:rPr>
          <w:rFonts w:ascii="Times New Roman" w:hAnsi="Times New Roman" w:cs="Times New Roman"/>
          <w:sz w:val="24"/>
          <w:szCs w:val="24"/>
        </w:rPr>
        <w:t>istory’.</w:t>
      </w:r>
      <w:r w:rsidR="001B22E2">
        <w:rPr>
          <w:rStyle w:val="FootnoteReference"/>
          <w:rFonts w:ascii="Times New Roman" w:hAnsi="Times New Roman" w:cs="Times New Roman"/>
          <w:sz w:val="24"/>
          <w:szCs w:val="24"/>
        </w:rPr>
        <w:footnoteReference w:id="759"/>
      </w:r>
      <w:r w:rsidR="0079561C" w:rsidRPr="00AE141E">
        <w:rPr>
          <w:rFonts w:ascii="Times New Roman" w:hAnsi="Times New Roman" w:cs="Times New Roman"/>
          <w:sz w:val="24"/>
          <w:szCs w:val="24"/>
        </w:rPr>
        <w:t xml:space="preserve"> </w:t>
      </w:r>
      <w:r w:rsidR="00A137E4" w:rsidRPr="00A137E4">
        <w:rPr>
          <w:rFonts w:ascii="Times New Roman" w:hAnsi="Times New Roman" w:cs="Times New Roman"/>
          <w:sz w:val="24"/>
          <w:szCs w:val="24"/>
        </w:rPr>
        <w:t xml:space="preserve">When Anthony Freeman and Chris McGovern, teachers at Lewes Priory Comprehensive School, publicly objected to a trial exam paper put out by the Southern Board, their fight became a </w:t>
      </w:r>
      <w:r w:rsidR="00A137E4" w:rsidRPr="00A137E4">
        <w:rPr>
          <w:rFonts w:ascii="Times New Roman" w:hAnsi="Times New Roman" w:cs="Times New Roman"/>
          <w:i/>
          <w:sz w:val="24"/>
          <w:szCs w:val="24"/>
        </w:rPr>
        <w:t>cause célèbre</w:t>
      </w:r>
      <w:r w:rsidR="00A137E4" w:rsidRPr="00A137E4">
        <w:rPr>
          <w:rFonts w:ascii="Times New Roman" w:hAnsi="Times New Roman" w:cs="Times New Roman"/>
          <w:sz w:val="24"/>
          <w:szCs w:val="24"/>
        </w:rPr>
        <w:t xml:space="preserve">. Freeman and McGovern raised concerns that the level of questioning was insufficiently rigorous for the target age group and would negatively impact </w:t>
      </w:r>
      <w:r w:rsidR="00ED694C">
        <w:rPr>
          <w:rFonts w:ascii="Times New Roman" w:hAnsi="Times New Roman" w:cs="Times New Roman"/>
          <w:sz w:val="24"/>
          <w:szCs w:val="24"/>
        </w:rPr>
        <w:t>students’</w:t>
      </w:r>
      <w:r w:rsidR="00A137E4" w:rsidRPr="00A137E4">
        <w:rPr>
          <w:rFonts w:ascii="Times New Roman" w:hAnsi="Times New Roman" w:cs="Times New Roman"/>
          <w:sz w:val="24"/>
          <w:szCs w:val="24"/>
        </w:rPr>
        <w:t xml:space="preserve"> transition to A Level.</w:t>
      </w:r>
      <w:r w:rsidR="00A137E4" w:rsidRPr="00A137E4">
        <w:rPr>
          <w:rFonts w:ascii="Times New Roman" w:hAnsi="Times New Roman" w:cs="Times New Roman"/>
          <w:sz w:val="24"/>
          <w:szCs w:val="24"/>
          <w:vertAlign w:val="superscript"/>
        </w:rPr>
        <w:footnoteReference w:id="760"/>
      </w:r>
      <w:r w:rsidR="00A137E4" w:rsidRPr="00A137E4">
        <w:rPr>
          <w:rFonts w:ascii="Times New Roman" w:hAnsi="Times New Roman" w:cs="Times New Roman"/>
          <w:sz w:val="24"/>
          <w:szCs w:val="24"/>
        </w:rPr>
        <w:t xml:space="preserve"> Their most fundamental critique, however, focused on the issue of empathy. </w:t>
      </w:r>
    </w:p>
    <w:p w14:paraId="33FE8941" w14:textId="162FB851" w:rsidR="00A137E4" w:rsidRPr="00A137E4" w:rsidRDefault="00A137E4" w:rsidP="00A137E4">
      <w:pPr>
        <w:spacing w:line="360" w:lineRule="auto"/>
        <w:rPr>
          <w:rFonts w:ascii="Times New Roman" w:hAnsi="Times New Roman" w:cs="Times New Roman"/>
          <w:sz w:val="24"/>
          <w:szCs w:val="24"/>
        </w:rPr>
      </w:pPr>
      <w:r w:rsidRPr="00A137E4">
        <w:rPr>
          <w:rFonts w:ascii="Times New Roman" w:hAnsi="Times New Roman" w:cs="Times New Roman"/>
          <w:sz w:val="24"/>
          <w:szCs w:val="24"/>
        </w:rPr>
        <w:t>McGovern reacted especially strongly to a question which</w:t>
      </w:r>
      <w:r w:rsidR="006256A1">
        <w:rPr>
          <w:rFonts w:ascii="Times New Roman" w:hAnsi="Times New Roman" w:cs="Times New Roman"/>
          <w:sz w:val="24"/>
          <w:szCs w:val="24"/>
        </w:rPr>
        <w:t xml:space="preserve"> he alleged</w:t>
      </w:r>
      <w:r w:rsidRPr="00A137E4">
        <w:rPr>
          <w:rFonts w:ascii="Times New Roman" w:hAnsi="Times New Roman" w:cs="Times New Roman"/>
          <w:sz w:val="24"/>
          <w:szCs w:val="24"/>
        </w:rPr>
        <w:t xml:space="preserve"> asked children to ‘imagine that they were Palestinian terrorists and to explain why they blew up an Israeli passenger plane’.</w:t>
      </w:r>
      <w:r w:rsidR="000F15F6">
        <w:rPr>
          <w:rStyle w:val="FootnoteReference"/>
          <w:rFonts w:ascii="Times New Roman" w:hAnsi="Times New Roman" w:cs="Times New Roman"/>
          <w:sz w:val="24"/>
          <w:szCs w:val="24"/>
        </w:rPr>
        <w:footnoteReference w:id="761"/>
      </w:r>
      <w:r w:rsidRPr="00A137E4">
        <w:rPr>
          <w:rFonts w:ascii="Times New Roman" w:hAnsi="Times New Roman" w:cs="Times New Roman"/>
          <w:sz w:val="24"/>
          <w:szCs w:val="24"/>
        </w:rPr>
        <w:t xml:space="preserve"> </w:t>
      </w:r>
      <w:r w:rsidR="00720730">
        <w:rPr>
          <w:rFonts w:ascii="Times New Roman" w:hAnsi="Times New Roman" w:cs="Times New Roman"/>
          <w:sz w:val="24"/>
          <w:szCs w:val="24"/>
        </w:rPr>
        <w:t>S</w:t>
      </w:r>
      <w:r w:rsidRPr="00A137E4">
        <w:rPr>
          <w:rFonts w:ascii="Times New Roman" w:hAnsi="Times New Roman" w:cs="Times New Roman"/>
          <w:sz w:val="24"/>
          <w:szCs w:val="24"/>
        </w:rPr>
        <w:t xml:space="preserve">tudents were expected to show ‘differentiated historical empathy’ </w:t>
      </w:r>
      <w:r w:rsidR="00720730">
        <w:rPr>
          <w:rFonts w:ascii="Times New Roman" w:hAnsi="Times New Roman" w:cs="Times New Roman"/>
          <w:sz w:val="24"/>
          <w:szCs w:val="24"/>
        </w:rPr>
        <w:t>(</w:t>
      </w:r>
      <w:r w:rsidRPr="00A137E4">
        <w:rPr>
          <w:rFonts w:ascii="Times New Roman" w:hAnsi="Times New Roman" w:cs="Times New Roman"/>
          <w:sz w:val="24"/>
          <w:szCs w:val="24"/>
        </w:rPr>
        <w:t>the ability to demonstrate understanding of the motives of historical actors with differing perspectives</w:t>
      </w:r>
      <w:r w:rsidR="00720730">
        <w:rPr>
          <w:rFonts w:ascii="Times New Roman" w:hAnsi="Times New Roman" w:cs="Times New Roman"/>
          <w:sz w:val="24"/>
          <w:szCs w:val="24"/>
        </w:rPr>
        <w:t>)</w:t>
      </w:r>
      <w:r w:rsidRPr="00A137E4">
        <w:rPr>
          <w:rFonts w:ascii="Times New Roman" w:hAnsi="Times New Roman" w:cs="Times New Roman"/>
          <w:sz w:val="24"/>
          <w:szCs w:val="24"/>
        </w:rPr>
        <w:t>. In this instance,</w:t>
      </w:r>
      <w:r w:rsidR="00720730">
        <w:rPr>
          <w:rFonts w:ascii="Times New Roman" w:hAnsi="Times New Roman" w:cs="Times New Roman"/>
          <w:sz w:val="24"/>
          <w:szCs w:val="24"/>
        </w:rPr>
        <w:t xml:space="preserve"> therefore,</w:t>
      </w:r>
      <w:r w:rsidRPr="00A137E4">
        <w:rPr>
          <w:rFonts w:ascii="Times New Roman" w:hAnsi="Times New Roman" w:cs="Times New Roman"/>
          <w:sz w:val="24"/>
          <w:szCs w:val="24"/>
        </w:rPr>
        <w:t xml:space="preserve"> students would have to explain the point of view of </w:t>
      </w:r>
      <w:r w:rsidRPr="00A137E4">
        <w:rPr>
          <w:rFonts w:ascii="Times New Roman" w:hAnsi="Times New Roman" w:cs="Times New Roman"/>
          <w:sz w:val="24"/>
          <w:szCs w:val="24"/>
        </w:rPr>
        <w:lastRenderedPageBreak/>
        <w:t>the bomber alongside the ‘point of view of the people you were blowing up’</w:t>
      </w:r>
      <w:r w:rsidR="007D2B10">
        <w:rPr>
          <w:rFonts w:ascii="Times New Roman" w:hAnsi="Times New Roman" w:cs="Times New Roman"/>
          <w:sz w:val="24"/>
          <w:szCs w:val="24"/>
        </w:rPr>
        <w:t xml:space="preserve">. </w:t>
      </w:r>
      <w:r w:rsidRPr="00A137E4">
        <w:rPr>
          <w:rFonts w:ascii="Times New Roman" w:hAnsi="Times New Roman" w:cs="Times New Roman"/>
          <w:sz w:val="24"/>
          <w:szCs w:val="24"/>
        </w:rPr>
        <w:t>In McGovern’s eyes, such exercises were intellectually bankrupt and politically dangerous. At best, students would be engaged in a meaningless expression of platitudes. At worst, they were being invited to identify with the aims and strategies of political violence. </w:t>
      </w:r>
      <w:r w:rsidR="00D60C72" w:rsidRPr="00A137E4">
        <w:rPr>
          <w:rFonts w:ascii="Times New Roman" w:hAnsi="Times New Roman" w:cs="Times New Roman"/>
          <w:sz w:val="24"/>
          <w:szCs w:val="24"/>
        </w:rPr>
        <w:t xml:space="preserve">Freeman </w:t>
      </w:r>
      <w:r w:rsidR="006E7DDE">
        <w:rPr>
          <w:rFonts w:ascii="Times New Roman" w:hAnsi="Times New Roman" w:cs="Times New Roman"/>
          <w:sz w:val="24"/>
          <w:szCs w:val="24"/>
        </w:rPr>
        <w:t xml:space="preserve">and </w:t>
      </w:r>
      <w:r w:rsidR="006E7DDE" w:rsidRPr="00A137E4">
        <w:rPr>
          <w:rFonts w:ascii="Times New Roman" w:hAnsi="Times New Roman" w:cs="Times New Roman"/>
          <w:sz w:val="24"/>
          <w:szCs w:val="24"/>
        </w:rPr>
        <w:t xml:space="preserve">McGovern </w:t>
      </w:r>
      <w:r w:rsidR="00D60C72" w:rsidRPr="00A137E4">
        <w:rPr>
          <w:rFonts w:ascii="Times New Roman" w:hAnsi="Times New Roman" w:cs="Times New Roman"/>
          <w:sz w:val="24"/>
          <w:szCs w:val="24"/>
        </w:rPr>
        <w:t>ultimately decided to enter students into the Scottish O Level, alongside the new GCSE</w:t>
      </w:r>
      <w:r w:rsidR="000D7BD4">
        <w:rPr>
          <w:rFonts w:ascii="Times New Roman" w:hAnsi="Times New Roman" w:cs="Times New Roman"/>
          <w:sz w:val="24"/>
          <w:szCs w:val="24"/>
        </w:rPr>
        <w:t xml:space="preserve"> </w:t>
      </w:r>
      <w:r w:rsidR="00D60C72" w:rsidRPr="00A137E4">
        <w:rPr>
          <w:rFonts w:ascii="Times New Roman" w:hAnsi="Times New Roman" w:cs="Times New Roman"/>
          <w:sz w:val="24"/>
          <w:szCs w:val="24"/>
        </w:rPr>
        <w:t>course</w:t>
      </w:r>
      <w:r w:rsidR="006E7DDE">
        <w:rPr>
          <w:rFonts w:ascii="Times New Roman" w:hAnsi="Times New Roman" w:cs="Times New Roman"/>
          <w:sz w:val="24"/>
          <w:szCs w:val="24"/>
        </w:rPr>
        <w:t xml:space="preserve"> –</w:t>
      </w:r>
      <w:r w:rsidR="00D60C72" w:rsidRPr="00A137E4">
        <w:rPr>
          <w:rFonts w:ascii="Times New Roman" w:hAnsi="Times New Roman" w:cs="Times New Roman"/>
          <w:sz w:val="24"/>
          <w:szCs w:val="24"/>
        </w:rPr>
        <w:t xml:space="preserve"> a</w:t>
      </w:r>
      <w:r w:rsidR="006E7DDE">
        <w:rPr>
          <w:rFonts w:ascii="Times New Roman" w:hAnsi="Times New Roman" w:cs="Times New Roman"/>
          <w:sz w:val="24"/>
          <w:szCs w:val="24"/>
        </w:rPr>
        <w:t xml:space="preserve"> </w:t>
      </w:r>
      <w:r w:rsidR="00D60C72" w:rsidRPr="00A137E4">
        <w:rPr>
          <w:rFonts w:ascii="Times New Roman" w:hAnsi="Times New Roman" w:cs="Times New Roman"/>
          <w:sz w:val="24"/>
          <w:szCs w:val="24"/>
        </w:rPr>
        <w:t>decision</w:t>
      </w:r>
      <w:r w:rsidR="000D7BD4">
        <w:rPr>
          <w:rFonts w:ascii="Times New Roman" w:hAnsi="Times New Roman" w:cs="Times New Roman"/>
          <w:sz w:val="24"/>
          <w:szCs w:val="24"/>
        </w:rPr>
        <w:t xml:space="preserve"> </w:t>
      </w:r>
      <w:r w:rsidR="00D60C72" w:rsidRPr="00A137E4">
        <w:rPr>
          <w:rFonts w:ascii="Times New Roman" w:hAnsi="Times New Roman" w:cs="Times New Roman"/>
          <w:sz w:val="24"/>
          <w:szCs w:val="24"/>
        </w:rPr>
        <w:t>which may have cost both men their jobs.</w:t>
      </w:r>
      <w:r w:rsidR="00D60C72" w:rsidRPr="00A137E4">
        <w:rPr>
          <w:rFonts w:ascii="Times New Roman" w:hAnsi="Times New Roman" w:cs="Times New Roman"/>
          <w:sz w:val="24"/>
          <w:szCs w:val="24"/>
          <w:vertAlign w:val="superscript"/>
        </w:rPr>
        <w:footnoteReference w:id="762"/>
      </w:r>
    </w:p>
    <w:p w14:paraId="48E08422" w14:textId="313EE7FC" w:rsidR="00191665" w:rsidRDefault="00191665" w:rsidP="00AE141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historian </w:t>
      </w:r>
      <w:r w:rsidR="00A137E4" w:rsidRPr="00A137E4">
        <w:rPr>
          <w:rFonts w:ascii="Times New Roman" w:hAnsi="Times New Roman" w:cs="Times New Roman"/>
          <w:sz w:val="24"/>
          <w:szCs w:val="24"/>
        </w:rPr>
        <w:t xml:space="preserve">Robert Skidelsky, who happened to have a child at </w:t>
      </w:r>
      <w:r w:rsidR="00D60C72">
        <w:rPr>
          <w:rFonts w:ascii="Times New Roman" w:hAnsi="Times New Roman" w:cs="Times New Roman"/>
          <w:sz w:val="24"/>
          <w:szCs w:val="24"/>
        </w:rPr>
        <w:t>Lewes Priory</w:t>
      </w:r>
      <w:r w:rsidR="00A137E4" w:rsidRPr="00A137E4">
        <w:rPr>
          <w:rFonts w:ascii="Times New Roman" w:hAnsi="Times New Roman" w:cs="Times New Roman"/>
          <w:sz w:val="24"/>
          <w:szCs w:val="24"/>
        </w:rPr>
        <w:t xml:space="preserve">, amplified </w:t>
      </w:r>
      <w:r w:rsidR="006E7DDE">
        <w:rPr>
          <w:rFonts w:ascii="Times New Roman" w:hAnsi="Times New Roman" w:cs="Times New Roman"/>
          <w:sz w:val="24"/>
          <w:szCs w:val="24"/>
        </w:rPr>
        <w:t>these</w:t>
      </w:r>
      <w:r w:rsidR="00A137E4" w:rsidRPr="00A137E4">
        <w:rPr>
          <w:rFonts w:ascii="Times New Roman" w:hAnsi="Times New Roman" w:cs="Times New Roman"/>
          <w:sz w:val="24"/>
          <w:szCs w:val="24"/>
        </w:rPr>
        <w:t xml:space="preserve"> critiques.</w:t>
      </w:r>
      <w:r w:rsidR="00765DCC">
        <w:rPr>
          <w:rStyle w:val="FootnoteReference"/>
          <w:rFonts w:ascii="Times New Roman" w:hAnsi="Times New Roman" w:cs="Times New Roman"/>
          <w:sz w:val="24"/>
          <w:szCs w:val="24"/>
        </w:rPr>
        <w:footnoteReference w:id="763"/>
      </w:r>
      <w:r w:rsidR="00A137E4" w:rsidRPr="00A137E4">
        <w:rPr>
          <w:rFonts w:ascii="Times New Roman" w:hAnsi="Times New Roman" w:cs="Times New Roman"/>
          <w:sz w:val="24"/>
          <w:szCs w:val="24"/>
        </w:rPr>
        <w:t xml:space="preserve"> </w:t>
      </w:r>
      <w:r w:rsidR="008539A5" w:rsidRPr="00AE141E">
        <w:rPr>
          <w:rFonts w:ascii="Times New Roman" w:hAnsi="Times New Roman" w:cs="Times New Roman"/>
          <w:sz w:val="24"/>
          <w:szCs w:val="24"/>
        </w:rPr>
        <w:t xml:space="preserve">Skidelsky’s political biography bears some similarity to that of Tom Hastie, in that his embrace of New Right </w:t>
      </w:r>
      <w:r w:rsidR="002E67D9">
        <w:rPr>
          <w:rFonts w:ascii="Times New Roman" w:hAnsi="Times New Roman" w:cs="Times New Roman"/>
          <w:sz w:val="24"/>
          <w:szCs w:val="24"/>
        </w:rPr>
        <w:t>conservatism</w:t>
      </w:r>
      <w:r w:rsidR="008539A5" w:rsidRPr="00AE141E">
        <w:rPr>
          <w:rFonts w:ascii="Times New Roman" w:hAnsi="Times New Roman" w:cs="Times New Roman"/>
          <w:sz w:val="24"/>
          <w:szCs w:val="24"/>
        </w:rPr>
        <w:t xml:space="preserve"> did not (initially) map onto a Conservative political affiliation</w:t>
      </w:r>
      <w:r w:rsidR="008539A5" w:rsidRPr="003238AB">
        <w:rPr>
          <w:rFonts w:ascii="Times New Roman" w:hAnsi="Times New Roman" w:cs="Times New Roman"/>
          <w:sz w:val="24"/>
          <w:szCs w:val="24"/>
        </w:rPr>
        <w:t>. Skidelsky flirted successively with both the Labour Party and the Social Democratic Party, before joining the Conservatives in the early 1990s.</w:t>
      </w:r>
      <w:r w:rsidR="009834D6" w:rsidRPr="003238AB">
        <w:rPr>
          <w:rStyle w:val="FootnoteReference"/>
          <w:rFonts w:ascii="Times New Roman" w:hAnsi="Times New Roman" w:cs="Times New Roman"/>
          <w:sz w:val="24"/>
          <w:szCs w:val="24"/>
        </w:rPr>
        <w:footnoteReference w:id="764"/>
      </w:r>
      <w:r w:rsidR="008539A5" w:rsidRPr="00AE141E">
        <w:rPr>
          <w:rFonts w:ascii="Times New Roman" w:hAnsi="Times New Roman" w:cs="Times New Roman"/>
          <w:sz w:val="24"/>
          <w:szCs w:val="24"/>
        </w:rPr>
        <w:t xml:space="preserve"> H</w:t>
      </w:r>
      <w:r w:rsidR="002C72EF" w:rsidRPr="00AE141E">
        <w:rPr>
          <w:rFonts w:ascii="Times New Roman" w:hAnsi="Times New Roman" w:cs="Times New Roman"/>
          <w:sz w:val="24"/>
          <w:szCs w:val="24"/>
        </w:rPr>
        <w:t xml:space="preserve">e seems to have been brought into the complex New Right eco-system </w:t>
      </w:r>
      <w:r w:rsidR="00FD2255" w:rsidRPr="00AE141E">
        <w:rPr>
          <w:rFonts w:ascii="Times New Roman" w:hAnsi="Times New Roman" w:cs="Times New Roman"/>
          <w:sz w:val="24"/>
          <w:szCs w:val="24"/>
        </w:rPr>
        <w:t>by way of overriding cultural concerns, rather than existing political commitment.</w:t>
      </w:r>
      <w:r w:rsidR="00E019DF" w:rsidRPr="00AE141E">
        <w:rPr>
          <w:rFonts w:ascii="Times New Roman" w:hAnsi="Times New Roman" w:cs="Times New Roman"/>
          <w:sz w:val="24"/>
          <w:szCs w:val="24"/>
        </w:rPr>
        <w:t xml:space="preserve"> </w:t>
      </w:r>
      <w:r w:rsidR="00062C32">
        <w:rPr>
          <w:rFonts w:ascii="Times New Roman" w:hAnsi="Times New Roman" w:cs="Times New Roman"/>
          <w:sz w:val="24"/>
          <w:szCs w:val="24"/>
        </w:rPr>
        <w:t>Ski</w:t>
      </w:r>
      <w:r w:rsidR="0071580D">
        <w:rPr>
          <w:rFonts w:ascii="Times New Roman" w:hAnsi="Times New Roman" w:cs="Times New Roman"/>
          <w:sz w:val="24"/>
          <w:szCs w:val="24"/>
        </w:rPr>
        <w:t xml:space="preserve">delsky </w:t>
      </w:r>
      <w:r w:rsidR="006A79EB">
        <w:rPr>
          <w:rFonts w:ascii="Times New Roman" w:hAnsi="Times New Roman" w:cs="Times New Roman"/>
          <w:sz w:val="24"/>
          <w:szCs w:val="24"/>
        </w:rPr>
        <w:t>believed that the Criteria represented a missed opportunity to</w:t>
      </w:r>
      <w:r w:rsidR="006A79EB" w:rsidRPr="00AE141E">
        <w:rPr>
          <w:rFonts w:ascii="Times New Roman" w:hAnsi="Times New Roman" w:cs="Times New Roman"/>
          <w:sz w:val="24"/>
          <w:szCs w:val="24"/>
        </w:rPr>
        <w:t xml:space="preserve"> </w:t>
      </w:r>
      <w:r w:rsidR="006A79EB">
        <w:rPr>
          <w:rFonts w:ascii="Times New Roman" w:hAnsi="Times New Roman" w:cs="Times New Roman"/>
          <w:sz w:val="24"/>
          <w:szCs w:val="24"/>
        </w:rPr>
        <w:t>instruct</w:t>
      </w:r>
      <w:r w:rsidR="006A79EB" w:rsidRPr="00AE141E">
        <w:rPr>
          <w:rFonts w:ascii="Times New Roman" w:hAnsi="Times New Roman" w:cs="Times New Roman"/>
          <w:sz w:val="24"/>
          <w:szCs w:val="24"/>
        </w:rPr>
        <w:t xml:space="preserve"> young people </w:t>
      </w:r>
      <w:r w:rsidR="006A79EB">
        <w:rPr>
          <w:rFonts w:ascii="Times New Roman" w:hAnsi="Times New Roman" w:cs="Times New Roman"/>
          <w:sz w:val="24"/>
          <w:szCs w:val="24"/>
        </w:rPr>
        <w:t>in (distinctively national) shared values, and to impart the moral and political lessons of the national past</w:t>
      </w:r>
      <w:r w:rsidR="0080347F">
        <w:rPr>
          <w:rFonts w:ascii="Times New Roman" w:hAnsi="Times New Roman" w:cs="Times New Roman"/>
          <w:sz w:val="24"/>
          <w:szCs w:val="24"/>
        </w:rPr>
        <w:t>.</w:t>
      </w:r>
      <w:r w:rsidR="005C3E24">
        <w:rPr>
          <w:rStyle w:val="FootnoteReference"/>
          <w:rFonts w:ascii="Times New Roman" w:hAnsi="Times New Roman" w:cs="Times New Roman"/>
          <w:sz w:val="24"/>
          <w:szCs w:val="24"/>
        </w:rPr>
        <w:footnoteReference w:id="765"/>
      </w:r>
      <w:r w:rsidR="00B95AFD">
        <w:rPr>
          <w:rFonts w:ascii="Times New Roman" w:hAnsi="Times New Roman" w:cs="Times New Roman"/>
          <w:sz w:val="24"/>
          <w:szCs w:val="24"/>
        </w:rPr>
        <w:t xml:space="preserve"> </w:t>
      </w:r>
      <w:r w:rsidR="00BB3745">
        <w:rPr>
          <w:rFonts w:ascii="Times New Roman" w:hAnsi="Times New Roman" w:cs="Times New Roman"/>
          <w:sz w:val="24"/>
          <w:szCs w:val="24"/>
        </w:rPr>
        <w:t xml:space="preserve">As such, </w:t>
      </w:r>
      <w:r w:rsidR="00367E61">
        <w:rPr>
          <w:rFonts w:ascii="Times New Roman" w:hAnsi="Times New Roman" w:cs="Times New Roman"/>
          <w:sz w:val="24"/>
          <w:szCs w:val="24"/>
        </w:rPr>
        <w:t>he</w:t>
      </w:r>
      <w:r w:rsidR="004A5611">
        <w:rPr>
          <w:rFonts w:ascii="Times New Roman" w:hAnsi="Times New Roman" w:cs="Times New Roman"/>
          <w:sz w:val="24"/>
          <w:szCs w:val="24"/>
        </w:rPr>
        <w:t xml:space="preserve"> called for a </w:t>
      </w:r>
      <w:r w:rsidR="008A0D3C">
        <w:rPr>
          <w:rFonts w:ascii="Times New Roman" w:hAnsi="Times New Roman" w:cs="Times New Roman"/>
          <w:sz w:val="24"/>
          <w:szCs w:val="24"/>
        </w:rPr>
        <w:t>centrally mandated</w:t>
      </w:r>
      <w:r w:rsidR="00367E61">
        <w:rPr>
          <w:rFonts w:ascii="Times New Roman" w:hAnsi="Times New Roman" w:cs="Times New Roman"/>
          <w:sz w:val="24"/>
          <w:szCs w:val="24"/>
        </w:rPr>
        <w:t>, national</w:t>
      </w:r>
      <w:r w:rsidR="0079561C" w:rsidRPr="00AE141E">
        <w:rPr>
          <w:rFonts w:ascii="Times New Roman" w:hAnsi="Times New Roman" w:cs="Times New Roman"/>
          <w:sz w:val="24"/>
          <w:szCs w:val="24"/>
        </w:rPr>
        <w:t xml:space="preserve"> </w:t>
      </w:r>
      <w:r w:rsidR="008A0D3C">
        <w:rPr>
          <w:rFonts w:ascii="Times New Roman" w:hAnsi="Times New Roman" w:cs="Times New Roman"/>
          <w:sz w:val="24"/>
          <w:szCs w:val="24"/>
        </w:rPr>
        <w:t xml:space="preserve">history </w:t>
      </w:r>
      <w:r w:rsidR="004A5611">
        <w:rPr>
          <w:rFonts w:ascii="Times New Roman" w:hAnsi="Times New Roman" w:cs="Times New Roman"/>
          <w:sz w:val="24"/>
          <w:szCs w:val="24"/>
        </w:rPr>
        <w:t>c</w:t>
      </w:r>
      <w:r w:rsidR="0079561C" w:rsidRPr="00AE141E">
        <w:rPr>
          <w:rFonts w:ascii="Times New Roman" w:hAnsi="Times New Roman" w:cs="Times New Roman"/>
          <w:sz w:val="24"/>
          <w:szCs w:val="24"/>
        </w:rPr>
        <w:t>urriculum</w:t>
      </w:r>
      <w:r w:rsidR="00367E61">
        <w:rPr>
          <w:rFonts w:ascii="Times New Roman" w:hAnsi="Times New Roman" w:cs="Times New Roman"/>
          <w:sz w:val="24"/>
          <w:szCs w:val="24"/>
        </w:rPr>
        <w:t xml:space="preserve"> which would </w:t>
      </w:r>
      <w:r w:rsidR="00852A1D">
        <w:rPr>
          <w:rFonts w:ascii="Times New Roman" w:hAnsi="Times New Roman" w:cs="Times New Roman"/>
          <w:sz w:val="24"/>
          <w:szCs w:val="24"/>
        </w:rPr>
        <w:t xml:space="preserve">specify a minimum core of compulsory content. </w:t>
      </w:r>
    </w:p>
    <w:p w14:paraId="137D6158" w14:textId="663B5B86" w:rsidR="0079561C" w:rsidRPr="00AE141E" w:rsidRDefault="00191665" w:rsidP="00AE141E">
      <w:pPr>
        <w:spacing w:line="360" w:lineRule="auto"/>
        <w:rPr>
          <w:rFonts w:ascii="Times New Roman" w:hAnsi="Times New Roman" w:cs="Times New Roman"/>
          <w:sz w:val="24"/>
          <w:szCs w:val="24"/>
        </w:rPr>
      </w:pPr>
      <w:r>
        <w:rPr>
          <w:rFonts w:ascii="Times New Roman" w:hAnsi="Times New Roman" w:cs="Times New Roman"/>
          <w:sz w:val="24"/>
          <w:szCs w:val="24"/>
        </w:rPr>
        <w:t>The</w:t>
      </w:r>
      <w:r w:rsidR="00B64FB2">
        <w:rPr>
          <w:rFonts w:ascii="Times New Roman" w:hAnsi="Times New Roman" w:cs="Times New Roman"/>
          <w:sz w:val="24"/>
          <w:szCs w:val="24"/>
        </w:rPr>
        <w:t xml:space="preserve"> Conservative government had reached a similar conclusion</w:t>
      </w:r>
      <w:r w:rsidR="00D76348">
        <w:rPr>
          <w:rFonts w:ascii="Times New Roman" w:hAnsi="Times New Roman" w:cs="Times New Roman"/>
          <w:sz w:val="24"/>
          <w:szCs w:val="24"/>
        </w:rPr>
        <w:t xml:space="preserve">. </w:t>
      </w:r>
      <w:r w:rsidR="00B7681F">
        <w:rPr>
          <w:rFonts w:ascii="Times New Roman" w:hAnsi="Times New Roman" w:cs="Times New Roman"/>
          <w:sz w:val="24"/>
          <w:szCs w:val="24"/>
        </w:rPr>
        <w:t xml:space="preserve">The </w:t>
      </w:r>
      <w:r w:rsidR="0079561C" w:rsidRPr="00AE141E">
        <w:rPr>
          <w:rFonts w:ascii="Times New Roman" w:hAnsi="Times New Roman" w:cs="Times New Roman"/>
          <w:sz w:val="24"/>
          <w:szCs w:val="24"/>
        </w:rPr>
        <w:t>Party’s 1987 General Election Manifesto</w:t>
      </w:r>
      <w:r w:rsidR="008C4E45" w:rsidRPr="00AE141E">
        <w:rPr>
          <w:rFonts w:ascii="Times New Roman" w:hAnsi="Times New Roman" w:cs="Times New Roman"/>
          <w:sz w:val="24"/>
          <w:szCs w:val="24"/>
        </w:rPr>
        <w:t xml:space="preserve"> </w:t>
      </w:r>
      <w:r w:rsidR="0079561C" w:rsidRPr="00AE141E">
        <w:rPr>
          <w:rFonts w:ascii="Times New Roman" w:hAnsi="Times New Roman" w:cs="Times New Roman"/>
          <w:sz w:val="24"/>
          <w:szCs w:val="24"/>
        </w:rPr>
        <w:t xml:space="preserve">promised to deliver a </w:t>
      </w:r>
      <w:r w:rsidR="00B7681F">
        <w:rPr>
          <w:rFonts w:ascii="Times New Roman" w:hAnsi="Times New Roman" w:cs="Times New Roman"/>
          <w:sz w:val="24"/>
          <w:szCs w:val="24"/>
        </w:rPr>
        <w:t>‘</w:t>
      </w:r>
      <w:r w:rsidR="0079561C" w:rsidRPr="00AE141E">
        <w:rPr>
          <w:rFonts w:ascii="Times New Roman" w:hAnsi="Times New Roman" w:cs="Times New Roman"/>
          <w:sz w:val="24"/>
          <w:szCs w:val="24"/>
        </w:rPr>
        <w:t>National Curriculum</w:t>
      </w:r>
      <w:r w:rsidR="00B7681F">
        <w:rPr>
          <w:rFonts w:ascii="Times New Roman" w:hAnsi="Times New Roman" w:cs="Times New Roman"/>
          <w:sz w:val="24"/>
          <w:szCs w:val="24"/>
        </w:rPr>
        <w:t>’</w:t>
      </w:r>
      <w:r w:rsidR="0079561C" w:rsidRPr="00AE141E">
        <w:rPr>
          <w:rFonts w:ascii="Times New Roman" w:hAnsi="Times New Roman" w:cs="Times New Roman"/>
          <w:sz w:val="24"/>
          <w:szCs w:val="24"/>
        </w:rPr>
        <w:t xml:space="preserve"> in all British state schools.</w:t>
      </w:r>
      <w:r w:rsidR="00DD3300" w:rsidRPr="00AE141E">
        <w:rPr>
          <w:rStyle w:val="FootnoteReference"/>
          <w:rFonts w:ascii="Times New Roman" w:hAnsi="Times New Roman" w:cs="Times New Roman"/>
          <w:sz w:val="24"/>
          <w:szCs w:val="24"/>
        </w:rPr>
        <w:footnoteReference w:id="766"/>
      </w:r>
      <w:r w:rsidR="0079561C" w:rsidRPr="00AE141E">
        <w:rPr>
          <w:rFonts w:ascii="Times New Roman" w:hAnsi="Times New Roman" w:cs="Times New Roman"/>
          <w:sz w:val="24"/>
          <w:szCs w:val="24"/>
        </w:rPr>
        <w:t xml:space="preserve"> In this, the two core strands of Thatcherite </w:t>
      </w:r>
      <w:r w:rsidR="00B7681F">
        <w:rPr>
          <w:rFonts w:ascii="Times New Roman" w:hAnsi="Times New Roman" w:cs="Times New Roman"/>
          <w:sz w:val="24"/>
          <w:szCs w:val="24"/>
        </w:rPr>
        <w:t>ideology</w:t>
      </w:r>
      <w:r w:rsidR="0079561C" w:rsidRPr="00AE141E">
        <w:rPr>
          <w:rFonts w:ascii="Times New Roman" w:hAnsi="Times New Roman" w:cs="Times New Roman"/>
          <w:sz w:val="24"/>
          <w:szCs w:val="24"/>
        </w:rPr>
        <w:t xml:space="preserve">, neo-liberalism and </w:t>
      </w:r>
      <w:r w:rsidR="005A71E8" w:rsidRPr="00AE141E">
        <w:rPr>
          <w:rFonts w:ascii="Times New Roman" w:hAnsi="Times New Roman" w:cs="Times New Roman"/>
          <w:sz w:val="24"/>
          <w:szCs w:val="24"/>
        </w:rPr>
        <w:t>neo-conservativ</w:t>
      </w:r>
      <w:r w:rsidR="0021558D" w:rsidRPr="00AE141E">
        <w:rPr>
          <w:rFonts w:ascii="Times New Roman" w:hAnsi="Times New Roman" w:cs="Times New Roman"/>
          <w:sz w:val="24"/>
          <w:szCs w:val="24"/>
        </w:rPr>
        <w:t>e social authoritarianism</w:t>
      </w:r>
      <w:r w:rsidR="0079561C" w:rsidRPr="00AE141E">
        <w:rPr>
          <w:rFonts w:ascii="Times New Roman" w:hAnsi="Times New Roman" w:cs="Times New Roman"/>
          <w:sz w:val="24"/>
          <w:szCs w:val="24"/>
        </w:rPr>
        <w:t xml:space="preserve">, were </w:t>
      </w:r>
      <w:r w:rsidR="00B7681F">
        <w:rPr>
          <w:rFonts w:ascii="Times New Roman" w:hAnsi="Times New Roman" w:cs="Times New Roman"/>
          <w:sz w:val="24"/>
          <w:szCs w:val="24"/>
        </w:rPr>
        <w:t>–</w:t>
      </w:r>
      <w:r w:rsidR="0079561C" w:rsidRPr="00AE141E">
        <w:rPr>
          <w:rFonts w:ascii="Times New Roman" w:hAnsi="Times New Roman" w:cs="Times New Roman"/>
          <w:sz w:val="24"/>
          <w:szCs w:val="24"/>
        </w:rPr>
        <w:t xml:space="preserve"> at</w:t>
      </w:r>
      <w:r w:rsidR="00B7681F">
        <w:rPr>
          <w:rFonts w:ascii="Times New Roman" w:hAnsi="Times New Roman" w:cs="Times New Roman"/>
          <w:sz w:val="24"/>
          <w:szCs w:val="24"/>
        </w:rPr>
        <w:t xml:space="preserve"> </w:t>
      </w:r>
      <w:r w:rsidR="0079561C" w:rsidRPr="00AE141E">
        <w:rPr>
          <w:rFonts w:ascii="Times New Roman" w:hAnsi="Times New Roman" w:cs="Times New Roman"/>
          <w:sz w:val="24"/>
          <w:szCs w:val="24"/>
        </w:rPr>
        <w:t xml:space="preserve">least at first </w:t>
      </w:r>
      <w:r w:rsidR="00B7681F">
        <w:rPr>
          <w:rFonts w:ascii="Times New Roman" w:hAnsi="Times New Roman" w:cs="Times New Roman"/>
          <w:sz w:val="24"/>
          <w:szCs w:val="24"/>
        </w:rPr>
        <w:t>–</w:t>
      </w:r>
      <w:r w:rsidR="0079561C" w:rsidRPr="00AE141E">
        <w:rPr>
          <w:rFonts w:ascii="Times New Roman" w:hAnsi="Times New Roman" w:cs="Times New Roman"/>
          <w:sz w:val="24"/>
          <w:szCs w:val="24"/>
        </w:rPr>
        <w:t xml:space="preserve"> unite</w:t>
      </w:r>
      <w:r w:rsidR="00B7681F">
        <w:rPr>
          <w:rFonts w:ascii="Times New Roman" w:hAnsi="Times New Roman" w:cs="Times New Roman"/>
          <w:sz w:val="24"/>
          <w:szCs w:val="24"/>
        </w:rPr>
        <w:t>d</w:t>
      </w:r>
      <w:r w:rsidR="0079561C" w:rsidRPr="00AE141E">
        <w:rPr>
          <w:rFonts w:ascii="Times New Roman" w:hAnsi="Times New Roman" w:cs="Times New Roman"/>
          <w:sz w:val="24"/>
          <w:szCs w:val="24"/>
        </w:rPr>
        <w:t xml:space="preserve"> in common cause. The pledge was couched in </w:t>
      </w:r>
      <w:r w:rsidR="00D248A9">
        <w:rPr>
          <w:rFonts w:ascii="Times New Roman" w:hAnsi="Times New Roman" w:cs="Times New Roman"/>
          <w:sz w:val="24"/>
          <w:szCs w:val="24"/>
        </w:rPr>
        <w:t xml:space="preserve">a </w:t>
      </w:r>
      <w:r w:rsidR="0079561C" w:rsidRPr="00AE141E">
        <w:rPr>
          <w:rFonts w:ascii="Times New Roman" w:hAnsi="Times New Roman" w:cs="Times New Roman"/>
          <w:sz w:val="24"/>
          <w:szCs w:val="24"/>
        </w:rPr>
        <w:t xml:space="preserve">familiar language of educational standards and parental choice. A National Core Curriculum would ensure that all pupils aged five to sixteen studied a ‘basic range of </w:t>
      </w:r>
      <w:r w:rsidR="0079561C" w:rsidRPr="00AE141E">
        <w:rPr>
          <w:rFonts w:ascii="Times New Roman" w:hAnsi="Times New Roman" w:cs="Times New Roman"/>
          <w:sz w:val="24"/>
          <w:szCs w:val="24"/>
        </w:rPr>
        <w:lastRenderedPageBreak/>
        <w:t>subjects’.</w:t>
      </w:r>
      <w:r w:rsidR="00D248A9">
        <w:rPr>
          <w:rStyle w:val="FootnoteReference"/>
          <w:rFonts w:ascii="Times New Roman" w:hAnsi="Times New Roman" w:cs="Times New Roman"/>
          <w:sz w:val="24"/>
          <w:szCs w:val="24"/>
        </w:rPr>
        <w:footnoteReference w:id="767"/>
      </w:r>
      <w:r w:rsidR="0079561C" w:rsidRPr="00AE141E">
        <w:rPr>
          <w:rFonts w:ascii="Times New Roman" w:hAnsi="Times New Roman" w:cs="Times New Roman"/>
          <w:sz w:val="24"/>
          <w:szCs w:val="24"/>
        </w:rPr>
        <w:t xml:space="preserve"> Each subject would be governed by a </w:t>
      </w:r>
      <w:r w:rsidR="001B6836" w:rsidRPr="00AE141E">
        <w:rPr>
          <w:rFonts w:ascii="Times New Roman" w:hAnsi="Times New Roman" w:cs="Times New Roman"/>
          <w:sz w:val="24"/>
          <w:szCs w:val="24"/>
        </w:rPr>
        <w:t>nationally applicable</w:t>
      </w:r>
      <w:r w:rsidR="0079561C" w:rsidRPr="00AE141E">
        <w:rPr>
          <w:rFonts w:ascii="Times New Roman" w:hAnsi="Times New Roman" w:cs="Times New Roman"/>
          <w:sz w:val="24"/>
          <w:szCs w:val="24"/>
        </w:rPr>
        <w:t xml:space="preserve"> syllabus</w:t>
      </w:r>
      <w:r w:rsidR="00ED7DC6">
        <w:rPr>
          <w:rFonts w:ascii="Times New Roman" w:hAnsi="Times New Roman" w:cs="Times New Roman"/>
          <w:sz w:val="24"/>
          <w:szCs w:val="24"/>
        </w:rPr>
        <w:t>,</w:t>
      </w:r>
      <w:r w:rsidR="0079561C" w:rsidRPr="00AE141E">
        <w:rPr>
          <w:rFonts w:ascii="Times New Roman" w:hAnsi="Times New Roman" w:cs="Times New Roman"/>
          <w:sz w:val="24"/>
          <w:szCs w:val="24"/>
        </w:rPr>
        <w:t xml:space="preserve"> to guarantee quality, continuity, and measurability of education. Standardised ‘attainment levels’ and regular testing would allow the progress of pupils to be quantified and compared, giving parents the knowledge to make informed decisions regarding their children’s education. Curricular changes were to be accompanied by new rules requiring schools to enrol children up to their physical capacity, rather than ‘artificially’ capping student numbers. This would, it was hoped, enable parents to ‘vote with their feet’ when choosing a school. The market-led logic of Thatcher’s Brave New World was to enter education in force.</w:t>
      </w:r>
    </w:p>
    <w:p w14:paraId="1A5CD6F1" w14:textId="3D846F0E" w:rsidR="004B140D" w:rsidRDefault="0079561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More subtly, the National Curriculum was intended to guarantee the discipline and moral health of British youth. The proposals would curb teacher autonomy and give schools the opportunity to opt out of management by local LEA and</w:t>
      </w:r>
      <w:r w:rsidR="00112D1A">
        <w:rPr>
          <w:rFonts w:ascii="Times New Roman" w:hAnsi="Times New Roman" w:cs="Times New Roman"/>
          <w:sz w:val="24"/>
          <w:szCs w:val="24"/>
        </w:rPr>
        <w:t xml:space="preserve"> </w:t>
      </w:r>
      <w:r w:rsidRPr="00AE141E">
        <w:rPr>
          <w:rFonts w:ascii="Times New Roman" w:hAnsi="Times New Roman" w:cs="Times New Roman"/>
          <w:sz w:val="24"/>
          <w:szCs w:val="24"/>
        </w:rPr>
        <w:t>run themselves.</w:t>
      </w:r>
      <w:r w:rsidR="000714B7">
        <w:rPr>
          <w:rStyle w:val="FootnoteReference"/>
          <w:rFonts w:ascii="Times New Roman" w:hAnsi="Times New Roman" w:cs="Times New Roman"/>
          <w:sz w:val="24"/>
          <w:szCs w:val="24"/>
        </w:rPr>
        <w:footnoteReference w:id="768"/>
      </w:r>
      <w:r w:rsidRPr="00AE141E">
        <w:rPr>
          <w:rFonts w:ascii="Times New Roman" w:hAnsi="Times New Roman" w:cs="Times New Roman"/>
          <w:sz w:val="24"/>
          <w:szCs w:val="24"/>
        </w:rPr>
        <w:t xml:space="preserve"> In so doing, Thatcher hoped to undermine two perceived strongholds of the ‘loony left’: local authorities and teachers. Keith Joseph, who held the role of Secretary of State for Education and Science from 1981 to May 1986, labelled LEAs as the ‘self-appointed apostles of anti-racism’.</w:t>
      </w:r>
      <w:r w:rsidR="00E54D3D" w:rsidRPr="00AE141E">
        <w:rPr>
          <w:rStyle w:val="FootnoteReference"/>
          <w:rFonts w:ascii="Times New Roman" w:hAnsi="Times New Roman" w:cs="Times New Roman"/>
          <w:sz w:val="24"/>
          <w:szCs w:val="24"/>
        </w:rPr>
        <w:footnoteReference w:id="769"/>
      </w:r>
      <w:r w:rsidRPr="00AE141E">
        <w:rPr>
          <w:rFonts w:ascii="Times New Roman" w:hAnsi="Times New Roman" w:cs="Times New Roman"/>
          <w:sz w:val="24"/>
          <w:szCs w:val="24"/>
        </w:rPr>
        <w:t xml:space="preserve">  Joseph perceived </w:t>
      </w:r>
      <w:r w:rsidR="0057760A">
        <w:rPr>
          <w:rFonts w:ascii="Times New Roman" w:hAnsi="Times New Roman" w:cs="Times New Roman"/>
          <w:sz w:val="24"/>
          <w:szCs w:val="24"/>
        </w:rPr>
        <w:t>anti-racist</w:t>
      </w:r>
      <w:r w:rsidRPr="00AE141E">
        <w:rPr>
          <w:rFonts w:ascii="Times New Roman" w:hAnsi="Times New Roman" w:cs="Times New Roman"/>
          <w:sz w:val="24"/>
          <w:szCs w:val="24"/>
        </w:rPr>
        <w:t xml:space="preserve"> policies as expressions of ‘</w:t>
      </w:r>
      <w:r w:rsidR="009F5C15" w:rsidRPr="00AE141E">
        <w:rPr>
          <w:rFonts w:ascii="Times New Roman" w:hAnsi="Times New Roman" w:cs="Times New Roman"/>
          <w:sz w:val="24"/>
          <w:szCs w:val="24"/>
        </w:rPr>
        <w:t>self-indulgent</w:t>
      </w:r>
      <w:r w:rsidRPr="00AE141E">
        <w:rPr>
          <w:rFonts w:ascii="Times New Roman" w:hAnsi="Times New Roman" w:cs="Times New Roman"/>
          <w:sz w:val="24"/>
          <w:szCs w:val="24"/>
        </w:rPr>
        <w:t xml:space="preserve"> bias’. Kenneth Baker, who held the role from May 1986 to July 1989, </w:t>
      </w:r>
      <w:r w:rsidR="008C4218">
        <w:rPr>
          <w:rFonts w:ascii="Times New Roman" w:hAnsi="Times New Roman" w:cs="Times New Roman"/>
          <w:sz w:val="24"/>
          <w:szCs w:val="24"/>
        </w:rPr>
        <w:t>reprised</w:t>
      </w:r>
      <w:r w:rsidRPr="00AE141E">
        <w:rPr>
          <w:rFonts w:ascii="Times New Roman" w:hAnsi="Times New Roman" w:cs="Times New Roman"/>
          <w:sz w:val="24"/>
          <w:szCs w:val="24"/>
        </w:rPr>
        <w:t xml:space="preserve"> the invective against ‘the flourishing of anti-family, anti-police, and anti-competitive values’ in schools under the control of Labour-led, primarily urban LEAs.</w:t>
      </w:r>
      <w:r w:rsidR="002374CE" w:rsidRPr="00AE141E">
        <w:rPr>
          <w:rStyle w:val="FootnoteReference"/>
          <w:rFonts w:ascii="Times New Roman" w:hAnsi="Times New Roman" w:cs="Times New Roman"/>
          <w:sz w:val="24"/>
          <w:szCs w:val="24"/>
        </w:rPr>
        <w:footnoteReference w:id="770"/>
      </w:r>
      <w:r w:rsidRPr="00AE141E">
        <w:rPr>
          <w:rFonts w:ascii="Times New Roman" w:hAnsi="Times New Roman" w:cs="Times New Roman"/>
          <w:sz w:val="24"/>
          <w:szCs w:val="24"/>
        </w:rPr>
        <w:t xml:space="preserve"> </w:t>
      </w:r>
    </w:p>
    <w:p w14:paraId="76AE1845" w14:textId="14803A67" w:rsidR="004B140D" w:rsidRDefault="0079561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threat of a generation poisoned by ‘mediocrity and indoctrination’ moved the government to </w:t>
      </w:r>
      <w:r w:rsidR="006620F1">
        <w:rPr>
          <w:rFonts w:ascii="Times New Roman" w:hAnsi="Times New Roman" w:cs="Times New Roman"/>
          <w:sz w:val="24"/>
          <w:szCs w:val="24"/>
        </w:rPr>
        <w:t>e</w:t>
      </w:r>
      <w:r w:rsidR="00B95A1F" w:rsidRPr="00AE141E">
        <w:rPr>
          <w:rFonts w:ascii="Times New Roman" w:hAnsi="Times New Roman" w:cs="Times New Roman"/>
          <w:sz w:val="24"/>
          <w:szCs w:val="24"/>
        </w:rPr>
        <w:t>ffect</w:t>
      </w:r>
      <w:r w:rsidRPr="00AE141E">
        <w:rPr>
          <w:rFonts w:ascii="Times New Roman" w:hAnsi="Times New Roman" w:cs="Times New Roman"/>
          <w:sz w:val="24"/>
          <w:szCs w:val="24"/>
        </w:rPr>
        <w:t xml:space="preserve"> an unprecedented centralisation of educational power.</w:t>
      </w:r>
      <w:r w:rsidR="004B140D">
        <w:rPr>
          <w:rStyle w:val="FootnoteReference"/>
          <w:rFonts w:ascii="Times New Roman" w:hAnsi="Times New Roman" w:cs="Times New Roman"/>
          <w:sz w:val="24"/>
          <w:szCs w:val="24"/>
        </w:rPr>
        <w:footnoteReference w:id="771"/>
      </w:r>
      <w:r w:rsidRPr="00AE141E">
        <w:rPr>
          <w:rFonts w:ascii="Times New Roman" w:hAnsi="Times New Roman" w:cs="Times New Roman"/>
          <w:sz w:val="24"/>
          <w:szCs w:val="24"/>
        </w:rPr>
        <w:t> The</w:t>
      </w:r>
      <w:r w:rsidR="009B6C4E"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result </w:t>
      </w:r>
      <w:r w:rsidR="009B6C4E" w:rsidRPr="00AE141E">
        <w:rPr>
          <w:rFonts w:ascii="Times New Roman" w:hAnsi="Times New Roman" w:cs="Times New Roman"/>
          <w:sz w:val="24"/>
          <w:szCs w:val="24"/>
        </w:rPr>
        <w:t>–</w:t>
      </w:r>
      <w:r w:rsidRPr="00AE141E">
        <w:rPr>
          <w:rFonts w:ascii="Times New Roman" w:hAnsi="Times New Roman" w:cs="Times New Roman"/>
          <w:sz w:val="24"/>
          <w:szCs w:val="24"/>
        </w:rPr>
        <w:t xml:space="preserve"> the</w:t>
      </w:r>
      <w:r w:rsidR="009B6C4E"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Education Reform Act (ERA) 1988 </w:t>
      </w:r>
      <w:r w:rsidR="009B6C4E" w:rsidRPr="00AE141E">
        <w:rPr>
          <w:rFonts w:ascii="Times New Roman" w:hAnsi="Times New Roman" w:cs="Times New Roman"/>
          <w:sz w:val="24"/>
          <w:szCs w:val="24"/>
        </w:rPr>
        <w:t xml:space="preserve">– </w:t>
      </w:r>
      <w:r w:rsidRPr="00AE141E">
        <w:rPr>
          <w:rFonts w:ascii="Times New Roman" w:hAnsi="Times New Roman" w:cs="Times New Roman"/>
          <w:sz w:val="24"/>
          <w:szCs w:val="24"/>
        </w:rPr>
        <w:t>was</w:t>
      </w:r>
      <w:r w:rsidR="009B6C4E" w:rsidRPr="00AE141E">
        <w:rPr>
          <w:rFonts w:ascii="Times New Roman" w:hAnsi="Times New Roman" w:cs="Times New Roman"/>
          <w:sz w:val="24"/>
          <w:szCs w:val="24"/>
        </w:rPr>
        <w:t xml:space="preserve"> </w:t>
      </w:r>
      <w:r w:rsidRPr="00AE141E">
        <w:rPr>
          <w:rFonts w:ascii="Times New Roman" w:hAnsi="Times New Roman" w:cs="Times New Roman"/>
          <w:sz w:val="24"/>
          <w:szCs w:val="24"/>
        </w:rPr>
        <w:t>a dramatic and wide-ranging piece of legislation which did away with many aspects of the educational settlement reached in the Butler Act of 1944. Its chief innovation was the National Curriculum</w:t>
      </w:r>
      <w:r w:rsidR="00BD5E5C">
        <w:rPr>
          <w:rFonts w:ascii="Times New Roman" w:hAnsi="Times New Roman" w:cs="Times New Roman"/>
          <w:sz w:val="24"/>
          <w:szCs w:val="24"/>
        </w:rPr>
        <w:t>, which too</w:t>
      </w:r>
      <w:r w:rsidR="004B140D">
        <w:rPr>
          <w:rFonts w:ascii="Times New Roman" w:hAnsi="Times New Roman" w:cs="Times New Roman"/>
          <w:sz w:val="24"/>
          <w:szCs w:val="24"/>
        </w:rPr>
        <w:t>k different forms in England and Wales</w:t>
      </w:r>
      <w:r w:rsidRPr="00AE141E">
        <w:rPr>
          <w:rFonts w:ascii="Times New Roman" w:hAnsi="Times New Roman" w:cs="Times New Roman"/>
          <w:sz w:val="24"/>
          <w:szCs w:val="24"/>
        </w:rPr>
        <w:t>.</w:t>
      </w:r>
      <w:r w:rsidR="004B140D">
        <w:rPr>
          <w:rFonts w:ascii="Times New Roman" w:hAnsi="Times New Roman" w:cs="Times New Roman"/>
          <w:sz w:val="24"/>
          <w:szCs w:val="24"/>
        </w:rPr>
        <w:t xml:space="preserve"> References to the National Curriculum below will refer exclusively to the English context, unless otherwise specified.</w:t>
      </w:r>
    </w:p>
    <w:p w14:paraId="5848FC76" w14:textId="2FBE918C" w:rsidR="0079561C" w:rsidRPr="00AE141E" w:rsidRDefault="0079561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Under the terms set by the 1988 Act, </w:t>
      </w:r>
      <w:r w:rsidR="00CD0E0C">
        <w:rPr>
          <w:rFonts w:ascii="Times New Roman" w:hAnsi="Times New Roman" w:cs="Times New Roman"/>
          <w:sz w:val="24"/>
          <w:szCs w:val="24"/>
        </w:rPr>
        <w:t>the National Curriculum</w:t>
      </w:r>
      <w:r w:rsidRPr="00AE141E">
        <w:rPr>
          <w:rFonts w:ascii="Times New Roman" w:hAnsi="Times New Roman" w:cs="Times New Roman"/>
          <w:sz w:val="24"/>
          <w:szCs w:val="24"/>
        </w:rPr>
        <w:t xml:space="preserve"> was divided into four </w:t>
      </w:r>
      <w:r w:rsidR="009D01AA">
        <w:rPr>
          <w:rFonts w:ascii="Times New Roman" w:hAnsi="Times New Roman" w:cs="Times New Roman"/>
          <w:sz w:val="24"/>
          <w:szCs w:val="24"/>
        </w:rPr>
        <w:t xml:space="preserve">sets of </w:t>
      </w:r>
      <w:r w:rsidRPr="00AE141E">
        <w:rPr>
          <w:rFonts w:ascii="Times New Roman" w:hAnsi="Times New Roman" w:cs="Times New Roman"/>
          <w:sz w:val="24"/>
          <w:szCs w:val="24"/>
        </w:rPr>
        <w:t>objectives for educational attainment</w:t>
      </w:r>
      <w:r w:rsidR="009D01AA">
        <w:rPr>
          <w:rFonts w:ascii="Times New Roman" w:hAnsi="Times New Roman" w:cs="Times New Roman"/>
          <w:sz w:val="24"/>
          <w:szCs w:val="24"/>
        </w:rPr>
        <w:t>, designated</w:t>
      </w:r>
      <w:r w:rsidR="00E1550F">
        <w:rPr>
          <w:rFonts w:ascii="Times New Roman" w:hAnsi="Times New Roman" w:cs="Times New Roman"/>
          <w:sz w:val="24"/>
          <w:szCs w:val="24"/>
        </w:rPr>
        <w:t xml:space="preserve"> as</w:t>
      </w:r>
      <w:r w:rsidR="009D01AA">
        <w:rPr>
          <w:rFonts w:ascii="Times New Roman" w:hAnsi="Times New Roman" w:cs="Times New Roman"/>
          <w:sz w:val="24"/>
          <w:szCs w:val="24"/>
        </w:rPr>
        <w:t xml:space="preserve"> Key Stages (KS)</w:t>
      </w:r>
      <w:r w:rsidRPr="00AE141E">
        <w:rPr>
          <w:rFonts w:ascii="Times New Roman" w:hAnsi="Times New Roman" w:cs="Times New Roman"/>
          <w:sz w:val="24"/>
          <w:szCs w:val="24"/>
        </w:rPr>
        <w:t>.</w:t>
      </w:r>
      <w:r w:rsidR="00B0339E">
        <w:rPr>
          <w:rStyle w:val="FootnoteReference"/>
          <w:rFonts w:ascii="Times New Roman" w:hAnsi="Times New Roman" w:cs="Times New Roman"/>
          <w:sz w:val="24"/>
          <w:szCs w:val="24"/>
        </w:rPr>
        <w:footnoteReference w:id="772"/>
      </w:r>
      <w:r w:rsidRPr="00AE141E">
        <w:rPr>
          <w:rFonts w:ascii="Times New Roman" w:hAnsi="Times New Roman" w:cs="Times New Roman"/>
          <w:sz w:val="24"/>
          <w:szCs w:val="24"/>
        </w:rPr>
        <w:t xml:space="preserve"> KS1 and </w:t>
      </w:r>
      <w:r w:rsidR="00EA328E">
        <w:rPr>
          <w:rFonts w:ascii="Times New Roman" w:hAnsi="Times New Roman" w:cs="Times New Roman"/>
          <w:sz w:val="24"/>
          <w:szCs w:val="24"/>
        </w:rPr>
        <w:t>KS</w:t>
      </w:r>
      <w:r w:rsidRPr="00AE141E">
        <w:rPr>
          <w:rFonts w:ascii="Times New Roman" w:hAnsi="Times New Roman" w:cs="Times New Roman"/>
          <w:sz w:val="24"/>
          <w:szCs w:val="24"/>
        </w:rPr>
        <w:t xml:space="preserve">2 encompassed primary education, while KS3 (eleven to fourteen years) and KS4 (fourteen to sixteen) comprised the secondary level. </w:t>
      </w:r>
      <w:r w:rsidR="00DF0519">
        <w:rPr>
          <w:rFonts w:ascii="Times New Roman" w:hAnsi="Times New Roman" w:cs="Times New Roman"/>
          <w:sz w:val="24"/>
          <w:szCs w:val="24"/>
        </w:rPr>
        <w:t>The Curriculum distinguished between</w:t>
      </w:r>
      <w:r w:rsidRPr="00AE141E">
        <w:rPr>
          <w:rFonts w:ascii="Times New Roman" w:hAnsi="Times New Roman" w:cs="Times New Roman"/>
          <w:sz w:val="24"/>
          <w:szCs w:val="24"/>
        </w:rPr>
        <w:t xml:space="preserve"> Core</w:t>
      </w:r>
      <w:r w:rsidR="00DF0519">
        <w:rPr>
          <w:rFonts w:ascii="Times New Roman" w:hAnsi="Times New Roman" w:cs="Times New Roman"/>
          <w:sz w:val="24"/>
          <w:szCs w:val="24"/>
        </w:rPr>
        <w:t xml:space="preserve"> subjects</w:t>
      </w:r>
      <w:r w:rsidR="00E21C4B">
        <w:rPr>
          <w:rFonts w:ascii="Times New Roman" w:hAnsi="Times New Roman" w:cs="Times New Roman"/>
          <w:sz w:val="24"/>
          <w:szCs w:val="24"/>
        </w:rPr>
        <w:t xml:space="preserve"> (</w:t>
      </w:r>
      <w:r w:rsidR="003644E1">
        <w:rPr>
          <w:rFonts w:ascii="Times New Roman" w:hAnsi="Times New Roman" w:cs="Times New Roman"/>
          <w:sz w:val="24"/>
          <w:szCs w:val="24"/>
        </w:rPr>
        <w:t>m</w:t>
      </w:r>
      <w:r w:rsidR="00DF0519" w:rsidRPr="00AE141E">
        <w:rPr>
          <w:rFonts w:ascii="Times New Roman" w:hAnsi="Times New Roman" w:cs="Times New Roman"/>
          <w:sz w:val="24"/>
          <w:szCs w:val="24"/>
        </w:rPr>
        <w:t xml:space="preserve">aths, English, and </w:t>
      </w:r>
      <w:r w:rsidR="003644E1">
        <w:rPr>
          <w:rFonts w:ascii="Times New Roman" w:hAnsi="Times New Roman" w:cs="Times New Roman"/>
          <w:sz w:val="24"/>
          <w:szCs w:val="24"/>
        </w:rPr>
        <w:t>s</w:t>
      </w:r>
      <w:r w:rsidR="00DF0519" w:rsidRPr="00AE141E">
        <w:rPr>
          <w:rFonts w:ascii="Times New Roman" w:hAnsi="Times New Roman" w:cs="Times New Roman"/>
          <w:sz w:val="24"/>
          <w:szCs w:val="24"/>
        </w:rPr>
        <w:t>cience</w:t>
      </w:r>
      <w:r w:rsidR="00DF0519">
        <w:rPr>
          <w:rFonts w:ascii="Times New Roman" w:hAnsi="Times New Roman" w:cs="Times New Roman"/>
          <w:sz w:val="24"/>
          <w:szCs w:val="24"/>
        </w:rPr>
        <w:t>)</w:t>
      </w:r>
      <w:r w:rsidRPr="00AE141E">
        <w:rPr>
          <w:rFonts w:ascii="Times New Roman" w:hAnsi="Times New Roman" w:cs="Times New Roman"/>
          <w:sz w:val="24"/>
          <w:szCs w:val="24"/>
        </w:rPr>
        <w:t xml:space="preserve"> and Foundation</w:t>
      </w:r>
      <w:r w:rsidR="00DF0519">
        <w:rPr>
          <w:rFonts w:ascii="Times New Roman" w:hAnsi="Times New Roman" w:cs="Times New Roman"/>
          <w:sz w:val="24"/>
          <w:szCs w:val="24"/>
        </w:rPr>
        <w:t xml:space="preserve"> subjects (</w:t>
      </w:r>
      <w:r w:rsidR="003644E1">
        <w:rPr>
          <w:rFonts w:ascii="Times New Roman" w:hAnsi="Times New Roman" w:cs="Times New Roman"/>
          <w:sz w:val="24"/>
          <w:szCs w:val="24"/>
        </w:rPr>
        <w:t>h</w:t>
      </w:r>
      <w:r w:rsidRPr="00AE141E">
        <w:rPr>
          <w:rFonts w:ascii="Times New Roman" w:hAnsi="Times New Roman" w:cs="Times New Roman"/>
          <w:sz w:val="24"/>
          <w:szCs w:val="24"/>
        </w:rPr>
        <w:t>istory</w:t>
      </w:r>
      <w:r w:rsidR="00DF0519">
        <w:rPr>
          <w:rFonts w:ascii="Times New Roman" w:hAnsi="Times New Roman" w:cs="Times New Roman"/>
          <w:sz w:val="24"/>
          <w:szCs w:val="24"/>
        </w:rPr>
        <w:t xml:space="preserve">, </w:t>
      </w:r>
      <w:r w:rsidR="003644E1">
        <w:rPr>
          <w:rFonts w:ascii="Times New Roman" w:hAnsi="Times New Roman" w:cs="Times New Roman"/>
          <w:sz w:val="24"/>
          <w:szCs w:val="24"/>
        </w:rPr>
        <w:t>g</w:t>
      </w:r>
      <w:r w:rsidRPr="00AE141E">
        <w:rPr>
          <w:rFonts w:ascii="Times New Roman" w:hAnsi="Times New Roman" w:cs="Times New Roman"/>
          <w:sz w:val="24"/>
          <w:szCs w:val="24"/>
        </w:rPr>
        <w:t xml:space="preserve">eography, </w:t>
      </w:r>
      <w:r w:rsidR="003644E1">
        <w:rPr>
          <w:rFonts w:ascii="Times New Roman" w:hAnsi="Times New Roman" w:cs="Times New Roman"/>
          <w:sz w:val="24"/>
          <w:szCs w:val="24"/>
        </w:rPr>
        <w:t>t</w:t>
      </w:r>
      <w:r w:rsidRPr="00AE141E">
        <w:rPr>
          <w:rFonts w:ascii="Times New Roman" w:hAnsi="Times New Roman" w:cs="Times New Roman"/>
          <w:sz w:val="24"/>
          <w:szCs w:val="24"/>
        </w:rPr>
        <w:t xml:space="preserve">echnology, </w:t>
      </w:r>
      <w:r w:rsidR="003644E1">
        <w:rPr>
          <w:rFonts w:ascii="Times New Roman" w:hAnsi="Times New Roman" w:cs="Times New Roman"/>
          <w:sz w:val="24"/>
          <w:szCs w:val="24"/>
        </w:rPr>
        <w:t>m</w:t>
      </w:r>
      <w:r w:rsidRPr="00AE141E">
        <w:rPr>
          <w:rFonts w:ascii="Times New Roman" w:hAnsi="Times New Roman" w:cs="Times New Roman"/>
          <w:sz w:val="24"/>
          <w:szCs w:val="24"/>
        </w:rPr>
        <w:t xml:space="preserve">usic, </w:t>
      </w:r>
      <w:r w:rsidR="003644E1">
        <w:rPr>
          <w:rFonts w:ascii="Times New Roman" w:hAnsi="Times New Roman" w:cs="Times New Roman"/>
          <w:sz w:val="24"/>
          <w:szCs w:val="24"/>
        </w:rPr>
        <w:t>a</w:t>
      </w:r>
      <w:r w:rsidRPr="00AE141E">
        <w:rPr>
          <w:rFonts w:ascii="Times New Roman" w:hAnsi="Times New Roman" w:cs="Times New Roman"/>
          <w:sz w:val="24"/>
          <w:szCs w:val="24"/>
        </w:rPr>
        <w:t xml:space="preserve">rt and </w:t>
      </w:r>
      <w:r w:rsidR="003644E1">
        <w:rPr>
          <w:rFonts w:ascii="Times New Roman" w:hAnsi="Times New Roman" w:cs="Times New Roman"/>
          <w:sz w:val="24"/>
          <w:szCs w:val="24"/>
        </w:rPr>
        <w:t>p</w:t>
      </w:r>
      <w:r w:rsidRPr="00AE141E">
        <w:rPr>
          <w:rFonts w:ascii="Times New Roman" w:hAnsi="Times New Roman" w:cs="Times New Roman"/>
          <w:sz w:val="24"/>
          <w:szCs w:val="24"/>
        </w:rPr>
        <w:t xml:space="preserve">hysical </w:t>
      </w:r>
      <w:r w:rsidR="003644E1">
        <w:rPr>
          <w:rFonts w:ascii="Times New Roman" w:hAnsi="Times New Roman" w:cs="Times New Roman"/>
          <w:sz w:val="24"/>
          <w:szCs w:val="24"/>
        </w:rPr>
        <w:t>e</w:t>
      </w:r>
      <w:r w:rsidRPr="00AE141E">
        <w:rPr>
          <w:rFonts w:ascii="Times New Roman" w:hAnsi="Times New Roman" w:cs="Times New Roman"/>
          <w:sz w:val="24"/>
          <w:szCs w:val="24"/>
        </w:rPr>
        <w:t>ducation</w:t>
      </w:r>
      <w:r w:rsidR="00DF0519">
        <w:rPr>
          <w:rFonts w:ascii="Times New Roman" w:hAnsi="Times New Roman" w:cs="Times New Roman"/>
          <w:sz w:val="24"/>
          <w:szCs w:val="24"/>
        </w:rPr>
        <w:t>)</w:t>
      </w:r>
      <w:r w:rsidRPr="00AE141E">
        <w:rPr>
          <w:rFonts w:ascii="Times New Roman" w:hAnsi="Times New Roman" w:cs="Times New Roman"/>
          <w:sz w:val="24"/>
          <w:szCs w:val="24"/>
        </w:rPr>
        <w:t xml:space="preserve">. </w:t>
      </w:r>
      <w:r w:rsidR="0017125C">
        <w:rPr>
          <w:rFonts w:ascii="Times New Roman" w:hAnsi="Times New Roman" w:cs="Times New Roman"/>
          <w:sz w:val="24"/>
          <w:szCs w:val="24"/>
        </w:rPr>
        <w:t>Subject-specific</w:t>
      </w:r>
      <w:r w:rsidRPr="00AE141E">
        <w:rPr>
          <w:rFonts w:ascii="Times New Roman" w:hAnsi="Times New Roman" w:cs="Times New Roman"/>
          <w:sz w:val="24"/>
          <w:szCs w:val="24"/>
        </w:rPr>
        <w:t xml:space="preserve"> curricul</w:t>
      </w:r>
      <w:r w:rsidR="0017125C">
        <w:rPr>
          <w:rFonts w:ascii="Times New Roman" w:hAnsi="Times New Roman" w:cs="Times New Roman"/>
          <w:sz w:val="24"/>
          <w:szCs w:val="24"/>
        </w:rPr>
        <w:t>a</w:t>
      </w:r>
      <w:r w:rsidRPr="00AE141E">
        <w:rPr>
          <w:rFonts w:ascii="Times New Roman" w:hAnsi="Times New Roman" w:cs="Times New Roman"/>
          <w:sz w:val="24"/>
          <w:szCs w:val="24"/>
        </w:rPr>
        <w:t xml:space="preserve"> </w:t>
      </w:r>
      <w:r w:rsidR="0017125C">
        <w:rPr>
          <w:rFonts w:ascii="Times New Roman" w:hAnsi="Times New Roman" w:cs="Times New Roman"/>
          <w:sz w:val="24"/>
          <w:szCs w:val="24"/>
        </w:rPr>
        <w:t>were</w:t>
      </w:r>
      <w:r w:rsidRPr="00AE141E">
        <w:rPr>
          <w:rFonts w:ascii="Times New Roman" w:hAnsi="Times New Roman" w:cs="Times New Roman"/>
          <w:sz w:val="24"/>
          <w:szCs w:val="24"/>
        </w:rPr>
        <w:t xml:space="preserve"> to be </w:t>
      </w:r>
      <w:r w:rsidR="0017125C">
        <w:rPr>
          <w:rFonts w:ascii="Times New Roman" w:hAnsi="Times New Roman" w:cs="Times New Roman"/>
          <w:sz w:val="24"/>
          <w:szCs w:val="24"/>
        </w:rPr>
        <w:t>determined</w:t>
      </w:r>
      <w:r w:rsidRPr="00AE141E">
        <w:rPr>
          <w:rFonts w:ascii="Times New Roman" w:hAnsi="Times New Roman" w:cs="Times New Roman"/>
          <w:sz w:val="24"/>
          <w:szCs w:val="24"/>
        </w:rPr>
        <w:t xml:space="preserve"> by </w:t>
      </w:r>
      <w:r w:rsidR="001E0C5A" w:rsidRPr="00AE141E">
        <w:rPr>
          <w:rFonts w:ascii="Times New Roman" w:hAnsi="Times New Roman" w:cs="Times New Roman"/>
          <w:sz w:val="24"/>
          <w:szCs w:val="24"/>
        </w:rPr>
        <w:t>W</w:t>
      </w:r>
      <w:r w:rsidRPr="00AE141E">
        <w:rPr>
          <w:rFonts w:ascii="Times New Roman" w:hAnsi="Times New Roman" w:cs="Times New Roman"/>
          <w:sz w:val="24"/>
          <w:szCs w:val="24"/>
        </w:rPr>
        <w:t xml:space="preserve">orking </w:t>
      </w:r>
      <w:r w:rsidR="001E0C5A" w:rsidRPr="00AE141E">
        <w:rPr>
          <w:rFonts w:ascii="Times New Roman" w:hAnsi="Times New Roman" w:cs="Times New Roman"/>
          <w:sz w:val="24"/>
          <w:szCs w:val="24"/>
        </w:rPr>
        <w:t>G</w:t>
      </w:r>
      <w:r w:rsidRPr="00AE141E">
        <w:rPr>
          <w:rFonts w:ascii="Times New Roman" w:hAnsi="Times New Roman" w:cs="Times New Roman"/>
          <w:sz w:val="24"/>
          <w:szCs w:val="24"/>
        </w:rPr>
        <w:t>roups, appointed at the discretion of the Secretary of State.</w:t>
      </w:r>
      <w:r w:rsidR="002D001E" w:rsidRPr="00AE141E">
        <w:rPr>
          <w:rFonts w:ascii="Times New Roman" w:hAnsi="Times New Roman" w:cs="Times New Roman"/>
          <w:sz w:val="24"/>
          <w:szCs w:val="24"/>
        </w:rPr>
        <w:t xml:space="preserve"> The Secretary of State was also responsible for setting </w:t>
      </w:r>
      <w:r w:rsidR="0017125C">
        <w:rPr>
          <w:rFonts w:ascii="Times New Roman" w:hAnsi="Times New Roman" w:cs="Times New Roman"/>
          <w:sz w:val="24"/>
          <w:szCs w:val="24"/>
        </w:rPr>
        <w:t>‘</w:t>
      </w:r>
      <w:r w:rsidR="002D001E" w:rsidRPr="00AE141E">
        <w:rPr>
          <w:rFonts w:ascii="Times New Roman" w:hAnsi="Times New Roman" w:cs="Times New Roman"/>
          <w:sz w:val="24"/>
          <w:szCs w:val="24"/>
        </w:rPr>
        <w:t>Terms of Reference</w:t>
      </w:r>
      <w:r w:rsidR="0017125C">
        <w:rPr>
          <w:rFonts w:ascii="Times New Roman" w:hAnsi="Times New Roman" w:cs="Times New Roman"/>
          <w:sz w:val="24"/>
          <w:szCs w:val="24"/>
        </w:rPr>
        <w:t>’</w:t>
      </w:r>
      <w:r w:rsidR="002D001E" w:rsidRPr="00AE141E">
        <w:rPr>
          <w:rFonts w:ascii="Times New Roman" w:hAnsi="Times New Roman" w:cs="Times New Roman"/>
          <w:sz w:val="24"/>
          <w:szCs w:val="24"/>
        </w:rPr>
        <w:t xml:space="preserve"> to guide the</w:t>
      </w:r>
      <w:r w:rsidR="00B94AEA">
        <w:rPr>
          <w:rFonts w:ascii="Times New Roman" w:hAnsi="Times New Roman" w:cs="Times New Roman"/>
          <w:sz w:val="24"/>
          <w:szCs w:val="24"/>
        </w:rPr>
        <w:t>ir</w:t>
      </w:r>
      <w:r w:rsidR="002D001E" w:rsidRPr="00AE141E">
        <w:rPr>
          <w:rFonts w:ascii="Times New Roman" w:hAnsi="Times New Roman" w:cs="Times New Roman"/>
          <w:sz w:val="24"/>
          <w:szCs w:val="24"/>
        </w:rPr>
        <w:t xml:space="preserve"> deliberations</w:t>
      </w:r>
      <w:r w:rsidR="0015389B" w:rsidRPr="00AE141E">
        <w:rPr>
          <w:rFonts w:ascii="Times New Roman" w:hAnsi="Times New Roman" w:cs="Times New Roman"/>
          <w:sz w:val="24"/>
          <w:szCs w:val="24"/>
        </w:rPr>
        <w:t>.</w:t>
      </w:r>
      <w:r w:rsidR="00B85121" w:rsidRPr="00AE141E">
        <w:rPr>
          <w:rFonts w:ascii="Times New Roman" w:hAnsi="Times New Roman" w:cs="Times New Roman"/>
          <w:sz w:val="24"/>
          <w:szCs w:val="24"/>
        </w:rPr>
        <w:t xml:space="preserve"> In the case of History, the </w:t>
      </w:r>
      <w:r w:rsidR="001E0C5A" w:rsidRPr="00AE141E">
        <w:rPr>
          <w:rFonts w:ascii="Times New Roman" w:hAnsi="Times New Roman" w:cs="Times New Roman"/>
          <w:sz w:val="24"/>
          <w:szCs w:val="24"/>
        </w:rPr>
        <w:t>W</w:t>
      </w:r>
      <w:r w:rsidR="008829A0" w:rsidRPr="00AE141E">
        <w:rPr>
          <w:rFonts w:ascii="Times New Roman" w:hAnsi="Times New Roman" w:cs="Times New Roman"/>
          <w:sz w:val="24"/>
          <w:szCs w:val="24"/>
        </w:rPr>
        <w:t xml:space="preserve">orking </w:t>
      </w:r>
      <w:r w:rsidR="001E0C5A" w:rsidRPr="00AE141E">
        <w:rPr>
          <w:rFonts w:ascii="Times New Roman" w:hAnsi="Times New Roman" w:cs="Times New Roman"/>
          <w:sz w:val="24"/>
          <w:szCs w:val="24"/>
        </w:rPr>
        <w:t>G</w:t>
      </w:r>
      <w:r w:rsidR="008829A0" w:rsidRPr="00AE141E">
        <w:rPr>
          <w:rFonts w:ascii="Times New Roman" w:hAnsi="Times New Roman" w:cs="Times New Roman"/>
          <w:sz w:val="24"/>
          <w:szCs w:val="24"/>
        </w:rPr>
        <w:t>roup was</w:t>
      </w:r>
      <w:r w:rsidR="00B94AEA">
        <w:rPr>
          <w:rFonts w:ascii="Times New Roman" w:hAnsi="Times New Roman" w:cs="Times New Roman"/>
          <w:sz w:val="24"/>
          <w:szCs w:val="24"/>
        </w:rPr>
        <w:t xml:space="preserve"> first mandated</w:t>
      </w:r>
      <w:r w:rsidR="008829A0" w:rsidRPr="00AE141E">
        <w:rPr>
          <w:rFonts w:ascii="Times New Roman" w:hAnsi="Times New Roman" w:cs="Times New Roman"/>
          <w:sz w:val="24"/>
          <w:szCs w:val="24"/>
        </w:rPr>
        <w:t xml:space="preserve"> to produce an Interim Report (published in August 1989</w:t>
      </w:r>
      <w:r w:rsidR="008C115C" w:rsidRPr="00AE141E">
        <w:rPr>
          <w:rFonts w:ascii="Times New Roman" w:hAnsi="Times New Roman" w:cs="Times New Roman"/>
          <w:sz w:val="24"/>
          <w:szCs w:val="24"/>
        </w:rPr>
        <w:t xml:space="preserve">) </w:t>
      </w:r>
      <w:r w:rsidR="001E32E1" w:rsidRPr="00AE141E">
        <w:rPr>
          <w:rFonts w:ascii="Times New Roman" w:hAnsi="Times New Roman" w:cs="Times New Roman"/>
          <w:sz w:val="24"/>
          <w:szCs w:val="24"/>
        </w:rPr>
        <w:t>offering</w:t>
      </w:r>
      <w:r w:rsidR="008C115C" w:rsidRPr="00AE141E">
        <w:rPr>
          <w:rFonts w:ascii="Times New Roman" w:hAnsi="Times New Roman" w:cs="Times New Roman"/>
          <w:sz w:val="24"/>
          <w:szCs w:val="24"/>
        </w:rPr>
        <w:t xml:space="preserve"> </w:t>
      </w:r>
      <w:r w:rsidR="00FE45FE" w:rsidRPr="00AE141E">
        <w:rPr>
          <w:rFonts w:ascii="Times New Roman" w:hAnsi="Times New Roman" w:cs="Times New Roman"/>
          <w:sz w:val="24"/>
          <w:szCs w:val="24"/>
        </w:rPr>
        <w:t>initial recommendations on content and assessment</w:t>
      </w:r>
      <w:r w:rsidR="001E32E1" w:rsidRPr="00AE141E">
        <w:rPr>
          <w:rFonts w:ascii="Times New Roman" w:hAnsi="Times New Roman" w:cs="Times New Roman"/>
          <w:sz w:val="24"/>
          <w:szCs w:val="24"/>
        </w:rPr>
        <w:t>. This was to be</w:t>
      </w:r>
      <w:r w:rsidR="008829A0" w:rsidRPr="00AE141E">
        <w:rPr>
          <w:rFonts w:ascii="Times New Roman" w:hAnsi="Times New Roman" w:cs="Times New Roman"/>
          <w:sz w:val="24"/>
          <w:szCs w:val="24"/>
        </w:rPr>
        <w:t xml:space="preserve"> followed by </w:t>
      </w:r>
      <w:r w:rsidR="00533BA0">
        <w:rPr>
          <w:rFonts w:ascii="Times New Roman" w:hAnsi="Times New Roman" w:cs="Times New Roman"/>
          <w:sz w:val="24"/>
          <w:szCs w:val="24"/>
        </w:rPr>
        <w:t xml:space="preserve">a public </w:t>
      </w:r>
      <w:r w:rsidR="008829A0" w:rsidRPr="00AE141E">
        <w:rPr>
          <w:rFonts w:ascii="Times New Roman" w:hAnsi="Times New Roman" w:cs="Times New Roman"/>
          <w:sz w:val="24"/>
          <w:szCs w:val="24"/>
        </w:rPr>
        <w:t xml:space="preserve">consultation </w:t>
      </w:r>
      <w:r w:rsidR="00533BA0">
        <w:rPr>
          <w:rFonts w:ascii="Times New Roman" w:hAnsi="Times New Roman" w:cs="Times New Roman"/>
          <w:sz w:val="24"/>
          <w:szCs w:val="24"/>
        </w:rPr>
        <w:t>which would inform</w:t>
      </w:r>
      <w:r w:rsidR="008829A0" w:rsidRPr="00AE141E">
        <w:rPr>
          <w:rFonts w:ascii="Times New Roman" w:hAnsi="Times New Roman" w:cs="Times New Roman"/>
          <w:sz w:val="24"/>
          <w:szCs w:val="24"/>
        </w:rPr>
        <w:t xml:space="preserve"> a revised Final Report (released on 3 April 1990). </w:t>
      </w:r>
    </w:p>
    <w:p w14:paraId="587F82BC" w14:textId="77777777" w:rsidR="00E1550F" w:rsidRDefault="00E82191" w:rsidP="00AE141E">
      <w:pPr>
        <w:spacing w:line="360" w:lineRule="auto"/>
        <w:rPr>
          <w:rFonts w:ascii="Times New Roman" w:hAnsi="Times New Roman" w:cs="Times New Roman"/>
          <w:sz w:val="24"/>
          <w:szCs w:val="24"/>
        </w:rPr>
      </w:pPr>
      <w:r>
        <w:rPr>
          <w:rFonts w:ascii="Times New Roman" w:hAnsi="Times New Roman" w:cs="Times New Roman"/>
          <w:sz w:val="24"/>
          <w:szCs w:val="24"/>
        </w:rPr>
        <w:t>The</w:t>
      </w:r>
      <w:r w:rsidR="0079561C" w:rsidRPr="00AE141E">
        <w:rPr>
          <w:rFonts w:ascii="Times New Roman" w:hAnsi="Times New Roman" w:cs="Times New Roman"/>
          <w:sz w:val="24"/>
          <w:szCs w:val="24"/>
        </w:rPr>
        <w:t xml:space="preserve"> changes implemented by the ERA went far beyond curricular design. Thatcher beg</w:t>
      </w:r>
      <w:r w:rsidR="00DC5D61">
        <w:rPr>
          <w:rFonts w:ascii="Times New Roman" w:hAnsi="Times New Roman" w:cs="Times New Roman"/>
          <w:sz w:val="24"/>
          <w:szCs w:val="24"/>
        </w:rPr>
        <w:t>an</w:t>
      </w:r>
      <w:r w:rsidR="0079561C" w:rsidRPr="00AE141E">
        <w:rPr>
          <w:rFonts w:ascii="Times New Roman" w:hAnsi="Times New Roman" w:cs="Times New Roman"/>
          <w:sz w:val="24"/>
          <w:szCs w:val="24"/>
        </w:rPr>
        <w:t xml:space="preserve"> her attack on the regional </w:t>
      </w:r>
      <w:r w:rsidR="00D72C69" w:rsidRPr="00AE141E">
        <w:rPr>
          <w:rFonts w:ascii="Times New Roman" w:hAnsi="Times New Roman" w:cs="Times New Roman"/>
          <w:sz w:val="24"/>
          <w:szCs w:val="24"/>
        </w:rPr>
        <w:t>powerbases</w:t>
      </w:r>
      <w:r w:rsidR="0079561C" w:rsidRPr="00AE141E">
        <w:rPr>
          <w:rFonts w:ascii="Times New Roman" w:hAnsi="Times New Roman" w:cs="Times New Roman"/>
          <w:sz w:val="24"/>
          <w:szCs w:val="24"/>
        </w:rPr>
        <w:t xml:space="preserve"> of the left with the abolition of seven Labour-led metropolitan councils (effective from 1 April 1986) and</w:t>
      </w:r>
      <w:r w:rsidR="00932A10" w:rsidRPr="00AE141E">
        <w:rPr>
          <w:rFonts w:ascii="Times New Roman" w:hAnsi="Times New Roman" w:cs="Times New Roman"/>
          <w:sz w:val="24"/>
          <w:szCs w:val="24"/>
        </w:rPr>
        <w:t xml:space="preserve"> the</w:t>
      </w:r>
      <w:r w:rsidR="0079561C" w:rsidRPr="00AE141E">
        <w:rPr>
          <w:rFonts w:ascii="Times New Roman" w:hAnsi="Times New Roman" w:cs="Times New Roman"/>
          <w:sz w:val="24"/>
          <w:szCs w:val="24"/>
        </w:rPr>
        <w:t xml:space="preserve"> imposition of </w:t>
      </w:r>
      <w:r w:rsidR="00932A10" w:rsidRPr="00AE141E">
        <w:rPr>
          <w:rFonts w:ascii="Times New Roman" w:hAnsi="Times New Roman" w:cs="Times New Roman"/>
          <w:sz w:val="24"/>
          <w:szCs w:val="24"/>
        </w:rPr>
        <w:t>‘</w:t>
      </w:r>
      <w:r w:rsidR="0079561C" w:rsidRPr="00AE141E">
        <w:rPr>
          <w:rFonts w:ascii="Times New Roman" w:hAnsi="Times New Roman" w:cs="Times New Roman"/>
          <w:sz w:val="24"/>
          <w:szCs w:val="24"/>
        </w:rPr>
        <w:t>rate-capping</w:t>
      </w:r>
      <w:r w:rsidR="00932A10" w:rsidRPr="00AE141E">
        <w:rPr>
          <w:rFonts w:ascii="Times New Roman" w:hAnsi="Times New Roman" w:cs="Times New Roman"/>
          <w:sz w:val="24"/>
          <w:szCs w:val="24"/>
        </w:rPr>
        <w:t>’</w:t>
      </w:r>
      <w:r w:rsidR="0079561C" w:rsidRPr="00AE141E">
        <w:rPr>
          <w:rFonts w:ascii="Times New Roman" w:hAnsi="Times New Roman" w:cs="Times New Roman"/>
          <w:sz w:val="24"/>
          <w:szCs w:val="24"/>
        </w:rPr>
        <w:t xml:space="preserve"> on council spending. ERA continued this project by introducing a new category of ‘Grant Maintained Schools’, which enabled schools to opt out of local authority control and be funded by central government. About a quarter of all state schools eventually chose to reconstitute themselves along these lines.</w:t>
      </w:r>
      <w:r w:rsidR="00145805" w:rsidRPr="00AE141E">
        <w:rPr>
          <w:rStyle w:val="FootnoteReference"/>
          <w:rFonts w:ascii="Times New Roman" w:hAnsi="Times New Roman" w:cs="Times New Roman"/>
          <w:sz w:val="24"/>
          <w:szCs w:val="24"/>
        </w:rPr>
        <w:footnoteReference w:id="773"/>
      </w:r>
      <w:r w:rsidR="0079561C" w:rsidRPr="00AE141E">
        <w:rPr>
          <w:rFonts w:ascii="Times New Roman" w:hAnsi="Times New Roman" w:cs="Times New Roman"/>
          <w:sz w:val="24"/>
          <w:szCs w:val="24"/>
        </w:rPr>
        <w:t xml:space="preserve"> Unsurprisingly, the same legislation specifically targeted the ILEA for abolition, following the dissolution of its parent body, the Greater London Council, two years previously. </w:t>
      </w:r>
    </w:p>
    <w:p w14:paraId="030A28A4" w14:textId="530C8958" w:rsidR="0079561C" w:rsidRPr="00AE141E" w:rsidRDefault="0079561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abolition of the ILEA eliminated an important, well-funded centre of educational resource production cut off its independent powers of resource production. As we have seen, materials funded and/or issued by the ILEA had influenced the development of multicultural and anti-racist education far beyond the city’s limits</w:t>
      </w:r>
      <w:r w:rsidR="00317567">
        <w:rPr>
          <w:rFonts w:ascii="Times New Roman" w:hAnsi="Times New Roman" w:cs="Times New Roman"/>
          <w:sz w:val="24"/>
          <w:szCs w:val="24"/>
        </w:rPr>
        <w:t>. I</w:t>
      </w:r>
      <w:r w:rsidRPr="00AE141E">
        <w:rPr>
          <w:rFonts w:ascii="Times New Roman" w:hAnsi="Times New Roman" w:cs="Times New Roman"/>
          <w:sz w:val="24"/>
          <w:szCs w:val="24"/>
        </w:rPr>
        <w:t>ts</w:t>
      </w:r>
      <w:r w:rsidR="009A5C2D">
        <w:rPr>
          <w:rFonts w:ascii="Times New Roman" w:hAnsi="Times New Roman" w:cs="Times New Roman"/>
          <w:sz w:val="24"/>
          <w:szCs w:val="24"/>
        </w:rPr>
        <w:t xml:space="preserve"> </w:t>
      </w:r>
      <w:r w:rsidRPr="00AE141E">
        <w:rPr>
          <w:rFonts w:ascii="Times New Roman" w:hAnsi="Times New Roman" w:cs="Times New Roman"/>
          <w:sz w:val="24"/>
          <w:szCs w:val="24"/>
        </w:rPr>
        <w:t xml:space="preserve">loss would also be felt beyond the Greater London area. As the decade drew to a close, one journalist reflected that Thatcherite education policy seemed to be characterised by a ‘definite though unformulated attempt to </w:t>
      </w:r>
      <w:r w:rsidRPr="00AE141E">
        <w:rPr>
          <w:rFonts w:ascii="Times New Roman" w:hAnsi="Times New Roman" w:cs="Times New Roman"/>
          <w:sz w:val="24"/>
          <w:szCs w:val="24"/>
        </w:rPr>
        <w:lastRenderedPageBreak/>
        <w:t>starve multicultural education of resources and let it wither on the vine’.</w:t>
      </w:r>
      <w:r w:rsidR="002F28B7" w:rsidRPr="00AE141E">
        <w:rPr>
          <w:rStyle w:val="FootnoteReference"/>
          <w:rFonts w:ascii="Times New Roman" w:hAnsi="Times New Roman" w:cs="Times New Roman"/>
          <w:sz w:val="24"/>
          <w:szCs w:val="24"/>
        </w:rPr>
        <w:footnoteReference w:id="774"/>
      </w:r>
      <w:r w:rsidRPr="00AE141E">
        <w:rPr>
          <w:rFonts w:ascii="Times New Roman" w:hAnsi="Times New Roman" w:cs="Times New Roman"/>
          <w:sz w:val="24"/>
          <w:szCs w:val="24"/>
        </w:rPr>
        <w:t xml:space="preserve"> Along with the individual, subject-based </w:t>
      </w:r>
      <w:r w:rsidR="001E0C5A" w:rsidRPr="00AE141E">
        <w:rPr>
          <w:rFonts w:ascii="Times New Roman" w:hAnsi="Times New Roman" w:cs="Times New Roman"/>
          <w:sz w:val="24"/>
          <w:szCs w:val="24"/>
        </w:rPr>
        <w:t>W</w:t>
      </w:r>
      <w:r w:rsidRPr="00AE141E">
        <w:rPr>
          <w:rFonts w:ascii="Times New Roman" w:hAnsi="Times New Roman" w:cs="Times New Roman"/>
          <w:sz w:val="24"/>
          <w:szCs w:val="24"/>
        </w:rPr>
        <w:t xml:space="preserve">orking </w:t>
      </w:r>
      <w:r w:rsidR="001E0C5A" w:rsidRPr="00AE141E">
        <w:rPr>
          <w:rFonts w:ascii="Times New Roman" w:hAnsi="Times New Roman" w:cs="Times New Roman"/>
          <w:sz w:val="24"/>
          <w:szCs w:val="24"/>
        </w:rPr>
        <w:t>G</w:t>
      </w:r>
      <w:r w:rsidRPr="00AE141E">
        <w:rPr>
          <w:rFonts w:ascii="Times New Roman" w:hAnsi="Times New Roman" w:cs="Times New Roman"/>
          <w:sz w:val="24"/>
          <w:szCs w:val="24"/>
        </w:rPr>
        <w:t xml:space="preserve">roups, Baker established a Multicultural Task Group, which was intended to formulate </w:t>
      </w:r>
      <w:r w:rsidR="00E31F12" w:rsidRPr="00AE141E">
        <w:rPr>
          <w:rFonts w:ascii="Times New Roman" w:hAnsi="Times New Roman" w:cs="Times New Roman"/>
          <w:sz w:val="24"/>
          <w:szCs w:val="24"/>
        </w:rPr>
        <w:t>‘</w:t>
      </w:r>
      <w:r w:rsidRPr="00AE141E">
        <w:rPr>
          <w:rFonts w:ascii="Times New Roman" w:hAnsi="Times New Roman" w:cs="Times New Roman"/>
          <w:sz w:val="24"/>
          <w:szCs w:val="24"/>
        </w:rPr>
        <w:t>guidelines on multicultural education in the National Curriculum</w:t>
      </w:r>
      <w:r w:rsidR="00E31F12" w:rsidRPr="00AE141E">
        <w:rPr>
          <w:rFonts w:ascii="Times New Roman" w:hAnsi="Times New Roman" w:cs="Times New Roman"/>
          <w:sz w:val="24"/>
          <w:szCs w:val="24"/>
        </w:rPr>
        <w:t>’</w:t>
      </w:r>
      <w:r w:rsidRPr="00AE141E">
        <w:rPr>
          <w:rFonts w:ascii="Times New Roman" w:hAnsi="Times New Roman" w:cs="Times New Roman"/>
          <w:sz w:val="24"/>
          <w:szCs w:val="24"/>
        </w:rPr>
        <w:t>. As Sally Tomlinson notes, however, their report was never published: ‘the most that was conceded was one page in a National Curriculum Council Newsletter’.</w:t>
      </w:r>
      <w:r w:rsidR="0092023B" w:rsidRPr="00AE141E">
        <w:rPr>
          <w:rStyle w:val="FootnoteReference"/>
          <w:rFonts w:ascii="Times New Roman" w:hAnsi="Times New Roman" w:cs="Times New Roman"/>
          <w:sz w:val="24"/>
          <w:szCs w:val="24"/>
        </w:rPr>
        <w:footnoteReference w:id="775"/>
      </w:r>
    </w:p>
    <w:p w14:paraId="37C5DE7D" w14:textId="5D5CFDD8" w:rsidR="0079561C" w:rsidRPr="00AE141E" w:rsidRDefault="0079561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Bob Carter and Ian Grosvenor have argued that ERA reflects the success of the New Right in </w:t>
      </w:r>
      <w:r w:rsidR="00A63A20">
        <w:rPr>
          <w:rFonts w:ascii="Times New Roman" w:hAnsi="Times New Roman" w:cs="Times New Roman"/>
          <w:sz w:val="24"/>
          <w:szCs w:val="24"/>
        </w:rPr>
        <w:t>establishing</w:t>
      </w:r>
      <w:r w:rsidRPr="00AE141E">
        <w:rPr>
          <w:rFonts w:ascii="Times New Roman" w:hAnsi="Times New Roman" w:cs="Times New Roman"/>
          <w:sz w:val="24"/>
          <w:szCs w:val="24"/>
        </w:rPr>
        <w:t xml:space="preserve"> </w:t>
      </w:r>
      <w:r w:rsidR="00AA2E2E">
        <w:rPr>
          <w:rFonts w:ascii="Times New Roman" w:hAnsi="Times New Roman" w:cs="Times New Roman"/>
          <w:sz w:val="24"/>
          <w:szCs w:val="24"/>
        </w:rPr>
        <w:t>political hegemony</w:t>
      </w:r>
      <w:r w:rsidRPr="00AE141E">
        <w:rPr>
          <w:rFonts w:ascii="Times New Roman" w:hAnsi="Times New Roman" w:cs="Times New Roman"/>
          <w:sz w:val="24"/>
          <w:szCs w:val="24"/>
        </w:rPr>
        <w:t>.</w:t>
      </w:r>
      <w:r w:rsidR="00C879D5" w:rsidRPr="00AE141E">
        <w:rPr>
          <w:rStyle w:val="FootnoteReference"/>
          <w:rFonts w:ascii="Times New Roman" w:hAnsi="Times New Roman" w:cs="Times New Roman"/>
          <w:sz w:val="24"/>
          <w:szCs w:val="24"/>
        </w:rPr>
        <w:footnoteReference w:id="776"/>
      </w:r>
      <w:r w:rsidRPr="00AE141E">
        <w:rPr>
          <w:rFonts w:ascii="Times New Roman" w:hAnsi="Times New Roman" w:cs="Times New Roman"/>
          <w:sz w:val="24"/>
          <w:szCs w:val="24"/>
        </w:rPr>
        <w:t xml:space="preserve"> Nevertheless, the process of creating the National Curriculum also highlighted the New Right’s internal divisions. An exploration of the road to drafting and implementing the National Curriculum in History helps to display the competing and contradictory nature of the two</w:t>
      </w:r>
      <w:r w:rsidR="00FA6234"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tendencies </w:t>
      </w:r>
      <w:r w:rsidR="00FA6234" w:rsidRPr="00AE141E">
        <w:rPr>
          <w:rFonts w:ascii="Times New Roman" w:hAnsi="Times New Roman" w:cs="Times New Roman"/>
          <w:sz w:val="24"/>
          <w:szCs w:val="24"/>
        </w:rPr>
        <w:t>–</w:t>
      </w:r>
      <w:r w:rsidRPr="00AE141E">
        <w:rPr>
          <w:rFonts w:ascii="Times New Roman" w:hAnsi="Times New Roman" w:cs="Times New Roman"/>
          <w:sz w:val="24"/>
          <w:szCs w:val="24"/>
        </w:rPr>
        <w:t xml:space="preserve"> neoliberal</w:t>
      </w:r>
      <w:r w:rsidR="00FA6234"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and </w:t>
      </w:r>
      <w:r w:rsidR="001233CE" w:rsidRPr="00AE141E">
        <w:rPr>
          <w:rFonts w:ascii="Times New Roman" w:hAnsi="Times New Roman" w:cs="Times New Roman"/>
          <w:sz w:val="24"/>
          <w:szCs w:val="24"/>
        </w:rPr>
        <w:t>neo-conservative/</w:t>
      </w:r>
      <w:r w:rsidRPr="00AE141E">
        <w:rPr>
          <w:rFonts w:ascii="Times New Roman" w:hAnsi="Times New Roman" w:cs="Times New Roman"/>
          <w:sz w:val="24"/>
          <w:szCs w:val="24"/>
        </w:rPr>
        <w:t xml:space="preserve">social authoritarian </w:t>
      </w:r>
      <w:r w:rsidR="00FA6234" w:rsidRPr="00AE141E">
        <w:rPr>
          <w:rFonts w:ascii="Times New Roman" w:hAnsi="Times New Roman" w:cs="Times New Roman"/>
          <w:sz w:val="24"/>
          <w:szCs w:val="24"/>
        </w:rPr>
        <w:t>–</w:t>
      </w:r>
      <w:r w:rsidRPr="00AE141E">
        <w:rPr>
          <w:rFonts w:ascii="Times New Roman" w:hAnsi="Times New Roman" w:cs="Times New Roman"/>
          <w:sz w:val="24"/>
          <w:szCs w:val="24"/>
        </w:rPr>
        <w:t xml:space="preserve"> which</w:t>
      </w:r>
      <w:r w:rsidR="00FA6234" w:rsidRPr="00AE141E">
        <w:rPr>
          <w:rFonts w:ascii="Times New Roman" w:hAnsi="Times New Roman" w:cs="Times New Roman"/>
          <w:sz w:val="24"/>
          <w:szCs w:val="24"/>
        </w:rPr>
        <w:t xml:space="preserve"> </w:t>
      </w:r>
      <w:r w:rsidRPr="00AE141E">
        <w:rPr>
          <w:rFonts w:ascii="Times New Roman" w:hAnsi="Times New Roman" w:cs="Times New Roman"/>
          <w:sz w:val="24"/>
          <w:szCs w:val="24"/>
        </w:rPr>
        <w:t>had birthed it. As Thatcher herself ultimately recognised, to discipline teachers and students alike through the imposition of a centrally mandated curriculum was to extend the reach of the British state into hitherto unprecedented areas. </w:t>
      </w:r>
    </w:p>
    <w:p w14:paraId="3CF5431F" w14:textId="468B3469" w:rsidR="0079561C" w:rsidRPr="00AE141E" w:rsidRDefault="0079561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According to Thatcher’s chief policy advisor, Brian Griffiths, it was the Prime Minister’s fear of ‘left-wing activists imposing bad history’ on their young charges which formed a key motivation for the creation of the National Curriculum.</w:t>
      </w:r>
      <w:r w:rsidR="009E2D91" w:rsidRPr="00AE141E">
        <w:rPr>
          <w:rStyle w:val="FootnoteReference"/>
          <w:rFonts w:ascii="Times New Roman" w:hAnsi="Times New Roman" w:cs="Times New Roman"/>
          <w:sz w:val="24"/>
          <w:szCs w:val="24"/>
        </w:rPr>
        <w:footnoteReference w:id="777"/>
      </w:r>
      <w:r w:rsidRPr="00AE141E">
        <w:rPr>
          <w:rFonts w:ascii="Times New Roman" w:hAnsi="Times New Roman" w:cs="Times New Roman"/>
          <w:sz w:val="24"/>
          <w:szCs w:val="24"/>
        </w:rPr>
        <w:t xml:space="preserve"> Given history’s powerful association with the process of reproducing the nation-state, and its important role in the construction of individual identities, it is unsurprising that it proved the most controversial of all subjects </w:t>
      </w:r>
      <w:r w:rsidR="00163820">
        <w:rPr>
          <w:rFonts w:ascii="Times New Roman" w:hAnsi="Times New Roman" w:cs="Times New Roman"/>
          <w:sz w:val="24"/>
          <w:szCs w:val="24"/>
        </w:rPr>
        <w:t>slated</w:t>
      </w:r>
      <w:r w:rsidRPr="00AE141E">
        <w:rPr>
          <w:rFonts w:ascii="Times New Roman" w:hAnsi="Times New Roman" w:cs="Times New Roman"/>
          <w:sz w:val="24"/>
          <w:szCs w:val="24"/>
        </w:rPr>
        <w:t xml:space="preserve"> for inclusion in the National Curriculum. The stakes were far too high for it to be otherwise. New Right commentators viewed this as a generational chance to influence the moral and ideological </w:t>
      </w:r>
      <w:r w:rsidR="00B454BF">
        <w:rPr>
          <w:rFonts w:ascii="Times New Roman" w:hAnsi="Times New Roman" w:cs="Times New Roman"/>
          <w:sz w:val="24"/>
          <w:szCs w:val="24"/>
        </w:rPr>
        <w:t>positions</w:t>
      </w:r>
      <w:r w:rsidRPr="00AE141E">
        <w:rPr>
          <w:rFonts w:ascii="Times New Roman" w:hAnsi="Times New Roman" w:cs="Times New Roman"/>
          <w:sz w:val="24"/>
          <w:szCs w:val="24"/>
        </w:rPr>
        <w:t xml:space="preserve"> of the young. History teachers and their representative bodies (including </w:t>
      </w:r>
      <w:r w:rsidR="00B454BF">
        <w:rPr>
          <w:rFonts w:ascii="Times New Roman" w:hAnsi="Times New Roman" w:cs="Times New Roman"/>
          <w:sz w:val="24"/>
          <w:szCs w:val="24"/>
        </w:rPr>
        <w:t>trades unions</w:t>
      </w:r>
      <w:r w:rsidRPr="00AE141E">
        <w:rPr>
          <w:rFonts w:ascii="Times New Roman" w:hAnsi="Times New Roman" w:cs="Times New Roman"/>
          <w:sz w:val="24"/>
          <w:szCs w:val="24"/>
        </w:rPr>
        <w:t xml:space="preserve"> and the </w:t>
      </w:r>
      <w:r w:rsidR="002B025F" w:rsidRPr="00AE141E">
        <w:rPr>
          <w:rFonts w:ascii="Times New Roman" w:hAnsi="Times New Roman" w:cs="Times New Roman"/>
          <w:sz w:val="24"/>
          <w:szCs w:val="24"/>
        </w:rPr>
        <w:t>HA</w:t>
      </w:r>
      <w:r w:rsidRPr="00AE141E">
        <w:rPr>
          <w:rFonts w:ascii="Times New Roman" w:hAnsi="Times New Roman" w:cs="Times New Roman"/>
          <w:sz w:val="24"/>
          <w:szCs w:val="24"/>
        </w:rPr>
        <w:t xml:space="preserve">) felt that they were fighting a rear-guard action to defend their professional dignity. Those involved in the </w:t>
      </w:r>
      <w:r w:rsidR="007D4648">
        <w:rPr>
          <w:rFonts w:ascii="Times New Roman" w:hAnsi="Times New Roman" w:cs="Times New Roman"/>
          <w:sz w:val="24"/>
          <w:szCs w:val="24"/>
        </w:rPr>
        <w:t>radical educational</w:t>
      </w:r>
      <w:r w:rsidRPr="00AE141E">
        <w:rPr>
          <w:rFonts w:ascii="Times New Roman" w:hAnsi="Times New Roman" w:cs="Times New Roman"/>
          <w:sz w:val="24"/>
          <w:szCs w:val="24"/>
        </w:rPr>
        <w:t xml:space="preserve"> initiatives of the previous decade found themselves in an increasingly hostile political context, faced by substantially narrower scope for autonomous experimentation. For students, as for teachers, the increased focus on graded assessment imposed </w:t>
      </w:r>
      <w:r w:rsidR="00D72C69" w:rsidRPr="00AE141E">
        <w:rPr>
          <w:rFonts w:ascii="Times New Roman" w:hAnsi="Times New Roman" w:cs="Times New Roman"/>
          <w:sz w:val="24"/>
          <w:szCs w:val="24"/>
        </w:rPr>
        <w:t>restrictions</w:t>
      </w:r>
      <w:r w:rsidRPr="00AE141E">
        <w:rPr>
          <w:rFonts w:ascii="Times New Roman" w:hAnsi="Times New Roman" w:cs="Times New Roman"/>
          <w:sz w:val="24"/>
          <w:szCs w:val="24"/>
        </w:rPr>
        <w:t xml:space="preserve"> on time, energy, and classroom resources </w:t>
      </w:r>
      <w:r w:rsidR="00AD48D4">
        <w:rPr>
          <w:rFonts w:ascii="Times New Roman" w:hAnsi="Times New Roman" w:cs="Times New Roman"/>
          <w:sz w:val="24"/>
          <w:szCs w:val="24"/>
        </w:rPr>
        <w:t>–</w:t>
      </w:r>
      <w:r w:rsidRPr="00AE141E">
        <w:rPr>
          <w:rFonts w:ascii="Times New Roman" w:hAnsi="Times New Roman" w:cs="Times New Roman"/>
          <w:sz w:val="24"/>
          <w:szCs w:val="24"/>
        </w:rPr>
        <w:t xml:space="preserve"> as</w:t>
      </w:r>
      <w:r w:rsidR="00AD48D4">
        <w:rPr>
          <w:rFonts w:ascii="Times New Roman" w:hAnsi="Times New Roman" w:cs="Times New Roman"/>
          <w:sz w:val="24"/>
          <w:szCs w:val="24"/>
        </w:rPr>
        <w:t xml:space="preserve"> </w:t>
      </w:r>
      <w:r w:rsidRPr="00AE141E">
        <w:rPr>
          <w:rFonts w:ascii="Times New Roman" w:hAnsi="Times New Roman" w:cs="Times New Roman"/>
          <w:sz w:val="24"/>
          <w:szCs w:val="24"/>
        </w:rPr>
        <w:t>well as presenting a newly competitive, intens</w:t>
      </w:r>
      <w:r w:rsidR="00D621B7" w:rsidRPr="00AE141E">
        <w:rPr>
          <w:rFonts w:ascii="Times New Roman" w:hAnsi="Times New Roman" w:cs="Times New Roman"/>
          <w:sz w:val="24"/>
          <w:szCs w:val="24"/>
        </w:rPr>
        <w:t>e</w:t>
      </w:r>
      <w:r w:rsidRPr="00AE141E">
        <w:rPr>
          <w:rFonts w:ascii="Times New Roman" w:hAnsi="Times New Roman" w:cs="Times New Roman"/>
          <w:sz w:val="24"/>
          <w:szCs w:val="24"/>
        </w:rPr>
        <w:t xml:space="preserve"> emotional landscape. </w:t>
      </w:r>
    </w:p>
    <w:p w14:paraId="0345FF9B" w14:textId="4B8F94ED" w:rsidR="00D621B7" w:rsidRPr="00AE141E" w:rsidRDefault="00D621B7"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lastRenderedPageBreak/>
        <w:t>Creating the National Curriculum</w:t>
      </w:r>
      <w:r w:rsidR="009563C3" w:rsidRPr="00AE141E">
        <w:rPr>
          <w:rFonts w:ascii="Times New Roman" w:hAnsi="Times New Roman" w:cs="Times New Roman"/>
          <w:b/>
          <w:bCs/>
          <w:sz w:val="24"/>
          <w:szCs w:val="24"/>
        </w:rPr>
        <w:t>: The History Working Group</w:t>
      </w:r>
    </w:p>
    <w:p w14:paraId="50ADB763" w14:textId="1020AAFE" w:rsidR="00FA44F8" w:rsidRPr="00AE141E" w:rsidRDefault="00BD580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w:t>
      </w:r>
      <w:r w:rsidR="00FA44F8" w:rsidRPr="00AE141E">
        <w:rPr>
          <w:rFonts w:ascii="Times New Roman" w:hAnsi="Times New Roman" w:cs="Times New Roman"/>
          <w:sz w:val="24"/>
          <w:szCs w:val="24"/>
        </w:rPr>
        <w:t xml:space="preserve"> membership of the</w:t>
      </w:r>
      <w:r w:rsidRPr="00AE141E">
        <w:rPr>
          <w:rFonts w:ascii="Times New Roman" w:hAnsi="Times New Roman" w:cs="Times New Roman"/>
          <w:sz w:val="24"/>
          <w:szCs w:val="24"/>
        </w:rPr>
        <w:t xml:space="preserve"> History Working Group (HWG</w:t>
      </w:r>
      <w:r w:rsidR="00FA44F8" w:rsidRPr="00AE141E">
        <w:rPr>
          <w:rFonts w:ascii="Times New Roman" w:hAnsi="Times New Roman" w:cs="Times New Roman"/>
          <w:sz w:val="24"/>
          <w:szCs w:val="24"/>
        </w:rPr>
        <w:t xml:space="preserve">) was determined by the Secretary of State, Kenneth Baker, though appointees had to be acceptable to the Prime Minister and her advisers. The </w:t>
      </w:r>
      <w:r w:rsidR="001E0C5A" w:rsidRPr="00AE141E">
        <w:rPr>
          <w:rFonts w:ascii="Times New Roman" w:hAnsi="Times New Roman" w:cs="Times New Roman"/>
          <w:sz w:val="24"/>
          <w:szCs w:val="24"/>
        </w:rPr>
        <w:t>G</w:t>
      </w:r>
      <w:r w:rsidR="009A0403" w:rsidRPr="00AE141E">
        <w:rPr>
          <w:rFonts w:ascii="Times New Roman" w:hAnsi="Times New Roman" w:cs="Times New Roman"/>
          <w:sz w:val="24"/>
          <w:szCs w:val="24"/>
        </w:rPr>
        <w:t>roup’s</w:t>
      </w:r>
      <w:r w:rsidR="00FA44F8" w:rsidRPr="00AE141E">
        <w:rPr>
          <w:rFonts w:ascii="Times New Roman" w:hAnsi="Times New Roman" w:cs="Times New Roman"/>
          <w:sz w:val="24"/>
          <w:szCs w:val="24"/>
        </w:rPr>
        <w:t xml:space="preserve"> deliberations were supposed to generate a nationally enforceable curriculum with statutory status </w:t>
      </w:r>
      <w:r w:rsidR="009A0403" w:rsidRPr="00AE141E">
        <w:rPr>
          <w:rFonts w:ascii="Times New Roman" w:hAnsi="Times New Roman" w:cs="Times New Roman"/>
          <w:sz w:val="24"/>
          <w:szCs w:val="24"/>
        </w:rPr>
        <w:t>–</w:t>
      </w:r>
      <w:r w:rsidR="00FA44F8" w:rsidRPr="00AE141E">
        <w:rPr>
          <w:rFonts w:ascii="Times New Roman" w:hAnsi="Times New Roman" w:cs="Times New Roman"/>
          <w:sz w:val="24"/>
          <w:szCs w:val="24"/>
        </w:rPr>
        <w:t xml:space="preserve"> a</w:t>
      </w:r>
      <w:r w:rsidR="009A0403" w:rsidRPr="00AE141E">
        <w:rPr>
          <w:rFonts w:ascii="Times New Roman" w:hAnsi="Times New Roman" w:cs="Times New Roman"/>
          <w:sz w:val="24"/>
          <w:szCs w:val="24"/>
        </w:rPr>
        <w:t xml:space="preserve"> </w:t>
      </w:r>
      <w:r w:rsidR="00FA44F8" w:rsidRPr="00AE141E">
        <w:rPr>
          <w:rFonts w:ascii="Times New Roman" w:hAnsi="Times New Roman" w:cs="Times New Roman"/>
          <w:sz w:val="24"/>
          <w:szCs w:val="24"/>
        </w:rPr>
        <w:t xml:space="preserve">high risk, high reward political strategy. The ‘right’ framework and membership would guarantee and standardise a form of teaching acceptable to Thatcher and her allies. As </w:t>
      </w:r>
      <w:r w:rsidR="009A0403" w:rsidRPr="00AE141E">
        <w:rPr>
          <w:rFonts w:ascii="Times New Roman" w:hAnsi="Times New Roman" w:cs="Times New Roman"/>
          <w:sz w:val="24"/>
          <w:szCs w:val="24"/>
        </w:rPr>
        <w:t>Griffiths</w:t>
      </w:r>
      <w:r w:rsidR="00FA44F8" w:rsidRPr="00AE141E">
        <w:rPr>
          <w:rFonts w:ascii="Times New Roman" w:hAnsi="Times New Roman" w:cs="Times New Roman"/>
          <w:sz w:val="24"/>
          <w:szCs w:val="24"/>
        </w:rPr>
        <w:t xml:space="preserve"> reflected, the ‘wrong’ choices could ‘enshrine the very weaknesses which led [the Prime Minister] to reform education in the first place’</w:t>
      </w:r>
      <w:r w:rsidR="0029054F">
        <w:rPr>
          <w:rFonts w:ascii="Times New Roman" w:hAnsi="Times New Roman" w:cs="Times New Roman"/>
          <w:sz w:val="24"/>
          <w:szCs w:val="24"/>
        </w:rPr>
        <w:t>.</w:t>
      </w:r>
      <w:r w:rsidR="0069742C" w:rsidRPr="00AE141E">
        <w:rPr>
          <w:rStyle w:val="FootnoteReference"/>
          <w:rFonts w:ascii="Times New Roman" w:hAnsi="Times New Roman" w:cs="Times New Roman"/>
          <w:sz w:val="24"/>
          <w:szCs w:val="24"/>
        </w:rPr>
        <w:footnoteReference w:id="778"/>
      </w:r>
      <w:r w:rsidR="00FA44F8" w:rsidRPr="00AE141E">
        <w:rPr>
          <w:rFonts w:ascii="Times New Roman" w:hAnsi="Times New Roman" w:cs="Times New Roman"/>
          <w:sz w:val="24"/>
          <w:szCs w:val="24"/>
        </w:rPr>
        <w:t xml:space="preserve"> Thatcher</w:t>
      </w:r>
      <w:r w:rsidR="00DD530E">
        <w:rPr>
          <w:rFonts w:ascii="Times New Roman" w:hAnsi="Times New Roman" w:cs="Times New Roman"/>
          <w:sz w:val="24"/>
          <w:szCs w:val="24"/>
        </w:rPr>
        <w:t>’s</w:t>
      </w:r>
      <w:r w:rsidR="00FA44F8" w:rsidRPr="00AE141E">
        <w:rPr>
          <w:rFonts w:ascii="Times New Roman" w:hAnsi="Times New Roman" w:cs="Times New Roman"/>
          <w:sz w:val="24"/>
          <w:szCs w:val="24"/>
        </w:rPr>
        <w:t xml:space="preserve"> correspondence reveals a deep concern with Baker’s initial proposals for membership of the HWG, especially with regards to the inclusion of Denis Shemilt in the list of appointees. </w:t>
      </w:r>
      <w:r w:rsidR="00EE0CF5" w:rsidRPr="00AE141E">
        <w:rPr>
          <w:rFonts w:ascii="Times New Roman" w:hAnsi="Times New Roman" w:cs="Times New Roman"/>
          <w:sz w:val="24"/>
          <w:szCs w:val="24"/>
        </w:rPr>
        <w:t xml:space="preserve">Shemilt was, by virtue of his involvement in the </w:t>
      </w:r>
      <w:r w:rsidR="00822CA1" w:rsidRPr="00AE141E">
        <w:rPr>
          <w:rFonts w:ascii="Times New Roman" w:hAnsi="Times New Roman" w:cs="Times New Roman"/>
          <w:sz w:val="24"/>
          <w:szCs w:val="24"/>
        </w:rPr>
        <w:t>innovatory, skills-based SCHP, strongly associated with the</w:t>
      </w:r>
      <w:r w:rsidR="00FA44F8" w:rsidRPr="00AE141E">
        <w:rPr>
          <w:rFonts w:ascii="Times New Roman" w:hAnsi="Times New Roman" w:cs="Times New Roman"/>
          <w:sz w:val="24"/>
          <w:szCs w:val="24"/>
        </w:rPr>
        <w:t xml:space="preserve"> ‘</w:t>
      </w:r>
      <w:r w:rsidR="00573025" w:rsidRPr="00AE141E">
        <w:rPr>
          <w:rFonts w:ascii="Times New Roman" w:hAnsi="Times New Roman" w:cs="Times New Roman"/>
          <w:sz w:val="24"/>
          <w:szCs w:val="24"/>
        </w:rPr>
        <w:t>n</w:t>
      </w:r>
      <w:r w:rsidR="00FA44F8" w:rsidRPr="00AE141E">
        <w:rPr>
          <w:rFonts w:ascii="Times New Roman" w:hAnsi="Times New Roman" w:cs="Times New Roman"/>
          <w:sz w:val="24"/>
          <w:szCs w:val="24"/>
        </w:rPr>
        <w:t xml:space="preserve">ew </w:t>
      </w:r>
      <w:r w:rsidR="00573025" w:rsidRPr="00AE141E">
        <w:rPr>
          <w:rFonts w:ascii="Times New Roman" w:hAnsi="Times New Roman" w:cs="Times New Roman"/>
          <w:sz w:val="24"/>
          <w:szCs w:val="24"/>
        </w:rPr>
        <w:t>h</w:t>
      </w:r>
      <w:r w:rsidR="00FA44F8" w:rsidRPr="00AE141E">
        <w:rPr>
          <w:rFonts w:ascii="Times New Roman" w:hAnsi="Times New Roman" w:cs="Times New Roman"/>
          <w:sz w:val="24"/>
          <w:szCs w:val="24"/>
        </w:rPr>
        <w:t>istory’. </w:t>
      </w:r>
      <w:r w:rsidR="008A2FC1" w:rsidRPr="00AE141E">
        <w:rPr>
          <w:rFonts w:ascii="Times New Roman" w:hAnsi="Times New Roman" w:cs="Times New Roman"/>
          <w:sz w:val="24"/>
          <w:szCs w:val="24"/>
        </w:rPr>
        <w:t>Thatcher greeted</w:t>
      </w:r>
      <w:r w:rsidR="005D1F43" w:rsidRPr="00AE141E">
        <w:rPr>
          <w:rFonts w:ascii="Times New Roman" w:hAnsi="Times New Roman" w:cs="Times New Roman"/>
          <w:sz w:val="24"/>
          <w:szCs w:val="24"/>
        </w:rPr>
        <w:t xml:space="preserve"> the suggestion </w:t>
      </w:r>
      <w:r w:rsidR="007372F0" w:rsidRPr="00AE141E">
        <w:rPr>
          <w:rFonts w:ascii="Times New Roman" w:hAnsi="Times New Roman" w:cs="Times New Roman"/>
          <w:sz w:val="24"/>
          <w:szCs w:val="24"/>
        </w:rPr>
        <w:t>of his appointment with dismay</w:t>
      </w:r>
      <w:r w:rsidR="002C6ECE" w:rsidRPr="00AE141E">
        <w:rPr>
          <w:rFonts w:ascii="Times New Roman" w:hAnsi="Times New Roman" w:cs="Times New Roman"/>
          <w:sz w:val="24"/>
          <w:szCs w:val="24"/>
        </w:rPr>
        <w:t xml:space="preserve">; in her eyes, it was ‘better not have a core curriculum’ than one based on the </w:t>
      </w:r>
      <w:r w:rsidR="00A17280" w:rsidRPr="00AE141E">
        <w:rPr>
          <w:rFonts w:ascii="Times New Roman" w:hAnsi="Times New Roman" w:cs="Times New Roman"/>
          <w:sz w:val="24"/>
          <w:szCs w:val="24"/>
        </w:rPr>
        <w:t>‘n</w:t>
      </w:r>
      <w:r w:rsidR="002C6ECE" w:rsidRPr="00AE141E">
        <w:rPr>
          <w:rFonts w:ascii="Times New Roman" w:hAnsi="Times New Roman" w:cs="Times New Roman"/>
          <w:sz w:val="24"/>
          <w:szCs w:val="24"/>
        </w:rPr>
        <w:t xml:space="preserve">ew </w:t>
      </w:r>
      <w:r w:rsidR="00A17280" w:rsidRPr="00AE141E">
        <w:rPr>
          <w:rFonts w:ascii="Times New Roman" w:hAnsi="Times New Roman" w:cs="Times New Roman"/>
          <w:sz w:val="24"/>
          <w:szCs w:val="24"/>
        </w:rPr>
        <w:t>h</w:t>
      </w:r>
      <w:r w:rsidR="002C6ECE" w:rsidRPr="00AE141E">
        <w:rPr>
          <w:rFonts w:ascii="Times New Roman" w:hAnsi="Times New Roman" w:cs="Times New Roman"/>
          <w:sz w:val="24"/>
          <w:szCs w:val="24"/>
        </w:rPr>
        <w:t>istory</w:t>
      </w:r>
      <w:r w:rsidR="00A17280" w:rsidRPr="00AE141E">
        <w:rPr>
          <w:rFonts w:ascii="Times New Roman" w:hAnsi="Times New Roman" w:cs="Times New Roman"/>
          <w:sz w:val="24"/>
          <w:szCs w:val="24"/>
        </w:rPr>
        <w:t>’</w:t>
      </w:r>
      <w:r w:rsidR="00BF0EF5" w:rsidRPr="00AE141E">
        <w:rPr>
          <w:rFonts w:ascii="Times New Roman" w:hAnsi="Times New Roman" w:cs="Times New Roman"/>
          <w:sz w:val="24"/>
          <w:szCs w:val="24"/>
        </w:rPr>
        <w:t>.</w:t>
      </w:r>
      <w:r w:rsidR="006065C5" w:rsidRPr="00AE141E">
        <w:rPr>
          <w:rStyle w:val="FootnoteReference"/>
          <w:rFonts w:ascii="Times New Roman" w:hAnsi="Times New Roman" w:cs="Times New Roman"/>
          <w:sz w:val="24"/>
          <w:szCs w:val="24"/>
        </w:rPr>
        <w:footnoteReference w:id="779"/>
      </w:r>
      <w:r w:rsidR="002C6ECE" w:rsidRPr="00AE141E">
        <w:rPr>
          <w:rFonts w:ascii="Times New Roman" w:hAnsi="Times New Roman" w:cs="Times New Roman"/>
          <w:sz w:val="24"/>
          <w:szCs w:val="24"/>
        </w:rPr>
        <w:t xml:space="preserve"> Alan Beattie and </w:t>
      </w:r>
      <w:r w:rsidR="00B162B9" w:rsidRPr="00AE141E">
        <w:rPr>
          <w:rFonts w:ascii="Times New Roman" w:hAnsi="Times New Roman" w:cs="Times New Roman"/>
          <w:sz w:val="24"/>
          <w:szCs w:val="24"/>
        </w:rPr>
        <w:t>Sheila</w:t>
      </w:r>
      <w:r w:rsidR="002C6ECE" w:rsidRPr="00AE141E">
        <w:rPr>
          <w:rFonts w:ascii="Times New Roman" w:hAnsi="Times New Roman" w:cs="Times New Roman"/>
          <w:sz w:val="24"/>
          <w:szCs w:val="24"/>
        </w:rPr>
        <w:t xml:space="preserve"> Lawlor</w:t>
      </w:r>
      <w:r w:rsidR="00700BBC" w:rsidRPr="00AE141E">
        <w:rPr>
          <w:rFonts w:ascii="Times New Roman" w:hAnsi="Times New Roman" w:cs="Times New Roman"/>
          <w:sz w:val="24"/>
          <w:szCs w:val="24"/>
        </w:rPr>
        <w:t xml:space="preserve">, </w:t>
      </w:r>
      <w:r w:rsidR="00394481" w:rsidRPr="00AE141E">
        <w:rPr>
          <w:rFonts w:ascii="Times New Roman" w:hAnsi="Times New Roman" w:cs="Times New Roman"/>
          <w:sz w:val="24"/>
          <w:szCs w:val="24"/>
        </w:rPr>
        <w:t>both associated with the educational interventions of the Centre for Policy Studies, were proposed as alternatives.</w:t>
      </w:r>
    </w:p>
    <w:p w14:paraId="7D51AA05" w14:textId="77777777" w:rsidR="000B1EFA" w:rsidRDefault="006260A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accordance with Thatcher’s wishes, </w:t>
      </w:r>
      <w:r w:rsidR="00F56016" w:rsidRPr="00AE141E">
        <w:rPr>
          <w:rFonts w:ascii="Times New Roman" w:hAnsi="Times New Roman" w:cs="Times New Roman"/>
          <w:sz w:val="24"/>
          <w:szCs w:val="24"/>
        </w:rPr>
        <w:t>Shemilt was</w:t>
      </w:r>
      <w:r w:rsidRPr="00AE141E">
        <w:rPr>
          <w:rFonts w:ascii="Times New Roman" w:hAnsi="Times New Roman" w:cs="Times New Roman"/>
          <w:sz w:val="24"/>
          <w:szCs w:val="24"/>
        </w:rPr>
        <w:t xml:space="preserve"> ultimately </w:t>
      </w:r>
      <w:r w:rsidR="00F56016" w:rsidRPr="00AE141E">
        <w:rPr>
          <w:rFonts w:ascii="Times New Roman" w:hAnsi="Times New Roman" w:cs="Times New Roman"/>
          <w:sz w:val="24"/>
          <w:szCs w:val="24"/>
        </w:rPr>
        <w:t>removed from the proposed list of appointees.</w:t>
      </w:r>
      <w:r w:rsidR="00C3624E" w:rsidRPr="00AE141E">
        <w:rPr>
          <w:rStyle w:val="FootnoteReference"/>
          <w:rFonts w:ascii="Times New Roman" w:hAnsi="Times New Roman" w:cs="Times New Roman"/>
          <w:sz w:val="24"/>
          <w:szCs w:val="24"/>
        </w:rPr>
        <w:footnoteReference w:id="780"/>
      </w:r>
      <w:r w:rsidR="00F56016" w:rsidRPr="00AE141E">
        <w:rPr>
          <w:rFonts w:ascii="Times New Roman" w:hAnsi="Times New Roman" w:cs="Times New Roman"/>
          <w:sz w:val="24"/>
          <w:szCs w:val="24"/>
        </w:rPr>
        <w:t xml:space="preserve"> </w:t>
      </w:r>
      <w:r w:rsidR="00C40BC3" w:rsidRPr="00AE141E">
        <w:rPr>
          <w:rFonts w:ascii="Times New Roman" w:hAnsi="Times New Roman" w:cs="Times New Roman"/>
          <w:sz w:val="24"/>
          <w:szCs w:val="24"/>
        </w:rPr>
        <w:t>His place was</w:t>
      </w:r>
      <w:r w:rsidRPr="00AE141E">
        <w:rPr>
          <w:rFonts w:ascii="Times New Roman" w:hAnsi="Times New Roman" w:cs="Times New Roman"/>
          <w:sz w:val="24"/>
          <w:szCs w:val="24"/>
        </w:rPr>
        <w:t xml:space="preserve"> not, however, taken by a representative of the CPS. Instead, Baker appointed</w:t>
      </w:r>
      <w:r w:rsidR="00C40BC3" w:rsidRPr="00AE141E">
        <w:rPr>
          <w:rFonts w:ascii="Times New Roman" w:hAnsi="Times New Roman" w:cs="Times New Roman"/>
          <w:sz w:val="24"/>
          <w:szCs w:val="24"/>
        </w:rPr>
        <w:t xml:space="preserve"> </w:t>
      </w:r>
      <w:r w:rsidR="00CA7625" w:rsidRPr="00AE141E">
        <w:rPr>
          <w:rFonts w:ascii="Times New Roman" w:hAnsi="Times New Roman" w:cs="Times New Roman"/>
          <w:sz w:val="24"/>
          <w:szCs w:val="24"/>
        </w:rPr>
        <w:t>Dr John Robert</w:t>
      </w:r>
      <w:r w:rsidRPr="00AE141E">
        <w:rPr>
          <w:rFonts w:ascii="Times New Roman" w:hAnsi="Times New Roman" w:cs="Times New Roman"/>
          <w:sz w:val="24"/>
          <w:szCs w:val="24"/>
        </w:rPr>
        <w:t xml:space="preserve">s – an academic historian </w:t>
      </w:r>
      <w:r w:rsidR="00D73A26" w:rsidRPr="00AE141E">
        <w:rPr>
          <w:rFonts w:ascii="Times New Roman" w:hAnsi="Times New Roman" w:cs="Times New Roman"/>
          <w:sz w:val="24"/>
          <w:szCs w:val="24"/>
        </w:rPr>
        <w:t xml:space="preserve">whose </w:t>
      </w:r>
      <w:r w:rsidR="00F30FD3" w:rsidRPr="00AE141E">
        <w:rPr>
          <w:rFonts w:ascii="Times New Roman" w:hAnsi="Times New Roman" w:cs="Times New Roman"/>
          <w:sz w:val="24"/>
          <w:szCs w:val="24"/>
        </w:rPr>
        <w:t>political sympathies were</w:t>
      </w:r>
      <w:r w:rsidR="00E32AA7" w:rsidRPr="00AE141E">
        <w:rPr>
          <w:rFonts w:ascii="Times New Roman" w:hAnsi="Times New Roman" w:cs="Times New Roman"/>
          <w:sz w:val="24"/>
          <w:szCs w:val="24"/>
        </w:rPr>
        <w:t xml:space="preserve"> not a matter of public record</w:t>
      </w:r>
      <w:r w:rsidR="009B5B3A" w:rsidRPr="00AE141E">
        <w:rPr>
          <w:rFonts w:ascii="Times New Roman" w:hAnsi="Times New Roman" w:cs="Times New Roman"/>
          <w:sz w:val="24"/>
          <w:szCs w:val="24"/>
        </w:rPr>
        <w:t>.</w:t>
      </w:r>
      <w:r w:rsidR="00F30FD3" w:rsidRPr="00AE141E">
        <w:rPr>
          <w:rFonts w:ascii="Times New Roman" w:hAnsi="Times New Roman" w:cs="Times New Roman"/>
          <w:sz w:val="24"/>
          <w:szCs w:val="24"/>
        </w:rPr>
        <w:t xml:space="preserve"> </w:t>
      </w:r>
      <w:r w:rsidR="009B5B3A" w:rsidRPr="00AE141E">
        <w:rPr>
          <w:rFonts w:ascii="Times New Roman" w:hAnsi="Times New Roman" w:cs="Times New Roman"/>
          <w:sz w:val="24"/>
          <w:szCs w:val="24"/>
        </w:rPr>
        <w:t xml:space="preserve">The decision to include Roberts was </w:t>
      </w:r>
      <w:r w:rsidR="00C75848">
        <w:rPr>
          <w:rFonts w:ascii="Times New Roman" w:hAnsi="Times New Roman" w:cs="Times New Roman"/>
          <w:sz w:val="24"/>
          <w:szCs w:val="24"/>
        </w:rPr>
        <w:t>redolent</w:t>
      </w:r>
      <w:r w:rsidR="009B5B3A" w:rsidRPr="00AE141E">
        <w:rPr>
          <w:rFonts w:ascii="Times New Roman" w:hAnsi="Times New Roman" w:cs="Times New Roman"/>
          <w:sz w:val="24"/>
          <w:szCs w:val="24"/>
        </w:rPr>
        <w:t xml:space="preserve"> of the general tone of the HWG:</w:t>
      </w:r>
      <w:r w:rsidR="00861075" w:rsidRPr="00AE141E">
        <w:rPr>
          <w:rFonts w:ascii="Times New Roman" w:hAnsi="Times New Roman" w:cs="Times New Roman"/>
          <w:sz w:val="24"/>
          <w:szCs w:val="24"/>
        </w:rPr>
        <w:t xml:space="preserve"> its members were not hardline Thatcherites, but </w:t>
      </w:r>
      <w:r w:rsidR="003174C8" w:rsidRPr="00AE141E">
        <w:rPr>
          <w:rFonts w:ascii="Times New Roman" w:hAnsi="Times New Roman" w:cs="Times New Roman"/>
          <w:sz w:val="24"/>
          <w:szCs w:val="24"/>
        </w:rPr>
        <w:t xml:space="preserve">educators </w:t>
      </w:r>
      <w:r w:rsidR="00FC72B3" w:rsidRPr="00AE141E">
        <w:rPr>
          <w:rFonts w:ascii="Times New Roman" w:hAnsi="Times New Roman" w:cs="Times New Roman"/>
          <w:sz w:val="24"/>
          <w:szCs w:val="24"/>
        </w:rPr>
        <w:t xml:space="preserve">of indeterminate, uncommitted, </w:t>
      </w:r>
      <w:r w:rsidR="006931E3" w:rsidRPr="00AE141E">
        <w:rPr>
          <w:rFonts w:ascii="Times New Roman" w:hAnsi="Times New Roman" w:cs="Times New Roman"/>
          <w:sz w:val="24"/>
          <w:szCs w:val="24"/>
        </w:rPr>
        <w:t>and</w:t>
      </w:r>
      <w:r w:rsidR="00AB2A67" w:rsidRPr="00AE141E">
        <w:rPr>
          <w:rFonts w:ascii="Times New Roman" w:hAnsi="Times New Roman" w:cs="Times New Roman"/>
          <w:sz w:val="24"/>
          <w:szCs w:val="24"/>
        </w:rPr>
        <w:t>/or</w:t>
      </w:r>
      <w:r w:rsidR="006931E3" w:rsidRPr="00AE141E">
        <w:rPr>
          <w:rFonts w:ascii="Times New Roman" w:hAnsi="Times New Roman" w:cs="Times New Roman"/>
          <w:sz w:val="24"/>
          <w:szCs w:val="24"/>
        </w:rPr>
        <w:t xml:space="preserve"> uncontroversial political and ideological leani</w:t>
      </w:r>
      <w:r w:rsidR="00B85BA3" w:rsidRPr="00AE141E">
        <w:rPr>
          <w:rFonts w:ascii="Times New Roman" w:hAnsi="Times New Roman" w:cs="Times New Roman"/>
          <w:sz w:val="24"/>
          <w:szCs w:val="24"/>
        </w:rPr>
        <w:t>ngs. Roberts was joined b</w:t>
      </w:r>
      <w:r w:rsidR="008006BB" w:rsidRPr="00AE141E">
        <w:rPr>
          <w:rFonts w:ascii="Times New Roman" w:hAnsi="Times New Roman" w:cs="Times New Roman"/>
          <w:sz w:val="24"/>
          <w:szCs w:val="24"/>
        </w:rPr>
        <w:t>y a coll</w:t>
      </w:r>
      <w:r w:rsidR="008B7055" w:rsidRPr="00AE141E">
        <w:rPr>
          <w:rFonts w:ascii="Times New Roman" w:hAnsi="Times New Roman" w:cs="Times New Roman"/>
          <w:sz w:val="24"/>
          <w:szCs w:val="24"/>
        </w:rPr>
        <w:t>ection of teachers, academics, and educational advisors</w:t>
      </w:r>
      <w:r w:rsidR="00A10B9A" w:rsidRPr="00AE141E">
        <w:rPr>
          <w:rFonts w:ascii="Times New Roman" w:hAnsi="Times New Roman" w:cs="Times New Roman"/>
          <w:sz w:val="24"/>
          <w:szCs w:val="24"/>
        </w:rPr>
        <w:t>, chaired by th</w:t>
      </w:r>
      <w:r w:rsidR="0035130D" w:rsidRPr="00AE141E">
        <w:rPr>
          <w:rFonts w:ascii="Times New Roman" w:hAnsi="Times New Roman" w:cs="Times New Roman"/>
          <w:sz w:val="24"/>
          <w:szCs w:val="24"/>
        </w:rPr>
        <w:t xml:space="preserve">e aristocratic </w:t>
      </w:r>
      <w:r w:rsidR="00567A08" w:rsidRPr="00AE141E">
        <w:rPr>
          <w:rFonts w:ascii="Times New Roman" w:hAnsi="Times New Roman" w:cs="Times New Roman"/>
          <w:sz w:val="24"/>
          <w:szCs w:val="24"/>
        </w:rPr>
        <w:t xml:space="preserve">former </w:t>
      </w:r>
      <w:r w:rsidR="00915978" w:rsidRPr="00AE141E">
        <w:rPr>
          <w:rFonts w:ascii="Times New Roman" w:hAnsi="Times New Roman" w:cs="Times New Roman"/>
          <w:sz w:val="24"/>
          <w:szCs w:val="24"/>
        </w:rPr>
        <w:t>n</w:t>
      </w:r>
      <w:r w:rsidR="00567A08" w:rsidRPr="00AE141E">
        <w:rPr>
          <w:rFonts w:ascii="Times New Roman" w:hAnsi="Times New Roman" w:cs="Times New Roman"/>
          <w:sz w:val="24"/>
          <w:szCs w:val="24"/>
        </w:rPr>
        <w:t xml:space="preserve">aval </w:t>
      </w:r>
      <w:r w:rsidR="00915978" w:rsidRPr="00AE141E">
        <w:rPr>
          <w:rFonts w:ascii="Times New Roman" w:hAnsi="Times New Roman" w:cs="Times New Roman"/>
          <w:sz w:val="24"/>
          <w:szCs w:val="24"/>
        </w:rPr>
        <w:t>o</w:t>
      </w:r>
      <w:r w:rsidR="00567A08" w:rsidRPr="00AE141E">
        <w:rPr>
          <w:rFonts w:ascii="Times New Roman" w:hAnsi="Times New Roman" w:cs="Times New Roman"/>
          <w:sz w:val="24"/>
          <w:szCs w:val="24"/>
        </w:rPr>
        <w:t>fficer Commander Michael Saunders Watson</w:t>
      </w:r>
      <w:r w:rsidR="00EE5FFF" w:rsidRPr="00AE141E">
        <w:rPr>
          <w:rFonts w:ascii="Times New Roman" w:hAnsi="Times New Roman" w:cs="Times New Roman"/>
          <w:sz w:val="24"/>
          <w:szCs w:val="24"/>
        </w:rPr>
        <w:t xml:space="preserve"> (a full list is included in Appendix </w:t>
      </w:r>
      <w:r w:rsidR="007936D9" w:rsidRPr="00AE141E">
        <w:rPr>
          <w:rFonts w:ascii="Times New Roman" w:hAnsi="Times New Roman" w:cs="Times New Roman"/>
          <w:sz w:val="24"/>
          <w:szCs w:val="24"/>
        </w:rPr>
        <w:t>B</w:t>
      </w:r>
      <w:r w:rsidR="00EE5FFF" w:rsidRPr="00AE141E">
        <w:rPr>
          <w:rFonts w:ascii="Times New Roman" w:hAnsi="Times New Roman" w:cs="Times New Roman"/>
          <w:sz w:val="24"/>
          <w:szCs w:val="24"/>
        </w:rPr>
        <w:t>)</w:t>
      </w:r>
      <w:r w:rsidR="001B1070" w:rsidRPr="00AE141E">
        <w:rPr>
          <w:rFonts w:ascii="Times New Roman" w:hAnsi="Times New Roman" w:cs="Times New Roman"/>
          <w:sz w:val="24"/>
          <w:szCs w:val="24"/>
        </w:rPr>
        <w:t>.</w:t>
      </w:r>
      <w:r w:rsidR="00151A6E" w:rsidRPr="00AE141E">
        <w:rPr>
          <w:rFonts w:ascii="Times New Roman" w:hAnsi="Times New Roman" w:cs="Times New Roman"/>
          <w:sz w:val="24"/>
          <w:szCs w:val="24"/>
        </w:rPr>
        <w:t xml:space="preserve"> This eclectic group were </w:t>
      </w:r>
      <w:r w:rsidR="00B03386" w:rsidRPr="00AE141E">
        <w:rPr>
          <w:rFonts w:ascii="Times New Roman" w:hAnsi="Times New Roman" w:cs="Times New Roman"/>
          <w:sz w:val="24"/>
          <w:szCs w:val="24"/>
        </w:rPr>
        <w:t xml:space="preserve">united </w:t>
      </w:r>
      <w:r w:rsidR="000245AF" w:rsidRPr="00AE141E">
        <w:rPr>
          <w:rFonts w:ascii="Times New Roman" w:hAnsi="Times New Roman" w:cs="Times New Roman"/>
          <w:sz w:val="24"/>
          <w:szCs w:val="24"/>
        </w:rPr>
        <w:t xml:space="preserve">by their apparent role as consensus appointees – none raised particular controversy from </w:t>
      </w:r>
      <w:r w:rsidR="0057592C" w:rsidRPr="00AE141E">
        <w:rPr>
          <w:rFonts w:ascii="Times New Roman" w:hAnsi="Times New Roman" w:cs="Times New Roman"/>
          <w:sz w:val="24"/>
          <w:szCs w:val="24"/>
        </w:rPr>
        <w:t xml:space="preserve">either side of the political divide. </w:t>
      </w:r>
    </w:p>
    <w:p w14:paraId="234A7AB5" w14:textId="4F4356C7" w:rsidR="004B1694" w:rsidRDefault="00CC0CD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Roberts </w:t>
      </w:r>
      <w:r w:rsidR="000D25EE" w:rsidRPr="00AE141E">
        <w:rPr>
          <w:rFonts w:ascii="Times New Roman" w:hAnsi="Times New Roman" w:cs="Times New Roman"/>
          <w:sz w:val="24"/>
          <w:szCs w:val="24"/>
        </w:rPr>
        <w:t xml:space="preserve">subsequently </w:t>
      </w:r>
      <w:r w:rsidRPr="00AE141E">
        <w:rPr>
          <w:rFonts w:ascii="Times New Roman" w:hAnsi="Times New Roman" w:cs="Times New Roman"/>
          <w:sz w:val="24"/>
          <w:szCs w:val="24"/>
        </w:rPr>
        <w:t xml:space="preserve">resigned (for personal and professional, not political reasons) and was </w:t>
      </w:r>
      <w:r w:rsidR="000D25EE" w:rsidRPr="00AE141E">
        <w:rPr>
          <w:rFonts w:ascii="Times New Roman" w:hAnsi="Times New Roman" w:cs="Times New Roman"/>
          <w:sz w:val="24"/>
          <w:szCs w:val="24"/>
        </w:rPr>
        <w:t xml:space="preserve">replaced </w:t>
      </w:r>
      <w:r w:rsidR="002949F0" w:rsidRPr="00AE141E">
        <w:rPr>
          <w:rFonts w:ascii="Times New Roman" w:hAnsi="Times New Roman" w:cs="Times New Roman"/>
          <w:sz w:val="24"/>
          <w:szCs w:val="24"/>
        </w:rPr>
        <w:t>by</w:t>
      </w:r>
      <w:r w:rsidR="000D25EE" w:rsidRPr="00AE141E">
        <w:rPr>
          <w:rFonts w:ascii="Times New Roman" w:hAnsi="Times New Roman" w:cs="Times New Roman"/>
          <w:sz w:val="24"/>
          <w:szCs w:val="24"/>
        </w:rPr>
        <w:t xml:space="preserve"> Peter Marshall</w:t>
      </w:r>
      <w:r w:rsidR="002949F0" w:rsidRPr="00AE141E">
        <w:rPr>
          <w:rFonts w:ascii="Times New Roman" w:hAnsi="Times New Roman" w:cs="Times New Roman"/>
          <w:sz w:val="24"/>
          <w:szCs w:val="24"/>
        </w:rPr>
        <w:t xml:space="preserve">, </w:t>
      </w:r>
      <w:r w:rsidR="00D06C9B" w:rsidRPr="00AE141E">
        <w:rPr>
          <w:rFonts w:ascii="Times New Roman" w:hAnsi="Times New Roman" w:cs="Times New Roman"/>
          <w:sz w:val="24"/>
          <w:szCs w:val="24"/>
        </w:rPr>
        <w:t>Professor of Imperial History at King’s College London</w:t>
      </w:r>
      <w:r w:rsidR="006031BC">
        <w:rPr>
          <w:rFonts w:ascii="Times New Roman" w:hAnsi="Times New Roman" w:cs="Times New Roman"/>
          <w:sz w:val="24"/>
          <w:szCs w:val="24"/>
        </w:rPr>
        <w:t>. Marshall</w:t>
      </w:r>
      <w:r w:rsidR="00B55946" w:rsidRPr="00AE141E">
        <w:rPr>
          <w:rFonts w:ascii="Times New Roman" w:hAnsi="Times New Roman" w:cs="Times New Roman"/>
          <w:sz w:val="24"/>
          <w:szCs w:val="24"/>
        </w:rPr>
        <w:t xml:space="preserve"> </w:t>
      </w:r>
      <w:r w:rsidR="00FF4C3E" w:rsidRPr="00AE141E">
        <w:rPr>
          <w:rFonts w:ascii="Times New Roman" w:hAnsi="Times New Roman" w:cs="Times New Roman"/>
          <w:sz w:val="24"/>
          <w:szCs w:val="24"/>
        </w:rPr>
        <w:t xml:space="preserve">reflected that </w:t>
      </w:r>
      <w:r w:rsidR="00275B0F" w:rsidRPr="00AE141E">
        <w:rPr>
          <w:rFonts w:ascii="Times New Roman" w:hAnsi="Times New Roman" w:cs="Times New Roman"/>
          <w:sz w:val="24"/>
          <w:szCs w:val="24"/>
        </w:rPr>
        <w:t xml:space="preserve">the </w:t>
      </w:r>
      <w:r w:rsidR="003A7E61" w:rsidRPr="00AE141E">
        <w:rPr>
          <w:rFonts w:ascii="Times New Roman" w:hAnsi="Times New Roman" w:cs="Times New Roman"/>
          <w:sz w:val="24"/>
          <w:szCs w:val="24"/>
        </w:rPr>
        <w:t xml:space="preserve">Secretary of State </w:t>
      </w:r>
      <w:r w:rsidR="008D19CF" w:rsidRPr="00AE141E">
        <w:rPr>
          <w:rFonts w:ascii="Times New Roman" w:hAnsi="Times New Roman" w:cs="Times New Roman"/>
          <w:sz w:val="24"/>
          <w:szCs w:val="24"/>
        </w:rPr>
        <w:t>purposely sought</w:t>
      </w:r>
      <w:r w:rsidR="003A7E61" w:rsidRPr="00AE141E">
        <w:rPr>
          <w:rFonts w:ascii="Times New Roman" w:hAnsi="Times New Roman" w:cs="Times New Roman"/>
          <w:sz w:val="24"/>
          <w:szCs w:val="24"/>
        </w:rPr>
        <w:t xml:space="preserve"> candidates who were believed to be ‘sort of middle of the road’</w:t>
      </w:r>
      <w:r w:rsidR="00275B0F" w:rsidRPr="00AE141E">
        <w:rPr>
          <w:rFonts w:ascii="Times New Roman" w:hAnsi="Times New Roman" w:cs="Times New Roman"/>
          <w:sz w:val="24"/>
          <w:szCs w:val="24"/>
        </w:rPr>
        <w:t>.</w:t>
      </w:r>
      <w:r w:rsidR="005E19CA" w:rsidRPr="00AE141E">
        <w:rPr>
          <w:rStyle w:val="FootnoteReference"/>
          <w:rFonts w:ascii="Times New Roman" w:hAnsi="Times New Roman" w:cs="Times New Roman"/>
          <w:sz w:val="24"/>
          <w:szCs w:val="24"/>
        </w:rPr>
        <w:footnoteReference w:id="781"/>
      </w:r>
      <w:r w:rsidR="00275B0F" w:rsidRPr="00AE141E">
        <w:rPr>
          <w:rFonts w:ascii="Times New Roman" w:hAnsi="Times New Roman" w:cs="Times New Roman"/>
          <w:sz w:val="24"/>
          <w:szCs w:val="24"/>
        </w:rPr>
        <w:t xml:space="preserve"> This applied particularly to the </w:t>
      </w:r>
      <w:r w:rsidR="00692855" w:rsidRPr="00AE141E">
        <w:rPr>
          <w:rFonts w:ascii="Times New Roman" w:hAnsi="Times New Roman" w:cs="Times New Roman"/>
          <w:sz w:val="24"/>
          <w:szCs w:val="24"/>
        </w:rPr>
        <w:t xml:space="preserve">‘skills </w:t>
      </w:r>
      <w:r w:rsidR="00692855" w:rsidRPr="00AE141E">
        <w:rPr>
          <w:rFonts w:ascii="Times New Roman" w:hAnsi="Times New Roman" w:cs="Times New Roman"/>
          <w:i/>
          <w:sz w:val="24"/>
          <w:szCs w:val="24"/>
        </w:rPr>
        <w:t>versus</w:t>
      </w:r>
      <w:r w:rsidR="00692855" w:rsidRPr="00AE141E">
        <w:rPr>
          <w:rFonts w:ascii="Times New Roman" w:hAnsi="Times New Roman" w:cs="Times New Roman"/>
          <w:sz w:val="24"/>
          <w:szCs w:val="24"/>
        </w:rPr>
        <w:t xml:space="preserve"> content’ debate: </w:t>
      </w:r>
      <w:r w:rsidR="006F52E3" w:rsidRPr="00AE141E">
        <w:rPr>
          <w:rFonts w:ascii="Times New Roman" w:hAnsi="Times New Roman" w:cs="Times New Roman"/>
          <w:sz w:val="24"/>
          <w:szCs w:val="24"/>
        </w:rPr>
        <w:t>members were chosen on the basis that the</w:t>
      </w:r>
      <w:r w:rsidR="00E30E8B" w:rsidRPr="00AE141E">
        <w:rPr>
          <w:rFonts w:ascii="Times New Roman" w:hAnsi="Times New Roman" w:cs="Times New Roman"/>
          <w:sz w:val="24"/>
          <w:szCs w:val="24"/>
        </w:rPr>
        <w:t>y were neither</w:t>
      </w:r>
      <w:r w:rsidR="0080330C" w:rsidRPr="00AE141E">
        <w:rPr>
          <w:rFonts w:ascii="Times New Roman" w:hAnsi="Times New Roman" w:cs="Times New Roman"/>
          <w:sz w:val="24"/>
          <w:szCs w:val="24"/>
        </w:rPr>
        <w:t xml:space="preserve"> firmly committed to the S</w:t>
      </w:r>
      <w:r w:rsidR="00354E8A" w:rsidRPr="00AE141E">
        <w:rPr>
          <w:rFonts w:ascii="Times New Roman" w:hAnsi="Times New Roman" w:cs="Times New Roman"/>
          <w:sz w:val="24"/>
          <w:szCs w:val="24"/>
        </w:rPr>
        <w:t xml:space="preserve">chools </w:t>
      </w:r>
      <w:r w:rsidR="0080330C" w:rsidRPr="00AE141E">
        <w:rPr>
          <w:rFonts w:ascii="Times New Roman" w:hAnsi="Times New Roman" w:cs="Times New Roman"/>
          <w:sz w:val="24"/>
          <w:szCs w:val="24"/>
        </w:rPr>
        <w:t>H</w:t>
      </w:r>
      <w:r w:rsidR="00354E8A" w:rsidRPr="00AE141E">
        <w:rPr>
          <w:rFonts w:ascii="Times New Roman" w:hAnsi="Times New Roman" w:cs="Times New Roman"/>
          <w:sz w:val="24"/>
          <w:szCs w:val="24"/>
        </w:rPr>
        <w:t xml:space="preserve">istory </w:t>
      </w:r>
      <w:r w:rsidR="0080330C" w:rsidRPr="00AE141E">
        <w:rPr>
          <w:rFonts w:ascii="Times New Roman" w:hAnsi="Times New Roman" w:cs="Times New Roman"/>
          <w:sz w:val="24"/>
          <w:szCs w:val="24"/>
        </w:rPr>
        <w:t>P</w:t>
      </w:r>
      <w:r w:rsidR="00354E8A" w:rsidRPr="00AE141E">
        <w:rPr>
          <w:rFonts w:ascii="Times New Roman" w:hAnsi="Times New Roman" w:cs="Times New Roman"/>
          <w:sz w:val="24"/>
          <w:szCs w:val="24"/>
        </w:rPr>
        <w:t>roject</w:t>
      </w:r>
      <w:r w:rsidR="0080330C" w:rsidRPr="00AE141E">
        <w:rPr>
          <w:rFonts w:ascii="Times New Roman" w:hAnsi="Times New Roman" w:cs="Times New Roman"/>
          <w:sz w:val="24"/>
          <w:szCs w:val="24"/>
        </w:rPr>
        <w:t xml:space="preserve">, nor </w:t>
      </w:r>
      <w:r w:rsidR="00E30E8B" w:rsidRPr="00AE141E">
        <w:rPr>
          <w:rFonts w:ascii="Times New Roman" w:hAnsi="Times New Roman" w:cs="Times New Roman"/>
          <w:sz w:val="24"/>
          <w:szCs w:val="24"/>
        </w:rPr>
        <w:t>aligned with</w:t>
      </w:r>
      <w:r w:rsidR="0080330C" w:rsidRPr="00AE141E">
        <w:rPr>
          <w:rFonts w:ascii="Times New Roman" w:hAnsi="Times New Roman" w:cs="Times New Roman"/>
          <w:sz w:val="24"/>
          <w:szCs w:val="24"/>
        </w:rPr>
        <w:t xml:space="preserve"> </w:t>
      </w:r>
      <w:r w:rsidR="00FD0D00">
        <w:rPr>
          <w:rFonts w:ascii="Times New Roman" w:hAnsi="Times New Roman" w:cs="Times New Roman"/>
          <w:sz w:val="24"/>
          <w:szCs w:val="24"/>
        </w:rPr>
        <w:t>the New Right</w:t>
      </w:r>
      <w:r w:rsidR="005C6A95">
        <w:rPr>
          <w:rFonts w:ascii="Times New Roman" w:hAnsi="Times New Roman" w:cs="Times New Roman"/>
          <w:sz w:val="24"/>
          <w:szCs w:val="24"/>
        </w:rPr>
        <w:t>’s critique of the ‘new history’</w:t>
      </w:r>
      <w:r w:rsidR="00DA0540" w:rsidRPr="00AE141E">
        <w:rPr>
          <w:rFonts w:ascii="Times New Roman" w:hAnsi="Times New Roman" w:cs="Times New Roman"/>
          <w:sz w:val="24"/>
          <w:szCs w:val="24"/>
        </w:rPr>
        <w:t>.</w:t>
      </w:r>
      <w:r w:rsidR="00B13943" w:rsidRPr="00AE141E">
        <w:rPr>
          <w:rFonts w:ascii="Times New Roman" w:hAnsi="Times New Roman" w:cs="Times New Roman"/>
          <w:sz w:val="24"/>
          <w:szCs w:val="24"/>
        </w:rPr>
        <w:t xml:space="preserve"> Similarly, </w:t>
      </w:r>
      <w:r w:rsidR="00D44E9E">
        <w:rPr>
          <w:rFonts w:ascii="Times New Roman" w:hAnsi="Times New Roman" w:cs="Times New Roman"/>
          <w:sz w:val="24"/>
          <w:szCs w:val="24"/>
        </w:rPr>
        <w:t xml:space="preserve">the </w:t>
      </w:r>
      <w:r w:rsidR="00B13943" w:rsidRPr="00AE141E">
        <w:rPr>
          <w:rFonts w:ascii="Times New Roman" w:hAnsi="Times New Roman" w:cs="Times New Roman"/>
          <w:sz w:val="24"/>
          <w:szCs w:val="24"/>
        </w:rPr>
        <w:t>HWG</w:t>
      </w:r>
      <w:r w:rsidR="00D44E9E">
        <w:rPr>
          <w:rFonts w:ascii="Times New Roman" w:hAnsi="Times New Roman" w:cs="Times New Roman"/>
          <w:sz w:val="24"/>
          <w:szCs w:val="24"/>
        </w:rPr>
        <w:t xml:space="preserve"> </w:t>
      </w:r>
      <w:r w:rsidR="00B13943" w:rsidRPr="00AE141E">
        <w:rPr>
          <w:rFonts w:ascii="Times New Roman" w:hAnsi="Times New Roman" w:cs="Times New Roman"/>
          <w:sz w:val="24"/>
          <w:szCs w:val="24"/>
        </w:rPr>
        <w:t>member Dr Alice Prochaska (Librarian of the Institute for Historical Research)</w:t>
      </w:r>
      <w:r w:rsidR="00A16A52" w:rsidRPr="00AE141E">
        <w:rPr>
          <w:rFonts w:ascii="Times New Roman" w:hAnsi="Times New Roman" w:cs="Times New Roman"/>
          <w:sz w:val="24"/>
          <w:szCs w:val="24"/>
        </w:rPr>
        <w:t xml:space="preserve"> </w:t>
      </w:r>
      <w:r w:rsidR="00020654" w:rsidRPr="00AE141E">
        <w:rPr>
          <w:rFonts w:ascii="Times New Roman" w:hAnsi="Times New Roman" w:cs="Times New Roman"/>
          <w:sz w:val="24"/>
          <w:szCs w:val="24"/>
        </w:rPr>
        <w:t>noted that</w:t>
      </w:r>
      <w:r w:rsidR="00B24C74" w:rsidRPr="00AE141E">
        <w:rPr>
          <w:rFonts w:ascii="Times New Roman" w:hAnsi="Times New Roman" w:cs="Times New Roman"/>
          <w:sz w:val="24"/>
          <w:szCs w:val="24"/>
        </w:rPr>
        <w:t xml:space="preserve"> none of her colleagues</w:t>
      </w:r>
      <w:r w:rsidR="00A3660E" w:rsidRPr="00AE141E">
        <w:rPr>
          <w:rFonts w:ascii="Times New Roman" w:hAnsi="Times New Roman" w:cs="Times New Roman"/>
          <w:sz w:val="24"/>
          <w:szCs w:val="24"/>
        </w:rPr>
        <w:t xml:space="preserve"> had taken </w:t>
      </w:r>
      <w:r w:rsidR="00B622EE" w:rsidRPr="00AE141E">
        <w:rPr>
          <w:rFonts w:ascii="Times New Roman" w:hAnsi="Times New Roman" w:cs="Times New Roman"/>
          <w:sz w:val="24"/>
          <w:szCs w:val="24"/>
        </w:rPr>
        <w:t>‘</w:t>
      </w:r>
      <w:r w:rsidR="00A3660E" w:rsidRPr="00AE141E">
        <w:rPr>
          <w:rFonts w:ascii="Times New Roman" w:hAnsi="Times New Roman" w:cs="Times New Roman"/>
          <w:sz w:val="24"/>
          <w:szCs w:val="24"/>
        </w:rPr>
        <w:t>unalterable positions’ in contemporary debates on history teaching.</w:t>
      </w:r>
      <w:r w:rsidR="00AA30B8" w:rsidRPr="00AE141E">
        <w:rPr>
          <w:rStyle w:val="FootnoteReference"/>
          <w:rFonts w:ascii="Times New Roman" w:hAnsi="Times New Roman" w:cs="Times New Roman"/>
          <w:sz w:val="24"/>
          <w:szCs w:val="24"/>
        </w:rPr>
        <w:footnoteReference w:id="782"/>
      </w:r>
      <w:r w:rsidR="00A3660E" w:rsidRPr="00AE141E">
        <w:rPr>
          <w:rFonts w:ascii="Times New Roman" w:hAnsi="Times New Roman" w:cs="Times New Roman"/>
          <w:sz w:val="24"/>
          <w:szCs w:val="24"/>
        </w:rPr>
        <w:t xml:space="preserve"> </w:t>
      </w:r>
      <w:r w:rsidR="004F56AA" w:rsidRPr="00AE141E">
        <w:rPr>
          <w:rFonts w:ascii="Times New Roman" w:hAnsi="Times New Roman" w:cs="Times New Roman"/>
          <w:sz w:val="24"/>
          <w:szCs w:val="24"/>
        </w:rPr>
        <w:t>For the</w:t>
      </w:r>
      <w:r w:rsidR="002D252C" w:rsidRPr="00AE141E">
        <w:rPr>
          <w:rFonts w:ascii="Times New Roman" w:hAnsi="Times New Roman" w:cs="Times New Roman"/>
          <w:sz w:val="24"/>
          <w:szCs w:val="24"/>
        </w:rPr>
        <w:t xml:space="preserve"> libertarian</w:t>
      </w:r>
      <w:r w:rsidR="004F56AA" w:rsidRPr="00AE141E">
        <w:rPr>
          <w:rFonts w:ascii="Times New Roman" w:hAnsi="Times New Roman" w:cs="Times New Roman"/>
          <w:sz w:val="24"/>
          <w:szCs w:val="24"/>
        </w:rPr>
        <w:t xml:space="preserve"> strand of Conservative </w:t>
      </w:r>
      <w:r w:rsidR="00D94620" w:rsidRPr="00AE141E">
        <w:rPr>
          <w:rFonts w:ascii="Times New Roman" w:hAnsi="Times New Roman" w:cs="Times New Roman"/>
          <w:sz w:val="24"/>
          <w:szCs w:val="24"/>
        </w:rPr>
        <w:t xml:space="preserve">thought, </w:t>
      </w:r>
      <w:r w:rsidR="00AF5CFF" w:rsidRPr="00AE141E">
        <w:rPr>
          <w:rFonts w:ascii="Times New Roman" w:hAnsi="Times New Roman" w:cs="Times New Roman"/>
          <w:sz w:val="24"/>
          <w:szCs w:val="24"/>
        </w:rPr>
        <w:t xml:space="preserve">the preservation of the political autonomy of the </w:t>
      </w:r>
      <w:r w:rsidR="004A122B" w:rsidRPr="00AE141E">
        <w:rPr>
          <w:rFonts w:ascii="Times New Roman" w:hAnsi="Times New Roman" w:cs="Times New Roman"/>
          <w:sz w:val="24"/>
          <w:szCs w:val="24"/>
        </w:rPr>
        <w:t xml:space="preserve">HWG </w:t>
      </w:r>
      <w:r w:rsidR="00D94620" w:rsidRPr="00AE141E">
        <w:rPr>
          <w:rFonts w:ascii="Times New Roman" w:hAnsi="Times New Roman" w:cs="Times New Roman"/>
          <w:sz w:val="24"/>
          <w:szCs w:val="24"/>
        </w:rPr>
        <w:t>w</w:t>
      </w:r>
      <w:r w:rsidR="004A122B" w:rsidRPr="00AE141E">
        <w:rPr>
          <w:rFonts w:ascii="Times New Roman" w:hAnsi="Times New Roman" w:cs="Times New Roman"/>
          <w:sz w:val="24"/>
          <w:szCs w:val="24"/>
        </w:rPr>
        <w:t xml:space="preserve">as imperative. From a public relations standpoint, </w:t>
      </w:r>
      <w:r w:rsidR="00632B58" w:rsidRPr="00AE141E">
        <w:rPr>
          <w:rFonts w:ascii="Times New Roman" w:hAnsi="Times New Roman" w:cs="Times New Roman"/>
          <w:sz w:val="24"/>
          <w:szCs w:val="24"/>
        </w:rPr>
        <w:t>it was also important that th</w:t>
      </w:r>
      <w:r w:rsidR="00847ED0" w:rsidRPr="00AE141E">
        <w:rPr>
          <w:rFonts w:ascii="Times New Roman" w:hAnsi="Times New Roman" w:cs="Times New Roman"/>
          <w:sz w:val="24"/>
          <w:szCs w:val="24"/>
        </w:rPr>
        <w:t xml:space="preserve">e National Curriculum in History was not perceived as </w:t>
      </w:r>
      <w:r w:rsidR="00A82F1A" w:rsidRPr="00AE141E">
        <w:rPr>
          <w:rFonts w:ascii="Times New Roman" w:hAnsi="Times New Roman" w:cs="Times New Roman"/>
          <w:sz w:val="24"/>
          <w:szCs w:val="24"/>
        </w:rPr>
        <w:t>a political volleyball</w:t>
      </w:r>
      <w:r w:rsidR="00847ED0" w:rsidRPr="00AE141E">
        <w:rPr>
          <w:rFonts w:ascii="Times New Roman" w:hAnsi="Times New Roman" w:cs="Times New Roman"/>
          <w:sz w:val="24"/>
          <w:szCs w:val="24"/>
        </w:rPr>
        <w:t>, subject to the whims of the government of the day.</w:t>
      </w:r>
      <w:r w:rsidR="00BF33BF" w:rsidRPr="00AE141E">
        <w:rPr>
          <w:rStyle w:val="FootnoteReference"/>
          <w:rFonts w:ascii="Times New Roman" w:hAnsi="Times New Roman" w:cs="Times New Roman"/>
          <w:sz w:val="24"/>
          <w:szCs w:val="24"/>
        </w:rPr>
        <w:footnoteReference w:id="783"/>
      </w:r>
      <w:r w:rsidR="004A19C8" w:rsidRPr="00AE141E">
        <w:rPr>
          <w:rFonts w:ascii="Times New Roman" w:hAnsi="Times New Roman" w:cs="Times New Roman"/>
          <w:sz w:val="24"/>
          <w:szCs w:val="24"/>
        </w:rPr>
        <w:t xml:space="preserve"> </w:t>
      </w:r>
      <w:r w:rsidR="00795499" w:rsidRPr="00AE141E">
        <w:rPr>
          <w:rFonts w:ascii="Times New Roman" w:hAnsi="Times New Roman" w:cs="Times New Roman"/>
          <w:sz w:val="24"/>
          <w:szCs w:val="24"/>
        </w:rPr>
        <w:t>A</w:t>
      </w:r>
      <w:r w:rsidR="00A003E7" w:rsidRPr="00AE141E">
        <w:rPr>
          <w:rFonts w:ascii="Times New Roman" w:hAnsi="Times New Roman" w:cs="Times New Roman"/>
          <w:sz w:val="24"/>
          <w:szCs w:val="24"/>
        </w:rPr>
        <w:t>s</w:t>
      </w:r>
      <w:r w:rsidR="000B1EFA">
        <w:rPr>
          <w:rFonts w:ascii="Times New Roman" w:hAnsi="Times New Roman" w:cs="Times New Roman"/>
          <w:sz w:val="24"/>
          <w:szCs w:val="24"/>
        </w:rPr>
        <w:t xml:space="preserve"> the</w:t>
      </w:r>
      <w:r w:rsidR="00A003E7" w:rsidRPr="00AE141E">
        <w:rPr>
          <w:rFonts w:ascii="Times New Roman" w:hAnsi="Times New Roman" w:cs="Times New Roman"/>
          <w:sz w:val="24"/>
          <w:szCs w:val="24"/>
        </w:rPr>
        <w:t xml:space="preserve"> former teacher and HWG member Chris Culpin </w:t>
      </w:r>
      <w:r w:rsidR="00936F8D" w:rsidRPr="00AE141E">
        <w:rPr>
          <w:rFonts w:ascii="Times New Roman" w:hAnsi="Times New Roman" w:cs="Times New Roman"/>
          <w:sz w:val="24"/>
          <w:szCs w:val="24"/>
        </w:rPr>
        <w:t>later recalled</w:t>
      </w:r>
      <w:r w:rsidR="00795499" w:rsidRPr="00AE141E">
        <w:rPr>
          <w:rFonts w:ascii="Times New Roman" w:hAnsi="Times New Roman" w:cs="Times New Roman"/>
          <w:sz w:val="24"/>
          <w:szCs w:val="24"/>
        </w:rPr>
        <w:t xml:space="preserve">, </w:t>
      </w:r>
      <w:r w:rsidR="00936F8D" w:rsidRPr="00AE141E">
        <w:rPr>
          <w:rFonts w:ascii="Times New Roman" w:hAnsi="Times New Roman" w:cs="Times New Roman"/>
          <w:sz w:val="24"/>
          <w:szCs w:val="24"/>
        </w:rPr>
        <w:t xml:space="preserve">Saunders Watson </w:t>
      </w:r>
      <w:r w:rsidR="000048FC">
        <w:rPr>
          <w:rFonts w:ascii="Times New Roman" w:hAnsi="Times New Roman" w:cs="Times New Roman"/>
          <w:sz w:val="24"/>
          <w:szCs w:val="24"/>
        </w:rPr>
        <w:t>was</w:t>
      </w:r>
      <w:r w:rsidR="00936F8D" w:rsidRPr="00AE141E">
        <w:rPr>
          <w:rFonts w:ascii="Times New Roman" w:hAnsi="Times New Roman" w:cs="Times New Roman"/>
          <w:sz w:val="24"/>
          <w:szCs w:val="24"/>
        </w:rPr>
        <w:t xml:space="preserve"> adept at ‘keeping the politicians at arm</w:t>
      </w:r>
      <w:r w:rsidR="000048FC">
        <w:rPr>
          <w:rFonts w:ascii="Times New Roman" w:hAnsi="Times New Roman" w:cs="Times New Roman"/>
          <w:sz w:val="24"/>
          <w:szCs w:val="24"/>
        </w:rPr>
        <w:t>’</w:t>
      </w:r>
      <w:r w:rsidR="00936F8D" w:rsidRPr="00AE141E">
        <w:rPr>
          <w:rFonts w:ascii="Times New Roman" w:hAnsi="Times New Roman" w:cs="Times New Roman"/>
          <w:sz w:val="24"/>
          <w:szCs w:val="24"/>
        </w:rPr>
        <w:t>s-length’: his aristocratic and naval background placed him in a position where he owed ‘nothing to nobody’.</w:t>
      </w:r>
      <w:r w:rsidR="002B6BBA" w:rsidRPr="00AE141E">
        <w:rPr>
          <w:rStyle w:val="FootnoteReference"/>
          <w:rFonts w:ascii="Times New Roman" w:hAnsi="Times New Roman" w:cs="Times New Roman"/>
          <w:sz w:val="24"/>
          <w:szCs w:val="24"/>
        </w:rPr>
        <w:footnoteReference w:id="784"/>
      </w:r>
      <w:r w:rsidR="00936F8D" w:rsidRPr="00AE141E">
        <w:rPr>
          <w:rFonts w:ascii="Times New Roman" w:hAnsi="Times New Roman" w:cs="Times New Roman"/>
          <w:sz w:val="24"/>
          <w:szCs w:val="24"/>
        </w:rPr>
        <w:t xml:space="preserve"> </w:t>
      </w:r>
      <w:r w:rsidR="001E0D50">
        <w:rPr>
          <w:rFonts w:ascii="Times New Roman" w:hAnsi="Times New Roman" w:cs="Times New Roman"/>
          <w:sz w:val="24"/>
          <w:szCs w:val="24"/>
        </w:rPr>
        <w:t>Consequently, t</w:t>
      </w:r>
      <w:r w:rsidR="00936F8D" w:rsidRPr="00AE141E">
        <w:rPr>
          <w:rFonts w:ascii="Times New Roman" w:hAnsi="Times New Roman" w:cs="Times New Roman"/>
          <w:sz w:val="24"/>
          <w:szCs w:val="24"/>
        </w:rPr>
        <w:t>he</w:t>
      </w:r>
      <w:r w:rsidR="001E0C5A" w:rsidRPr="00AE141E">
        <w:rPr>
          <w:rFonts w:ascii="Times New Roman" w:hAnsi="Times New Roman" w:cs="Times New Roman"/>
          <w:sz w:val="24"/>
          <w:szCs w:val="24"/>
        </w:rPr>
        <w:t xml:space="preserve"> Working</w:t>
      </w:r>
      <w:r w:rsidR="00936F8D" w:rsidRPr="00AE141E">
        <w:rPr>
          <w:rFonts w:ascii="Times New Roman" w:hAnsi="Times New Roman" w:cs="Times New Roman"/>
          <w:sz w:val="24"/>
          <w:szCs w:val="24"/>
        </w:rPr>
        <w:t xml:space="preserve"> </w:t>
      </w:r>
      <w:r w:rsidR="001E0C5A" w:rsidRPr="00AE141E">
        <w:rPr>
          <w:rFonts w:ascii="Times New Roman" w:hAnsi="Times New Roman" w:cs="Times New Roman"/>
          <w:sz w:val="24"/>
          <w:szCs w:val="24"/>
        </w:rPr>
        <w:t>G</w:t>
      </w:r>
      <w:r w:rsidR="00936F8D" w:rsidRPr="00AE141E">
        <w:rPr>
          <w:rFonts w:ascii="Times New Roman" w:hAnsi="Times New Roman" w:cs="Times New Roman"/>
          <w:sz w:val="24"/>
          <w:szCs w:val="24"/>
        </w:rPr>
        <w:t>roup was largely free from direct intervention</w:t>
      </w:r>
      <w:r w:rsidR="00ED08CE" w:rsidRPr="00AE141E">
        <w:rPr>
          <w:rFonts w:ascii="Times New Roman" w:hAnsi="Times New Roman" w:cs="Times New Roman"/>
          <w:sz w:val="24"/>
          <w:szCs w:val="24"/>
        </w:rPr>
        <w:t>.</w:t>
      </w:r>
      <w:r w:rsidR="001E0D50">
        <w:rPr>
          <w:rFonts w:ascii="Times New Roman" w:hAnsi="Times New Roman" w:cs="Times New Roman"/>
          <w:sz w:val="24"/>
          <w:szCs w:val="24"/>
        </w:rPr>
        <w:t xml:space="preserve"> </w:t>
      </w:r>
      <w:r w:rsidR="005140D4">
        <w:rPr>
          <w:rFonts w:ascii="Times New Roman" w:hAnsi="Times New Roman" w:cs="Times New Roman"/>
          <w:sz w:val="24"/>
          <w:szCs w:val="24"/>
        </w:rPr>
        <w:t xml:space="preserve">Indeed, </w:t>
      </w:r>
      <w:r w:rsidR="00ED08CE" w:rsidRPr="00AE141E">
        <w:rPr>
          <w:rFonts w:ascii="Times New Roman" w:hAnsi="Times New Roman" w:cs="Times New Roman"/>
          <w:sz w:val="24"/>
          <w:szCs w:val="24"/>
        </w:rPr>
        <w:t>Thatcher</w:t>
      </w:r>
      <w:r w:rsidR="006E2129" w:rsidRPr="00AE141E">
        <w:rPr>
          <w:rFonts w:ascii="Times New Roman" w:hAnsi="Times New Roman" w:cs="Times New Roman"/>
          <w:sz w:val="24"/>
          <w:szCs w:val="24"/>
        </w:rPr>
        <w:t xml:space="preserve"> </w:t>
      </w:r>
      <w:r w:rsidR="00ED08CE" w:rsidRPr="00AE141E">
        <w:rPr>
          <w:rFonts w:ascii="Times New Roman" w:hAnsi="Times New Roman" w:cs="Times New Roman"/>
          <w:sz w:val="24"/>
          <w:szCs w:val="24"/>
        </w:rPr>
        <w:t xml:space="preserve">seems to have resented </w:t>
      </w:r>
      <w:r w:rsidR="006A4756">
        <w:rPr>
          <w:rFonts w:ascii="Times New Roman" w:hAnsi="Times New Roman" w:cs="Times New Roman"/>
          <w:sz w:val="24"/>
          <w:szCs w:val="24"/>
        </w:rPr>
        <w:t xml:space="preserve">her inability </w:t>
      </w:r>
      <w:r w:rsidR="00ED08CE" w:rsidRPr="00AE141E">
        <w:rPr>
          <w:rFonts w:ascii="Times New Roman" w:hAnsi="Times New Roman" w:cs="Times New Roman"/>
          <w:sz w:val="24"/>
          <w:szCs w:val="24"/>
        </w:rPr>
        <w:t xml:space="preserve">to </w:t>
      </w:r>
      <w:r w:rsidR="006A4756">
        <w:rPr>
          <w:rFonts w:ascii="Times New Roman" w:hAnsi="Times New Roman" w:cs="Times New Roman"/>
          <w:sz w:val="24"/>
          <w:szCs w:val="24"/>
        </w:rPr>
        <w:t>‘</w:t>
      </w:r>
      <w:r w:rsidR="00ED08CE" w:rsidRPr="00AE141E">
        <w:rPr>
          <w:rFonts w:ascii="Times New Roman" w:hAnsi="Times New Roman" w:cs="Times New Roman"/>
          <w:i/>
          <w:sz w:val="24"/>
          <w:szCs w:val="24"/>
        </w:rPr>
        <w:t>tell</w:t>
      </w:r>
      <w:r w:rsidR="00ED08CE" w:rsidRPr="00AE141E">
        <w:rPr>
          <w:rFonts w:ascii="Times New Roman" w:hAnsi="Times New Roman" w:cs="Times New Roman"/>
          <w:sz w:val="24"/>
          <w:szCs w:val="24"/>
        </w:rPr>
        <w:t xml:space="preserve"> them some of the things that must be taught [emphasis in original]’.</w:t>
      </w:r>
      <w:r w:rsidR="00540A6B" w:rsidRPr="00AE141E">
        <w:rPr>
          <w:rStyle w:val="FootnoteReference"/>
          <w:rFonts w:ascii="Times New Roman" w:hAnsi="Times New Roman" w:cs="Times New Roman"/>
          <w:sz w:val="24"/>
          <w:szCs w:val="24"/>
        </w:rPr>
        <w:footnoteReference w:id="785"/>
      </w:r>
      <w:r w:rsidR="006E2129" w:rsidRPr="00AE141E">
        <w:rPr>
          <w:rFonts w:ascii="Times New Roman" w:hAnsi="Times New Roman" w:cs="Times New Roman"/>
          <w:sz w:val="24"/>
          <w:szCs w:val="24"/>
        </w:rPr>
        <w:t xml:space="preserve"> </w:t>
      </w:r>
    </w:p>
    <w:p w14:paraId="6DA9A011" w14:textId="239433CD" w:rsidR="002E57C2" w:rsidRPr="00AE141E" w:rsidRDefault="006E212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Nevertheless, HWG members </w:t>
      </w:r>
      <w:r w:rsidR="00936F8D" w:rsidRPr="00AE141E">
        <w:rPr>
          <w:rFonts w:ascii="Times New Roman" w:hAnsi="Times New Roman" w:cs="Times New Roman"/>
          <w:sz w:val="24"/>
          <w:szCs w:val="24"/>
        </w:rPr>
        <w:t>shared an awareness that the</w:t>
      </w:r>
      <w:r w:rsidR="00DB1310" w:rsidRPr="00AE141E">
        <w:rPr>
          <w:rFonts w:ascii="Times New Roman" w:hAnsi="Times New Roman" w:cs="Times New Roman"/>
          <w:sz w:val="24"/>
          <w:szCs w:val="24"/>
        </w:rPr>
        <w:t xml:space="preserve"> curriculum they produced must be ideologically acceptable to Thatcher and her allies</w:t>
      </w:r>
      <w:r w:rsidR="00936F8D" w:rsidRPr="00AE141E">
        <w:rPr>
          <w:rFonts w:ascii="Times New Roman" w:hAnsi="Times New Roman" w:cs="Times New Roman"/>
          <w:sz w:val="24"/>
          <w:szCs w:val="24"/>
        </w:rPr>
        <w:t>.</w:t>
      </w:r>
      <w:r w:rsidR="005A5A01" w:rsidRPr="00AE141E">
        <w:rPr>
          <w:rStyle w:val="FootnoteReference"/>
          <w:rFonts w:ascii="Times New Roman" w:hAnsi="Times New Roman" w:cs="Times New Roman"/>
          <w:sz w:val="24"/>
          <w:szCs w:val="24"/>
        </w:rPr>
        <w:footnoteReference w:id="786"/>
      </w:r>
      <w:r w:rsidR="00936F8D"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The </w:t>
      </w:r>
      <w:r w:rsidR="001E0C5A" w:rsidRPr="00AE141E">
        <w:rPr>
          <w:rFonts w:ascii="Times New Roman" w:hAnsi="Times New Roman" w:cs="Times New Roman"/>
          <w:sz w:val="24"/>
          <w:szCs w:val="24"/>
        </w:rPr>
        <w:t>G</w:t>
      </w:r>
      <w:r w:rsidRPr="00AE141E">
        <w:rPr>
          <w:rFonts w:ascii="Times New Roman" w:hAnsi="Times New Roman" w:cs="Times New Roman"/>
          <w:sz w:val="24"/>
          <w:szCs w:val="24"/>
        </w:rPr>
        <w:t>roup</w:t>
      </w:r>
      <w:r w:rsidR="003A0C12" w:rsidRPr="00AE141E">
        <w:rPr>
          <w:rFonts w:ascii="Times New Roman" w:hAnsi="Times New Roman" w:cs="Times New Roman"/>
          <w:sz w:val="24"/>
          <w:szCs w:val="24"/>
        </w:rPr>
        <w:t xml:space="preserve"> also</w:t>
      </w:r>
      <w:r w:rsidR="00DB1310" w:rsidRPr="00AE141E">
        <w:rPr>
          <w:rFonts w:ascii="Times New Roman" w:hAnsi="Times New Roman" w:cs="Times New Roman"/>
          <w:sz w:val="24"/>
          <w:szCs w:val="24"/>
        </w:rPr>
        <w:t xml:space="preserve"> operated within </w:t>
      </w:r>
      <w:r w:rsidR="00DF787A" w:rsidRPr="00AE141E">
        <w:rPr>
          <w:rFonts w:ascii="Times New Roman" w:hAnsi="Times New Roman" w:cs="Times New Roman"/>
          <w:sz w:val="24"/>
          <w:szCs w:val="24"/>
        </w:rPr>
        <w:t>the confines of political possibility</w:t>
      </w:r>
      <w:r w:rsidR="00DB1310" w:rsidRPr="00AE141E">
        <w:rPr>
          <w:rFonts w:ascii="Times New Roman" w:hAnsi="Times New Roman" w:cs="Times New Roman"/>
          <w:sz w:val="24"/>
          <w:szCs w:val="24"/>
        </w:rPr>
        <w:t xml:space="preserve"> </w:t>
      </w:r>
      <w:r w:rsidR="00DF787A" w:rsidRPr="00AE141E">
        <w:rPr>
          <w:rFonts w:ascii="Times New Roman" w:hAnsi="Times New Roman" w:cs="Times New Roman"/>
          <w:sz w:val="24"/>
          <w:szCs w:val="24"/>
        </w:rPr>
        <w:t>shaped</w:t>
      </w:r>
      <w:r w:rsidR="00DB1310" w:rsidRPr="00AE141E">
        <w:rPr>
          <w:rFonts w:ascii="Times New Roman" w:hAnsi="Times New Roman" w:cs="Times New Roman"/>
          <w:sz w:val="24"/>
          <w:szCs w:val="24"/>
        </w:rPr>
        <w:t xml:space="preserve"> by the </w:t>
      </w:r>
      <w:r w:rsidR="00DF787A" w:rsidRPr="00AE141E">
        <w:rPr>
          <w:rFonts w:ascii="Times New Roman" w:hAnsi="Times New Roman" w:cs="Times New Roman"/>
          <w:sz w:val="24"/>
          <w:szCs w:val="24"/>
        </w:rPr>
        <w:t>hegemonic force of the New Right.</w:t>
      </w:r>
      <w:r w:rsidR="00297B68" w:rsidRPr="00AE141E">
        <w:rPr>
          <w:rFonts w:ascii="Times New Roman" w:hAnsi="Times New Roman" w:cs="Times New Roman"/>
          <w:sz w:val="24"/>
          <w:szCs w:val="24"/>
        </w:rPr>
        <w:t xml:space="preserve"> </w:t>
      </w:r>
      <w:r w:rsidR="002E57C2" w:rsidRPr="00AE141E">
        <w:rPr>
          <w:rFonts w:ascii="Times New Roman" w:hAnsi="Times New Roman" w:cs="Times New Roman"/>
          <w:sz w:val="24"/>
          <w:szCs w:val="24"/>
        </w:rPr>
        <w:t xml:space="preserve">In 1986, the Hillgate Group </w:t>
      </w:r>
      <w:r w:rsidR="00297B68" w:rsidRPr="00AE141E">
        <w:rPr>
          <w:rFonts w:ascii="Times New Roman" w:hAnsi="Times New Roman" w:cs="Times New Roman"/>
          <w:sz w:val="24"/>
          <w:szCs w:val="24"/>
        </w:rPr>
        <w:t xml:space="preserve">had </w:t>
      </w:r>
      <w:r w:rsidR="002E57C2" w:rsidRPr="00AE141E">
        <w:rPr>
          <w:rFonts w:ascii="Times New Roman" w:hAnsi="Times New Roman" w:cs="Times New Roman"/>
          <w:sz w:val="24"/>
          <w:szCs w:val="24"/>
        </w:rPr>
        <w:t xml:space="preserve">called for a national curriculum </w:t>
      </w:r>
      <w:r w:rsidR="00297B68" w:rsidRPr="00AE141E">
        <w:rPr>
          <w:rFonts w:ascii="Times New Roman" w:hAnsi="Times New Roman" w:cs="Times New Roman"/>
          <w:sz w:val="24"/>
          <w:szCs w:val="24"/>
        </w:rPr>
        <w:t>to</w:t>
      </w:r>
      <w:r w:rsidR="002E57C2" w:rsidRPr="00AE141E">
        <w:rPr>
          <w:rFonts w:ascii="Times New Roman" w:hAnsi="Times New Roman" w:cs="Times New Roman"/>
          <w:sz w:val="24"/>
          <w:szCs w:val="24"/>
        </w:rPr>
        <w:t xml:space="preserve"> guarantee</w:t>
      </w:r>
      <w:r w:rsidR="00297B68" w:rsidRPr="00AE141E">
        <w:rPr>
          <w:rFonts w:ascii="Times New Roman" w:hAnsi="Times New Roman" w:cs="Times New Roman"/>
          <w:sz w:val="24"/>
          <w:szCs w:val="24"/>
        </w:rPr>
        <w:t xml:space="preserve"> the transmission of traditional</w:t>
      </w:r>
      <w:r w:rsidR="00D0297F" w:rsidRPr="00AE141E">
        <w:rPr>
          <w:rFonts w:ascii="Times New Roman" w:hAnsi="Times New Roman" w:cs="Times New Roman"/>
          <w:sz w:val="24"/>
          <w:szCs w:val="24"/>
        </w:rPr>
        <w:t xml:space="preserve"> </w:t>
      </w:r>
      <w:r w:rsidR="00297B68" w:rsidRPr="00AE141E">
        <w:rPr>
          <w:rFonts w:ascii="Times New Roman" w:hAnsi="Times New Roman" w:cs="Times New Roman"/>
          <w:sz w:val="24"/>
          <w:szCs w:val="24"/>
        </w:rPr>
        <w:t>values as a coherent and ‘testable’ body of knowledge</w:t>
      </w:r>
      <w:r w:rsidR="00A16F25">
        <w:rPr>
          <w:rFonts w:ascii="Times New Roman" w:hAnsi="Times New Roman" w:cs="Times New Roman"/>
          <w:sz w:val="24"/>
          <w:szCs w:val="24"/>
        </w:rPr>
        <w:t>.</w:t>
      </w:r>
      <w:r w:rsidR="00E1780D" w:rsidRPr="00AE141E">
        <w:rPr>
          <w:rStyle w:val="FootnoteReference"/>
          <w:rFonts w:ascii="Times New Roman" w:hAnsi="Times New Roman" w:cs="Times New Roman"/>
          <w:sz w:val="24"/>
          <w:szCs w:val="24"/>
        </w:rPr>
        <w:footnoteReference w:id="787"/>
      </w:r>
      <w:r w:rsidR="008651B9" w:rsidRPr="00AE141E">
        <w:rPr>
          <w:rFonts w:ascii="Times New Roman" w:hAnsi="Times New Roman" w:cs="Times New Roman"/>
          <w:sz w:val="24"/>
          <w:szCs w:val="24"/>
        </w:rPr>
        <w:t xml:space="preserve"> </w:t>
      </w:r>
      <w:r w:rsidR="00E65D33">
        <w:rPr>
          <w:rFonts w:ascii="Times New Roman" w:hAnsi="Times New Roman" w:cs="Times New Roman"/>
          <w:sz w:val="24"/>
          <w:szCs w:val="24"/>
        </w:rPr>
        <w:t>A</w:t>
      </w:r>
      <w:r w:rsidR="00E65D33" w:rsidRPr="00AE141E">
        <w:rPr>
          <w:rFonts w:ascii="Times New Roman" w:hAnsi="Times New Roman" w:cs="Times New Roman"/>
          <w:sz w:val="24"/>
          <w:szCs w:val="24"/>
        </w:rPr>
        <w:t>ccording to this framework, history teaching should eschew ‘skills’ and ‘concepts’ in favour of narrative and facts.</w:t>
      </w:r>
      <w:r w:rsidR="00E65D33">
        <w:rPr>
          <w:rFonts w:ascii="Times New Roman" w:hAnsi="Times New Roman" w:cs="Times New Roman"/>
          <w:sz w:val="24"/>
          <w:szCs w:val="24"/>
        </w:rPr>
        <w:t xml:space="preserve"> </w:t>
      </w:r>
      <w:r w:rsidR="002337F6" w:rsidRPr="00AE141E">
        <w:rPr>
          <w:rFonts w:ascii="Times New Roman" w:hAnsi="Times New Roman" w:cs="Times New Roman"/>
          <w:sz w:val="24"/>
          <w:szCs w:val="24"/>
        </w:rPr>
        <w:t xml:space="preserve">As her response to the </w:t>
      </w:r>
      <w:r w:rsidR="00BB05BB" w:rsidRPr="00AE141E">
        <w:rPr>
          <w:rFonts w:ascii="Times New Roman" w:hAnsi="Times New Roman" w:cs="Times New Roman"/>
          <w:sz w:val="24"/>
          <w:szCs w:val="24"/>
        </w:rPr>
        <w:t xml:space="preserve">HWG’s Interim Report would demonstrate, </w:t>
      </w:r>
      <w:r w:rsidR="008651B9" w:rsidRPr="00AE141E">
        <w:rPr>
          <w:rFonts w:ascii="Times New Roman" w:hAnsi="Times New Roman" w:cs="Times New Roman"/>
          <w:sz w:val="24"/>
          <w:szCs w:val="24"/>
        </w:rPr>
        <w:t xml:space="preserve">Thatcher shared much the same </w:t>
      </w:r>
      <w:r w:rsidR="00E66BEE" w:rsidRPr="00AE141E">
        <w:rPr>
          <w:rFonts w:ascii="Times New Roman" w:hAnsi="Times New Roman" w:cs="Times New Roman"/>
          <w:sz w:val="24"/>
          <w:szCs w:val="24"/>
        </w:rPr>
        <w:t>approach</w:t>
      </w:r>
      <w:r w:rsidR="003A6FA6" w:rsidRPr="00AE141E">
        <w:rPr>
          <w:rFonts w:ascii="Times New Roman" w:hAnsi="Times New Roman" w:cs="Times New Roman"/>
          <w:sz w:val="24"/>
          <w:szCs w:val="24"/>
        </w:rPr>
        <w:t>.</w:t>
      </w:r>
      <w:r w:rsidR="003A0B4A" w:rsidRPr="00AE141E">
        <w:rPr>
          <w:rFonts w:ascii="Times New Roman" w:hAnsi="Times New Roman" w:cs="Times New Roman"/>
          <w:sz w:val="24"/>
          <w:szCs w:val="24"/>
        </w:rPr>
        <w:t xml:space="preserve"> </w:t>
      </w:r>
    </w:p>
    <w:p w14:paraId="3F00D8DB" w14:textId="1E05692D" w:rsidR="00072B22" w:rsidRPr="00AE141E" w:rsidRDefault="00DD168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According to its terms of reference, the</w:t>
      </w:r>
      <w:r w:rsidR="002E1EBB" w:rsidRPr="00AE141E">
        <w:rPr>
          <w:rFonts w:ascii="Times New Roman" w:hAnsi="Times New Roman" w:cs="Times New Roman"/>
          <w:sz w:val="24"/>
          <w:szCs w:val="24"/>
        </w:rPr>
        <w:t xml:space="preserve"> </w:t>
      </w:r>
      <w:r w:rsidR="001C7949" w:rsidRPr="00AE141E">
        <w:rPr>
          <w:rFonts w:ascii="Times New Roman" w:hAnsi="Times New Roman" w:cs="Times New Roman"/>
          <w:sz w:val="24"/>
          <w:szCs w:val="24"/>
        </w:rPr>
        <w:t>HWG</w:t>
      </w:r>
      <w:r w:rsidR="002E1EBB" w:rsidRPr="00AE141E">
        <w:rPr>
          <w:rFonts w:ascii="Times New Roman" w:hAnsi="Times New Roman" w:cs="Times New Roman"/>
          <w:sz w:val="24"/>
          <w:szCs w:val="24"/>
        </w:rPr>
        <w:t xml:space="preserve"> was expected to</w:t>
      </w:r>
      <w:r w:rsidR="004E1AE8" w:rsidRPr="00AE141E">
        <w:rPr>
          <w:rFonts w:ascii="Times New Roman" w:hAnsi="Times New Roman" w:cs="Times New Roman"/>
          <w:sz w:val="24"/>
          <w:szCs w:val="24"/>
        </w:rPr>
        <w:t xml:space="preserve"> ‘take into account the broad framework for assessment and testing’ </w:t>
      </w:r>
      <w:r w:rsidR="00C4395F" w:rsidRPr="00AE141E">
        <w:rPr>
          <w:rFonts w:ascii="Times New Roman" w:hAnsi="Times New Roman" w:cs="Times New Roman"/>
          <w:sz w:val="24"/>
          <w:szCs w:val="24"/>
        </w:rPr>
        <w:t xml:space="preserve">previously announced by the government, in response to </w:t>
      </w:r>
      <w:r w:rsidR="00B57EE9" w:rsidRPr="00AE141E">
        <w:rPr>
          <w:rFonts w:ascii="Times New Roman" w:hAnsi="Times New Roman" w:cs="Times New Roman"/>
          <w:sz w:val="24"/>
          <w:szCs w:val="24"/>
        </w:rPr>
        <w:t xml:space="preserve">reports </w:t>
      </w:r>
      <w:r w:rsidR="001E0C5A" w:rsidRPr="00AE141E">
        <w:rPr>
          <w:rFonts w:ascii="Times New Roman" w:hAnsi="Times New Roman" w:cs="Times New Roman"/>
          <w:sz w:val="24"/>
          <w:szCs w:val="24"/>
        </w:rPr>
        <w:t>produced by</w:t>
      </w:r>
      <w:r w:rsidR="00B57EE9" w:rsidRPr="00AE141E">
        <w:rPr>
          <w:rFonts w:ascii="Times New Roman" w:hAnsi="Times New Roman" w:cs="Times New Roman"/>
          <w:sz w:val="24"/>
          <w:szCs w:val="24"/>
        </w:rPr>
        <w:t xml:space="preserve"> the Task Group on Assessment and Testing (TGAT).</w:t>
      </w:r>
      <w:r w:rsidR="00F23B1E" w:rsidRPr="00AE141E">
        <w:rPr>
          <w:rStyle w:val="FootnoteReference"/>
          <w:rFonts w:ascii="Times New Roman" w:hAnsi="Times New Roman" w:cs="Times New Roman"/>
          <w:sz w:val="24"/>
          <w:szCs w:val="24"/>
        </w:rPr>
        <w:footnoteReference w:id="788"/>
      </w:r>
      <w:r w:rsidR="000D125A" w:rsidRPr="00AE141E">
        <w:rPr>
          <w:rFonts w:ascii="Times New Roman" w:hAnsi="Times New Roman" w:cs="Times New Roman"/>
          <w:sz w:val="24"/>
          <w:szCs w:val="24"/>
        </w:rPr>
        <w:t xml:space="preserve"> </w:t>
      </w:r>
      <w:r w:rsidR="00890F61" w:rsidRPr="00AE141E">
        <w:rPr>
          <w:rFonts w:ascii="Times New Roman" w:hAnsi="Times New Roman" w:cs="Times New Roman"/>
          <w:sz w:val="24"/>
          <w:szCs w:val="24"/>
        </w:rPr>
        <w:t>TGAT recommended that</w:t>
      </w:r>
      <w:r w:rsidR="00241CFA" w:rsidRPr="00AE141E">
        <w:rPr>
          <w:rFonts w:ascii="Times New Roman" w:hAnsi="Times New Roman" w:cs="Times New Roman"/>
          <w:sz w:val="24"/>
          <w:szCs w:val="24"/>
        </w:rPr>
        <w:t xml:space="preserve"> specified sets of</w:t>
      </w:r>
      <w:r w:rsidR="00890F61" w:rsidRPr="00AE141E">
        <w:rPr>
          <w:rFonts w:ascii="Times New Roman" w:hAnsi="Times New Roman" w:cs="Times New Roman"/>
          <w:sz w:val="24"/>
          <w:szCs w:val="24"/>
        </w:rPr>
        <w:t xml:space="preserve"> skills and knowledge </w:t>
      </w:r>
      <w:r w:rsidR="00241CFA" w:rsidRPr="00AE141E">
        <w:rPr>
          <w:rFonts w:ascii="Times New Roman" w:hAnsi="Times New Roman" w:cs="Times New Roman"/>
          <w:sz w:val="24"/>
          <w:szCs w:val="24"/>
        </w:rPr>
        <w:t xml:space="preserve">should </w:t>
      </w:r>
      <w:r w:rsidR="00890F61" w:rsidRPr="00AE141E">
        <w:rPr>
          <w:rFonts w:ascii="Times New Roman" w:hAnsi="Times New Roman" w:cs="Times New Roman"/>
          <w:sz w:val="24"/>
          <w:szCs w:val="24"/>
        </w:rPr>
        <w:t>be assigned to</w:t>
      </w:r>
      <w:r w:rsidR="00241CFA" w:rsidRPr="00AE141E">
        <w:rPr>
          <w:rFonts w:ascii="Times New Roman" w:hAnsi="Times New Roman" w:cs="Times New Roman"/>
          <w:sz w:val="24"/>
          <w:szCs w:val="24"/>
        </w:rPr>
        <w:t xml:space="preserve"> progressively</w:t>
      </w:r>
      <w:r w:rsidR="00536C0F" w:rsidRPr="00AE141E">
        <w:rPr>
          <w:rFonts w:ascii="Times New Roman" w:hAnsi="Times New Roman" w:cs="Times New Roman"/>
          <w:sz w:val="24"/>
          <w:szCs w:val="24"/>
        </w:rPr>
        <w:t xml:space="preserve"> ‘levell</w:t>
      </w:r>
      <w:r w:rsidR="00890F61" w:rsidRPr="00AE141E">
        <w:rPr>
          <w:rFonts w:ascii="Times New Roman" w:hAnsi="Times New Roman" w:cs="Times New Roman"/>
          <w:sz w:val="24"/>
          <w:szCs w:val="24"/>
        </w:rPr>
        <w:t>ed</w:t>
      </w:r>
      <w:r w:rsidR="00536C0F" w:rsidRPr="00AE141E">
        <w:rPr>
          <w:rFonts w:ascii="Times New Roman" w:hAnsi="Times New Roman" w:cs="Times New Roman"/>
          <w:sz w:val="24"/>
          <w:szCs w:val="24"/>
        </w:rPr>
        <w:t xml:space="preserve">’ </w:t>
      </w:r>
      <w:r w:rsidR="00241CFA" w:rsidRPr="00AE141E">
        <w:rPr>
          <w:rFonts w:ascii="Times New Roman" w:hAnsi="Times New Roman" w:cs="Times New Roman"/>
          <w:sz w:val="24"/>
          <w:szCs w:val="24"/>
        </w:rPr>
        <w:t xml:space="preserve">Attainment Targets (ATs). </w:t>
      </w:r>
      <w:r w:rsidR="005848CE" w:rsidRPr="00AE141E">
        <w:rPr>
          <w:rFonts w:ascii="Times New Roman" w:hAnsi="Times New Roman" w:cs="Times New Roman"/>
          <w:sz w:val="24"/>
          <w:szCs w:val="24"/>
        </w:rPr>
        <w:t>L</w:t>
      </w:r>
      <w:r w:rsidR="0025234A" w:rsidRPr="00AE141E">
        <w:rPr>
          <w:rFonts w:ascii="Times New Roman" w:hAnsi="Times New Roman" w:cs="Times New Roman"/>
          <w:sz w:val="24"/>
          <w:szCs w:val="24"/>
        </w:rPr>
        <w:t>evelling</w:t>
      </w:r>
      <w:r w:rsidR="005848CE" w:rsidRPr="00AE141E">
        <w:rPr>
          <w:rFonts w:ascii="Times New Roman" w:hAnsi="Times New Roman" w:cs="Times New Roman"/>
          <w:sz w:val="24"/>
          <w:szCs w:val="24"/>
        </w:rPr>
        <w:t xml:space="preserve"> was intended to</w:t>
      </w:r>
      <w:r w:rsidR="0025234A" w:rsidRPr="00AE141E">
        <w:rPr>
          <w:rFonts w:ascii="Times New Roman" w:hAnsi="Times New Roman" w:cs="Times New Roman"/>
          <w:sz w:val="24"/>
          <w:szCs w:val="24"/>
        </w:rPr>
        <w:t xml:space="preserve"> </w:t>
      </w:r>
      <w:r w:rsidR="00881DF3" w:rsidRPr="00AE141E">
        <w:rPr>
          <w:rFonts w:ascii="Times New Roman" w:hAnsi="Times New Roman" w:cs="Times New Roman"/>
          <w:sz w:val="24"/>
          <w:szCs w:val="24"/>
        </w:rPr>
        <w:t xml:space="preserve">provide a framework for </w:t>
      </w:r>
      <w:r w:rsidR="002709C6" w:rsidRPr="00AE141E">
        <w:rPr>
          <w:rFonts w:ascii="Times New Roman" w:hAnsi="Times New Roman" w:cs="Times New Roman"/>
          <w:sz w:val="24"/>
          <w:szCs w:val="24"/>
        </w:rPr>
        <w:t>academic development</w:t>
      </w:r>
      <w:r w:rsidR="00881DF3" w:rsidRPr="00AE141E">
        <w:rPr>
          <w:rFonts w:ascii="Times New Roman" w:hAnsi="Times New Roman" w:cs="Times New Roman"/>
          <w:sz w:val="24"/>
          <w:szCs w:val="24"/>
        </w:rPr>
        <w:t xml:space="preserve"> </w:t>
      </w:r>
      <w:r w:rsidR="007F31A0" w:rsidRPr="00AE141E">
        <w:rPr>
          <w:rFonts w:ascii="Times New Roman" w:hAnsi="Times New Roman" w:cs="Times New Roman"/>
          <w:sz w:val="24"/>
          <w:szCs w:val="24"/>
        </w:rPr>
        <w:t xml:space="preserve">which could be understood by teachers, parents, and pupils. </w:t>
      </w:r>
      <w:r w:rsidR="003F7EF5" w:rsidRPr="00AE141E">
        <w:rPr>
          <w:rFonts w:ascii="Times New Roman" w:hAnsi="Times New Roman" w:cs="Times New Roman"/>
          <w:sz w:val="24"/>
          <w:szCs w:val="24"/>
        </w:rPr>
        <w:t xml:space="preserve">In the case of history, it was also expected to </w:t>
      </w:r>
      <w:r w:rsidR="004F4ACB" w:rsidRPr="00AE141E">
        <w:rPr>
          <w:rFonts w:ascii="Times New Roman" w:hAnsi="Times New Roman" w:cs="Times New Roman"/>
          <w:sz w:val="24"/>
          <w:szCs w:val="24"/>
        </w:rPr>
        <w:t xml:space="preserve">guarantee the place of </w:t>
      </w:r>
      <w:r w:rsidR="003900D3" w:rsidRPr="00AE141E">
        <w:rPr>
          <w:rFonts w:ascii="Times New Roman" w:hAnsi="Times New Roman" w:cs="Times New Roman"/>
          <w:sz w:val="24"/>
          <w:szCs w:val="24"/>
        </w:rPr>
        <w:t>knowledge in the school curriculum.</w:t>
      </w:r>
      <w:r w:rsidR="00092AC3" w:rsidRPr="00AE141E">
        <w:rPr>
          <w:rFonts w:ascii="Times New Roman" w:hAnsi="Times New Roman" w:cs="Times New Roman"/>
          <w:sz w:val="24"/>
          <w:szCs w:val="24"/>
        </w:rPr>
        <w:t xml:space="preserve"> </w:t>
      </w:r>
      <w:r w:rsidR="007D708D" w:rsidRPr="00AE141E">
        <w:rPr>
          <w:rFonts w:ascii="Times New Roman" w:hAnsi="Times New Roman" w:cs="Times New Roman"/>
          <w:sz w:val="24"/>
          <w:szCs w:val="24"/>
        </w:rPr>
        <w:t>The vague</w:t>
      </w:r>
      <w:r w:rsidR="00652CF2" w:rsidRPr="00AE141E">
        <w:rPr>
          <w:rFonts w:ascii="Times New Roman" w:hAnsi="Times New Roman" w:cs="Times New Roman"/>
          <w:sz w:val="24"/>
          <w:szCs w:val="24"/>
        </w:rPr>
        <w:t xml:space="preserve"> criteria </w:t>
      </w:r>
      <w:r w:rsidR="00A86250" w:rsidRPr="00AE141E">
        <w:rPr>
          <w:rFonts w:ascii="Times New Roman" w:hAnsi="Times New Roman" w:cs="Times New Roman"/>
          <w:sz w:val="24"/>
          <w:szCs w:val="24"/>
        </w:rPr>
        <w:t xml:space="preserve">governing the selection of content </w:t>
      </w:r>
      <w:r w:rsidR="00453FBF" w:rsidRPr="00AE141E">
        <w:rPr>
          <w:rFonts w:ascii="Times New Roman" w:hAnsi="Times New Roman" w:cs="Times New Roman"/>
          <w:sz w:val="24"/>
          <w:szCs w:val="24"/>
        </w:rPr>
        <w:t xml:space="preserve">for GCSE </w:t>
      </w:r>
      <w:r w:rsidR="00E41CA6">
        <w:rPr>
          <w:rFonts w:ascii="Times New Roman" w:hAnsi="Times New Roman" w:cs="Times New Roman"/>
          <w:sz w:val="24"/>
          <w:szCs w:val="24"/>
        </w:rPr>
        <w:t>were</w:t>
      </w:r>
      <w:r w:rsidR="00453FBF" w:rsidRPr="00AE141E">
        <w:rPr>
          <w:rFonts w:ascii="Times New Roman" w:hAnsi="Times New Roman" w:cs="Times New Roman"/>
          <w:sz w:val="24"/>
          <w:szCs w:val="24"/>
        </w:rPr>
        <w:t xml:space="preserve"> no longer politically acceptable; as Robert Phillips notes, some form of </w:t>
      </w:r>
      <w:r w:rsidR="0016587D" w:rsidRPr="00AE141E">
        <w:rPr>
          <w:rFonts w:ascii="Times New Roman" w:hAnsi="Times New Roman" w:cs="Times New Roman"/>
          <w:sz w:val="24"/>
          <w:szCs w:val="24"/>
        </w:rPr>
        <w:t>detailed prescription was now inevitable.</w:t>
      </w:r>
      <w:r w:rsidR="00B908E5" w:rsidRPr="00AE141E">
        <w:rPr>
          <w:rStyle w:val="FootnoteReference"/>
          <w:rFonts w:ascii="Times New Roman" w:hAnsi="Times New Roman" w:cs="Times New Roman"/>
          <w:sz w:val="24"/>
          <w:szCs w:val="24"/>
        </w:rPr>
        <w:footnoteReference w:id="789"/>
      </w:r>
      <w:r w:rsidR="0016587D" w:rsidRPr="00AE141E">
        <w:rPr>
          <w:rFonts w:ascii="Times New Roman" w:hAnsi="Times New Roman" w:cs="Times New Roman"/>
          <w:sz w:val="24"/>
          <w:szCs w:val="24"/>
        </w:rPr>
        <w:t xml:space="preserve"> </w:t>
      </w:r>
      <w:r w:rsidR="00D36B68">
        <w:rPr>
          <w:rFonts w:ascii="Times New Roman" w:hAnsi="Times New Roman" w:cs="Times New Roman"/>
          <w:sz w:val="24"/>
          <w:szCs w:val="24"/>
        </w:rPr>
        <w:t>Only two questions remained to be answered:</w:t>
      </w:r>
      <w:r w:rsidR="0016587D" w:rsidRPr="00AE141E">
        <w:rPr>
          <w:rFonts w:ascii="Times New Roman" w:hAnsi="Times New Roman" w:cs="Times New Roman"/>
          <w:sz w:val="24"/>
          <w:szCs w:val="24"/>
        </w:rPr>
        <w:t xml:space="preserve"> </w:t>
      </w:r>
      <w:r w:rsidR="00865EAD" w:rsidRPr="00AE141E">
        <w:rPr>
          <w:rFonts w:ascii="Times New Roman" w:hAnsi="Times New Roman" w:cs="Times New Roman"/>
          <w:sz w:val="24"/>
          <w:szCs w:val="24"/>
        </w:rPr>
        <w:t>what knowledge would be included in the new curriculum, and</w:t>
      </w:r>
      <w:r w:rsidR="00E672E2" w:rsidRPr="00AE141E">
        <w:rPr>
          <w:rFonts w:ascii="Times New Roman" w:hAnsi="Times New Roman" w:cs="Times New Roman"/>
          <w:sz w:val="24"/>
          <w:szCs w:val="24"/>
        </w:rPr>
        <w:t xml:space="preserve"> by what rationale would it be chosen?</w:t>
      </w:r>
    </w:p>
    <w:p w14:paraId="6A7C27C6" w14:textId="564780EB" w:rsidR="007333C1" w:rsidRPr="00AE141E" w:rsidRDefault="00801B3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HWG’s terms of reference were accompanied by a longer set of ‘supplementary guidance’</w:t>
      </w:r>
      <w:r w:rsidR="00E740F6">
        <w:rPr>
          <w:rFonts w:ascii="Times New Roman" w:hAnsi="Times New Roman" w:cs="Times New Roman"/>
          <w:sz w:val="24"/>
          <w:szCs w:val="24"/>
        </w:rPr>
        <w:t>,</w:t>
      </w:r>
      <w:r w:rsidRPr="00AE141E">
        <w:rPr>
          <w:rFonts w:ascii="Times New Roman" w:hAnsi="Times New Roman" w:cs="Times New Roman"/>
          <w:sz w:val="24"/>
          <w:szCs w:val="24"/>
        </w:rPr>
        <w:t xml:space="preserve"> issued by Baker and designed to set the terms for discussion. </w:t>
      </w:r>
      <w:r w:rsidR="00CB00F7">
        <w:rPr>
          <w:rFonts w:ascii="Times New Roman" w:hAnsi="Times New Roman" w:cs="Times New Roman"/>
          <w:sz w:val="24"/>
          <w:szCs w:val="24"/>
        </w:rPr>
        <w:t xml:space="preserve">This </w:t>
      </w:r>
      <w:r w:rsidR="009579DF" w:rsidRPr="00AE141E">
        <w:rPr>
          <w:rFonts w:ascii="Times New Roman" w:hAnsi="Times New Roman" w:cs="Times New Roman"/>
          <w:sz w:val="24"/>
          <w:szCs w:val="24"/>
        </w:rPr>
        <w:t>specified that school history must ‘</w:t>
      </w:r>
      <w:r w:rsidR="006F599D" w:rsidRPr="00AE141E">
        <w:rPr>
          <w:rFonts w:ascii="Times New Roman" w:hAnsi="Times New Roman" w:cs="Times New Roman"/>
          <w:sz w:val="24"/>
          <w:szCs w:val="24"/>
        </w:rPr>
        <w:t>help pupils come to understand how a free and democratic society has developed over the centuries</w:t>
      </w:r>
      <w:r w:rsidR="009579DF" w:rsidRPr="00AE141E">
        <w:rPr>
          <w:rFonts w:ascii="Times New Roman" w:hAnsi="Times New Roman" w:cs="Times New Roman"/>
          <w:sz w:val="24"/>
          <w:szCs w:val="24"/>
        </w:rPr>
        <w:t>’</w:t>
      </w:r>
      <w:r w:rsidR="006F599D" w:rsidRPr="00AE141E">
        <w:rPr>
          <w:rFonts w:ascii="Times New Roman" w:hAnsi="Times New Roman" w:cs="Times New Roman"/>
          <w:sz w:val="24"/>
          <w:szCs w:val="24"/>
        </w:rPr>
        <w:t>.</w:t>
      </w:r>
      <w:r w:rsidR="000C1A42" w:rsidRPr="00AE141E">
        <w:rPr>
          <w:rStyle w:val="FootnoteReference"/>
          <w:rFonts w:ascii="Times New Roman" w:hAnsi="Times New Roman" w:cs="Times New Roman"/>
          <w:sz w:val="24"/>
          <w:szCs w:val="24"/>
        </w:rPr>
        <w:footnoteReference w:id="790"/>
      </w:r>
      <w:r w:rsidR="006F599D" w:rsidRPr="00AE141E">
        <w:rPr>
          <w:rFonts w:ascii="Times New Roman" w:hAnsi="Times New Roman" w:cs="Times New Roman"/>
          <w:sz w:val="24"/>
          <w:szCs w:val="24"/>
        </w:rPr>
        <w:t xml:space="preserve"> The</w:t>
      </w:r>
      <w:r w:rsidR="008B70B5">
        <w:rPr>
          <w:rFonts w:ascii="Times New Roman" w:hAnsi="Times New Roman" w:cs="Times New Roman"/>
          <w:sz w:val="24"/>
          <w:szCs w:val="24"/>
        </w:rPr>
        <w:t xml:space="preserve">refore, the </w:t>
      </w:r>
      <w:r w:rsidR="0075748E">
        <w:rPr>
          <w:rFonts w:ascii="Times New Roman" w:hAnsi="Times New Roman" w:cs="Times New Roman"/>
          <w:sz w:val="24"/>
          <w:szCs w:val="24"/>
        </w:rPr>
        <w:t>proposed</w:t>
      </w:r>
      <w:r w:rsidR="006F599D" w:rsidRPr="00AE141E">
        <w:rPr>
          <w:rFonts w:ascii="Times New Roman" w:hAnsi="Times New Roman" w:cs="Times New Roman"/>
          <w:sz w:val="24"/>
          <w:szCs w:val="24"/>
        </w:rPr>
        <w:t xml:space="preserve"> programmes of study should have at the</w:t>
      </w:r>
      <w:r w:rsidR="00A11595" w:rsidRPr="00AE141E">
        <w:rPr>
          <w:rFonts w:ascii="Times New Roman" w:hAnsi="Times New Roman" w:cs="Times New Roman"/>
          <w:sz w:val="24"/>
          <w:szCs w:val="24"/>
        </w:rPr>
        <w:t>ir</w:t>
      </w:r>
      <w:r w:rsidR="006F599D" w:rsidRPr="00AE141E">
        <w:rPr>
          <w:rFonts w:ascii="Times New Roman" w:hAnsi="Times New Roman" w:cs="Times New Roman"/>
          <w:sz w:val="24"/>
          <w:szCs w:val="24"/>
        </w:rPr>
        <w:t xml:space="preserve"> core the history of Britain, its </w:t>
      </w:r>
      <w:r w:rsidR="007E17B8" w:rsidRPr="00AE141E">
        <w:rPr>
          <w:rFonts w:ascii="Times New Roman" w:hAnsi="Times New Roman" w:cs="Times New Roman"/>
          <w:sz w:val="24"/>
          <w:szCs w:val="24"/>
        </w:rPr>
        <w:t>‘</w:t>
      </w:r>
      <w:r w:rsidR="006F599D" w:rsidRPr="00AE141E">
        <w:rPr>
          <w:rFonts w:ascii="Times New Roman" w:hAnsi="Times New Roman" w:cs="Times New Roman"/>
          <w:sz w:val="24"/>
          <w:szCs w:val="24"/>
        </w:rPr>
        <w:t>political, constitutional and cultural heritage</w:t>
      </w:r>
      <w:r w:rsidR="00A11595" w:rsidRPr="00AE141E">
        <w:rPr>
          <w:rFonts w:ascii="Times New Roman" w:hAnsi="Times New Roman" w:cs="Times New Roman"/>
          <w:sz w:val="24"/>
          <w:szCs w:val="24"/>
        </w:rPr>
        <w:t>’</w:t>
      </w:r>
      <w:r w:rsidR="007E17B8" w:rsidRPr="00AE141E">
        <w:rPr>
          <w:rFonts w:ascii="Times New Roman" w:hAnsi="Times New Roman" w:cs="Times New Roman"/>
          <w:sz w:val="24"/>
          <w:szCs w:val="24"/>
        </w:rPr>
        <w:t>, and the country’s role</w:t>
      </w:r>
      <w:r w:rsidR="006F599D" w:rsidRPr="00AE141E">
        <w:rPr>
          <w:rFonts w:ascii="Times New Roman" w:hAnsi="Times New Roman" w:cs="Times New Roman"/>
          <w:sz w:val="24"/>
          <w:szCs w:val="24"/>
        </w:rPr>
        <w:t xml:space="preserve"> </w:t>
      </w:r>
      <w:r w:rsidR="007E17B8" w:rsidRPr="00AE141E">
        <w:rPr>
          <w:rFonts w:ascii="Times New Roman" w:hAnsi="Times New Roman" w:cs="Times New Roman"/>
          <w:sz w:val="24"/>
          <w:szCs w:val="24"/>
        </w:rPr>
        <w:t>‘</w:t>
      </w:r>
      <w:r w:rsidR="006F599D" w:rsidRPr="00AE141E">
        <w:rPr>
          <w:rFonts w:ascii="Times New Roman" w:hAnsi="Times New Roman" w:cs="Times New Roman"/>
          <w:sz w:val="24"/>
          <w:szCs w:val="24"/>
        </w:rPr>
        <w:t>as a European, Commonwealth and world power</w:t>
      </w:r>
      <w:r w:rsidR="007333C1" w:rsidRPr="00AE141E">
        <w:rPr>
          <w:rFonts w:ascii="Times New Roman" w:hAnsi="Times New Roman" w:cs="Times New Roman"/>
          <w:sz w:val="24"/>
          <w:szCs w:val="24"/>
        </w:rPr>
        <w:t>’</w:t>
      </w:r>
      <w:r w:rsidR="00022E89" w:rsidRPr="00AE141E">
        <w:rPr>
          <w:rFonts w:ascii="Times New Roman" w:hAnsi="Times New Roman" w:cs="Times New Roman"/>
          <w:sz w:val="24"/>
          <w:szCs w:val="24"/>
        </w:rPr>
        <w:t>.</w:t>
      </w:r>
      <w:r w:rsidR="006F599D" w:rsidRPr="00AE141E">
        <w:rPr>
          <w:rFonts w:ascii="Times New Roman" w:hAnsi="Times New Roman" w:cs="Times New Roman"/>
          <w:sz w:val="24"/>
          <w:szCs w:val="24"/>
        </w:rPr>
        <w:t xml:space="preserve"> </w:t>
      </w:r>
      <w:r w:rsidR="00022E89" w:rsidRPr="00AE141E">
        <w:rPr>
          <w:rFonts w:ascii="Times New Roman" w:hAnsi="Times New Roman" w:cs="Times New Roman"/>
          <w:sz w:val="24"/>
          <w:szCs w:val="24"/>
        </w:rPr>
        <w:t>Finally, the curriculum must cultivate</w:t>
      </w:r>
      <w:r w:rsidR="006F599D" w:rsidRPr="00AE141E">
        <w:rPr>
          <w:rFonts w:ascii="Times New Roman" w:hAnsi="Times New Roman" w:cs="Times New Roman"/>
          <w:sz w:val="24"/>
          <w:szCs w:val="24"/>
        </w:rPr>
        <w:t xml:space="preserve"> an awareness of the </w:t>
      </w:r>
      <w:r w:rsidR="005E21FD" w:rsidRPr="00AE141E">
        <w:rPr>
          <w:rFonts w:ascii="Times New Roman" w:hAnsi="Times New Roman" w:cs="Times New Roman"/>
          <w:sz w:val="24"/>
          <w:szCs w:val="24"/>
        </w:rPr>
        <w:t>legacy</w:t>
      </w:r>
      <w:r w:rsidR="006F599D" w:rsidRPr="00AE141E">
        <w:rPr>
          <w:rFonts w:ascii="Times New Roman" w:hAnsi="Times New Roman" w:cs="Times New Roman"/>
          <w:sz w:val="24"/>
          <w:szCs w:val="24"/>
        </w:rPr>
        <w:t xml:space="preserve"> of </w:t>
      </w:r>
      <w:r w:rsidR="005E21FD" w:rsidRPr="00AE141E">
        <w:rPr>
          <w:rFonts w:ascii="Times New Roman" w:hAnsi="Times New Roman" w:cs="Times New Roman"/>
          <w:sz w:val="24"/>
          <w:szCs w:val="24"/>
        </w:rPr>
        <w:t>‘</w:t>
      </w:r>
      <w:r w:rsidR="006F599D" w:rsidRPr="00AE141E">
        <w:rPr>
          <w:rFonts w:ascii="Times New Roman" w:hAnsi="Times New Roman" w:cs="Times New Roman"/>
          <w:sz w:val="24"/>
          <w:szCs w:val="24"/>
        </w:rPr>
        <w:t>classical civilisations</w:t>
      </w:r>
      <w:r w:rsidR="005E21FD" w:rsidRPr="00AE141E">
        <w:rPr>
          <w:rFonts w:ascii="Times New Roman" w:hAnsi="Times New Roman" w:cs="Times New Roman"/>
          <w:sz w:val="24"/>
          <w:szCs w:val="24"/>
        </w:rPr>
        <w:t>’</w:t>
      </w:r>
      <w:r w:rsidR="006F599D" w:rsidRPr="00AE141E">
        <w:rPr>
          <w:rFonts w:ascii="Times New Roman" w:hAnsi="Times New Roman" w:cs="Times New Roman"/>
          <w:sz w:val="24"/>
          <w:szCs w:val="24"/>
        </w:rPr>
        <w:t xml:space="preserve">. </w:t>
      </w:r>
      <w:r w:rsidR="007333C1" w:rsidRPr="00AE141E">
        <w:rPr>
          <w:rFonts w:ascii="Times New Roman" w:hAnsi="Times New Roman" w:cs="Times New Roman"/>
          <w:sz w:val="24"/>
          <w:szCs w:val="24"/>
        </w:rPr>
        <w:t xml:space="preserve">There </w:t>
      </w:r>
      <w:r w:rsidR="00DC2E0B" w:rsidRPr="00AE141E">
        <w:rPr>
          <w:rFonts w:ascii="Times New Roman" w:hAnsi="Times New Roman" w:cs="Times New Roman"/>
          <w:sz w:val="24"/>
          <w:szCs w:val="24"/>
        </w:rPr>
        <w:t>was</w:t>
      </w:r>
      <w:r w:rsidR="007333C1" w:rsidRPr="00AE141E">
        <w:rPr>
          <w:rFonts w:ascii="Times New Roman" w:hAnsi="Times New Roman" w:cs="Times New Roman"/>
          <w:sz w:val="24"/>
          <w:szCs w:val="24"/>
        </w:rPr>
        <w:t xml:space="preserve"> </w:t>
      </w:r>
      <w:r w:rsidR="00DC2E0B" w:rsidRPr="00AE141E">
        <w:rPr>
          <w:rFonts w:ascii="Times New Roman" w:hAnsi="Times New Roman" w:cs="Times New Roman"/>
          <w:sz w:val="24"/>
          <w:szCs w:val="24"/>
        </w:rPr>
        <w:t>more than a</w:t>
      </w:r>
      <w:r w:rsidR="007333C1" w:rsidRPr="00AE141E">
        <w:rPr>
          <w:rFonts w:ascii="Times New Roman" w:hAnsi="Times New Roman" w:cs="Times New Roman"/>
          <w:sz w:val="24"/>
          <w:szCs w:val="24"/>
        </w:rPr>
        <w:t xml:space="preserve"> hint of Whiggish</w:t>
      </w:r>
      <w:r w:rsidR="00DC2E0B" w:rsidRPr="00AE141E">
        <w:rPr>
          <w:rFonts w:ascii="Times New Roman" w:hAnsi="Times New Roman" w:cs="Times New Roman"/>
          <w:sz w:val="24"/>
          <w:szCs w:val="24"/>
        </w:rPr>
        <w:t xml:space="preserve">ness </w:t>
      </w:r>
      <w:r w:rsidR="007333C1" w:rsidRPr="00AE141E">
        <w:rPr>
          <w:rFonts w:ascii="Times New Roman" w:hAnsi="Times New Roman" w:cs="Times New Roman"/>
          <w:sz w:val="24"/>
          <w:szCs w:val="24"/>
        </w:rPr>
        <w:t>in these specifications</w:t>
      </w:r>
      <w:r w:rsidR="0080172F" w:rsidRPr="00AE141E">
        <w:rPr>
          <w:rFonts w:ascii="Times New Roman" w:hAnsi="Times New Roman" w:cs="Times New Roman"/>
          <w:sz w:val="24"/>
          <w:szCs w:val="24"/>
        </w:rPr>
        <w:t>.</w:t>
      </w:r>
      <w:r w:rsidR="009E34C2" w:rsidRPr="00AE141E">
        <w:rPr>
          <w:rFonts w:ascii="Times New Roman" w:hAnsi="Times New Roman" w:cs="Times New Roman"/>
          <w:sz w:val="24"/>
          <w:szCs w:val="24"/>
        </w:rPr>
        <w:t xml:space="preserve"> Baker seemed to view </w:t>
      </w:r>
      <w:r w:rsidR="00DC2E0B" w:rsidRPr="00AE141E">
        <w:rPr>
          <w:rFonts w:ascii="Times New Roman" w:hAnsi="Times New Roman" w:cs="Times New Roman"/>
          <w:sz w:val="24"/>
          <w:szCs w:val="24"/>
        </w:rPr>
        <w:t xml:space="preserve">history as the gradual </w:t>
      </w:r>
      <w:r w:rsidR="00DC2E0B" w:rsidRPr="00AE141E">
        <w:rPr>
          <w:rFonts w:ascii="Times New Roman" w:hAnsi="Times New Roman" w:cs="Times New Roman"/>
          <w:sz w:val="24"/>
          <w:szCs w:val="24"/>
        </w:rPr>
        <w:lastRenderedPageBreak/>
        <w:t>unfolding of the nation’s destiny</w:t>
      </w:r>
      <w:r w:rsidR="00BA04C5" w:rsidRPr="00AE141E">
        <w:rPr>
          <w:rFonts w:ascii="Times New Roman" w:hAnsi="Times New Roman" w:cs="Times New Roman"/>
          <w:sz w:val="24"/>
          <w:szCs w:val="24"/>
        </w:rPr>
        <w:t xml:space="preserve">, measured through incremental political progress. </w:t>
      </w:r>
      <w:r w:rsidR="00916D31" w:rsidRPr="00AE141E">
        <w:rPr>
          <w:rFonts w:ascii="Times New Roman" w:hAnsi="Times New Roman" w:cs="Times New Roman"/>
          <w:sz w:val="24"/>
          <w:szCs w:val="24"/>
        </w:rPr>
        <w:t xml:space="preserve">In his inclusion of ‘classical civilisation’ – normally a shorthand for Ancient Greece and Ancient Rome – it is difficult </w:t>
      </w:r>
      <w:r w:rsidR="008F0257">
        <w:rPr>
          <w:rFonts w:ascii="Times New Roman" w:hAnsi="Times New Roman" w:cs="Times New Roman"/>
          <w:sz w:val="24"/>
          <w:szCs w:val="24"/>
        </w:rPr>
        <w:t>to ignore</w:t>
      </w:r>
      <w:r w:rsidR="00916D31" w:rsidRPr="00AE141E">
        <w:rPr>
          <w:rFonts w:ascii="Times New Roman" w:hAnsi="Times New Roman" w:cs="Times New Roman"/>
          <w:sz w:val="24"/>
          <w:szCs w:val="24"/>
        </w:rPr>
        <w:t xml:space="preserve"> an implication that Brit</w:t>
      </w:r>
      <w:r w:rsidR="004A5286" w:rsidRPr="00AE141E">
        <w:rPr>
          <w:rFonts w:ascii="Times New Roman" w:hAnsi="Times New Roman" w:cs="Times New Roman"/>
          <w:sz w:val="24"/>
          <w:szCs w:val="24"/>
        </w:rPr>
        <w:t xml:space="preserve">ain was </w:t>
      </w:r>
      <w:r w:rsidR="001F375B" w:rsidRPr="00AE141E">
        <w:rPr>
          <w:rFonts w:ascii="Times New Roman" w:hAnsi="Times New Roman" w:cs="Times New Roman"/>
          <w:sz w:val="24"/>
          <w:szCs w:val="24"/>
        </w:rPr>
        <w:t xml:space="preserve">heir to </w:t>
      </w:r>
      <w:r w:rsidR="00916D31" w:rsidRPr="00AE141E">
        <w:rPr>
          <w:rFonts w:ascii="Times New Roman" w:hAnsi="Times New Roman" w:cs="Times New Roman"/>
          <w:sz w:val="24"/>
          <w:szCs w:val="24"/>
        </w:rPr>
        <w:t xml:space="preserve">this heritage. </w:t>
      </w:r>
      <w:r w:rsidR="001F375B" w:rsidRPr="00AE141E">
        <w:rPr>
          <w:rFonts w:ascii="Times New Roman" w:hAnsi="Times New Roman" w:cs="Times New Roman"/>
          <w:sz w:val="24"/>
          <w:szCs w:val="24"/>
        </w:rPr>
        <w:t>The i</w:t>
      </w:r>
      <w:r w:rsidR="00916D31" w:rsidRPr="00AE141E">
        <w:rPr>
          <w:rFonts w:ascii="Times New Roman" w:hAnsi="Times New Roman" w:cs="Times New Roman"/>
          <w:sz w:val="24"/>
          <w:szCs w:val="24"/>
        </w:rPr>
        <w:t xml:space="preserve">dea </w:t>
      </w:r>
      <w:r w:rsidR="00E14F97">
        <w:rPr>
          <w:rFonts w:ascii="Times New Roman" w:hAnsi="Times New Roman" w:cs="Times New Roman"/>
          <w:sz w:val="24"/>
          <w:szCs w:val="24"/>
        </w:rPr>
        <w:t>that</w:t>
      </w:r>
      <w:r w:rsidR="00916D31" w:rsidRPr="00AE141E">
        <w:rPr>
          <w:rFonts w:ascii="Times New Roman" w:hAnsi="Times New Roman" w:cs="Times New Roman"/>
          <w:sz w:val="24"/>
          <w:szCs w:val="24"/>
        </w:rPr>
        <w:t xml:space="preserve"> Britain</w:t>
      </w:r>
      <w:r w:rsidR="00BD110A" w:rsidRPr="00AE141E">
        <w:rPr>
          <w:rFonts w:ascii="Times New Roman" w:hAnsi="Times New Roman" w:cs="Times New Roman"/>
          <w:sz w:val="24"/>
          <w:szCs w:val="24"/>
        </w:rPr>
        <w:t xml:space="preserve"> </w:t>
      </w:r>
      <w:r w:rsidR="00E14F97">
        <w:rPr>
          <w:rFonts w:ascii="Times New Roman" w:hAnsi="Times New Roman" w:cs="Times New Roman"/>
          <w:sz w:val="24"/>
          <w:szCs w:val="24"/>
        </w:rPr>
        <w:t>had</w:t>
      </w:r>
      <w:r w:rsidR="001F375B" w:rsidRPr="00AE141E">
        <w:rPr>
          <w:rFonts w:ascii="Times New Roman" w:hAnsi="Times New Roman" w:cs="Times New Roman"/>
          <w:sz w:val="24"/>
          <w:szCs w:val="24"/>
        </w:rPr>
        <w:t xml:space="preserve"> </w:t>
      </w:r>
      <w:r w:rsidR="00BD110A" w:rsidRPr="00AE141E">
        <w:rPr>
          <w:rFonts w:ascii="Times New Roman" w:hAnsi="Times New Roman" w:cs="Times New Roman"/>
          <w:sz w:val="24"/>
          <w:szCs w:val="24"/>
        </w:rPr>
        <w:t>develop</w:t>
      </w:r>
      <w:r w:rsidR="00E14F97">
        <w:rPr>
          <w:rFonts w:ascii="Times New Roman" w:hAnsi="Times New Roman" w:cs="Times New Roman"/>
          <w:sz w:val="24"/>
          <w:szCs w:val="24"/>
        </w:rPr>
        <w:t>ed</w:t>
      </w:r>
      <w:r w:rsidR="00BD110A" w:rsidRPr="00AE141E">
        <w:rPr>
          <w:rFonts w:ascii="Times New Roman" w:hAnsi="Times New Roman" w:cs="Times New Roman"/>
          <w:sz w:val="24"/>
          <w:szCs w:val="24"/>
        </w:rPr>
        <w:t xml:space="preserve"> in unbroken line from </w:t>
      </w:r>
      <w:r w:rsidR="00916D31" w:rsidRPr="00AE141E">
        <w:rPr>
          <w:rFonts w:ascii="Times New Roman" w:hAnsi="Times New Roman" w:cs="Times New Roman"/>
          <w:sz w:val="24"/>
          <w:szCs w:val="24"/>
        </w:rPr>
        <w:t>classical civilisation</w:t>
      </w:r>
      <w:r w:rsidR="00665CE6" w:rsidRPr="00AE141E">
        <w:rPr>
          <w:rFonts w:ascii="Times New Roman" w:hAnsi="Times New Roman" w:cs="Times New Roman"/>
          <w:sz w:val="24"/>
          <w:szCs w:val="24"/>
        </w:rPr>
        <w:t>, and especially the Roman Empire,</w:t>
      </w:r>
      <w:r w:rsidR="00916D31" w:rsidRPr="00AE141E">
        <w:rPr>
          <w:rFonts w:ascii="Times New Roman" w:hAnsi="Times New Roman" w:cs="Times New Roman"/>
          <w:sz w:val="24"/>
          <w:szCs w:val="24"/>
        </w:rPr>
        <w:t xml:space="preserve"> was a</w:t>
      </w:r>
      <w:r w:rsidR="0080172F" w:rsidRPr="00AE141E">
        <w:rPr>
          <w:rFonts w:ascii="Times New Roman" w:hAnsi="Times New Roman" w:cs="Times New Roman"/>
          <w:sz w:val="24"/>
          <w:szCs w:val="24"/>
        </w:rPr>
        <w:t>n</w:t>
      </w:r>
      <w:r w:rsidR="00916D31" w:rsidRPr="00AE141E">
        <w:rPr>
          <w:rFonts w:ascii="Times New Roman" w:hAnsi="Times New Roman" w:cs="Times New Roman"/>
          <w:sz w:val="24"/>
          <w:szCs w:val="24"/>
        </w:rPr>
        <w:t xml:space="preserve"> old </w:t>
      </w:r>
      <w:r w:rsidR="00FC63E3" w:rsidRPr="00AE141E">
        <w:rPr>
          <w:rFonts w:ascii="Times New Roman" w:hAnsi="Times New Roman" w:cs="Times New Roman"/>
          <w:sz w:val="24"/>
          <w:szCs w:val="24"/>
        </w:rPr>
        <w:t xml:space="preserve">form of </w:t>
      </w:r>
      <w:r w:rsidR="00916D31" w:rsidRPr="00AE141E">
        <w:rPr>
          <w:rFonts w:ascii="Times New Roman" w:hAnsi="Times New Roman" w:cs="Times New Roman"/>
          <w:sz w:val="24"/>
          <w:szCs w:val="24"/>
        </w:rPr>
        <w:t>imperial justification.</w:t>
      </w:r>
      <w:r w:rsidR="00381A57" w:rsidRPr="00AE141E">
        <w:rPr>
          <w:rStyle w:val="FootnoteReference"/>
          <w:rFonts w:ascii="Times New Roman" w:hAnsi="Times New Roman" w:cs="Times New Roman"/>
          <w:sz w:val="24"/>
          <w:szCs w:val="24"/>
        </w:rPr>
        <w:footnoteReference w:id="791"/>
      </w:r>
      <w:r w:rsidR="00A10E38" w:rsidRPr="00AE141E">
        <w:rPr>
          <w:rFonts w:ascii="Times New Roman" w:hAnsi="Times New Roman" w:cs="Times New Roman"/>
          <w:sz w:val="24"/>
          <w:szCs w:val="24"/>
        </w:rPr>
        <w:t xml:space="preserve"> </w:t>
      </w:r>
    </w:p>
    <w:p w14:paraId="240FD4B0" w14:textId="624CCCB5" w:rsidR="00C10ED5" w:rsidRPr="00AE141E" w:rsidRDefault="005E782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w:t>
      </w:r>
      <w:r w:rsidR="00975303" w:rsidRPr="00AE141E">
        <w:rPr>
          <w:rFonts w:ascii="Times New Roman" w:hAnsi="Times New Roman" w:cs="Times New Roman"/>
          <w:sz w:val="24"/>
          <w:szCs w:val="24"/>
        </w:rPr>
        <w:t xml:space="preserve">inutes </w:t>
      </w:r>
      <w:r w:rsidR="00F4412A" w:rsidRPr="00AE141E">
        <w:rPr>
          <w:rFonts w:ascii="Times New Roman" w:hAnsi="Times New Roman" w:cs="Times New Roman"/>
          <w:sz w:val="24"/>
          <w:szCs w:val="24"/>
        </w:rPr>
        <w:t>and notes from</w:t>
      </w:r>
      <w:r w:rsidR="00975303" w:rsidRPr="00AE141E">
        <w:rPr>
          <w:rFonts w:ascii="Times New Roman" w:hAnsi="Times New Roman" w:cs="Times New Roman"/>
          <w:sz w:val="24"/>
          <w:szCs w:val="24"/>
        </w:rPr>
        <w:t xml:space="preserve"> the HWG’s meetings </w:t>
      </w:r>
      <w:r w:rsidR="00A62C62" w:rsidRPr="00AE141E">
        <w:rPr>
          <w:rFonts w:ascii="Times New Roman" w:hAnsi="Times New Roman" w:cs="Times New Roman"/>
          <w:sz w:val="24"/>
          <w:szCs w:val="24"/>
        </w:rPr>
        <w:t>illustrate</w:t>
      </w:r>
      <w:r w:rsidR="00C20652" w:rsidRPr="00AE141E">
        <w:rPr>
          <w:rFonts w:ascii="Times New Roman" w:hAnsi="Times New Roman" w:cs="Times New Roman"/>
          <w:sz w:val="24"/>
          <w:szCs w:val="24"/>
        </w:rPr>
        <w:t xml:space="preserve"> its</w:t>
      </w:r>
      <w:r w:rsidR="00A62C62" w:rsidRPr="00AE141E">
        <w:rPr>
          <w:rFonts w:ascii="Times New Roman" w:hAnsi="Times New Roman" w:cs="Times New Roman"/>
          <w:sz w:val="24"/>
          <w:szCs w:val="24"/>
        </w:rPr>
        <w:t xml:space="preserve"> members’ responses to the guidelines</w:t>
      </w:r>
      <w:r w:rsidR="00EE517D" w:rsidRPr="00AE141E">
        <w:rPr>
          <w:rFonts w:ascii="Times New Roman" w:hAnsi="Times New Roman" w:cs="Times New Roman"/>
          <w:sz w:val="24"/>
          <w:szCs w:val="24"/>
        </w:rPr>
        <w:t xml:space="preserve">. </w:t>
      </w:r>
      <w:r w:rsidR="002D0C90" w:rsidRPr="00AE141E">
        <w:rPr>
          <w:rFonts w:ascii="Times New Roman" w:hAnsi="Times New Roman" w:cs="Times New Roman"/>
          <w:sz w:val="24"/>
          <w:szCs w:val="24"/>
        </w:rPr>
        <w:t xml:space="preserve">Roberts </w:t>
      </w:r>
      <w:r w:rsidR="001341F7" w:rsidRPr="00AE141E">
        <w:rPr>
          <w:rFonts w:ascii="Times New Roman" w:hAnsi="Times New Roman" w:cs="Times New Roman"/>
          <w:sz w:val="24"/>
          <w:szCs w:val="24"/>
        </w:rPr>
        <w:t xml:space="preserve">argued that </w:t>
      </w:r>
      <w:r w:rsidR="008E6F12" w:rsidRPr="00AE141E">
        <w:rPr>
          <w:rFonts w:ascii="Times New Roman" w:hAnsi="Times New Roman" w:cs="Times New Roman"/>
          <w:sz w:val="24"/>
          <w:szCs w:val="24"/>
        </w:rPr>
        <w:t>common</w:t>
      </w:r>
      <w:r w:rsidR="007237EE" w:rsidRPr="00AE141E">
        <w:rPr>
          <w:rFonts w:ascii="Times New Roman" w:hAnsi="Times New Roman" w:cs="Times New Roman"/>
          <w:sz w:val="24"/>
          <w:szCs w:val="24"/>
        </w:rPr>
        <w:t xml:space="preserve"> values and </w:t>
      </w:r>
      <w:r w:rsidR="008E6F12" w:rsidRPr="00AE141E">
        <w:rPr>
          <w:rFonts w:ascii="Times New Roman" w:hAnsi="Times New Roman" w:cs="Times New Roman"/>
          <w:sz w:val="24"/>
          <w:szCs w:val="24"/>
        </w:rPr>
        <w:t xml:space="preserve">strong </w:t>
      </w:r>
      <w:r w:rsidR="001E0C5A" w:rsidRPr="00AE141E">
        <w:rPr>
          <w:rFonts w:ascii="Times New Roman" w:hAnsi="Times New Roman" w:cs="Times New Roman"/>
          <w:sz w:val="24"/>
          <w:szCs w:val="24"/>
        </w:rPr>
        <w:t xml:space="preserve">collective </w:t>
      </w:r>
      <w:r w:rsidR="008E6F12" w:rsidRPr="00AE141E">
        <w:rPr>
          <w:rFonts w:ascii="Times New Roman" w:hAnsi="Times New Roman" w:cs="Times New Roman"/>
          <w:sz w:val="24"/>
          <w:szCs w:val="24"/>
        </w:rPr>
        <w:t>consciousness</w:t>
      </w:r>
      <w:r w:rsidR="004C3EDC" w:rsidRPr="00AE141E">
        <w:rPr>
          <w:rFonts w:ascii="Times New Roman" w:hAnsi="Times New Roman" w:cs="Times New Roman"/>
          <w:sz w:val="24"/>
          <w:szCs w:val="24"/>
        </w:rPr>
        <w:t xml:space="preserve"> g</w:t>
      </w:r>
      <w:r w:rsidR="00BC67B8">
        <w:rPr>
          <w:rFonts w:ascii="Times New Roman" w:hAnsi="Times New Roman" w:cs="Times New Roman"/>
          <w:sz w:val="24"/>
          <w:szCs w:val="24"/>
        </w:rPr>
        <w:t>a</w:t>
      </w:r>
      <w:r w:rsidR="004C3EDC" w:rsidRPr="00AE141E">
        <w:rPr>
          <w:rFonts w:ascii="Times New Roman" w:hAnsi="Times New Roman" w:cs="Times New Roman"/>
          <w:sz w:val="24"/>
          <w:szCs w:val="24"/>
        </w:rPr>
        <w:t>ve nations the confidence to ‘tolerate’ difference</w:t>
      </w:r>
      <w:r w:rsidR="00BC67B8">
        <w:rPr>
          <w:rFonts w:ascii="Times New Roman" w:hAnsi="Times New Roman" w:cs="Times New Roman"/>
          <w:sz w:val="24"/>
          <w:szCs w:val="24"/>
        </w:rPr>
        <w:t>.</w:t>
      </w:r>
      <w:r w:rsidR="001E0764" w:rsidRPr="00AE141E">
        <w:rPr>
          <w:rStyle w:val="FootnoteReference"/>
          <w:rFonts w:ascii="Times New Roman" w:hAnsi="Times New Roman" w:cs="Times New Roman"/>
          <w:sz w:val="24"/>
          <w:szCs w:val="24"/>
        </w:rPr>
        <w:footnoteReference w:id="792"/>
      </w:r>
      <w:r w:rsidR="0052147D">
        <w:rPr>
          <w:rFonts w:ascii="Times New Roman" w:hAnsi="Times New Roman" w:cs="Times New Roman"/>
          <w:sz w:val="24"/>
          <w:szCs w:val="24"/>
        </w:rPr>
        <w:t xml:space="preserve"> He therefore endorsed </w:t>
      </w:r>
      <w:r w:rsidR="0052147D" w:rsidRPr="00AE141E">
        <w:rPr>
          <w:rFonts w:ascii="Times New Roman" w:hAnsi="Times New Roman" w:cs="Times New Roman"/>
          <w:sz w:val="24"/>
          <w:szCs w:val="24"/>
        </w:rPr>
        <w:t xml:space="preserve">Baker’s </w:t>
      </w:r>
      <w:r w:rsidR="0052147D">
        <w:rPr>
          <w:rFonts w:ascii="Times New Roman" w:hAnsi="Times New Roman" w:cs="Times New Roman"/>
          <w:sz w:val="24"/>
          <w:szCs w:val="24"/>
        </w:rPr>
        <w:t>vision</w:t>
      </w:r>
      <w:r w:rsidR="0052147D" w:rsidRPr="00AE141E">
        <w:rPr>
          <w:rFonts w:ascii="Times New Roman" w:hAnsi="Times New Roman" w:cs="Times New Roman"/>
          <w:sz w:val="24"/>
          <w:szCs w:val="24"/>
        </w:rPr>
        <w:t xml:space="preserve"> </w:t>
      </w:r>
      <w:r w:rsidR="0052147D">
        <w:rPr>
          <w:rFonts w:ascii="Times New Roman" w:hAnsi="Times New Roman" w:cs="Times New Roman"/>
          <w:sz w:val="24"/>
          <w:szCs w:val="24"/>
        </w:rPr>
        <w:t>of</w:t>
      </w:r>
      <w:r w:rsidR="0052147D" w:rsidRPr="00AE141E">
        <w:rPr>
          <w:rFonts w:ascii="Times New Roman" w:hAnsi="Times New Roman" w:cs="Times New Roman"/>
          <w:sz w:val="24"/>
          <w:szCs w:val="24"/>
        </w:rPr>
        <w:t xml:space="preserve"> a curriculum</w:t>
      </w:r>
      <w:r w:rsidR="0052147D">
        <w:rPr>
          <w:rFonts w:ascii="Times New Roman" w:hAnsi="Times New Roman" w:cs="Times New Roman"/>
          <w:sz w:val="24"/>
          <w:szCs w:val="24"/>
        </w:rPr>
        <w:t xml:space="preserve"> </w:t>
      </w:r>
      <w:r w:rsidR="00E118CA">
        <w:rPr>
          <w:rFonts w:ascii="Times New Roman" w:hAnsi="Times New Roman" w:cs="Times New Roman"/>
          <w:sz w:val="24"/>
          <w:szCs w:val="24"/>
        </w:rPr>
        <w:t>which foregrounded study of the national past</w:t>
      </w:r>
      <w:r w:rsidR="0052147D" w:rsidRPr="00AE141E">
        <w:rPr>
          <w:rFonts w:ascii="Times New Roman" w:hAnsi="Times New Roman" w:cs="Times New Roman"/>
          <w:sz w:val="24"/>
          <w:szCs w:val="24"/>
        </w:rPr>
        <w:t xml:space="preserve">. </w:t>
      </w:r>
      <w:r w:rsidR="003433CC" w:rsidRPr="00AE141E">
        <w:rPr>
          <w:rFonts w:ascii="Times New Roman" w:hAnsi="Times New Roman" w:cs="Times New Roman"/>
          <w:sz w:val="24"/>
          <w:szCs w:val="24"/>
        </w:rPr>
        <w:t xml:space="preserve">Roberts did not envisage such study as uncritical, </w:t>
      </w:r>
      <w:r w:rsidR="00B469DF" w:rsidRPr="00AE141E">
        <w:rPr>
          <w:rFonts w:ascii="Times New Roman" w:hAnsi="Times New Roman" w:cs="Times New Roman"/>
          <w:sz w:val="24"/>
          <w:szCs w:val="24"/>
        </w:rPr>
        <w:t xml:space="preserve">but his essay is </w:t>
      </w:r>
      <w:r w:rsidR="00127400" w:rsidRPr="00AE141E">
        <w:rPr>
          <w:rFonts w:ascii="Times New Roman" w:hAnsi="Times New Roman" w:cs="Times New Roman"/>
          <w:sz w:val="24"/>
          <w:szCs w:val="24"/>
        </w:rPr>
        <w:t xml:space="preserve">nevertheless </w:t>
      </w:r>
      <w:r w:rsidR="00B469DF" w:rsidRPr="00AE141E">
        <w:rPr>
          <w:rFonts w:ascii="Times New Roman" w:hAnsi="Times New Roman" w:cs="Times New Roman"/>
          <w:sz w:val="24"/>
          <w:szCs w:val="24"/>
        </w:rPr>
        <w:t>laden with celebratory national exceptionalism.</w:t>
      </w:r>
      <w:r w:rsidR="007D4756" w:rsidRPr="00AE141E">
        <w:rPr>
          <w:rFonts w:ascii="Times New Roman" w:hAnsi="Times New Roman" w:cs="Times New Roman"/>
          <w:sz w:val="24"/>
          <w:szCs w:val="24"/>
        </w:rPr>
        <w:t xml:space="preserve"> </w:t>
      </w:r>
      <w:r w:rsidR="006872E4" w:rsidRPr="00AE141E">
        <w:rPr>
          <w:rFonts w:ascii="Times New Roman" w:hAnsi="Times New Roman" w:cs="Times New Roman"/>
          <w:sz w:val="24"/>
          <w:szCs w:val="24"/>
        </w:rPr>
        <w:t xml:space="preserve">History teaching must, he </w:t>
      </w:r>
      <w:r w:rsidR="00074579" w:rsidRPr="00AE141E">
        <w:rPr>
          <w:rFonts w:ascii="Times New Roman" w:hAnsi="Times New Roman" w:cs="Times New Roman"/>
          <w:sz w:val="24"/>
          <w:szCs w:val="24"/>
        </w:rPr>
        <w:t>suggested</w:t>
      </w:r>
      <w:r w:rsidR="006872E4" w:rsidRPr="00AE141E">
        <w:rPr>
          <w:rFonts w:ascii="Times New Roman" w:hAnsi="Times New Roman" w:cs="Times New Roman"/>
          <w:sz w:val="24"/>
          <w:szCs w:val="24"/>
        </w:rPr>
        <w:t xml:space="preserve">, recognise the ‘unique institutional continuity’ which </w:t>
      </w:r>
      <w:r w:rsidR="00036F53" w:rsidRPr="00AE141E">
        <w:rPr>
          <w:rFonts w:ascii="Times New Roman" w:hAnsi="Times New Roman" w:cs="Times New Roman"/>
          <w:sz w:val="24"/>
          <w:szCs w:val="24"/>
        </w:rPr>
        <w:t>characterised the British historical experience</w:t>
      </w:r>
      <w:r w:rsidR="00980763" w:rsidRPr="00AE141E">
        <w:rPr>
          <w:rFonts w:ascii="Times New Roman" w:hAnsi="Times New Roman" w:cs="Times New Roman"/>
          <w:sz w:val="24"/>
          <w:szCs w:val="24"/>
        </w:rPr>
        <w:t xml:space="preserve"> (Roberts made the somewhat contentious claim </w:t>
      </w:r>
      <w:r w:rsidR="00074579" w:rsidRPr="00AE141E">
        <w:rPr>
          <w:rFonts w:ascii="Times New Roman" w:hAnsi="Times New Roman" w:cs="Times New Roman"/>
          <w:sz w:val="24"/>
          <w:szCs w:val="24"/>
        </w:rPr>
        <w:t xml:space="preserve">that the English monarchy was the world’s second longest surviving political institution, after the </w:t>
      </w:r>
      <w:r w:rsidR="00CA1DF0" w:rsidRPr="00AE141E">
        <w:rPr>
          <w:rFonts w:ascii="Times New Roman" w:hAnsi="Times New Roman" w:cs="Times New Roman"/>
          <w:sz w:val="24"/>
          <w:szCs w:val="24"/>
        </w:rPr>
        <w:t>Papacy</w:t>
      </w:r>
      <w:r w:rsidR="00074579" w:rsidRPr="00AE141E">
        <w:rPr>
          <w:rFonts w:ascii="Times New Roman" w:hAnsi="Times New Roman" w:cs="Times New Roman"/>
          <w:sz w:val="24"/>
          <w:szCs w:val="24"/>
        </w:rPr>
        <w:t>)</w:t>
      </w:r>
      <w:r w:rsidR="00036F53" w:rsidRPr="00AE141E">
        <w:rPr>
          <w:rFonts w:ascii="Times New Roman" w:hAnsi="Times New Roman" w:cs="Times New Roman"/>
          <w:sz w:val="24"/>
          <w:szCs w:val="24"/>
        </w:rPr>
        <w:t>.</w:t>
      </w:r>
      <w:r w:rsidR="00396488" w:rsidRPr="00AE141E">
        <w:rPr>
          <w:rFonts w:ascii="Times New Roman" w:hAnsi="Times New Roman" w:cs="Times New Roman"/>
          <w:sz w:val="24"/>
          <w:szCs w:val="24"/>
        </w:rPr>
        <w:t xml:space="preserve"> Roberts’ </w:t>
      </w:r>
      <w:r w:rsidR="00FC671B" w:rsidRPr="00AE141E">
        <w:rPr>
          <w:rFonts w:ascii="Times New Roman" w:hAnsi="Times New Roman" w:cs="Times New Roman"/>
          <w:sz w:val="24"/>
          <w:szCs w:val="24"/>
        </w:rPr>
        <w:t xml:space="preserve">emphasis on continuity as a hallmark of national identity recalls </w:t>
      </w:r>
      <w:r w:rsidR="000F7118" w:rsidRPr="00AE141E">
        <w:rPr>
          <w:rFonts w:ascii="Times New Roman" w:hAnsi="Times New Roman" w:cs="Times New Roman"/>
          <w:sz w:val="24"/>
          <w:szCs w:val="24"/>
        </w:rPr>
        <w:t xml:space="preserve">conservative commentary on multicultural </w:t>
      </w:r>
      <w:r w:rsidR="006C6655">
        <w:rPr>
          <w:rFonts w:ascii="Times New Roman" w:hAnsi="Times New Roman" w:cs="Times New Roman"/>
          <w:sz w:val="24"/>
          <w:szCs w:val="24"/>
        </w:rPr>
        <w:t xml:space="preserve">and anti-racist </w:t>
      </w:r>
      <w:r w:rsidR="000F7118" w:rsidRPr="00AE141E">
        <w:rPr>
          <w:rFonts w:ascii="Times New Roman" w:hAnsi="Times New Roman" w:cs="Times New Roman"/>
          <w:sz w:val="24"/>
          <w:szCs w:val="24"/>
        </w:rPr>
        <w:t xml:space="preserve">education, which </w:t>
      </w:r>
      <w:r w:rsidR="003E6323" w:rsidRPr="00AE141E">
        <w:rPr>
          <w:rFonts w:ascii="Times New Roman" w:hAnsi="Times New Roman" w:cs="Times New Roman"/>
          <w:sz w:val="24"/>
          <w:szCs w:val="24"/>
        </w:rPr>
        <w:t>portrayed breaks in historical continuity as anti-national.</w:t>
      </w:r>
    </w:p>
    <w:p w14:paraId="14C7B248" w14:textId="4EB63E4E" w:rsidR="00874183" w:rsidRPr="00AE141E" w:rsidRDefault="00A9663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Roberts’ </w:t>
      </w:r>
      <w:r w:rsidR="00D825A5" w:rsidRPr="00AE141E">
        <w:rPr>
          <w:rFonts w:ascii="Times New Roman" w:hAnsi="Times New Roman" w:cs="Times New Roman"/>
          <w:sz w:val="24"/>
          <w:szCs w:val="24"/>
        </w:rPr>
        <w:t>reasoning</w:t>
      </w:r>
      <w:r w:rsidR="00976371" w:rsidRPr="00AE141E">
        <w:rPr>
          <w:rFonts w:ascii="Times New Roman" w:hAnsi="Times New Roman" w:cs="Times New Roman"/>
          <w:sz w:val="24"/>
          <w:szCs w:val="24"/>
        </w:rPr>
        <w:t xml:space="preserve"> </w:t>
      </w:r>
      <w:r w:rsidR="00EE1880" w:rsidRPr="00AE141E">
        <w:rPr>
          <w:rFonts w:ascii="Times New Roman" w:hAnsi="Times New Roman" w:cs="Times New Roman"/>
          <w:sz w:val="24"/>
          <w:szCs w:val="24"/>
        </w:rPr>
        <w:t xml:space="preserve">cannot be assumed to have been shared by his co-workers. However, </w:t>
      </w:r>
      <w:r w:rsidR="00CF6D56" w:rsidRPr="00AE141E">
        <w:rPr>
          <w:rFonts w:ascii="Times New Roman" w:hAnsi="Times New Roman" w:cs="Times New Roman"/>
          <w:sz w:val="24"/>
          <w:szCs w:val="24"/>
        </w:rPr>
        <w:t xml:space="preserve">Prochaska’s </w:t>
      </w:r>
      <w:r w:rsidR="003D4B32" w:rsidRPr="00AE141E">
        <w:rPr>
          <w:rFonts w:ascii="Times New Roman" w:hAnsi="Times New Roman" w:cs="Times New Roman"/>
          <w:sz w:val="24"/>
          <w:szCs w:val="24"/>
        </w:rPr>
        <w:t xml:space="preserve">later </w:t>
      </w:r>
      <w:r w:rsidR="00CF6D56" w:rsidRPr="00AE141E">
        <w:rPr>
          <w:rFonts w:ascii="Times New Roman" w:hAnsi="Times New Roman" w:cs="Times New Roman"/>
          <w:sz w:val="24"/>
          <w:szCs w:val="24"/>
        </w:rPr>
        <w:t xml:space="preserve">reflections on the </w:t>
      </w:r>
      <w:r w:rsidR="003D4B32" w:rsidRPr="00AE141E">
        <w:rPr>
          <w:rFonts w:ascii="Times New Roman" w:hAnsi="Times New Roman" w:cs="Times New Roman"/>
          <w:sz w:val="24"/>
          <w:szCs w:val="24"/>
        </w:rPr>
        <w:t>HWG indicate that the centrality of British history was</w:t>
      </w:r>
      <w:r w:rsidR="00742665" w:rsidRPr="00AE141E">
        <w:rPr>
          <w:rFonts w:ascii="Times New Roman" w:hAnsi="Times New Roman" w:cs="Times New Roman"/>
          <w:sz w:val="24"/>
          <w:szCs w:val="24"/>
        </w:rPr>
        <w:t xml:space="preserve"> ‘quite happily accepted’</w:t>
      </w:r>
      <w:r w:rsidR="00D825A5" w:rsidRPr="00AE141E">
        <w:rPr>
          <w:rFonts w:ascii="Times New Roman" w:hAnsi="Times New Roman" w:cs="Times New Roman"/>
          <w:sz w:val="24"/>
          <w:szCs w:val="24"/>
        </w:rPr>
        <w:t xml:space="preserve"> by the </w:t>
      </w:r>
      <w:r w:rsidR="001E0C5A" w:rsidRPr="00AE141E">
        <w:rPr>
          <w:rFonts w:ascii="Times New Roman" w:hAnsi="Times New Roman" w:cs="Times New Roman"/>
          <w:sz w:val="24"/>
          <w:szCs w:val="24"/>
        </w:rPr>
        <w:t>G</w:t>
      </w:r>
      <w:r w:rsidR="00D825A5" w:rsidRPr="00AE141E">
        <w:rPr>
          <w:rFonts w:ascii="Times New Roman" w:hAnsi="Times New Roman" w:cs="Times New Roman"/>
          <w:sz w:val="24"/>
          <w:szCs w:val="24"/>
        </w:rPr>
        <w:t>roup</w:t>
      </w:r>
      <w:r w:rsidR="00742665" w:rsidRPr="00AE141E">
        <w:rPr>
          <w:rFonts w:ascii="Times New Roman" w:hAnsi="Times New Roman" w:cs="Times New Roman"/>
          <w:sz w:val="24"/>
          <w:szCs w:val="24"/>
        </w:rPr>
        <w:t>,</w:t>
      </w:r>
      <w:r w:rsidR="00D825A5" w:rsidRPr="00AE141E">
        <w:rPr>
          <w:rFonts w:ascii="Times New Roman" w:hAnsi="Times New Roman" w:cs="Times New Roman"/>
          <w:sz w:val="24"/>
          <w:szCs w:val="24"/>
        </w:rPr>
        <w:t xml:space="preserve"> albeit</w:t>
      </w:r>
      <w:r w:rsidR="00742665" w:rsidRPr="00AE141E">
        <w:rPr>
          <w:rFonts w:ascii="Times New Roman" w:hAnsi="Times New Roman" w:cs="Times New Roman"/>
          <w:sz w:val="24"/>
          <w:szCs w:val="24"/>
        </w:rPr>
        <w:t xml:space="preserve"> with an understanding that </w:t>
      </w:r>
      <w:r w:rsidR="007B33D1" w:rsidRPr="00AE141E">
        <w:rPr>
          <w:rFonts w:ascii="Times New Roman" w:hAnsi="Times New Roman" w:cs="Times New Roman"/>
          <w:sz w:val="24"/>
          <w:szCs w:val="24"/>
        </w:rPr>
        <w:t xml:space="preserve">this history was </w:t>
      </w:r>
      <w:r w:rsidR="00376A50" w:rsidRPr="00AE141E">
        <w:rPr>
          <w:rFonts w:ascii="Times New Roman" w:hAnsi="Times New Roman" w:cs="Times New Roman"/>
          <w:sz w:val="24"/>
          <w:szCs w:val="24"/>
        </w:rPr>
        <w:t xml:space="preserve">internationally entangled and </w:t>
      </w:r>
      <w:r w:rsidR="00D825A5" w:rsidRPr="00AE141E">
        <w:rPr>
          <w:rFonts w:ascii="Times New Roman" w:hAnsi="Times New Roman" w:cs="Times New Roman"/>
          <w:sz w:val="24"/>
          <w:szCs w:val="24"/>
        </w:rPr>
        <w:t>pluralist</w:t>
      </w:r>
      <w:r w:rsidR="00376A50" w:rsidRPr="00AE141E">
        <w:rPr>
          <w:rFonts w:ascii="Times New Roman" w:hAnsi="Times New Roman" w:cs="Times New Roman"/>
          <w:sz w:val="24"/>
          <w:szCs w:val="24"/>
        </w:rPr>
        <w:t xml:space="preserve"> in nature.</w:t>
      </w:r>
      <w:r w:rsidR="00065E17" w:rsidRPr="00AE141E">
        <w:rPr>
          <w:rStyle w:val="FootnoteReference"/>
          <w:rFonts w:ascii="Times New Roman" w:hAnsi="Times New Roman" w:cs="Times New Roman"/>
          <w:sz w:val="24"/>
          <w:szCs w:val="24"/>
        </w:rPr>
        <w:footnoteReference w:id="793"/>
      </w:r>
      <w:r w:rsidR="00376A50" w:rsidRPr="00AE141E">
        <w:rPr>
          <w:rFonts w:ascii="Times New Roman" w:hAnsi="Times New Roman" w:cs="Times New Roman"/>
          <w:sz w:val="24"/>
          <w:szCs w:val="24"/>
        </w:rPr>
        <w:t xml:space="preserve"> </w:t>
      </w:r>
      <w:r w:rsidR="00A811D1" w:rsidRPr="00AE141E">
        <w:rPr>
          <w:rFonts w:ascii="Times New Roman" w:hAnsi="Times New Roman" w:cs="Times New Roman"/>
          <w:sz w:val="24"/>
          <w:szCs w:val="24"/>
        </w:rPr>
        <w:t xml:space="preserve">Prochaska reasoned that the majority of children </w:t>
      </w:r>
      <w:r w:rsidR="007D406C" w:rsidRPr="00AE141E">
        <w:rPr>
          <w:rFonts w:ascii="Times New Roman" w:hAnsi="Times New Roman" w:cs="Times New Roman"/>
          <w:sz w:val="24"/>
          <w:szCs w:val="24"/>
        </w:rPr>
        <w:t>attending school in the UK would spend their adult lives as British citi</w:t>
      </w:r>
      <w:r w:rsidR="00B73891" w:rsidRPr="00AE141E">
        <w:rPr>
          <w:rFonts w:ascii="Times New Roman" w:hAnsi="Times New Roman" w:cs="Times New Roman"/>
          <w:sz w:val="24"/>
          <w:szCs w:val="24"/>
        </w:rPr>
        <w:t>zen</w:t>
      </w:r>
      <w:r w:rsidR="0050685E" w:rsidRPr="00AE141E">
        <w:rPr>
          <w:rFonts w:ascii="Times New Roman" w:hAnsi="Times New Roman" w:cs="Times New Roman"/>
          <w:sz w:val="24"/>
          <w:szCs w:val="24"/>
        </w:rPr>
        <w:t xml:space="preserve">s; they would therefore require good understanding of the forces which had shaped </w:t>
      </w:r>
      <w:r w:rsidR="003B49CA" w:rsidRPr="00AE141E">
        <w:rPr>
          <w:rFonts w:ascii="Times New Roman" w:hAnsi="Times New Roman" w:cs="Times New Roman"/>
          <w:sz w:val="24"/>
          <w:szCs w:val="24"/>
        </w:rPr>
        <w:t xml:space="preserve">the identities and institutions </w:t>
      </w:r>
      <w:r w:rsidR="00373867" w:rsidRPr="00AE141E">
        <w:rPr>
          <w:rFonts w:ascii="Times New Roman" w:hAnsi="Times New Roman" w:cs="Times New Roman"/>
          <w:sz w:val="24"/>
          <w:szCs w:val="24"/>
        </w:rPr>
        <w:t>surrounding them.</w:t>
      </w:r>
      <w:r w:rsidR="00BF20EB" w:rsidRPr="00AE141E">
        <w:rPr>
          <w:rFonts w:ascii="Times New Roman" w:hAnsi="Times New Roman" w:cs="Times New Roman"/>
          <w:sz w:val="24"/>
          <w:szCs w:val="24"/>
        </w:rPr>
        <w:t xml:space="preserve"> The focus, then, was on what aspects of the national story needed to be included in the limited space of the </w:t>
      </w:r>
      <w:r w:rsidR="00E4188E" w:rsidRPr="00AE141E">
        <w:rPr>
          <w:rFonts w:ascii="Times New Roman" w:hAnsi="Times New Roman" w:cs="Times New Roman"/>
          <w:sz w:val="24"/>
          <w:szCs w:val="24"/>
        </w:rPr>
        <w:t>prospective curriculum.</w:t>
      </w:r>
      <w:r w:rsidR="00AB7826" w:rsidRPr="00AE141E">
        <w:rPr>
          <w:rFonts w:ascii="Times New Roman" w:hAnsi="Times New Roman" w:cs="Times New Roman"/>
          <w:sz w:val="24"/>
          <w:szCs w:val="24"/>
        </w:rPr>
        <w:t xml:space="preserve"> </w:t>
      </w:r>
    </w:p>
    <w:p w14:paraId="713357CE" w14:textId="77777777" w:rsidR="007F01A8" w:rsidRDefault="00AB782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Unsurprisingly, </w:t>
      </w:r>
      <w:r w:rsidR="00AD1279" w:rsidRPr="00AE141E">
        <w:rPr>
          <w:rFonts w:ascii="Times New Roman" w:hAnsi="Times New Roman" w:cs="Times New Roman"/>
          <w:sz w:val="24"/>
          <w:szCs w:val="24"/>
        </w:rPr>
        <w:t>given its contemporary political resonances, the place of British imperialism proved especially divisive.</w:t>
      </w:r>
      <w:r w:rsidR="00B62D65" w:rsidRPr="00AE141E">
        <w:rPr>
          <w:rFonts w:ascii="Times New Roman" w:hAnsi="Times New Roman" w:cs="Times New Roman"/>
          <w:sz w:val="24"/>
          <w:szCs w:val="24"/>
        </w:rPr>
        <w:t xml:space="preserve"> </w:t>
      </w:r>
      <w:r w:rsidR="00375372" w:rsidRPr="00AE141E">
        <w:rPr>
          <w:rFonts w:ascii="Times New Roman" w:hAnsi="Times New Roman" w:cs="Times New Roman"/>
          <w:sz w:val="24"/>
          <w:szCs w:val="24"/>
        </w:rPr>
        <w:t>Th</w:t>
      </w:r>
      <w:r w:rsidR="00874183" w:rsidRPr="00AE141E">
        <w:rPr>
          <w:rFonts w:ascii="Times New Roman" w:hAnsi="Times New Roman" w:cs="Times New Roman"/>
          <w:sz w:val="24"/>
          <w:szCs w:val="24"/>
        </w:rPr>
        <w:t xml:space="preserve">e HWG proposed a British-focused </w:t>
      </w:r>
      <w:r w:rsidR="000D30E2" w:rsidRPr="00AE141E">
        <w:rPr>
          <w:rFonts w:ascii="Times New Roman" w:hAnsi="Times New Roman" w:cs="Times New Roman"/>
          <w:sz w:val="24"/>
          <w:szCs w:val="24"/>
        </w:rPr>
        <w:t>U</w:t>
      </w:r>
      <w:r w:rsidR="00874183" w:rsidRPr="00AE141E">
        <w:rPr>
          <w:rFonts w:ascii="Times New Roman" w:hAnsi="Times New Roman" w:cs="Times New Roman"/>
          <w:sz w:val="24"/>
          <w:szCs w:val="24"/>
        </w:rPr>
        <w:t>nit, ‘</w:t>
      </w:r>
      <w:r w:rsidR="00313A42" w:rsidRPr="00AE141E">
        <w:rPr>
          <w:rFonts w:ascii="Times New Roman" w:hAnsi="Times New Roman" w:cs="Times New Roman"/>
          <w:sz w:val="24"/>
          <w:szCs w:val="24"/>
        </w:rPr>
        <w:t>Expansion, Trade and Industry: c1700-1860’</w:t>
      </w:r>
      <w:r w:rsidR="00874183" w:rsidRPr="00AE141E">
        <w:rPr>
          <w:rFonts w:ascii="Times New Roman" w:hAnsi="Times New Roman" w:cs="Times New Roman"/>
          <w:sz w:val="24"/>
          <w:szCs w:val="24"/>
        </w:rPr>
        <w:t>, which would situate</w:t>
      </w:r>
      <w:r w:rsidR="00313A42" w:rsidRPr="00AE141E">
        <w:rPr>
          <w:rFonts w:ascii="Times New Roman" w:hAnsi="Times New Roman" w:cs="Times New Roman"/>
          <w:sz w:val="24"/>
          <w:szCs w:val="24"/>
        </w:rPr>
        <w:t xml:space="preserve"> the rapid economic, social, political, and </w:t>
      </w:r>
      <w:r w:rsidR="00313A42" w:rsidRPr="00AE141E">
        <w:rPr>
          <w:rFonts w:ascii="Times New Roman" w:hAnsi="Times New Roman" w:cs="Times New Roman"/>
          <w:sz w:val="24"/>
          <w:szCs w:val="24"/>
        </w:rPr>
        <w:lastRenderedPageBreak/>
        <w:t>cultural changes of the late eighteenth and nineteenth centuries in the ‘wider context of the growth and development of the British Empire’.</w:t>
      </w:r>
      <w:r w:rsidR="00D019A4" w:rsidRPr="00AE141E">
        <w:rPr>
          <w:rStyle w:val="FootnoteReference"/>
          <w:rFonts w:ascii="Times New Roman" w:hAnsi="Times New Roman" w:cs="Times New Roman"/>
          <w:sz w:val="24"/>
          <w:szCs w:val="24"/>
        </w:rPr>
        <w:footnoteReference w:id="794"/>
      </w:r>
      <w:r w:rsidR="00313A42" w:rsidRPr="00AE141E">
        <w:rPr>
          <w:rFonts w:ascii="Times New Roman" w:hAnsi="Times New Roman" w:cs="Times New Roman"/>
          <w:sz w:val="24"/>
          <w:szCs w:val="24"/>
        </w:rPr>
        <w:t xml:space="preserve"> It was hoped that the course would equip </w:t>
      </w:r>
      <w:r w:rsidR="00E70853" w:rsidRPr="00AE141E">
        <w:rPr>
          <w:rFonts w:ascii="Times New Roman" w:hAnsi="Times New Roman" w:cs="Times New Roman"/>
          <w:sz w:val="24"/>
          <w:szCs w:val="24"/>
        </w:rPr>
        <w:t>students</w:t>
      </w:r>
      <w:r w:rsidR="00313A42" w:rsidRPr="00AE141E">
        <w:rPr>
          <w:rFonts w:ascii="Times New Roman" w:hAnsi="Times New Roman" w:cs="Times New Roman"/>
          <w:sz w:val="24"/>
          <w:szCs w:val="24"/>
        </w:rPr>
        <w:t xml:space="preserve"> with the knowledge and skills to ‘make their own objective assessments’ of imperialism and </w:t>
      </w:r>
      <w:r w:rsidR="00D00304">
        <w:rPr>
          <w:rFonts w:ascii="Times New Roman" w:hAnsi="Times New Roman" w:cs="Times New Roman"/>
          <w:sz w:val="24"/>
          <w:szCs w:val="24"/>
        </w:rPr>
        <w:t>its</w:t>
      </w:r>
      <w:r w:rsidR="00313A42" w:rsidRPr="00AE141E">
        <w:rPr>
          <w:rFonts w:ascii="Times New Roman" w:hAnsi="Times New Roman" w:cs="Times New Roman"/>
          <w:sz w:val="24"/>
          <w:szCs w:val="24"/>
        </w:rPr>
        <w:t xml:space="preserve"> legacies.</w:t>
      </w:r>
      <w:r w:rsidR="00E70853" w:rsidRPr="00AE141E">
        <w:rPr>
          <w:rFonts w:ascii="Times New Roman" w:hAnsi="Times New Roman" w:cs="Times New Roman"/>
          <w:sz w:val="24"/>
          <w:szCs w:val="24"/>
        </w:rPr>
        <w:t xml:space="preserve"> </w:t>
      </w:r>
      <w:r w:rsidR="004A6795" w:rsidRPr="00AE141E">
        <w:rPr>
          <w:rFonts w:ascii="Times New Roman" w:hAnsi="Times New Roman" w:cs="Times New Roman"/>
          <w:sz w:val="24"/>
          <w:szCs w:val="24"/>
        </w:rPr>
        <w:t xml:space="preserve">These seem lofty aspirations, given the </w:t>
      </w:r>
      <w:r w:rsidR="001E0C5A" w:rsidRPr="00AE141E">
        <w:rPr>
          <w:rFonts w:ascii="Times New Roman" w:hAnsi="Times New Roman" w:cs="Times New Roman"/>
          <w:sz w:val="24"/>
          <w:szCs w:val="24"/>
        </w:rPr>
        <w:t>G</w:t>
      </w:r>
      <w:r w:rsidR="004A6795" w:rsidRPr="00AE141E">
        <w:rPr>
          <w:rFonts w:ascii="Times New Roman" w:hAnsi="Times New Roman" w:cs="Times New Roman"/>
          <w:sz w:val="24"/>
          <w:szCs w:val="24"/>
        </w:rPr>
        <w:t xml:space="preserve">roup’s own persistent uncertainty in tackling the theme of empire. </w:t>
      </w:r>
    </w:p>
    <w:p w14:paraId="4384C8B3" w14:textId="05008463" w:rsidR="00F36009" w:rsidRPr="00AE141E" w:rsidRDefault="00884C6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W</w:t>
      </w:r>
      <w:r w:rsidR="002F039E" w:rsidRPr="00AE141E">
        <w:rPr>
          <w:rFonts w:ascii="Times New Roman" w:hAnsi="Times New Roman" w:cs="Times New Roman"/>
          <w:sz w:val="24"/>
          <w:szCs w:val="24"/>
        </w:rPr>
        <w:t>orking documents produced by the HWG</w:t>
      </w:r>
      <w:r w:rsidRPr="00AE141E">
        <w:rPr>
          <w:rFonts w:ascii="Times New Roman" w:hAnsi="Times New Roman" w:cs="Times New Roman"/>
          <w:sz w:val="24"/>
          <w:szCs w:val="24"/>
        </w:rPr>
        <w:t xml:space="preserve"> in May 1989</w:t>
      </w:r>
      <w:r w:rsidR="002F039E" w:rsidRPr="00AE141E">
        <w:rPr>
          <w:rFonts w:ascii="Times New Roman" w:hAnsi="Times New Roman" w:cs="Times New Roman"/>
          <w:sz w:val="24"/>
          <w:szCs w:val="24"/>
        </w:rPr>
        <w:t xml:space="preserve"> indicate that </w:t>
      </w:r>
      <w:r w:rsidR="007C345C" w:rsidRPr="00AE141E">
        <w:rPr>
          <w:rFonts w:ascii="Times New Roman" w:hAnsi="Times New Roman" w:cs="Times New Roman"/>
          <w:sz w:val="24"/>
          <w:szCs w:val="24"/>
        </w:rPr>
        <w:t>KS3 was originally supposed to feature a</w:t>
      </w:r>
      <w:r w:rsidR="00201BCE" w:rsidRPr="00AE141E">
        <w:rPr>
          <w:rFonts w:ascii="Times New Roman" w:hAnsi="Times New Roman" w:cs="Times New Roman"/>
          <w:sz w:val="24"/>
          <w:szCs w:val="24"/>
        </w:rPr>
        <w:t xml:space="preserve"> </w:t>
      </w:r>
      <w:r w:rsidR="007C345C" w:rsidRPr="00AE141E">
        <w:rPr>
          <w:rFonts w:ascii="Times New Roman" w:hAnsi="Times New Roman" w:cs="Times New Roman"/>
          <w:sz w:val="24"/>
          <w:szCs w:val="24"/>
        </w:rPr>
        <w:t>programme of study</w:t>
      </w:r>
      <w:r w:rsidR="00201BCE" w:rsidRPr="00AE141E">
        <w:rPr>
          <w:rFonts w:ascii="Times New Roman" w:hAnsi="Times New Roman" w:cs="Times New Roman"/>
          <w:sz w:val="24"/>
          <w:szCs w:val="24"/>
        </w:rPr>
        <w:t xml:space="preserve"> dedicated to ‘Empire’ as a broad historical theme, though drawing on a largely British context.</w:t>
      </w:r>
      <w:r w:rsidR="009A40AA" w:rsidRPr="00AE141E">
        <w:rPr>
          <w:rStyle w:val="FootnoteReference"/>
          <w:rFonts w:ascii="Times New Roman" w:hAnsi="Times New Roman" w:cs="Times New Roman"/>
          <w:sz w:val="24"/>
          <w:szCs w:val="24"/>
        </w:rPr>
        <w:footnoteReference w:id="795"/>
      </w:r>
      <w:r w:rsidR="00201BCE" w:rsidRPr="00AE141E">
        <w:rPr>
          <w:rFonts w:ascii="Times New Roman" w:hAnsi="Times New Roman" w:cs="Times New Roman"/>
          <w:sz w:val="24"/>
          <w:szCs w:val="24"/>
        </w:rPr>
        <w:t xml:space="preserve"> </w:t>
      </w:r>
      <w:r w:rsidR="00AE01E4" w:rsidRPr="00AE141E">
        <w:rPr>
          <w:rFonts w:ascii="Times New Roman" w:hAnsi="Times New Roman" w:cs="Times New Roman"/>
          <w:sz w:val="24"/>
          <w:szCs w:val="24"/>
        </w:rPr>
        <w:t xml:space="preserve">The documents comprise </w:t>
      </w:r>
      <w:r w:rsidR="00476A60" w:rsidRPr="00AE141E">
        <w:rPr>
          <w:rFonts w:ascii="Times New Roman" w:hAnsi="Times New Roman" w:cs="Times New Roman"/>
          <w:sz w:val="24"/>
          <w:szCs w:val="24"/>
        </w:rPr>
        <w:t xml:space="preserve">notes on approach – rather than content – written with an awareness of the controversy that the topic may </w:t>
      </w:r>
      <w:r w:rsidR="006F6AF6" w:rsidRPr="00AE141E">
        <w:rPr>
          <w:rFonts w:ascii="Times New Roman" w:hAnsi="Times New Roman" w:cs="Times New Roman"/>
          <w:sz w:val="24"/>
          <w:szCs w:val="24"/>
        </w:rPr>
        <w:t>arouse</w:t>
      </w:r>
      <w:r w:rsidR="00476A60" w:rsidRPr="00AE141E">
        <w:rPr>
          <w:rFonts w:ascii="Times New Roman" w:hAnsi="Times New Roman" w:cs="Times New Roman"/>
          <w:sz w:val="24"/>
          <w:szCs w:val="24"/>
        </w:rPr>
        <w:t>.</w:t>
      </w:r>
      <w:r w:rsidR="00F178D1" w:rsidRPr="00AE141E">
        <w:rPr>
          <w:rFonts w:ascii="Times New Roman" w:hAnsi="Times New Roman" w:cs="Times New Roman"/>
          <w:sz w:val="24"/>
          <w:szCs w:val="24"/>
        </w:rPr>
        <w:t xml:space="preserve"> </w:t>
      </w:r>
      <w:r w:rsidR="00012E1D" w:rsidRPr="00AE141E">
        <w:rPr>
          <w:rFonts w:ascii="Times New Roman" w:hAnsi="Times New Roman" w:cs="Times New Roman"/>
          <w:sz w:val="24"/>
          <w:szCs w:val="24"/>
        </w:rPr>
        <w:t>‘Nothing under the carpet’, one bullet point reads</w:t>
      </w:r>
      <w:r w:rsidR="00BB4E3C" w:rsidRPr="00AE141E">
        <w:rPr>
          <w:rFonts w:ascii="Times New Roman" w:hAnsi="Times New Roman" w:cs="Times New Roman"/>
          <w:sz w:val="24"/>
          <w:szCs w:val="24"/>
        </w:rPr>
        <w:t>: the ‘</w:t>
      </w:r>
      <w:r w:rsidR="00F36009" w:rsidRPr="00AE141E">
        <w:rPr>
          <w:rFonts w:ascii="Times New Roman" w:hAnsi="Times New Roman" w:cs="Times New Roman"/>
          <w:sz w:val="24"/>
          <w:szCs w:val="24"/>
        </w:rPr>
        <w:t>slave trade should be faced head on</w:t>
      </w:r>
      <w:r w:rsidR="00BB4E3C" w:rsidRPr="00AE141E">
        <w:rPr>
          <w:rFonts w:ascii="Times New Roman" w:hAnsi="Times New Roman" w:cs="Times New Roman"/>
          <w:sz w:val="24"/>
          <w:szCs w:val="24"/>
        </w:rPr>
        <w:t>’</w:t>
      </w:r>
      <w:r w:rsidR="00307B49" w:rsidRPr="00AE141E">
        <w:rPr>
          <w:rFonts w:ascii="Times New Roman" w:hAnsi="Times New Roman" w:cs="Times New Roman"/>
          <w:sz w:val="24"/>
          <w:szCs w:val="24"/>
        </w:rPr>
        <w:t xml:space="preserve">. </w:t>
      </w:r>
      <w:r w:rsidR="00003C35" w:rsidRPr="00AE141E">
        <w:rPr>
          <w:rFonts w:ascii="Times New Roman" w:hAnsi="Times New Roman" w:cs="Times New Roman"/>
          <w:sz w:val="24"/>
          <w:szCs w:val="24"/>
        </w:rPr>
        <w:t>Yet</w:t>
      </w:r>
      <w:r w:rsidR="00307B49" w:rsidRPr="00AE141E">
        <w:rPr>
          <w:rFonts w:ascii="Times New Roman" w:hAnsi="Times New Roman" w:cs="Times New Roman"/>
          <w:sz w:val="24"/>
          <w:szCs w:val="24"/>
        </w:rPr>
        <w:t xml:space="preserve"> the author </w:t>
      </w:r>
      <w:r w:rsidR="006F6AF6" w:rsidRPr="00AE141E">
        <w:rPr>
          <w:rFonts w:ascii="Times New Roman" w:hAnsi="Times New Roman" w:cs="Times New Roman"/>
          <w:sz w:val="24"/>
          <w:szCs w:val="24"/>
        </w:rPr>
        <w:t>carefully appended</w:t>
      </w:r>
      <w:r w:rsidR="00307B49" w:rsidRPr="00AE141E">
        <w:rPr>
          <w:rFonts w:ascii="Times New Roman" w:hAnsi="Times New Roman" w:cs="Times New Roman"/>
          <w:sz w:val="24"/>
          <w:szCs w:val="24"/>
        </w:rPr>
        <w:t xml:space="preserve"> a note </w:t>
      </w:r>
      <w:r w:rsidR="00840A88" w:rsidRPr="00AE141E">
        <w:rPr>
          <w:rFonts w:ascii="Times New Roman" w:hAnsi="Times New Roman" w:cs="Times New Roman"/>
          <w:sz w:val="24"/>
          <w:szCs w:val="24"/>
        </w:rPr>
        <w:t>on</w:t>
      </w:r>
      <w:r w:rsidR="00F36009" w:rsidRPr="00AE141E">
        <w:rPr>
          <w:rFonts w:ascii="Times New Roman" w:hAnsi="Times New Roman" w:cs="Times New Roman"/>
          <w:sz w:val="24"/>
          <w:szCs w:val="24"/>
        </w:rPr>
        <w:t xml:space="preserve"> </w:t>
      </w:r>
      <w:r w:rsidR="00BB4E3C" w:rsidRPr="00AE141E">
        <w:rPr>
          <w:rFonts w:ascii="Times New Roman" w:hAnsi="Times New Roman" w:cs="Times New Roman"/>
          <w:sz w:val="24"/>
          <w:szCs w:val="24"/>
        </w:rPr>
        <w:t>Attainment Targets</w:t>
      </w:r>
      <w:r w:rsidR="00840A88" w:rsidRPr="00AE141E">
        <w:rPr>
          <w:rFonts w:ascii="Times New Roman" w:hAnsi="Times New Roman" w:cs="Times New Roman"/>
          <w:sz w:val="24"/>
          <w:szCs w:val="24"/>
        </w:rPr>
        <w:t xml:space="preserve">, </w:t>
      </w:r>
      <w:r w:rsidR="00BB4E3C" w:rsidRPr="00AE141E">
        <w:rPr>
          <w:rFonts w:ascii="Times New Roman" w:hAnsi="Times New Roman" w:cs="Times New Roman"/>
          <w:sz w:val="24"/>
          <w:szCs w:val="24"/>
        </w:rPr>
        <w:t>specifying that students must acquire a clear</w:t>
      </w:r>
      <w:r w:rsidR="00F36009" w:rsidRPr="00AE141E">
        <w:rPr>
          <w:rFonts w:ascii="Times New Roman" w:hAnsi="Times New Roman" w:cs="Times New Roman"/>
          <w:sz w:val="24"/>
          <w:szCs w:val="24"/>
        </w:rPr>
        <w:t xml:space="preserve"> </w:t>
      </w:r>
      <w:r w:rsidR="00095048" w:rsidRPr="00AE141E">
        <w:rPr>
          <w:rFonts w:ascii="Times New Roman" w:hAnsi="Times New Roman" w:cs="Times New Roman"/>
          <w:sz w:val="24"/>
          <w:szCs w:val="24"/>
        </w:rPr>
        <w:t xml:space="preserve">sense </w:t>
      </w:r>
      <w:r w:rsidR="00E5429A" w:rsidRPr="00AE141E">
        <w:rPr>
          <w:rFonts w:ascii="Times New Roman" w:hAnsi="Times New Roman" w:cs="Times New Roman"/>
          <w:sz w:val="24"/>
          <w:szCs w:val="24"/>
        </w:rPr>
        <w:t>of place and time</w:t>
      </w:r>
      <w:r w:rsidR="00675D2A" w:rsidRPr="00AE141E">
        <w:rPr>
          <w:rFonts w:ascii="Times New Roman" w:hAnsi="Times New Roman" w:cs="Times New Roman"/>
          <w:sz w:val="24"/>
          <w:szCs w:val="24"/>
        </w:rPr>
        <w:t>.</w:t>
      </w:r>
      <w:r w:rsidR="000E28A3" w:rsidRPr="00AE141E">
        <w:rPr>
          <w:rStyle w:val="FootnoteReference"/>
          <w:rFonts w:ascii="Times New Roman" w:hAnsi="Times New Roman" w:cs="Times New Roman"/>
          <w:sz w:val="24"/>
          <w:szCs w:val="24"/>
        </w:rPr>
        <w:footnoteReference w:id="796"/>
      </w:r>
      <w:r w:rsidR="00675D2A" w:rsidRPr="00AE141E">
        <w:rPr>
          <w:rFonts w:ascii="Times New Roman" w:hAnsi="Times New Roman" w:cs="Times New Roman"/>
          <w:sz w:val="24"/>
          <w:szCs w:val="24"/>
        </w:rPr>
        <w:t xml:space="preserve"> </w:t>
      </w:r>
      <w:r w:rsidR="005609DE" w:rsidRPr="00AE141E">
        <w:rPr>
          <w:rFonts w:ascii="Times New Roman" w:hAnsi="Times New Roman" w:cs="Times New Roman"/>
          <w:sz w:val="24"/>
          <w:szCs w:val="24"/>
        </w:rPr>
        <w:t>The</w:t>
      </w:r>
      <w:r w:rsidR="00D10EAA" w:rsidRPr="00AE141E">
        <w:rPr>
          <w:rFonts w:ascii="Times New Roman" w:hAnsi="Times New Roman" w:cs="Times New Roman"/>
          <w:sz w:val="24"/>
          <w:szCs w:val="24"/>
        </w:rPr>
        <w:t xml:space="preserve"> requirement </w:t>
      </w:r>
      <w:r w:rsidR="008C2D91">
        <w:rPr>
          <w:rFonts w:ascii="Times New Roman" w:hAnsi="Times New Roman" w:cs="Times New Roman"/>
          <w:sz w:val="24"/>
          <w:szCs w:val="24"/>
        </w:rPr>
        <w:t>to</w:t>
      </w:r>
      <w:r w:rsidR="00D10EAA" w:rsidRPr="00AE141E">
        <w:rPr>
          <w:rFonts w:ascii="Times New Roman" w:hAnsi="Times New Roman" w:cs="Times New Roman"/>
          <w:sz w:val="24"/>
          <w:szCs w:val="24"/>
        </w:rPr>
        <w:t xml:space="preserve"> historic</w:t>
      </w:r>
      <w:r w:rsidR="008C2D91">
        <w:rPr>
          <w:rFonts w:ascii="Times New Roman" w:hAnsi="Times New Roman" w:cs="Times New Roman"/>
          <w:sz w:val="24"/>
          <w:szCs w:val="24"/>
        </w:rPr>
        <w:t>ise empire</w:t>
      </w:r>
      <w:r w:rsidR="00675D2A" w:rsidRPr="00AE141E">
        <w:rPr>
          <w:rFonts w:ascii="Times New Roman" w:hAnsi="Times New Roman" w:cs="Times New Roman"/>
          <w:sz w:val="24"/>
          <w:szCs w:val="24"/>
        </w:rPr>
        <w:t xml:space="preserve"> </w:t>
      </w:r>
      <w:r w:rsidR="00D92D9C" w:rsidRPr="00AE141E">
        <w:rPr>
          <w:rFonts w:ascii="Times New Roman" w:hAnsi="Times New Roman" w:cs="Times New Roman"/>
          <w:sz w:val="24"/>
          <w:szCs w:val="24"/>
        </w:rPr>
        <w:t>would</w:t>
      </w:r>
      <w:r w:rsidR="005609DE" w:rsidRPr="00AE141E">
        <w:rPr>
          <w:rFonts w:ascii="Times New Roman" w:hAnsi="Times New Roman" w:cs="Times New Roman"/>
          <w:sz w:val="24"/>
          <w:szCs w:val="24"/>
        </w:rPr>
        <w:t>, they suggested,</w:t>
      </w:r>
      <w:r w:rsidR="00F36009" w:rsidRPr="00AE141E">
        <w:rPr>
          <w:rFonts w:ascii="Times New Roman" w:hAnsi="Times New Roman" w:cs="Times New Roman"/>
          <w:sz w:val="24"/>
          <w:szCs w:val="24"/>
        </w:rPr>
        <w:t xml:space="preserve"> </w:t>
      </w:r>
      <w:r w:rsidR="00D92D9C" w:rsidRPr="00AE141E">
        <w:rPr>
          <w:rFonts w:ascii="Times New Roman" w:hAnsi="Times New Roman" w:cs="Times New Roman"/>
          <w:sz w:val="24"/>
          <w:szCs w:val="24"/>
        </w:rPr>
        <w:t>‘</w:t>
      </w:r>
      <w:r w:rsidR="00F36009" w:rsidRPr="00AE141E">
        <w:rPr>
          <w:rFonts w:ascii="Times New Roman" w:hAnsi="Times New Roman" w:cs="Times New Roman"/>
          <w:sz w:val="24"/>
          <w:szCs w:val="24"/>
        </w:rPr>
        <w:t>guard against oversimplified approaches and quick stereotypes</w:t>
      </w:r>
      <w:r w:rsidR="00E5429A" w:rsidRPr="00AE141E">
        <w:rPr>
          <w:rFonts w:ascii="Times New Roman" w:hAnsi="Times New Roman" w:cs="Times New Roman"/>
          <w:sz w:val="24"/>
          <w:szCs w:val="24"/>
        </w:rPr>
        <w:t>’</w:t>
      </w:r>
      <w:r w:rsidR="00F36009" w:rsidRPr="00AE141E">
        <w:rPr>
          <w:rFonts w:ascii="Times New Roman" w:hAnsi="Times New Roman" w:cs="Times New Roman"/>
          <w:sz w:val="24"/>
          <w:szCs w:val="24"/>
        </w:rPr>
        <w:t>.</w:t>
      </w:r>
      <w:r w:rsidR="000D76F4" w:rsidRPr="00AE141E">
        <w:rPr>
          <w:rFonts w:ascii="Times New Roman" w:hAnsi="Times New Roman" w:cs="Times New Roman"/>
          <w:sz w:val="24"/>
          <w:szCs w:val="24"/>
        </w:rPr>
        <w:t xml:space="preserve"> What </w:t>
      </w:r>
      <w:r w:rsidR="00510954" w:rsidRPr="00AE141E">
        <w:rPr>
          <w:rFonts w:ascii="Times New Roman" w:hAnsi="Times New Roman" w:cs="Times New Roman"/>
          <w:sz w:val="24"/>
          <w:szCs w:val="24"/>
        </w:rPr>
        <w:t>were the</w:t>
      </w:r>
      <w:r w:rsidR="000E562E">
        <w:rPr>
          <w:rFonts w:ascii="Times New Roman" w:hAnsi="Times New Roman" w:cs="Times New Roman"/>
          <w:sz w:val="24"/>
          <w:szCs w:val="24"/>
        </w:rPr>
        <w:t>se</w:t>
      </w:r>
      <w:r w:rsidR="00510954" w:rsidRPr="00AE141E">
        <w:rPr>
          <w:rFonts w:ascii="Times New Roman" w:hAnsi="Times New Roman" w:cs="Times New Roman"/>
          <w:sz w:val="24"/>
          <w:szCs w:val="24"/>
        </w:rPr>
        <w:t xml:space="preserve"> ‘oversimplified approaches</w:t>
      </w:r>
      <w:r w:rsidR="008A67D8" w:rsidRPr="00AE141E">
        <w:rPr>
          <w:rFonts w:ascii="Times New Roman" w:hAnsi="Times New Roman" w:cs="Times New Roman"/>
          <w:sz w:val="24"/>
          <w:szCs w:val="24"/>
        </w:rPr>
        <w:t>’</w:t>
      </w:r>
      <w:r w:rsidR="00510954" w:rsidRPr="00AE141E">
        <w:rPr>
          <w:rFonts w:ascii="Times New Roman" w:hAnsi="Times New Roman" w:cs="Times New Roman"/>
          <w:sz w:val="24"/>
          <w:szCs w:val="24"/>
        </w:rPr>
        <w:t xml:space="preserve"> and </w:t>
      </w:r>
      <w:r w:rsidR="008A67D8" w:rsidRPr="00AE141E">
        <w:rPr>
          <w:rFonts w:ascii="Times New Roman" w:hAnsi="Times New Roman" w:cs="Times New Roman"/>
          <w:sz w:val="24"/>
          <w:szCs w:val="24"/>
        </w:rPr>
        <w:t>‘</w:t>
      </w:r>
      <w:r w:rsidR="00510954" w:rsidRPr="00AE141E">
        <w:rPr>
          <w:rFonts w:ascii="Times New Roman" w:hAnsi="Times New Roman" w:cs="Times New Roman"/>
          <w:sz w:val="24"/>
          <w:szCs w:val="24"/>
        </w:rPr>
        <w:t>quick stereotypes</w:t>
      </w:r>
      <w:r w:rsidR="008A67D8" w:rsidRPr="00AE141E">
        <w:rPr>
          <w:rFonts w:ascii="Times New Roman" w:hAnsi="Times New Roman" w:cs="Times New Roman"/>
          <w:sz w:val="24"/>
          <w:szCs w:val="24"/>
        </w:rPr>
        <w:t xml:space="preserve">’? The author could be talking about the need to </w:t>
      </w:r>
      <w:r w:rsidR="00D2130B" w:rsidRPr="00AE141E">
        <w:rPr>
          <w:rFonts w:ascii="Times New Roman" w:hAnsi="Times New Roman" w:cs="Times New Roman"/>
          <w:sz w:val="24"/>
          <w:szCs w:val="24"/>
        </w:rPr>
        <w:t>place the ideology of racism in its appropriate historical context</w:t>
      </w:r>
      <w:r w:rsidR="00E71414" w:rsidRPr="00AE141E">
        <w:rPr>
          <w:rFonts w:ascii="Times New Roman" w:hAnsi="Times New Roman" w:cs="Times New Roman"/>
          <w:sz w:val="24"/>
          <w:szCs w:val="24"/>
        </w:rPr>
        <w:t xml:space="preserve">, in order to </w:t>
      </w:r>
      <w:r w:rsidR="00C861B7" w:rsidRPr="00AE141E">
        <w:rPr>
          <w:rFonts w:ascii="Times New Roman" w:hAnsi="Times New Roman" w:cs="Times New Roman"/>
          <w:sz w:val="24"/>
          <w:szCs w:val="24"/>
        </w:rPr>
        <w:t>avoid reinforcing racialised bullying and/or discrimination again</w:t>
      </w:r>
      <w:r w:rsidR="002A6314" w:rsidRPr="00AE141E">
        <w:rPr>
          <w:rFonts w:ascii="Times New Roman" w:hAnsi="Times New Roman" w:cs="Times New Roman"/>
          <w:sz w:val="24"/>
          <w:szCs w:val="24"/>
        </w:rPr>
        <w:t>st Black students.</w:t>
      </w:r>
      <w:r w:rsidR="00003C35" w:rsidRPr="00AE141E">
        <w:rPr>
          <w:rFonts w:ascii="Times New Roman" w:hAnsi="Times New Roman" w:cs="Times New Roman"/>
          <w:sz w:val="24"/>
          <w:szCs w:val="24"/>
        </w:rPr>
        <w:t xml:space="preserve"> However, </w:t>
      </w:r>
      <w:r w:rsidR="0056146D" w:rsidRPr="00AE141E">
        <w:rPr>
          <w:rFonts w:ascii="Times New Roman" w:hAnsi="Times New Roman" w:cs="Times New Roman"/>
          <w:sz w:val="24"/>
          <w:szCs w:val="24"/>
        </w:rPr>
        <w:t xml:space="preserve">I believe their concern had a different source. </w:t>
      </w:r>
      <w:r w:rsidR="00F918BA" w:rsidRPr="00AE141E">
        <w:rPr>
          <w:rFonts w:ascii="Times New Roman" w:hAnsi="Times New Roman" w:cs="Times New Roman"/>
          <w:sz w:val="24"/>
          <w:szCs w:val="24"/>
        </w:rPr>
        <w:t>We have previously seen how educators embraced the teaching of German</w:t>
      </w:r>
      <w:r w:rsidR="00C46D3B">
        <w:rPr>
          <w:rFonts w:ascii="Times New Roman" w:hAnsi="Times New Roman" w:cs="Times New Roman"/>
          <w:sz w:val="24"/>
          <w:szCs w:val="24"/>
        </w:rPr>
        <w:t xml:space="preserve">, South African, and north </w:t>
      </w:r>
      <w:r w:rsidR="00F918BA" w:rsidRPr="00AE141E">
        <w:rPr>
          <w:rFonts w:ascii="Times New Roman" w:hAnsi="Times New Roman" w:cs="Times New Roman"/>
          <w:sz w:val="24"/>
          <w:szCs w:val="24"/>
        </w:rPr>
        <w:t xml:space="preserve">American racism(s) in order to avoid </w:t>
      </w:r>
      <w:r w:rsidR="001E4587" w:rsidRPr="00AE141E">
        <w:rPr>
          <w:rFonts w:ascii="Times New Roman" w:hAnsi="Times New Roman" w:cs="Times New Roman"/>
          <w:sz w:val="24"/>
          <w:szCs w:val="24"/>
        </w:rPr>
        <w:t>‘</w:t>
      </w:r>
      <w:r w:rsidR="00F918BA" w:rsidRPr="00AE141E">
        <w:rPr>
          <w:rFonts w:ascii="Times New Roman" w:hAnsi="Times New Roman" w:cs="Times New Roman"/>
          <w:sz w:val="24"/>
          <w:szCs w:val="24"/>
        </w:rPr>
        <w:t>s</w:t>
      </w:r>
      <w:r w:rsidR="001E4587" w:rsidRPr="00AE141E">
        <w:rPr>
          <w:rFonts w:ascii="Times New Roman" w:hAnsi="Times New Roman" w:cs="Times New Roman"/>
          <w:sz w:val="24"/>
          <w:szCs w:val="24"/>
        </w:rPr>
        <w:t>ensitive’ questions of historical guilt and responsibility</w:t>
      </w:r>
      <w:r w:rsidR="00F918BA" w:rsidRPr="00AE141E">
        <w:rPr>
          <w:rFonts w:ascii="Times New Roman" w:hAnsi="Times New Roman" w:cs="Times New Roman"/>
          <w:sz w:val="24"/>
          <w:szCs w:val="24"/>
        </w:rPr>
        <w:t xml:space="preserve"> </w:t>
      </w:r>
      <w:r w:rsidR="006B1AEE" w:rsidRPr="00AE141E">
        <w:rPr>
          <w:rFonts w:ascii="Times New Roman" w:hAnsi="Times New Roman" w:cs="Times New Roman"/>
          <w:sz w:val="24"/>
          <w:szCs w:val="24"/>
        </w:rPr>
        <w:t xml:space="preserve">in their own country. </w:t>
      </w:r>
      <w:r w:rsidR="004E37C6" w:rsidRPr="00AE141E">
        <w:rPr>
          <w:rFonts w:ascii="Times New Roman" w:hAnsi="Times New Roman" w:cs="Times New Roman"/>
          <w:sz w:val="24"/>
          <w:szCs w:val="24"/>
        </w:rPr>
        <w:t xml:space="preserve">The </w:t>
      </w:r>
      <w:r w:rsidR="00A36C4A" w:rsidRPr="00AE141E">
        <w:rPr>
          <w:rFonts w:ascii="Times New Roman" w:hAnsi="Times New Roman" w:cs="Times New Roman"/>
          <w:sz w:val="24"/>
          <w:szCs w:val="24"/>
        </w:rPr>
        <w:t xml:space="preserve">shame felt by White </w:t>
      </w:r>
      <w:r w:rsidR="00283EA5" w:rsidRPr="00AE141E">
        <w:rPr>
          <w:rFonts w:ascii="Times New Roman" w:hAnsi="Times New Roman" w:cs="Times New Roman"/>
          <w:sz w:val="24"/>
          <w:szCs w:val="24"/>
        </w:rPr>
        <w:t>students</w:t>
      </w:r>
      <w:r w:rsidR="000D3AE9" w:rsidRPr="00AE141E">
        <w:rPr>
          <w:rFonts w:ascii="Times New Roman" w:hAnsi="Times New Roman" w:cs="Times New Roman"/>
          <w:sz w:val="24"/>
          <w:szCs w:val="24"/>
        </w:rPr>
        <w:t xml:space="preserve"> </w:t>
      </w:r>
      <w:r w:rsidR="00E52D86" w:rsidRPr="00AE141E">
        <w:rPr>
          <w:rFonts w:ascii="Times New Roman" w:hAnsi="Times New Roman" w:cs="Times New Roman"/>
          <w:sz w:val="24"/>
          <w:szCs w:val="24"/>
        </w:rPr>
        <w:t xml:space="preserve">at being </w:t>
      </w:r>
      <w:r w:rsidR="008A1A07" w:rsidRPr="00AE141E">
        <w:rPr>
          <w:rFonts w:ascii="Times New Roman" w:hAnsi="Times New Roman" w:cs="Times New Roman"/>
          <w:sz w:val="24"/>
          <w:szCs w:val="24"/>
        </w:rPr>
        <w:t>identified with</w:t>
      </w:r>
      <w:r w:rsidR="000D3AE9" w:rsidRPr="00AE141E">
        <w:rPr>
          <w:rFonts w:ascii="Times New Roman" w:hAnsi="Times New Roman" w:cs="Times New Roman"/>
          <w:sz w:val="24"/>
          <w:szCs w:val="24"/>
        </w:rPr>
        <w:t xml:space="preserve"> racism</w:t>
      </w:r>
      <w:r w:rsidR="002D5C47" w:rsidRPr="00AE141E">
        <w:rPr>
          <w:rFonts w:ascii="Times New Roman" w:hAnsi="Times New Roman" w:cs="Times New Roman"/>
          <w:sz w:val="24"/>
          <w:szCs w:val="24"/>
        </w:rPr>
        <w:t xml:space="preserve">, via RAT, </w:t>
      </w:r>
      <w:r w:rsidR="00C62F16" w:rsidRPr="00AE141E">
        <w:rPr>
          <w:rFonts w:ascii="Times New Roman" w:hAnsi="Times New Roman" w:cs="Times New Roman"/>
          <w:sz w:val="24"/>
          <w:szCs w:val="24"/>
        </w:rPr>
        <w:t xml:space="preserve">became a </w:t>
      </w:r>
      <w:r w:rsidR="0047424C">
        <w:rPr>
          <w:rFonts w:ascii="Times New Roman" w:hAnsi="Times New Roman" w:cs="Times New Roman"/>
          <w:sz w:val="24"/>
          <w:szCs w:val="24"/>
        </w:rPr>
        <w:t xml:space="preserve">popular </w:t>
      </w:r>
      <w:r w:rsidR="00C62F16" w:rsidRPr="00AE141E">
        <w:rPr>
          <w:rFonts w:ascii="Times New Roman" w:hAnsi="Times New Roman" w:cs="Times New Roman"/>
          <w:sz w:val="24"/>
          <w:szCs w:val="24"/>
        </w:rPr>
        <w:t xml:space="preserve">preoccupation of </w:t>
      </w:r>
      <w:r w:rsidR="00E52D86" w:rsidRPr="00AE141E">
        <w:rPr>
          <w:rFonts w:ascii="Times New Roman" w:hAnsi="Times New Roman" w:cs="Times New Roman"/>
          <w:sz w:val="24"/>
          <w:szCs w:val="24"/>
        </w:rPr>
        <w:t xml:space="preserve">educators following events at Burnage. </w:t>
      </w:r>
      <w:r w:rsidR="006B1AEE" w:rsidRPr="00AE141E">
        <w:rPr>
          <w:rFonts w:ascii="Times New Roman" w:hAnsi="Times New Roman" w:cs="Times New Roman"/>
          <w:sz w:val="24"/>
          <w:szCs w:val="24"/>
        </w:rPr>
        <w:t xml:space="preserve">The supposed cultivation </w:t>
      </w:r>
      <w:r w:rsidR="00287EA8" w:rsidRPr="00AE141E">
        <w:rPr>
          <w:rFonts w:ascii="Times New Roman" w:hAnsi="Times New Roman" w:cs="Times New Roman"/>
          <w:sz w:val="24"/>
          <w:szCs w:val="24"/>
        </w:rPr>
        <w:t xml:space="preserve">and abuse </w:t>
      </w:r>
      <w:r w:rsidR="006B1AEE" w:rsidRPr="00AE141E">
        <w:rPr>
          <w:rFonts w:ascii="Times New Roman" w:hAnsi="Times New Roman" w:cs="Times New Roman"/>
          <w:sz w:val="24"/>
          <w:szCs w:val="24"/>
        </w:rPr>
        <w:t>of ‘liberal guilt’</w:t>
      </w:r>
      <w:r w:rsidR="0025352B" w:rsidRPr="00AE141E">
        <w:rPr>
          <w:rFonts w:ascii="Times New Roman" w:hAnsi="Times New Roman" w:cs="Times New Roman"/>
          <w:sz w:val="24"/>
          <w:szCs w:val="24"/>
        </w:rPr>
        <w:t xml:space="preserve"> </w:t>
      </w:r>
      <w:r w:rsidR="00277C13" w:rsidRPr="00AE141E">
        <w:rPr>
          <w:rFonts w:ascii="Times New Roman" w:hAnsi="Times New Roman" w:cs="Times New Roman"/>
          <w:sz w:val="24"/>
          <w:szCs w:val="24"/>
        </w:rPr>
        <w:t xml:space="preserve">by the ‘race lobby’ was also a </w:t>
      </w:r>
      <w:r w:rsidR="00C63B5C" w:rsidRPr="00AE141E">
        <w:rPr>
          <w:rFonts w:ascii="Times New Roman" w:hAnsi="Times New Roman" w:cs="Times New Roman"/>
          <w:sz w:val="24"/>
          <w:szCs w:val="24"/>
        </w:rPr>
        <w:t xml:space="preserve">rallying cry for the New Right. </w:t>
      </w:r>
      <w:r w:rsidR="00101AEA" w:rsidRPr="00AE141E">
        <w:rPr>
          <w:rFonts w:ascii="Times New Roman" w:hAnsi="Times New Roman" w:cs="Times New Roman"/>
          <w:sz w:val="24"/>
          <w:szCs w:val="24"/>
        </w:rPr>
        <w:t xml:space="preserve">Writing in this context, </w:t>
      </w:r>
      <w:r w:rsidR="00DE306C" w:rsidRPr="00AE141E">
        <w:rPr>
          <w:rFonts w:ascii="Times New Roman" w:hAnsi="Times New Roman" w:cs="Times New Roman"/>
          <w:sz w:val="24"/>
          <w:szCs w:val="24"/>
        </w:rPr>
        <w:t xml:space="preserve">it seems likely that </w:t>
      </w:r>
      <w:r w:rsidR="00721A17" w:rsidRPr="00AE141E">
        <w:rPr>
          <w:rFonts w:ascii="Times New Roman" w:hAnsi="Times New Roman" w:cs="Times New Roman"/>
          <w:sz w:val="24"/>
          <w:szCs w:val="24"/>
        </w:rPr>
        <w:t xml:space="preserve">the author </w:t>
      </w:r>
      <w:r w:rsidR="008F214D" w:rsidRPr="00AE141E">
        <w:rPr>
          <w:rFonts w:ascii="Times New Roman" w:hAnsi="Times New Roman" w:cs="Times New Roman"/>
          <w:sz w:val="24"/>
          <w:szCs w:val="24"/>
        </w:rPr>
        <w:t>was worried about the potential risk to White sensibilities</w:t>
      </w:r>
      <w:r w:rsidR="00CC7720" w:rsidRPr="00AE141E">
        <w:rPr>
          <w:rFonts w:ascii="Times New Roman" w:hAnsi="Times New Roman" w:cs="Times New Roman"/>
          <w:sz w:val="24"/>
          <w:szCs w:val="24"/>
        </w:rPr>
        <w:t xml:space="preserve"> </w:t>
      </w:r>
      <w:r w:rsidR="001C6A99" w:rsidRPr="00AE141E">
        <w:rPr>
          <w:rFonts w:ascii="Times New Roman" w:hAnsi="Times New Roman" w:cs="Times New Roman"/>
          <w:sz w:val="24"/>
          <w:szCs w:val="24"/>
        </w:rPr>
        <w:t xml:space="preserve">of a module covering </w:t>
      </w:r>
      <w:r w:rsidR="001A2565" w:rsidRPr="00AE141E">
        <w:rPr>
          <w:rFonts w:ascii="Times New Roman" w:hAnsi="Times New Roman" w:cs="Times New Roman"/>
          <w:sz w:val="24"/>
          <w:szCs w:val="24"/>
        </w:rPr>
        <w:t>the origins of racial privilege.</w:t>
      </w:r>
    </w:p>
    <w:p w14:paraId="2F9FECEF" w14:textId="77777777" w:rsidR="00D54299" w:rsidRDefault="004A63F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The same document went on to </w:t>
      </w:r>
      <w:r w:rsidR="006B3D30" w:rsidRPr="00AE141E">
        <w:rPr>
          <w:rFonts w:ascii="Times New Roman" w:hAnsi="Times New Roman" w:cs="Times New Roman"/>
          <w:sz w:val="24"/>
          <w:szCs w:val="24"/>
        </w:rPr>
        <w:t xml:space="preserve">suggest that teaching </w:t>
      </w:r>
      <w:r w:rsidR="0088412D">
        <w:rPr>
          <w:rFonts w:ascii="Times New Roman" w:hAnsi="Times New Roman" w:cs="Times New Roman"/>
          <w:sz w:val="24"/>
          <w:szCs w:val="24"/>
        </w:rPr>
        <w:t>must</w:t>
      </w:r>
      <w:r w:rsidR="00CB2512" w:rsidRPr="00AE141E">
        <w:rPr>
          <w:rFonts w:ascii="Times New Roman" w:hAnsi="Times New Roman" w:cs="Times New Roman"/>
          <w:sz w:val="24"/>
          <w:szCs w:val="24"/>
        </w:rPr>
        <w:t xml:space="preserve"> address the ‘insoluble balance sheet’ of empire.</w:t>
      </w:r>
      <w:r w:rsidR="002B75E6" w:rsidRPr="00AE141E">
        <w:rPr>
          <w:rStyle w:val="FootnoteReference"/>
          <w:rFonts w:ascii="Times New Roman" w:hAnsi="Times New Roman" w:cs="Times New Roman"/>
          <w:sz w:val="24"/>
          <w:szCs w:val="24"/>
        </w:rPr>
        <w:footnoteReference w:id="797"/>
      </w:r>
      <w:r w:rsidR="00CB2512" w:rsidRPr="00AE141E">
        <w:rPr>
          <w:rFonts w:ascii="Times New Roman" w:hAnsi="Times New Roman" w:cs="Times New Roman"/>
          <w:sz w:val="24"/>
          <w:szCs w:val="24"/>
        </w:rPr>
        <w:t xml:space="preserve"> </w:t>
      </w:r>
      <w:r w:rsidR="00A13D2C" w:rsidRPr="00AE141E">
        <w:rPr>
          <w:rFonts w:ascii="Times New Roman" w:hAnsi="Times New Roman" w:cs="Times New Roman"/>
          <w:sz w:val="24"/>
          <w:szCs w:val="24"/>
        </w:rPr>
        <w:t xml:space="preserve">Educators </w:t>
      </w:r>
      <w:r w:rsidR="0088412D">
        <w:rPr>
          <w:rFonts w:ascii="Times New Roman" w:hAnsi="Times New Roman" w:cs="Times New Roman"/>
          <w:sz w:val="24"/>
          <w:szCs w:val="24"/>
        </w:rPr>
        <w:t xml:space="preserve">should </w:t>
      </w:r>
      <w:r w:rsidR="00572430">
        <w:rPr>
          <w:rFonts w:ascii="Times New Roman" w:hAnsi="Times New Roman" w:cs="Times New Roman"/>
          <w:sz w:val="24"/>
          <w:szCs w:val="24"/>
        </w:rPr>
        <w:t>describe</w:t>
      </w:r>
      <w:r w:rsidR="0088412D">
        <w:rPr>
          <w:rFonts w:ascii="Times New Roman" w:hAnsi="Times New Roman" w:cs="Times New Roman"/>
          <w:sz w:val="24"/>
          <w:szCs w:val="24"/>
        </w:rPr>
        <w:t xml:space="preserve"> both</w:t>
      </w:r>
      <w:r w:rsidR="00A13D2C" w:rsidRPr="00AE141E">
        <w:rPr>
          <w:rFonts w:ascii="Times New Roman" w:hAnsi="Times New Roman" w:cs="Times New Roman"/>
          <w:sz w:val="24"/>
          <w:szCs w:val="24"/>
        </w:rPr>
        <w:t xml:space="preserve"> the ‘pros’ (‘spread of modern administration and justice; modest beginnings of industrialisation; medicine; education’) and ‘cons’ (‘colonial wars, slave trade; destruction of Indian textile industry’) of British imperialism in order for students to ‘make their own minds up’. As previously </w:t>
      </w:r>
      <w:r w:rsidR="00572430">
        <w:rPr>
          <w:rFonts w:ascii="Times New Roman" w:hAnsi="Times New Roman" w:cs="Times New Roman"/>
          <w:sz w:val="24"/>
          <w:szCs w:val="24"/>
        </w:rPr>
        <w:t>noted</w:t>
      </w:r>
      <w:r w:rsidR="00A13D2C" w:rsidRPr="00AE141E">
        <w:rPr>
          <w:rFonts w:ascii="Times New Roman" w:hAnsi="Times New Roman" w:cs="Times New Roman"/>
          <w:sz w:val="24"/>
          <w:szCs w:val="24"/>
        </w:rPr>
        <w:t xml:space="preserve">, the </w:t>
      </w:r>
      <w:r w:rsidR="00DB0C2B" w:rsidRPr="00AE141E">
        <w:rPr>
          <w:rFonts w:ascii="Times New Roman" w:hAnsi="Times New Roman" w:cs="Times New Roman"/>
          <w:sz w:val="24"/>
          <w:szCs w:val="24"/>
        </w:rPr>
        <w:t xml:space="preserve">application of a </w:t>
      </w:r>
      <w:r w:rsidR="00A13D2C" w:rsidRPr="00AE141E">
        <w:rPr>
          <w:rFonts w:ascii="Times New Roman" w:hAnsi="Times New Roman" w:cs="Times New Roman"/>
          <w:sz w:val="24"/>
          <w:szCs w:val="24"/>
        </w:rPr>
        <w:t xml:space="preserve">‘balance sheet’ </w:t>
      </w:r>
      <w:r w:rsidR="00DB0C2B" w:rsidRPr="00AE141E">
        <w:rPr>
          <w:rFonts w:ascii="Times New Roman" w:hAnsi="Times New Roman" w:cs="Times New Roman"/>
          <w:sz w:val="24"/>
          <w:szCs w:val="24"/>
        </w:rPr>
        <w:t xml:space="preserve">to imperial history </w:t>
      </w:r>
      <w:r w:rsidR="0050603F" w:rsidRPr="00AE141E">
        <w:rPr>
          <w:rFonts w:ascii="Times New Roman" w:hAnsi="Times New Roman" w:cs="Times New Roman"/>
          <w:sz w:val="24"/>
          <w:szCs w:val="24"/>
        </w:rPr>
        <w:t>carries the implication</w:t>
      </w:r>
      <w:r w:rsidR="00DB0C2B" w:rsidRPr="00AE141E">
        <w:rPr>
          <w:rFonts w:ascii="Times New Roman" w:hAnsi="Times New Roman" w:cs="Times New Roman"/>
          <w:sz w:val="24"/>
          <w:szCs w:val="24"/>
        </w:rPr>
        <w:t xml:space="preserve"> that </w:t>
      </w:r>
      <w:r w:rsidR="00F07E48" w:rsidRPr="00AE141E">
        <w:rPr>
          <w:rFonts w:ascii="Times New Roman" w:hAnsi="Times New Roman" w:cs="Times New Roman"/>
          <w:sz w:val="24"/>
          <w:szCs w:val="24"/>
        </w:rPr>
        <w:t>‘wrongs’ can be negated</w:t>
      </w:r>
      <w:r w:rsidR="00876D70" w:rsidRPr="00AE141E">
        <w:rPr>
          <w:rFonts w:ascii="Times New Roman" w:hAnsi="Times New Roman" w:cs="Times New Roman"/>
          <w:sz w:val="24"/>
          <w:szCs w:val="24"/>
        </w:rPr>
        <w:t>, cancelled-out, or redeemed</w:t>
      </w:r>
      <w:r w:rsidR="00F07E48" w:rsidRPr="00AE141E">
        <w:rPr>
          <w:rFonts w:ascii="Times New Roman" w:hAnsi="Times New Roman" w:cs="Times New Roman"/>
          <w:sz w:val="24"/>
          <w:szCs w:val="24"/>
        </w:rPr>
        <w:t xml:space="preserve"> by ‘rights’</w:t>
      </w:r>
      <w:r w:rsidR="00813841" w:rsidRPr="00AE141E">
        <w:rPr>
          <w:rFonts w:ascii="Times New Roman" w:hAnsi="Times New Roman" w:cs="Times New Roman"/>
          <w:sz w:val="24"/>
          <w:szCs w:val="24"/>
        </w:rPr>
        <w:t>.</w:t>
      </w:r>
      <w:r w:rsidR="002016F9" w:rsidRPr="00AE141E">
        <w:rPr>
          <w:rStyle w:val="FootnoteReference"/>
          <w:rFonts w:ascii="Times New Roman" w:hAnsi="Times New Roman" w:cs="Times New Roman"/>
          <w:sz w:val="24"/>
          <w:szCs w:val="24"/>
        </w:rPr>
        <w:footnoteReference w:id="798"/>
      </w:r>
      <w:r w:rsidR="00813841" w:rsidRPr="00AE141E">
        <w:rPr>
          <w:rFonts w:ascii="Times New Roman" w:hAnsi="Times New Roman" w:cs="Times New Roman"/>
          <w:sz w:val="24"/>
          <w:szCs w:val="24"/>
        </w:rPr>
        <w:t xml:space="preserve"> As such, </w:t>
      </w:r>
      <w:r w:rsidR="00876D70" w:rsidRPr="00AE141E">
        <w:rPr>
          <w:rFonts w:ascii="Times New Roman" w:hAnsi="Times New Roman" w:cs="Times New Roman"/>
          <w:sz w:val="24"/>
          <w:szCs w:val="24"/>
        </w:rPr>
        <w:t xml:space="preserve">it represents an exercise in imperial justification rather than </w:t>
      </w:r>
      <w:r w:rsidR="00727BAC" w:rsidRPr="00AE141E">
        <w:rPr>
          <w:rFonts w:ascii="Times New Roman" w:hAnsi="Times New Roman" w:cs="Times New Roman"/>
          <w:sz w:val="24"/>
          <w:szCs w:val="24"/>
        </w:rPr>
        <w:t xml:space="preserve">a neutral vehicle for balancing evidence </w:t>
      </w:r>
      <w:r w:rsidR="00D54299">
        <w:rPr>
          <w:rFonts w:ascii="Times New Roman" w:hAnsi="Times New Roman" w:cs="Times New Roman"/>
          <w:sz w:val="24"/>
          <w:szCs w:val="24"/>
        </w:rPr>
        <w:t>to</w:t>
      </w:r>
      <w:r w:rsidR="00727BAC" w:rsidRPr="00AE141E">
        <w:rPr>
          <w:rFonts w:ascii="Times New Roman" w:hAnsi="Times New Roman" w:cs="Times New Roman"/>
          <w:sz w:val="24"/>
          <w:szCs w:val="24"/>
        </w:rPr>
        <w:t xml:space="preserve"> reach an objective judgement.</w:t>
      </w:r>
      <w:r w:rsidR="00934E94" w:rsidRPr="00AE141E">
        <w:rPr>
          <w:rFonts w:ascii="Times New Roman" w:hAnsi="Times New Roman" w:cs="Times New Roman"/>
          <w:sz w:val="24"/>
          <w:szCs w:val="24"/>
        </w:rPr>
        <w:t xml:space="preserve"> </w:t>
      </w:r>
    </w:p>
    <w:p w14:paraId="2F1CFDE2" w14:textId="2C04CBCA" w:rsidR="00044DD4" w:rsidRPr="00AE141E" w:rsidRDefault="00B0031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w:t>
      </w:r>
      <w:r w:rsidR="00934E94" w:rsidRPr="00AE141E">
        <w:rPr>
          <w:rFonts w:ascii="Times New Roman" w:hAnsi="Times New Roman" w:cs="Times New Roman"/>
          <w:sz w:val="24"/>
          <w:szCs w:val="24"/>
        </w:rPr>
        <w:t xml:space="preserve">he </w:t>
      </w:r>
      <w:r w:rsidR="00601CC3">
        <w:rPr>
          <w:rFonts w:ascii="Times New Roman" w:hAnsi="Times New Roman" w:cs="Times New Roman"/>
          <w:sz w:val="24"/>
          <w:szCs w:val="24"/>
        </w:rPr>
        <w:t xml:space="preserve">HWG’s </w:t>
      </w:r>
      <w:r w:rsidR="00934E94" w:rsidRPr="00AE141E">
        <w:rPr>
          <w:rFonts w:ascii="Times New Roman" w:hAnsi="Times New Roman" w:cs="Times New Roman"/>
          <w:sz w:val="24"/>
          <w:szCs w:val="24"/>
        </w:rPr>
        <w:t xml:space="preserve">desire for students to reach their own conclusions points to a deep concern with </w:t>
      </w:r>
      <w:r w:rsidR="0082546E" w:rsidRPr="00AE141E">
        <w:rPr>
          <w:rFonts w:ascii="Times New Roman" w:hAnsi="Times New Roman" w:cs="Times New Roman"/>
          <w:sz w:val="24"/>
          <w:szCs w:val="24"/>
        </w:rPr>
        <w:t xml:space="preserve">the potential for </w:t>
      </w:r>
      <w:r w:rsidR="00A377C9">
        <w:rPr>
          <w:rFonts w:ascii="Times New Roman" w:hAnsi="Times New Roman" w:cs="Times New Roman"/>
          <w:sz w:val="24"/>
          <w:szCs w:val="24"/>
        </w:rPr>
        <w:t>histories of empire</w:t>
      </w:r>
      <w:r w:rsidR="0082546E" w:rsidRPr="00AE141E">
        <w:rPr>
          <w:rFonts w:ascii="Times New Roman" w:hAnsi="Times New Roman" w:cs="Times New Roman"/>
          <w:sz w:val="24"/>
          <w:szCs w:val="24"/>
        </w:rPr>
        <w:t xml:space="preserve"> to arouse accusations of political bias and indoctrination.</w:t>
      </w:r>
      <w:r w:rsidR="00DD144B" w:rsidRPr="00AE141E">
        <w:rPr>
          <w:rFonts w:ascii="Times New Roman" w:hAnsi="Times New Roman" w:cs="Times New Roman"/>
          <w:sz w:val="24"/>
          <w:szCs w:val="24"/>
        </w:rPr>
        <w:t xml:space="preserve"> This anxiety </w:t>
      </w:r>
      <w:r w:rsidRPr="00AE141E">
        <w:rPr>
          <w:rFonts w:ascii="Times New Roman" w:hAnsi="Times New Roman" w:cs="Times New Roman"/>
          <w:sz w:val="24"/>
          <w:szCs w:val="24"/>
        </w:rPr>
        <w:t>was also reflected in the attitude of the programme of study towards evidence</w:t>
      </w:r>
      <w:r w:rsidR="00F7079C" w:rsidRPr="00AE141E">
        <w:rPr>
          <w:rFonts w:ascii="Times New Roman" w:hAnsi="Times New Roman" w:cs="Times New Roman"/>
          <w:sz w:val="24"/>
          <w:szCs w:val="24"/>
        </w:rPr>
        <w:t xml:space="preserve"> itself. The authors took care to highlight the ‘problematic’ nature </w:t>
      </w:r>
      <w:r w:rsidR="00273CE7" w:rsidRPr="00AE141E">
        <w:rPr>
          <w:rFonts w:ascii="Times New Roman" w:hAnsi="Times New Roman" w:cs="Times New Roman"/>
          <w:sz w:val="24"/>
          <w:szCs w:val="24"/>
        </w:rPr>
        <w:t>of evidence about empire and ‘empire builders’</w:t>
      </w:r>
      <w:r w:rsidR="00F7079C" w:rsidRPr="00AE141E">
        <w:rPr>
          <w:rFonts w:ascii="Times New Roman" w:hAnsi="Times New Roman" w:cs="Times New Roman"/>
          <w:sz w:val="24"/>
          <w:szCs w:val="24"/>
        </w:rPr>
        <w:t>, and called for students to be given a wid</w:t>
      </w:r>
      <w:r w:rsidR="00273CE7" w:rsidRPr="00AE141E">
        <w:rPr>
          <w:rFonts w:ascii="Times New Roman" w:hAnsi="Times New Roman" w:cs="Times New Roman"/>
          <w:sz w:val="24"/>
          <w:szCs w:val="24"/>
        </w:rPr>
        <w:t xml:space="preserve">e range of sources – </w:t>
      </w:r>
      <w:r w:rsidR="00F36009" w:rsidRPr="00AE141E">
        <w:rPr>
          <w:rFonts w:ascii="Times New Roman" w:hAnsi="Times New Roman" w:cs="Times New Roman"/>
          <w:sz w:val="24"/>
          <w:szCs w:val="24"/>
        </w:rPr>
        <w:t>if</w:t>
      </w:r>
      <w:r w:rsidR="00273CE7" w:rsidRPr="00AE141E">
        <w:rPr>
          <w:rFonts w:ascii="Times New Roman" w:hAnsi="Times New Roman" w:cs="Times New Roman"/>
          <w:sz w:val="24"/>
          <w:szCs w:val="24"/>
        </w:rPr>
        <w:t xml:space="preserve"> </w:t>
      </w:r>
      <w:r w:rsidR="00F36009" w:rsidRPr="00AE141E">
        <w:rPr>
          <w:rFonts w:ascii="Times New Roman" w:hAnsi="Times New Roman" w:cs="Times New Roman"/>
          <w:sz w:val="24"/>
          <w:szCs w:val="24"/>
        </w:rPr>
        <w:t>possible from outside</w:t>
      </w:r>
      <w:r w:rsidR="00EB5994" w:rsidRPr="00AE141E">
        <w:rPr>
          <w:rFonts w:ascii="Times New Roman" w:hAnsi="Times New Roman" w:cs="Times New Roman"/>
          <w:sz w:val="24"/>
          <w:szCs w:val="24"/>
        </w:rPr>
        <w:t>,</w:t>
      </w:r>
      <w:r w:rsidR="00F36009" w:rsidRPr="00AE141E">
        <w:rPr>
          <w:rFonts w:ascii="Times New Roman" w:hAnsi="Times New Roman" w:cs="Times New Roman"/>
          <w:sz w:val="24"/>
          <w:szCs w:val="24"/>
        </w:rPr>
        <w:t xml:space="preserve"> </w:t>
      </w:r>
      <w:r w:rsidR="00EB5994" w:rsidRPr="00AE141E">
        <w:rPr>
          <w:rFonts w:ascii="Times New Roman" w:hAnsi="Times New Roman" w:cs="Times New Roman"/>
          <w:sz w:val="24"/>
          <w:szCs w:val="24"/>
        </w:rPr>
        <w:t>‘</w:t>
      </w:r>
      <w:r w:rsidR="00F36009" w:rsidRPr="00AE141E">
        <w:rPr>
          <w:rFonts w:ascii="Times New Roman" w:hAnsi="Times New Roman" w:cs="Times New Roman"/>
          <w:sz w:val="24"/>
          <w:szCs w:val="24"/>
        </w:rPr>
        <w:t>objective</w:t>
      </w:r>
      <w:r w:rsidR="00EB5994" w:rsidRPr="00AE141E">
        <w:rPr>
          <w:rFonts w:ascii="Times New Roman" w:hAnsi="Times New Roman" w:cs="Times New Roman"/>
          <w:sz w:val="24"/>
          <w:szCs w:val="24"/>
        </w:rPr>
        <w:t>’</w:t>
      </w:r>
      <w:r w:rsidR="00F36009" w:rsidRPr="00AE141E">
        <w:rPr>
          <w:rFonts w:ascii="Times New Roman" w:hAnsi="Times New Roman" w:cs="Times New Roman"/>
          <w:sz w:val="24"/>
          <w:szCs w:val="24"/>
        </w:rPr>
        <w:t xml:space="preserve"> observers</w:t>
      </w:r>
      <w:r w:rsidR="00273CE7" w:rsidRPr="00AE141E">
        <w:rPr>
          <w:rFonts w:ascii="Times New Roman" w:hAnsi="Times New Roman" w:cs="Times New Roman"/>
          <w:sz w:val="24"/>
          <w:szCs w:val="24"/>
        </w:rPr>
        <w:t xml:space="preserve"> – </w:t>
      </w:r>
      <w:r w:rsidR="00F36009" w:rsidRPr="00AE141E">
        <w:rPr>
          <w:rFonts w:ascii="Times New Roman" w:hAnsi="Times New Roman" w:cs="Times New Roman"/>
          <w:sz w:val="24"/>
          <w:szCs w:val="24"/>
        </w:rPr>
        <w:t>to</w:t>
      </w:r>
      <w:r w:rsidR="00273CE7" w:rsidRPr="00AE141E">
        <w:rPr>
          <w:rFonts w:ascii="Times New Roman" w:hAnsi="Times New Roman" w:cs="Times New Roman"/>
          <w:sz w:val="24"/>
          <w:szCs w:val="24"/>
        </w:rPr>
        <w:t xml:space="preserve"> reach an</w:t>
      </w:r>
      <w:r w:rsidR="00F36009" w:rsidRPr="00AE141E">
        <w:rPr>
          <w:rFonts w:ascii="Times New Roman" w:hAnsi="Times New Roman" w:cs="Times New Roman"/>
          <w:sz w:val="24"/>
          <w:szCs w:val="24"/>
        </w:rPr>
        <w:t xml:space="preserve"> appreciat</w:t>
      </w:r>
      <w:r w:rsidR="00273CE7" w:rsidRPr="00AE141E">
        <w:rPr>
          <w:rFonts w:ascii="Times New Roman" w:hAnsi="Times New Roman" w:cs="Times New Roman"/>
          <w:sz w:val="24"/>
          <w:szCs w:val="24"/>
        </w:rPr>
        <w:t xml:space="preserve">ion of </w:t>
      </w:r>
      <w:r w:rsidR="00F36009" w:rsidRPr="00AE141E">
        <w:rPr>
          <w:rFonts w:ascii="Times New Roman" w:hAnsi="Times New Roman" w:cs="Times New Roman"/>
          <w:sz w:val="24"/>
          <w:szCs w:val="24"/>
        </w:rPr>
        <w:t>the variety of</w:t>
      </w:r>
      <w:r w:rsidR="00273CE7" w:rsidRPr="00AE141E">
        <w:rPr>
          <w:rFonts w:ascii="Times New Roman" w:hAnsi="Times New Roman" w:cs="Times New Roman"/>
          <w:sz w:val="24"/>
          <w:szCs w:val="24"/>
        </w:rPr>
        <w:t xml:space="preserve"> possible</w:t>
      </w:r>
      <w:r w:rsidR="00F36009" w:rsidRPr="00AE141E">
        <w:rPr>
          <w:rFonts w:ascii="Times New Roman" w:hAnsi="Times New Roman" w:cs="Times New Roman"/>
          <w:sz w:val="24"/>
          <w:szCs w:val="24"/>
        </w:rPr>
        <w:t xml:space="preserve"> interpretations</w:t>
      </w:r>
      <w:r w:rsidR="00273CE7" w:rsidRPr="00AE141E">
        <w:rPr>
          <w:rFonts w:ascii="Times New Roman" w:hAnsi="Times New Roman" w:cs="Times New Roman"/>
          <w:sz w:val="24"/>
          <w:szCs w:val="24"/>
        </w:rPr>
        <w:t>.</w:t>
      </w:r>
      <w:r w:rsidR="00EB5994" w:rsidRPr="00AE141E">
        <w:rPr>
          <w:rStyle w:val="FootnoteReference"/>
          <w:rFonts w:ascii="Times New Roman" w:hAnsi="Times New Roman" w:cs="Times New Roman"/>
          <w:sz w:val="24"/>
          <w:szCs w:val="24"/>
        </w:rPr>
        <w:footnoteReference w:id="799"/>
      </w:r>
      <w:r w:rsidR="001F5414" w:rsidRPr="00AE141E">
        <w:rPr>
          <w:rFonts w:ascii="Times New Roman" w:hAnsi="Times New Roman" w:cs="Times New Roman"/>
          <w:sz w:val="24"/>
          <w:szCs w:val="24"/>
        </w:rPr>
        <w:t xml:space="preserve"> </w:t>
      </w:r>
      <w:r w:rsidR="00273CE7" w:rsidRPr="00AE141E">
        <w:rPr>
          <w:rFonts w:ascii="Times New Roman" w:hAnsi="Times New Roman" w:cs="Times New Roman"/>
          <w:sz w:val="24"/>
          <w:szCs w:val="24"/>
        </w:rPr>
        <w:t xml:space="preserve">On </w:t>
      </w:r>
      <w:r w:rsidR="00F37965" w:rsidRPr="00AE141E">
        <w:rPr>
          <w:rFonts w:ascii="Times New Roman" w:hAnsi="Times New Roman" w:cs="Times New Roman"/>
          <w:sz w:val="24"/>
          <w:szCs w:val="24"/>
        </w:rPr>
        <w:t>29 September 1989</w:t>
      </w:r>
      <w:r w:rsidR="00273CE7" w:rsidRPr="00AE141E">
        <w:rPr>
          <w:rFonts w:ascii="Times New Roman" w:hAnsi="Times New Roman" w:cs="Times New Roman"/>
          <w:sz w:val="24"/>
          <w:szCs w:val="24"/>
        </w:rPr>
        <w:t>, a d</w:t>
      </w:r>
      <w:r w:rsidR="00F37965" w:rsidRPr="00AE141E">
        <w:rPr>
          <w:rFonts w:ascii="Times New Roman" w:hAnsi="Times New Roman" w:cs="Times New Roman"/>
          <w:sz w:val="24"/>
          <w:szCs w:val="24"/>
        </w:rPr>
        <w:t>ecision</w:t>
      </w:r>
      <w:r w:rsidR="00273CE7" w:rsidRPr="00AE141E">
        <w:rPr>
          <w:rFonts w:ascii="Times New Roman" w:hAnsi="Times New Roman" w:cs="Times New Roman"/>
          <w:sz w:val="24"/>
          <w:szCs w:val="24"/>
        </w:rPr>
        <w:t xml:space="preserve"> was</w:t>
      </w:r>
      <w:r w:rsidR="00F37965" w:rsidRPr="00AE141E">
        <w:rPr>
          <w:rFonts w:ascii="Times New Roman" w:hAnsi="Times New Roman" w:cs="Times New Roman"/>
          <w:sz w:val="24"/>
          <w:szCs w:val="24"/>
        </w:rPr>
        <w:t xml:space="preserve"> taken not to have a thematic HSU on the British Empire.</w:t>
      </w:r>
      <w:r w:rsidR="006A2FA8" w:rsidRPr="00AE141E">
        <w:rPr>
          <w:rStyle w:val="FootnoteReference"/>
          <w:rFonts w:ascii="Times New Roman" w:hAnsi="Times New Roman" w:cs="Times New Roman"/>
          <w:sz w:val="24"/>
          <w:szCs w:val="24"/>
        </w:rPr>
        <w:footnoteReference w:id="800"/>
      </w:r>
      <w:r w:rsidR="00161511" w:rsidRPr="00AE141E">
        <w:rPr>
          <w:rFonts w:ascii="Times New Roman" w:hAnsi="Times New Roman" w:cs="Times New Roman"/>
          <w:sz w:val="24"/>
          <w:szCs w:val="24"/>
        </w:rPr>
        <w:t xml:space="preserve"> </w:t>
      </w:r>
      <w:r w:rsidR="0068567B" w:rsidRPr="00AE141E">
        <w:rPr>
          <w:rFonts w:ascii="Times New Roman" w:hAnsi="Times New Roman" w:cs="Times New Roman"/>
          <w:sz w:val="24"/>
          <w:szCs w:val="24"/>
        </w:rPr>
        <w:t>The reasoning behind the decision is opaque</w:t>
      </w:r>
      <w:r w:rsidR="00CE19E2" w:rsidRPr="00AE141E">
        <w:rPr>
          <w:rFonts w:ascii="Times New Roman" w:hAnsi="Times New Roman" w:cs="Times New Roman"/>
          <w:sz w:val="24"/>
          <w:szCs w:val="24"/>
        </w:rPr>
        <w:t xml:space="preserve">, but </w:t>
      </w:r>
      <w:r w:rsidR="0068567B" w:rsidRPr="00AE141E">
        <w:rPr>
          <w:rFonts w:ascii="Times New Roman" w:hAnsi="Times New Roman" w:cs="Times New Roman"/>
          <w:sz w:val="24"/>
          <w:szCs w:val="24"/>
        </w:rPr>
        <w:t xml:space="preserve">it </w:t>
      </w:r>
      <w:r w:rsidR="00CE19E2" w:rsidRPr="00AE141E">
        <w:rPr>
          <w:rFonts w:ascii="Times New Roman" w:hAnsi="Times New Roman" w:cs="Times New Roman"/>
          <w:sz w:val="24"/>
          <w:szCs w:val="24"/>
        </w:rPr>
        <w:t xml:space="preserve">may have been due to an unwillingness to face the </w:t>
      </w:r>
      <w:r w:rsidR="001F5414" w:rsidRPr="00AE141E">
        <w:rPr>
          <w:rFonts w:ascii="Times New Roman" w:hAnsi="Times New Roman" w:cs="Times New Roman"/>
          <w:sz w:val="24"/>
          <w:szCs w:val="24"/>
        </w:rPr>
        <w:t>controversies outlined above.</w:t>
      </w:r>
      <w:r w:rsidR="0084196C" w:rsidRPr="00AE141E">
        <w:rPr>
          <w:rFonts w:ascii="Times New Roman" w:hAnsi="Times New Roman" w:cs="Times New Roman"/>
          <w:sz w:val="24"/>
          <w:szCs w:val="24"/>
        </w:rPr>
        <w:t xml:space="preserve"> As Marshall would later reflect, the Group </w:t>
      </w:r>
      <w:r w:rsidR="008C0332" w:rsidRPr="00AE141E">
        <w:rPr>
          <w:rFonts w:ascii="Times New Roman" w:hAnsi="Times New Roman" w:cs="Times New Roman"/>
          <w:sz w:val="24"/>
          <w:szCs w:val="24"/>
        </w:rPr>
        <w:t>consciously tried to avoid incl</w:t>
      </w:r>
      <w:r w:rsidR="007B2E5A" w:rsidRPr="00AE141E">
        <w:rPr>
          <w:rFonts w:ascii="Times New Roman" w:hAnsi="Times New Roman" w:cs="Times New Roman"/>
          <w:sz w:val="24"/>
          <w:szCs w:val="24"/>
        </w:rPr>
        <w:t>uding content which was</w:t>
      </w:r>
      <w:r w:rsidR="0084196C" w:rsidRPr="00AE141E">
        <w:rPr>
          <w:rFonts w:ascii="Times New Roman" w:hAnsi="Times New Roman" w:cs="Times New Roman"/>
          <w:sz w:val="24"/>
          <w:szCs w:val="24"/>
        </w:rPr>
        <w:t xml:space="preserve"> </w:t>
      </w:r>
      <w:r w:rsidR="007B2E5A" w:rsidRPr="00AE141E">
        <w:rPr>
          <w:rFonts w:ascii="Times New Roman" w:hAnsi="Times New Roman" w:cs="Times New Roman"/>
          <w:sz w:val="24"/>
          <w:szCs w:val="24"/>
        </w:rPr>
        <w:t>‘</w:t>
      </w:r>
      <w:r w:rsidR="008C0332" w:rsidRPr="00AE141E">
        <w:rPr>
          <w:rFonts w:ascii="Times New Roman" w:hAnsi="Times New Roman" w:cs="Times New Roman"/>
          <w:sz w:val="24"/>
          <w:szCs w:val="24"/>
        </w:rPr>
        <w:t>very obviously contentious</w:t>
      </w:r>
      <w:r w:rsidR="007B2E5A" w:rsidRPr="00AE141E">
        <w:rPr>
          <w:rFonts w:ascii="Times New Roman" w:hAnsi="Times New Roman" w:cs="Times New Roman"/>
          <w:sz w:val="24"/>
          <w:szCs w:val="24"/>
        </w:rPr>
        <w:t>’.</w:t>
      </w:r>
      <w:r w:rsidR="007B2E5A" w:rsidRPr="00AE141E">
        <w:rPr>
          <w:rStyle w:val="FootnoteReference"/>
          <w:rFonts w:ascii="Times New Roman" w:hAnsi="Times New Roman" w:cs="Times New Roman"/>
          <w:sz w:val="24"/>
          <w:szCs w:val="24"/>
        </w:rPr>
        <w:footnoteReference w:id="801"/>
      </w:r>
    </w:p>
    <w:p w14:paraId="63C7B50B" w14:textId="5EB87034" w:rsidR="00DB7C5F" w:rsidRDefault="005E508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Some</w:t>
      </w:r>
      <w:r w:rsidR="00B86B19" w:rsidRPr="00AE141E">
        <w:rPr>
          <w:rFonts w:ascii="Times New Roman" w:hAnsi="Times New Roman" w:cs="Times New Roman"/>
          <w:sz w:val="24"/>
          <w:szCs w:val="24"/>
        </w:rPr>
        <w:t xml:space="preserve"> members of the HWG</w:t>
      </w:r>
      <w:r w:rsidRPr="00AE141E">
        <w:rPr>
          <w:rFonts w:ascii="Times New Roman" w:hAnsi="Times New Roman" w:cs="Times New Roman"/>
          <w:sz w:val="24"/>
          <w:szCs w:val="24"/>
        </w:rPr>
        <w:t xml:space="preserve"> queried the implication in Baker’s guidelines that the teaching of foreign history must </w:t>
      </w:r>
      <w:r w:rsidR="0048770B" w:rsidRPr="00AE141E">
        <w:rPr>
          <w:rFonts w:ascii="Times New Roman" w:hAnsi="Times New Roman" w:cs="Times New Roman"/>
          <w:sz w:val="24"/>
          <w:szCs w:val="24"/>
        </w:rPr>
        <w:t>somehow</w:t>
      </w:r>
      <w:r w:rsidRPr="00AE141E">
        <w:rPr>
          <w:rFonts w:ascii="Times New Roman" w:hAnsi="Times New Roman" w:cs="Times New Roman"/>
          <w:sz w:val="24"/>
          <w:szCs w:val="24"/>
        </w:rPr>
        <w:t xml:space="preserve"> be related to the British past. The objectors, Prochaska and Anne Low-Beer (Lecturer in Education), were reassured by </w:t>
      </w:r>
      <w:r w:rsidR="00520BA0">
        <w:rPr>
          <w:rFonts w:ascii="Times New Roman" w:hAnsi="Times New Roman" w:cs="Times New Roman"/>
          <w:sz w:val="24"/>
          <w:szCs w:val="24"/>
        </w:rPr>
        <w:t xml:space="preserve">Roger </w:t>
      </w:r>
      <w:r w:rsidRPr="00AE141E">
        <w:rPr>
          <w:rFonts w:ascii="Times New Roman" w:hAnsi="Times New Roman" w:cs="Times New Roman"/>
          <w:sz w:val="24"/>
          <w:szCs w:val="24"/>
        </w:rPr>
        <w:t>Hennessey,</w:t>
      </w:r>
      <w:r w:rsidR="00520BA0">
        <w:rPr>
          <w:rFonts w:ascii="Times New Roman" w:hAnsi="Times New Roman" w:cs="Times New Roman"/>
          <w:sz w:val="24"/>
          <w:szCs w:val="24"/>
        </w:rPr>
        <w:t xml:space="preserve"> the official </w:t>
      </w:r>
      <w:r w:rsidR="00520BA0">
        <w:rPr>
          <w:rFonts w:ascii="Times New Roman" w:hAnsi="Times New Roman" w:cs="Times New Roman"/>
          <w:sz w:val="24"/>
          <w:szCs w:val="24"/>
        </w:rPr>
        <w:lastRenderedPageBreak/>
        <w:t xml:space="preserve">Observer from Her Majesty’s Inspectorate. </w:t>
      </w:r>
      <w:r w:rsidR="00520BA0" w:rsidRPr="00AE141E">
        <w:rPr>
          <w:rFonts w:ascii="Times New Roman" w:hAnsi="Times New Roman" w:cs="Times New Roman"/>
          <w:sz w:val="24"/>
          <w:szCs w:val="24"/>
        </w:rPr>
        <w:t xml:space="preserve">Hennessey </w:t>
      </w:r>
      <w:r w:rsidRPr="00AE141E">
        <w:rPr>
          <w:rFonts w:ascii="Times New Roman" w:hAnsi="Times New Roman" w:cs="Times New Roman"/>
          <w:sz w:val="24"/>
          <w:szCs w:val="24"/>
        </w:rPr>
        <w:t>clarified that placing British history at the core of the curriculum did not mean that it would be the ‘centre of gravity’.</w:t>
      </w:r>
      <w:r w:rsidR="00122227" w:rsidRPr="00AE141E">
        <w:rPr>
          <w:rStyle w:val="FootnoteReference"/>
          <w:rFonts w:ascii="Times New Roman" w:hAnsi="Times New Roman" w:cs="Times New Roman"/>
          <w:sz w:val="24"/>
          <w:szCs w:val="24"/>
        </w:rPr>
        <w:footnoteReference w:id="802"/>
      </w:r>
      <w:r w:rsidRPr="00AE141E">
        <w:rPr>
          <w:rFonts w:ascii="Times New Roman" w:hAnsi="Times New Roman" w:cs="Times New Roman"/>
          <w:sz w:val="24"/>
          <w:szCs w:val="24"/>
        </w:rPr>
        <w:t xml:space="preserve"> The </w:t>
      </w:r>
      <w:r w:rsidR="001E0C5A" w:rsidRPr="00AE141E">
        <w:rPr>
          <w:rFonts w:ascii="Times New Roman" w:hAnsi="Times New Roman" w:cs="Times New Roman"/>
          <w:sz w:val="24"/>
          <w:szCs w:val="24"/>
        </w:rPr>
        <w:t>G</w:t>
      </w:r>
      <w:r w:rsidRPr="00AE141E">
        <w:rPr>
          <w:rFonts w:ascii="Times New Roman" w:hAnsi="Times New Roman" w:cs="Times New Roman"/>
          <w:sz w:val="24"/>
          <w:szCs w:val="24"/>
        </w:rPr>
        <w:t xml:space="preserve">roup dispensed with a literal interpretation of Baker’s words in favour of a syllabus which would promote the study of other cultures </w:t>
      </w:r>
      <w:r w:rsidRPr="00AE141E">
        <w:rPr>
          <w:rFonts w:ascii="Times New Roman" w:hAnsi="Times New Roman" w:cs="Times New Roman"/>
          <w:i/>
          <w:sz w:val="24"/>
          <w:szCs w:val="24"/>
        </w:rPr>
        <w:t>on their own terms</w:t>
      </w:r>
      <w:r w:rsidRPr="00AE141E">
        <w:rPr>
          <w:rFonts w:ascii="Times New Roman" w:hAnsi="Times New Roman" w:cs="Times New Roman"/>
          <w:sz w:val="24"/>
          <w:szCs w:val="24"/>
        </w:rPr>
        <w:t xml:space="preserve">, while preserving the numerical weight of </w:t>
      </w:r>
      <w:r w:rsidR="000D30E2" w:rsidRPr="00AE141E">
        <w:rPr>
          <w:rFonts w:ascii="Times New Roman" w:hAnsi="Times New Roman" w:cs="Times New Roman"/>
          <w:sz w:val="24"/>
          <w:szCs w:val="24"/>
        </w:rPr>
        <w:t>U</w:t>
      </w:r>
      <w:r w:rsidRPr="00AE141E">
        <w:rPr>
          <w:rFonts w:ascii="Times New Roman" w:hAnsi="Times New Roman" w:cs="Times New Roman"/>
          <w:sz w:val="24"/>
          <w:szCs w:val="24"/>
        </w:rPr>
        <w:t xml:space="preserve">nits on </w:t>
      </w:r>
      <w:r w:rsidR="001632E0">
        <w:rPr>
          <w:rFonts w:ascii="Times New Roman" w:hAnsi="Times New Roman" w:cs="Times New Roman"/>
          <w:sz w:val="24"/>
          <w:szCs w:val="24"/>
        </w:rPr>
        <w:t>predominantly</w:t>
      </w:r>
      <w:r w:rsidRPr="00AE141E">
        <w:rPr>
          <w:rFonts w:ascii="Times New Roman" w:hAnsi="Times New Roman" w:cs="Times New Roman"/>
          <w:sz w:val="24"/>
          <w:szCs w:val="24"/>
        </w:rPr>
        <w:t xml:space="preserve"> or exclusively British histories. </w:t>
      </w:r>
      <w:r w:rsidR="008C7709">
        <w:rPr>
          <w:rFonts w:ascii="Times New Roman" w:hAnsi="Times New Roman" w:cs="Times New Roman"/>
          <w:sz w:val="24"/>
          <w:szCs w:val="24"/>
        </w:rPr>
        <w:t>Here</w:t>
      </w:r>
      <w:r w:rsidR="00442D67">
        <w:rPr>
          <w:rFonts w:ascii="Times New Roman" w:hAnsi="Times New Roman" w:cs="Times New Roman"/>
          <w:sz w:val="24"/>
          <w:szCs w:val="24"/>
        </w:rPr>
        <w:t>,</w:t>
      </w:r>
      <w:r w:rsidR="008C7709">
        <w:rPr>
          <w:rFonts w:ascii="Times New Roman" w:hAnsi="Times New Roman" w:cs="Times New Roman"/>
          <w:sz w:val="24"/>
          <w:szCs w:val="24"/>
        </w:rPr>
        <w:t xml:space="preserve"> the HWG reiterated world history’s embrace of </w:t>
      </w:r>
      <w:r w:rsidR="00D40D03">
        <w:rPr>
          <w:rFonts w:ascii="Times New Roman" w:hAnsi="Times New Roman" w:cs="Times New Roman"/>
          <w:sz w:val="24"/>
          <w:szCs w:val="24"/>
        </w:rPr>
        <w:t xml:space="preserve">pre-colonial, </w:t>
      </w:r>
      <w:r w:rsidR="00977580">
        <w:rPr>
          <w:rFonts w:ascii="Times New Roman" w:hAnsi="Times New Roman" w:cs="Times New Roman"/>
          <w:sz w:val="24"/>
          <w:szCs w:val="24"/>
        </w:rPr>
        <w:t xml:space="preserve">post-colonial, or non-colonial histories as an escape from </w:t>
      </w:r>
      <w:r w:rsidR="00442D67">
        <w:rPr>
          <w:rFonts w:ascii="Times New Roman" w:hAnsi="Times New Roman" w:cs="Times New Roman"/>
          <w:sz w:val="24"/>
          <w:szCs w:val="24"/>
        </w:rPr>
        <w:t xml:space="preserve">the controversies raised by the study of empire. </w:t>
      </w:r>
      <w:r w:rsidR="008B6BCD">
        <w:rPr>
          <w:rFonts w:ascii="Times New Roman" w:hAnsi="Times New Roman" w:cs="Times New Roman"/>
          <w:sz w:val="24"/>
          <w:szCs w:val="24"/>
        </w:rPr>
        <w:t xml:space="preserve">Such studies afforded dignity and historical agency to </w:t>
      </w:r>
      <w:r w:rsidR="000F3868">
        <w:rPr>
          <w:rFonts w:ascii="Times New Roman" w:hAnsi="Times New Roman" w:cs="Times New Roman"/>
          <w:sz w:val="24"/>
          <w:szCs w:val="24"/>
        </w:rPr>
        <w:t>downwardly</w:t>
      </w:r>
      <w:r w:rsidR="00644CEE">
        <w:rPr>
          <w:rFonts w:ascii="Times New Roman" w:hAnsi="Times New Roman" w:cs="Times New Roman"/>
          <w:sz w:val="24"/>
          <w:szCs w:val="24"/>
        </w:rPr>
        <w:t xml:space="preserve"> racialised peoples, but at the </w:t>
      </w:r>
      <w:r w:rsidR="00DB7C5F">
        <w:rPr>
          <w:rFonts w:ascii="Times New Roman" w:hAnsi="Times New Roman" w:cs="Times New Roman"/>
          <w:sz w:val="24"/>
          <w:szCs w:val="24"/>
        </w:rPr>
        <w:t>cost</w:t>
      </w:r>
      <w:r w:rsidR="00644CEE">
        <w:rPr>
          <w:rFonts w:ascii="Times New Roman" w:hAnsi="Times New Roman" w:cs="Times New Roman"/>
          <w:sz w:val="24"/>
          <w:szCs w:val="24"/>
        </w:rPr>
        <w:t xml:space="preserve"> of </w:t>
      </w:r>
      <w:r w:rsidR="00DB7C5F">
        <w:rPr>
          <w:rFonts w:ascii="Times New Roman" w:hAnsi="Times New Roman" w:cs="Times New Roman"/>
          <w:sz w:val="24"/>
          <w:szCs w:val="24"/>
        </w:rPr>
        <w:t xml:space="preserve">erasing imperialism’s role as a major constitutive force of the modern world. </w:t>
      </w:r>
      <w:r w:rsidR="00423A87">
        <w:rPr>
          <w:rFonts w:ascii="Times New Roman" w:hAnsi="Times New Roman" w:cs="Times New Roman"/>
          <w:sz w:val="24"/>
          <w:szCs w:val="24"/>
        </w:rPr>
        <w:t>A</w:t>
      </w:r>
      <w:r w:rsidR="002D4A2D">
        <w:rPr>
          <w:rFonts w:ascii="Times New Roman" w:hAnsi="Times New Roman" w:cs="Times New Roman"/>
          <w:sz w:val="24"/>
          <w:szCs w:val="24"/>
        </w:rPr>
        <w:t xml:space="preserve">n </w:t>
      </w:r>
      <w:r w:rsidR="00423A87" w:rsidRPr="00423A87">
        <w:rPr>
          <w:rFonts w:ascii="Times New Roman" w:hAnsi="Times New Roman" w:cs="Times New Roman"/>
          <w:i/>
          <w:iCs/>
          <w:sz w:val="24"/>
          <w:szCs w:val="24"/>
        </w:rPr>
        <w:t>anti</w:t>
      </w:r>
      <w:r w:rsidR="00423A87">
        <w:rPr>
          <w:rFonts w:ascii="Times New Roman" w:hAnsi="Times New Roman" w:cs="Times New Roman"/>
          <w:sz w:val="24"/>
          <w:szCs w:val="24"/>
        </w:rPr>
        <w:t xml:space="preserve">-colonial approach, such as that taken by the BEM, </w:t>
      </w:r>
      <w:r w:rsidR="00B26024">
        <w:rPr>
          <w:rFonts w:ascii="Times New Roman" w:hAnsi="Times New Roman" w:cs="Times New Roman"/>
          <w:sz w:val="24"/>
          <w:szCs w:val="24"/>
        </w:rPr>
        <w:t>would examine the history of empire through the eyes of the colonised</w:t>
      </w:r>
      <w:r w:rsidR="002D4A2D">
        <w:rPr>
          <w:rFonts w:ascii="Times New Roman" w:hAnsi="Times New Roman" w:cs="Times New Roman"/>
          <w:sz w:val="24"/>
          <w:szCs w:val="24"/>
        </w:rPr>
        <w:t xml:space="preserve">, without reducing </w:t>
      </w:r>
      <w:r w:rsidR="00F77484">
        <w:rPr>
          <w:rFonts w:ascii="Times New Roman" w:hAnsi="Times New Roman" w:cs="Times New Roman"/>
          <w:sz w:val="24"/>
          <w:szCs w:val="24"/>
        </w:rPr>
        <w:t>them to objects or victims.</w:t>
      </w:r>
      <w:r w:rsidR="00E37D2C">
        <w:rPr>
          <w:rFonts w:ascii="Times New Roman" w:hAnsi="Times New Roman" w:cs="Times New Roman"/>
          <w:sz w:val="24"/>
          <w:szCs w:val="24"/>
        </w:rPr>
        <w:t xml:space="preserve"> </w:t>
      </w:r>
    </w:p>
    <w:p w14:paraId="0D230B11" w14:textId="7F6BC126" w:rsidR="005E5084" w:rsidRPr="00AE141E" w:rsidRDefault="005E508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Prochaska celebrated the drafting of a KS3 </w:t>
      </w:r>
      <w:r w:rsidR="000D30E2" w:rsidRPr="00AE141E">
        <w:rPr>
          <w:rFonts w:ascii="Times New Roman" w:hAnsi="Times New Roman" w:cs="Times New Roman"/>
          <w:sz w:val="24"/>
          <w:szCs w:val="24"/>
        </w:rPr>
        <w:t>U</w:t>
      </w:r>
      <w:r w:rsidRPr="00AE141E">
        <w:rPr>
          <w:rFonts w:ascii="Times New Roman" w:hAnsi="Times New Roman" w:cs="Times New Roman"/>
          <w:sz w:val="24"/>
          <w:szCs w:val="24"/>
        </w:rPr>
        <w:t>nit on Islamic history on the basis that it would ‘more or less guarantee’ the study of ‘an “alien” period and culture “from the inside”’.</w:t>
      </w:r>
      <w:r w:rsidR="003F54AF" w:rsidRPr="00AE141E">
        <w:rPr>
          <w:rStyle w:val="FootnoteReference"/>
          <w:rFonts w:ascii="Times New Roman" w:hAnsi="Times New Roman" w:cs="Times New Roman"/>
          <w:sz w:val="24"/>
          <w:szCs w:val="24"/>
        </w:rPr>
        <w:footnoteReference w:id="803"/>
      </w:r>
      <w:r w:rsidRPr="00AE141E">
        <w:rPr>
          <w:rFonts w:ascii="Times New Roman" w:hAnsi="Times New Roman" w:cs="Times New Roman"/>
          <w:sz w:val="24"/>
          <w:szCs w:val="24"/>
        </w:rPr>
        <w:t xml:space="preserve"> For many schools,</w:t>
      </w:r>
      <w:r w:rsidR="00F95872">
        <w:rPr>
          <w:rFonts w:ascii="Times New Roman" w:hAnsi="Times New Roman" w:cs="Times New Roman"/>
          <w:sz w:val="24"/>
          <w:szCs w:val="24"/>
        </w:rPr>
        <w:t xml:space="preserve"> minimally changed by the forces of world history and multicultural education,</w:t>
      </w:r>
      <w:r w:rsidRPr="00AE141E">
        <w:rPr>
          <w:rFonts w:ascii="Times New Roman" w:hAnsi="Times New Roman" w:cs="Times New Roman"/>
          <w:sz w:val="24"/>
          <w:szCs w:val="24"/>
        </w:rPr>
        <w:t xml:space="preserve"> this would be a major departure from existing practice.</w:t>
      </w:r>
      <w:r w:rsidR="00D65ECC" w:rsidRPr="00AE141E">
        <w:rPr>
          <w:rFonts w:ascii="Times New Roman" w:hAnsi="Times New Roman" w:cs="Times New Roman"/>
          <w:sz w:val="24"/>
          <w:szCs w:val="24"/>
        </w:rPr>
        <w:t xml:space="preserve"> T</w:t>
      </w:r>
      <w:r w:rsidR="00A65271" w:rsidRPr="00AE141E">
        <w:rPr>
          <w:rFonts w:ascii="Times New Roman" w:hAnsi="Times New Roman" w:cs="Times New Roman"/>
          <w:sz w:val="24"/>
          <w:szCs w:val="24"/>
        </w:rPr>
        <w:t xml:space="preserve">he </w:t>
      </w:r>
      <w:r w:rsidR="000D30E2" w:rsidRPr="00AE141E">
        <w:rPr>
          <w:rFonts w:ascii="Times New Roman" w:hAnsi="Times New Roman" w:cs="Times New Roman"/>
          <w:sz w:val="24"/>
          <w:szCs w:val="24"/>
        </w:rPr>
        <w:t>U</w:t>
      </w:r>
      <w:r w:rsidR="003E6855" w:rsidRPr="00AE141E">
        <w:rPr>
          <w:rFonts w:ascii="Times New Roman" w:hAnsi="Times New Roman" w:cs="Times New Roman"/>
          <w:sz w:val="24"/>
          <w:szCs w:val="24"/>
        </w:rPr>
        <w:t>ni</w:t>
      </w:r>
      <w:r w:rsidR="00A65271" w:rsidRPr="00AE141E">
        <w:rPr>
          <w:rFonts w:ascii="Times New Roman" w:hAnsi="Times New Roman" w:cs="Times New Roman"/>
          <w:sz w:val="24"/>
          <w:szCs w:val="24"/>
        </w:rPr>
        <w:t xml:space="preserve">t </w:t>
      </w:r>
      <w:r w:rsidR="00D65ECC" w:rsidRPr="00AE141E">
        <w:rPr>
          <w:rFonts w:ascii="Times New Roman" w:hAnsi="Times New Roman" w:cs="Times New Roman"/>
          <w:sz w:val="24"/>
          <w:szCs w:val="24"/>
        </w:rPr>
        <w:t>proved divisive</w:t>
      </w:r>
      <w:r w:rsidR="00A8428A">
        <w:rPr>
          <w:rFonts w:ascii="Times New Roman" w:hAnsi="Times New Roman" w:cs="Times New Roman"/>
          <w:sz w:val="24"/>
          <w:szCs w:val="24"/>
        </w:rPr>
        <w:t>. I</w:t>
      </w:r>
      <w:r w:rsidR="006A2B61" w:rsidRPr="00AE141E">
        <w:rPr>
          <w:rFonts w:ascii="Times New Roman" w:hAnsi="Times New Roman" w:cs="Times New Roman"/>
          <w:sz w:val="24"/>
          <w:szCs w:val="24"/>
        </w:rPr>
        <w:t xml:space="preserve">t produced one of </w:t>
      </w:r>
      <w:r w:rsidR="00A65271" w:rsidRPr="00AE141E">
        <w:rPr>
          <w:rFonts w:ascii="Times New Roman" w:hAnsi="Times New Roman" w:cs="Times New Roman"/>
          <w:sz w:val="24"/>
          <w:szCs w:val="24"/>
        </w:rPr>
        <w:t xml:space="preserve">just two occasions </w:t>
      </w:r>
      <w:r w:rsidR="006A2B61" w:rsidRPr="00AE141E">
        <w:rPr>
          <w:rFonts w:ascii="Times New Roman" w:hAnsi="Times New Roman" w:cs="Times New Roman"/>
          <w:sz w:val="24"/>
          <w:szCs w:val="24"/>
        </w:rPr>
        <w:t xml:space="preserve">in the </w:t>
      </w:r>
      <w:r w:rsidR="00FD0FE6" w:rsidRPr="00AE141E">
        <w:rPr>
          <w:rFonts w:ascii="Times New Roman" w:hAnsi="Times New Roman" w:cs="Times New Roman"/>
          <w:sz w:val="24"/>
          <w:szCs w:val="24"/>
        </w:rPr>
        <w:t>HWG’s working life where votes needed to be taken to resolve disagreement.</w:t>
      </w:r>
      <w:r w:rsidR="007523E3" w:rsidRPr="00AE141E">
        <w:rPr>
          <w:rStyle w:val="FootnoteReference"/>
          <w:rFonts w:ascii="Times New Roman" w:hAnsi="Times New Roman" w:cs="Times New Roman"/>
          <w:sz w:val="24"/>
          <w:szCs w:val="24"/>
        </w:rPr>
        <w:footnoteReference w:id="804"/>
      </w:r>
      <w:r w:rsidR="00FD0FE6" w:rsidRPr="00AE141E">
        <w:rPr>
          <w:rFonts w:ascii="Times New Roman" w:hAnsi="Times New Roman" w:cs="Times New Roman"/>
          <w:sz w:val="24"/>
          <w:szCs w:val="24"/>
        </w:rPr>
        <w:t xml:space="preserve"> </w:t>
      </w:r>
      <w:r w:rsidR="006D672C" w:rsidRPr="00AE141E">
        <w:rPr>
          <w:rFonts w:ascii="Times New Roman" w:hAnsi="Times New Roman" w:cs="Times New Roman"/>
          <w:sz w:val="24"/>
          <w:szCs w:val="24"/>
        </w:rPr>
        <w:t xml:space="preserve">Two members felt strongly enough </w:t>
      </w:r>
      <w:r w:rsidR="00672E78" w:rsidRPr="00AE141E">
        <w:rPr>
          <w:rFonts w:ascii="Times New Roman" w:hAnsi="Times New Roman" w:cs="Times New Roman"/>
          <w:sz w:val="24"/>
          <w:szCs w:val="24"/>
        </w:rPr>
        <w:t xml:space="preserve">that they considered the </w:t>
      </w:r>
      <w:r w:rsidR="000D30E2" w:rsidRPr="00AE141E">
        <w:rPr>
          <w:rFonts w:ascii="Times New Roman" w:hAnsi="Times New Roman" w:cs="Times New Roman"/>
          <w:sz w:val="24"/>
          <w:szCs w:val="24"/>
        </w:rPr>
        <w:t>U</w:t>
      </w:r>
      <w:r w:rsidR="00672E78" w:rsidRPr="00AE141E">
        <w:rPr>
          <w:rFonts w:ascii="Times New Roman" w:hAnsi="Times New Roman" w:cs="Times New Roman"/>
          <w:sz w:val="24"/>
          <w:szCs w:val="24"/>
        </w:rPr>
        <w:t>nit’s omission grounds for resignation.</w:t>
      </w:r>
      <w:r w:rsidR="003F151E" w:rsidRPr="00AE141E">
        <w:rPr>
          <w:rStyle w:val="FootnoteReference"/>
          <w:rFonts w:ascii="Times New Roman" w:hAnsi="Times New Roman" w:cs="Times New Roman"/>
          <w:sz w:val="24"/>
          <w:szCs w:val="24"/>
        </w:rPr>
        <w:footnoteReference w:id="805"/>
      </w:r>
      <w:r w:rsidR="00E74C7E" w:rsidRPr="00AE141E">
        <w:rPr>
          <w:rFonts w:ascii="Times New Roman" w:hAnsi="Times New Roman" w:cs="Times New Roman"/>
          <w:sz w:val="24"/>
          <w:szCs w:val="24"/>
        </w:rPr>
        <w:t xml:space="preserve"> As Prochaska </w:t>
      </w:r>
      <w:r w:rsidR="00A771B0" w:rsidRPr="00AE141E">
        <w:rPr>
          <w:rFonts w:ascii="Times New Roman" w:hAnsi="Times New Roman" w:cs="Times New Roman"/>
          <w:sz w:val="24"/>
          <w:szCs w:val="24"/>
        </w:rPr>
        <w:t xml:space="preserve">later noted, </w:t>
      </w:r>
      <w:r w:rsidR="00535384" w:rsidRPr="00AE141E">
        <w:rPr>
          <w:rFonts w:ascii="Times New Roman" w:hAnsi="Times New Roman" w:cs="Times New Roman"/>
          <w:sz w:val="24"/>
          <w:szCs w:val="24"/>
        </w:rPr>
        <w:t xml:space="preserve">the requirement to make space for British history </w:t>
      </w:r>
      <w:r w:rsidR="007E0926" w:rsidRPr="00AE141E">
        <w:rPr>
          <w:rFonts w:ascii="Times New Roman" w:hAnsi="Times New Roman" w:cs="Times New Roman"/>
          <w:sz w:val="24"/>
          <w:szCs w:val="24"/>
        </w:rPr>
        <w:t>gave rise to ‘impossibly difficult choices about the rest of the world’.</w:t>
      </w:r>
      <w:r w:rsidR="003F5842" w:rsidRPr="00AE141E">
        <w:rPr>
          <w:rStyle w:val="FootnoteReference"/>
          <w:rFonts w:ascii="Times New Roman" w:hAnsi="Times New Roman" w:cs="Times New Roman"/>
          <w:sz w:val="24"/>
          <w:szCs w:val="24"/>
        </w:rPr>
        <w:footnoteReference w:id="806"/>
      </w:r>
    </w:p>
    <w:p w14:paraId="21CA2888" w14:textId="7EF3F22A" w:rsidR="009A0A66" w:rsidRPr="00AE141E" w:rsidRDefault="007643C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Roberts wrote that non-British history should be drawn from ‘as wide </w:t>
      </w:r>
      <w:r w:rsidR="005E5084" w:rsidRPr="00AE141E">
        <w:rPr>
          <w:rFonts w:ascii="Times New Roman" w:hAnsi="Times New Roman" w:cs="Times New Roman"/>
          <w:sz w:val="24"/>
          <w:szCs w:val="24"/>
        </w:rPr>
        <w:t>a range of world history as possible</w:t>
      </w:r>
      <w:r w:rsidRPr="00AE141E">
        <w:rPr>
          <w:rFonts w:ascii="Times New Roman" w:hAnsi="Times New Roman" w:cs="Times New Roman"/>
          <w:sz w:val="24"/>
          <w:szCs w:val="24"/>
        </w:rPr>
        <w:t xml:space="preserve">’, but only where </w:t>
      </w:r>
      <w:r w:rsidR="009D7D87" w:rsidRPr="00AE141E">
        <w:rPr>
          <w:rFonts w:ascii="Times New Roman" w:hAnsi="Times New Roman" w:cs="Times New Roman"/>
          <w:sz w:val="24"/>
          <w:szCs w:val="24"/>
        </w:rPr>
        <w:t>it was</w:t>
      </w:r>
      <w:r w:rsidRPr="00AE141E">
        <w:rPr>
          <w:rFonts w:ascii="Times New Roman" w:hAnsi="Times New Roman" w:cs="Times New Roman"/>
          <w:sz w:val="24"/>
          <w:szCs w:val="24"/>
        </w:rPr>
        <w:t xml:space="preserve"> ‘genuinely accessible’</w:t>
      </w:r>
      <w:r w:rsidR="009D7D87" w:rsidRPr="00AE141E">
        <w:rPr>
          <w:rFonts w:ascii="Times New Roman" w:hAnsi="Times New Roman" w:cs="Times New Roman"/>
          <w:sz w:val="24"/>
          <w:szCs w:val="24"/>
        </w:rPr>
        <w:t xml:space="preserve"> to educators.</w:t>
      </w:r>
      <w:r w:rsidR="003C3C9A" w:rsidRPr="00AE141E">
        <w:rPr>
          <w:rStyle w:val="FootnoteReference"/>
          <w:rFonts w:ascii="Times New Roman" w:hAnsi="Times New Roman" w:cs="Times New Roman"/>
          <w:sz w:val="24"/>
          <w:szCs w:val="24"/>
        </w:rPr>
        <w:footnoteReference w:id="807"/>
      </w:r>
      <w:r w:rsidR="0012229A" w:rsidRPr="00AE141E">
        <w:rPr>
          <w:rFonts w:ascii="Times New Roman" w:hAnsi="Times New Roman" w:cs="Times New Roman"/>
          <w:sz w:val="24"/>
          <w:szCs w:val="24"/>
        </w:rPr>
        <w:t xml:space="preserve"> His criteria for ‘accessibility’ </w:t>
      </w:r>
      <w:r w:rsidR="00742984" w:rsidRPr="00AE141E">
        <w:rPr>
          <w:rFonts w:ascii="Times New Roman" w:hAnsi="Times New Roman" w:cs="Times New Roman"/>
          <w:sz w:val="24"/>
          <w:szCs w:val="24"/>
        </w:rPr>
        <w:t>included the</w:t>
      </w:r>
      <w:r w:rsidR="0012229A" w:rsidRPr="00AE141E">
        <w:rPr>
          <w:rFonts w:ascii="Times New Roman" w:hAnsi="Times New Roman" w:cs="Times New Roman"/>
          <w:sz w:val="24"/>
          <w:szCs w:val="24"/>
        </w:rPr>
        <w:t xml:space="preserve"> existence of established classroom materials</w:t>
      </w:r>
      <w:r w:rsidR="00742984" w:rsidRPr="00AE141E">
        <w:rPr>
          <w:rFonts w:ascii="Times New Roman" w:hAnsi="Times New Roman" w:cs="Times New Roman"/>
          <w:sz w:val="24"/>
          <w:szCs w:val="24"/>
        </w:rPr>
        <w:t>.</w:t>
      </w:r>
      <w:r w:rsidR="00610B7A" w:rsidRPr="00AE141E">
        <w:rPr>
          <w:rFonts w:ascii="Times New Roman" w:hAnsi="Times New Roman" w:cs="Times New Roman"/>
          <w:sz w:val="24"/>
          <w:szCs w:val="24"/>
        </w:rPr>
        <w:t xml:space="preserve"> More controversially,</w:t>
      </w:r>
      <w:r w:rsidR="00742984" w:rsidRPr="00AE141E">
        <w:rPr>
          <w:rFonts w:ascii="Times New Roman" w:hAnsi="Times New Roman" w:cs="Times New Roman"/>
          <w:sz w:val="24"/>
          <w:szCs w:val="24"/>
        </w:rPr>
        <w:t xml:space="preserve"> </w:t>
      </w:r>
      <w:r w:rsidR="00610B7A" w:rsidRPr="00AE141E">
        <w:rPr>
          <w:rFonts w:ascii="Times New Roman" w:hAnsi="Times New Roman" w:cs="Times New Roman"/>
          <w:sz w:val="24"/>
          <w:szCs w:val="24"/>
        </w:rPr>
        <w:t>it also entailed</w:t>
      </w:r>
      <w:r w:rsidR="00E025A2" w:rsidRPr="00AE141E">
        <w:rPr>
          <w:rFonts w:ascii="Times New Roman" w:hAnsi="Times New Roman" w:cs="Times New Roman"/>
          <w:sz w:val="24"/>
          <w:szCs w:val="24"/>
        </w:rPr>
        <w:t xml:space="preserve"> a judgement on the historical nature of given societies. </w:t>
      </w:r>
      <w:r w:rsidR="005E5084" w:rsidRPr="00AE141E">
        <w:rPr>
          <w:rFonts w:ascii="Times New Roman" w:hAnsi="Times New Roman" w:cs="Times New Roman"/>
          <w:sz w:val="24"/>
          <w:szCs w:val="24"/>
        </w:rPr>
        <w:t xml:space="preserve"> </w:t>
      </w:r>
      <w:r w:rsidR="00610B7A" w:rsidRPr="00AE141E">
        <w:rPr>
          <w:rFonts w:ascii="Times New Roman" w:hAnsi="Times New Roman" w:cs="Times New Roman"/>
          <w:sz w:val="24"/>
          <w:szCs w:val="24"/>
        </w:rPr>
        <w:t>While Russian and</w:t>
      </w:r>
      <w:r w:rsidR="005E5084" w:rsidRPr="00AE141E">
        <w:rPr>
          <w:rFonts w:ascii="Times New Roman" w:hAnsi="Times New Roman" w:cs="Times New Roman"/>
          <w:sz w:val="24"/>
          <w:szCs w:val="24"/>
        </w:rPr>
        <w:t xml:space="preserve"> American </w:t>
      </w:r>
      <w:r w:rsidR="00610B7A" w:rsidRPr="00AE141E">
        <w:rPr>
          <w:rFonts w:ascii="Times New Roman" w:hAnsi="Times New Roman" w:cs="Times New Roman"/>
          <w:sz w:val="24"/>
          <w:szCs w:val="24"/>
        </w:rPr>
        <w:t xml:space="preserve">history were </w:t>
      </w:r>
      <w:r w:rsidR="00336164">
        <w:rPr>
          <w:rFonts w:ascii="Times New Roman" w:hAnsi="Times New Roman" w:cs="Times New Roman"/>
          <w:sz w:val="24"/>
          <w:szCs w:val="24"/>
        </w:rPr>
        <w:t>believed</w:t>
      </w:r>
      <w:r w:rsidR="00610B7A" w:rsidRPr="00AE141E">
        <w:rPr>
          <w:rFonts w:ascii="Times New Roman" w:hAnsi="Times New Roman" w:cs="Times New Roman"/>
          <w:sz w:val="24"/>
          <w:szCs w:val="24"/>
        </w:rPr>
        <w:t xml:space="preserve"> to offer</w:t>
      </w:r>
      <w:r w:rsidR="005E5084" w:rsidRPr="00AE141E">
        <w:rPr>
          <w:rFonts w:ascii="Times New Roman" w:hAnsi="Times New Roman" w:cs="Times New Roman"/>
          <w:sz w:val="24"/>
          <w:szCs w:val="24"/>
        </w:rPr>
        <w:t xml:space="preserve"> </w:t>
      </w:r>
      <w:r w:rsidR="00610B7A" w:rsidRPr="00AE141E">
        <w:rPr>
          <w:rFonts w:ascii="Times New Roman" w:hAnsi="Times New Roman" w:cs="Times New Roman"/>
          <w:sz w:val="24"/>
          <w:szCs w:val="24"/>
        </w:rPr>
        <w:t>‘</w:t>
      </w:r>
      <w:r w:rsidR="005E5084" w:rsidRPr="00AE141E">
        <w:rPr>
          <w:rFonts w:ascii="Times New Roman" w:hAnsi="Times New Roman" w:cs="Times New Roman"/>
          <w:sz w:val="24"/>
          <w:szCs w:val="24"/>
        </w:rPr>
        <w:t>illuminating contrasts</w:t>
      </w:r>
      <w:r w:rsidR="00610B7A" w:rsidRPr="00AE141E">
        <w:rPr>
          <w:rFonts w:ascii="Times New Roman" w:hAnsi="Times New Roman" w:cs="Times New Roman"/>
          <w:sz w:val="24"/>
          <w:szCs w:val="24"/>
        </w:rPr>
        <w:t xml:space="preserve">’ to the British </w:t>
      </w:r>
      <w:r w:rsidR="00610B7A" w:rsidRPr="00AE141E">
        <w:rPr>
          <w:rFonts w:ascii="Times New Roman" w:hAnsi="Times New Roman" w:cs="Times New Roman"/>
          <w:sz w:val="24"/>
          <w:szCs w:val="24"/>
        </w:rPr>
        <w:lastRenderedPageBreak/>
        <w:t>experience, ‘</w:t>
      </w:r>
      <w:r w:rsidR="005E5084" w:rsidRPr="00AE141E">
        <w:rPr>
          <w:rFonts w:ascii="Times New Roman" w:hAnsi="Times New Roman" w:cs="Times New Roman"/>
          <w:sz w:val="24"/>
          <w:szCs w:val="24"/>
        </w:rPr>
        <w:t>African history</w:t>
      </w:r>
      <w:r w:rsidR="00610B7A" w:rsidRPr="00AE141E">
        <w:rPr>
          <w:rFonts w:ascii="Times New Roman" w:hAnsi="Times New Roman" w:cs="Times New Roman"/>
          <w:sz w:val="24"/>
          <w:szCs w:val="24"/>
        </w:rPr>
        <w:t>’</w:t>
      </w:r>
      <w:r w:rsidR="009D7D87" w:rsidRPr="00AE141E">
        <w:rPr>
          <w:rFonts w:ascii="Times New Roman" w:hAnsi="Times New Roman" w:cs="Times New Roman"/>
          <w:sz w:val="24"/>
          <w:szCs w:val="24"/>
        </w:rPr>
        <w:t xml:space="preserve"> (</w:t>
      </w:r>
      <w:r w:rsidR="00FA1A28" w:rsidRPr="00AE141E">
        <w:rPr>
          <w:rFonts w:ascii="Times New Roman" w:hAnsi="Times New Roman" w:cs="Times New Roman"/>
          <w:sz w:val="24"/>
          <w:szCs w:val="24"/>
        </w:rPr>
        <w:t xml:space="preserve">listed </w:t>
      </w:r>
      <w:r w:rsidR="009D7D87" w:rsidRPr="00AE141E">
        <w:rPr>
          <w:rFonts w:ascii="Times New Roman" w:hAnsi="Times New Roman" w:cs="Times New Roman"/>
          <w:sz w:val="24"/>
          <w:szCs w:val="24"/>
        </w:rPr>
        <w:t>without regard to national or regional variation)</w:t>
      </w:r>
      <w:r w:rsidR="00610B7A" w:rsidRPr="00AE141E">
        <w:rPr>
          <w:rFonts w:ascii="Times New Roman" w:hAnsi="Times New Roman" w:cs="Times New Roman"/>
          <w:sz w:val="24"/>
          <w:szCs w:val="24"/>
        </w:rPr>
        <w:t xml:space="preserve"> </w:t>
      </w:r>
      <w:r w:rsidR="009D7D87" w:rsidRPr="00AE141E">
        <w:rPr>
          <w:rFonts w:ascii="Times New Roman" w:hAnsi="Times New Roman" w:cs="Times New Roman"/>
          <w:sz w:val="24"/>
          <w:szCs w:val="24"/>
        </w:rPr>
        <w:t>was supposedly difficult</w:t>
      </w:r>
      <w:r w:rsidR="005E5084" w:rsidRPr="00AE141E">
        <w:rPr>
          <w:rFonts w:ascii="Times New Roman" w:hAnsi="Times New Roman" w:cs="Times New Roman"/>
          <w:sz w:val="24"/>
          <w:szCs w:val="24"/>
        </w:rPr>
        <w:t xml:space="preserve"> to </w:t>
      </w:r>
      <w:r w:rsidR="00384474">
        <w:rPr>
          <w:rFonts w:ascii="Times New Roman" w:hAnsi="Times New Roman" w:cs="Times New Roman"/>
          <w:sz w:val="24"/>
          <w:szCs w:val="24"/>
        </w:rPr>
        <w:t>teach</w:t>
      </w:r>
      <w:r w:rsidR="009D7D87" w:rsidRPr="00AE141E">
        <w:rPr>
          <w:rFonts w:ascii="Times New Roman" w:hAnsi="Times New Roman" w:cs="Times New Roman"/>
          <w:sz w:val="24"/>
          <w:szCs w:val="24"/>
        </w:rPr>
        <w:t>,</w:t>
      </w:r>
      <w:r w:rsidR="005E5084" w:rsidRPr="00AE141E">
        <w:rPr>
          <w:rFonts w:ascii="Times New Roman" w:hAnsi="Times New Roman" w:cs="Times New Roman"/>
          <w:sz w:val="24"/>
          <w:szCs w:val="24"/>
        </w:rPr>
        <w:t xml:space="preserve"> </w:t>
      </w:r>
      <w:r w:rsidR="009D7D87" w:rsidRPr="00AE141E">
        <w:rPr>
          <w:rFonts w:ascii="Times New Roman" w:hAnsi="Times New Roman" w:cs="Times New Roman"/>
          <w:sz w:val="24"/>
          <w:szCs w:val="24"/>
        </w:rPr>
        <w:t>‘</w:t>
      </w:r>
      <w:r w:rsidR="005E5084" w:rsidRPr="00AE141E">
        <w:rPr>
          <w:rFonts w:ascii="Times New Roman" w:hAnsi="Times New Roman" w:cs="Times New Roman"/>
          <w:sz w:val="24"/>
          <w:szCs w:val="24"/>
        </w:rPr>
        <w:t>except as a series of ill-documented snapshots</w:t>
      </w:r>
      <w:r w:rsidR="009D7D87" w:rsidRPr="00AE141E">
        <w:rPr>
          <w:rFonts w:ascii="Times New Roman" w:hAnsi="Times New Roman" w:cs="Times New Roman"/>
          <w:sz w:val="24"/>
          <w:szCs w:val="24"/>
        </w:rPr>
        <w:t>’.</w:t>
      </w:r>
      <w:r w:rsidR="005E5084" w:rsidRPr="00AE141E">
        <w:rPr>
          <w:rFonts w:ascii="Times New Roman" w:hAnsi="Times New Roman" w:cs="Times New Roman"/>
          <w:sz w:val="24"/>
          <w:szCs w:val="24"/>
        </w:rPr>
        <w:t xml:space="preserve"> </w:t>
      </w:r>
      <w:r w:rsidR="00FA1A28" w:rsidRPr="00AE141E">
        <w:rPr>
          <w:rFonts w:ascii="Times New Roman" w:hAnsi="Times New Roman" w:cs="Times New Roman"/>
          <w:sz w:val="24"/>
          <w:szCs w:val="24"/>
        </w:rPr>
        <w:t>‘</w:t>
      </w:r>
      <w:r w:rsidR="005E5084" w:rsidRPr="00AE141E">
        <w:rPr>
          <w:rFonts w:ascii="Times New Roman" w:hAnsi="Times New Roman" w:cs="Times New Roman"/>
          <w:sz w:val="24"/>
          <w:szCs w:val="24"/>
        </w:rPr>
        <w:t>Eskimo</w:t>
      </w:r>
      <w:r w:rsidR="00FA1A28" w:rsidRPr="00AE141E">
        <w:rPr>
          <w:rFonts w:ascii="Times New Roman" w:hAnsi="Times New Roman" w:cs="Times New Roman"/>
          <w:sz w:val="24"/>
          <w:szCs w:val="24"/>
        </w:rPr>
        <w:t>’</w:t>
      </w:r>
      <w:r w:rsidR="005E5084" w:rsidRPr="00AE141E">
        <w:rPr>
          <w:rFonts w:ascii="Times New Roman" w:hAnsi="Times New Roman" w:cs="Times New Roman"/>
          <w:sz w:val="24"/>
          <w:szCs w:val="24"/>
        </w:rPr>
        <w:t xml:space="preserve"> history</w:t>
      </w:r>
      <w:r w:rsidR="00FA1A28" w:rsidRPr="00AE141E">
        <w:rPr>
          <w:rFonts w:ascii="Times New Roman" w:hAnsi="Times New Roman" w:cs="Times New Roman"/>
          <w:sz w:val="24"/>
          <w:szCs w:val="24"/>
        </w:rPr>
        <w:t xml:space="preserve">, meanwhile, was </w:t>
      </w:r>
      <w:r w:rsidR="00014FB2" w:rsidRPr="00AE141E">
        <w:rPr>
          <w:rFonts w:ascii="Times New Roman" w:hAnsi="Times New Roman" w:cs="Times New Roman"/>
          <w:sz w:val="24"/>
          <w:szCs w:val="24"/>
        </w:rPr>
        <w:t>condemned as</w:t>
      </w:r>
      <w:r w:rsidR="005E5084" w:rsidRPr="00AE141E">
        <w:rPr>
          <w:rFonts w:ascii="Times New Roman" w:hAnsi="Times New Roman" w:cs="Times New Roman"/>
          <w:sz w:val="24"/>
          <w:szCs w:val="24"/>
        </w:rPr>
        <w:t xml:space="preserve"> both </w:t>
      </w:r>
      <w:r w:rsidR="00014FB2" w:rsidRPr="00AE141E">
        <w:rPr>
          <w:rFonts w:ascii="Times New Roman" w:hAnsi="Times New Roman" w:cs="Times New Roman"/>
          <w:sz w:val="24"/>
          <w:szCs w:val="24"/>
        </w:rPr>
        <w:t>‘</w:t>
      </w:r>
      <w:r w:rsidR="005E5084" w:rsidRPr="00AE141E">
        <w:rPr>
          <w:rFonts w:ascii="Times New Roman" w:hAnsi="Times New Roman" w:cs="Times New Roman"/>
          <w:sz w:val="24"/>
          <w:szCs w:val="24"/>
        </w:rPr>
        <w:t>almost non-existent</w:t>
      </w:r>
      <w:r w:rsidR="00014FB2" w:rsidRPr="00AE141E">
        <w:rPr>
          <w:rFonts w:ascii="Times New Roman" w:hAnsi="Times New Roman" w:cs="Times New Roman"/>
          <w:sz w:val="24"/>
          <w:szCs w:val="24"/>
        </w:rPr>
        <w:t>’</w:t>
      </w:r>
      <w:r w:rsidR="005E5084" w:rsidRPr="00AE141E">
        <w:rPr>
          <w:rFonts w:ascii="Times New Roman" w:hAnsi="Times New Roman" w:cs="Times New Roman"/>
          <w:sz w:val="24"/>
          <w:szCs w:val="24"/>
        </w:rPr>
        <w:t xml:space="preserve"> and </w:t>
      </w:r>
      <w:r w:rsidR="00014FB2" w:rsidRPr="00AE141E">
        <w:rPr>
          <w:rFonts w:ascii="Times New Roman" w:hAnsi="Times New Roman" w:cs="Times New Roman"/>
          <w:sz w:val="24"/>
          <w:szCs w:val="24"/>
        </w:rPr>
        <w:t>‘</w:t>
      </w:r>
      <w:r w:rsidR="005E5084" w:rsidRPr="00AE141E">
        <w:rPr>
          <w:rFonts w:ascii="Times New Roman" w:hAnsi="Times New Roman" w:cs="Times New Roman"/>
          <w:sz w:val="24"/>
          <w:szCs w:val="24"/>
        </w:rPr>
        <w:t>thin in nutritive and stimulating quality</w:t>
      </w:r>
      <w:r w:rsidR="00014FB2" w:rsidRPr="00AE141E">
        <w:rPr>
          <w:rFonts w:ascii="Times New Roman" w:hAnsi="Times New Roman" w:cs="Times New Roman"/>
          <w:sz w:val="24"/>
          <w:szCs w:val="24"/>
        </w:rPr>
        <w:t>’</w:t>
      </w:r>
      <w:r w:rsidR="005E5084" w:rsidRPr="00AE141E">
        <w:rPr>
          <w:rFonts w:ascii="Times New Roman" w:hAnsi="Times New Roman" w:cs="Times New Roman"/>
          <w:sz w:val="24"/>
          <w:szCs w:val="24"/>
        </w:rPr>
        <w:t xml:space="preserve">. </w:t>
      </w:r>
      <w:r w:rsidR="000E2064" w:rsidRPr="00AE141E">
        <w:rPr>
          <w:rFonts w:ascii="Times New Roman" w:hAnsi="Times New Roman" w:cs="Times New Roman"/>
          <w:sz w:val="24"/>
          <w:szCs w:val="24"/>
        </w:rPr>
        <w:t xml:space="preserve">The idea that some societies </w:t>
      </w:r>
      <w:r w:rsidR="009F2DF7" w:rsidRPr="00AE141E">
        <w:rPr>
          <w:rFonts w:ascii="Times New Roman" w:hAnsi="Times New Roman" w:cs="Times New Roman"/>
          <w:sz w:val="24"/>
          <w:szCs w:val="24"/>
        </w:rPr>
        <w:t xml:space="preserve">are ‘unhistorical’, to use </w:t>
      </w:r>
      <w:r w:rsidR="004974B5" w:rsidRPr="00AE141E">
        <w:rPr>
          <w:rFonts w:ascii="Times New Roman" w:hAnsi="Times New Roman" w:cs="Times New Roman"/>
          <w:sz w:val="24"/>
          <w:szCs w:val="24"/>
        </w:rPr>
        <w:t>Hugh Trevor-Roper’s terminology,</w:t>
      </w:r>
      <w:r w:rsidR="006D13E8" w:rsidRPr="00AE141E">
        <w:rPr>
          <w:rFonts w:ascii="Times New Roman" w:hAnsi="Times New Roman" w:cs="Times New Roman"/>
          <w:sz w:val="24"/>
          <w:szCs w:val="24"/>
        </w:rPr>
        <w:t xml:space="preserve"> </w:t>
      </w:r>
      <w:r w:rsidR="00FB68D0" w:rsidRPr="00AE141E">
        <w:rPr>
          <w:rFonts w:ascii="Times New Roman" w:hAnsi="Times New Roman" w:cs="Times New Roman"/>
          <w:sz w:val="24"/>
          <w:szCs w:val="24"/>
        </w:rPr>
        <w:t>has its foundations in</w:t>
      </w:r>
      <w:r w:rsidR="000E2064" w:rsidRPr="00AE141E">
        <w:rPr>
          <w:rFonts w:ascii="Times New Roman" w:hAnsi="Times New Roman" w:cs="Times New Roman"/>
          <w:sz w:val="24"/>
          <w:szCs w:val="24"/>
        </w:rPr>
        <w:t xml:space="preserve"> a colonial </w:t>
      </w:r>
      <w:r w:rsidR="003138F6" w:rsidRPr="00AE141E">
        <w:rPr>
          <w:rFonts w:ascii="Times New Roman" w:hAnsi="Times New Roman" w:cs="Times New Roman"/>
          <w:sz w:val="24"/>
          <w:szCs w:val="24"/>
        </w:rPr>
        <w:t xml:space="preserve">vision of </w:t>
      </w:r>
      <w:r w:rsidR="006D13E8" w:rsidRPr="00AE141E">
        <w:rPr>
          <w:rFonts w:ascii="Times New Roman" w:hAnsi="Times New Roman" w:cs="Times New Roman"/>
          <w:sz w:val="24"/>
          <w:szCs w:val="24"/>
        </w:rPr>
        <w:t>linear</w:t>
      </w:r>
      <w:r w:rsidR="000E2064" w:rsidRPr="00AE141E">
        <w:rPr>
          <w:rFonts w:ascii="Times New Roman" w:hAnsi="Times New Roman" w:cs="Times New Roman"/>
          <w:sz w:val="24"/>
          <w:szCs w:val="24"/>
        </w:rPr>
        <w:t xml:space="preserve"> </w:t>
      </w:r>
      <w:r w:rsidR="003138F6" w:rsidRPr="00AE141E">
        <w:rPr>
          <w:rFonts w:ascii="Times New Roman" w:hAnsi="Times New Roman" w:cs="Times New Roman"/>
          <w:sz w:val="24"/>
          <w:szCs w:val="24"/>
        </w:rPr>
        <w:t>progress</w:t>
      </w:r>
      <w:r w:rsidR="006D13E8" w:rsidRPr="00AE141E">
        <w:rPr>
          <w:rFonts w:ascii="Times New Roman" w:hAnsi="Times New Roman" w:cs="Times New Roman"/>
          <w:sz w:val="24"/>
          <w:szCs w:val="24"/>
        </w:rPr>
        <w:t>.</w:t>
      </w:r>
      <w:r w:rsidR="00DD262C" w:rsidRPr="00AE141E">
        <w:rPr>
          <w:rStyle w:val="FootnoteReference"/>
          <w:rFonts w:ascii="Times New Roman" w:hAnsi="Times New Roman" w:cs="Times New Roman"/>
          <w:sz w:val="24"/>
          <w:szCs w:val="24"/>
        </w:rPr>
        <w:footnoteReference w:id="808"/>
      </w:r>
      <w:r w:rsidR="00C12C7D" w:rsidRPr="00AE141E">
        <w:rPr>
          <w:rFonts w:ascii="Times New Roman" w:hAnsi="Times New Roman" w:cs="Times New Roman"/>
          <w:sz w:val="24"/>
          <w:szCs w:val="24"/>
        </w:rPr>
        <w:t xml:space="preserve"> The ‘failure’ of African societies to conform to the norms of European modernity </w:t>
      </w:r>
      <w:r w:rsidR="00DA0284" w:rsidRPr="00AE141E">
        <w:rPr>
          <w:rFonts w:ascii="Times New Roman" w:hAnsi="Times New Roman" w:cs="Times New Roman"/>
          <w:sz w:val="24"/>
          <w:szCs w:val="24"/>
        </w:rPr>
        <w:t>provided</w:t>
      </w:r>
      <w:r w:rsidR="005D0EBF" w:rsidRPr="00AE141E">
        <w:rPr>
          <w:rFonts w:ascii="Times New Roman" w:hAnsi="Times New Roman" w:cs="Times New Roman"/>
          <w:sz w:val="24"/>
          <w:szCs w:val="24"/>
        </w:rPr>
        <w:t xml:space="preserve"> the justification </w:t>
      </w:r>
      <w:r w:rsidR="00DA0284" w:rsidRPr="00AE141E">
        <w:rPr>
          <w:rFonts w:ascii="Times New Roman" w:hAnsi="Times New Roman" w:cs="Times New Roman"/>
          <w:sz w:val="24"/>
          <w:szCs w:val="24"/>
        </w:rPr>
        <w:t>for</w:t>
      </w:r>
      <w:r w:rsidR="005D0EBF" w:rsidRPr="00AE141E">
        <w:rPr>
          <w:rFonts w:ascii="Times New Roman" w:hAnsi="Times New Roman" w:cs="Times New Roman"/>
          <w:sz w:val="24"/>
          <w:szCs w:val="24"/>
        </w:rPr>
        <w:t xml:space="preserve"> colonisation as a </w:t>
      </w:r>
      <w:r w:rsidR="00DA0284" w:rsidRPr="00AE141E">
        <w:rPr>
          <w:rFonts w:ascii="Times New Roman" w:hAnsi="Times New Roman" w:cs="Times New Roman"/>
          <w:sz w:val="24"/>
          <w:szCs w:val="24"/>
        </w:rPr>
        <w:t>civilising mission.</w:t>
      </w:r>
      <w:r w:rsidR="00DA531A" w:rsidRPr="00AE141E">
        <w:rPr>
          <w:rFonts w:ascii="Times New Roman" w:hAnsi="Times New Roman" w:cs="Times New Roman"/>
          <w:sz w:val="24"/>
          <w:szCs w:val="24"/>
        </w:rPr>
        <w:t xml:space="preserve"> </w:t>
      </w:r>
      <w:r w:rsidR="0005123E" w:rsidRPr="00AE141E">
        <w:rPr>
          <w:rFonts w:ascii="Times New Roman" w:hAnsi="Times New Roman" w:cs="Times New Roman"/>
          <w:sz w:val="24"/>
          <w:szCs w:val="24"/>
        </w:rPr>
        <w:t xml:space="preserve">Without any sense of irony, Roberts </w:t>
      </w:r>
      <w:r w:rsidR="0032550C" w:rsidRPr="00AE141E">
        <w:rPr>
          <w:rFonts w:ascii="Times New Roman" w:hAnsi="Times New Roman" w:cs="Times New Roman"/>
          <w:sz w:val="24"/>
          <w:szCs w:val="24"/>
        </w:rPr>
        <w:t xml:space="preserve">posited this </w:t>
      </w:r>
      <w:r w:rsidR="009D0846" w:rsidRPr="00AE141E">
        <w:rPr>
          <w:rFonts w:ascii="Times New Roman" w:hAnsi="Times New Roman" w:cs="Times New Roman"/>
          <w:sz w:val="24"/>
          <w:szCs w:val="24"/>
        </w:rPr>
        <w:t>understanding</w:t>
      </w:r>
      <w:r w:rsidR="0032550C" w:rsidRPr="00AE141E">
        <w:rPr>
          <w:rFonts w:ascii="Times New Roman" w:hAnsi="Times New Roman" w:cs="Times New Roman"/>
          <w:sz w:val="24"/>
          <w:szCs w:val="24"/>
        </w:rPr>
        <w:t xml:space="preserve"> as crucial to </w:t>
      </w:r>
      <w:r w:rsidR="00AE0221" w:rsidRPr="00AE141E">
        <w:rPr>
          <w:rFonts w:ascii="Times New Roman" w:hAnsi="Times New Roman" w:cs="Times New Roman"/>
          <w:sz w:val="24"/>
          <w:szCs w:val="24"/>
        </w:rPr>
        <w:t>the work of multicultural education:</w:t>
      </w:r>
      <w:r w:rsidR="009D0846" w:rsidRPr="00AE141E">
        <w:rPr>
          <w:rFonts w:ascii="Times New Roman" w:hAnsi="Times New Roman" w:cs="Times New Roman"/>
          <w:sz w:val="24"/>
          <w:szCs w:val="24"/>
        </w:rPr>
        <w:t xml:space="preserve"> citizens of </w:t>
      </w:r>
      <w:r w:rsidR="00E74D52" w:rsidRPr="00AE141E">
        <w:rPr>
          <w:rFonts w:ascii="Times New Roman" w:hAnsi="Times New Roman" w:cs="Times New Roman"/>
          <w:sz w:val="24"/>
          <w:szCs w:val="24"/>
        </w:rPr>
        <w:t>today’s Britain</w:t>
      </w:r>
      <w:r w:rsidR="009D0846" w:rsidRPr="00AE141E">
        <w:rPr>
          <w:rFonts w:ascii="Times New Roman" w:hAnsi="Times New Roman" w:cs="Times New Roman"/>
          <w:sz w:val="24"/>
          <w:szCs w:val="24"/>
        </w:rPr>
        <w:t xml:space="preserve"> should learn of the ‘</w:t>
      </w:r>
      <w:r w:rsidR="00094DB2" w:rsidRPr="00AE141E">
        <w:rPr>
          <w:rFonts w:ascii="Times New Roman" w:hAnsi="Times New Roman" w:cs="Times New Roman"/>
          <w:sz w:val="24"/>
          <w:szCs w:val="24"/>
        </w:rPr>
        <w:t>immense inertia and recalcitrance to change</w:t>
      </w:r>
      <w:r w:rsidR="009D0846" w:rsidRPr="00AE141E">
        <w:rPr>
          <w:rFonts w:ascii="Times New Roman" w:hAnsi="Times New Roman" w:cs="Times New Roman"/>
          <w:sz w:val="24"/>
          <w:szCs w:val="24"/>
        </w:rPr>
        <w:t xml:space="preserve">’ of </w:t>
      </w:r>
      <w:r w:rsidR="00ED4CAA" w:rsidRPr="00AE141E">
        <w:rPr>
          <w:rFonts w:ascii="Times New Roman" w:hAnsi="Times New Roman" w:cs="Times New Roman"/>
          <w:sz w:val="24"/>
          <w:szCs w:val="24"/>
        </w:rPr>
        <w:t xml:space="preserve">the foreign cultures amongst </w:t>
      </w:r>
      <w:r w:rsidR="00935FD8">
        <w:rPr>
          <w:rFonts w:ascii="Times New Roman" w:hAnsi="Times New Roman" w:cs="Times New Roman"/>
          <w:sz w:val="24"/>
          <w:szCs w:val="24"/>
        </w:rPr>
        <w:t>which</w:t>
      </w:r>
      <w:r w:rsidR="00ED4CAA" w:rsidRPr="00AE141E">
        <w:rPr>
          <w:rFonts w:ascii="Times New Roman" w:hAnsi="Times New Roman" w:cs="Times New Roman"/>
          <w:sz w:val="24"/>
          <w:szCs w:val="24"/>
        </w:rPr>
        <w:t xml:space="preserve"> they </w:t>
      </w:r>
      <w:r w:rsidR="006A45B5" w:rsidRPr="00AE141E">
        <w:rPr>
          <w:rFonts w:ascii="Times New Roman" w:hAnsi="Times New Roman" w:cs="Times New Roman"/>
          <w:sz w:val="24"/>
          <w:szCs w:val="24"/>
        </w:rPr>
        <w:t>lived.</w:t>
      </w:r>
      <w:r w:rsidR="00A153C0" w:rsidRPr="00AE141E">
        <w:rPr>
          <w:rStyle w:val="FootnoteReference"/>
          <w:rFonts w:ascii="Times New Roman" w:hAnsi="Times New Roman" w:cs="Times New Roman"/>
          <w:sz w:val="24"/>
          <w:szCs w:val="24"/>
        </w:rPr>
        <w:footnoteReference w:id="809"/>
      </w:r>
      <w:r w:rsidR="006A45B5" w:rsidRPr="00AE141E">
        <w:rPr>
          <w:rFonts w:ascii="Times New Roman" w:hAnsi="Times New Roman" w:cs="Times New Roman"/>
          <w:sz w:val="24"/>
          <w:szCs w:val="24"/>
        </w:rPr>
        <w:t xml:space="preserve"> History</w:t>
      </w:r>
      <w:r w:rsidR="00AB1AC7" w:rsidRPr="00AE141E">
        <w:rPr>
          <w:rFonts w:ascii="Times New Roman" w:hAnsi="Times New Roman" w:cs="Times New Roman"/>
          <w:sz w:val="24"/>
          <w:szCs w:val="24"/>
        </w:rPr>
        <w:t xml:space="preserve"> – by which Roberts seems to have meant an earlier stage </w:t>
      </w:r>
      <w:r w:rsidR="00935FD8">
        <w:rPr>
          <w:rFonts w:ascii="Times New Roman" w:hAnsi="Times New Roman" w:cs="Times New Roman"/>
          <w:sz w:val="24"/>
          <w:szCs w:val="24"/>
        </w:rPr>
        <w:t>on</w:t>
      </w:r>
      <w:r w:rsidR="00E74D52" w:rsidRPr="00AE141E">
        <w:rPr>
          <w:rFonts w:ascii="Times New Roman" w:hAnsi="Times New Roman" w:cs="Times New Roman"/>
          <w:sz w:val="24"/>
          <w:szCs w:val="24"/>
        </w:rPr>
        <w:t xml:space="preserve"> </w:t>
      </w:r>
      <w:r w:rsidR="00935FD8">
        <w:rPr>
          <w:rFonts w:ascii="Times New Roman" w:hAnsi="Times New Roman" w:cs="Times New Roman"/>
          <w:sz w:val="24"/>
          <w:szCs w:val="24"/>
        </w:rPr>
        <w:t>a</w:t>
      </w:r>
      <w:r w:rsidR="00E74D52" w:rsidRPr="00AE141E">
        <w:rPr>
          <w:rFonts w:ascii="Times New Roman" w:hAnsi="Times New Roman" w:cs="Times New Roman"/>
          <w:sz w:val="24"/>
          <w:szCs w:val="24"/>
        </w:rPr>
        <w:t xml:space="preserve"> teleological line of development – was alive, ‘walking and talking’ on the country’s multiracial streets.</w:t>
      </w:r>
      <w:r w:rsidR="003662FA" w:rsidRPr="00AE141E">
        <w:rPr>
          <w:rFonts w:ascii="Times New Roman" w:hAnsi="Times New Roman" w:cs="Times New Roman"/>
          <w:sz w:val="24"/>
          <w:szCs w:val="24"/>
        </w:rPr>
        <w:t xml:space="preserve"> </w:t>
      </w:r>
    </w:p>
    <w:p w14:paraId="6F9807E4" w14:textId="5A8B179D" w:rsidR="003138F6" w:rsidRDefault="00E0382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There is some evidence that </w:t>
      </w:r>
      <w:r w:rsidR="00685AFE" w:rsidRPr="00AE141E">
        <w:rPr>
          <w:rFonts w:ascii="Times New Roman" w:hAnsi="Times New Roman" w:cs="Times New Roman"/>
          <w:sz w:val="24"/>
          <w:szCs w:val="24"/>
        </w:rPr>
        <w:t xml:space="preserve">these views were shared </w:t>
      </w:r>
      <w:r w:rsidR="0058571A" w:rsidRPr="00AE141E">
        <w:rPr>
          <w:rFonts w:ascii="Times New Roman" w:hAnsi="Times New Roman" w:cs="Times New Roman"/>
          <w:sz w:val="24"/>
          <w:szCs w:val="24"/>
        </w:rPr>
        <w:t xml:space="preserve">more broadly by the HWG. </w:t>
      </w:r>
      <w:r w:rsidR="008E51CE" w:rsidRPr="00AE141E">
        <w:rPr>
          <w:rFonts w:ascii="Times New Roman" w:hAnsi="Times New Roman" w:cs="Times New Roman"/>
          <w:sz w:val="24"/>
          <w:szCs w:val="24"/>
        </w:rPr>
        <w:t>The</w:t>
      </w:r>
      <w:r w:rsidR="004E349B" w:rsidRPr="00AE141E">
        <w:rPr>
          <w:rFonts w:ascii="Times New Roman" w:hAnsi="Times New Roman" w:cs="Times New Roman"/>
          <w:sz w:val="24"/>
          <w:szCs w:val="24"/>
        </w:rPr>
        <w:t xml:space="preserve"> </w:t>
      </w:r>
      <w:r w:rsidR="00E54C04" w:rsidRPr="00AE141E">
        <w:rPr>
          <w:rFonts w:ascii="Times New Roman" w:hAnsi="Times New Roman" w:cs="Times New Roman"/>
          <w:sz w:val="24"/>
          <w:szCs w:val="24"/>
        </w:rPr>
        <w:t>m</w:t>
      </w:r>
      <w:r w:rsidR="00545535" w:rsidRPr="00AE141E">
        <w:rPr>
          <w:rFonts w:ascii="Times New Roman" w:hAnsi="Times New Roman" w:cs="Times New Roman"/>
          <w:sz w:val="24"/>
          <w:szCs w:val="24"/>
        </w:rPr>
        <w:t xml:space="preserve">inutes of </w:t>
      </w:r>
      <w:r w:rsidR="00E54C04" w:rsidRPr="00AE141E">
        <w:rPr>
          <w:rFonts w:ascii="Times New Roman" w:hAnsi="Times New Roman" w:cs="Times New Roman"/>
          <w:sz w:val="24"/>
          <w:szCs w:val="24"/>
        </w:rPr>
        <w:t>the G</w:t>
      </w:r>
      <w:r w:rsidR="00BA12B4">
        <w:rPr>
          <w:rFonts w:ascii="Times New Roman" w:hAnsi="Times New Roman" w:cs="Times New Roman"/>
          <w:sz w:val="24"/>
          <w:szCs w:val="24"/>
        </w:rPr>
        <w:t>roup</w:t>
      </w:r>
      <w:r w:rsidR="00E54C04" w:rsidRPr="00AE141E">
        <w:rPr>
          <w:rFonts w:ascii="Times New Roman" w:hAnsi="Times New Roman" w:cs="Times New Roman"/>
          <w:sz w:val="24"/>
          <w:szCs w:val="24"/>
        </w:rPr>
        <w:t>’s f</w:t>
      </w:r>
      <w:r w:rsidR="00545535" w:rsidRPr="00AE141E">
        <w:rPr>
          <w:rFonts w:ascii="Times New Roman" w:hAnsi="Times New Roman" w:cs="Times New Roman"/>
          <w:sz w:val="24"/>
          <w:szCs w:val="24"/>
        </w:rPr>
        <w:t xml:space="preserve">ifth </w:t>
      </w:r>
      <w:r w:rsidR="00E54C04" w:rsidRPr="00AE141E">
        <w:rPr>
          <w:rFonts w:ascii="Times New Roman" w:hAnsi="Times New Roman" w:cs="Times New Roman"/>
          <w:sz w:val="24"/>
          <w:szCs w:val="24"/>
        </w:rPr>
        <w:t>meeting</w:t>
      </w:r>
      <w:r w:rsidR="00C475AD" w:rsidRPr="00AE141E">
        <w:rPr>
          <w:rFonts w:ascii="Times New Roman" w:hAnsi="Times New Roman" w:cs="Times New Roman"/>
          <w:sz w:val="24"/>
          <w:szCs w:val="24"/>
        </w:rPr>
        <w:t xml:space="preserve"> (3-5 April 1989)</w:t>
      </w:r>
      <w:r w:rsidR="00E54C04" w:rsidRPr="00AE141E">
        <w:rPr>
          <w:rFonts w:ascii="Times New Roman" w:hAnsi="Times New Roman" w:cs="Times New Roman"/>
          <w:sz w:val="24"/>
          <w:szCs w:val="24"/>
        </w:rPr>
        <w:t xml:space="preserve"> </w:t>
      </w:r>
      <w:r w:rsidR="00C8310A" w:rsidRPr="00AE141E">
        <w:rPr>
          <w:rFonts w:ascii="Times New Roman" w:hAnsi="Times New Roman" w:cs="Times New Roman"/>
          <w:sz w:val="24"/>
          <w:szCs w:val="24"/>
        </w:rPr>
        <w:t>re</w:t>
      </w:r>
      <w:r w:rsidR="006E435E" w:rsidRPr="00AE141E">
        <w:rPr>
          <w:rFonts w:ascii="Times New Roman" w:hAnsi="Times New Roman" w:cs="Times New Roman"/>
          <w:sz w:val="24"/>
          <w:szCs w:val="24"/>
        </w:rPr>
        <w:t>flect</w:t>
      </w:r>
      <w:r w:rsidR="00CD0919" w:rsidRPr="00AE141E">
        <w:rPr>
          <w:rFonts w:ascii="Times New Roman" w:hAnsi="Times New Roman" w:cs="Times New Roman"/>
          <w:sz w:val="24"/>
          <w:szCs w:val="24"/>
        </w:rPr>
        <w:t xml:space="preserve"> general agreement with the principle</w:t>
      </w:r>
      <w:r w:rsidR="00B01FEB" w:rsidRPr="00AE141E">
        <w:rPr>
          <w:rFonts w:ascii="Times New Roman" w:hAnsi="Times New Roman" w:cs="Times New Roman"/>
          <w:sz w:val="24"/>
          <w:szCs w:val="24"/>
        </w:rPr>
        <w:t xml:space="preserve"> that</w:t>
      </w:r>
      <w:r w:rsidR="004D0469" w:rsidRPr="00AE141E">
        <w:rPr>
          <w:rFonts w:ascii="Times New Roman" w:hAnsi="Times New Roman" w:cs="Times New Roman"/>
          <w:sz w:val="24"/>
          <w:szCs w:val="24"/>
        </w:rPr>
        <w:t xml:space="preserve"> the National Curriculum should not present history as a ‘continuous line of progress’</w:t>
      </w:r>
      <w:r w:rsidR="00D41100" w:rsidRPr="00AE141E">
        <w:rPr>
          <w:rFonts w:ascii="Times New Roman" w:hAnsi="Times New Roman" w:cs="Times New Roman"/>
          <w:i/>
          <w:sz w:val="24"/>
          <w:szCs w:val="24"/>
        </w:rPr>
        <w:t xml:space="preserve"> </w:t>
      </w:r>
      <w:r w:rsidR="00F66CFD">
        <w:rPr>
          <w:rFonts w:ascii="Times New Roman" w:hAnsi="Times New Roman" w:cs="Times New Roman"/>
          <w:iCs/>
          <w:sz w:val="24"/>
          <w:szCs w:val="24"/>
        </w:rPr>
        <w:t xml:space="preserve">only </w:t>
      </w:r>
      <w:r w:rsidR="00D41100" w:rsidRPr="00F66CFD">
        <w:rPr>
          <w:rFonts w:ascii="Times New Roman" w:hAnsi="Times New Roman" w:cs="Times New Roman"/>
          <w:iCs/>
          <w:sz w:val="24"/>
          <w:szCs w:val="24"/>
        </w:rPr>
        <w:t>because</w:t>
      </w:r>
      <w:r w:rsidR="009A0A66" w:rsidRPr="00AE141E">
        <w:rPr>
          <w:rFonts w:ascii="Times New Roman" w:hAnsi="Times New Roman" w:cs="Times New Roman"/>
          <w:i/>
          <w:sz w:val="24"/>
          <w:szCs w:val="24"/>
        </w:rPr>
        <w:t xml:space="preserve"> ‘history</w:t>
      </w:r>
      <w:r w:rsidR="00C8310A" w:rsidRPr="00AE141E">
        <w:rPr>
          <w:rFonts w:ascii="Times New Roman" w:hAnsi="Times New Roman" w:cs="Times New Roman"/>
          <w:i/>
          <w:sz w:val="24"/>
          <w:szCs w:val="24"/>
        </w:rPr>
        <w:t xml:space="preserve"> moved at different speeds in different</w:t>
      </w:r>
      <w:r w:rsidR="00CD0919" w:rsidRPr="00AE141E">
        <w:rPr>
          <w:rFonts w:ascii="Times New Roman" w:hAnsi="Times New Roman" w:cs="Times New Roman"/>
          <w:i/>
          <w:sz w:val="24"/>
          <w:szCs w:val="24"/>
        </w:rPr>
        <w:t xml:space="preserve"> </w:t>
      </w:r>
      <w:r w:rsidR="00C8310A" w:rsidRPr="00AE141E">
        <w:rPr>
          <w:rFonts w:ascii="Times New Roman" w:hAnsi="Times New Roman" w:cs="Times New Roman"/>
          <w:i/>
          <w:sz w:val="24"/>
          <w:szCs w:val="24"/>
        </w:rPr>
        <w:t>places</w:t>
      </w:r>
      <w:r w:rsidR="00CD5486" w:rsidRPr="00AE141E">
        <w:rPr>
          <w:rFonts w:ascii="Times New Roman" w:hAnsi="Times New Roman" w:cs="Times New Roman"/>
          <w:sz w:val="24"/>
          <w:szCs w:val="24"/>
        </w:rPr>
        <w:t xml:space="preserve"> </w:t>
      </w:r>
      <w:r w:rsidR="00D41100" w:rsidRPr="00AE141E">
        <w:rPr>
          <w:rFonts w:ascii="Times New Roman" w:hAnsi="Times New Roman" w:cs="Times New Roman"/>
          <w:sz w:val="24"/>
          <w:szCs w:val="24"/>
        </w:rPr>
        <w:t>[emphasis added]’.</w:t>
      </w:r>
      <w:r w:rsidR="00632EAD" w:rsidRPr="00AE141E">
        <w:rPr>
          <w:rStyle w:val="FootnoteReference"/>
          <w:rFonts w:ascii="Times New Roman" w:hAnsi="Times New Roman" w:cs="Times New Roman"/>
          <w:sz w:val="24"/>
          <w:szCs w:val="24"/>
        </w:rPr>
        <w:footnoteReference w:id="810"/>
      </w:r>
      <w:r w:rsidR="00D41100" w:rsidRPr="00AE141E">
        <w:rPr>
          <w:rFonts w:ascii="Times New Roman" w:hAnsi="Times New Roman" w:cs="Times New Roman"/>
          <w:sz w:val="24"/>
          <w:szCs w:val="24"/>
        </w:rPr>
        <w:t xml:space="preserve"> </w:t>
      </w:r>
      <w:r w:rsidR="00A23409" w:rsidRPr="00AE141E">
        <w:rPr>
          <w:rFonts w:ascii="Times New Roman" w:hAnsi="Times New Roman" w:cs="Times New Roman"/>
          <w:sz w:val="24"/>
          <w:szCs w:val="24"/>
        </w:rPr>
        <w:t>Thus,</w:t>
      </w:r>
      <w:r w:rsidR="00B01FEB" w:rsidRPr="00AE141E">
        <w:rPr>
          <w:rFonts w:ascii="Times New Roman" w:hAnsi="Times New Roman" w:cs="Times New Roman"/>
          <w:sz w:val="24"/>
          <w:szCs w:val="24"/>
        </w:rPr>
        <w:t xml:space="preserve"> a twentieth century ‘</w:t>
      </w:r>
      <w:r w:rsidR="00C8310A" w:rsidRPr="00AE141E">
        <w:rPr>
          <w:rFonts w:ascii="Times New Roman" w:hAnsi="Times New Roman" w:cs="Times New Roman"/>
          <w:sz w:val="24"/>
          <w:szCs w:val="24"/>
        </w:rPr>
        <w:t>African bushman with stone-age existence</w:t>
      </w:r>
      <w:r w:rsidR="00B01FEB" w:rsidRPr="00AE141E">
        <w:rPr>
          <w:rFonts w:ascii="Times New Roman" w:hAnsi="Times New Roman" w:cs="Times New Roman"/>
          <w:sz w:val="24"/>
          <w:szCs w:val="24"/>
        </w:rPr>
        <w:t>’</w:t>
      </w:r>
      <w:r w:rsidR="00C8310A" w:rsidRPr="00AE141E">
        <w:rPr>
          <w:rFonts w:ascii="Times New Roman" w:hAnsi="Times New Roman" w:cs="Times New Roman"/>
          <w:sz w:val="24"/>
          <w:szCs w:val="24"/>
        </w:rPr>
        <w:t xml:space="preserve"> </w:t>
      </w:r>
      <w:r w:rsidR="00B01FEB" w:rsidRPr="00AE141E">
        <w:rPr>
          <w:rFonts w:ascii="Times New Roman" w:hAnsi="Times New Roman" w:cs="Times New Roman"/>
          <w:sz w:val="24"/>
          <w:szCs w:val="24"/>
        </w:rPr>
        <w:t>might also have</w:t>
      </w:r>
      <w:r w:rsidR="00C8310A" w:rsidRPr="00AE141E">
        <w:rPr>
          <w:rFonts w:ascii="Times New Roman" w:hAnsi="Times New Roman" w:cs="Times New Roman"/>
          <w:sz w:val="24"/>
          <w:szCs w:val="24"/>
        </w:rPr>
        <w:t xml:space="preserve"> access to a transistor </w:t>
      </w:r>
      <w:r w:rsidR="00153186" w:rsidRPr="00AE141E">
        <w:rPr>
          <w:rFonts w:ascii="Times New Roman" w:hAnsi="Times New Roman" w:cs="Times New Roman"/>
          <w:sz w:val="24"/>
          <w:szCs w:val="24"/>
        </w:rPr>
        <w:t>radio. The term ‘stone-age’ is revealing</w:t>
      </w:r>
      <w:r w:rsidR="00BE446F" w:rsidRPr="00AE141E">
        <w:rPr>
          <w:rFonts w:ascii="Times New Roman" w:hAnsi="Times New Roman" w:cs="Times New Roman"/>
          <w:sz w:val="24"/>
          <w:szCs w:val="24"/>
        </w:rPr>
        <w:t xml:space="preserve">. It implies that </w:t>
      </w:r>
      <w:r w:rsidR="00FC5FCC" w:rsidRPr="00AE141E">
        <w:rPr>
          <w:rFonts w:ascii="Times New Roman" w:hAnsi="Times New Roman" w:cs="Times New Roman"/>
          <w:sz w:val="24"/>
          <w:szCs w:val="24"/>
        </w:rPr>
        <w:t>societies which d</w:t>
      </w:r>
      <w:r w:rsidR="00F66CFD">
        <w:rPr>
          <w:rFonts w:ascii="Times New Roman" w:hAnsi="Times New Roman" w:cs="Times New Roman"/>
          <w:sz w:val="24"/>
          <w:szCs w:val="24"/>
        </w:rPr>
        <w:t>id</w:t>
      </w:r>
      <w:r w:rsidR="00FC5FCC" w:rsidRPr="00AE141E">
        <w:rPr>
          <w:rFonts w:ascii="Times New Roman" w:hAnsi="Times New Roman" w:cs="Times New Roman"/>
          <w:sz w:val="24"/>
          <w:szCs w:val="24"/>
        </w:rPr>
        <w:t xml:space="preserve"> not conform to a </w:t>
      </w:r>
      <w:r w:rsidR="002565F4" w:rsidRPr="00AE141E">
        <w:rPr>
          <w:rFonts w:ascii="Times New Roman" w:hAnsi="Times New Roman" w:cs="Times New Roman"/>
          <w:sz w:val="24"/>
          <w:szCs w:val="24"/>
        </w:rPr>
        <w:t xml:space="preserve">singular, </w:t>
      </w:r>
      <w:r w:rsidR="00FC5FCC" w:rsidRPr="00AE141E">
        <w:rPr>
          <w:rFonts w:ascii="Times New Roman" w:hAnsi="Times New Roman" w:cs="Times New Roman"/>
          <w:sz w:val="24"/>
          <w:szCs w:val="24"/>
        </w:rPr>
        <w:t xml:space="preserve">Euro-American model of technological </w:t>
      </w:r>
      <w:r w:rsidR="00C218E2" w:rsidRPr="00AE141E">
        <w:rPr>
          <w:rFonts w:ascii="Times New Roman" w:hAnsi="Times New Roman" w:cs="Times New Roman"/>
          <w:sz w:val="24"/>
          <w:szCs w:val="24"/>
        </w:rPr>
        <w:t xml:space="preserve">and industrial modernity </w:t>
      </w:r>
      <w:r w:rsidR="00F66CFD">
        <w:rPr>
          <w:rFonts w:ascii="Times New Roman" w:hAnsi="Times New Roman" w:cs="Times New Roman"/>
          <w:sz w:val="24"/>
          <w:szCs w:val="24"/>
        </w:rPr>
        <w:t>were</w:t>
      </w:r>
      <w:r w:rsidR="00C218E2" w:rsidRPr="00AE141E">
        <w:rPr>
          <w:rFonts w:ascii="Times New Roman" w:hAnsi="Times New Roman" w:cs="Times New Roman"/>
          <w:sz w:val="24"/>
          <w:szCs w:val="24"/>
        </w:rPr>
        <w:t xml:space="preserve"> </w:t>
      </w:r>
      <w:r w:rsidR="007306C5" w:rsidRPr="00AE141E">
        <w:rPr>
          <w:rFonts w:ascii="Times New Roman" w:hAnsi="Times New Roman" w:cs="Times New Roman"/>
          <w:sz w:val="24"/>
          <w:szCs w:val="24"/>
        </w:rPr>
        <w:t>unchanging</w:t>
      </w:r>
      <w:r w:rsidR="002565F4" w:rsidRPr="00AE141E">
        <w:rPr>
          <w:rFonts w:ascii="Times New Roman" w:hAnsi="Times New Roman" w:cs="Times New Roman"/>
          <w:sz w:val="24"/>
          <w:szCs w:val="24"/>
        </w:rPr>
        <w:t xml:space="preserve"> and hence </w:t>
      </w:r>
      <w:r w:rsidR="00451FD2" w:rsidRPr="00AE141E">
        <w:rPr>
          <w:rFonts w:ascii="Times New Roman" w:hAnsi="Times New Roman" w:cs="Times New Roman"/>
          <w:sz w:val="24"/>
          <w:szCs w:val="24"/>
        </w:rPr>
        <w:t>unhistorical.</w:t>
      </w:r>
      <w:r w:rsidR="00FB43E6" w:rsidRPr="00AE141E">
        <w:rPr>
          <w:rFonts w:ascii="Times New Roman" w:hAnsi="Times New Roman" w:cs="Times New Roman"/>
          <w:sz w:val="24"/>
          <w:szCs w:val="24"/>
        </w:rPr>
        <w:t xml:space="preserve"> </w:t>
      </w:r>
      <w:r w:rsidR="006A1C00">
        <w:rPr>
          <w:rFonts w:ascii="Times New Roman" w:hAnsi="Times New Roman" w:cs="Times New Roman"/>
          <w:sz w:val="24"/>
          <w:szCs w:val="24"/>
        </w:rPr>
        <w:t>Likewise, t</w:t>
      </w:r>
      <w:r w:rsidR="00E54C04" w:rsidRPr="00AE141E">
        <w:rPr>
          <w:rFonts w:ascii="Times New Roman" w:hAnsi="Times New Roman" w:cs="Times New Roman"/>
          <w:sz w:val="24"/>
          <w:szCs w:val="24"/>
        </w:rPr>
        <w:t xml:space="preserve">he </w:t>
      </w:r>
      <w:r w:rsidR="00F66CFD">
        <w:rPr>
          <w:rFonts w:ascii="Times New Roman" w:hAnsi="Times New Roman" w:cs="Times New Roman"/>
          <w:sz w:val="24"/>
          <w:szCs w:val="24"/>
        </w:rPr>
        <w:t>‘</w:t>
      </w:r>
      <w:r w:rsidR="00662357" w:rsidRPr="00AE141E">
        <w:rPr>
          <w:rFonts w:ascii="Times New Roman" w:hAnsi="Times New Roman" w:cs="Times New Roman"/>
          <w:sz w:val="24"/>
          <w:szCs w:val="24"/>
        </w:rPr>
        <w:t>Chairman</w:t>
      </w:r>
      <w:r w:rsidR="00E54C04" w:rsidRPr="00AE141E">
        <w:rPr>
          <w:rFonts w:ascii="Times New Roman" w:hAnsi="Times New Roman" w:cs="Times New Roman"/>
          <w:sz w:val="24"/>
          <w:szCs w:val="24"/>
        </w:rPr>
        <w:t>’</w:t>
      </w:r>
      <w:r w:rsidR="00662357" w:rsidRPr="00AE141E">
        <w:rPr>
          <w:rFonts w:ascii="Times New Roman" w:hAnsi="Times New Roman" w:cs="Times New Roman"/>
          <w:sz w:val="24"/>
          <w:szCs w:val="24"/>
        </w:rPr>
        <w:t>s Brief</w:t>
      </w:r>
      <w:r w:rsidR="00F66CFD">
        <w:rPr>
          <w:rFonts w:ascii="Times New Roman" w:hAnsi="Times New Roman" w:cs="Times New Roman"/>
          <w:sz w:val="24"/>
          <w:szCs w:val="24"/>
        </w:rPr>
        <w:t>’</w:t>
      </w:r>
      <w:r w:rsidR="00662357" w:rsidRPr="00AE141E">
        <w:rPr>
          <w:rFonts w:ascii="Times New Roman" w:hAnsi="Times New Roman" w:cs="Times New Roman"/>
          <w:sz w:val="24"/>
          <w:szCs w:val="24"/>
        </w:rPr>
        <w:t xml:space="preserve"> for</w:t>
      </w:r>
      <w:r w:rsidR="00E54C04" w:rsidRPr="00AE141E">
        <w:rPr>
          <w:rFonts w:ascii="Times New Roman" w:hAnsi="Times New Roman" w:cs="Times New Roman"/>
          <w:sz w:val="24"/>
          <w:szCs w:val="24"/>
        </w:rPr>
        <w:t xml:space="preserve"> the fifteenth </w:t>
      </w:r>
      <w:r w:rsidR="001B59E9" w:rsidRPr="00AE141E">
        <w:rPr>
          <w:rFonts w:ascii="Times New Roman" w:hAnsi="Times New Roman" w:cs="Times New Roman"/>
          <w:sz w:val="24"/>
          <w:szCs w:val="24"/>
        </w:rPr>
        <w:t>meeting (</w:t>
      </w:r>
      <w:r w:rsidR="00662357" w:rsidRPr="00AE141E">
        <w:rPr>
          <w:rFonts w:ascii="Times New Roman" w:hAnsi="Times New Roman" w:cs="Times New Roman"/>
          <w:sz w:val="24"/>
          <w:szCs w:val="24"/>
        </w:rPr>
        <w:t>9-11 October 1989</w:t>
      </w:r>
      <w:r w:rsidR="001B59E9" w:rsidRPr="00AE141E">
        <w:rPr>
          <w:rFonts w:ascii="Times New Roman" w:hAnsi="Times New Roman" w:cs="Times New Roman"/>
          <w:sz w:val="24"/>
          <w:szCs w:val="24"/>
        </w:rPr>
        <w:t>)</w:t>
      </w:r>
      <w:r w:rsidR="00C475AD" w:rsidRPr="00AE141E">
        <w:rPr>
          <w:rFonts w:ascii="Times New Roman" w:hAnsi="Times New Roman" w:cs="Times New Roman"/>
          <w:sz w:val="24"/>
          <w:szCs w:val="24"/>
        </w:rPr>
        <w:t xml:space="preserve"> </w:t>
      </w:r>
      <w:r w:rsidR="00443046" w:rsidRPr="00AE141E">
        <w:rPr>
          <w:rFonts w:ascii="Times New Roman" w:hAnsi="Times New Roman" w:cs="Times New Roman"/>
          <w:sz w:val="24"/>
          <w:szCs w:val="24"/>
        </w:rPr>
        <w:t>refer</w:t>
      </w:r>
      <w:r w:rsidR="00953B6B" w:rsidRPr="00AE141E">
        <w:rPr>
          <w:rFonts w:ascii="Times New Roman" w:hAnsi="Times New Roman" w:cs="Times New Roman"/>
          <w:sz w:val="24"/>
          <w:szCs w:val="24"/>
        </w:rPr>
        <w:t>red</w:t>
      </w:r>
      <w:r w:rsidR="00443046" w:rsidRPr="00AE141E">
        <w:rPr>
          <w:rFonts w:ascii="Times New Roman" w:hAnsi="Times New Roman" w:cs="Times New Roman"/>
          <w:sz w:val="24"/>
          <w:szCs w:val="24"/>
        </w:rPr>
        <w:t xml:space="preserve"> to a projected HSU, ‘Native Peoples of the Americas’</w:t>
      </w:r>
      <w:r w:rsidR="00717E4B" w:rsidRPr="00AE141E">
        <w:rPr>
          <w:rFonts w:ascii="Times New Roman" w:hAnsi="Times New Roman" w:cs="Times New Roman"/>
          <w:sz w:val="24"/>
          <w:szCs w:val="24"/>
        </w:rPr>
        <w:t xml:space="preserve">, </w:t>
      </w:r>
      <w:r w:rsidR="00726A44" w:rsidRPr="00AE141E">
        <w:rPr>
          <w:rFonts w:ascii="Times New Roman" w:hAnsi="Times New Roman" w:cs="Times New Roman"/>
          <w:sz w:val="24"/>
          <w:szCs w:val="24"/>
        </w:rPr>
        <w:t>as</w:t>
      </w:r>
      <w:r w:rsidR="00357F6A" w:rsidRPr="00AE141E">
        <w:rPr>
          <w:rFonts w:ascii="Times New Roman" w:hAnsi="Times New Roman" w:cs="Times New Roman"/>
          <w:sz w:val="24"/>
          <w:szCs w:val="24"/>
        </w:rPr>
        <w:t xml:space="preserve"> </w:t>
      </w:r>
      <w:r w:rsidR="00FB43E6" w:rsidRPr="00AE141E">
        <w:rPr>
          <w:rFonts w:ascii="Times New Roman" w:hAnsi="Times New Roman" w:cs="Times New Roman"/>
          <w:sz w:val="24"/>
          <w:szCs w:val="24"/>
        </w:rPr>
        <w:t>insufficiently developed.</w:t>
      </w:r>
      <w:r w:rsidR="00953B6B" w:rsidRPr="00AE141E">
        <w:rPr>
          <w:rStyle w:val="FootnoteReference"/>
          <w:rFonts w:ascii="Times New Roman" w:hAnsi="Times New Roman" w:cs="Times New Roman"/>
          <w:sz w:val="24"/>
          <w:szCs w:val="24"/>
        </w:rPr>
        <w:footnoteReference w:id="811"/>
      </w:r>
      <w:r w:rsidR="00FB43E6" w:rsidRPr="00AE141E">
        <w:rPr>
          <w:rFonts w:ascii="Times New Roman" w:hAnsi="Times New Roman" w:cs="Times New Roman"/>
          <w:sz w:val="24"/>
          <w:szCs w:val="24"/>
        </w:rPr>
        <w:t xml:space="preserve"> </w:t>
      </w:r>
      <w:r w:rsidR="00E10FD9" w:rsidRPr="00AE141E">
        <w:rPr>
          <w:rFonts w:ascii="Times New Roman" w:hAnsi="Times New Roman" w:cs="Times New Roman"/>
          <w:sz w:val="24"/>
          <w:szCs w:val="24"/>
        </w:rPr>
        <w:t>It did so in patronising terms which hinted at the same linear idea of historical progression</w:t>
      </w:r>
      <w:r w:rsidR="005C34D3" w:rsidRPr="00AE141E">
        <w:rPr>
          <w:rFonts w:ascii="Times New Roman" w:hAnsi="Times New Roman" w:cs="Times New Roman"/>
          <w:sz w:val="24"/>
          <w:szCs w:val="24"/>
        </w:rPr>
        <w:t>:</w:t>
      </w:r>
      <w:r w:rsidR="00726A44" w:rsidRPr="00AE141E">
        <w:rPr>
          <w:rFonts w:ascii="Times New Roman" w:hAnsi="Times New Roman" w:cs="Times New Roman"/>
          <w:sz w:val="24"/>
          <w:szCs w:val="24"/>
        </w:rPr>
        <w:t xml:space="preserve"> ‘</w:t>
      </w:r>
      <w:r w:rsidR="005C34D3" w:rsidRPr="00AE141E">
        <w:rPr>
          <w:rFonts w:ascii="Times New Roman" w:hAnsi="Times New Roman" w:cs="Times New Roman"/>
          <w:sz w:val="24"/>
          <w:szCs w:val="24"/>
        </w:rPr>
        <w:t>f</w:t>
      </w:r>
      <w:r w:rsidR="00357F6A" w:rsidRPr="00AE141E">
        <w:rPr>
          <w:rFonts w:ascii="Times New Roman" w:hAnsi="Times New Roman" w:cs="Times New Roman"/>
          <w:sz w:val="24"/>
          <w:szCs w:val="24"/>
        </w:rPr>
        <w:t>orgive the pun but</w:t>
      </w:r>
      <w:r w:rsidR="005C34D3" w:rsidRPr="00AE141E">
        <w:rPr>
          <w:rFonts w:ascii="Times New Roman" w:hAnsi="Times New Roman" w:cs="Times New Roman"/>
          <w:sz w:val="24"/>
          <w:szCs w:val="24"/>
        </w:rPr>
        <w:t xml:space="preserve"> [the HSU is]</w:t>
      </w:r>
      <w:r w:rsidR="00357F6A" w:rsidRPr="00AE141E">
        <w:rPr>
          <w:rFonts w:ascii="Times New Roman" w:hAnsi="Times New Roman" w:cs="Times New Roman"/>
          <w:sz w:val="24"/>
          <w:szCs w:val="24"/>
        </w:rPr>
        <w:t xml:space="preserve"> </w:t>
      </w:r>
      <w:r w:rsidR="00726A44" w:rsidRPr="00AE141E">
        <w:rPr>
          <w:rFonts w:ascii="Times New Roman" w:hAnsi="Times New Roman" w:cs="Times New Roman"/>
          <w:sz w:val="24"/>
          <w:szCs w:val="24"/>
        </w:rPr>
        <w:t>a very primitive programme of study’</w:t>
      </w:r>
      <w:r w:rsidR="00357F6A" w:rsidRPr="00AE141E">
        <w:rPr>
          <w:rFonts w:ascii="Times New Roman" w:hAnsi="Times New Roman" w:cs="Times New Roman"/>
          <w:sz w:val="24"/>
          <w:szCs w:val="24"/>
        </w:rPr>
        <w:t>.</w:t>
      </w:r>
      <w:r w:rsidR="002849FD" w:rsidRPr="00AE141E">
        <w:rPr>
          <w:rFonts w:ascii="Times New Roman" w:hAnsi="Times New Roman" w:cs="Times New Roman"/>
          <w:sz w:val="24"/>
          <w:szCs w:val="24"/>
        </w:rPr>
        <w:t xml:space="preserve"> ‘Primitive’ </w:t>
      </w:r>
      <w:r w:rsidR="00F11932">
        <w:rPr>
          <w:rFonts w:ascii="Times New Roman" w:hAnsi="Times New Roman" w:cs="Times New Roman"/>
          <w:sz w:val="24"/>
          <w:szCs w:val="24"/>
        </w:rPr>
        <w:t>was</w:t>
      </w:r>
      <w:r w:rsidR="002849FD" w:rsidRPr="00AE141E">
        <w:rPr>
          <w:rFonts w:ascii="Times New Roman" w:hAnsi="Times New Roman" w:cs="Times New Roman"/>
          <w:sz w:val="24"/>
          <w:szCs w:val="24"/>
        </w:rPr>
        <w:t>, of course, a term w</w:t>
      </w:r>
      <w:r w:rsidR="00090DF4" w:rsidRPr="00AE141E">
        <w:rPr>
          <w:rFonts w:ascii="Times New Roman" w:hAnsi="Times New Roman" w:cs="Times New Roman"/>
          <w:sz w:val="24"/>
          <w:szCs w:val="24"/>
        </w:rPr>
        <w:t>ith its origins in the</w:t>
      </w:r>
      <w:r w:rsidR="00487255" w:rsidRPr="00AE141E">
        <w:rPr>
          <w:rFonts w:ascii="Times New Roman" w:hAnsi="Times New Roman" w:cs="Times New Roman"/>
          <w:sz w:val="24"/>
          <w:szCs w:val="24"/>
        </w:rPr>
        <w:t xml:space="preserve"> racialised</w:t>
      </w:r>
      <w:r w:rsidR="00090DF4" w:rsidRPr="00AE141E">
        <w:rPr>
          <w:rFonts w:ascii="Times New Roman" w:hAnsi="Times New Roman" w:cs="Times New Roman"/>
          <w:sz w:val="24"/>
          <w:szCs w:val="24"/>
        </w:rPr>
        <w:t xml:space="preserve"> hierarchisation of </w:t>
      </w:r>
      <w:r w:rsidR="009E2777" w:rsidRPr="00AE141E">
        <w:rPr>
          <w:rFonts w:ascii="Times New Roman" w:hAnsi="Times New Roman" w:cs="Times New Roman"/>
          <w:sz w:val="24"/>
          <w:szCs w:val="24"/>
        </w:rPr>
        <w:t>peoples and cultures.</w:t>
      </w:r>
    </w:p>
    <w:p w14:paraId="520861AE" w14:textId="5BC97909" w:rsidR="00F11932" w:rsidRPr="00F11932" w:rsidRDefault="00F11932" w:rsidP="00AE141E">
      <w:pPr>
        <w:spacing w:line="360" w:lineRule="auto"/>
        <w:rPr>
          <w:rFonts w:ascii="Times New Roman" w:hAnsi="Times New Roman" w:cs="Times New Roman"/>
          <w:b/>
          <w:bCs/>
          <w:sz w:val="24"/>
          <w:szCs w:val="24"/>
        </w:rPr>
      </w:pPr>
      <w:r>
        <w:rPr>
          <w:rFonts w:ascii="Times New Roman" w:hAnsi="Times New Roman" w:cs="Times New Roman"/>
          <w:b/>
          <w:bCs/>
          <w:sz w:val="24"/>
          <w:szCs w:val="24"/>
        </w:rPr>
        <w:t>The Interim Report</w:t>
      </w:r>
    </w:p>
    <w:p w14:paraId="6971BBBA" w14:textId="2C136A3A" w:rsidR="00E42C51" w:rsidRDefault="004B49C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Such</w:t>
      </w:r>
      <w:r w:rsidR="002A3F3A" w:rsidRPr="00AE141E">
        <w:rPr>
          <w:rFonts w:ascii="Times New Roman" w:hAnsi="Times New Roman" w:cs="Times New Roman"/>
          <w:sz w:val="24"/>
          <w:szCs w:val="24"/>
        </w:rPr>
        <w:t xml:space="preserve"> </w:t>
      </w:r>
      <w:r w:rsidR="00890A07" w:rsidRPr="00AE141E">
        <w:rPr>
          <w:rFonts w:ascii="Times New Roman" w:hAnsi="Times New Roman" w:cs="Times New Roman"/>
          <w:sz w:val="24"/>
          <w:szCs w:val="24"/>
        </w:rPr>
        <w:t>attitudes left their mark on the</w:t>
      </w:r>
      <w:r w:rsidR="00B443D1" w:rsidRPr="00AE141E">
        <w:rPr>
          <w:rFonts w:ascii="Times New Roman" w:hAnsi="Times New Roman" w:cs="Times New Roman"/>
          <w:sz w:val="24"/>
          <w:szCs w:val="24"/>
        </w:rPr>
        <w:t xml:space="preserve"> HWG’s</w:t>
      </w:r>
      <w:r w:rsidR="00890A07" w:rsidRPr="00AE141E">
        <w:rPr>
          <w:rFonts w:ascii="Times New Roman" w:hAnsi="Times New Roman" w:cs="Times New Roman"/>
          <w:sz w:val="24"/>
          <w:szCs w:val="24"/>
        </w:rPr>
        <w:t xml:space="preserve"> Interim Report, </w:t>
      </w:r>
      <w:r w:rsidR="009142CE" w:rsidRPr="00AE141E">
        <w:rPr>
          <w:rFonts w:ascii="Times New Roman" w:hAnsi="Times New Roman" w:cs="Times New Roman"/>
          <w:sz w:val="24"/>
          <w:szCs w:val="24"/>
        </w:rPr>
        <w:t>published in August 1989.</w:t>
      </w:r>
      <w:r w:rsidR="0070235B" w:rsidRPr="00AE141E">
        <w:rPr>
          <w:rFonts w:ascii="Times New Roman" w:hAnsi="Times New Roman" w:cs="Times New Roman"/>
          <w:sz w:val="24"/>
          <w:szCs w:val="24"/>
        </w:rPr>
        <w:t xml:space="preserve"> The proposed curriculum divided </w:t>
      </w:r>
      <w:r w:rsidR="00021FA1" w:rsidRPr="00AE141E">
        <w:rPr>
          <w:rFonts w:ascii="Times New Roman" w:hAnsi="Times New Roman" w:cs="Times New Roman"/>
          <w:sz w:val="24"/>
          <w:szCs w:val="24"/>
        </w:rPr>
        <w:t>material</w:t>
      </w:r>
      <w:r w:rsidR="0070235B" w:rsidRPr="00AE141E">
        <w:rPr>
          <w:rFonts w:ascii="Times New Roman" w:hAnsi="Times New Roman" w:cs="Times New Roman"/>
          <w:sz w:val="24"/>
          <w:szCs w:val="24"/>
        </w:rPr>
        <w:t xml:space="preserve"> into </w:t>
      </w:r>
      <w:r w:rsidR="00021FA1" w:rsidRPr="00AE141E">
        <w:rPr>
          <w:rFonts w:ascii="Times New Roman" w:hAnsi="Times New Roman" w:cs="Times New Roman"/>
          <w:sz w:val="24"/>
          <w:szCs w:val="24"/>
        </w:rPr>
        <w:t>four</w:t>
      </w:r>
      <w:r w:rsidR="0070235B" w:rsidRPr="00AE141E">
        <w:rPr>
          <w:rFonts w:ascii="Times New Roman" w:hAnsi="Times New Roman" w:cs="Times New Roman"/>
          <w:sz w:val="24"/>
          <w:szCs w:val="24"/>
        </w:rPr>
        <w:t xml:space="preserve"> categories</w:t>
      </w:r>
      <w:r w:rsidR="005834C1" w:rsidRPr="00AE141E">
        <w:rPr>
          <w:rFonts w:ascii="Times New Roman" w:hAnsi="Times New Roman" w:cs="Times New Roman"/>
          <w:sz w:val="24"/>
          <w:szCs w:val="24"/>
        </w:rPr>
        <w:t>. Of these, the</w:t>
      </w:r>
      <w:r w:rsidR="00021FA1" w:rsidRPr="00AE141E">
        <w:rPr>
          <w:rFonts w:ascii="Times New Roman" w:hAnsi="Times New Roman" w:cs="Times New Roman"/>
          <w:sz w:val="24"/>
          <w:szCs w:val="24"/>
        </w:rPr>
        <w:t xml:space="preserve"> ‘British</w:t>
      </w:r>
      <w:r w:rsidR="005834C1" w:rsidRPr="00AE141E">
        <w:rPr>
          <w:rFonts w:ascii="Times New Roman" w:hAnsi="Times New Roman" w:cs="Times New Roman"/>
          <w:sz w:val="24"/>
          <w:szCs w:val="24"/>
        </w:rPr>
        <w:t>,</w:t>
      </w:r>
      <w:r w:rsidR="00021FA1" w:rsidRPr="00AE141E">
        <w:rPr>
          <w:rFonts w:ascii="Times New Roman" w:hAnsi="Times New Roman" w:cs="Times New Roman"/>
          <w:sz w:val="24"/>
          <w:szCs w:val="24"/>
        </w:rPr>
        <w:t xml:space="preserve"> ‘European </w:t>
      </w:r>
      <w:r w:rsidR="00021FA1" w:rsidRPr="00AE141E">
        <w:rPr>
          <w:rFonts w:ascii="Times New Roman" w:hAnsi="Times New Roman" w:cs="Times New Roman"/>
          <w:sz w:val="24"/>
          <w:szCs w:val="24"/>
        </w:rPr>
        <w:lastRenderedPageBreak/>
        <w:t>and World’</w:t>
      </w:r>
      <w:r w:rsidR="005834C1" w:rsidRPr="00AE141E">
        <w:rPr>
          <w:rFonts w:ascii="Times New Roman" w:hAnsi="Times New Roman" w:cs="Times New Roman"/>
          <w:sz w:val="24"/>
          <w:szCs w:val="24"/>
        </w:rPr>
        <w:t>, and</w:t>
      </w:r>
      <w:r w:rsidR="00021FA1" w:rsidRPr="00AE141E">
        <w:rPr>
          <w:rFonts w:ascii="Times New Roman" w:hAnsi="Times New Roman" w:cs="Times New Roman"/>
          <w:sz w:val="24"/>
          <w:szCs w:val="24"/>
        </w:rPr>
        <w:t xml:space="preserve"> </w:t>
      </w:r>
      <w:r w:rsidR="000E3F38" w:rsidRPr="00AE141E">
        <w:rPr>
          <w:rFonts w:ascii="Times New Roman" w:hAnsi="Times New Roman" w:cs="Times New Roman"/>
          <w:sz w:val="24"/>
          <w:szCs w:val="24"/>
        </w:rPr>
        <w:t xml:space="preserve">(short- and long-term) </w:t>
      </w:r>
      <w:r w:rsidR="00021FA1" w:rsidRPr="00AE141E">
        <w:rPr>
          <w:rFonts w:ascii="Times New Roman" w:hAnsi="Times New Roman" w:cs="Times New Roman"/>
          <w:sz w:val="24"/>
          <w:szCs w:val="24"/>
        </w:rPr>
        <w:t>‘Thematic’</w:t>
      </w:r>
      <w:r w:rsidR="009142CE" w:rsidRPr="00AE141E">
        <w:rPr>
          <w:rFonts w:ascii="Times New Roman" w:hAnsi="Times New Roman" w:cs="Times New Roman"/>
          <w:sz w:val="24"/>
          <w:szCs w:val="24"/>
        </w:rPr>
        <w:t xml:space="preserve"> </w:t>
      </w:r>
      <w:r w:rsidR="00021FA1" w:rsidRPr="00AE141E">
        <w:rPr>
          <w:rFonts w:ascii="Times New Roman" w:hAnsi="Times New Roman" w:cs="Times New Roman"/>
          <w:sz w:val="24"/>
          <w:szCs w:val="24"/>
        </w:rPr>
        <w:t>HSUs</w:t>
      </w:r>
      <w:r w:rsidR="005834C1" w:rsidRPr="00AE141E">
        <w:rPr>
          <w:rFonts w:ascii="Times New Roman" w:hAnsi="Times New Roman" w:cs="Times New Roman"/>
          <w:sz w:val="24"/>
          <w:szCs w:val="24"/>
        </w:rPr>
        <w:t xml:space="preserve"> were</w:t>
      </w:r>
      <w:r w:rsidR="00021FA1" w:rsidRPr="00AE141E">
        <w:rPr>
          <w:rFonts w:ascii="Times New Roman" w:hAnsi="Times New Roman" w:cs="Times New Roman"/>
          <w:sz w:val="24"/>
          <w:szCs w:val="24"/>
        </w:rPr>
        <w:t xml:space="preserve"> all pre-</w:t>
      </w:r>
      <w:r w:rsidR="00183B75" w:rsidRPr="00AE141E">
        <w:rPr>
          <w:rFonts w:ascii="Times New Roman" w:hAnsi="Times New Roman" w:cs="Times New Roman"/>
          <w:sz w:val="24"/>
          <w:szCs w:val="24"/>
        </w:rPr>
        <w:t>d</w:t>
      </w:r>
      <w:r w:rsidR="00021FA1" w:rsidRPr="00AE141E">
        <w:rPr>
          <w:rFonts w:ascii="Times New Roman" w:hAnsi="Times New Roman" w:cs="Times New Roman"/>
          <w:sz w:val="24"/>
          <w:szCs w:val="24"/>
        </w:rPr>
        <w:t>rafted by the HWG</w:t>
      </w:r>
      <w:r w:rsidR="005834C1" w:rsidRPr="00AE141E">
        <w:rPr>
          <w:rFonts w:ascii="Times New Roman" w:hAnsi="Times New Roman" w:cs="Times New Roman"/>
          <w:sz w:val="24"/>
          <w:szCs w:val="24"/>
        </w:rPr>
        <w:t xml:space="preserve">. </w:t>
      </w:r>
      <w:r w:rsidR="002B2FB2" w:rsidRPr="00AE141E">
        <w:rPr>
          <w:rFonts w:ascii="Times New Roman" w:hAnsi="Times New Roman" w:cs="Times New Roman"/>
          <w:sz w:val="24"/>
          <w:szCs w:val="24"/>
        </w:rPr>
        <w:t xml:space="preserve">The fourth category, </w:t>
      </w:r>
      <w:r w:rsidR="00021FA1" w:rsidRPr="00AE141E">
        <w:rPr>
          <w:rFonts w:ascii="Times New Roman" w:hAnsi="Times New Roman" w:cs="Times New Roman"/>
          <w:sz w:val="24"/>
          <w:szCs w:val="24"/>
        </w:rPr>
        <w:t xml:space="preserve">‘School Designed </w:t>
      </w:r>
      <w:r w:rsidR="00247318" w:rsidRPr="00AE141E">
        <w:rPr>
          <w:rFonts w:ascii="Times New Roman" w:hAnsi="Times New Roman" w:cs="Times New Roman"/>
          <w:sz w:val="24"/>
          <w:szCs w:val="24"/>
        </w:rPr>
        <w:t>Themes’</w:t>
      </w:r>
      <w:r w:rsidR="00351419">
        <w:rPr>
          <w:rFonts w:ascii="Times New Roman" w:hAnsi="Times New Roman" w:cs="Times New Roman"/>
          <w:sz w:val="24"/>
          <w:szCs w:val="24"/>
        </w:rPr>
        <w:t xml:space="preserve"> (SDTs)</w:t>
      </w:r>
      <w:r w:rsidR="002405D6" w:rsidRPr="00AE141E">
        <w:rPr>
          <w:rFonts w:ascii="Times New Roman" w:hAnsi="Times New Roman" w:cs="Times New Roman"/>
          <w:sz w:val="24"/>
          <w:szCs w:val="24"/>
        </w:rPr>
        <w:t xml:space="preserve">, </w:t>
      </w:r>
      <w:r w:rsidR="00D47B9B" w:rsidRPr="00AE141E">
        <w:rPr>
          <w:rFonts w:ascii="Times New Roman" w:hAnsi="Times New Roman" w:cs="Times New Roman"/>
          <w:sz w:val="24"/>
          <w:szCs w:val="24"/>
        </w:rPr>
        <w:t>allowed taught content</w:t>
      </w:r>
      <w:r w:rsidR="00E93908" w:rsidRPr="00AE141E">
        <w:rPr>
          <w:rFonts w:ascii="Times New Roman" w:hAnsi="Times New Roman" w:cs="Times New Roman"/>
          <w:sz w:val="24"/>
          <w:szCs w:val="24"/>
        </w:rPr>
        <w:t xml:space="preserve"> to</w:t>
      </w:r>
      <w:r w:rsidR="002405D6" w:rsidRPr="00AE141E">
        <w:rPr>
          <w:rFonts w:ascii="Times New Roman" w:hAnsi="Times New Roman" w:cs="Times New Roman"/>
          <w:sz w:val="24"/>
          <w:szCs w:val="24"/>
        </w:rPr>
        <w:t xml:space="preserve"> be determined by teaching staff</w:t>
      </w:r>
      <w:r w:rsidR="00D47B9B" w:rsidRPr="00AE141E">
        <w:rPr>
          <w:rFonts w:ascii="Times New Roman" w:hAnsi="Times New Roman" w:cs="Times New Roman"/>
          <w:sz w:val="24"/>
          <w:szCs w:val="24"/>
        </w:rPr>
        <w:t xml:space="preserve"> (within certain limits</w:t>
      </w:r>
      <w:r w:rsidR="00420F54" w:rsidRPr="00AE141E">
        <w:rPr>
          <w:rFonts w:ascii="Times New Roman" w:hAnsi="Times New Roman" w:cs="Times New Roman"/>
          <w:sz w:val="24"/>
          <w:szCs w:val="24"/>
        </w:rPr>
        <w:t>)</w:t>
      </w:r>
      <w:r w:rsidR="002405D6" w:rsidRPr="00AE141E">
        <w:rPr>
          <w:rFonts w:ascii="Times New Roman" w:hAnsi="Times New Roman" w:cs="Times New Roman"/>
          <w:sz w:val="24"/>
          <w:szCs w:val="24"/>
        </w:rPr>
        <w:t>.</w:t>
      </w:r>
      <w:r w:rsidR="00420F54" w:rsidRPr="00AE141E">
        <w:rPr>
          <w:rStyle w:val="FootnoteReference"/>
          <w:rFonts w:ascii="Times New Roman" w:hAnsi="Times New Roman" w:cs="Times New Roman"/>
          <w:sz w:val="24"/>
          <w:szCs w:val="24"/>
        </w:rPr>
        <w:footnoteReference w:id="812"/>
      </w:r>
      <w:r w:rsidR="00E42C51" w:rsidRPr="00AE141E">
        <w:rPr>
          <w:rFonts w:ascii="Times New Roman" w:hAnsi="Times New Roman" w:cs="Times New Roman"/>
          <w:sz w:val="24"/>
          <w:szCs w:val="24"/>
        </w:rPr>
        <w:t xml:space="preserve"> KS3</w:t>
      </w:r>
      <w:r w:rsidR="00E42C51">
        <w:rPr>
          <w:rFonts w:ascii="Times New Roman" w:hAnsi="Times New Roman" w:cs="Times New Roman"/>
          <w:sz w:val="24"/>
          <w:szCs w:val="24"/>
        </w:rPr>
        <w:t xml:space="preserve"> was to</w:t>
      </w:r>
      <w:r w:rsidR="00E42C51" w:rsidRPr="00AE141E">
        <w:rPr>
          <w:rFonts w:ascii="Times New Roman" w:hAnsi="Times New Roman" w:cs="Times New Roman"/>
          <w:sz w:val="24"/>
          <w:szCs w:val="24"/>
        </w:rPr>
        <w:t xml:space="preserve"> feature three British History Study Units (HSUs), four European and World HSUs, a choice of three Thematic HSUs from a list of six, a choice of one of two Longer-Term Thematic HSU</w:t>
      </w:r>
      <w:r w:rsidR="00147F31">
        <w:rPr>
          <w:rFonts w:ascii="Times New Roman" w:hAnsi="Times New Roman" w:cs="Times New Roman"/>
          <w:sz w:val="24"/>
          <w:szCs w:val="24"/>
        </w:rPr>
        <w:t>s</w:t>
      </w:r>
      <w:r w:rsidR="00351419">
        <w:rPr>
          <w:rFonts w:ascii="Times New Roman" w:hAnsi="Times New Roman" w:cs="Times New Roman"/>
          <w:sz w:val="24"/>
          <w:szCs w:val="24"/>
        </w:rPr>
        <w:t xml:space="preserve">, and </w:t>
      </w:r>
      <w:r w:rsidR="00345BDC">
        <w:rPr>
          <w:rFonts w:ascii="Times New Roman" w:hAnsi="Times New Roman" w:cs="Times New Roman"/>
          <w:sz w:val="24"/>
          <w:szCs w:val="24"/>
        </w:rPr>
        <w:t>three</w:t>
      </w:r>
      <w:r w:rsidR="00351419">
        <w:rPr>
          <w:rFonts w:ascii="Times New Roman" w:hAnsi="Times New Roman" w:cs="Times New Roman"/>
          <w:sz w:val="24"/>
          <w:szCs w:val="24"/>
        </w:rPr>
        <w:t xml:space="preserve"> SDTs</w:t>
      </w:r>
      <w:r w:rsidR="00E42C51" w:rsidRPr="00AE141E">
        <w:rPr>
          <w:rFonts w:ascii="Times New Roman" w:hAnsi="Times New Roman" w:cs="Times New Roman"/>
          <w:sz w:val="24"/>
          <w:szCs w:val="24"/>
        </w:rPr>
        <w:t>.</w:t>
      </w:r>
      <w:r w:rsidR="00E42C51" w:rsidRPr="00AE141E">
        <w:rPr>
          <w:rStyle w:val="FootnoteReference"/>
          <w:rFonts w:ascii="Times New Roman" w:hAnsi="Times New Roman" w:cs="Times New Roman"/>
          <w:sz w:val="24"/>
          <w:szCs w:val="24"/>
        </w:rPr>
        <w:footnoteReference w:id="813"/>
      </w:r>
      <w:r w:rsidR="00E42C51" w:rsidRPr="00AE141E">
        <w:rPr>
          <w:rFonts w:ascii="Times New Roman" w:hAnsi="Times New Roman" w:cs="Times New Roman"/>
          <w:sz w:val="24"/>
          <w:szCs w:val="24"/>
        </w:rPr>
        <w:t xml:space="preserve"> These Units were not given equal weighting: each British HSU was to occupy a whole term, while all other Units would be assigned a half term each. At KS4, two terms were assigned for the single British HSU, two terms for three European and World HSUs, and one term for a one of two Thematic HSUs. </w:t>
      </w:r>
      <w:r w:rsidR="00815D94">
        <w:rPr>
          <w:rFonts w:ascii="Times New Roman" w:hAnsi="Times New Roman" w:cs="Times New Roman"/>
          <w:sz w:val="24"/>
          <w:szCs w:val="24"/>
        </w:rPr>
        <w:t xml:space="preserve">Thus, </w:t>
      </w:r>
      <w:r w:rsidR="00E42C51" w:rsidRPr="00AE141E">
        <w:rPr>
          <w:rFonts w:ascii="Times New Roman" w:hAnsi="Times New Roman" w:cs="Times New Roman"/>
          <w:sz w:val="24"/>
          <w:szCs w:val="24"/>
        </w:rPr>
        <w:t xml:space="preserve">British history represented the largest single ‘block’ on the secondary curriculum, but did </w:t>
      </w:r>
      <w:r w:rsidR="00E42C51" w:rsidRPr="00AE141E">
        <w:rPr>
          <w:rFonts w:ascii="Times New Roman" w:hAnsi="Times New Roman" w:cs="Times New Roman"/>
          <w:i/>
          <w:sz w:val="24"/>
          <w:szCs w:val="24"/>
        </w:rPr>
        <w:t xml:space="preserve">not </w:t>
      </w:r>
      <w:r w:rsidR="00E42C51" w:rsidRPr="00AE141E">
        <w:rPr>
          <w:rFonts w:ascii="Times New Roman" w:hAnsi="Times New Roman" w:cs="Times New Roman"/>
          <w:sz w:val="24"/>
          <w:szCs w:val="24"/>
        </w:rPr>
        <w:t>form a majority of Units.</w:t>
      </w:r>
    </w:p>
    <w:p w14:paraId="50660844" w14:textId="3240FE25" w:rsidR="00FC2163" w:rsidRPr="00AE141E" w:rsidRDefault="004A79E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predominance of British </w:t>
      </w:r>
      <w:r w:rsidR="00307D2B" w:rsidRPr="00AE141E">
        <w:rPr>
          <w:rFonts w:ascii="Times New Roman" w:hAnsi="Times New Roman" w:cs="Times New Roman"/>
          <w:sz w:val="24"/>
          <w:szCs w:val="24"/>
        </w:rPr>
        <w:t xml:space="preserve">history, as per the instructions of the </w:t>
      </w:r>
      <w:r w:rsidR="002C34ED">
        <w:rPr>
          <w:rFonts w:ascii="Times New Roman" w:hAnsi="Times New Roman" w:cs="Times New Roman"/>
          <w:sz w:val="24"/>
          <w:szCs w:val="24"/>
        </w:rPr>
        <w:t>Secretary</w:t>
      </w:r>
      <w:r w:rsidR="00307D2B" w:rsidRPr="00AE141E">
        <w:rPr>
          <w:rFonts w:ascii="Times New Roman" w:hAnsi="Times New Roman" w:cs="Times New Roman"/>
          <w:sz w:val="24"/>
          <w:szCs w:val="24"/>
        </w:rPr>
        <w:t xml:space="preserve"> of State, required justification and clarification. The Interim Report devoted considerable space to definin</w:t>
      </w:r>
      <w:r w:rsidR="008E4122" w:rsidRPr="00AE141E">
        <w:rPr>
          <w:rFonts w:ascii="Times New Roman" w:hAnsi="Times New Roman" w:cs="Times New Roman"/>
          <w:sz w:val="24"/>
          <w:szCs w:val="24"/>
        </w:rPr>
        <w:t>g Britishness and to drawing a distinction between national and national</w:t>
      </w:r>
      <w:r w:rsidR="008E4122" w:rsidRPr="00AE141E">
        <w:rPr>
          <w:rFonts w:ascii="Times New Roman" w:hAnsi="Times New Roman" w:cs="Times New Roman"/>
          <w:i/>
          <w:sz w:val="24"/>
          <w:szCs w:val="24"/>
        </w:rPr>
        <w:t xml:space="preserve">ist </w:t>
      </w:r>
      <w:r w:rsidR="008E4122" w:rsidRPr="00AE141E">
        <w:rPr>
          <w:rFonts w:ascii="Times New Roman" w:hAnsi="Times New Roman" w:cs="Times New Roman"/>
          <w:sz w:val="24"/>
          <w:szCs w:val="24"/>
        </w:rPr>
        <w:t>history.</w:t>
      </w:r>
      <w:r w:rsidR="00475C46" w:rsidRPr="00AE141E">
        <w:rPr>
          <w:rFonts w:ascii="Times New Roman" w:hAnsi="Times New Roman" w:cs="Times New Roman"/>
          <w:sz w:val="24"/>
          <w:szCs w:val="24"/>
        </w:rPr>
        <w:t xml:space="preserve"> According to the HWG, school history should ‘make pupils aware of the richness and variety of British culture and its historical origins’.</w:t>
      </w:r>
      <w:r w:rsidR="00DE10E0" w:rsidRPr="00AE141E">
        <w:rPr>
          <w:rStyle w:val="FootnoteReference"/>
          <w:rFonts w:ascii="Times New Roman" w:hAnsi="Times New Roman" w:cs="Times New Roman"/>
          <w:sz w:val="24"/>
          <w:szCs w:val="24"/>
        </w:rPr>
        <w:footnoteReference w:id="814"/>
      </w:r>
      <w:r w:rsidR="00475C46" w:rsidRPr="00AE141E">
        <w:rPr>
          <w:rFonts w:ascii="Times New Roman" w:hAnsi="Times New Roman" w:cs="Times New Roman"/>
          <w:sz w:val="24"/>
          <w:szCs w:val="24"/>
        </w:rPr>
        <w:t xml:space="preserve"> </w:t>
      </w:r>
      <w:r w:rsidR="00D61F95" w:rsidRPr="00AE141E">
        <w:rPr>
          <w:rFonts w:ascii="Times New Roman" w:hAnsi="Times New Roman" w:cs="Times New Roman"/>
          <w:sz w:val="24"/>
          <w:szCs w:val="24"/>
        </w:rPr>
        <w:t xml:space="preserve">The Report explicitly acknowledged the historical significance of </w:t>
      </w:r>
      <w:r w:rsidR="00120E2E" w:rsidRPr="00AE141E">
        <w:rPr>
          <w:rFonts w:ascii="Times New Roman" w:hAnsi="Times New Roman" w:cs="Times New Roman"/>
          <w:sz w:val="24"/>
          <w:szCs w:val="24"/>
        </w:rPr>
        <w:t>migration to Britain</w:t>
      </w:r>
      <w:r w:rsidR="00F42049" w:rsidRPr="00AE141E">
        <w:rPr>
          <w:rFonts w:ascii="Times New Roman" w:hAnsi="Times New Roman" w:cs="Times New Roman"/>
          <w:sz w:val="24"/>
          <w:szCs w:val="24"/>
        </w:rPr>
        <w:t xml:space="preserve">. It </w:t>
      </w:r>
      <w:r w:rsidR="001B257D">
        <w:rPr>
          <w:rFonts w:ascii="Times New Roman" w:hAnsi="Times New Roman" w:cs="Times New Roman"/>
          <w:sz w:val="24"/>
          <w:szCs w:val="24"/>
        </w:rPr>
        <w:t xml:space="preserve">expressed a </w:t>
      </w:r>
      <w:r w:rsidR="00F42049" w:rsidRPr="00AE141E">
        <w:rPr>
          <w:rFonts w:ascii="Times New Roman" w:hAnsi="Times New Roman" w:cs="Times New Roman"/>
          <w:sz w:val="24"/>
          <w:szCs w:val="24"/>
        </w:rPr>
        <w:t xml:space="preserve">need to historicise identity and culture in order to understand their full complexity. </w:t>
      </w:r>
      <w:r w:rsidR="005D5FB1" w:rsidRPr="00AE141E">
        <w:rPr>
          <w:rFonts w:ascii="Times New Roman" w:hAnsi="Times New Roman" w:cs="Times New Roman"/>
          <w:sz w:val="24"/>
          <w:szCs w:val="24"/>
        </w:rPr>
        <w:t xml:space="preserve">Finally, it recognised the </w:t>
      </w:r>
      <w:r w:rsidR="00190252" w:rsidRPr="00AE141E">
        <w:rPr>
          <w:rFonts w:ascii="Times New Roman" w:hAnsi="Times New Roman" w:cs="Times New Roman"/>
          <w:sz w:val="24"/>
          <w:szCs w:val="24"/>
        </w:rPr>
        <w:t>plural meanings of the national in the British Isles</w:t>
      </w:r>
      <w:r w:rsidR="00023F5A" w:rsidRPr="00AE141E">
        <w:rPr>
          <w:rFonts w:ascii="Times New Roman" w:hAnsi="Times New Roman" w:cs="Times New Roman"/>
          <w:sz w:val="24"/>
          <w:szCs w:val="24"/>
        </w:rPr>
        <w:t>: Britain and Ireland were not an ‘undifferentiated mass’</w:t>
      </w:r>
      <w:r w:rsidR="00190252" w:rsidRPr="00AE141E">
        <w:rPr>
          <w:rFonts w:ascii="Times New Roman" w:hAnsi="Times New Roman" w:cs="Times New Roman"/>
          <w:sz w:val="24"/>
          <w:szCs w:val="24"/>
        </w:rPr>
        <w:t xml:space="preserve"> </w:t>
      </w:r>
      <w:r w:rsidR="00023F5A" w:rsidRPr="00AE141E">
        <w:rPr>
          <w:rFonts w:ascii="Times New Roman" w:hAnsi="Times New Roman" w:cs="Times New Roman"/>
          <w:sz w:val="24"/>
          <w:szCs w:val="24"/>
        </w:rPr>
        <w:t xml:space="preserve">and should be studied </w:t>
      </w:r>
      <w:r w:rsidR="00244C00" w:rsidRPr="00AE141E">
        <w:rPr>
          <w:rFonts w:ascii="Times New Roman" w:hAnsi="Times New Roman" w:cs="Times New Roman"/>
          <w:sz w:val="24"/>
          <w:szCs w:val="24"/>
        </w:rPr>
        <w:t xml:space="preserve">with an eye to national specificity as well as </w:t>
      </w:r>
      <w:r w:rsidR="00F8058F" w:rsidRPr="00AE141E">
        <w:rPr>
          <w:rFonts w:ascii="Times New Roman" w:hAnsi="Times New Roman" w:cs="Times New Roman"/>
          <w:sz w:val="24"/>
          <w:szCs w:val="24"/>
        </w:rPr>
        <w:t xml:space="preserve">to </w:t>
      </w:r>
      <w:r w:rsidR="00244C00" w:rsidRPr="00AE141E">
        <w:rPr>
          <w:rFonts w:ascii="Times New Roman" w:hAnsi="Times New Roman" w:cs="Times New Roman"/>
          <w:sz w:val="24"/>
          <w:szCs w:val="24"/>
        </w:rPr>
        <w:t>commonalit</w:t>
      </w:r>
      <w:r w:rsidR="00F8058F" w:rsidRPr="00AE141E">
        <w:rPr>
          <w:rFonts w:ascii="Times New Roman" w:hAnsi="Times New Roman" w:cs="Times New Roman"/>
          <w:sz w:val="24"/>
          <w:szCs w:val="24"/>
        </w:rPr>
        <w:t>ies</w:t>
      </w:r>
      <w:r w:rsidR="00244C00" w:rsidRPr="00AE141E">
        <w:rPr>
          <w:rFonts w:ascii="Times New Roman" w:hAnsi="Times New Roman" w:cs="Times New Roman"/>
          <w:sz w:val="24"/>
          <w:szCs w:val="24"/>
        </w:rPr>
        <w:t>.</w:t>
      </w:r>
      <w:r w:rsidR="00F8058F" w:rsidRPr="00AE141E">
        <w:rPr>
          <w:rFonts w:ascii="Times New Roman" w:hAnsi="Times New Roman" w:cs="Times New Roman"/>
          <w:sz w:val="24"/>
          <w:szCs w:val="24"/>
        </w:rPr>
        <w:t xml:space="preserve"> This was to be a </w:t>
      </w:r>
      <w:r w:rsidR="00997556">
        <w:rPr>
          <w:rFonts w:ascii="Times New Roman" w:hAnsi="Times New Roman" w:cs="Times New Roman"/>
          <w:sz w:val="24"/>
          <w:szCs w:val="24"/>
        </w:rPr>
        <w:t>‘</w:t>
      </w:r>
      <w:r w:rsidR="00F8058F" w:rsidRPr="00AE141E">
        <w:rPr>
          <w:rFonts w:ascii="Times New Roman" w:hAnsi="Times New Roman" w:cs="Times New Roman"/>
          <w:sz w:val="24"/>
          <w:szCs w:val="24"/>
        </w:rPr>
        <w:t>four</w:t>
      </w:r>
      <w:r w:rsidR="000A632E" w:rsidRPr="00AE141E">
        <w:rPr>
          <w:rFonts w:ascii="Times New Roman" w:hAnsi="Times New Roman" w:cs="Times New Roman"/>
          <w:sz w:val="24"/>
          <w:szCs w:val="24"/>
        </w:rPr>
        <w:t xml:space="preserve"> </w:t>
      </w:r>
      <w:r w:rsidR="00F8058F" w:rsidRPr="00AE141E">
        <w:rPr>
          <w:rFonts w:ascii="Times New Roman" w:hAnsi="Times New Roman" w:cs="Times New Roman"/>
          <w:sz w:val="24"/>
          <w:szCs w:val="24"/>
        </w:rPr>
        <w:t>nations</w:t>
      </w:r>
      <w:r w:rsidR="00997556">
        <w:rPr>
          <w:rFonts w:ascii="Times New Roman" w:hAnsi="Times New Roman" w:cs="Times New Roman"/>
          <w:sz w:val="24"/>
          <w:szCs w:val="24"/>
        </w:rPr>
        <w:t>’</w:t>
      </w:r>
      <w:r w:rsidR="00F8058F" w:rsidRPr="00AE141E">
        <w:rPr>
          <w:rFonts w:ascii="Times New Roman" w:hAnsi="Times New Roman" w:cs="Times New Roman"/>
          <w:sz w:val="24"/>
          <w:szCs w:val="24"/>
        </w:rPr>
        <w:t xml:space="preserve"> history</w:t>
      </w:r>
      <w:r w:rsidR="000650E4" w:rsidRPr="00AE141E">
        <w:rPr>
          <w:rFonts w:ascii="Times New Roman" w:hAnsi="Times New Roman" w:cs="Times New Roman"/>
          <w:sz w:val="24"/>
          <w:szCs w:val="24"/>
        </w:rPr>
        <w:t>, not just a history of England.</w:t>
      </w:r>
    </w:p>
    <w:p w14:paraId="33524E82" w14:textId="77777777" w:rsidR="009E199E" w:rsidRDefault="00EE216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If school history functioned as a mode of </w:t>
      </w:r>
      <w:r w:rsidR="008E4122" w:rsidRPr="00AE141E">
        <w:rPr>
          <w:rFonts w:ascii="Times New Roman" w:hAnsi="Times New Roman" w:cs="Times New Roman"/>
          <w:sz w:val="24"/>
          <w:szCs w:val="24"/>
        </w:rPr>
        <w:t>‘cultural transmission’</w:t>
      </w:r>
      <w:r w:rsidR="00E61491" w:rsidRPr="00AE141E">
        <w:rPr>
          <w:rFonts w:ascii="Times New Roman" w:hAnsi="Times New Roman" w:cs="Times New Roman"/>
          <w:sz w:val="24"/>
          <w:szCs w:val="24"/>
        </w:rPr>
        <w:t xml:space="preserve"> and communal bonding</w:t>
      </w:r>
      <w:r w:rsidRPr="00AE141E">
        <w:rPr>
          <w:rFonts w:ascii="Times New Roman" w:hAnsi="Times New Roman" w:cs="Times New Roman"/>
          <w:sz w:val="24"/>
          <w:szCs w:val="24"/>
        </w:rPr>
        <w:t>, no</w:t>
      </w:r>
      <w:r w:rsidR="008E4122" w:rsidRPr="00AE141E">
        <w:rPr>
          <w:rFonts w:ascii="Times New Roman" w:hAnsi="Times New Roman" w:cs="Times New Roman"/>
          <w:sz w:val="24"/>
          <w:szCs w:val="24"/>
        </w:rPr>
        <w:t xml:space="preserve"> uniform culture </w:t>
      </w:r>
      <w:r w:rsidRPr="00AE141E">
        <w:rPr>
          <w:rFonts w:ascii="Times New Roman" w:hAnsi="Times New Roman" w:cs="Times New Roman"/>
          <w:sz w:val="24"/>
          <w:szCs w:val="24"/>
        </w:rPr>
        <w:t>could</w:t>
      </w:r>
      <w:r w:rsidR="00E61491" w:rsidRPr="00AE141E">
        <w:rPr>
          <w:rFonts w:ascii="Times New Roman" w:hAnsi="Times New Roman" w:cs="Times New Roman"/>
          <w:sz w:val="24"/>
          <w:szCs w:val="24"/>
        </w:rPr>
        <w:t xml:space="preserve"> or should</w:t>
      </w:r>
      <w:r w:rsidRPr="00AE141E">
        <w:rPr>
          <w:rFonts w:ascii="Times New Roman" w:hAnsi="Times New Roman" w:cs="Times New Roman"/>
          <w:sz w:val="24"/>
          <w:szCs w:val="24"/>
        </w:rPr>
        <w:t xml:space="preserve"> be</w:t>
      </w:r>
      <w:r w:rsidR="008E4122" w:rsidRPr="00AE141E">
        <w:rPr>
          <w:rFonts w:ascii="Times New Roman" w:hAnsi="Times New Roman" w:cs="Times New Roman"/>
          <w:sz w:val="24"/>
          <w:szCs w:val="24"/>
        </w:rPr>
        <w:t xml:space="preserve"> imposed on </w:t>
      </w:r>
      <w:r w:rsidR="00E61491" w:rsidRPr="00AE141E">
        <w:rPr>
          <w:rFonts w:ascii="Times New Roman" w:hAnsi="Times New Roman" w:cs="Times New Roman"/>
          <w:sz w:val="24"/>
          <w:szCs w:val="24"/>
        </w:rPr>
        <w:t>the youth of society as diverse as Britain</w:t>
      </w:r>
      <w:r w:rsidR="008E4122" w:rsidRPr="00AE141E">
        <w:rPr>
          <w:rFonts w:ascii="Times New Roman" w:hAnsi="Times New Roman" w:cs="Times New Roman"/>
          <w:sz w:val="24"/>
          <w:szCs w:val="24"/>
        </w:rPr>
        <w:t>.</w:t>
      </w:r>
      <w:r w:rsidR="00EC1D7F" w:rsidRPr="00AE141E">
        <w:rPr>
          <w:rStyle w:val="FootnoteReference"/>
          <w:rFonts w:ascii="Times New Roman" w:hAnsi="Times New Roman" w:cs="Times New Roman"/>
          <w:sz w:val="24"/>
          <w:szCs w:val="24"/>
        </w:rPr>
        <w:footnoteReference w:id="815"/>
      </w:r>
      <w:r w:rsidR="008E4122" w:rsidRPr="00AE141E">
        <w:rPr>
          <w:rFonts w:ascii="Times New Roman" w:hAnsi="Times New Roman" w:cs="Times New Roman"/>
          <w:sz w:val="24"/>
          <w:szCs w:val="24"/>
        </w:rPr>
        <w:t xml:space="preserve"> </w:t>
      </w:r>
      <w:r w:rsidR="00B10E46" w:rsidRPr="00AE141E">
        <w:rPr>
          <w:rFonts w:ascii="Times New Roman" w:hAnsi="Times New Roman" w:cs="Times New Roman"/>
          <w:sz w:val="24"/>
          <w:szCs w:val="24"/>
        </w:rPr>
        <w:t xml:space="preserve">Nevertheless, teachers were encouraged to focus on shared ‘inheritances’ (the word ‘heritage’ </w:t>
      </w:r>
      <w:r w:rsidR="00997556">
        <w:rPr>
          <w:rFonts w:ascii="Times New Roman" w:hAnsi="Times New Roman" w:cs="Times New Roman"/>
          <w:sz w:val="24"/>
          <w:szCs w:val="24"/>
        </w:rPr>
        <w:t>was</w:t>
      </w:r>
      <w:r w:rsidR="00B10E46" w:rsidRPr="00AE141E">
        <w:rPr>
          <w:rFonts w:ascii="Times New Roman" w:hAnsi="Times New Roman" w:cs="Times New Roman"/>
          <w:sz w:val="24"/>
          <w:szCs w:val="24"/>
        </w:rPr>
        <w:t xml:space="preserve"> eschewed due to its ideological baggage)</w:t>
      </w:r>
      <w:r w:rsidR="008E4122" w:rsidRPr="00AE141E">
        <w:rPr>
          <w:rFonts w:ascii="Times New Roman" w:hAnsi="Times New Roman" w:cs="Times New Roman"/>
          <w:sz w:val="24"/>
          <w:szCs w:val="24"/>
        </w:rPr>
        <w:t>.</w:t>
      </w:r>
      <w:r w:rsidR="00B10E46" w:rsidRPr="00AE141E">
        <w:rPr>
          <w:rStyle w:val="FootnoteReference"/>
          <w:rFonts w:ascii="Times New Roman" w:hAnsi="Times New Roman" w:cs="Times New Roman"/>
          <w:sz w:val="24"/>
          <w:szCs w:val="24"/>
        </w:rPr>
        <w:footnoteReference w:id="816"/>
      </w:r>
      <w:r w:rsidR="00886767" w:rsidRPr="00AE141E">
        <w:rPr>
          <w:rFonts w:ascii="Times New Roman" w:hAnsi="Times New Roman" w:cs="Times New Roman"/>
          <w:sz w:val="24"/>
          <w:szCs w:val="24"/>
        </w:rPr>
        <w:t xml:space="preserve"> The Report also justified history’s place in the curriculum with reference to its role in </w:t>
      </w:r>
      <w:r w:rsidR="008E4122" w:rsidRPr="00AE141E">
        <w:rPr>
          <w:rFonts w:ascii="Times New Roman" w:hAnsi="Times New Roman" w:cs="Times New Roman"/>
          <w:sz w:val="24"/>
          <w:szCs w:val="24"/>
        </w:rPr>
        <w:t>broadening pupils’ horizons</w:t>
      </w:r>
      <w:r w:rsidR="00485F73" w:rsidRPr="00AE141E">
        <w:rPr>
          <w:rFonts w:ascii="Times New Roman" w:hAnsi="Times New Roman" w:cs="Times New Roman"/>
          <w:sz w:val="24"/>
          <w:szCs w:val="24"/>
        </w:rPr>
        <w:t xml:space="preserve">; studying the history </w:t>
      </w:r>
      <w:r w:rsidR="00485F73" w:rsidRPr="00AE141E">
        <w:rPr>
          <w:rFonts w:ascii="Times New Roman" w:hAnsi="Times New Roman" w:cs="Times New Roman"/>
          <w:sz w:val="24"/>
          <w:szCs w:val="24"/>
        </w:rPr>
        <w:lastRenderedPageBreak/>
        <w:t xml:space="preserve">of other peoples ‘from inside’ could </w:t>
      </w:r>
      <w:r w:rsidR="00480DE7" w:rsidRPr="00AE141E">
        <w:rPr>
          <w:rFonts w:ascii="Times New Roman" w:hAnsi="Times New Roman" w:cs="Times New Roman"/>
          <w:sz w:val="24"/>
          <w:szCs w:val="24"/>
        </w:rPr>
        <w:t>‘</w:t>
      </w:r>
      <w:r w:rsidR="00485F73" w:rsidRPr="00AE141E">
        <w:rPr>
          <w:rFonts w:ascii="Times New Roman" w:hAnsi="Times New Roman" w:cs="Times New Roman"/>
          <w:sz w:val="24"/>
          <w:szCs w:val="24"/>
        </w:rPr>
        <w:t>counteract tendencies to become parochial or chauvinistic, while in no way demeaning British achievements and values</w:t>
      </w:r>
      <w:r w:rsidR="00480DE7" w:rsidRPr="00AE141E">
        <w:rPr>
          <w:rFonts w:ascii="Times New Roman" w:hAnsi="Times New Roman" w:cs="Times New Roman"/>
          <w:sz w:val="24"/>
          <w:szCs w:val="24"/>
        </w:rPr>
        <w:t>’.</w:t>
      </w:r>
      <w:r w:rsidR="008626B1" w:rsidRPr="00AE141E">
        <w:rPr>
          <w:rStyle w:val="FootnoteReference"/>
          <w:rFonts w:ascii="Times New Roman" w:hAnsi="Times New Roman" w:cs="Times New Roman"/>
          <w:sz w:val="24"/>
          <w:szCs w:val="24"/>
        </w:rPr>
        <w:footnoteReference w:id="817"/>
      </w:r>
      <w:r w:rsidR="00480DE7" w:rsidRPr="00AE141E">
        <w:rPr>
          <w:rFonts w:ascii="Times New Roman" w:hAnsi="Times New Roman" w:cs="Times New Roman"/>
          <w:sz w:val="24"/>
          <w:szCs w:val="24"/>
        </w:rPr>
        <w:t xml:space="preserve"> </w:t>
      </w:r>
    </w:p>
    <w:p w14:paraId="1710787A" w14:textId="5E482416" w:rsidR="00A2008D" w:rsidRPr="00AE141E" w:rsidRDefault="00DB3E3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t>
      </w:r>
      <w:r w:rsidR="009A67F7" w:rsidRPr="00AE141E">
        <w:rPr>
          <w:rFonts w:ascii="Times New Roman" w:hAnsi="Times New Roman" w:cs="Times New Roman"/>
          <w:sz w:val="24"/>
          <w:szCs w:val="24"/>
        </w:rPr>
        <w:t xml:space="preserve">European and </w:t>
      </w:r>
      <w:r w:rsidR="00EA1FA9" w:rsidRPr="00AE141E">
        <w:rPr>
          <w:rFonts w:ascii="Times New Roman" w:hAnsi="Times New Roman" w:cs="Times New Roman"/>
          <w:sz w:val="24"/>
          <w:szCs w:val="24"/>
        </w:rPr>
        <w:t>W</w:t>
      </w:r>
      <w:r w:rsidR="009A67F7" w:rsidRPr="00AE141E">
        <w:rPr>
          <w:rFonts w:ascii="Times New Roman" w:hAnsi="Times New Roman" w:cs="Times New Roman"/>
          <w:sz w:val="24"/>
          <w:szCs w:val="24"/>
        </w:rPr>
        <w:t xml:space="preserve">orld </w:t>
      </w:r>
      <w:r w:rsidR="0012217C" w:rsidRPr="00AE141E">
        <w:rPr>
          <w:rFonts w:ascii="Times New Roman" w:hAnsi="Times New Roman" w:cs="Times New Roman"/>
          <w:sz w:val="24"/>
          <w:szCs w:val="24"/>
        </w:rPr>
        <w:t xml:space="preserve">elements </w:t>
      </w:r>
      <w:r w:rsidRPr="00AE141E">
        <w:rPr>
          <w:rFonts w:ascii="Times New Roman" w:hAnsi="Times New Roman" w:cs="Times New Roman"/>
          <w:sz w:val="24"/>
          <w:szCs w:val="24"/>
        </w:rPr>
        <w:t xml:space="preserve">of the </w:t>
      </w:r>
      <w:r w:rsidR="0012217C" w:rsidRPr="00AE141E">
        <w:rPr>
          <w:rFonts w:ascii="Times New Roman" w:hAnsi="Times New Roman" w:cs="Times New Roman"/>
          <w:sz w:val="24"/>
          <w:szCs w:val="24"/>
        </w:rPr>
        <w:t>proposed curriculum</w:t>
      </w:r>
      <w:r w:rsidRPr="00AE141E">
        <w:rPr>
          <w:rFonts w:ascii="Times New Roman" w:hAnsi="Times New Roman" w:cs="Times New Roman"/>
          <w:sz w:val="24"/>
          <w:szCs w:val="24"/>
        </w:rPr>
        <w:t xml:space="preserve"> </w:t>
      </w:r>
      <w:r w:rsidR="00934B53" w:rsidRPr="00AE141E">
        <w:rPr>
          <w:rFonts w:ascii="Times New Roman" w:hAnsi="Times New Roman" w:cs="Times New Roman"/>
          <w:sz w:val="24"/>
          <w:szCs w:val="24"/>
        </w:rPr>
        <w:t>encompassed a</w:t>
      </w:r>
      <w:r w:rsidR="00A362B4" w:rsidRPr="00AE141E">
        <w:rPr>
          <w:rFonts w:ascii="Times New Roman" w:hAnsi="Times New Roman" w:cs="Times New Roman"/>
          <w:sz w:val="24"/>
          <w:szCs w:val="24"/>
        </w:rPr>
        <w:t xml:space="preserve"> </w:t>
      </w:r>
      <w:r w:rsidR="00934B53" w:rsidRPr="00AE141E">
        <w:rPr>
          <w:rFonts w:ascii="Times New Roman" w:hAnsi="Times New Roman" w:cs="Times New Roman"/>
          <w:sz w:val="24"/>
          <w:szCs w:val="24"/>
        </w:rPr>
        <w:t xml:space="preserve">wide </w:t>
      </w:r>
      <w:r w:rsidR="009A613F" w:rsidRPr="00AE141E">
        <w:rPr>
          <w:rFonts w:ascii="Times New Roman" w:hAnsi="Times New Roman" w:cs="Times New Roman"/>
          <w:sz w:val="24"/>
          <w:szCs w:val="24"/>
        </w:rPr>
        <w:t>geographical scope.</w:t>
      </w:r>
      <w:r w:rsidR="00A362B4" w:rsidRPr="00AE141E">
        <w:rPr>
          <w:rFonts w:ascii="Times New Roman" w:hAnsi="Times New Roman" w:cs="Times New Roman"/>
          <w:sz w:val="24"/>
          <w:szCs w:val="24"/>
        </w:rPr>
        <w:t xml:space="preserve"> </w:t>
      </w:r>
      <w:r w:rsidR="00934B53" w:rsidRPr="00AE141E">
        <w:rPr>
          <w:rFonts w:ascii="Times New Roman" w:hAnsi="Times New Roman" w:cs="Times New Roman"/>
          <w:sz w:val="24"/>
          <w:szCs w:val="24"/>
        </w:rPr>
        <w:t xml:space="preserve">A representative selection includes: </w:t>
      </w:r>
      <w:r w:rsidR="00361BF9" w:rsidRPr="00AE141E">
        <w:rPr>
          <w:rFonts w:ascii="Times New Roman" w:hAnsi="Times New Roman" w:cs="Times New Roman"/>
          <w:sz w:val="24"/>
          <w:szCs w:val="24"/>
        </w:rPr>
        <w:t>‘</w:t>
      </w:r>
      <w:r w:rsidR="00661CF4" w:rsidRPr="00AE141E">
        <w:rPr>
          <w:rFonts w:ascii="Times New Roman" w:hAnsi="Times New Roman" w:cs="Times New Roman"/>
          <w:sz w:val="24"/>
          <w:szCs w:val="24"/>
        </w:rPr>
        <w:t xml:space="preserve">The French Revolution and the Napoleonic </w:t>
      </w:r>
      <w:r w:rsidR="00361BF9" w:rsidRPr="00AE141E">
        <w:rPr>
          <w:rFonts w:ascii="Times New Roman" w:hAnsi="Times New Roman" w:cs="Times New Roman"/>
          <w:sz w:val="24"/>
          <w:szCs w:val="24"/>
        </w:rPr>
        <w:t>E</w:t>
      </w:r>
      <w:r w:rsidR="00661CF4" w:rsidRPr="00AE141E">
        <w:rPr>
          <w:rFonts w:ascii="Times New Roman" w:hAnsi="Times New Roman" w:cs="Times New Roman"/>
          <w:sz w:val="24"/>
          <w:szCs w:val="24"/>
        </w:rPr>
        <w:t>ra</w:t>
      </w:r>
      <w:r w:rsidR="00361BF9" w:rsidRPr="00AE141E">
        <w:rPr>
          <w:rFonts w:ascii="Times New Roman" w:hAnsi="Times New Roman" w:cs="Times New Roman"/>
          <w:sz w:val="24"/>
          <w:szCs w:val="24"/>
        </w:rPr>
        <w:t>’</w:t>
      </w:r>
      <w:r w:rsidR="00661CF4" w:rsidRPr="00AE141E">
        <w:rPr>
          <w:rFonts w:ascii="Times New Roman" w:hAnsi="Times New Roman" w:cs="Times New Roman"/>
          <w:sz w:val="24"/>
          <w:szCs w:val="24"/>
        </w:rPr>
        <w:t xml:space="preserve">; </w:t>
      </w:r>
      <w:r w:rsidR="00361BF9" w:rsidRPr="00AE141E">
        <w:rPr>
          <w:rFonts w:ascii="Times New Roman" w:hAnsi="Times New Roman" w:cs="Times New Roman"/>
          <w:sz w:val="24"/>
          <w:szCs w:val="24"/>
        </w:rPr>
        <w:t>‘</w:t>
      </w:r>
      <w:r w:rsidR="00661CF4" w:rsidRPr="00AE141E">
        <w:rPr>
          <w:rFonts w:ascii="Times New Roman" w:hAnsi="Times New Roman" w:cs="Times New Roman"/>
          <w:sz w:val="24"/>
          <w:szCs w:val="24"/>
        </w:rPr>
        <w:t>The American Revolution</w:t>
      </w:r>
      <w:r w:rsidR="00361BF9" w:rsidRPr="00AE141E">
        <w:rPr>
          <w:rFonts w:ascii="Times New Roman" w:hAnsi="Times New Roman" w:cs="Times New Roman"/>
          <w:sz w:val="24"/>
          <w:szCs w:val="24"/>
        </w:rPr>
        <w:t>’</w:t>
      </w:r>
      <w:r w:rsidR="00661CF4" w:rsidRPr="00AE141E">
        <w:rPr>
          <w:rFonts w:ascii="Times New Roman" w:hAnsi="Times New Roman" w:cs="Times New Roman"/>
          <w:sz w:val="24"/>
          <w:szCs w:val="24"/>
        </w:rPr>
        <w:t xml:space="preserve">; </w:t>
      </w:r>
      <w:r w:rsidR="00361BF9" w:rsidRPr="00AE141E">
        <w:rPr>
          <w:rFonts w:ascii="Times New Roman" w:hAnsi="Times New Roman" w:cs="Times New Roman"/>
          <w:sz w:val="24"/>
          <w:szCs w:val="24"/>
        </w:rPr>
        <w:t>‘</w:t>
      </w:r>
      <w:r w:rsidR="00661CF4" w:rsidRPr="00AE141E">
        <w:rPr>
          <w:rFonts w:ascii="Times New Roman" w:hAnsi="Times New Roman" w:cs="Times New Roman"/>
          <w:sz w:val="24"/>
          <w:szCs w:val="24"/>
        </w:rPr>
        <w:t xml:space="preserve">Classical China: </w:t>
      </w:r>
      <w:r w:rsidR="0067286E" w:rsidRPr="00AE141E">
        <w:rPr>
          <w:rFonts w:ascii="Times New Roman" w:hAnsi="Times New Roman" w:cs="Times New Roman"/>
          <w:sz w:val="24"/>
          <w:szCs w:val="24"/>
        </w:rPr>
        <w:t>F</w:t>
      </w:r>
      <w:r w:rsidR="00661CF4" w:rsidRPr="00AE141E">
        <w:rPr>
          <w:rFonts w:ascii="Times New Roman" w:hAnsi="Times New Roman" w:cs="Times New Roman"/>
          <w:sz w:val="24"/>
          <w:szCs w:val="24"/>
        </w:rPr>
        <w:t>rom the Han Dynasty to the Mongol Conquest</w:t>
      </w:r>
      <w:r w:rsidR="00361BF9" w:rsidRPr="00AE141E">
        <w:rPr>
          <w:rFonts w:ascii="Times New Roman" w:hAnsi="Times New Roman" w:cs="Times New Roman"/>
          <w:sz w:val="24"/>
          <w:szCs w:val="24"/>
        </w:rPr>
        <w:t>’</w:t>
      </w:r>
      <w:r w:rsidR="007612B5" w:rsidRPr="00AE141E">
        <w:rPr>
          <w:rFonts w:ascii="Times New Roman" w:hAnsi="Times New Roman" w:cs="Times New Roman"/>
          <w:sz w:val="24"/>
          <w:szCs w:val="24"/>
        </w:rPr>
        <w:t xml:space="preserve">; </w:t>
      </w:r>
      <w:r w:rsidR="00934B53" w:rsidRPr="00AE141E">
        <w:rPr>
          <w:rFonts w:ascii="Times New Roman" w:hAnsi="Times New Roman" w:cs="Times New Roman"/>
          <w:sz w:val="24"/>
          <w:szCs w:val="24"/>
        </w:rPr>
        <w:t xml:space="preserve">and </w:t>
      </w:r>
      <w:r w:rsidR="008444F5">
        <w:rPr>
          <w:rFonts w:ascii="Times New Roman" w:hAnsi="Times New Roman" w:cs="Times New Roman"/>
          <w:sz w:val="24"/>
          <w:szCs w:val="24"/>
        </w:rPr>
        <w:t>‘</w:t>
      </w:r>
      <w:r w:rsidR="0067286E" w:rsidRPr="00AE141E">
        <w:rPr>
          <w:rFonts w:ascii="Times New Roman" w:hAnsi="Times New Roman" w:cs="Times New Roman"/>
          <w:sz w:val="24"/>
          <w:szCs w:val="24"/>
        </w:rPr>
        <w:t>India: C16</w:t>
      </w:r>
      <w:r w:rsidR="0067286E" w:rsidRPr="00AE141E">
        <w:rPr>
          <w:rFonts w:ascii="Times New Roman" w:hAnsi="Times New Roman" w:cs="Times New Roman"/>
          <w:sz w:val="24"/>
          <w:szCs w:val="24"/>
          <w:vertAlign w:val="superscript"/>
        </w:rPr>
        <w:t>th</w:t>
      </w:r>
      <w:r w:rsidR="0067286E" w:rsidRPr="00AE141E">
        <w:rPr>
          <w:rFonts w:ascii="Times New Roman" w:hAnsi="Times New Roman" w:cs="Times New Roman"/>
          <w:sz w:val="24"/>
          <w:szCs w:val="24"/>
        </w:rPr>
        <w:t xml:space="preserve"> to mid-C19</w:t>
      </w:r>
      <w:r w:rsidR="0067286E" w:rsidRPr="00AE141E">
        <w:rPr>
          <w:rFonts w:ascii="Times New Roman" w:hAnsi="Times New Roman" w:cs="Times New Roman"/>
          <w:sz w:val="24"/>
          <w:szCs w:val="24"/>
          <w:vertAlign w:val="superscript"/>
        </w:rPr>
        <w:t>th</w:t>
      </w:r>
      <w:r w:rsidR="0067286E" w:rsidRPr="00AE141E">
        <w:rPr>
          <w:rFonts w:ascii="Times New Roman" w:hAnsi="Times New Roman" w:cs="Times New Roman"/>
          <w:sz w:val="24"/>
          <w:szCs w:val="24"/>
        </w:rPr>
        <w:t xml:space="preserve"> </w:t>
      </w:r>
      <w:r w:rsidR="008444F5">
        <w:rPr>
          <w:rFonts w:ascii="Times New Roman" w:hAnsi="Times New Roman" w:cs="Times New Roman"/>
          <w:sz w:val="24"/>
          <w:szCs w:val="24"/>
        </w:rPr>
        <w:t>–</w:t>
      </w:r>
      <w:r w:rsidR="0067286E" w:rsidRPr="00AE141E">
        <w:rPr>
          <w:rFonts w:ascii="Times New Roman" w:hAnsi="Times New Roman" w:cs="Times New Roman"/>
          <w:sz w:val="24"/>
          <w:szCs w:val="24"/>
        </w:rPr>
        <w:t xml:space="preserve"> the</w:t>
      </w:r>
      <w:r w:rsidR="008444F5">
        <w:rPr>
          <w:rFonts w:ascii="Times New Roman" w:hAnsi="Times New Roman" w:cs="Times New Roman"/>
          <w:sz w:val="24"/>
          <w:szCs w:val="24"/>
        </w:rPr>
        <w:t xml:space="preserve"> </w:t>
      </w:r>
      <w:r w:rsidR="0067286E" w:rsidRPr="00AE141E">
        <w:rPr>
          <w:rFonts w:ascii="Times New Roman" w:hAnsi="Times New Roman" w:cs="Times New Roman"/>
          <w:sz w:val="24"/>
          <w:szCs w:val="24"/>
        </w:rPr>
        <w:t>Moghul Empire to the East India Company’</w:t>
      </w:r>
      <w:r w:rsidR="00F44228" w:rsidRPr="00AE141E">
        <w:rPr>
          <w:rFonts w:ascii="Times New Roman" w:hAnsi="Times New Roman" w:cs="Times New Roman"/>
          <w:sz w:val="24"/>
          <w:szCs w:val="24"/>
        </w:rPr>
        <w:t xml:space="preserve"> </w:t>
      </w:r>
      <w:r w:rsidR="00934B53" w:rsidRPr="00AE141E">
        <w:rPr>
          <w:rFonts w:ascii="Times New Roman" w:hAnsi="Times New Roman" w:cs="Times New Roman"/>
          <w:sz w:val="24"/>
          <w:szCs w:val="24"/>
        </w:rPr>
        <w:t xml:space="preserve">(a full list is available in Appendix </w:t>
      </w:r>
      <w:r w:rsidR="00E13339" w:rsidRPr="00AE141E">
        <w:rPr>
          <w:rFonts w:ascii="Times New Roman" w:hAnsi="Times New Roman" w:cs="Times New Roman"/>
          <w:sz w:val="24"/>
          <w:szCs w:val="24"/>
        </w:rPr>
        <w:t>C</w:t>
      </w:r>
      <w:r w:rsidR="0067286E" w:rsidRPr="00AE141E">
        <w:rPr>
          <w:rFonts w:ascii="Times New Roman" w:hAnsi="Times New Roman" w:cs="Times New Roman"/>
          <w:sz w:val="24"/>
          <w:szCs w:val="24"/>
        </w:rPr>
        <w:t>).</w:t>
      </w:r>
      <w:r w:rsidR="00EF3FBB" w:rsidRPr="00AE141E">
        <w:rPr>
          <w:rStyle w:val="FootnoteReference"/>
          <w:rFonts w:ascii="Times New Roman" w:hAnsi="Times New Roman" w:cs="Times New Roman"/>
          <w:sz w:val="24"/>
          <w:szCs w:val="24"/>
        </w:rPr>
        <w:footnoteReference w:id="818"/>
      </w:r>
      <w:r w:rsidR="00216849" w:rsidRPr="00AE141E">
        <w:rPr>
          <w:rFonts w:ascii="Times New Roman" w:hAnsi="Times New Roman" w:cs="Times New Roman"/>
          <w:sz w:val="24"/>
          <w:szCs w:val="24"/>
        </w:rPr>
        <w:t xml:space="preserve"> Nevertheless, there were striking omissions. </w:t>
      </w:r>
      <w:r w:rsidR="0024183D" w:rsidRPr="00AE141E">
        <w:rPr>
          <w:rFonts w:ascii="Times New Roman" w:hAnsi="Times New Roman" w:cs="Times New Roman"/>
          <w:sz w:val="24"/>
          <w:szCs w:val="24"/>
        </w:rPr>
        <w:t>African</w:t>
      </w:r>
      <w:r w:rsidR="00FB591A" w:rsidRPr="00AE141E">
        <w:rPr>
          <w:rFonts w:ascii="Times New Roman" w:hAnsi="Times New Roman" w:cs="Times New Roman"/>
          <w:sz w:val="24"/>
          <w:szCs w:val="24"/>
        </w:rPr>
        <w:t xml:space="preserve"> history was particularly poorly served</w:t>
      </w:r>
      <w:r w:rsidR="00582BCD">
        <w:rPr>
          <w:rFonts w:ascii="Times New Roman" w:hAnsi="Times New Roman" w:cs="Times New Roman"/>
          <w:sz w:val="24"/>
          <w:szCs w:val="24"/>
        </w:rPr>
        <w:t>. At KS3, there was no opportunity to study the</w:t>
      </w:r>
      <w:r w:rsidR="003653D1" w:rsidRPr="00AE141E">
        <w:rPr>
          <w:rFonts w:ascii="Times New Roman" w:hAnsi="Times New Roman" w:cs="Times New Roman"/>
          <w:sz w:val="24"/>
          <w:szCs w:val="24"/>
        </w:rPr>
        <w:t xml:space="preserve"> continent in the</w:t>
      </w:r>
      <w:r w:rsidR="006278B3" w:rsidRPr="00AE141E">
        <w:rPr>
          <w:rFonts w:ascii="Times New Roman" w:hAnsi="Times New Roman" w:cs="Times New Roman"/>
          <w:sz w:val="24"/>
          <w:szCs w:val="24"/>
        </w:rPr>
        <w:t xml:space="preserve"> pre-drafted HSU</w:t>
      </w:r>
      <w:r w:rsidR="0017768F" w:rsidRPr="00AE141E">
        <w:rPr>
          <w:rFonts w:ascii="Times New Roman" w:hAnsi="Times New Roman" w:cs="Times New Roman"/>
          <w:sz w:val="24"/>
          <w:szCs w:val="24"/>
        </w:rPr>
        <w:t>s</w:t>
      </w:r>
      <w:r w:rsidR="00002519">
        <w:rPr>
          <w:rFonts w:ascii="Times New Roman" w:hAnsi="Times New Roman" w:cs="Times New Roman"/>
          <w:sz w:val="24"/>
          <w:szCs w:val="24"/>
        </w:rPr>
        <w:t>, though s</w:t>
      </w:r>
      <w:r w:rsidR="00126B8C">
        <w:rPr>
          <w:rFonts w:ascii="Times New Roman" w:hAnsi="Times New Roman" w:cs="Times New Roman"/>
          <w:sz w:val="24"/>
          <w:szCs w:val="24"/>
        </w:rPr>
        <w:t>chools could choose to introduce African history</w:t>
      </w:r>
      <w:r w:rsidR="00767ADE" w:rsidRPr="00AE141E">
        <w:rPr>
          <w:rFonts w:ascii="Times New Roman" w:hAnsi="Times New Roman" w:cs="Times New Roman"/>
          <w:sz w:val="24"/>
          <w:szCs w:val="24"/>
        </w:rPr>
        <w:t xml:space="preserve"> through </w:t>
      </w:r>
      <w:r w:rsidR="007F1BBD">
        <w:rPr>
          <w:rFonts w:ascii="Times New Roman" w:hAnsi="Times New Roman" w:cs="Times New Roman"/>
          <w:sz w:val="24"/>
          <w:szCs w:val="24"/>
        </w:rPr>
        <w:t xml:space="preserve">the use </w:t>
      </w:r>
      <w:r w:rsidR="00050E46">
        <w:rPr>
          <w:rFonts w:ascii="Times New Roman" w:hAnsi="Times New Roman" w:cs="Times New Roman"/>
          <w:sz w:val="24"/>
          <w:szCs w:val="24"/>
        </w:rPr>
        <w:t xml:space="preserve">of </w:t>
      </w:r>
      <w:r w:rsidR="00050E46" w:rsidRPr="00AE141E">
        <w:rPr>
          <w:rFonts w:ascii="Times New Roman" w:hAnsi="Times New Roman" w:cs="Times New Roman"/>
          <w:sz w:val="24"/>
          <w:szCs w:val="24"/>
        </w:rPr>
        <w:t>SDTs</w:t>
      </w:r>
      <w:r w:rsidR="00767ADE" w:rsidRPr="00AE141E">
        <w:rPr>
          <w:rFonts w:ascii="Times New Roman" w:hAnsi="Times New Roman" w:cs="Times New Roman"/>
          <w:sz w:val="24"/>
          <w:szCs w:val="24"/>
        </w:rPr>
        <w:t>.</w:t>
      </w:r>
      <w:r w:rsidR="00767ADE" w:rsidRPr="00AE141E">
        <w:rPr>
          <w:rStyle w:val="FootnoteReference"/>
          <w:rFonts w:ascii="Times New Roman" w:hAnsi="Times New Roman" w:cs="Times New Roman"/>
          <w:sz w:val="24"/>
          <w:szCs w:val="24"/>
        </w:rPr>
        <w:footnoteReference w:id="819"/>
      </w:r>
      <w:r w:rsidR="00767ADE" w:rsidRPr="00AE141E">
        <w:rPr>
          <w:rFonts w:ascii="Times New Roman" w:hAnsi="Times New Roman" w:cs="Times New Roman"/>
          <w:sz w:val="24"/>
          <w:szCs w:val="24"/>
        </w:rPr>
        <w:t xml:space="preserve"> </w:t>
      </w:r>
      <w:r w:rsidR="00002519">
        <w:rPr>
          <w:rFonts w:ascii="Times New Roman" w:hAnsi="Times New Roman" w:cs="Times New Roman"/>
          <w:sz w:val="24"/>
          <w:szCs w:val="24"/>
        </w:rPr>
        <w:t>T</w:t>
      </w:r>
      <w:r w:rsidR="00767ADE" w:rsidRPr="00AE141E">
        <w:rPr>
          <w:rFonts w:ascii="Times New Roman" w:hAnsi="Times New Roman" w:cs="Times New Roman"/>
          <w:sz w:val="24"/>
          <w:szCs w:val="24"/>
        </w:rPr>
        <w:t xml:space="preserve">he optional nature of these Units, which could be exchanged for extra topics from the list of pre-determined Thematic Study Units, appeared to assign them lesser import. </w:t>
      </w:r>
      <w:r w:rsidR="00A56E80">
        <w:rPr>
          <w:rFonts w:ascii="Times New Roman" w:hAnsi="Times New Roman" w:cs="Times New Roman"/>
          <w:sz w:val="24"/>
          <w:szCs w:val="24"/>
        </w:rPr>
        <w:t>At KS4</w:t>
      </w:r>
      <w:r w:rsidR="003D66A0" w:rsidRPr="00AE141E">
        <w:rPr>
          <w:rFonts w:ascii="Times New Roman" w:hAnsi="Times New Roman" w:cs="Times New Roman"/>
          <w:sz w:val="24"/>
          <w:szCs w:val="24"/>
        </w:rPr>
        <w:t>,</w:t>
      </w:r>
      <w:r w:rsidR="006A6384" w:rsidRPr="00AE141E">
        <w:rPr>
          <w:rFonts w:ascii="Times New Roman" w:hAnsi="Times New Roman" w:cs="Times New Roman"/>
          <w:sz w:val="24"/>
          <w:szCs w:val="24"/>
        </w:rPr>
        <w:t xml:space="preserve"> teachers could cho</w:t>
      </w:r>
      <w:r w:rsidR="002B6B35" w:rsidRPr="00AE141E">
        <w:rPr>
          <w:rFonts w:ascii="Times New Roman" w:hAnsi="Times New Roman" w:cs="Times New Roman"/>
          <w:sz w:val="24"/>
          <w:szCs w:val="24"/>
        </w:rPr>
        <w:t>o</w:t>
      </w:r>
      <w:r w:rsidR="006A6384" w:rsidRPr="00AE141E">
        <w:rPr>
          <w:rFonts w:ascii="Times New Roman" w:hAnsi="Times New Roman" w:cs="Times New Roman"/>
          <w:sz w:val="24"/>
          <w:szCs w:val="24"/>
        </w:rPr>
        <w:t xml:space="preserve">se a course </w:t>
      </w:r>
      <w:r w:rsidR="00F26F68" w:rsidRPr="00AE141E">
        <w:rPr>
          <w:rFonts w:ascii="Times New Roman" w:hAnsi="Times New Roman" w:cs="Times New Roman"/>
          <w:sz w:val="24"/>
          <w:szCs w:val="24"/>
        </w:rPr>
        <w:t>focusing on post-1945 ‘modernisation’</w:t>
      </w:r>
      <w:r w:rsidR="005E59D8" w:rsidRPr="00AE141E">
        <w:rPr>
          <w:rFonts w:ascii="Times New Roman" w:hAnsi="Times New Roman" w:cs="Times New Roman"/>
          <w:sz w:val="24"/>
          <w:szCs w:val="24"/>
        </w:rPr>
        <w:t>,</w:t>
      </w:r>
      <w:r w:rsidR="00AE029A" w:rsidRPr="00AE141E">
        <w:rPr>
          <w:rFonts w:ascii="Times New Roman" w:hAnsi="Times New Roman" w:cs="Times New Roman"/>
          <w:sz w:val="24"/>
          <w:szCs w:val="24"/>
        </w:rPr>
        <w:t xml:space="preserve"> with a case study on </w:t>
      </w:r>
      <w:r w:rsidR="00202F0E" w:rsidRPr="00AE141E">
        <w:rPr>
          <w:rFonts w:ascii="Times New Roman" w:hAnsi="Times New Roman" w:cs="Times New Roman"/>
          <w:sz w:val="24"/>
          <w:szCs w:val="24"/>
        </w:rPr>
        <w:t>‘</w:t>
      </w:r>
      <w:r w:rsidR="006A6384" w:rsidRPr="00AE141E">
        <w:rPr>
          <w:rFonts w:ascii="Times New Roman" w:hAnsi="Times New Roman" w:cs="Times New Roman"/>
          <w:sz w:val="24"/>
          <w:szCs w:val="24"/>
        </w:rPr>
        <w:t>Africa, India, or China</w:t>
      </w:r>
      <w:r w:rsidR="00202F0E" w:rsidRPr="00AE141E">
        <w:rPr>
          <w:rFonts w:ascii="Times New Roman" w:hAnsi="Times New Roman" w:cs="Times New Roman"/>
          <w:sz w:val="24"/>
          <w:szCs w:val="24"/>
        </w:rPr>
        <w:t>’.</w:t>
      </w:r>
      <w:r w:rsidR="002D1FDF">
        <w:rPr>
          <w:rStyle w:val="FootnoteReference"/>
          <w:rFonts w:ascii="Times New Roman" w:hAnsi="Times New Roman" w:cs="Times New Roman"/>
          <w:sz w:val="24"/>
          <w:szCs w:val="24"/>
        </w:rPr>
        <w:footnoteReference w:id="820"/>
      </w:r>
      <w:r w:rsidR="00202F0E" w:rsidRPr="00AE141E">
        <w:rPr>
          <w:rFonts w:ascii="Times New Roman" w:hAnsi="Times New Roman" w:cs="Times New Roman"/>
          <w:sz w:val="24"/>
          <w:szCs w:val="24"/>
        </w:rPr>
        <w:t xml:space="preserve"> </w:t>
      </w:r>
      <w:r w:rsidR="00AE029A" w:rsidRPr="00AE141E">
        <w:rPr>
          <w:rFonts w:ascii="Times New Roman" w:hAnsi="Times New Roman" w:cs="Times New Roman"/>
          <w:sz w:val="24"/>
          <w:szCs w:val="24"/>
        </w:rPr>
        <w:t xml:space="preserve">African history was just one of three options. </w:t>
      </w:r>
      <w:r w:rsidR="00802310" w:rsidRPr="00AE141E">
        <w:rPr>
          <w:rFonts w:ascii="Times New Roman" w:hAnsi="Times New Roman" w:cs="Times New Roman"/>
          <w:sz w:val="24"/>
          <w:szCs w:val="24"/>
        </w:rPr>
        <w:t>Notably, it was</w:t>
      </w:r>
      <w:r w:rsidR="006A4C81" w:rsidRPr="00AE141E">
        <w:rPr>
          <w:rFonts w:ascii="Times New Roman" w:hAnsi="Times New Roman" w:cs="Times New Roman"/>
          <w:sz w:val="24"/>
          <w:szCs w:val="24"/>
        </w:rPr>
        <w:t xml:space="preserve"> also</w:t>
      </w:r>
      <w:r w:rsidR="00802310" w:rsidRPr="00AE141E">
        <w:rPr>
          <w:rFonts w:ascii="Times New Roman" w:hAnsi="Times New Roman" w:cs="Times New Roman"/>
          <w:sz w:val="24"/>
          <w:szCs w:val="24"/>
        </w:rPr>
        <w:t xml:space="preserve"> the only one which encompassed an entire continent</w:t>
      </w:r>
      <w:r w:rsidR="006A4C81" w:rsidRPr="00AE141E">
        <w:rPr>
          <w:rFonts w:ascii="Times New Roman" w:hAnsi="Times New Roman" w:cs="Times New Roman"/>
          <w:sz w:val="24"/>
          <w:szCs w:val="24"/>
        </w:rPr>
        <w:t>, without regard for national or regional distinction.</w:t>
      </w:r>
      <w:r w:rsidR="000E1EEB" w:rsidRPr="00AE141E">
        <w:rPr>
          <w:rFonts w:ascii="Times New Roman" w:hAnsi="Times New Roman" w:cs="Times New Roman"/>
          <w:sz w:val="24"/>
          <w:szCs w:val="24"/>
        </w:rPr>
        <w:t xml:space="preserve"> </w:t>
      </w:r>
      <w:r w:rsidR="007F4C7F" w:rsidRPr="00AE141E">
        <w:rPr>
          <w:rFonts w:ascii="Times New Roman" w:hAnsi="Times New Roman" w:cs="Times New Roman"/>
          <w:sz w:val="24"/>
          <w:szCs w:val="24"/>
        </w:rPr>
        <w:t xml:space="preserve">As </w:t>
      </w:r>
      <w:r w:rsidR="00D31195" w:rsidRPr="00AE141E">
        <w:rPr>
          <w:rFonts w:ascii="Times New Roman" w:hAnsi="Times New Roman" w:cs="Times New Roman"/>
          <w:sz w:val="24"/>
          <w:szCs w:val="24"/>
        </w:rPr>
        <w:t xml:space="preserve">Dipo Faloyin </w:t>
      </w:r>
      <w:r w:rsidR="007F4C7F" w:rsidRPr="00AE141E">
        <w:rPr>
          <w:rFonts w:ascii="Times New Roman" w:hAnsi="Times New Roman" w:cs="Times New Roman"/>
          <w:sz w:val="24"/>
          <w:szCs w:val="24"/>
        </w:rPr>
        <w:t xml:space="preserve">writes, </w:t>
      </w:r>
      <w:r w:rsidR="00CC43B9" w:rsidRPr="00AE141E">
        <w:rPr>
          <w:rFonts w:ascii="Times New Roman" w:hAnsi="Times New Roman" w:cs="Times New Roman"/>
          <w:sz w:val="24"/>
          <w:szCs w:val="24"/>
        </w:rPr>
        <w:t>any</w:t>
      </w:r>
      <w:r w:rsidR="007F4C7F" w:rsidRPr="00AE141E">
        <w:rPr>
          <w:rFonts w:ascii="Times New Roman" w:hAnsi="Times New Roman" w:cs="Times New Roman"/>
          <w:sz w:val="24"/>
          <w:szCs w:val="24"/>
        </w:rPr>
        <w:t xml:space="preserve"> vision of Africa as</w:t>
      </w:r>
      <w:r w:rsidR="00FD10D8" w:rsidRPr="00AE141E">
        <w:rPr>
          <w:rFonts w:ascii="Times New Roman" w:hAnsi="Times New Roman" w:cs="Times New Roman"/>
          <w:sz w:val="24"/>
          <w:szCs w:val="24"/>
        </w:rPr>
        <w:t xml:space="preserve"> </w:t>
      </w:r>
      <w:r w:rsidR="00C16FE0" w:rsidRPr="00AE141E">
        <w:rPr>
          <w:rFonts w:ascii="Times New Roman" w:hAnsi="Times New Roman" w:cs="Times New Roman"/>
          <w:sz w:val="24"/>
          <w:szCs w:val="24"/>
        </w:rPr>
        <w:t xml:space="preserve">an undifferentiated mass </w:t>
      </w:r>
      <w:r w:rsidR="00CC43B9" w:rsidRPr="00AE141E">
        <w:rPr>
          <w:rFonts w:ascii="Times New Roman" w:hAnsi="Times New Roman" w:cs="Times New Roman"/>
          <w:sz w:val="24"/>
          <w:szCs w:val="24"/>
        </w:rPr>
        <w:t xml:space="preserve">(usually comprised of </w:t>
      </w:r>
      <w:r w:rsidR="00C16FE0" w:rsidRPr="00AE141E">
        <w:rPr>
          <w:rFonts w:ascii="Times New Roman" w:hAnsi="Times New Roman" w:cs="Times New Roman"/>
          <w:sz w:val="24"/>
          <w:szCs w:val="24"/>
        </w:rPr>
        <w:t>‘blood, strife, […] rolling savannahs and large yellow sunsets’</w:t>
      </w:r>
      <w:r w:rsidR="00CC43B9" w:rsidRPr="00AE141E">
        <w:rPr>
          <w:rFonts w:ascii="Times New Roman" w:hAnsi="Times New Roman" w:cs="Times New Roman"/>
          <w:sz w:val="24"/>
          <w:szCs w:val="24"/>
        </w:rPr>
        <w:t>)</w:t>
      </w:r>
      <w:r w:rsidR="00C16FE0" w:rsidRPr="00AE141E">
        <w:rPr>
          <w:rFonts w:ascii="Times New Roman" w:hAnsi="Times New Roman" w:cs="Times New Roman"/>
          <w:sz w:val="24"/>
          <w:szCs w:val="24"/>
        </w:rPr>
        <w:t xml:space="preserve"> </w:t>
      </w:r>
      <w:r w:rsidR="00E570FA" w:rsidRPr="00AE141E">
        <w:rPr>
          <w:rFonts w:ascii="Times New Roman" w:hAnsi="Times New Roman" w:cs="Times New Roman"/>
          <w:sz w:val="24"/>
          <w:szCs w:val="24"/>
        </w:rPr>
        <w:t>strips African people of their humanity – diverse, differentiated, and complex</w:t>
      </w:r>
      <w:r w:rsidR="00686120" w:rsidRPr="00AE141E">
        <w:rPr>
          <w:rFonts w:ascii="Times New Roman" w:hAnsi="Times New Roman" w:cs="Times New Roman"/>
          <w:sz w:val="24"/>
          <w:szCs w:val="24"/>
        </w:rPr>
        <w:t>.</w:t>
      </w:r>
      <w:r w:rsidR="00D31195" w:rsidRPr="00AE141E">
        <w:rPr>
          <w:rStyle w:val="FootnoteReference"/>
          <w:rFonts w:ascii="Times New Roman" w:hAnsi="Times New Roman" w:cs="Times New Roman"/>
          <w:sz w:val="24"/>
          <w:szCs w:val="24"/>
        </w:rPr>
        <w:footnoteReference w:id="821"/>
      </w:r>
      <w:r w:rsidR="00686120" w:rsidRPr="00AE141E">
        <w:rPr>
          <w:rFonts w:ascii="Times New Roman" w:hAnsi="Times New Roman" w:cs="Times New Roman"/>
          <w:sz w:val="24"/>
          <w:szCs w:val="24"/>
        </w:rPr>
        <w:t xml:space="preserve"> </w:t>
      </w:r>
      <w:r w:rsidR="006F5BAE" w:rsidRPr="00AE141E">
        <w:rPr>
          <w:rFonts w:ascii="Times New Roman" w:hAnsi="Times New Roman" w:cs="Times New Roman"/>
          <w:sz w:val="24"/>
          <w:szCs w:val="24"/>
        </w:rPr>
        <w:t xml:space="preserve">In this context, the desire to elide varied </w:t>
      </w:r>
      <w:r w:rsidR="002B6B35" w:rsidRPr="00AE141E">
        <w:rPr>
          <w:rFonts w:ascii="Times New Roman" w:hAnsi="Times New Roman" w:cs="Times New Roman"/>
          <w:sz w:val="24"/>
          <w:szCs w:val="24"/>
        </w:rPr>
        <w:t xml:space="preserve">histories </w:t>
      </w:r>
      <w:r w:rsidR="00C447EA" w:rsidRPr="00AE141E">
        <w:rPr>
          <w:rFonts w:ascii="Times New Roman" w:hAnsi="Times New Roman" w:cs="Times New Roman"/>
          <w:sz w:val="24"/>
          <w:szCs w:val="24"/>
        </w:rPr>
        <w:t xml:space="preserve">may stem from </w:t>
      </w:r>
      <w:r w:rsidR="004573CA" w:rsidRPr="00AE141E">
        <w:rPr>
          <w:rFonts w:ascii="Times New Roman" w:hAnsi="Times New Roman" w:cs="Times New Roman"/>
          <w:sz w:val="24"/>
          <w:szCs w:val="24"/>
        </w:rPr>
        <w:t xml:space="preserve">the HWG’s hierarchisation of cultures, </w:t>
      </w:r>
      <w:r w:rsidR="00E919A2">
        <w:rPr>
          <w:rFonts w:ascii="Times New Roman" w:hAnsi="Times New Roman" w:cs="Times New Roman"/>
          <w:sz w:val="24"/>
          <w:szCs w:val="24"/>
        </w:rPr>
        <w:t>w</w:t>
      </w:r>
      <w:r w:rsidR="004573CA" w:rsidRPr="00AE141E">
        <w:rPr>
          <w:rFonts w:ascii="Times New Roman" w:hAnsi="Times New Roman" w:cs="Times New Roman"/>
          <w:sz w:val="24"/>
          <w:szCs w:val="24"/>
        </w:rPr>
        <w:t xml:space="preserve">hich posited </w:t>
      </w:r>
      <w:r w:rsidR="00BB69BA" w:rsidRPr="00AE141E">
        <w:rPr>
          <w:rFonts w:ascii="Times New Roman" w:hAnsi="Times New Roman" w:cs="Times New Roman"/>
          <w:sz w:val="24"/>
          <w:szCs w:val="24"/>
        </w:rPr>
        <w:t>some as stagnant and unhistorical</w:t>
      </w:r>
      <w:r w:rsidR="00075A73" w:rsidRPr="00AE141E">
        <w:rPr>
          <w:rFonts w:ascii="Times New Roman" w:hAnsi="Times New Roman" w:cs="Times New Roman"/>
          <w:sz w:val="24"/>
          <w:szCs w:val="24"/>
        </w:rPr>
        <w:t xml:space="preserve"> due to their deviation from </w:t>
      </w:r>
      <w:r w:rsidR="00327C92" w:rsidRPr="00AE141E">
        <w:rPr>
          <w:rFonts w:ascii="Times New Roman" w:hAnsi="Times New Roman" w:cs="Times New Roman"/>
          <w:sz w:val="24"/>
          <w:szCs w:val="24"/>
        </w:rPr>
        <w:t xml:space="preserve">the pattern of Euro-American ‘modernity’. </w:t>
      </w:r>
      <w:r w:rsidR="007C4AEA" w:rsidRPr="00AE141E">
        <w:rPr>
          <w:rFonts w:ascii="Times New Roman" w:hAnsi="Times New Roman" w:cs="Times New Roman"/>
          <w:sz w:val="24"/>
          <w:szCs w:val="24"/>
        </w:rPr>
        <w:t xml:space="preserve">Africa’s near exclusion from the syllabus therefore </w:t>
      </w:r>
      <w:r w:rsidR="00783182" w:rsidRPr="00AE141E">
        <w:rPr>
          <w:rFonts w:ascii="Times New Roman" w:hAnsi="Times New Roman" w:cs="Times New Roman"/>
          <w:sz w:val="24"/>
          <w:szCs w:val="24"/>
        </w:rPr>
        <w:t xml:space="preserve">implied a judgement both of the continent’s </w:t>
      </w:r>
      <w:r w:rsidR="00E05488" w:rsidRPr="00AE141E">
        <w:rPr>
          <w:rFonts w:ascii="Times New Roman" w:hAnsi="Times New Roman" w:cs="Times New Roman"/>
          <w:sz w:val="24"/>
          <w:szCs w:val="24"/>
        </w:rPr>
        <w:t>significance</w:t>
      </w:r>
      <w:r w:rsidR="00783182" w:rsidRPr="00AE141E">
        <w:rPr>
          <w:rFonts w:ascii="Times New Roman" w:hAnsi="Times New Roman" w:cs="Times New Roman"/>
          <w:sz w:val="24"/>
          <w:szCs w:val="24"/>
        </w:rPr>
        <w:t xml:space="preserve"> (secondary) and of its very historicity.</w:t>
      </w:r>
    </w:p>
    <w:p w14:paraId="6D366D16" w14:textId="137FB5E8" w:rsidR="00316EC4" w:rsidRDefault="007606D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Interim Report </w:t>
      </w:r>
      <w:r w:rsidR="00397E11">
        <w:rPr>
          <w:rFonts w:ascii="Times New Roman" w:hAnsi="Times New Roman" w:cs="Times New Roman"/>
          <w:sz w:val="24"/>
          <w:szCs w:val="24"/>
        </w:rPr>
        <w:t>detailed the</w:t>
      </w:r>
      <w:r w:rsidRPr="00AE141E">
        <w:rPr>
          <w:rFonts w:ascii="Times New Roman" w:hAnsi="Times New Roman" w:cs="Times New Roman"/>
          <w:sz w:val="24"/>
          <w:szCs w:val="24"/>
        </w:rPr>
        <w:t xml:space="preserve"> </w:t>
      </w:r>
      <w:r w:rsidR="00135598">
        <w:rPr>
          <w:rFonts w:ascii="Times New Roman" w:hAnsi="Times New Roman" w:cs="Times New Roman"/>
          <w:sz w:val="24"/>
          <w:szCs w:val="24"/>
        </w:rPr>
        <w:t>broad themes</w:t>
      </w:r>
      <w:r w:rsidR="005D6AA3">
        <w:rPr>
          <w:rFonts w:ascii="Times New Roman" w:hAnsi="Times New Roman" w:cs="Times New Roman"/>
          <w:sz w:val="24"/>
          <w:szCs w:val="24"/>
        </w:rPr>
        <w:t xml:space="preserve"> and skills</w:t>
      </w:r>
      <w:r w:rsidR="00777440" w:rsidRPr="00AE141E">
        <w:rPr>
          <w:rFonts w:ascii="Times New Roman" w:hAnsi="Times New Roman" w:cs="Times New Roman"/>
          <w:sz w:val="24"/>
          <w:szCs w:val="24"/>
        </w:rPr>
        <w:t xml:space="preserve"> which all </w:t>
      </w:r>
      <w:r w:rsidR="00324E2C">
        <w:rPr>
          <w:rFonts w:ascii="Times New Roman" w:hAnsi="Times New Roman" w:cs="Times New Roman"/>
          <w:sz w:val="24"/>
          <w:szCs w:val="24"/>
        </w:rPr>
        <w:t>schools</w:t>
      </w:r>
      <w:r w:rsidR="00777440" w:rsidRPr="00AE141E">
        <w:rPr>
          <w:rFonts w:ascii="Times New Roman" w:hAnsi="Times New Roman" w:cs="Times New Roman"/>
          <w:sz w:val="24"/>
          <w:szCs w:val="24"/>
        </w:rPr>
        <w:t xml:space="preserve"> were </w:t>
      </w:r>
      <w:r w:rsidR="00BC789A">
        <w:rPr>
          <w:rFonts w:ascii="Times New Roman" w:hAnsi="Times New Roman" w:cs="Times New Roman"/>
          <w:sz w:val="24"/>
          <w:szCs w:val="24"/>
        </w:rPr>
        <w:t>expected</w:t>
      </w:r>
      <w:r w:rsidR="000F27C4" w:rsidRPr="00AE141E">
        <w:rPr>
          <w:rFonts w:ascii="Times New Roman" w:hAnsi="Times New Roman" w:cs="Times New Roman"/>
          <w:sz w:val="24"/>
          <w:szCs w:val="24"/>
        </w:rPr>
        <w:t xml:space="preserve"> to</w:t>
      </w:r>
      <w:r w:rsidR="00777440" w:rsidRPr="00AE141E">
        <w:rPr>
          <w:rFonts w:ascii="Times New Roman" w:hAnsi="Times New Roman" w:cs="Times New Roman"/>
          <w:sz w:val="24"/>
          <w:szCs w:val="24"/>
        </w:rPr>
        <w:t xml:space="preserve"> </w:t>
      </w:r>
      <w:r w:rsidR="00324E2C">
        <w:rPr>
          <w:rFonts w:ascii="Times New Roman" w:hAnsi="Times New Roman" w:cs="Times New Roman"/>
          <w:sz w:val="24"/>
          <w:szCs w:val="24"/>
        </w:rPr>
        <w:t>teach</w:t>
      </w:r>
      <w:r w:rsidR="00450252" w:rsidRPr="00AE141E">
        <w:rPr>
          <w:rFonts w:ascii="Times New Roman" w:hAnsi="Times New Roman" w:cs="Times New Roman"/>
          <w:sz w:val="24"/>
          <w:szCs w:val="24"/>
        </w:rPr>
        <w:t>.</w:t>
      </w:r>
      <w:r w:rsidR="00C50BF5" w:rsidRPr="00AE141E">
        <w:rPr>
          <w:rFonts w:ascii="Times New Roman" w:hAnsi="Times New Roman" w:cs="Times New Roman"/>
          <w:sz w:val="24"/>
          <w:szCs w:val="24"/>
        </w:rPr>
        <w:t xml:space="preserve"> </w:t>
      </w:r>
      <w:r w:rsidR="00397E11">
        <w:rPr>
          <w:rFonts w:ascii="Times New Roman" w:hAnsi="Times New Roman" w:cs="Times New Roman"/>
          <w:sz w:val="24"/>
          <w:szCs w:val="24"/>
        </w:rPr>
        <w:t>It</w:t>
      </w:r>
      <w:r w:rsidR="00C50BF5" w:rsidRPr="00AE141E">
        <w:rPr>
          <w:rFonts w:ascii="Times New Roman" w:hAnsi="Times New Roman" w:cs="Times New Roman"/>
          <w:sz w:val="24"/>
          <w:szCs w:val="24"/>
        </w:rPr>
        <w:t xml:space="preserve"> did not, however, specify </w:t>
      </w:r>
      <w:r w:rsidR="00210A90">
        <w:rPr>
          <w:rFonts w:ascii="Times New Roman" w:hAnsi="Times New Roman" w:cs="Times New Roman"/>
          <w:sz w:val="24"/>
          <w:szCs w:val="24"/>
        </w:rPr>
        <w:t xml:space="preserve">a list of </w:t>
      </w:r>
      <w:r w:rsidR="00FF793E" w:rsidRPr="00AE141E">
        <w:rPr>
          <w:rFonts w:ascii="Times New Roman" w:hAnsi="Times New Roman" w:cs="Times New Roman"/>
          <w:sz w:val="24"/>
          <w:szCs w:val="24"/>
        </w:rPr>
        <w:t>essential knowledge</w:t>
      </w:r>
      <w:r w:rsidR="00F44478">
        <w:rPr>
          <w:rFonts w:ascii="Times New Roman" w:hAnsi="Times New Roman" w:cs="Times New Roman"/>
          <w:sz w:val="24"/>
          <w:szCs w:val="24"/>
        </w:rPr>
        <w:t xml:space="preserve"> </w:t>
      </w:r>
      <w:r w:rsidR="00135598">
        <w:rPr>
          <w:rFonts w:ascii="Times New Roman" w:hAnsi="Times New Roman" w:cs="Times New Roman"/>
          <w:sz w:val="24"/>
          <w:szCs w:val="24"/>
        </w:rPr>
        <w:t>under the rubric of</w:t>
      </w:r>
      <w:r w:rsidR="00F44478">
        <w:rPr>
          <w:rFonts w:ascii="Times New Roman" w:hAnsi="Times New Roman" w:cs="Times New Roman"/>
          <w:sz w:val="24"/>
          <w:szCs w:val="24"/>
        </w:rPr>
        <w:t xml:space="preserve"> each HSU</w:t>
      </w:r>
      <w:r w:rsidR="00777440" w:rsidRPr="00AE141E">
        <w:rPr>
          <w:rFonts w:ascii="Times New Roman" w:hAnsi="Times New Roman" w:cs="Times New Roman"/>
          <w:sz w:val="24"/>
          <w:szCs w:val="24"/>
        </w:rPr>
        <w:t xml:space="preserve">. </w:t>
      </w:r>
      <w:r w:rsidR="00F44478">
        <w:rPr>
          <w:rFonts w:ascii="Times New Roman" w:hAnsi="Times New Roman" w:cs="Times New Roman"/>
          <w:sz w:val="24"/>
          <w:szCs w:val="24"/>
        </w:rPr>
        <w:t>Furthermore, and i</w:t>
      </w:r>
      <w:r w:rsidR="00777440" w:rsidRPr="00AE141E">
        <w:rPr>
          <w:rFonts w:ascii="Times New Roman" w:hAnsi="Times New Roman" w:cs="Times New Roman"/>
          <w:sz w:val="24"/>
          <w:szCs w:val="24"/>
        </w:rPr>
        <w:t>n defiance of expectations, the HWG unanimously resisted</w:t>
      </w:r>
      <w:r w:rsidR="00067EDB" w:rsidRPr="00AE141E">
        <w:rPr>
          <w:rFonts w:ascii="Times New Roman" w:hAnsi="Times New Roman" w:cs="Times New Roman"/>
          <w:sz w:val="24"/>
          <w:szCs w:val="24"/>
        </w:rPr>
        <w:t xml:space="preserve"> the inclusion of </w:t>
      </w:r>
      <w:r w:rsidR="00067EDB" w:rsidRPr="00AE141E">
        <w:rPr>
          <w:rFonts w:ascii="Times New Roman" w:hAnsi="Times New Roman" w:cs="Times New Roman"/>
          <w:sz w:val="24"/>
          <w:szCs w:val="24"/>
        </w:rPr>
        <w:lastRenderedPageBreak/>
        <w:t>a separate Attainment Target for knowledge</w:t>
      </w:r>
      <w:r w:rsidR="00333D2B">
        <w:rPr>
          <w:rFonts w:ascii="Times New Roman" w:hAnsi="Times New Roman" w:cs="Times New Roman"/>
          <w:sz w:val="24"/>
          <w:szCs w:val="24"/>
        </w:rPr>
        <w:t xml:space="preserve"> in its proposals for assessment</w:t>
      </w:r>
      <w:r w:rsidR="00DF756D" w:rsidRPr="00AE141E">
        <w:rPr>
          <w:rFonts w:ascii="Times New Roman" w:hAnsi="Times New Roman" w:cs="Times New Roman"/>
          <w:sz w:val="24"/>
          <w:szCs w:val="24"/>
        </w:rPr>
        <w:t>.</w:t>
      </w:r>
      <w:r w:rsidR="00C66634" w:rsidRPr="00AE141E">
        <w:rPr>
          <w:rStyle w:val="FootnoteReference"/>
          <w:rFonts w:ascii="Times New Roman" w:hAnsi="Times New Roman" w:cs="Times New Roman"/>
          <w:sz w:val="24"/>
          <w:szCs w:val="24"/>
        </w:rPr>
        <w:footnoteReference w:id="822"/>
      </w:r>
      <w:r w:rsidR="006D79BC" w:rsidRPr="00AE141E">
        <w:rPr>
          <w:rFonts w:ascii="Times New Roman" w:hAnsi="Times New Roman" w:cs="Times New Roman"/>
          <w:sz w:val="24"/>
          <w:szCs w:val="24"/>
        </w:rPr>
        <w:t xml:space="preserve"> The </w:t>
      </w:r>
      <w:r w:rsidR="001E0C5A" w:rsidRPr="00AE141E">
        <w:rPr>
          <w:rFonts w:ascii="Times New Roman" w:hAnsi="Times New Roman" w:cs="Times New Roman"/>
          <w:sz w:val="24"/>
          <w:szCs w:val="24"/>
        </w:rPr>
        <w:t>G</w:t>
      </w:r>
      <w:r w:rsidR="006D79BC" w:rsidRPr="00AE141E">
        <w:rPr>
          <w:rFonts w:ascii="Times New Roman" w:hAnsi="Times New Roman" w:cs="Times New Roman"/>
          <w:sz w:val="24"/>
          <w:szCs w:val="24"/>
        </w:rPr>
        <w:t xml:space="preserve">roup’s objections were </w:t>
      </w:r>
      <w:r w:rsidR="00D95965" w:rsidRPr="00AE141E">
        <w:rPr>
          <w:rFonts w:ascii="Times New Roman" w:hAnsi="Times New Roman" w:cs="Times New Roman"/>
          <w:sz w:val="24"/>
          <w:szCs w:val="24"/>
        </w:rPr>
        <w:t xml:space="preserve">not </w:t>
      </w:r>
      <w:r w:rsidR="00D66784" w:rsidRPr="00AE141E">
        <w:rPr>
          <w:rFonts w:ascii="Times New Roman" w:hAnsi="Times New Roman" w:cs="Times New Roman"/>
          <w:sz w:val="24"/>
          <w:szCs w:val="24"/>
        </w:rPr>
        <w:t xml:space="preserve">based on a </w:t>
      </w:r>
      <w:r w:rsidR="00203099" w:rsidRPr="00AE141E">
        <w:rPr>
          <w:rFonts w:ascii="Times New Roman" w:hAnsi="Times New Roman" w:cs="Times New Roman"/>
          <w:sz w:val="24"/>
          <w:szCs w:val="24"/>
        </w:rPr>
        <w:t xml:space="preserve">judgement that knowledge was unimportant. </w:t>
      </w:r>
      <w:r w:rsidR="00B247C7" w:rsidRPr="00AE141E">
        <w:rPr>
          <w:rFonts w:ascii="Times New Roman" w:hAnsi="Times New Roman" w:cs="Times New Roman"/>
          <w:sz w:val="24"/>
          <w:szCs w:val="24"/>
        </w:rPr>
        <w:t xml:space="preserve">On the contrary, most members believed that the debate over ‘skills </w:t>
      </w:r>
      <w:r w:rsidR="00B247C7" w:rsidRPr="00AE141E">
        <w:rPr>
          <w:rFonts w:ascii="Times New Roman" w:hAnsi="Times New Roman" w:cs="Times New Roman"/>
          <w:i/>
          <w:sz w:val="24"/>
          <w:szCs w:val="24"/>
        </w:rPr>
        <w:t>versus</w:t>
      </w:r>
      <w:r w:rsidR="00B247C7" w:rsidRPr="00AE141E">
        <w:rPr>
          <w:rFonts w:ascii="Times New Roman" w:hAnsi="Times New Roman" w:cs="Times New Roman"/>
          <w:sz w:val="24"/>
          <w:szCs w:val="24"/>
        </w:rPr>
        <w:t xml:space="preserve"> knowledge’ had been overstated and the </w:t>
      </w:r>
      <w:r w:rsidR="000D1253" w:rsidRPr="00AE141E">
        <w:rPr>
          <w:rFonts w:ascii="Times New Roman" w:hAnsi="Times New Roman" w:cs="Times New Roman"/>
          <w:sz w:val="24"/>
          <w:szCs w:val="24"/>
        </w:rPr>
        <w:t>two were mutually reinforcing and of equal import</w:t>
      </w:r>
      <w:r w:rsidR="00EC360A" w:rsidRPr="00AE141E">
        <w:rPr>
          <w:rFonts w:ascii="Times New Roman" w:hAnsi="Times New Roman" w:cs="Times New Roman"/>
          <w:sz w:val="24"/>
          <w:szCs w:val="24"/>
        </w:rPr>
        <w:t>.</w:t>
      </w:r>
      <w:r w:rsidR="00BF0583" w:rsidRPr="00AE141E">
        <w:rPr>
          <w:rStyle w:val="FootnoteReference"/>
          <w:rFonts w:ascii="Times New Roman" w:hAnsi="Times New Roman" w:cs="Times New Roman"/>
          <w:sz w:val="24"/>
          <w:szCs w:val="24"/>
        </w:rPr>
        <w:footnoteReference w:id="823"/>
      </w:r>
      <w:r w:rsidR="00EC360A" w:rsidRPr="00AE141E">
        <w:rPr>
          <w:rFonts w:ascii="Times New Roman" w:hAnsi="Times New Roman" w:cs="Times New Roman"/>
          <w:sz w:val="24"/>
          <w:szCs w:val="24"/>
        </w:rPr>
        <w:t xml:space="preserve"> </w:t>
      </w:r>
      <w:r w:rsidR="004B53DC" w:rsidRPr="00AE141E">
        <w:rPr>
          <w:rFonts w:ascii="Times New Roman" w:hAnsi="Times New Roman" w:cs="Times New Roman"/>
          <w:sz w:val="24"/>
          <w:szCs w:val="24"/>
        </w:rPr>
        <w:t xml:space="preserve">At all times, the </w:t>
      </w:r>
      <w:r w:rsidR="001E0C5A" w:rsidRPr="00AE141E">
        <w:rPr>
          <w:rFonts w:ascii="Times New Roman" w:hAnsi="Times New Roman" w:cs="Times New Roman"/>
          <w:sz w:val="24"/>
          <w:szCs w:val="24"/>
        </w:rPr>
        <w:t>G</w:t>
      </w:r>
      <w:r w:rsidR="004B53DC" w:rsidRPr="00AE141E">
        <w:rPr>
          <w:rFonts w:ascii="Times New Roman" w:hAnsi="Times New Roman" w:cs="Times New Roman"/>
          <w:sz w:val="24"/>
          <w:szCs w:val="24"/>
        </w:rPr>
        <w:t xml:space="preserve">roup was eager to clarify that </w:t>
      </w:r>
      <w:r w:rsidR="00DF2A32" w:rsidRPr="00AE141E">
        <w:rPr>
          <w:rFonts w:ascii="Times New Roman" w:hAnsi="Times New Roman" w:cs="Times New Roman"/>
          <w:sz w:val="24"/>
          <w:szCs w:val="24"/>
        </w:rPr>
        <w:t xml:space="preserve">knowledge-based work </w:t>
      </w:r>
      <w:r w:rsidR="00A503C5" w:rsidRPr="00AE141E">
        <w:rPr>
          <w:rFonts w:ascii="Times New Roman" w:hAnsi="Times New Roman" w:cs="Times New Roman"/>
          <w:sz w:val="24"/>
          <w:szCs w:val="24"/>
        </w:rPr>
        <w:t>should not be identified with a return to repetitive, uncritical ‘rote-learning’.</w:t>
      </w:r>
      <w:r w:rsidR="00BB0E8E" w:rsidRPr="00AE141E">
        <w:rPr>
          <w:rStyle w:val="FootnoteReference"/>
          <w:rFonts w:ascii="Times New Roman" w:hAnsi="Times New Roman" w:cs="Times New Roman"/>
          <w:sz w:val="24"/>
          <w:szCs w:val="24"/>
        </w:rPr>
        <w:footnoteReference w:id="824"/>
      </w:r>
      <w:r w:rsidR="00A503C5" w:rsidRPr="00AE141E">
        <w:rPr>
          <w:rFonts w:ascii="Times New Roman" w:hAnsi="Times New Roman" w:cs="Times New Roman"/>
          <w:sz w:val="24"/>
          <w:szCs w:val="24"/>
        </w:rPr>
        <w:t xml:space="preserve"> </w:t>
      </w:r>
      <w:r w:rsidR="00321C3C" w:rsidRPr="00AE141E">
        <w:rPr>
          <w:rFonts w:ascii="Times New Roman" w:hAnsi="Times New Roman" w:cs="Times New Roman"/>
          <w:sz w:val="24"/>
          <w:szCs w:val="24"/>
        </w:rPr>
        <w:t>The hesitancy of the HWG to specify knowledge in</w:t>
      </w:r>
      <w:r w:rsidR="00D1059D" w:rsidRPr="00AE141E">
        <w:rPr>
          <w:rFonts w:ascii="Times New Roman" w:hAnsi="Times New Roman" w:cs="Times New Roman"/>
          <w:sz w:val="24"/>
          <w:szCs w:val="24"/>
        </w:rPr>
        <w:t xml:space="preserve"> levelled</w:t>
      </w:r>
      <w:r w:rsidR="00321C3C" w:rsidRPr="00AE141E">
        <w:rPr>
          <w:rFonts w:ascii="Times New Roman" w:hAnsi="Times New Roman" w:cs="Times New Roman"/>
          <w:sz w:val="24"/>
          <w:szCs w:val="24"/>
        </w:rPr>
        <w:t xml:space="preserve"> ATs was</w:t>
      </w:r>
      <w:r w:rsidR="00D1059D" w:rsidRPr="00AE141E">
        <w:rPr>
          <w:rFonts w:ascii="Times New Roman" w:hAnsi="Times New Roman" w:cs="Times New Roman"/>
          <w:sz w:val="24"/>
          <w:szCs w:val="24"/>
        </w:rPr>
        <w:t xml:space="preserve"> instead primarily practical. As </w:t>
      </w:r>
      <w:r w:rsidR="008779DF" w:rsidRPr="00AE141E">
        <w:rPr>
          <w:rFonts w:ascii="Times New Roman" w:hAnsi="Times New Roman" w:cs="Times New Roman"/>
          <w:sz w:val="24"/>
          <w:szCs w:val="24"/>
        </w:rPr>
        <w:t>Saunders</w:t>
      </w:r>
      <w:r w:rsidR="00427E5C" w:rsidRPr="00AE141E">
        <w:rPr>
          <w:rFonts w:ascii="Times New Roman" w:hAnsi="Times New Roman" w:cs="Times New Roman"/>
          <w:sz w:val="24"/>
          <w:szCs w:val="24"/>
        </w:rPr>
        <w:t xml:space="preserve"> </w:t>
      </w:r>
      <w:r w:rsidR="008779DF" w:rsidRPr="00AE141E">
        <w:rPr>
          <w:rFonts w:ascii="Times New Roman" w:hAnsi="Times New Roman" w:cs="Times New Roman"/>
          <w:sz w:val="24"/>
          <w:szCs w:val="24"/>
        </w:rPr>
        <w:t xml:space="preserve">Watson </w:t>
      </w:r>
      <w:r w:rsidR="00D1059D" w:rsidRPr="00AE141E">
        <w:rPr>
          <w:rFonts w:ascii="Times New Roman" w:hAnsi="Times New Roman" w:cs="Times New Roman"/>
          <w:sz w:val="24"/>
          <w:szCs w:val="24"/>
        </w:rPr>
        <w:t xml:space="preserve">asked, </w:t>
      </w:r>
      <w:r w:rsidR="00B80042" w:rsidRPr="00AE141E">
        <w:rPr>
          <w:rFonts w:ascii="Times New Roman" w:hAnsi="Times New Roman" w:cs="Times New Roman"/>
          <w:sz w:val="24"/>
          <w:szCs w:val="24"/>
        </w:rPr>
        <w:t>‘</w:t>
      </w:r>
      <w:r w:rsidR="00D1059D" w:rsidRPr="00AE141E">
        <w:rPr>
          <w:rFonts w:ascii="Times New Roman" w:hAnsi="Times New Roman" w:cs="Times New Roman"/>
          <w:sz w:val="24"/>
          <w:szCs w:val="24"/>
        </w:rPr>
        <w:t>h</w:t>
      </w:r>
      <w:r w:rsidR="00B80042" w:rsidRPr="00AE141E">
        <w:rPr>
          <w:rFonts w:ascii="Times New Roman" w:hAnsi="Times New Roman" w:cs="Times New Roman"/>
          <w:sz w:val="24"/>
          <w:szCs w:val="24"/>
        </w:rPr>
        <w:t>ow can you develop progression in a scheme of this sort</w:t>
      </w:r>
      <w:r w:rsidR="00380AD9" w:rsidRPr="00AE141E">
        <w:rPr>
          <w:rFonts w:ascii="Times New Roman" w:hAnsi="Times New Roman" w:cs="Times New Roman"/>
          <w:sz w:val="24"/>
          <w:szCs w:val="24"/>
        </w:rPr>
        <w:t>?</w:t>
      </w:r>
      <w:r w:rsidR="00F444F9" w:rsidRPr="00AE141E">
        <w:rPr>
          <w:rFonts w:ascii="Times New Roman" w:hAnsi="Times New Roman" w:cs="Times New Roman"/>
          <w:sz w:val="24"/>
          <w:szCs w:val="24"/>
        </w:rPr>
        <w:t xml:space="preserve"> Do you take a chronological approach to progression? Are you therefore saying that Ancient History (levels 1-3) is easier than modern history?</w:t>
      </w:r>
      <w:r w:rsidR="00D1059D" w:rsidRPr="00AE141E">
        <w:rPr>
          <w:rFonts w:ascii="Times New Roman" w:hAnsi="Times New Roman" w:cs="Times New Roman"/>
          <w:sz w:val="24"/>
          <w:szCs w:val="24"/>
        </w:rPr>
        <w:t>’</w:t>
      </w:r>
      <w:r w:rsidR="00BF4208" w:rsidRPr="00AE141E">
        <w:rPr>
          <w:rStyle w:val="FootnoteReference"/>
          <w:rFonts w:ascii="Times New Roman" w:hAnsi="Times New Roman" w:cs="Times New Roman"/>
          <w:sz w:val="24"/>
          <w:szCs w:val="24"/>
        </w:rPr>
        <w:footnoteReference w:id="825"/>
      </w:r>
      <w:r w:rsidR="003F6D1F" w:rsidRPr="00AE141E">
        <w:rPr>
          <w:rFonts w:ascii="Times New Roman" w:hAnsi="Times New Roman" w:cs="Times New Roman"/>
          <w:sz w:val="24"/>
          <w:szCs w:val="24"/>
        </w:rPr>
        <w:t xml:space="preserve"> </w:t>
      </w:r>
      <w:r w:rsidR="003A3DA4" w:rsidRPr="00AE141E">
        <w:rPr>
          <w:rFonts w:ascii="Times New Roman" w:hAnsi="Times New Roman" w:cs="Times New Roman"/>
          <w:sz w:val="24"/>
          <w:szCs w:val="24"/>
        </w:rPr>
        <w:t>Saunders</w:t>
      </w:r>
      <w:r w:rsidR="00427E5C" w:rsidRPr="00AE141E">
        <w:rPr>
          <w:rFonts w:ascii="Times New Roman" w:hAnsi="Times New Roman" w:cs="Times New Roman"/>
          <w:sz w:val="24"/>
          <w:szCs w:val="24"/>
        </w:rPr>
        <w:t xml:space="preserve"> </w:t>
      </w:r>
      <w:r w:rsidR="003A3DA4" w:rsidRPr="00AE141E">
        <w:rPr>
          <w:rFonts w:ascii="Times New Roman" w:hAnsi="Times New Roman" w:cs="Times New Roman"/>
          <w:sz w:val="24"/>
          <w:szCs w:val="24"/>
        </w:rPr>
        <w:t xml:space="preserve">Watson </w:t>
      </w:r>
      <w:r w:rsidR="00BF4208" w:rsidRPr="00AE141E">
        <w:rPr>
          <w:rFonts w:ascii="Times New Roman" w:hAnsi="Times New Roman" w:cs="Times New Roman"/>
          <w:sz w:val="24"/>
          <w:szCs w:val="24"/>
        </w:rPr>
        <w:t>took</w:t>
      </w:r>
      <w:r w:rsidR="003A3DA4" w:rsidRPr="00AE141E">
        <w:rPr>
          <w:rFonts w:ascii="Times New Roman" w:hAnsi="Times New Roman" w:cs="Times New Roman"/>
          <w:sz w:val="24"/>
          <w:szCs w:val="24"/>
        </w:rPr>
        <w:t xml:space="preserve"> credit for convincing </w:t>
      </w:r>
      <w:r w:rsidR="00136FC6">
        <w:rPr>
          <w:rFonts w:ascii="Times New Roman" w:hAnsi="Times New Roman" w:cs="Times New Roman"/>
          <w:sz w:val="24"/>
          <w:szCs w:val="24"/>
        </w:rPr>
        <w:t>the Secretary of State</w:t>
      </w:r>
      <w:r w:rsidR="003A3DA4" w:rsidRPr="00AE141E">
        <w:rPr>
          <w:rFonts w:ascii="Times New Roman" w:hAnsi="Times New Roman" w:cs="Times New Roman"/>
          <w:sz w:val="24"/>
          <w:szCs w:val="24"/>
        </w:rPr>
        <w:t xml:space="preserve"> of </w:t>
      </w:r>
      <w:r w:rsidR="009921A6">
        <w:rPr>
          <w:rFonts w:ascii="Times New Roman" w:hAnsi="Times New Roman" w:cs="Times New Roman"/>
          <w:sz w:val="24"/>
          <w:szCs w:val="24"/>
        </w:rPr>
        <w:t>the HWG’s</w:t>
      </w:r>
      <w:r w:rsidR="00BF4208" w:rsidRPr="00AE141E">
        <w:rPr>
          <w:rFonts w:ascii="Times New Roman" w:hAnsi="Times New Roman" w:cs="Times New Roman"/>
          <w:sz w:val="24"/>
          <w:szCs w:val="24"/>
        </w:rPr>
        <w:t xml:space="preserve"> argument, despite the latter’s initial hesitancy.</w:t>
      </w:r>
      <w:r w:rsidR="00766767" w:rsidRPr="00AE141E">
        <w:rPr>
          <w:rFonts w:ascii="Times New Roman" w:hAnsi="Times New Roman" w:cs="Times New Roman"/>
          <w:sz w:val="24"/>
          <w:szCs w:val="24"/>
        </w:rPr>
        <w:t xml:space="preserve"> </w:t>
      </w:r>
    </w:p>
    <w:p w14:paraId="60205AD3" w14:textId="77777777" w:rsidR="00316EC4" w:rsidRDefault="00D33B5B" w:rsidP="00AE141E">
      <w:pPr>
        <w:spacing w:line="360" w:lineRule="auto"/>
        <w:rPr>
          <w:rFonts w:ascii="Times New Roman" w:hAnsi="Times New Roman" w:cs="Times New Roman"/>
          <w:b/>
          <w:bCs/>
          <w:sz w:val="24"/>
          <w:szCs w:val="24"/>
        </w:rPr>
      </w:pPr>
      <w:r>
        <w:rPr>
          <w:rFonts w:ascii="Times New Roman" w:hAnsi="Times New Roman" w:cs="Times New Roman"/>
          <w:b/>
          <w:bCs/>
          <w:sz w:val="24"/>
          <w:szCs w:val="24"/>
        </w:rPr>
        <w:t>Responses to the Interim Report</w:t>
      </w:r>
    </w:p>
    <w:p w14:paraId="670F1227" w14:textId="3AB087F0" w:rsidR="003A3245" w:rsidRPr="00316EC4" w:rsidRDefault="00136FC6" w:rsidP="00AE141E">
      <w:pPr>
        <w:spacing w:line="360" w:lineRule="auto"/>
        <w:rPr>
          <w:rFonts w:ascii="Times New Roman" w:hAnsi="Times New Roman" w:cs="Times New Roman"/>
          <w:b/>
          <w:bCs/>
          <w:sz w:val="24"/>
          <w:szCs w:val="24"/>
        </w:rPr>
      </w:pPr>
      <w:r>
        <w:rPr>
          <w:rFonts w:ascii="Times New Roman" w:hAnsi="Times New Roman" w:cs="Times New Roman"/>
          <w:sz w:val="24"/>
          <w:szCs w:val="24"/>
        </w:rPr>
        <w:t>Baker</w:t>
      </w:r>
      <w:r w:rsidR="00766767" w:rsidRPr="00AE141E">
        <w:rPr>
          <w:rFonts w:ascii="Times New Roman" w:hAnsi="Times New Roman" w:cs="Times New Roman"/>
          <w:sz w:val="24"/>
          <w:szCs w:val="24"/>
        </w:rPr>
        <w:t xml:space="preserve"> </w:t>
      </w:r>
      <w:r w:rsidR="000779FB" w:rsidRPr="00AE141E">
        <w:rPr>
          <w:rFonts w:ascii="Times New Roman" w:hAnsi="Times New Roman" w:cs="Times New Roman"/>
          <w:sz w:val="24"/>
          <w:szCs w:val="24"/>
        </w:rPr>
        <w:t>was reasonably supportive of the approach indicated by the HWG’s Interim Report and was prepared to accept its conclusions with minor revisions, pending consultation.</w:t>
      </w:r>
      <w:r w:rsidR="00722249" w:rsidRPr="00AE141E">
        <w:rPr>
          <w:rStyle w:val="FootnoteReference"/>
          <w:rFonts w:ascii="Times New Roman" w:hAnsi="Times New Roman" w:cs="Times New Roman"/>
          <w:sz w:val="24"/>
          <w:szCs w:val="24"/>
        </w:rPr>
        <w:footnoteReference w:id="826"/>
      </w:r>
      <w:r w:rsidR="000779FB" w:rsidRPr="00AE141E">
        <w:rPr>
          <w:rFonts w:ascii="Times New Roman" w:hAnsi="Times New Roman" w:cs="Times New Roman"/>
          <w:sz w:val="24"/>
          <w:szCs w:val="24"/>
        </w:rPr>
        <w:t xml:space="preserve"> </w:t>
      </w:r>
      <w:r w:rsidR="0008738E" w:rsidRPr="00AE141E">
        <w:rPr>
          <w:rFonts w:ascii="Times New Roman" w:hAnsi="Times New Roman" w:cs="Times New Roman"/>
          <w:sz w:val="24"/>
          <w:szCs w:val="24"/>
        </w:rPr>
        <w:t xml:space="preserve">Thatcher, on the other hand, </w:t>
      </w:r>
      <w:r w:rsidR="00DB3E3C" w:rsidRPr="00AE141E">
        <w:rPr>
          <w:rFonts w:ascii="Times New Roman" w:hAnsi="Times New Roman" w:cs="Times New Roman"/>
          <w:sz w:val="24"/>
          <w:szCs w:val="24"/>
        </w:rPr>
        <w:t>professed herself to be ‘</w:t>
      </w:r>
      <w:r w:rsidR="00EB6394" w:rsidRPr="00AE141E">
        <w:rPr>
          <w:rFonts w:ascii="Times New Roman" w:hAnsi="Times New Roman" w:cs="Times New Roman"/>
          <w:sz w:val="24"/>
          <w:szCs w:val="24"/>
        </w:rPr>
        <w:t>extremely disappointed’</w:t>
      </w:r>
      <w:r w:rsidR="000779FB" w:rsidRPr="00AE141E">
        <w:rPr>
          <w:rFonts w:ascii="Times New Roman" w:hAnsi="Times New Roman" w:cs="Times New Roman"/>
          <w:sz w:val="24"/>
          <w:szCs w:val="24"/>
        </w:rPr>
        <w:t>.</w:t>
      </w:r>
      <w:r w:rsidR="00722249" w:rsidRPr="00AE141E">
        <w:rPr>
          <w:rStyle w:val="FootnoteReference"/>
          <w:rFonts w:ascii="Times New Roman" w:hAnsi="Times New Roman" w:cs="Times New Roman"/>
          <w:sz w:val="24"/>
          <w:szCs w:val="24"/>
        </w:rPr>
        <w:footnoteReference w:id="827"/>
      </w:r>
      <w:r w:rsidR="000779FB" w:rsidRPr="00AE141E">
        <w:rPr>
          <w:rFonts w:ascii="Times New Roman" w:hAnsi="Times New Roman" w:cs="Times New Roman"/>
          <w:sz w:val="24"/>
          <w:szCs w:val="24"/>
        </w:rPr>
        <w:t xml:space="preserve"> </w:t>
      </w:r>
      <w:r w:rsidR="003A3245" w:rsidRPr="00AE141E">
        <w:rPr>
          <w:rFonts w:ascii="Times New Roman" w:hAnsi="Times New Roman" w:cs="Times New Roman"/>
          <w:sz w:val="24"/>
          <w:szCs w:val="24"/>
        </w:rPr>
        <w:t>Her criticisms fell into</w:t>
      </w:r>
      <w:r w:rsidR="00314F3E" w:rsidRPr="00AE141E">
        <w:rPr>
          <w:rFonts w:ascii="Times New Roman" w:hAnsi="Times New Roman" w:cs="Times New Roman"/>
          <w:sz w:val="24"/>
          <w:szCs w:val="24"/>
        </w:rPr>
        <w:t xml:space="preserve"> three categories: the ‘</w:t>
      </w:r>
      <w:r w:rsidR="003A3245" w:rsidRPr="00AE141E">
        <w:rPr>
          <w:rFonts w:ascii="Times New Roman" w:hAnsi="Times New Roman" w:cs="Times New Roman"/>
          <w:sz w:val="24"/>
          <w:szCs w:val="24"/>
        </w:rPr>
        <w:t>critical imbalance against content and knowledge</w:t>
      </w:r>
      <w:r w:rsidR="00314F3E" w:rsidRPr="00AE141E">
        <w:rPr>
          <w:rFonts w:ascii="Times New Roman" w:hAnsi="Times New Roman" w:cs="Times New Roman"/>
          <w:sz w:val="24"/>
          <w:szCs w:val="24"/>
        </w:rPr>
        <w:t>’</w:t>
      </w:r>
      <w:r w:rsidR="003A3245" w:rsidRPr="00AE141E">
        <w:rPr>
          <w:rFonts w:ascii="Times New Roman" w:hAnsi="Times New Roman" w:cs="Times New Roman"/>
          <w:sz w:val="24"/>
          <w:szCs w:val="24"/>
        </w:rPr>
        <w:t xml:space="preserve"> in favour of interpretation and enquiry</w:t>
      </w:r>
      <w:r w:rsidR="00314F3E" w:rsidRPr="00AE141E">
        <w:rPr>
          <w:rFonts w:ascii="Times New Roman" w:hAnsi="Times New Roman" w:cs="Times New Roman"/>
          <w:sz w:val="24"/>
          <w:szCs w:val="24"/>
        </w:rPr>
        <w:t xml:space="preserve">, </w:t>
      </w:r>
      <w:r w:rsidR="003A3245" w:rsidRPr="00AE141E">
        <w:rPr>
          <w:rFonts w:ascii="Times New Roman" w:hAnsi="Times New Roman" w:cs="Times New Roman"/>
          <w:sz w:val="24"/>
          <w:szCs w:val="24"/>
        </w:rPr>
        <w:t>the</w:t>
      </w:r>
      <w:r w:rsidR="00314F3E" w:rsidRPr="00AE141E">
        <w:rPr>
          <w:rFonts w:ascii="Times New Roman" w:hAnsi="Times New Roman" w:cs="Times New Roman"/>
          <w:sz w:val="24"/>
          <w:szCs w:val="24"/>
        </w:rPr>
        <w:t xml:space="preserve"> insufficient</w:t>
      </w:r>
      <w:r w:rsidR="003A3245" w:rsidRPr="00AE141E">
        <w:rPr>
          <w:rFonts w:ascii="Times New Roman" w:hAnsi="Times New Roman" w:cs="Times New Roman"/>
          <w:sz w:val="24"/>
          <w:szCs w:val="24"/>
        </w:rPr>
        <w:t xml:space="preserve"> weight given to British history</w:t>
      </w:r>
      <w:r w:rsidR="00291904" w:rsidRPr="00AE141E">
        <w:rPr>
          <w:rFonts w:ascii="Times New Roman" w:hAnsi="Times New Roman" w:cs="Times New Roman"/>
          <w:sz w:val="24"/>
          <w:szCs w:val="24"/>
        </w:rPr>
        <w:t>, and the failure to treat history as a chronological study of the nation’s ‘</w:t>
      </w:r>
      <w:r w:rsidR="003A3245" w:rsidRPr="00AE141E">
        <w:rPr>
          <w:rFonts w:ascii="Times New Roman" w:hAnsi="Times New Roman" w:cs="Times New Roman"/>
          <w:sz w:val="24"/>
          <w:szCs w:val="24"/>
        </w:rPr>
        <w:t>political, constitutional, cultural and religious</w:t>
      </w:r>
      <w:r w:rsidR="003828B3">
        <w:rPr>
          <w:rFonts w:ascii="Times New Roman" w:hAnsi="Times New Roman" w:cs="Times New Roman"/>
          <w:sz w:val="24"/>
          <w:szCs w:val="24"/>
        </w:rPr>
        <w:t>’ past</w:t>
      </w:r>
      <w:r w:rsidR="00291904" w:rsidRPr="00AE141E">
        <w:rPr>
          <w:rFonts w:ascii="Times New Roman" w:hAnsi="Times New Roman" w:cs="Times New Roman"/>
          <w:sz w:val="24"/>
          <w:szCs w:val="24"/>
        </w:rPr>
        <w:t>.</w:t>
      </w:r>
      <w:r w:rsidR="00414CE9" w:rsidRPr="00AE141E">
        <w:rPr>
          <w:rFonts w:ascii="Times New Roman" w:hAnsi="Times New Roman" w:cs="Times New Roman"/>
          <w:sz w:val="24"/>
          <w:szCs w:val="24"/>
        </w:rPr>
        <w:t xml:space="preserve"> Thatcher </w:t>
      </w:r>
      <w:r w:rsidR="000F4BF7">
        <w:rPr>
          <w:rFonts w:ascii="Times New Roman" w:hAnsi="Times New Roman" w:cs="Times New Roman"/>
          <w:sz w:val="24"/>
          <w:szCs w:val="24"/>
        </w:rPr>
        <w:t>instructed</w:t>
      </w:r>
      <w:r w:rsidR="00544543" w:rsidRPr="00AE141E">
        <w:rPr>
          <w:rFonts w:ascii="Times New Roman" w:hAnsi="Times New Roman" w:cs="Times New Roman"/>
          <w:sz w:val="24"/>
          <w:szCs w:val="24"/>
        </w:rPr>
        <w:t xml:space="preserve"> </w:t>
      </w:r>
      <w:r w:rsidR="00FA4CB2" w:rsidRPr="00AE141E">
        <w:rPr>
          <w:rFonts w:ascii="Times New Roman" w:hAnsi="Times New Roman" w:cs="Times New Roman"/>
          <w:sz w:val="24"/>
          <w:szCs w:val="24"/>
        </w:rPr>
        <w:t xml:space="preserve">Baker </w:t>
      </w:r>
      <w:r w:rsidR="000F4BF7">
        <w:rPr>
          <w:rFonts w:ascii="Times New Roman" w:hAnsi="Times New Roman" w:cs="Times New Roman"/>
          <w:sz w:val="24"/>
          <w:szCs w:val="24"/>
        </w:rPr>
        <w:t>to</w:t>
      </w:r>
      <w:r w:rsidR="00A95477" w:rsidRPr="00AE141E">
        <w:rPr>
          <w:rFonts w:ascii="Times New Roman" w:hAnsi="Times New Roman" w:cs="Times New Roman"/>
          <w:sz w:val="24"/>
          <w:szCs w:val="24"/>
        </w:rPr>
        <w:t xml:space="preserve"> alter </w:t>
      </w:r>
      <w:r w:rsidR="000F4BF7">
        <w:rPr>
          <w:rFonts w:ascii="Times New Roman" w:hAnsi="Times New Roman" w:cs="Times New Roman"/>
          <w:sz w:val="24"/>
          <w:szCs w:val="24"/>
        </w:rPr>
        <w:t>his</w:t>
      </w:r>
      <w:r w:rsidR="000A2E48" w:rsidRPr="00AE141E">
        <w:rPr>
          <w:rFonts w:ascii="Times New Roman" w:hAnsi="Times New Roman" w:cs="Times New Roman"/>
          <w:sz w:val="24"/>
          <w:szCs w:val="24"/>
        </w:rPr>
        <w:t xml:space="preserve"> public</w:t>
      </w:r>
      <w:r w:rsidR="00A95477" w:rsidRPr="00AE141E">
        <w:rPr>
          <w:rFonts w:ascii="Times New Roman" w:hAnsi="Times New Roman" w:cs="Times New Roman"/>
          <w:sz w:val="24"/>
          <w:szCs w:val="24"/>
        </w:rPr>
        <w:t xml:space="preserve"> </w:t>
      </w:r>
      <w:r w:rsidR="00544543" w:rsidRPr="00AE141E">
        <w:rPr>
          <w:rFonts w:ascii="Times New Roman" w:hAnsi="Times New Roman" w:cs="Times New Roman"/>
          <w:sz w:val="24"/>
          <w:szCs w:val="24"/>
        </w:rPr>
        <w:t>letter</w:t>
      </w:r>
      <w:r w:rsidR="00A95477" w:rsidRPr="00AE141E">
        <w:rPr>
          <w:rFonts w:ascii="Times New Roman" w:hAnsi="Times New Roman" w:cs="Times New Roman"/>
          <w:sz w:val="24"/>
          <w:szCs w:val="24"/>
        </w:rPr>
        <w:t xml:space="preserve"> </w:t>
      </w:r>
      <w:r w:rsidR="00544543" w:rsidRPr="00AE141E">
        <w:rPr>
          <w:rFonts w:ascii="Times New Roman" w:hAnsi="Times New Roman" w:cs="Times New Roman"/>
          <w:sz w:val="24"/>
          <w:szCs w:val="24"/>
        </w:rPr>
        <w:t xml:space="preserve">to the </w:t>
      </w:r>
      <w:r w:rsidR="00A16A1E">
        <w:rPr>
          <w:rFonts w:ascii="Times New Roman" w:hAnsi="Times New Roman" w:cs="Times New Roman"/>
          <w:sz w:val="24"/>
          <w:szCs w:val="24"/>
        </w:rPr>
        <w:t xml:space="preserve">Group’s </w:t>
      </w:r>
      <w:r w:rsidR="00544543" w:rsidRPr="00AE141E">
        <w:rPr>
          <w:rFonts w:ascii="Times New Roman" w:hAnsi="Times New Roman" w:cs="Times New Roman"/>
          <w:sz w:val="24"/>
          <w:szCs w:val="24"/>
        </w:rPr>
        <w:t>Chairman</w:t>
      </w:r>
      <w:r w:rsidR="006D18B6">
        <w:rPr>
          <w:rFonts w:ascii="Times New Roman" w:hAnsi="Times New Roman" w:cs="Times New Roman"/>
          <w:sz w:val="24"/>
          <w:szCs w:val="24"/>
        </w:rPr>
        <w:t>, to</w:t>
      </w:r>
      <w:r w:rsidR="001D06FA">
        <w:rPr>
          <w:rFonts w:ascii="Times New Roman" w:hAnsi="Times New Roman" w:cs="Times New Roman"/>
          <w:sz w:val="24"/>
          <w:szCs w:val="24"/>
        </w:rPr>
        <w:t xml:space="preserve"> incorporate a </w:t>
      </w:r>
      <w:r w:rsidR="006D18B6">
        <w:rPr>
          <w:rFonts w:ascii="Times New Roman" w:hAnsi="Times New Roman" w:cs="Times New Roman"/>
          <w:sz w:val="24"/>
          <w:szCs w:val="24"/>
        </w:rPr>
        <w:t>demand</w:t>
      </w:r>
      <w:r w:rsidR="001D06FA">
        <w:rPr>
          <w:rFonts w:ascii="Times New Roman" w:hAnsi="Times New Roman" w:cs="Times New Roman"/>
          <w:sz w:val="24"/>
          <w:szCs w:val="24"/>
        </w:rPr>
        <w:t xml:space="preserve"> for</w:t>
      </w:r>
      <w:r w:rsidR="006D18B6">
        <w:rPr>
          <w:rFonts w:ascii="Times New Roman" w:hAnsi="Times New Roman" w:cs="Times New Roman"/>
          <w:sz w:val="24"/>
          <w:szCs w:val="24"/>
        </w:rPr>
        <w:t xml:space="preserve"> </w:t>
      </w:r>
      <w:r w:rsidR="00D74A10" w:rsidRPr="00AE141E">
        <w:rPr>
          <w:rFonts w:ascii="Times New Roman" w:hAnsi="Times New Roman" w:cs="Times New Roman"/>
          <w:sz w:val="24"/>
          <w:szCs w:val="24"/>
        </w:rPr>
        <w:t>‘major not just minor changes’</w:t>
      </w:r>
      <w:r w:rsidR="006D18B6">
        <w:rPr>
          <w:rFonts w:ascii="Times New Roman" w:hAnsi="Times New Roman" w:cs="Times New Roman"/>
          <w:sz w:val="24"/>
          <w:szCs w:val="24"/>
        </w:rPr>
        <w:t xml:space="preserve"> to the Interim Report</w:t>
      </w:r>
      <w:r w:rsidR="000B4544" w:rsidRPr="00AE141E">
        <w:rPr>
          <w:rFonts w:ascii="Times New Roman" w:hAnsi="Times New Roman" w:cs="Times New Roman"/>
          <w:sz w:val="24"/>
          <w:szCs w:val="24"/>
        </w:rPr>
        <w:t>. These included the integration</w:t>
      </w:r>
      <w:r w:rsidR="008C1FCF" w:rsidRPr="00AE141E">
        <w:rPr>
          <w:rFonts w:ascii="Times New Roman" w:hAnsi="Times New Roman" w:cs="Times New Roman"/>
          <w:sz w:val="24"/>
          <w:szCs w:val="24"/>
        </w:rPr>
        <w:t xml:space="preserve"> </w:t>
      </w:r>
      <w:r w:rsidR="00950496">
        <w:rPr>
          <w:rFonts w:ascii="Times New Roman" w:hAnsi="Times New Roman" w:cs="Times New Roman"/>
          <w:sz w:val="24"/>
          <w:szCs w:val="24"/>
        </w:rPr>
        <w:t xml:space="preserve">of </w:t>
      </w:r>
      <w:r w:rsidR="008C1FCF" w:rsidRPr="00AE141E">
        <w:rPr>
          <w:rFonts w:ascii="Times New Roman" w:hAnsi="Times New Roman" w:cs="Times New Roman"/>
          <w:sz w:val="24"/>
          <w:szCs w:val="24"/>
        </w:rPr>
        <w:t xml:space="preserve">content and knowledge into ATs, </w:t>
      </w:r>
      <w:r w:rsidR="000B4544" w:rsidRPr="00AE141E">
        <w:rPr>
          <w:rFonts w:ascii="Times New Roman" w:hAnsi="Times New Roman" w:cs="Times New Roman"/>
          <w:sz w:val="24"/>
          <w:szCs w:val="24"/>
        </w:rPr>
        <w:t>greater emphasis on British history</w:t>
      </w:r>
      <w:r w:rsidR="00862C9B">
        <w:rPr>
          <w:rFonts w:ascii="Times New Roman" w:hAnsi="Times New Roman" w:cs="Times New Roman"/>
          <w:sz w:val="24"/>
          <w:szCs w:val="24"/>
        </w:rPr>
        <w:t xml:space="preserve"> </w:t>
      </w:r>
      <w:r w:rsidR="000B4544" w:rsidRPr="00AE141E">
        <w:rPr>
          <w:rFonts w:ascii="Times New Roman" w:hAnsi="Times New Roman" w:cs="Times New Roman"/>
          <w:sz w:val="24"/>
          <w:szCs w:val="24"/>
        </w:rPr>
        <w:t>(</w:t>
      </w:r>
      <w:r w:rsidR="00862C9B">
        <w:rPr>
          <w:rFonts w:ascii="Times New Roman" w:hAnsi="Times New Roman" w:cs="Times New Roman"/>
          <w:sz w:val="24"/>
          <w:szCs w:val="24"/>
        </w:rPr>
        <w:t xml:space="preserve">which was </w:t>
      </w:r>
      <w:r w:rsidR="000B4544" w:rsidRPr="00AE141E">
        <w:rPr>
          <w:rFonts w:ascii="Times New Roman" w:hAnsi="Times New Roman" w:cs="Times New Roman"/>
          <w:sz w:val="24"/>
          <w:szCs w:val="24"/>
        </w:rPr>
        <w:t xml:space="preserve">to comprise at least 50 per cent of course time at secondary level), and </w:t>
      </w:r>
      <w:r w:rsidR="00862C9B">
        <w:rPr>
          <w:rFonts w:ascii="Times New Roman" w:hAnsi="Times New Roman" w:cs="Times New Roman"/>
          <w:sz w:val="24"/>
          <w:szCs w:val="24"/>
        </w:rPr>
        <w:t>greater emphasis on</w:t>
      </w:r>
      <w:r w:rsidR="00C42A9A" w:rsidRPr="00AE141E">
        <w:rPr>
          <w:rFonts w:ascii="Times New Roman" w:hAnsi="Times New Roman" w:cs="Times New Roman"/>
          <w:sz w:val="24"/>
          <w:szCs w:val="24"/>
        </w:rPr>
        <w:t xml:space="preserve"> the chronological dimension of historical practice.</w:t>
      </w:r>
      <w:r w:rsidR="00743459" w:rsidRPr="00AE141E">
        <w:rPr>
          <w:rFonts w:ascii="Times New Roman" w:hAnsi="Times New Roman" w:cs="Times New Roman"/>
          <w:sz w:val="24"/>
          <w:szCs w:val="24"/>
        </w:rPr>
        <w:t xml:space="preserve"> Baker acceded to </w:t>
      </w:r>
      <w:r w:rsidR="00743459" w:rsidRPr="00AE141E">
        <w:rPr>
          <w:rFonts w:ascii="Times New Roman" w:hAnsi="Times New Roman" w:cs="Times New Roman"/>
          <w:sz w:val="24"/>
          <w:szCs w:val="24"/>
        </w:rPr>
        <w:lastRenderedPageBreak/>
        <w:t>the deman</w:t>
      </w:r>
      <w:r w:rsidR="00D03A75" w:rsidRPr="00AE141E">
        <w:rPr>
          <w:rFonts w:ascii="Times New Roman" w:hAnsi="Times New Roman" w:cs="Times New Roman"/>
          <w:sz w:val="24"/>
          <w:szCs w:val="24"/>
        </w:rPr>
        <w:t>d, albeit with some prevarication</w:t>
      </w:r>
      <w:r w:rsidR="00590F9E" w:rsidRPr="00AE141E">
        <w:rPr>
          <w:rFonts w:ascii="Times New Roman" w:hAnsi="Times New Roman" w:cs="Times New Roman"/>
          <w:sz w:val="24"/>
          <w:szCs w:val="24"/>
        </w:rPr>
        <w:t>.</w:t>
      </w:r>
      <w:r w:rsidR="003A70C6" w:rsidRPr="00AE141E">
        <w:rPr>
          <w:rStyle w:val="FootnoteReference"/>
          <w:rFonts w:ascii="Times New Roman" w:hAnsi="Times New Roman" w:cs="Times New Roman"/>
          <w:sz w:val="24"/>
          <w:szCs w:val="24"/>
        </w:rPr>
        <w:footnoteReference w:id="828"/>
      </w:r>
      <w:r w:rsidR="000619E8" w:rsidRPr="00AE141E">
        <w:rPr>
          <w:rFonts w:ascii="Times New Roman" w:hAnsi="Times New Roman" w:cs="Times New Roman"/>
          <w:sz w:val="24"/>
          <w:szCs w:val="24"/>
        </w:rPr>
        <w:t xml:space="preserve"> </w:t>
      </w:r>
      <w:r w:rsidR="0043766A" w:rsidRPr="00AE141E">
        <w:rPr>
          <w:rFonts w:ascii="Times New Roman" w:hAnsi="Times New Roman" w:cs="Times New Roman"/>
          <w:sz w:val="24"/>
          <w:szCs w:val="24"/>
        </w:rPr>
        <w:t>The Secretary of State’s</w:t>
      </w:r>
      <w:r w:rsidR="0085797A" w:rsidRPr="00AE141E">
        <w:rPr>
          <w:rFonts w:ascii="Times New Roman" w:hAnsi="Times New Roman" w:cs="Times New Roman"/>
          <w:sz w:val="24"/>
          <w:szCs w:val="24"/>
        </w:rPr>
        <w:t xml:space="preserve"> formal response to the </w:t>
      </w:r>
      <w:r w:rsidR="002152AF" w:rsidRPr="00AE141E">
        <w:rPr>
          <w:rFonts w:ascii="Times New Roman" w:hAnsi="Times New Roman" w:cs="Times New Roman"/>
          <w:sz w:val="24"/>
          <w:szCs w:val="24"/>
        </w:rPr>
        <w:t>Interim Report</w:t>
      </w:r>
      <w:r w:rsidR="0043766A" w:rsidRPr="00AE141E">
        <w:rPr>
          <w:rFonts w:ascii="Times New Roman" w:hAnsi="Times New Roman" w:cs="Times New Roman"/>
          <w:sz w:val="24"/>
          <w:szCs w:val="24"/>
        </w:rPr>
        <w:t xml:space="preserve">, ultimately published by Baker’s successor John MacGregor, </w:t>
      </w:r>
      <w:r w:rsidR="002152AF" w:rsidRPr="00AE141E">
        <w:rPr>
          <w:rFonts w:ascii="Times New Roman" w:hAnsi="Times New Roman" w:cs="Times New Roman"/>
          <w:sz w:val="24"/>
          <w:szCs w:val="24"/>
        </w:rPr>
        <w:t xml:space="preserve">asked the Working Group to address three </w:t>
      </w:r>
      <w:r w:rsidR="003E7F20" w:rsidRPr="00AE141E">
        <w:rPr>
          <w:rFonts w:ascii="Times New Roman" w:hAnsi="Times New Roman" w:cs="Times New Roman"/>
          <w:sz w:val="24"/>
          <w:szCs w:val="24"/>
        </w:rPr>
        <w:t>issue</w:t>
      </w:r>
      <w:r w:rsidR="00FF636B" w:rsidRPr="00AE141E">
        <w:rPr>
          <w:rFonts w:ascii="Times New Roman" w:hAnsi="Times New Roman" w:cs="Times New Roman"/>
          <w:sz w:val="24"/>
          <w:szCs w:val="24"/>
        </w:rPr>
        <w:t>s</w:t>
      </w:r>
      <w:r w:rsidR="00791228" w:rsidRPr="00AE141E">
        <w:rPr>
          <w:rFonts w:ascii="Times New Roman" w:hAnsi="Times New Roman" w:cs="Times New Roman"/>
          <w:sz w:val="24"/>
          <w:szCs w:val="24"/>
        </w:rPr>
        <w:t xml:space="preserve"> when compiling the Final Report</w:t>
      </w:r>
      <w:r w:rsidR="002152AF" w:rsidRPr="00AE141E">
        <w:rPr>
          <w:rFonts w:ascii="Times New Roman" w:hAnsi="Times New Roman" w:cs="Times New Roman"/>
          <w:sz w:val="24"/>
          <w:szCs w:val="24"/>
        </w:rPr>
        <w:t xml:space="preserve">: to ensure that pupils gained a </w:t>
      </w:r>
      <w:r w:rsidR="003E7F20" w:rsidRPr="00AE141E">
        <w:rPr>
          <w:rFonts w:ascii="Times New Roman" w:hAnsi="Times New Roman" w:cs="Times New Roman"/>
          <w:sz w:val="24"/>
          <w:szCs w:val="24"/>
        </w:rPr>
        <w:t>‘</w:t>
      </w:r>
      <w:r w:rsidR="002152AF" w:rsidRPr="00AE141E">
        <w:rPr>
          <w:rFonts w:ascii="Times New Roman" w:hAnsi="Times New Roman" w:cs="Times New Roman"/>
          <w:sz w:val="24"/>
          <w:szCs w:val="24"/>
        </w:rPr>
        <w:t>proper grasp of chronology</w:t>
      </w:r>
      <w:r w:rsidR="003E7F20" w:rsidRPr="00AE141E">
        <w:rPr>
          <w:rFonts w:ascii="Times New Roman" w:hAnsi="Times New Roman" w:cs="Times New Roman"/>
          <w:sz w:val="24"/>
          <w:szCs w:val="24"/>
        </w:rPr>
        <w:t>’</w:t>
      </w:r>
      <w:r w:rsidR="002152AF" w:rsidRPr="00AE141E">
        <w:rPr>
          <w:rFonts w:ascii="Times New Roman" w:hAnsi="Times New Roman" w:cs="Times New Roman"/>
          <w:sz w:val="24"/>
          <w:szCs w:val="24"/>
        </w:rPr>
        <w:t xml:space="preserve">; to </w:t>
      </w:r>
      <w:r w:rsidR="003E7F20" w:rsidRPr="00AE141E">
        <w:rPr>
          <w:rFonts w:ascii="Times New Roman" w:hAnsi="Times New Roman" w:cs="Times New Roman"/>
          <w:sz w:val="24"/>
          <w:szCs w:val="24"/>
        </w:rPr>
        <w:t>increase</w:t>
      </w:r>
      <w:r w:rsidR="002152AF" w:rsidRPr="00AE141E">
        <w:rPr>
          <w:rFonts w:ascii="Times New Roman" w:hAnsi="Times New Roman" w:cs="Times New Roman"/>
          <w:sz w:val="24"/>
          <w:szCs w:val="24"/>
        </w:rPr>
        <w:t xml:space="preserve"> the emphasis on British </w:t>
      </w:r>
      <w:r w:rsidR="000C6D70" w:rsidRPr="00AE141E">
        <w:rPr>
          <w:rFonts w:ascii="Times New Roman" w:hAnsi="Times New Roman" w:cs="Times New Roman"/>
          <w:sz w:val="24"/>
          <w:szCs w:val="24"/>
        </w:rPr>
        <w:t xml:space="preserve">history; and to reassess </w:t>
      </w:r>
      <w:r w:rsidR="003E7F20" w:rsidRPr="00AE141E">
        <w:rPr>
          <w:rFonts w:ascii="Times New Roman" w:hAnsi="Times New Roman" w:cs="Times New Roman"/>
          <w:sz w:val="24"/>
          <w:szCs w:val="24"/>
        </w:rPr>
        <w:t>its approach to historical knowledge ‘to ensure that it can be assessed’.</w:t>
      </w:r>
      <w:r w:rsidR="008D1A41" w:rsidRPr="00AE141E">
        <w:rPr>
          <w:rStyle w:val="FootnoteReference"/>
          <w:rFonts w:ascii="Times New Roman" w:hAnsi="Times New Roman" w:cs="Times New Roman"/>
          <w:sz w:val="24"/>
          <w:szCs w:val="24"/>
        </w:rPr>
        <w:footnoteReference w:id="829"/>
      </w:r>
    </w:p>
    <w:p w14:paraId="71D4BCEF" w14:textId="0CA9D575" w:rsidR="001132A2" w:rsidRDefault="000A17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t>
      </w:r>
      <w:r w:rsidR="00001EF6" w:rsidRPr="00AE141E">
        <w:rPr>
          <w:rFonts w:ascii="Times New Roman" w:hAnsi="Times New Roman" w:cs="Times New Roman"/>
          <w:sz w:val="24"/>
          <w:szCs w:val="24"/>
        </w:rPr>
        <w:t>publication of the Interim Report</w:t>
      </w:r>
      <w:r w:rsidR="00B22932" w:rsidRPr="00AE141E">
        <w:rPr>
          <w:rFonts w:ascii="Times New Roman" w:hAnsi="Times New Roman" w:cs="Times New Roman"/>
          <w:sz w:val="24"/>
          <w:szCs w:val="24"/>
        </w:rPr>
        <w:t xml:space="preserve"> was greeted by a press frenzy</w:t>
      </w:r>
      <w:r w:rsidR="00001EF6" w:rsidRPr="00AE141E">
        <w:rPr>
          <w:rFonts w:ascii="Times New Roman" w:hAnsi="Times New Roman" w:cs="Times New Roman"/>
          <w:sz w:val="24"/>
          <w:szCs w:val="24"/>
        </w:rPr>
        <w:t>.</w:t>
      </w:r>
      <w:r w:rsidR="00C3250B" w:rsidRPr="00AE141E">
        <w:rPr>
          <w:rFonts w:ascii="Times New Roman" w:hAnsi="Times New Roman" w:cs="Times New Roman"/>
          <w:sz w:val="24"/>
          <w:szCs w:val="24"/>
        </w:rPr>
        <w:t xml:space="preserve"> The right-wing papers, both tabloi</w:t>
      </w:r>
      <w:r w:rsidR="0006546A" w:rsidRPr="00AE141E">
        <w:rPr>
          <w:rFonts w:ascii="Times New Roman" w:hAnsi="Times New Roman" w:cs="Times New Roman"/>
          <w:sz w:val="24"/>
          <w:szCs w:val="24"/>
        </w:rPr>
        <w:t>d</w:t>
      </w:r>
      <w:r w:rsidR="00C3250B" w:rsidRPr="00AE141E">
        <w:rPr>
          <w:rFonts w:ascii="Times New Roman" w:hAnsi="Times New Roman" w:cs="Times New Roman"/>
          <w:sz w:val="24"/>
          <w:szCs w:val="24"/>
        </w:rPr>
        <w:t xml:space="preserve"> and </w:t>
      </w:r>
      <w:r w:rsidR="0006546A" w:rsidRPr="00AE141E">
        <w:rPr>
          <w:rFonts w:ascii="Times New Roman" w:hAnsi="Times New Roman" w:cs="Times New Roman"/>
          <w:sz w:val="24"/>
          <w:szCs w:val="24"/>
        </w:rPr>
        <w:t xml:space="preserve">broadsheet, </w:t>
      </w:r>
      <w:r w:rsidR="002D5740" w:rsidRPr="00AE141E">
        <w:rPr>
          <w:rFonts w:ascii="Times New Roman" w:hAnsi="Times New Roman" w:cs="Times New Roman"/>
          <w:sz w:val="24"/>
          <w:szCs w:val="24"/>
        </w:rPr>
        <w:t xml:space="preserve">cultivated dismay </w:t>
      </w:r>
      <w:r w:rsidR="00F2656D" w:rsidRPr="00AE141E">
        <w:rPr>
          <w:rFonts w:ascii="Times New Roman" w:hAnsi="Times New Roman" w:cs="Times New Roman"/>
          <w:sz w:val="24"/>
          <w:szCs w:val="24"/>
        </w:rPr>
        <w:t>at the apparent sacrifice of fact for theory</w:t>
      </w:r>
      <w:r w:rsidR="0054117C" w:rsidRPr="00AE141E">
        <w:rPr>
          <w:rFonts w:ascii="Times New Roman" w:hAnsi="Times New Roman" w:cs="Times New Roman"/>
          <w:sz w:val="24"/>
          <w:szCs w:val="24"/>
        </w:rPr>
        <w:t xml:space="preserve"> and the neglect of British history.</w:t>
      </w:r>
      <w:r w:rsidR="00F20E3F" w:rsidRPr="00AE141E">
        <w:rPr>
          <w:rStyle w:val="FootnoteReference"/>
          <w:rFonts w:ascii="Times New Roman" w:hAnsi="Times New Roman" w:cs="Times New Roman"/>
          <w:sz w:val="24"/>
          <w:szCs w:val="24"/>
        </w:rPr>
        <w:footnoteReference w:id="830"/>
      </w:r>
      <w:r w:rsidR="0054117C" w:rsidRPr="00AE141E">
        <w:rPr>
          <w:rFonts w:ascii="Times New Roman" w:hAnsi="Times New Roman" w:cs="Times New Roman"/>
          <w:sz w:val="24"/>
          <w:szCs w:val="24"/>
        </w:rPr>
        <w:t xml:space="preserve"> MacGregor</w:t>
      </w:r>
      <w:r w:rsidR="00867F4E" w:rsidRPr="00AE141E">
        <w:rPr>
          <w:rFonts w:ascii="Times New Roman" w:hAnsi="Times New Roman" w:cs="Times New Roman"/>
          <w:sz w:val="24"/>
          <w:szCs w:val="24"/>
        </w:rPr>
        <w:t>’s letter was also widely discussed. In some quarters, the Secretary of State</w:t>
      </w:r>
      <w:r w:rsidR="0054117C" w:rsidRPr="00AE141E">
        <w:rPr>
          <w:rFonts w:ascii="Times New Roman" w:hAnsi="Times New Roman" w:cs="Times New Roman"/>
          <w:sz w:val="24"/>
          <w:szCs w:val="24"/>
        </w:rPr>
        <w:t xml:space="preserve"> was </w:t>
      </w:r>
      <w:r w:rsidR="00BC5A6E" w:rsidRPr="00AE141E">
        <w:rPr>
          <w:rFonts w:ascii="Times New Roman" w:hAnsi="Times New Roman" w:cs="Times New Roman"/>
          <w:sz w:val="24"/>
          <w:szCs w:val="24"/>
        </w:rPr>
        <w:t xml:space="preserve">lauded for standing up to </w:t>
      </w:r>
      <w:r w:rsidR="00BA2B4B" w:rsidRPr="00AE141E">
        <w:rPr>
          <w:rFonts w:ascii="Times New Roman" w:hAnsi="Times New Roman" w:cs="Times New Roman"/>
          <w:sz w:val="24"/>
          <w:szCs w:val="24"/>
        </w:rPr>
        <w:t>the advocates of the ‘</w:t>
      </w:r>
      <w:r w:rsidR="00A17280" w:rsidRPr="00AE141E">
        <w:rPr>
          <w:rFonts w:ascii="Times New Roman" w:hAnsi="Times New Roman" w:cs="Times New Roman"/>
          <w:sz w:val="24"/>
          <w:szCs w:val="24"/>
        </w:rPr>
        <w:t>n</w:t>
      </w:r>
      <w:r w:rsidR="00BA2B4B" w:rsidRPr="00AE141E">
        <w:rPr>
          <w:rFonts w:ascii="Times New Roman" w:hAnsi="Times New Roman" w:cs="Times New Roman"/>
          <w:sz w:val="24"/>
          <w:szCs w:val="24"/>
        </w:rPr>
        <w:t xml:space="preserve">ew </w:t>
      </w:r>
      <w:r w:rsidR="00A17280" w:rsidRPr="00AE141E">
        <w:rPr>
          <w:rFonts w:ascii="Times New Roman" w:hAnsi="Times New Roman" w:cs="Times New Roman"/>
          <w:sz w:val="24"/>
          <w:szCs w:val="24"/>
        </w:rPr>
        <w:t>h</w:t>
      </w:r>
      <w:r w:rsidR="00BA2B4B" w:rsidRPr="00AE141E">
        <w:rPr>
          <w:rFonts w:ascii="Times New Roman" w:hAnsi="Times New Roman" w:cs="Times New Roman"/>
          <w:sz w:val="24"/>
          <w:szCs w:val="24"/>
        </w:rPr>
        <w:t xml:space="preserve">istory’ in the </w:t>
      </w:r>
      <w:r w:rsidR="00B87469" w:rsidRPr="00AE141E">
        <w:rPr>
          <w:rFonts w:ascii="Times New Roman" w:hAnsi="Times New Roman" w:cs="Times New Roman"/>
          <w:sz w:val="24"/>
          <w:szCs w:val="24"/>
        </w:rPr>
        <w:t>battle to reclaim the national past.</w:t>
      </w:r>
      <w:r w:rsidR="00FF3563" w:rsidRPr="00AE141E">
        <w:rPr>
          <w:rFonts w:ascii="Times New Roman" w:hAnsi="Times New Roman" w:cs="Times New Roman"/>
          <w:sz w:val="24"/>
          <w:szCs w:val="24"/>
        </w:rPr>
        <w:t xml:space="preserve"> </w:t>
      </w:r>
      <w:r w:rsidR="00867F4E" w:rsidRPr="00AE141E">
        <w:rPr>
          <w:rFonts w:ascii="Times New Roman" w:hAnsi="Times New Roman" w:cs="Times New Roman"/>
          <w:sz w:val="24"/>
          <w:szCs w:val="24"/>
        </w:rPr>
        <w:t xml:space="preserve">In others, </w:t>
      </w:r>
      <w:r w:rsidR="007A10F3" w:rsidRPr="00AE141E">
        <w:rPr>
          <w:rFonts w:ascii="Times New Roman" w:hAnsi="Times New Roman" w:cs="Times New Roman"/>
          <w:sz w:val="24"/>
          <w:szCs w:val="24"/>
        </w:rPr>
        <w:t xml:space="preserve">his </w:t>
      </w:r>
      <w:r w:rsidR="00C80D04" w:rsidRPr="00AE141E">
        <w:rPr>
          <w:rFonts w:ascii="Times New Roman" w:hAnsi="Times New Roman" w:cs="Times New Roman"/>
          <w:sz w:val="24"/>
          <w:szCs w:val="24"/>
        </w:rPr>
        <w:t>intervention</w:t>
      </w:r>
      <w:r w:rsidR="007A10F3" w:rsidRPr="00AE141E">
        <w:rPr>
          <w:rFonts w:ascii="Times New Roman" w:hAnsi="Times New Roman" w:cs="Times New Roman"/>
          <w:sz w:val="24"/>
          <w:szCs w:val="24"/>
        </w:rPr>
        <w:t xml:space="preserve"> was</w:t>
      </w:r>
      <w:r w:rsidR="00C80D04" w:rsidRPr="00AE141E">
        <w:rPr>
          <w:rFonts w:ascii="Times New Roman" w:hAnsi="Times New Roman" w:cs="Times New Roman"/>
          <w:sz w:val="24"/>
          <w:szCs w:val="24"/>
        </w:rPr>
        <w:t xml:space="preserve"> </w:t>
      </w:r>
      <w:r w:rsidR="00412B7B" w:rsidRPr="00AE141E">
        <w:rPr>
          <w:rFonts w:ascii="Times New Roman" w:hAnsi="Times New Roman" w:cs="Times New Roman"/>
          <w:sz w:val="24"/>
          <w:szCs w:val="24"/>
        </w:rPr>
        <w:t xml:space="preserve">interpreted as </w:t>
      </w:r>
      <w:r w:rsidR="001963F9" w:rsidRPr="00AE141E">
        <w:rPr>
          <w:rFonts w:ascii="Times New Roman" w:hAnsi="Times New Roman" w:cs="Times New Roman"/>
          <w:sz w:val="24"/>
          <w:szCs w:val="24"/>
        </w:rPr>
        <w:t xml:space="preserve">a sign that the government was willing to </w:t>
      </w:r>
      <w:r w:rsidR="00F8453F" w:rsidRPr="00AE141E">
        <w:rPr>
          <w:rFonts w:ascii="Times New Roman" w:hAnsi="Times New Roman" w:cs="Times New Roman"/>
          <w:sz w:val="24"/>
          <w:szCs w:val="24"/>
        </w:rPr>
        <w:t xml:space="preserve">set aside democratic principles </w:t>
      </w:r>
      <w:r w:rsidR="00145A70" w:rsidRPr="00AE141E">
        <w:rPr>
          <w:rFonts w:ascii="Times New Roman" w:hAnsi="Times New Roman" w:cs="Times New Roman"/>
          <w:sz w:val="24"/>
          <w:szCs w:val="24"/>
        </w:rPr>
        <w:t xml:space="preserve">by </w:t>
      </w:r>
      <w:r w:rsidR="004465D5" w:rsidRPr="00AE141E">
        <w:rPr>
          <w:rFonts w:ascii="Times New Roman" w:hAnsi="Times New Roman" w:cs="Times New Roman"/>
          <w:sz w:val="24"/>
          <w:szCs w:val="24"/>
        </w:rPr>
        <w:t>casting</w:t>
      </w:r>
      <w:r w:rsidR="00145A70" w:rsidRPr="00AE141E">
        <w:rPr>
          <w:rFonts w:ascii="Times New Roman" w:hAnsi="Times New Roman" w:cs="Times New Roman"/>
          <w:sz w:val="24"/>
          <w:szCs w:val="24"/>
        </w:rPr>
        <w:t xml:space="preserve"> the curriculum in its own image.</w:t>
      </w:r>
      <w:r w:rsidR="007A10F3" w:rsidRPr="00AE141E">
        <w:rPr>
          <w:rFonts w:ascii="Times New Roman" w:hAnsi="Times New Roman" w:cs="Times New Roman"/>
          <w:sz w:val="24"/>
          <w:szCs w:val="24"/>
        </w:rPr>
        <w:t xml:space="preserve"> </w:t>
      </w:r>
      <w:r w:rsidR="004465D5" w:rsidRPr="00AE141E">
        <w:rPr>
          <w:rFonts w:ascii="Times New Roman" w:hAnsi="Times New Roman" w:cs="Times New Roman"/>
          <w:sz w:val="24"/>
          <w:szCs w:val="24"/>
        </w:rPr>
        <w:t>The media furore both reflected and influenced public</w:t>
      </w:r>
      <w:r w:rsidR="008B5E6B" w:rsidRPr="00AE141E">
        <w:rPr>
          <w:rFonts w:ascii="Times New Roman" w:hAnsi="Times New Roman" w:cs="Times New Roman"/>
          <w:sz w:val="24"/>
          <w:szCs w:val="24"/>
        </w:rPr>
        <w:t xml:space="preserve"> and professional</w:t>
      </w:r>
      <w:r w:rsidR="004465D5" w:rsidRPr="00AE141E">
        <w:rPr>
          <w:rFonts w:ascii="Times New Roman" w:hAnsi="Times New Roman" w:cs="Times New Roman"/>
          <w:sz w:val="24"/>
          <w:szCs w:val="24"/>
        </w:rPr>
        <w:t xml:space="preserve"> </w:t>
      </w:r>
      <w:r w:rsidR="00B53321">
        <w:rPr>
          <w:rFonts w:ascii="Times New Roman" w:hAnsi="Times New Roman" w:cs="Times New Roman"/>
          <w:sz w:val="24"/>
          <w:szCs w:val="24"/>
        </w:rPr>
        <w:t>investment</w:t>
      </w:r>
      <w:r w:rsidR="004465D5" w:rsidRPr="00AE141E">
        <w:rPr>
          <w:rFonts w:ascii="Times New Roman" w:hAnsi="Times New Roman" w:cs="Times New Roman"/>
          <w:sz w:val="24"/>
          <w:szCs w:val="24"/>
        </w:rPr>
        <w:t xml:space="preserve"> </w:t>
      </w:r>
      <w:r w:rsidR="00B53321">
        <w:rPr>
          <w:rFonts w:ascii="Times New Roman" w:hAnsi="Times New Roman" w:cs="Times New Roman"/>
          <w:sz w:val="24"/>
          <w:szCs w:val="24"/>
        </w:rPr>
        <w:t>in</w:t>
      </w:r>
      <w:r w:rsidR="004465D5" w:rsidRPr="00AE141E">
        <w:rPr>
          <w:rFonts w:ascii="Times New Roman" w:hAnsi="Times New Roman" w:cs="Times New Roman"/>
          <w:sz w:val="24"/>
          <w:szCs w:val="24"/>
        </w:rPr>
        <w:t xml:space="preserve"> the crafting of the National Curriculum in History.</w:t>
      </w:r>
    </w:p>
    <w:p w14:paraId="7FE7AD0B" w14:textId="77777777" w:rsidR="0057312D" w:rsidRDefault="0031619B" w:rsidP="00AE141E">
      <w:pPr>
        <w:spacing w:line="360" w:lineRule="auto"/>
        <w:rPr>
          <w:rFonts w:ascii="Times New Roman" w:hAnsi="Times New Roman" w:cs="Times New Roman"/>
          <w:sz w:val="24"/>
          <w:szCs w:val="24"/>
        </w:rPr>
      </w:pPr>
      <w:r>
        <w:rPr>
          <w:rFonts w:ascii="Times New Roman" w:hAnsi="Times New Roman" w:cs="Times New Roman"/>
          <w:sz w:val="24"/>
          <w:szCs w:val="24"/>
        </w:rPr>
        <w:t>The government invited comments on the Interim Report, though they were not part of the</w:t>
      </w:r>
      <w:r w:rsidR="001E2872" w:rsidRPr="00AE141E">
        <w:rPr>
          <w:rFonts w:ascii="Times New Roman" w:hAnsi="Times New Roman" w:cs="Times New Roman"/>
          <w:sz w:val="24"/>
          <w:szCs w:val="24"/>
        </w:rPr>
        <w:t xml:space="preserve"> statutory consultation process.</w:t>
      </w:r>
      <w:r w:rsidR="004A484E" w:rsidRPr="00AE141E">
        <w:rPr>
          <w:rFonts w:ascii="Times New Roman" w:hAnsi="Times New Roman" w:cs="Times New Roman"/>
          <w:sz w:val="24"/>
          <w:szCs w:val="24"/>
        </w:rPr>
        <w:t xml:space="preserve"> The response was dramatic</w:t>
      </w:r>
      <w:r w:rsidR="00A60FEB">
        <w:rPr>
          <w:rFonts w:ascii="Times New Roman" w:hAnsi="Times New Roman" w:cs="Times New Roman"/>
          <w:sz w:val="24"/>
          <w:szCs w:val="24"/>
        </w:rPr>
        <w:t>. A</w:t>
      </w:r>
      <w:r w:rsidR="004A484E" w:rsidRPr="00AE141E">
        <w:rPr>
          <w:rFonts w:ascii="Times New Roman" w:hAnsi="Times New Roman" w:cs="Times New Roman"/>
          <w:sz w:val="24"/>
          <w:szCs w:val="24"/>
        </w:rPr>
        <w:t xml:space="preserve">round </w:t>
      </w:r>
      <w:r w:rsidR="00393E20" w:rsidRPr="00AE141E">
        <w:rPr>
          <w:rFonts w:ascii="Times New Roman" w:hAnsi="Times New Roman" w:cs="Times New Roman"/>
          <w:sz w:val="24"/>
          <w:szCs w:val="24"/>
        </w:rPr>
        <w:t>1000 written submissions were received</w:t>
      </w:r>
      <w:r w:rsidR="002852AB">
        <w:rPr>
          <w:rFonts w:ascii="Times New Roman" w:hAnsi="Times New Roman" w:cs="Times New Roman"/>
          <w:sz w:val="24"/>
          <w:szCs w:val="24"/>
        </w:rPr>
        <w:t xml:space="preserve">, which included </w:t>
      </w:r>
      <w:r w:rsidR="002852AB" w:rsidRPr="00AE141E">
        <w:rPr>
          <w:rFonts w:ascii="Times New Roman" w:hAnsi="Times New Roman" w:cs="Times New Roman"/>
          <w:sz w:val="24"/>
          <w:szCs w:val="24"/>
        </w:rPr>
        <w:t>303 secondary schools, 230 teachers, 123 organisations, and 97 private individuals</w:t>
      </w:r>
      <w:r w:rsidR="000C70DA" w:rsidRPr="00AE141E">
        <w:rPr>
          <w:rFonts w:ascii="Times New Roman" w:hAnsi="Times New Roman" w:cs="Times New Roman"/>
          <w:sz w:val="24"/>
          <w:szCs w:val="24"/>
        </w:rPr>
        <w:t>.</w:t>
      </w:r>
      <w:r w:rsidR="006C3FB2" w:rsidRPr="00AE141E">
        <w:rPr>
          <w:rStyle w:val="FootnoteReference"/>
          <w:rFonts w:ascii="Times New Roman" w:hAnsi="Times New Roman" w:cs="Times New Roman"/>
          <w:sz w:val="24"/>
          <w:szCs w:val="24"/>
        </w:rPr>
        <w:footnoteReference w:id="831"/>
      </w:r>
      <w:r w:rsidR="00570C82" w:rsidRPr="00AE141E">
        <w:rPr>
          <w:rFonts w:ascii="Times New Roman" w:hAnsi="Times New Roman" w:cs="Times New Roman"/>
          <w:sz w:val="24"/>
          <w:szCs w:val="24"/>
        </w:rPr>
        <w:t xml:space="preserve"> The c</w:t>
      </w:r>
      <w:r w:rsidR="00EA7FA7" w:rsidRPr="00AE141E">
        <w:rPr>
          <w:rFonts w:ascii="Times New Roman" w:hAnsi="Times New Roman" w:cs="Times New Roman"/>
          <w:sz w:val="24"/>
          <w:szCs w:val="24"/>
        </w:rPr>
        <w:t>ategory</w:t>
      </w:r>
      <w:r w:rsidR="008B5E6B" w:rsidRPr="00AE141E">
        <w:rPr>
          <w:rFonts w:ascii="Times New Roman" w:hAnsi="Times New Roman" w:cs="Times New Roman"/>
          <w:sz w:val="24"/>
          <w:szCs w:val="24"/>
        </w:rPr>
        <w:t xml:space="preserve"> of ‘organisation’</w:t>
      </w:r>
      <w:r w:rsidR="00EA7FA7" w:rsidRPr="00AE141E">
        <w:rPr>
          <w:rFonts w:ascii="Times New Roman" w:hAnsi="Times New Roman" w:cs="Times New Roman"/>
          <w:sz w:val="24"/>
          <w:szCs w:val="24"/>
        </w:rPr>
        <w:t xml:space="preserve"> </w:t>
      </w:r>
      <w:r w:rsidR="00964F3C" w:rsidRPr="00AE141E">
        <w:rPr>
          <w:rFonts w:ascii="Times New Roman" w:hAnsi="Times New Roman" w:cs="Times New Roman"/>
          <w:sz w:val="24"/>
          <w:szCs w:val="24"/>
        </w:rPr>
        <w:t>comprised</w:t>
      </w:r>
      <w:r w:rsidR="00EA7FA7" w:rsidRPr="00AE141E">
        <w:rPr>
          <w:rFonts w:ascii="Times New Roman" w:hAnsi="Times New Roman" w:cs="Times New Roman"/>
          <w:sz w:val="24"/>
          <w:szCs w:val="24"/>
        </w:rPr>
        <w:t xml:space="preserve"> professional grou</w:t>
      </w:r>
      <w:r w:rsidR="00A911B1" w:rsidRPr="00AE141E">
        <w:rPr>
          <w:rFonts w:ascii="Times New Roman" w:hAnsi="Times New Roman" w:cs="Times New Roman"/>
          <w:sz w:val="24"/>
          <w:szCs w:val="24"/>
        </w:rPr>
        <w:t xml:space="preserve">ps </w:t>
      </w:r>
      <w:r w:rsidR="00964F3C" w:rsidRPr="00AE141E">
        <w:rPr>
          <w:rFonts w:ascii="Times New Roman" w:hAnsi="Times New Roman" w:cs="Times New Roman"/>
          <w:sz w:val="24"/>
          <w:szCs w:val="24"/>
        </w:rPr>
        <w:t>including</w:t>
      </w:r>
      <w:r w:rsidR="00A911B1" w:rsidRPr="00AE141E">
        <w:rPr>
          <w:rFonts w:ascii="Times New Roman" w:hAnsi="Times New Roman" w:cs="Times New Roman"/>
          <w:sz w:val="24"/>
          <w:szCs w:val="24"/>
        </w:rPr>
        <w:t xml:space="preserve"> the trades unions and the HA</w:t>
      </w:r>
      <w:r w:rsidR="008B5E6B" w:rsidRPr="00AE141E">
        <w:rPr>
          <w:rFonts w:ascii="Times New Roman" w:hAnsi="Times New Roman" w:cs="Times New Roman"/>
          <w:sz w:val="24"/>
          <w:szCs w:val="24"/>
        </w:rPr>
        <w:t xml:space="preserve">. These typically </w:t>
      </w:r>
      <w:r w:rsidR="00964F3C" w:rsidRPr="00AE141E">
        <w:rPr>
          <w:rFonts w:ascii="Times New Roman" w:hAnsi="Times New Roman" w:cs="Times New Roman"/>
          <w:sz w:val="24"/>
          <w:szCs w:val="24"/>
        </w:rPr>
        <w:t xml:space="preserve">produced </w:t>
      </w:r>
      <w:r w:rsidR="003961E3" w:rsidRPr="00AE141E">
        <w:rPr>
          <w:rFonts w:ascii="Times New Roman" w:hAnsi="Times New Roman" w:cs="Times New Roman"/>
          <w:sz w:val="24"/>
          <w:szCs w:val="24"/>
        </w:rPr>
        <w:t xml:space="preserve">collective </w:t>
      </w:r>
      <w:r w:rsidR="00964F3C" w:rsidRPr="00AE141E">
        <w:rPr>
          <w:rFonts w:ascii="Times New Roman" w:hAnsi="Times New Roman" w:cs="Times New Roman"/>
          <w:sz w:val="24"/>
          <w:szCs w:val="24"/>
        </w:rPr>
        <w:t>responses</w:t>
      </w:r>
      <w:r w:rsidR="003961E3" w:rsidRPr="00AE141E">
        <w:rPr>
          <w:rFonts w:ascii="Times New Roman" w:hAnsi="Times New Roman" w:cs="Times New Roman"/>
          <w:sz w:val="24"/>
          <w:szCs w:val="24"/>
        </w:rPr>
        <w:t>.</w:t>
      </w:r>
      <w:r w:rsidR="00466031" w:rsidRPr="00AE141E">
        <w:rPr>
          <w:rFonts w:ascii="Times New Roman" w:hAnsi="Times New Roman" w:cs="Times New Roman"/>
          <w:sz w:val="24"/>
          <w:szCs w:val="24"/>
        </w:rPr>
        <w:t xml:space="preserve"> As such, single submissions sometimes represented the views of ‘tens, scores or hundreds of people’.</w:t>
      </w:r>
      <w:r w:rsidR="00265B5F" w:rsidRPr="00AE141E">
        <w:rPr>
          <w:rStyle w:val="FootnoteReference"/>
          <w:rFonts w:ascii="Times New Roman" w:hAnsi="Times New Roman" w:cs="Times New Roman"/>
          <w:sz w:val="24"/>
          <w:szCs w:val="24"/>
        </w:rPr>
        <w:footnoteReference w:id="832"/>
      </w:r>
      <w:r w:rsidR="00466031" w:rsidRPr="00AE141E">
        <w:rPr>
          <w:rFonts w:ascii="Times New Roman" w:hAnsi="Times New Roman" w:cs="Times New Roman"/>
          <w:sz w:val="24"/>
          <w:szCs w:val="24"/>
        </w:rPr>
        <w:t xml:space="preserve">  </w:t>
      </w:r>
      <w:r w:rsidR="00E02D67" w:rsidRPr="00AE141E">
        <w:rPr>
          <w:rFonts w:ascii="Times New Roman" w:hAnsi="Times New Roman" w:cs="Times New Roman"/>
          <w:sz w:val="24"/>
          <w:szCs w:val="24"/>
        </w:rPr>
        <w:t>The t</w:t>
      </w:r>
      <w:r w:rsidR="00B72A6B" w:rsidRPr="00AE141E">
        <w:rPr>
          <w:rFonts w:ascii="Times New Roman" w:hAnsi="Times New Roman" w:cs="Times New Roman"/>
          <w:sz w:val="24"/>
          <w:szCs w:val="24"/>
        </w:rPr>
        <w:t xml:space="preserve">en regional conferences organised by the HA to discuss the Report </w:t>
      </w:r>
      <w:r w:rsidR="00DE7F1F" w:rsidRPr="00AE141E">
        <w:rPr>
          <w:rFonts w:ascii="Times New Roman" w:hAnsi="Times New Roman" w:cs="Times New Roman"/>
          <w:sz w:val="24"/>
          <w:szCs w:val="24"/>
        </w:rPr>
        <w:t>attracted o</w:t>
      </w:r>
      <w:r w:rsidR="00B72A6B" w:rsidRPr="00AE141E">
        <w:rPr>
          <w:rFonts w:ascii="Times New Roman" w:hAnsi="Times New Roman" w:cs="Times New Roman"/>
          <w:sz w:val="24"/>
          <w:szCs w:val="24"/>
        </w:rPr>
        <w:t xml:space="preserve">ver 1100 people, </w:t>
      </w:r>
      <w:r w:rsidR="00DE7F1F" w:rsidRPr="00AE141E">
        <w:rPr>
          <w:rFonts w:ascii="Times New Roman" w:hAnsi="Times New Roman" w:cs="Times New Roman"/>
          <w:sz w:val="24"/>
          <w:szCs w:val="24"/>
        </w:rPr>
        <w:t>principally</w:t>
      </w:r>
      <w:r w:rsidR="00B72A6B" w:rsidRPr="00AE141E">
        <w:rPr>
          <w:rFonts w:ascii="Times New Roman" w:hAnsi="Times New Roman" w:cs="Times New Roman"/>
          <w:sz w:val="24"/>
          <w:szCs w:val="24"/>
        </w:rPr>
        <w:t xml:space="preserve"> teachers</w:t>
      </w:r>
      <w:r w:rsidR="00E02D67" w:rsidRPr="00AE141E">
        <w:rPr>
          <w:rFonts w:ascii="Times New Roman" w:hAnsi="Times New Roman" w:cs="Times New Roman"/>
          <w:sz w:val="24"/>
          <w:szCs w:val="24"/>
        </w:rPr>
        <w:t xml:space="preserve">. Each </w:t>
      </w:r>
      <w:r w:rsidR="00233AF8" w:rsidRPr="00AE141E">
        <w:rPr>
          <w:rFonts w:ascii="Times New Roman" w:hAnsi="Times New Roman" w:cs="Times New Roman"/>
          <w:sz w:val="24"/>
          <w:szCs w:val="24"/>
        </w:rPr>
        <w:t xml:space="preserve">produced its own report to feed back to the </w:t>
      </w:r>
      <w:r w:rsidR="00233AF8" w:rsidRPr="00AE141E">
        <w:rPr>
          <w:rFonts w:ascii="Times New Roman" w:hAnsi="Times New Roman" w:cs="Times New Roman"/>
          <w:sz w:val="24"/>
          <w:szCs w:val="24"/>
        </w:rPr>
        <w:lastRenderedPageBreak/>
        <w:t>Working Group.</w:t>
      </w:r>
      <w:r w:rsidR="00FE706F" w:rsidRPr="00AE141E">
        <w:rPr>
          <w:rStyle w:val="FootnoteReference"/>
          <w:rFonts w:ascii="Times New Roman" w:hAnsi="Times New Roman" w:cs="Times New Roman"/>
          <w:sz w:val="24"/>
          <w:szCs w:val="24"/>
        </w:rPr>
        <w:footnoteReference w:id="833"/>
      </w:r>
      <w:r w:rsidR="00233AF8" w:rsidRPr="00AE141E">
        <w:rPr>
          <w:rFonts w:ascii="Times New Roman" w:hAnsi="Times New Roman" w:cs="Times New Roman"/>
          <w:sz w:val="24"/>
          <w:szCs w:val="24"/>
        </w:rPr>
        <w:t xml:space="preserve"> </w:t>
      </w:r>
      <w:r w:rsidR="00393E20" w:rsidRPr="00AE141E">
        <w:rPr>
          <w:rFonts w:ascii="Times New Roman" w:hAnsi="Times New Roman" w:cs="Times New Roman"/>
          <w:sz w:val="24"/>
          <w:szCs w:val="24"/>
        </w:rPr>
        <w:t xml:space="preserve">By </w:t>
      </w:r>
      <w:r w:rsidR="005470B6" w:rsidRPr="00AE141E">
        <w:rPr>
          <w:rFonts w:ascii="Times New Roman" w:hAnsi="Times New Roman" w:cs="Times New Roman"/>
          <w:sz w:val="24"/>
          <w:szCs w:val="24"/>
        </w:rPr>
        <w:t>contrast</w:t>
      </w:r>
      <w:r w:rsidR="00393E20" w:rsidRPr="00AE141E">
        <w:rPr>
          <w:rFonts w:ascii="Times New Roman" w:hAnsi="Times New Roman" w:cs="Times New Roman"/>
          <w:sz w:val="24"/>
          <w:szCs w:val="24"/>
        </w:rPr>
        <w:t>, the first report of the English Working Group attracted</w:t>
      </w:r>
      <w:r w:rsidR="00233AF8" w:rsidRPr="00AE141E">
        <w:rPr>
          <w:rFonts w:ascii="Times New Roman" w:hAnsi="Times New Roman" w:cs="Times New Roman"/>
          <w:sz w:val="24"/>
          <w:szCs w:val="24"/>
        </w:rPr>
        <w:t xml:space="preserve"> </w:t>
      </w:r>
      <w:r w:rsidR="00393E20" w:rsidRPr="00AE141E">
        <w:rPr>
          <w:rFonts w:ascii="Times New Roman" w:hAnsi="Times New Roman" w:cs="Times New Roman"/>
          <w:sz w:val="24"/>
          <w:szCs w:val="24"/>
        </w:rPr>
        <w:t>just 170 responses</w:t>
      </w:r>
      <w:r w:rsidR="0097316F" w:rsidRPr="00AE141E">
        <w:rPr>
          <w:rFonts w:ascii="Times New Roman" w:hAnsi="Times New Roman" w:cs="Times New Roman"/>
          <w:sz w:val="24"/>
          <w:szCs w:val="24"/>
        </w:rPr>
        <w:t xml:space="preserve"> in total</w:t>
      </w:r>
      <w:r w:rsidR="00C37134" w:rsidRPr="00AE141E">
        <w:rPr>
          <w:rFonts w:ascii="Times New Roman" w:hAnsi="Times New Roman" w:cs="Times New Roman"/>
          <w:sz w:val="24"/>
          <w:szCs w:val="24"/>
        </w:rPr>
        <w:t>.</w:t>
      </w:r>
      <w:r w:rsidR="00586E0C" w:rsidRPr="00AE141E">
        <w:rPr>
          <w:rStyle w:val="FootnoteReference"/>
          <w:rFonts w:ascii="Times New Roman" w:hAnsi="Times New Roman" w:cs="Times New Roman"/>
          <w:sz w:val="24"/>
          <w:szCs w:val="24"/>
        </w:rPr>
        <w:footnoteReference w:id="834"/>
      </w:r>
      <w:r w:rsidR="00C37134" w:rsidRPr="00AE141E">
        <w:rPr>
          <w:rFonts w:ascii="Times New Roman" w:hAnsi="Times New Roman" w:cs="Times New Roman"/>
          <w:sz w:val="24"/>
          <w:szCs w:val="24"/>
        </w:rPr>
        <w:t xml:space="preserve"> </w:t>
      </w:r>
    </w:p>
    <w:p w14:paraId="3333037F" w14:textId="601522A3" w:rsidR="00A60C14" w:rsidRPr="00AE141E" w:rsidRDefault="004B2A0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Commentary drafted by </w:t>
      </w:r>
      <w:r w:rsidR="00792EC1">
        <w:rPr>
          <w:rFonts w:ascii="Times New Roman" w:hAnsi="Times New Roman" w:cs="Times New Roman"/>
          <w:sz w:val="24"/>
          <w:szCs w:val="24"/>
        </w:rPr>
        <w:t>the</w:t>
      </w:r>
      <w:r w:rsidRPr="00AE141E">
        <w:rPr>
          <w:rFonts w:ascii="Times New Roman" w:hAnsi="Times New Roman" w:cs="Times New Roman"/>
          <w:sz w:val="24"/>
          <w:szCs w:val="24"/>
        </w:rPr>
        <w:t xml:space="preserve"> Responses sub-group</w:t>
      </w:r>
      <w:r w:rsidR="00792EC1">
        <w:rPr>
          <w:rFonts w:ascii="Times New Roman" w:hAnsi="Times New Roman" w:cs="Times New Roman"/>
          <w:sz w:val="24"/>
          <w:szCs w:val="24"/>
        </w:rPr>
        <w:t xml:space="preserve"> of the HWG</w:t>
      </w:r>
      <w:r w:rsidR="00954B21" w:rsidRPr="00AE141E">
        <w:rPr>
          <w:rFonts w:ascii="Times New Roman" w:hAnsi="Times New Roman" w:cs="Times New Roman"/>
          <w:sz w:val="24"/>
          <w:szCs w:val="24"/>
        </w:rPr>
        <w:t xml:space="preserve"> </w:t>
      </w:r>
      <w:r w:rsidR="0057312D">
        <w:rPr>
          <w:rFonts w:ascii="Times New Roman" w:hAnsi="Times New Roman" w:cs="Times New Roman"/>
          <w:sz w:val="24"/>
          <w:szCs w:val="24"/>
        </w:rPr>
        <w:t>claimed that</w:t>
      </w:r>
      <w:r w:rsidR="00954B21" w:rsidRPr="00AE141E">
        <w:rPr>
          <w:rFonts w:ascii="Times New Roman" w:hAnsi="Times New Roman" w:cs="Times New Roman"/>
          <w:sz w:val="24"/>
          <w:szCs w:val="24"/>
        </w:rPr>
        <w:t xml:space="preserve"> ‘compliments and expressions of sympathy’ </w:t>
      </w:r>
      <w:r w:rsidR="00DD208D" w:rsidRPr="00AE141E">
        <w:rPr>
          <w:rFonts w:ascii="Times New Roman" w:hAnsi="Times New Roman" w:cs="Times New Roman"/>
          <w:sz w:val="24"/>
          <w:szCs w:val="24"/>
        </w:rPr>
        <w:t xml:space="preserve">ran through </w:t>
      </w:r>
      <w:r w:rsidR="00B67413" w:rsidRPr="00AE141E">
        <w:rPr>
          <w:rFonts w:ascii="Times New Roman" w:hAnsi="Times New Roman" w:cs="Times New Roman"/>
          <w:sz w:val="24"/>
          <w:szCs w:val="24"/>
        </w:rPr>
        <w:t xml:space="preserve">more than </w:t>
      </w:r>
      <w:r w:rsidR="00DD208D" w:rsidRPr="00AE141E">
        <w:rPr>
          <w:rFonts w:ascii="Times New Roman" w:hAnsi="Times New Roman" w:cs="Times New Roman"/>
          <w:sz w:val="24"/>
          <w:szCs w:val="24"/>
        </w:rPr>
        <w:t>95</w:t>
      </w:r>
      <w:r w:rsidR="006C0326" w:rsidRPr="00AE141E">
        <w:rPr>
          <w:rFonts w:ascii="Times New Roman" w:hAnsi="Times New Roman" w:cs="Times New Roman"/>
          <w:sz w:val="24"/>
          <w:szCs w:val="24"/>
        </w:rPr>
        <w:t xml:space="preserve"> percent of submissions</w:t>
      </w:r>
      <w:r w:rsidR="007C5305" w:rsidRPr="00AE141E">
        <w:rPr>
          <w:rFonts w:ascii="Times New Roman" w:hAnsi="Times New Roman" w:cs="Times New Roman"/>
          <w:sz w:val="24"/>
          <w:szCs w:val="24"/>
        </w:rPr>
        <w:t xml:space="preserve"> (a figure of 80</w:t>
      </w:r>
      <w:r w:rsidR="007D62EC" w:rsidRPr="00AE141E">
        <w:rPr>
          <w:rFonts w:ascii="Times New Roman" w:hAnsi="Times New Roman" w:cs="Times New Roman"/>
          <w:sz w:val="24"/>
          <w:szCs w:val="24"/>
        </w:rPr>
        <w:t xml:space="preserve"> per cent </w:t>
      </w:r>
      <w:r w:rsidR="007C5305" w:rsidRPr="00AE141E">
        <w:rPr>
          <w:rFonts w:ascii="Times New Roman" w:hAnsi="Times New Roman" w:cs="Times New Roman"/>
          <w:sz w:val="24"/>
          <w:szCs w:val="24"/>
        </w:rPr>
        <w:t>was given elsewhere)</w:t>
      </w:r>
      <w:r w:rsidR="006C0326" w:rsidRPr="00AE141E">
        <w:rPr>
          <w:rFonts w:ascii="Times New Roman" w:hAnsi="Times New Roman" w:cs="Times New Roman"/>
          <w:sz w:val="24"/>
          <w:szCs w:val="24"/>
        </w:rPr>
        <w:t>.</w:t>
      </w:r>
      <w:r w:rsidR="00A369EB" w:rsidRPr="00AE141E">
        <w:rPr>
          <w:rStyle w:val="FootnoteReference"/>
          <w:rFonts w:ascii="Times New Roman" w:hAnsi="Times New Roman" w:cs="Times New Roman"/>
          <w:sz w:val="24"/>
          <w:szCs w:val="24"/>
        </w:rPr>
        <w:footnoteReference w:id="835"/>
      </w:r>
      <w:r w:rsidR="00DD208D" w:rsidRPr="00AE141E">
        <w:rPr>
          <w:rFonts w:ascii="Times New Roman" w:hAnsi="Times New Roman" w:cs="Times New Roman"/>
          <w:sz w:val="24"/>
          <w:szCs w:val="24"/>
        </w:rPr>
        <w:t xml:space="preserve"> </w:t>
      </w:r>
      <w:r w:rsidR="00E54876" w:rsidRPr="00AE141E">
        <w:rPr>
          <w:rFonts w:ascii="Times New Roman" w:hAnsi="Times New Roman" w:cs="Times New Roman"/>
          <w:sz w:val="24"/>
          <w:szCs w:val="24"/>
        </w:rPr>
        <w:t xml:space="preserve">Members </w:t>
      </w:r>
      <w:r w:rsidR="0048633B" w:rsidRPr="00AE141E">
        <w:rPr>
          <w:rFonts w:ascii="Times New Roman" w:hAnsi="Times New Roman" w:cs="Times New Roman"/>
          <w:sz w:val="24"/>
          <w:szCs w:val="24"/>
        </w:rPr>
        <w:t>were advised not to</w:t>
      </w:r>
      <w:r w:rsidR="00E54876" w:rsidRPr="00AE141E">
        <w:rPr>
          <w:rFonts w:ascii="Times New Roman" w:hAnsi="Times New Roman" w:cs="Times New Roman"/>
          <w:sz w:val="24"/>
          <w:szCs w:val="24"/>
        </w:rPr>
        <w:t xml:space="preserve"> be disheartened </w:t>
      </w:r>
      <w:r w:rsidR="00404E40" w:rsidRPr="00AE141E">
        <w:rPr>
          <w:rFonts w:ascii="Times New Roman" w:hAnsi="Times New Roman" w:cs="Times New Roman"/>
          <w:sz w:val="24"/>
          <w:szCs w:val="24"/>
        </w:rPr>
        <w:t xml:space="preserve">by lists of criticisms, which were both easier to summarise and ‘more relevant’ to the ongoing work of the Group. </w:t>
      </w:r>
      <w:r w:rsidR="005A3DBD" w:rsidRPr="00AE141E">
        <w:rPr>
          <w:rFonts w:ascii="Times New Roman" w:hAnsi="Times New Roman" w:cs="Times New Roman"/>
          <w:sz w:val="24"/>
          <w:szCs w:val="24"/>
        </w:rPr>
        <w:t>Interestingly, this implies that compliments were less uniform and more varied than criticisms.</w:t>
      </w:r>
      <w:r w:rsidR="00755950" w:rsidRPr="00AE141E">
        <w:rPr>
          <w:rFonts w:ascii="Times New Roman" w:hAnsi="Times New Roman" w:cs="Times New Roman"/>
          <w:sz w:val="24"/>
          <w:szCs w:val="24"/>
        </w:rPr>
        <w:t xml:space="preserve"> </w:t>
      </w:r>
      <w:r w:rsidR="00A60C14" w:rsidRPr="00AE141E">
        <w:rPr>
          <w:rFonts w:ascii="Times New Roman" w:hAnsi="Times New Roman" w:cs="Times New Roman"/>
          <w:sz w:val="24"/>
          <w:szCs w:val="24"/>
        </w:rPr>
        <w:t>As the Final Report went on to acknowledge, the most common and impassioned objections addressed the ‘resource implications’ of the proposals.</w:t>
      </w:r>
      <w:r w:rsidR="00E373C0" w:rsidRPr="00AE141E">
        <w:rPr>
          <w:rStyle w:val="FootnoteReference"/>
          <w:rFonts w:ascii="Times New Roman" w:hAnsi="Times New Roman" w:cs="Times New Roman"/>
          <w:sz w:val="24"/>
          <w:szCs w:val="24"/>
        </w:rPr>
        <w:footnoteReference w:id="836"/>
      </w:r>
      <w:r w:rsidR="00A60C14" w:rsidRPr="00AE141E">
        <w:rPr>
          <w:rFonts w:ascii="Times New Roman" w:hAnsi="Times New Roman" w:cs="Times New Roman"/>
          <w:sz w:val="24"/>
          <w:szCs w:val="24"/>
        </w:rPr>
        <w:t xml:space="preserve"> </w:t>
      </w:r>
      <w:r w:rsidR="00AC4CC7" w:rsidRPr="00AE141E">
        <w:rPr>
          <w:rFonts w:ascii="Times New Roman" w:hAnsi="Times New Roman" w:cs="Times New Roman"/>
          <w:sz w:val="24"/>
          <w:szCs w:val="24"/>
        </w:rPr>
        <w:t xml:space="preserve">Teachers anticipated being placed under </w:t>
      </w:r>
      <w:r w:rsidR="008F2E67">
        <w:rPr>
          <w:rFonts w:ascii="Times New Roman" w:hAnsi="Times New Roman" w:cs="Times New Roman"/>
          <w:sz w:val="24"/>
          <w:szCs w:val="24"/>
        </w:rPr>
        <w:t xml:space="preserve">intense </w:t>
      </w:r>
      <w:r w:rsidR="00AC4CC7" w:rsidRPr="00AE141E">
        <w:rPr>
          <w:rFonts w:ascii="Times New Roman" w:hAnsi="Times New Roman" w:cs="Times New Roman"/>
          <w:sz w:val="24"/>
          <w:szCs w:val="24"/>
        </w:rPr>
        <w:t>pressure by the demand for new teaching materials</w:t>
      </w:r>
      <w:r w:rsidR="003E787A">
        <w:rPr>
          <w:rFonts w:ascii="Times New Roman" w:hAnsi="Times New Roman" w:cs="Times New Roman"/>
          <w:sz w:val="24"/>
          <w:szCs w:val="24"/>
        </w:rPr>
        <w:t xml:space="preserve"> and</w:t>
      </w:r>
      <w:r w:rsidR="00AC4CC7" w:rsidRPr="00AE141E">
        <w:rPr>
          <w:rFonts w:ascii="Times New Roman" w:hAnsi="Times New Roman" w:cs="Times New Roman"/>
          <w:sz w:val="24"/>
          <w:szCs w:val="24"/>
        </w:rPr>
        <w:t xml:space="preserve"> </w:t>
      </w:r>
      <w:r w:rsidR="00F13AD0" w:rsidRPr="00AE141E">
        <w:rPr>
          <w:rFonts w:ascii="Times New Roman" w:hAnsi="Times New Roman" w:cs="Times New Roman"/>
          <w:sz w:val="24"/>
          <w:szCs w:val="24"/>
        </w:rPr>
        <w:t>in</w:t>
      </w:r>
      <w:r w:rsidR="005F6AA1" w:rsidRPr="00AE141E">
        <w:rPr>
          <w:rFonts w:ascii="Times New Roman" w:hAnsi="Times New Roman" w:cs="Times New Roman"/>
          <w:sz w:val="24"/>
          <w:szCs w:val="24"/>
        </w:rPr>
        <w:t>-</w:t>
      </w:r>
      <w:r w:rsidR="00F13AD0" w:rsidRPr="00AE141E">
        <w:rPr>
          <w:rFonts w:ascii="Times New Roman" w:hAnsi="Times New Roman" w:cs="Times New Roman"/>
          <w:sz w:val="24"/>
          <w:szCs w:val="24"/>
        </w:rPr>
        <w:t>service training</w:t>
      </w:r>
      <w:r w:rsidR="005D71A6" w:rsidRPr="00AE141E">
        <w:rPr>
          <w:rFonts w:ascii="Times New Roman" w:hAnsi="Times New Roman" w:cs="Times New Roman"/>
          <w:sz w:val="24"/>
          <w:szCs w:val="24"/>
        </w:rPr>
        <w:t>.</w:t>
      </w:r>
      <w:r w:rsidR="00F02921" w:rsidRPr="00AE141E">
        <w:rPr>
          <w:rFonts w:ascii="Times New Roman" w:hAnsi="Times New Roman" w:cs="Times New Roman"/>
          <w:sz w:val="24"/>
          <w:szCs w:val="24"/>
        </w:rPr>
        <w:t xml:space="preserve"> Half of all respondents identified </w:t>
      </w:r>
      <w:r w:rsidR="00E53B30" w:rsidRPr="00AE141E">
        <w:rPr>
          <w:rFonts w:ascii="Times New Roman" w:hAnsi="Times New Roman" w:cs="Times New Roman"/>
          <w:sz w:val="24"/>
          <w:szCs w:val="24"/>
        </w:rPr>
        <w:t>the content of the proposed curriculum as excessive.</w:t>
      </w:r>
      <w:r w:rsidR="00AF3311" w:rsidRPr="00AE141E">
        <w:rPr>
          <w:rStyle w:val="FootnoteReference"/>
          <w:rFonts w:ascii="Times New Roman" w:hAnsi="Times New Roman" w:cs="Times New Roman"/>
          <w:sz w:val="24"/>
          <w:szCs w:val="24"/>
        </w:rPr>
        <w:footnoteReference w:id="837"/>
      </w:r>
      <w:r w:rsidR="005F6AA1" w:rsidRPr="00AE141E">
        <w:rPr>
          <w:rFonts w:ascii="Times New Roman" w:hAnsi="Times New Roman" w:cs="Times New Roman"/>
          <w:sz w:val="24"/>
          <w:szCs w:val="24"/>
        </w:rPr>
        <w:t xml:space="preserve"> Some attributed these concerns to the </w:t>
      </w:r>
      <w:r w:rsidR="00E95040" w:rsidRPr="00AE141E">
        <w:rPr>
          <w:rFonts w:ascii="Times New Roman" w:hAnsi="Times New Roman" w:cs="Times New Roman"/>
          <w:sz w:val="24"/>
          <w:szCs w:val="24"/>
        </w:rPr>
        <w:t>HWG’s</w:t>
      </w:r>
      <w:r w:rsidR="005F6AA1" w:rsidRPr="00AE141E">
        <w:rPr>
          <w:rFonts w:ascii="Times New Roman" w:hAnsi="Times New Roman" w:cs="Times New Roman"/>
          <w:sz w:val="24"/>
          <w:szCs w:val="24"/>
        </w:rPr>
        <w:t xml:space="preserve"> ‘radical departure from present good practice’.</w:t>
      </w:r>
      <w:r w:rsidR="00550EC7" w:rsidRPr="00AE141E">
        <w:rPr>
          <w:rStyle w:val="FootnoteReference"/>
          <w:rFonts w:ascii="Times New Roman" w:hAnsi="Times New Roman" w:cs="Times New Roman"/>
          <w:sz w:val="24"/>
          <w:szCs w:val="24"/>
        </w:rPr>
        <w:footnoteReference w:id="838"/>
      </w:r>
      <w:r w:rsidR="005F6AA1" w:rsidRPr="00AE141E">
        <w:rPr>
          <w:rFonts w:ascii="Times New Roman" w:hAnsi="Times New Roman" w:cs="Times New Roman"/>
          <w:sz w:val="24"/>
          <w:szCs w:val="24"/>
        </w:rPr>
        <w:t xml:space="preserve"> </w:t>
      </w:r>
      <w:r w:rsidR="00DF206A" w:rsidRPr="00AE141E">
        <w:rPr>
          <w:rFonts w:ascii="Times New Roman" w:hAnsi="Times New Roman" w:cs="Times New Roman"/>
          <w:sz w:val="24"/>
          <w:szCs w:val="24"/>
        </w:rPr>
        <w:t>The</w:t>
      </w:r>
      <w:r w:rsidR="005F6AA1" w:rsidRPr="00AE141E">
        <w:rPr>
          <w:rFonts w:ascii="Times New Roman" w:hAnsi="Times New Roman" w:cs="Times New Roman"/>
          <w:sz w:val="24"/>
          <w:szCs w:val="24"/>
        </w:rPr>
        <w:t xml:space="preserve"> curricul</w:t>
      </w:r>
      <w:r w:rsidR="00CD35AC">
        <w:rPr>
          <w:rFonts w:ascii="Times New Roman" w:hAnsi="Times New Roman" w:cs="Times New Roman"/>
          <w:sz w:val="24"/>
          <w:szCs w:val="24"/>
        </w:rPr>
        <w:t>ar</w:t>
      </w:r>
      <w:r w:rsidR="005F6AA1" w:rsidRPr="00AE141E">
        <w:rPr>
          <w:rFonts w:ascii="Times New Roman" w:hAnsi="Times New Roman" w:cs="Times New Roman"/>
          <w:sz w:val="24"/>
          <w:szCs w:val="24"/>
        </w:rPr>
        <w:t xml:space="preserve"> developments of the 1970s </w:t>
      </w:r>
      <w:r w:rsidR="00DF206A" w:rsidRPr="00AE141E">
        <w:rPr>
          <w:rFonts w:ascii="Times New Roman" w:hAnsi="Times New Roman" w:cs="Times New Roman"/>
          <w:sz w:val="24"/>
          <w:szCs w:val="24"/>
        </w:rPr>
        <w:t>were</w:t>
      </w:r>
      <w:r w:rsidR="00AF1170">
        <w:rPr>
          <w:rFonts w:ascii="Times New Roman" w:hAnsi="Times New Roman" w:cs="Times New Roman"/>
          <w:sz w:val="24"/>
          <w:szCs w:val="24"/>
        </w:rPr>
        <w:t xml:space="preserve"> (not entirely fairly)</w:t>
      </w:r>
      <w:r w:rsidR="00DF206A" w:rsidRPr="00AE141E">
        <w:rPr>
          <w:rFonts w:ascii="Times New Roman" w:hAnsi="Times New Roman" w:cs="Times New Roman"/>
          <w:sz w:val="24"/>
          <w:szCs w:val="24"/>
        </w:rPr>
        <w:t xml:space="preserve"> felt to have been</w:t>
      </w:r>
      <w:r w:rsidR="005F6AA1" w:rsidRPr="00AE141E">
        <w:rPr>
          <w:rFonts w:ascii="Times New Roman" w:hAnsi="Times New Roman" w:cs="Times New Roman"/>
          <w:sz w:val="24"/>
          <w:szCs w:val="24"/>
        </w:rPr>
        <w:t xml:space="preserve"> devalued or negated</w:t>
      </w:r>
      <w:r w:rsidR="00962547">
        <w:rPr>
          <w:rFonts w:ascii="Times New Roman" w:hAnsi="Times New Roman" w:cs="Times New Roman"/>
          <w:sz w:val="24"/>
          <w:szCs w:val="24"/>
        </w:rPr>
        <w:t xml:space="preserve"> – </w:t>
      </w:r>
      <w:r w:rsidR="00584F8E" w:rsidRPr="00AE141E">
        <w:rPr>
          <w:rFonts w:ascii="Times New Roman" w:hAnsi="Times New Roman" w:cs="Times New Roman"/>
          <w:sz w:val="24"/>
          <w:szCs w:val="24"/>
        </w:rPr>
        <w:t>a</w:t>
      </w:r>
      <w:r w:rsidR="00962547">
        <w:rPr>
          <w:rFonts w:ascii="Times New Roman" w:hAnsi="Times New Roman" w:cs="Times New Roman"/>
          <w:sz w:val="24"/>
          <w:szCs w:val="24"/>
        </w:rPr>
        <w:t xml:space="preserve"> </w:t>
      </w:r>
      <w:r w:rsidR="00584F8E" w:rsidRPr="00AE141E">
        <w:rPr>
          <w:rFonts w:ascii="Times New Roman" w:hAnsi="Times New Roman" w:cs="Times New Roman"/>
          <w:sz w:val="24"/>
          <w:szCs w:val="24"/>
        </w:rPr>
        <w:t xml:space="preserve">sentiment reflected in demands for the </w:t>
      </w:r>
      <w:r w:rsidR="009B6874" w:rsidRPr="00AE141E">
        <w:rPr>
          <w:rFonts w:ascii="Times New Roman" w:hAnsi="Times New Roman" w:cs="Times New Roman"/>
          <w:sz w:val="24"/>
          <w:szCs w:val="24"/>
        </w:rPr>
        <w:t xml:space="preserve">inclusion of popular and well-resourced topics such as </w:t>
      </w:r>
      <w:r w:rsidR="00962547">
        <w:rPr>
          <w:rFonts w:ascii="Times New Roman" w:hAnsi="Times New Roman" w:cs="Times New Roman"/>
          <w:sz w:val="24"/>
          <w:szCs w:val="24"/>
        </w:rPr>
        <w:t xml:space="preserve">the </w:t>
      </w:r>
      <w:r w:rsidR="009B6874" w:rsidRPr="00AE141E">
        <w:rPr>
          <w:rFonts w:ascii="Times New Roman" w:hAnsi="Times New Roman" w:cs="Times New Roman"/>
          <w:sz w:val="24"/>
          <w:szCs w:val="24"/>
        </w:rPr>
        <w:t>SCHP-derived GCSE cours</w:t>
      </w:r>
      <w:r w:rsidR="003B2120" w:rsidRPr="00AE141E">
        <w:rPr>
          <w:rFonts w:ascii="Times New Roman" w:hAnsi="Times New Roman" w:cs="Times New Roman"/>
          <w:sz w:val="24"/>
          <w:szCs w:val="24"/>
        </w:rPr>
        <w:t>e on the history of medicine.</w:t>
      </w:r>
    </w:p>
    <w:p w14:paraId="736DFEA3" w14:textId="7CA6BC54" w:rsidR="00F10B6C" w:rsidRPr="00AE141E" w:rsidRDefault="00654E8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There were widespread a</w:t>
      </w:r>
      <w:r w:rsidR="00E4138C" w:rsidRPr="00AE141E">
        <w:rPr>
          <w:rFonts w:ascii="Times New Roman" w:hAnsi="Times New Roman" w:cs="Times New Roman"/>
          <w:sz w:val="24"/>
          <w:szCs w:val="24"/>
        </w:rPr>
        <w:t>nxieties</w:t>
      </w:r>
      <w:r w:rsidR="00EC79B7" w:rsidRPr="00AE141E">
        <w:rPr>
          <w:rFonts w:ascii="Times New Roman" w:hAnsi="Times New Roman" w:cs="Times New Roman"/>
          <w:sz w:val="24"/>
          <w:szCs w:val="24"/>
        </w:rPr>
        <w:t xml:space="preserve"> regarding the dominance of British history</w:t>
      </w:r>
      <w:r w:rsidR="00C33918" w:rsidRPr="00AE141E">
        <w:rPr>
          <w:rFonts w:ascii="Times New Roman" w:hAnsi="Times New Roman" w:cs="Times New Roman"/>
          <w:sz w:val="24"/>
          <w:szCs w:val="24"/>
        </w:rPr>
        <w:t>.</w:t>
      </w:r>
      <w:r w:rsidR="00FD5F88">
        <w:rPr>
          <w:rFonts w:ascii="Times New Roman" w:hAnsi="Times New Roman" w:cs="Times New Roman"/>
          <w:sz w:val="24"/>
          <w:szCs w:val="24"/>
        </w:rPr>
        <w:t xml:space="preserve"> </w:t>
      </w:r>
      <w:r w:rsidR="00C33918" w:rsidRPr="00AE141E">
        <w:rPr>
          <w:rFonts w:ascii="Times New Roman" w:hAnsi="Times New Roman" w:cs="Times New Roman"/>
          <w:sz w:val="24"/>
          <w:szCs w:val="24"/>
        </w:rPr>
        <w:t>T</w:t>
      </w:r>
      <w:r w:rsidR="0014635B" w:rsidRPr="00AE141E">
        <w:rPr>
          <w:rFonts w:ascii="Times New Roman" w:hAnsi="Times New Roman" w:cs="Times New Roman"/>
          <w:sz w:val="24"/>
          <w:szCs w:val="24"/>
        </w:rPr>
        <w:t xml:space="preserve">he Secretary of State’s request </w:t>
      </w:r>
      <w:r w:rsidR="00FD5F88">
        <w:rPr>
          <w:rFonts w:ascii="Times New Roman" w:hAnsi="Times New Roman" w:cs="Times New Roman"/>
          <w:sz w:val="24"/>
          <w:szCs w:val="24"/>
        </w:rPr>
        <w:t>to raise its proportion</w:t>
      </w:r>
      <w:r w:rsidR="0004503A" w:rsidRPr="00AE141E">
        <w:rPr>
          <w:rFonts w:ascii="Times New Roman" w:hAnsi="Times New Roman" w:cs="Times New Roman"/>
          <w:sz w:val="24"/>
          <w:szCs w:val="24"/>
        </w:rPr>
        <w:t xml:space="preserve"> was negatively received. Indeed, every correspondent who mentioned MacGregor’s response also </w:t>
      </w:r>
      <w:r w:rsidR="00146361" w:rsidRPr="00AE141E">
        <w:rPr>
          <w:rFonts w:ascii="Times New Roman" w:hAnsi="Times New Roman" w:cs="Times New Roman"/>
          <w:sz w:val="24"/>
          <w:szCs w:val="24"/>
        </w:rPr>
        <w:t xml:space="preserve">expressed concern about any </w:t>
      </w:r>
      <w:r w:rsidR="003D547E" w:rsidRPr="00AE141E">
        <w:rPr>
          <w:rFonts w:ascii="Times New Roman" w:hAnsi="Times New Roman" w:cs="Times New Roman"/>
          <w:sz w:val="24"/>
          <w:szCs w:val="24"/>
        </w:rPr>
        <w:t xml:space="preserve">future </w:t>
      </w:r>
      <w:r w:rsidR="00146361" w:rsidRPr="00AE141E">
        <w:rPr>
          <w:rFonts w:ascii="Times New Roman" w:hAnsi="Times New Roman" w:cs="Times New Roman"/>
          <w:sz w:val="24"/>
          <w:szCs w:val="24"/>
        </w:rPr>
        <w:t xml:space="preserve">increase in </w:t>
      </w:r>
      <w:r w:rsidR="00146361" w:rsidRPr="00AE141E">
        <w:rPr>
          <w:rFonts w:ascii="Times New Roman" w:hAnsi="Times New Roman" w:cs="Times New Roman"/>
          <w:sz w:val="24"/>
          <w:szCs w:val="24"/>
        </w:rPr>
        <w:lastRenderedPageBreak/>
        <w:t>the British dimension.</w:t>
      </w:r>
      <w:r w:rsidR="00AC41A2" w:rsidRPr="00AE141E">
        <w:rPr>
          <w:rStyle w:val="FootnoteReference"/>
          <w:rFonts w:ascii="Times New Roman" w:hAnsi="Times New Roman" w:cs="Times New Roman"/>
          <w:sz w:val="24"/>
          <w:szCs w:val="24"/>
        </w:rPr>
        <w:footnoteReference w:id="839"/>
      </w:r>
      <w:r w:rsidR="00941756" w:rsidRPr="00AE141E">
        <w:rPr>
          <w:rFonts w:ascii="Times New Roman" w:hAnsi="Times New Roman" w:cs="Times New Roman"/>
          <w:sz w:val="24"/>
          <w:szCs w:val="24"/>
        </w:rPr>
        <w:t xml:space="preserve"> </w:t>
      </w:r>
      <w:r w:rsidR="005976F9" w:rsidRPr="00AE141E">
        <w:rPr>
          <w:rFonts w:ascii="Times New Roman" w:hAnsi="Times New Roman" w:cs="Times New Roman"/>
          <w:sz w:val="24"/>
          <w:szCs w:val="24"/>
        </w:rPr>
        <w:t>Similarly, h</w:t>
      </w:r>
      <w:r w:rsidR="00F464F0" w:rsidRPr="00AE141E">
        <w:rPr>
          <w:rFonts w:ascii="Times New Roman" w:hAnsi="Times New Roman" w:cs="Times New Roman"/>
          <w:sz w:val="24"/>
          <w:szCs w:val="24"/>
        </w:rPr>
        <w:t xml:space="preserve">is suggestion that historical knowledge should be included in the ATs was </w:t>
      </w:r>
      <w:r w:rsidR="005976F9" w:rsidRPr="00AE141E">
        <w:rPr>
          <w:rFonts w:ascii="Times New Roman" w:hAnsi="Times New Roman" w:cs="Times New Roman"/>
          <w:sz w:val="24"/>
          <w:szCs w:val="24"/>
        </w:rPr>
        <w:t>‘</w:t>
      </w:r>
      <w:r w:rsidR="00F464F0" w:rsidRPr="00AE141E">
        <w:rPr>
          <w:rFonts w:ascii="Times New Roman" w:hAnsi="Times New Roman" w:cs="Times New Roman"/>
          <w:sz w:val="24"/>
          <w:szCs w:val="24"/>
        </w:rPr>
        <w:t>unanimously regarded as unhelpful</w:t>
      </w:r>
      <w:r w:rsidR="005976F9" w:rsidRPr="00AE141E">
        <w:rPr>
          <w:rFonts w:ascii="Times New Roman" w:hAnsi="Times New Roman" w:cs="Times New Roman"/>
          <w:sz w:val="24"/>
          <w:szCs w:val="24"/>
        </w:rPr>
        <w:t xml:space="preserve">’ by </w:t>
      </w:r>
      <w:r w:rsidR="008F0643" w:rsidRPr="00AE141E">
        <w:rPr>
          <w:rFonts w:ascii="Times New Roman" w:hAnsi="Times New Roman" w:cs="Times New Roman"/>
          <w:sz w:val="24"/>
          <w:szCs w:val="24"/>
        </w:rPr>
        <w:t>attendees at the HA’s regional meetings.</w:t>
      </w:r>
      <w:r w:rsidR="00D00D51" w:rsidRPr="00AE141E">
        <w:rPr>
          <w:rStyle w:val="FootnoteReference"/>
          <w:rFonts w:ascii="Times New Roman" w:hAnsi="Times New Roman" w:cs="Times New Roman"/>
          <w:sz w:val="24"/>
          <w:szCs w:val="24"/>
        </w:rPr>
        <w:footnoteReference w:id="840"/>
      </w:r>
      <w:r w:rsidR="00E5389B" w:rsidRPr="00AE141E">
        <w:rPr>
          <w:rFonts w:ascii="Times New Roman" w:hAnsi="Times New Roman" w:cs="Times New Roman"/>
          <w:sz w:val="24"/>
          <w:szCs w:val="24"/>
        </w:rPr>
        <w:t xml:space="preserve"> </w:t>
      </w:r>
      <w:r w:rsidR="008634C6" w:rsidRPr="00AE141E">
        <w:rPr>
          <w:rFonts w:ascii="Times New Roman" w:hAnsi="Times New Roman" w:cs="Times New Roman"/>
          <w:sz w:val="24"/>
          <w:szCs w:val="24"/>
        </w:rPr>
        <w:t>The Responses sub-group described a category of complaint which felt that the HWG’s efforts to view foreign cultures ‘on their own terms’ had been unsuccessful. Such responses attacked the apparent Eurocentrism of the Group’s perspective, as expressed in the use of the ‘arrogant’ term ‘modernisation’ in KS4.</w:t>
      </w:r>
      <w:r w:rsidR="003E37A9" w:rsidRPr="00AE141E">
        <w:rPr>
          <w:rStyle w:val="FootnoteReference"/>
          <w:rFonts w:ascii="Times New Roman" w:hAnsi="Times New Roman" w:cs="Times New Roman"/>
          <w:sz w:val="24"/>
          <w:szCs w:val="24"/>
        </w:rPr>
        <w:footnoteReference w:id="841"/>
      </w:r>
      <w:r w:rsidR="008634C6" w:rsidRPr="00AE141E">
        <w:rPr>
          <w:rFonts w:ascii="Times New Roman" w:hAnsi="Times New Roman" w:cs="Times New Roman"/>
          <w:sz w:val="24"/>
          <w:szCs w:val="24"/>
        </w:rPr>
        <w:t xml:space="preserve"> Unlike the majority of critiques summarised by the sub-group, this was not featured in the Final Report – implying a judgement that the complaint was either insufficiently prevalent, or insufficiently important. </w:t>
      </w:r>
    </w:p>
    <w:p w14:paraId="1B815EAF" w14:textId="09CD7FE3" w:rsidR="006520A4" w:rsidRPr="00AE141E" w:rsidRDefault="00A7318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Objections to government interference in </w:t>
      </w:r>
      <w:r w:rsidR="00DC2268" w:rsidRPr="00AE141E">
        <w:rPr>
          <w:rFonts w:ascii="Times New Roman" w:hAnsi="Times New Roman" w:cs="Times New Roman"/>
          <w:sz w:val="24"/>
          <w:szCs w:val="24"/>
        </w:rPr>
        <w:t>the curriculum were often broadened to encompass a general resistance to prescription.</w:t>
      </w:r>
      <w:r w:rsidR="00D97A25" w:rsidRPr="00AE141E">
        <w:rPr>
          <w:rFonts w:ascii="Times New Roman" w:hAnsi="Times New Roman" w:cs="Times New Roman"/>
          <w:sz w:val="24"/>
          <w:szCs w:val="24"/>
        </w:rPr>
        <w:t xml:space="preserve"> </w:t>
      </w:r>
      <w:r w:rsidR="00130EE1" w:rsidRPr="00AE141E">
        <w:rPr>
          <w:rFonts w:ascii="Times New Roman" w:hAnsi="Times New Roman" w:cs="Times New Roman"/>
          <w:sz w:val="24"/>
          <w:szCs w:val="24"/>
        </w:rPr>
        <w:t>The</w:t>
      </w:r>
      <w:r w:rsidR="00577EF3">
        <w:rPr>
          <w:rFonts w:ascii="Times New Roman" w:hAnsi="Times New Roman" w:cs="Times New Roman"/>
          <w:sz w:val="24"/>
          <w:szCs w:val="24"/>
        </w:rPr>
        <w:t xml:space="preserve"> Responses</w:t>
      </w:r>
      <w:r w:rsidR="00130EE1" w:rsidRPr="00AE141E">
        <w:rPr>
          <w:rFonts w:ascii="Times New Roman" w:hAnsi="Times New Roman" w:cs="Times New Roman"/>
          <w:sz w:val="24"/>
          <w:szCs w:val="24"/>
        </w:rPr>
        <w:t xml:space="preserve"> sub-group reported that </w:t>
      </w:r>
      <w:r w:rsidR="0032236C" w:rsidRPr="00AE141E">
        <w:rPr>
          <w:rFonts w:ascii="Times New Roman" w:hAnsi="Times New Roman" w:cs="Times New Roman"/>
          <w:sz w:val="24"/>
          <w:szCs w:val="24"/>
        </w:rPr>
        <w:t>‘m</w:t>
      </w:r>
      <w:r w:rsidR="00D97A25" w:rsidRPr="00AE141E">
        <w:rPr>
          <w:rFonts w:ascii="Times New Roman" w:hAnsi="Times New Roman" w:cs="Times New Roman"/>
          <w:sz w:val="24"/>
          <w:szCs w:val="24"/>
        </w:rPr>
        <w:t>any, many responses pleaded to be left alon</w:t>
      </w:r>
      <w:r w:rsidR="00247FE7" w:rsidRPr="00AE141E">
        <w:rPr>
          <w:rFonts w:ascii="Times New Roman" w:hAnsi="Times New Roman" w:cs="Times New Roman"/>
          <w:sz w:val="24"/>
          <w:szCs w:val="24"/>
        </w:rPr>
        <w:t>e’</w:t>
      </w:r>
      <w:r w:rsidR="00D97A25" w:rsidRPr="00AE141E">
        <w:rPr>
          <w:rFonts w:ascii="Times New Roman" w:hAnsi="Times New Roman" w:cs="Times New Roman"/>
          <w:sz w:val="24"/>
          <w:szCs w:val="24"/>
        </w:rPr>
        <w:t>.</w:t>
      </w:r>
      <w:r w:rsidR="001D3468" w:rsidRPr="00AE141E">
        <w:rPr>
          <w:rStyle w:val="FootnoteReference"/>
          <w:rFonts w:ascii="Times New Roman" w:hAnsi="Times New Roman" w:cs="Times New Roman"/>
          <w:sz w:val="24"/>
          <w:szCs w:val="24"/>
        </w:rPr>
        <w:footnoteReference w:id="842"/>
      </w:r>
      <w:r w:rsidR="00D97A25" w:rsidRPr="00AE141E">
        <w:rPr>
          <w:rFonts w:ascii="Times New Roman" w:hAnsi="Times New Roman" w:cs="Times New Roman"/>
          <w:sz w:val="24"/>
          <w:szCs w:val="24"/>
        </w:rPr>
        <w:t xml:space="preserve"> </w:t>
      </w:r>
      <w:r w:rsidR="00F75368" w:rsidRPr="00AE141E">
        <w:rPr>
          <w:rFonts w:ascii="Times New Roman" w:hAnsi="Times New Roman" w:cs="Times New Roman"/>
          <w:sz w:val="24"/>
          <w:szCs w:val="24"/>
        </w:rPr>
        <w:t xml:space="preserve">Such </w:t>
      </w:r>
      <w:r w:rsidR="00640B11" w:rsidRPr="00AE141E">
        <w:rPr>
          <w:rFonts w:ascii="Times New Roman" w:hAnsi="Times New Roman" w:cs="Times New Roman"/>
          <w:sz w:val="24"/>
          <w:szCs w:val="24"/>
        </w:rPr>
        <w:t xml:space="preserve">complaints </w:t>
      </w:r>
      <w:r w:rsidR="00D67672" w:rsidRPr="00AE141E">
        <w:rPr>
          <w:rFonts w:ascii="Times New Roman" w:hAnsi="Times New Roman" w:cs="Times New Roman"/>
          <w:sz w:val="24"/>
          <w:szCs w:val="24"/>
        </w:rPr>
        <w:t>demonstrate</w:t>
      </w:r>
      <w:r w:rsidR="00640B11" w:rsidRPr="00AE141E">
        <w:rPr>
          <w:rFonts w:ascii="Times New Roman" w:hAnsi="Times New Roman" w:cs="Times New Roman"/>
          <w:sz w:val="24"/>
          <w:szCs w:val="24"/>
        </w:rPr>
        <w:t xml:space="preserve"> a common fear of deskilling and the loss of </w:t>
      </w:r>
      <w:r w:rsidR="00D67672" w:rsidRPr="00AE141E">
        <w:rPr>
          <w:rFonts w:ascii="Times New Roman" w:hAnsi="Times New Roman" w:cs="Times New Roman"/>
          <w:sz w:val="24"/>
          <w:szCs w:val="24"/>
        </w:rPr>
        <w:t xml:space="preserve">professional prestige. </w:t>
      </w:r>
      <w:r w:rsidR="005414A1" w:rsidRPr="00AE141E">
        <w:rPr>
          <w:rFonts w:ascii="Times New Roman" w:hAnsi="Times New Roman" w:cs="Times New Roman"/>
          <w:sz w:val="24"/>
          <w:szCs w:val="24"/>
        </w:rPr>
        <w:t xml:space="preserve">Educators who opposed prescription were portrayed in </w:t>
      </w:r>
      <w:r w:rsidR="00436290" w:rsidRPr="00AE141E">
        <w:rPr>
          <w:rFonts w:ascii="Times New Roman" w:hAnsi="Times New Roman" w:cs="Times New Roman"/>
          <w:sz w:val="24"/>
          <w:szCs w:val="24"/>
        </w:rPr>
        <w:t>stridently</w:t>
      </w:r>
      <w:r w:rsidR="006C2CD2" w:rsidRPr="00AE141E">
        <w:rPr>
          <w:rFonts w:ascii="Times New Roman" w:hAnsi="Times New Roman" w:cs="Times New Roman"/>
          <w:sz w:val="24"/>
          <w:szCs w:val="24"/>
        </w:rPr>
        <w:t xml:space="preserve"> hostile terms,</w:t>
      </w:r>
      <w:r w:rsidR="00394B2D" w:rsidRPr="00AE141E">
        <w:rPr>
          <w:rFonts w:ascii="Times New Roman" w:hAnsi="Times New Roman" w:cs="Times New Roman"/>
          <w:sz w:val="24"/>
          <w:szCs w:val="24"/>
        </w:rPr>
        <w:t xml:space="preserve"> as representative of </w:t>
      </w:r>
      <w:r w:rsidR="002322C0" w:rsidRPr="00AE141E">
        <w:rPr>
          <w:rFonts w:ascii="Times New Roman" w:hAnsi="Times New Roman" w:cs="Times New Roman"/>
          <w:sz w:val="24"/>
          <w:szCs w:val="24"/>
        </w:rPr>
        <w:t>the ‘</w:t>
      </w:r>
      <w:r w:rsidR="008D2932" w:rsidRPr="00AE141E">
        <w:rPr>
          <w:rFonts w:ascii="Times New Roman" w:hAnsi="Times New Roman" w:cs="Times New Roman"/>
          <w:sz w:val="24"/>
          <w:szCs w:val="24"/>
        </w:rPr>
        <w:t>arrogance of the teaching profession</w:t>
      </w:r>
      <w:r w:rsidR="002322C0" w:rsidRPr="00AE141E">
        <w:rPr>
          <w:rFonts w:ascii="Times New Roman" w:hAnsi="Times New Roman" w:cs="Times New Roman"/>
          <w:sz w:val="24"/>
          <w:szCs w:val="24"/>
        </w:rPr>
        <w:t>, which so often believes it has a monopoly of wisdom on what should be taught and how’.</w:t>
      </w:r>
      <w:r w:rsidR="00665850" w:rsidRPr="00AE141E">
        <w:rPr>
          <w:rFonts w:ascii="Times New Roman" w:hAnsi="Times New Roman" w:cs="Times New Roman"/>
          <w:sz w:val="24"/>
          <w:szCs w:val="24"/>
        </w:rPr>
        <w:t xml:space="preserve"> The </w:t>
      </w:r>
      <w:r w:rsidR="00577EF3">
        <w:rPr>
          <w:rFonts w:ascii="Times New Roman" w:hAnsi="Times New Roman" w:cs="Times New Roman"/>
          <w:sz w:val="24"/>
          <w:szCs w:val="24"/>
        </w:rPr>
        <w:t>sub-group</w:t>
      </w:r>
      <w:r w:rsidR="00B360C5" w:rsidRPr="00AE141E">
        <w:rPr>
          <w:rFonts w:ascii="Times New Roman" w:hAnsi="Times New Roman" w:cs="Times New Roman"/>
          <w:sz w:val="24"/>
          <w:szCs w:val="24"/>
        </w:rPr>
        <w:t xml:space="preserve"> argued that there was </w:t>
      </w:r>
      <w:r w:rsidR="00C37D27" w:rsidRPr="00AE141E">
        <w:rPr>
          <w:rFonts w:ascii="Times New Roman" w:hAnsi="Times New Roman" w:cs="Times New Roman"/>
          <w:sz w:val="24"/>
          <w:szCs w:val="24"/>
        </w:rPr>
        <w:t>too much</w:t>
      </w:r>
      <w:r w:rsidR="00B360C5" w:rsidRPr="00AE141E">
        <w:rPr>
          <w:rFonts w:ascii="Times New Roman" w:hAnsi="Times New Roman" w:cs="Times New Roman"/>
          <w:sz w:val="24"/>
          <w:szCs w:val="24"/>
        </w:rPr>
        <w:t xml:space="preserve"> evidence of popular dissatisfaction with </w:t>
      </w:r>
      <w:r w:rsidR="00C37D27" w:rsidRPr="00AE141E">
        <w:rPr>
          <w:rFonts w:ascii="Times New Roman" w:hAnsi="Times New Roman" w:cs="Times New Roman"/>
          <w:sz w:val="24"/>
          <w:szCs w:val="24"/>
        </w:rPr>
        <w:t>teaching quality</w:t>
      </w:r>
      <w:r w:rsidR="000B6F81" w:rsidRPr="00AE141E">
        <w:rPr>
          <w:rFonts w:ascii="Times New Roman" w:hAnsi="Times New Roman" w:cs="Times New Roman"/>
          <w:sz w:val="24"/>
          <w:szCs w:val="24"/>
        </w:rPr>
        <w:t xml:space="preserve"> for this ‘conceit’ to be tenable. </w:t>
      </w:r>
      <w:r w:rsidR="00433E1F" w:rsidRPr="00AE141E">
        <w:rPr>
          <w:rFonts w:ascii="Times New Roman" w:hAnsi="Times New Roman" w:cs="Times New Roman"/>
          <w:sz w:val="24"/>
          <w:szCs w:val="24"/>
        </w:rPr>
        <w:t>To leave teachers to their own devices would be a ‘recipe for</w:t>
      </w:r>
      <w:r w:rsidR="000B3E86" w:rsidRPr="00AE141E">
        <w:rPr>
          <w:rFonts w:ascii="Times New Roman" w:hAnsi="Times New Roman" w:cs="Times New Roman"/>
          <w:sz w:val="24"/>
          <w:szCs w:val="24"/>
        </w:rPr>
        <w:t xml:space="preserve"> continuing disaster’. </w:t>
      </w:r>
      <w:r w:rsidR="00165951" w:rsidRPr="00AE141E">
        <w:rPr>
          <w:rFonts w:ascii="Times New Roman" w:hAnsi="Times New Roman" w:cs="Times New Roman"/>
          <w:sz w:val="24"/>
          <w:szCs w:val="24"/>
        </w:rPr>
        <w:t>Th</w:t>
      </w:r>
      <w:r w:rsidR="006520A4" w:rsidRPr="00AE141E">
        <w:rPr>
          <w:rFonts w:ascii="Times New Roman" w:hAnsi="Times New Roman" w:cs="Times New Roman"/>
          <w:sz w:val="24"/>
          <w:szCs w:val="24"/>
        </w:rPr>
        <w:t xml:space="preserve">us, </w:t>
      </w:r>
      <w:r w:rsidR="00E8768B">
        <w:rPr>
          <w:rFonts w:ascii="Times New Roman" w:hAnsi="Times New Roman" w:cs="Times New Roman"/>
          <w:sz w:val="24"/>
          <w:szCs w:val="24"/>
        </w:rPr>
        <w:t xml:space="preserve">they argued that </w:t>
      </w:r>
      <w:r w:rsidR="006520A4" w:rsidRPr="00AE141E">
        <w:rPr>
          <w:rFonts w:ascii="Times New Roman" w:hAnsi="Times New Roman" w:cs="Times New Roman"/>
          <w:sz w:val="24"/>
          <w:szCs w:val="24"/>
        </w:rPr>
        <w:t xml:space="preserve">the </w:t>
      </w:r>
      <w:r w:rsidR="00165951" w:rsidRPr="00AE141E">
        <w:rPr>
          <w:rFonts w:ascii="Times New Roman" w:hAnsi="Times New Roman" w:cs="Times New Roman"/>
          <w:sz w:val="24"/>
          <w:szCs w:val="24"/>
        </w:rPr>
        <w:t xml:space="preserve">Final Report </w:t>
      </w:r>
      <w:r w:rsidR="00D62D74" w:rsidRPr="00AE141E">
        <w:rPr>
          <w:rFonts w:ascii="Times New Roman" w:hAnsi="Times New Roman" w:cs="Times New Roman"/>
          <w:sz w:val="24"/>
          <w:szCs w:val="24"/>
        </w:rPr>
        <w:t>should</w:t>
      </w:r>
      <w:r w:rsidR="00165951" w:rsidRPr="00AE141E">
        <w:rPr>
          <w:rFonts w:ascii="Times New Roman" w:hAnsi="Times New Roman" w:cs="Times New Roman"/>
          <w:sz w:val="24"/>
          <w:szCs w:val="24"/>
        </w:rPr>
        <w:t xml:space="preserve"> </w:t>
      </w:r>
      <w:r w:rsidR="005666A2" w:rsidRPr="00AE141E">
        <w:rPr>
          <w:rFonts w:ascii="Times New Roman" w:hAnsi="Times New Roman" w:cs="Times New Roman"/>
          <w:sz w:val="24"/>
          <w:szCs w:val="24"/>
        </w:rPr>
        <w:t>note</w:t>
      </w:r>
      <w:r w:rsidR="00165951" w:rsidRPr="00AE141E">
        <w:rPr>
          <w:rFonts w:ascii="Times New Roman" w:hAnsi="Times New Roman" w:cs="Times New Roman"/>
          <w:sz w:val="24"/>
          <w:szCs w:val="24"/>
        </w:rPr>
        <w:t xml:space="preserve"> that the Group </w:t>
      </w:r>
      <w:r w:rsidR="00165951" w:rsidRPr="00AA136E">
        <w:rPr>
          <w:rFonts w:ascii="Times New Roman" w:hAnsi="Times New Roman" w:cs="Times New Roman"/>
          <w:i/>
          <w:iCs/>
          <w:sz w:val="24"/>
          <w:szCs w:val="24"/>
        </w:rPr>
        <w:t>had</w:t>
      </w:r>
      <w:r w:rsidR="00165951" w:rsidRPr="00AE141E">
        <w:rPr>
          <w:rFonts w:ascii="Times New Roman" w:hAnsi="Times New Roman" w:cs="Times New Roman"/>
          <w:sz w:val="24"/>
          <w:szCs w:val="24"/>
        </w:rPr>
        <w:t xml:space="preserve"> taken notice of good practi</w:t>
      </w:r>
      <w:r w:rsidR="005C698E" w:rsidRPr="00AE141E">
        <w:rPr>
          <w:rFonts w:ascii="Times New Roman" w:hAnsi="Times New Roman" w:cs="Times New Roman"/>
          <w:sz w:val="24"/>
          <w:szCs w:val="24"/>
        </w:rPr>
        <w:t>c</w:t>
      </w:r>
      <w:r w:rsidR="00165951" w:rsidRPr="00AE141E">
        <w:rPr>
          <w:rFonts w:ascii="Times New Roman" w:hAnsi="Times New Roman" w:cs="Times New Roman"/>
          <w:sz w:val="24"/>
          <w:szCs w:val="24"/>
        </w:rPr>
        <w:t>e</w:t>
      </w:r>
      <w:r w:rsidR="00247FE7" w:rsidRPr="00AE141E">
        <w:rPr>
          <w:rFonts w:ascii="Times New Roman" w:hAnsi="Times New Roman" w:cs="Times New Roman"/>
          <w:sz w:val="24"/>
          <w:szCs w:val="24"/>
        </w:rPr>
        <w:t xml:space="preserve"> –</w:t>
      </w:r>
      <w:r w:rsidR="00165951" w:rsidRPr="00AE141E">
        <w:rPr>
          <w:rFonts w:ascii="Times New Roman" w:hAnsi="Times New Roman" w:cs="Times New Roman"/>
          <w:sz w:val="24"/>
          <w:szCs w:val="24"/>
        </w:rPr>
        <w:t xml:space="preserve"> </w:t>
      </w:r>
      <w:r w:rsidR="00247FE7" w:rsidRPr="00AE141E">
        <w:rPr>
          <w:rFonts w:ascii="Times New Roman" w:hAnsi="Times New Roman" w:cs="Times New Roman"/>
          <w:sz w:val="24"/>
          <w:szCs w:val="24"/>
        </w:rPr>
        <w:t xml:space="preserve">and </w:t>
      </w:r>
      <w:r w:rsidR="005666A2" w:rsidRPr="00AE141E">
        <w:rPr>
          <w:rFonts w:ascii="Times New Roman" w:hAnsi="Times New Roman" w:cs="Times New Roman"/>
          <w:sz w:val="24"/>
          <w:szCs w:val="24"/>
        </w:rPr>
        <w:t xml:space="preserve">insist that ‘there is not too much of that about’. </w:t>
      </w:r>
    </w:p>
    <w:p w14:paraId="2245EFB4" w14:textId="04DD211C" w:rsidR="00BB4703" w:rsidRPr="00AE141E" w:rsidRDefault="00BB470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sub-group complained of </w:t>
      </w:r>
      <w:r w:rsidR="001C47C6" w:rsidRPr="00AE141E">
        <w:rPr>
          <w:rFonts w:ascii="Times New Roman" w:hAnsi="Times New Roman" w:cs="Times New Roman"/>
          <w:sz w:val="24"/>
          <w:szCs w:val="24"/>
        </w:rPr>
        <w:t>a certain ‘inconsistency’ in teachers’ responses:</w:t>
      </w:r>
    </w:p>
    <w:p w14:paraId="2845B038" w14:textId="76AC0A99" w:rsidR="00DC2268" w:rsidRPr="00AE141E" w:rsidRDefault="00226911"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In the same letters which argued we should not prescribe, vehement complaints were scored about the omission of certain favourite areas such as the growth of fascism and the </w:t>
      </w:r>
      <w:r w:rsidR="001C47C6" w:rsidRPr="00AE141E">
        <w:rPr>
          <w:rFonts w:ascii="Times New Roman" w:hAnsi="Times New Roman" w:cs="Times New Roman"/>
          <w:sz w:val="24"/>
          <w:szCs w:val="24"/>
        </w:rPr>
        <w:t>R</w:t>
      </w:r>
      <w:r w:rsidRPr="00AE141E">
        <w:rPr>
          <w:rFonts w:ascii="Times New Roman" w:hAnsi="Times New Roman" w:cs="Times New Roman"/>
          <w:sz w:val="24"/>
          <w:szCs w:val="24"/>
        </w:rPr>
        <w:t>eformation. One could not help thinking that they were saying to prescribe was fine, as long as they could choose the prescription.</w:t>
      </w:r>
      <w:r w:rsidR="00656933" w:rsidRPr="00AE141E">
        <w:rPr>
          <w:rStyle w:val="FootnoteReference"/>
          <w:rFonts w:ascii="Times New Roman" w:hAnsi="Times New Roman" w:cs="Times New Roman"/>
          <w:sz w:val="24"/>
          <w:szCs w:val="24"/>
        </w:rPr>
        <w:footnoteReference w:id="843"/>
      </w:r>
    </w:p>
    <w:p w14:paraId="72803DE7" w14:textId="08A4FF51" w:rsidR="005A3DBD" w:rsidRPr="00AE141E" w:rsidRDefault="0032718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There</w:t>
      </w:r>
      <w:r w:rsidR="00B50980" w:rsidRPr="00AE141E">
        <w:rPr>
          <w:rFonts w:ascii="Times New Roman" w:hAnsi="Times New Roman" w:cs="Times New Roman"/>
          <w:sz w:val="24"/>
          <w:szCs w:val="24"/>
        </w:rPr>
        <w:t xml:space="preserve"> was no</w:t>
      </w:r>
      <w:r w:rsidRPr="00AE141E">
        <w:rPr>
          <w:rFonts w:ascii="Times New Roman" w:hAnsi="Times New Roman" w:cs="Times New Roman"/>
          <w:sz w:val="24"/>
          <w:szCs w:val="24"/>
        </w:rPr>
        <w:t xml:space="preserve"> real</w:t>
      </w:r>
      <w:r w:rsidR="00B50980" w:rsidRPr="00AE141E">
        <w:rPr>
          <w:rFonts w:ascii="Times New Roman" w:hAnsi="Times New Roman" w:cs="Times New Roman"/>
          <w:sz w:val="24"/>
          <w:szCs w:val="24"/>
        </w:rPr>
        <w:t xml:space="preserve"> contradiction here: teachers were simply asking for a continuation of the status quo, </w:t>
      </w:r>
      <w:r w:rsidR="00A96DC0" w:rsidRPr="00AE141E">
        <w:rPr>
          <w:rFonts w:ascii="Times New Roman" w:hAnsi="Times New Roman" w:cs="Times New Roman"/>
          <w:sz w:val="24"/>
          <w:szCs w:val="24"/>
        </w:rPr>
        <w:t>in which curricular decisions were their own prerogative. In s</w:t>
      </w:r>
      <w:r w:rsidRPr="00AE141E">
        <w:rPr>
          <w:rFonts w:ascii="Times New Roman" w:hAnsi="Times New Roman" w:cs="Times New Roman"/>
          <w:sz w:val="24"/>
          <w:szCs w:val="24"/>
        </w:rPr>
        <w:t xml:space="preserve">o doing, they </w:t>
      </w:r>
      <w:r w:rsidRPr="00AE141E">
        <w:rPr>
          <w:rFonts w:ascii="Times New Roman" w:hAnsi="Times New Roman" w:cs="Times New Roman"/>
          <w:sz w:val="24"/>
          <w:szCs w:val="24"/>
        </w:rPr>
        <w:lastRenderedPageBreak/>
        <w:t xml:space="preserve">pointed to the </w:t>
      </w:r>
      <w:r w:rsidR="001058AB" w:rsidRPr="00AE141E">
        <w:rPr>
          <w:rFonts w:ascii="Times New Roman" w:hAnsi="Times New Roman" w:cs="Times New Roman"/>
          <w:sz w:val="24"/>
          <w:szCs w:val="24"/>
        </w:rPr>
        <w:t xml:space="preserve">impossibility of </w:t>
      </w:r>
      <w:r w:rsidR="00AA76FB" w:rsidRPr="00AE141E">
        <w:rPr>
          <w:rFonts w:ascii="Times New Roman" w:hAnsi="Times New Roman" w:cs="Times New Roman"/>
          <w:sz w:val="24"/>
          <w:szCs w:val="24"/>
        </w:rPr>
        <w:t>t</w:t>
      </w:r>
      <w:r w:rsidR="00E96614" w:rsidRPr="00AE141E">
        <w:rPr>
          <w:rFonts w:ascii="Times New Roman" w:hAnsi="Times New Roman" w:cs="Times New Roman"/>
          <w:sz w:val="24"/>
          <w:szCs w:val="24"/>
        </w:rPr>
        <w:t xml:space="preserve">he </w:t>
      </w:r>
      <w:r w:rsidR="00536693" w:rsidRPr="00AE141E">
        <w:rPr>
          <w:rFonts w:ascii="Times New Roman" w:hAnsi="Times New Roman" w:cs="Times New Roman"/>
          <w:sz w:val="24"/>
          <w:szCs w:val="24"/>
        </w:rPr>
        <w:t>HWG</w:t>
      </w:r>
      <w:r w:rsidR="00AA76FB" w:rsidRPr="00AE141E">
        <w:rPr>
          <w:rFonts w:ascii="Times New Roman" w:hAnsi="Times New Roman" w:cs="Times New Roman"/>
          <w:sz w:val="24"/>
          <w:szCs w:val="24"/>
        </w:rPr>
        <w:t xml:space="preserve">’s </w:t>
      </w:r>
      <w:r w:rsidR="007013BD">
        <w:rPr>
          <w:rFonts w:ascii="Times New Roman" w:hAnsi="Times New Roman" w:cs="Times New Roman"/>
          <w:sz w:val="24"/>
          <w:szCs w:val="24"/>
        </w:rPr>
        <w:t xml:space="preserve">final </w:t>
      </w:r>
      <w:r w:rsidR="00AA76FB" w:rsidRPr="00AE141E">
        <w:rPr>
          <w:rFonts w:ascii="Times New Roman" w:hAnsi="Times New Roman" w:cs="Times New Roman"/>
          <w:sz w:val="24"/>
          <w:szCs w:val="24"/>
        </w:rPr>
        <w:t>goal</w:t>
      </w:r>
      <w:r w:rsidR="00304A2B" w:rsidRPr="00AE141E">
        <w:rPr>
          <w:rFonts w:ascii="Times New Roman" w:hAnsi="Times New Roman" w:cs="Times New Roman"/>
          <w:sz w:val="24"/>
          <w:szCs w:val="24"/>
        </w:rPr>
        <w:t>:</w:t>
      </w:r>
      <w:r w:rsidR="00536693" w:rsidRPr="00AE141E">
        <w:rPr>
          <w:rFonts w:ascii="Times New Roman" w:hAnsi="Times New Roman" w:cs="Times New Roman"/>
          <w:sz w:val="24"/>
          <w:szCs w:val="24"/>
        </w:rPr>
        <w:t xml:space="preserve"> the creation of a universal </w:t>
      </w:r>
      <w:r w:rsidR="00D45E19" w:rsidRPr="00AE141E">
        <w:rPr>
          <w:rFonts w:ascii="Times New Roman" w:hAnsi="Times New Roman" w:cs="Times New Roman"/>
          <w:sz w:val="24"/>
          <w:szCs w:val="24"/>
        </w:rPr>
        <w:t>curriculum</w:t>
      </w:r>
      <w:r w:rsidR="00FA75E8" w:rsidRPr="00AE141E">
        <w:rPr>
          <w:rFonts w:ascii="Times New Roman" w:hAnsi="Times New Roman" w:cs="Times New Roman"/>
          <w:sz w:val="24"/>
          <w:szCs w:val="24"/>
        </w:rPr>
        <w:t xml:space="preserve"> </w:t>
      </w:r>
      <w:r w:rsidR="007013BD">
        <w:rPr>
          <w:rFonts w:ascii="Times New Roman" w:hAnsi="Times New Roman" w:cs="Times New Roman"/>
          <w:sz w:val="24"/>
          <w:szCs w:val="24"/>
        </w:rPr>
        <w:t>able</w:t>
      </w:r>
      <w:r w:rsidR="00FA75E8" w:rsidRPr="00AE141E">
        <w:rPr>
          <w:rFonts w:ascii="Times New Roman" w:hAnsi="Times New Roman" w:cs="Times New Roman"/>
          <w:sz w:val="24"/>
          <w:szCs w:val="24"/>
        </w:rPr>
        <w:t xml:space="preserve"> to</w:t>
      </w:r>
      <w:r w:rsidR="00D45E19" w:rsidRPr="00AE141E">
        <w:rPr>
          <w:rFonts w:ascii="Times New Roman" w:hAnsi="Times New Roman" w:cs="Times New Roman"/>
          <w:sz w:val="24"/>
          <w:szCs w:val="24"/>
        </w:rPr>
        <w:t xml:space="preserve"> educate the nation in all its diversity and </w:t>
      </w:r>
      <w:r w:rsidR="00AD5FB6" w:rsidRPr="00AE141E">
        <w:rPr>
          <w:rFonts w:ascii="Times New Roman" w:hAnsi="Times New Roman" w:cs="Times New Roman"/>
          <w:sz w:val="24"/>
          <w:szCs w:val="24"/>
        </w:rPr>
        <w:t xml:space="preserve">complexity. </w:t>
      </w:r>
      <w:r w:rsidR="004D041E" w:rsidRPr="00AE141E">
        <w:rPr>
          <w:rFonts w:ascii="Times New Roman" w:hAnsi="Times New Roman" w:cs="Times New Roman"/>
          <w:sz w:val="24"/>
          <w:szCs w:val="24"/>
        </w:rPr>
        <w:t xml:space="preserve">The </w:t>
      </w:r>
      <w:r w:rsidR="00766FEA" w:rsidRPr="00AE141E">
        <w:rPr>
          <w:rFonts w:ascii="Times New Roman" w:hAnsi="Times New Roman" w:cs="Times New Roman"/>
          <w:sz w:val="24"/>
          <w:szCs w:val="24"/>
        </w:rPr>
        <w:t xml:space="preserve">Group’s work simply could not take into consideration the manifold influences </w:t>
      </w:r>
      <w:r w:rsidR="00B314EE" w:rsidRPr="00AE141E">
        <w:rPr>
          <w:rFonts w:ascii="Times New Roman" w:hAnsi="Times New Roman" w:cs="Times New Roman"/>
          <w:sz w:val="24"/>
          <w:szCs w:val="24"/>
        </w:rPr>
        <w:t xml:space="preserve">on existing syllabi, including the </w:t>
      </w:r>
      <w:r w:rsidR="00471982" w:rsidRPr="00AE141E">
        <w:rPr>
          <w:rFonts w:ascii="Times New Roman" w:hAnsi="Times New Roman" w:cs="Times New Roman"/>
          <w:sz w:val="24"/>
          <w:szCs w:val="24"/>
        </w:rPr>
        <w:t>resource supplies and constraints o</w:t>
      </w:r>
      <w:r w:rsidR="007013BD">
        <w:rPr>
          <w:rFonts w:ascii="Times New Roman" w:hAnsi="Times New Roman" w:cs="Times New Roman"/>
          <w:sz w:val="24"/>
          <w:szCs w:val="24"/>
        </w:rPr>
        <w:t>f</w:t>
      </w:r>
      <w:r w:rsidR="00471982" w:rsidRPr="00AE141E">
        <w:rPr>
          <w:rFonts w:ascii="Times New Roman" w:hAnsi="Times New Roman" w:cs="Times New Roman"/>
          <w:sz w:val="24"/>
          <w:szCs w:val="24"/>
        </w:rPr>
        <w:t xml:space="preserve"> individual schools, and the</w:t>
      </w:r>
      <w:r w:rsidR="00583983" w:rsidRPr="00AE141E">
        <w:rPr>
          <w:rFonts w:ascii="Times New Roman" w:hAnsi="Times New Roman" w:cs="Times New Roman"/>
          <w:sz w:val="24"/>
          <w:szCs w:val="24"/>
        </w:rPr>
        <w:t xml:space="preserve"> specific</w:t>
      </w:r>
      <w:r w:rsidR="00471982" w:rsidRPr="00AE141E">
        <w:rPr>
          <w:rFonts w:ascii="Times New Roman" w:hAnsi="Times New Roman" w:cs="Times New Roman"/>
          <w:sz w:val="24"/>
          <w:szCs w:val="24"/>
        </w:rPr>
        <w:t xml:space="preserve"> demands of </w:t>
      </w:r>
      <w:r w:rsidR="007013BD">
        <w:rPr>
          <w:rFonts w:ascii="Times New Roman" w:hAnsi="Times New Roman" w:cs="Times New Roman"/>
          <w:sz w:val="24"/>
          <w:szCs w:val="24"/>
        </w:rPr>
        <w:t xml:space="preserve">their </w:t>
      </w:r>
      <w:r w:rsidR="00583983" w:rsidRPr="00AE141E">
        <w:rPr>
          <w:rFonts w:ascii="Times New Roman" w:hAnsi="Times New Roman" w:cs="Times New Roman"/>
          <w:sz w:val="24"/>
          <w:szCs w:val="24"/>
        </w:rPr>
        <w:t>surrounding communities.</w:t>
      </w:r>
    </w:p>
    <w:p w14:paraId="24F43815" w14:textId="6E486B8F" w:rsidR="006A58B7" w:rsidRPr="00AE141E" w:rsidRDefault="00DE49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w:t>
      </w:r>
      <w:r w:rsidR="009122B5" w:rsidRPr="00AE141E">
        <w:rPr>
          <w:rFonts w:ascii="Times New Roman" w:hAnsi="Times New Roman" w:cs="Times New Roman"/>
          <w:sz w:val="24"/>
          <w:szCs w:val="24"/>
        </w:rPr>
        <w:t xml:space="preserve"> Responses </w:t>
      </w:r>
      <w:r w:rsidR="00DE62A2">
        <w:rPr>
          <w:rFonts w:ascii="Times New Roman" w:hAnsi="Times New Roman" w:cs="Times New Roman"/>
          <w:sz w:val="24"/>
          <w:szCs w:val="24"/>
        </w:rPr>
        <w:t>sub-group</w:t>
      </w:r>
      <w:r w:rsidR="009122B5" w:rsidRPr="00AE141E">
        <w:rPr>
          <w:rFonts w:ascii="Times New Roman" w:hAnsi="Times New Roman" w:cs="Times New Roman"/>
          <w:sz w:val="24"/>
          <w:szCs w:val="24"/>
        </w:rPr>
        <w:t xml:space="preserve"> reported that the</w:t>
      </w:r>
      <w:r w:rsidRPr="00AE141E">
        <w:rPr>
          <w:rFonts w:ascii="Times New Roman" w:hAnsi="Times New Roman" w:cs="Times New Roman"/>
          <w:sz w:val="24"/>
          <w:szCs w:val="24"/>
        </w:rPr>
        <w:t xml:space="preserve"> most commonly </w:t>
      </w:r>
      <w:r w:rsidR="00DE62A2">
        <w:rPr>
          <w:rFonts w:ascii="Times New Roman" w:hAnsi="Times New Roman" w:cs="Times New Roman"/>
          <w:sz w:val="24"/>
          <w:szCs w:val="24"/>
        </w:rPr>
        <w:t>cited</w:t>
      </w:r>
      <w:r w:rsidRPr="00AE141E">
        <w:rPr>
          <w:rFonts w:ascii="Times New Roman" w:hAnsi="Times New Roman" w:cs="Times New Roman"/>
          <w:sz w:val="24"/>
          <w:szCs w:val="24"/>
        </w:rPr>
        <w:t xml:space="preserve"> omissions </w:t>
      </w:r>
      <w:r w:rsidR="00194D9A" w:rsidRPr="00AE141E">
        <w:rPr>
          <w:rFonts w:ascii="Times New Roman" w:hAnsi="Times New Roman" w:cs="Times New Roman"/>
          <w:sz w:val="24"/>
          <w:szCs w:val="24"/>
        </w:rPr>
        <w:t xml:space="preserve">of content </w:t>
      </w:r>
      <w:r w:rsidRPr="00AE141E">
        <w:rPr>
          <w:rFonts w:ascii="Times New Roman" w:hAnsi="Times New Roman" w:cs="Times New Roman"/>
          <w:sz w:val="24"/>
          <w:szCs w:val="24"/>
        </w:rPr>
        <w:t>were</w:t>
      </w:r>
      <w:r w:rsidR="0097316F" w:rsidRPr="00AE141E">
        <w:rPr>
          <w:rFonts w:ascii="Times New Roman" w:hAnsi="Times New Roman" w:cs="Times New Roman"/>
          <w:sz w:val="24"/>
          <w:szCs w:val="24"/>
        </w:rPr>
        <w:t xml:space="preserve"> as follows</w:t>
      </w:r>
      <w:r w:rsidRPr="00AE141E">
        <w:rPr>
          <w:rFonts w:ascii="Times New Roman" w:hAnsi="Times New Roman" w:cs="Times New Roman"/>
          <w:sz w:val="24"/>
          <w:szCs w:val="24"/>
        </w:rPr>
        <w:t xml:space="preserve">: the Holocaust, the rise of </w:t>
      </w:r>
      <w:r w:rsidR="00194D9A" w:rsidRPr="00AE141E">
        <w:rPr>
          <w:rFonts w:ascii="Times New Roman" w:hAnsi="Times New Roman" w:cs="Times New Roman"/>
          <w:sz w:val="24"/>
          <w:szCs w:val="24"/>
        </w:rPr>
        <w:t>f</w:t>
      </w:r>
      <w:r w:rsidRPr="00AE141E">
        <w:rPr>
          <w:rFonts w:ascii="Times New Roman" w:hAnsi="Times New Roman" w:cs="Times New Roman"/>
          <w:sz w:val="24"/>
          <w:szCs w:val="24"/>
        </w:rPr>
        <w:t xml:space="preserve">ascism </w:t>
      </w:r>
      <w:r w:rsidR="00194D9A" w:rsidRPr="00AE141E">
        <w:rPr>
          <w:rFonts w:ascii="Times New Roman" w:hAnsi="Times New Roman" w:cs="Times New Roman"/>
          <w:sz w:val="24"/>
          <w:szCs w:val="24"/>
        </w:rPr>
        <w:t xml:space="preserve">and </w:t>
      </w:r>
      <w:r w:rsidRPr="00AE141E">
        <w:rPr>
          <w:rFonts w:ascii="Times New Roman" w:hAnsi="Times New Roman" w:cs="Times New Roman"/>
          <w:sz w:val="24"/>
          <w:szCs w:val="24"/>
        </w:rPr>
        <w:t xml:space="preserve">Nazi Germany, </w:t>
      </w:r>
      <w:r w:rsidR="00F14761" w:rsidRPr="00AE141E">
        <w:rPr>
          <w:rFonts w:ascii="Times New Roman" w:hAnsi="Times New Roman" w:cs="Times New Roman"/>
          <w:sz w:val="24"/>
          <w:szCs w:val="24"/>
        </w:rPr>
        <w:t>the First and Second World Wars</w:t>
      </w:r>
      <w:r w:rsidRPr="00AE141E">
        <w:rPr>
          <w:rFonts w:ascii="Times New Roman" w:hAnsi="Times New Roman" w:cs="Times New Roman"/>
          <w:sz w:val="24"/>
          <w:szCs w:val="24"/>
        </w:rPr>
        <w:t>, the Reformation,</w:t>
      </w:r>
      <w:r w:rsidR="00194D9A" w:rsidRPr="00AE141E">
        <w:rPr>
          <w:rFonts w:ascii="Times New Roman" w:hAnsi="Times New Roman" w:cs="Times New Roman"/>
          <w:sz w:val="24"/>
          <w:szCs w:val="24"/>
        </w:rPr>
        <w:t xml:space="preserve"> </w:t>
      </w:r>
      <w:r w:rsidRPr="00AE141E">
        <w:rPr>
          <w:rFonts w:ascii="Times New Roman" w:hAnsi="Times New Roman" w:cs="Times New Roman"/>
          <w:sz w:val="24"/>
          <w:szCs w:val="24"/>
        </w:rPr>
        <w:t>the history of medicine</w:t>
      </w:r>
      <w:r w:rsidR="0037000C" w:rsidRPr="00AE141E">
        <w:rPr>
          <w:rFonts w:ascii="Times New Roman" w:hAnsi="Times New Roman" w:cs="Times New Roman"/>
          <w:sz w:val="24"/>
          <w:szCs w:val="24"/>
        </w:rPr>
        <w:t xml:space="preserve">, and the history of </w:t>
      </w:r>
      <w:r w:rsidR="0090126F" w:rsidRPr="00AE141E">
        <w:rPr>
          <w:rFonts w:ascii="Times New Roman" w:hAnsi="Times New Roman" w:cs="Times New Roman"/>
          <w:sz w:val="24"/>
          <w:szCs w:val="24"/>
        </w:rPr>
        <w:t xml:space="preserve">continental </w:t>
      </w:r>
      <w:r w:rsidRPr="00AE141E">
        <w:rPr>
          <w:rFonts w:ascii="Times New Roman" w:hAnsi="Times New Roman" w:cs="Times New Roman"/>
          <w:sz w:val="24"/>
          <w:szCs w:val="24"/>
        </w:rPr>
        <w:t>Europe</w:t>
      </w:r>
      <w:r w:rsidR="005A42EB" w:rsidRPr="00AE141E">
        <w:rPr>
          <w:rFonts w:ascii="Times New Roman" w:hAnsi="Times New Roman" w:cs="Times New Roman"/>
          <w:sz w:val="24"/>
          <w:szCs w:val="24"/>
        </w:rPr>
        <w:t>.</w:t>
      </w:r>
      <w:r w:rsidR="005378EE" w:rsidRPr="00AE141E">
        <w:rPr>
          <w:rStyle w:val="FootnoteReference"/>
          <w:rFonts w:ascii="Times New Roman" w:hAnsi="Times New Roman" w:cs="Times New Roman"/>
          <w:sz w:val="24"/>
          <w:szCs w:val="24"/>
        </w:rPr>
        <w:footnoteReference w:id="844"/>
      </w:r>
      <w:r w:rsidR="009B4933" w:rsidRPr="00AE141E">
        <w:rPr>
          <w:rFonts w:ascii="Times New Roman" w:hAnsi="Times New Roman" w:cs="Times New Roman"/>
          <w:sz w:val="24"/>
          <w:szCs w:val="24"/>
        </w:rPr>
        <w:t xml:space="preserve"> </w:t>
      </w:r>
      <w:r w:rsidR="007B4BCD" w:rsidRPr="00AE141E">
        <w:rPr>
          <w:rFonts w:ascii="Times New Roman" w:hAnsi="Times New Roman" w:cs="Times New Roman"/>
          <w:sz w:val="24"/>
          <w:szCs w:val="24"/>
        </w:rPr>
        <w:t>Commonly taught areas such as the Reformation</w:t>
      </w:r>
      <w:r w:rsidR="009B3B01">
        <w:rPr>
          <w:rFonts w:ascii="Times New Roman" w:hAnsi="Times New Roman" w:cs="Times New Roman"/>
          <w:sz w:val="24"/>
          <w:szCs w:val="24"/>
        </w:rPr>
        <w:t xml:space="preserve">, </w:t>
      </w:r>
      <w:r w:rsidR="007B4BCD" w:rsidRPr="00AE141E">
        <w:rPr>
          <w:rFonts w:ascii="Times New Roman" w:hAnsi="Times New Roman" w:cs="Times New Roman"/>
          <w:sz w:val="24"/>
          <w:szCs w:val="24"/>
        </w:rPr>
        <w:t>the history of medicine</w:t>
      </w:r>
      <w:r w:rsidR="009B3B01">
        <w:rPr>
          <w:rFonts w:ascii="Times New Roman" w:hAnsi="Times New Roman" w:cs="Times New Roman"/>
          <w:sz w:val="24"/>
          <w:szCs w:val="24"/>
        </w:rPr>
        <w:t>, and the two World Wars</w:t>
      </w:r>
      <w:r w:rsidR="002A192B" w:rsidRPr="00AE141E">
        <w:rPr>
          <w:rFonts w:ascii="Times New Roman" w:hAnsi="Times New Roman" w:cs="Times New Roman"/>
          <w:sz w:val="24"/>
          <w:szCs w:val="24"/>
        </w:rPr>
        <w:t xml:space="preserve"> were well-</w:t>
      </w:r>
      <w:r w:rsidR="00E8522E" w:rsidRPr="00AE141E">
        <w:rPr>
          <w:rFonts w:ascii="Times New Roman" w:hAnsi="Times New Roman" w:cs="Times New Roman"/>
          <w:sz w:val="24"/>
          <w:szCs w:val="24"/>
        </w:rPr>
        <w:t>resourced</w:t>
      </w:r>
      <w:r w:rsidR="002A192B" w:rsidRPr="00AE141E">
        <w:rPr>
          <w:rFonts w:ascii="Times New Roman" w:hAnsi="Times New Roman" w:cs="Times New Roman"/>
          <w:sz w:val="24"/>
          <w:szCs w:val="24"/>
        </w:rPr>
        <w:t>, and teachers</w:t>
      </w:r>
      <w:r w:rsidR="00F361AC" w:rsidRPr="00AE141E">
        <w:rPr>
          <w:rFonts w:ascii="Times New Roman" w:hAnsi="Times New Roman" w:cs="Times New Roman"/>
          <w:sz w:val="24"/>
          <w:szCs w:val="24"/>
        </w:rPr>
        <w:t xml:space="preserve"> likely</w:t>
      </w:r>
      <w:r w:rsidR="002A192B" w:rsidRPr="00AE141E">
        <w:rPr>
          <w:rFonts w:ascii="Times New Roman" w:hAnsi="Times New Roman" w:cs="Times New Roman"/>
          <w:sz w:val="24"/>
          <w:szCs w:val="24"/>
        </w:rPr>
        <w:t xml:space="preserve"> felt confident delivering </w:t>
      </w:r>
      <w:r w:rsidR="00E8522E" w:rsidRPr="00AE141E">
        <w:rPr>
          <w:rFonts w:ascii="Times New Roman" w:hAnsi="Times New Roman" w:cs="Times New Roman"/>
          <w:sz w:val="24"/>
          <w:szCs w:val="24"/>
        </w:rPr>
        <w:t>them.</w:t>
      </w:r>
      <w:r w:rsidR="00082173">
        <w:rPr>
          <w:rFonts w:ascii="Times New Roman" w:hAnsi="Times New Roman" w:cs="Times New Roman"/>
          <w:sz w:val="24"/>
          <w:szCs w:val="24"/>
        </w:rPr>
        <w:t xml:space="preserve"> Hence, there was a practical dimension to anger over their </w:t>
      </w:r>
      <w:r w:rsidR="009B3B01">
        <w:rPr>
          <w:rFonts w:ascii="Times New Roman" w:hAnsi="Times New Roman" w:cs="Times New Roman"/>
          <w:sz w:val="24"/>
          <w:szCs w:val="24"/>
        </w:rPr>
        <w:t>omission.</w:t>
      </w:r>
      <w:r w:rsidR="00E8522E" w:rsidRPr="00AE141E">
        <w:rPr>
          <w:rFonts w:ascii="Times New Roman" w:hAnsi="Times New Roman" w:cs="Times New Roman"/>
          <w:sz w:val="24"/>
          <w:szCs w:val="24"/>
        </w:rPr>
        <w:t xml:space="preserve"> </w:t>
      </w:r>
      <w:r w:rsidR="00976EB7" w:rsidRPr="00AE141E">
        <w:rPr>
          <w:rFonts w:ascii="Times New Roman" w:hAnsi="Times New Roman" w:cs="Times New Roman"/>
          <w:sz w:val="24"/>
          <w:szCs w:val="24"/>
        </w:rPr>
        <w:t xml:space="preserve">However, the </w:t>
      </w:r>
      <w:r w:rsidR="00FC0B8B" w:rsidRPr="00AE141E">
        <w:rPr>
          <w:rFonts w:ascii="Times New Roman" w:hAnsi="Times New Roman" w:cs="Times New Roman"/>
          <w:sz w:val="24"/>
          <w:szCs w:val="24"/>
        </w:rPr>
        <w:t>peculiar</w:t>
      </w:r>
      <w:r w:rsidR="00976EB7" w:rsidRPr="00AE141E">
        <w:rPr>
          <w:rFonts w:ascii="Times New Roman" w:hAnsi="Times New Roman" w:cs="Times New Roman"/>
          <w:sz w:val="24"/>
          <w:szCs w:val="24"/>
        </w:rPr>
        <w:t xml:space="preserve"> </w:t>
      </w:r>
      <w:r w:rsidR="00D46BBC" w:rsidRPr="00AE141E">
        <w:rPr>
          <w:rFonts w:ascii="Times New Roman" w:hAnsi="Times New Roman" w:cs="Times New Roman"/>
          <w:sz w:val="24"/>
          <w:szCs w:val="24"/>
        </w:rPr>
        <w:t>vehemence with which</w:t>
      </w:r>
      <w:r w:rsidR="002B6CC9" w:rsidRPr="00AE141E">
        <w:rPr>
          <w:rFonts w:ascii="Times New Roman" w:hAnsi="Times New Roman" w:cs="Times New Roman"/>
          <w:sz w:val="24"/>
          <w:szCs w:val="24"/>
        </w:rPr>
        <w:t xml:space="preserve"> </w:t>
      </w:r>
      <w:r w:rsidR="0019256F" w:rsidRPr="00AE141E">
        <w:rPr>
          <w:rFonts w:ascii="Times New Roman" w:hAnsi="Times New Roman" w:cs="Times New Roman"/>
          <w:sz w:val="24"/>
          <w:szCs w:val="24"/>
        </w:rPr>
        <w:t xml:space="preserve">people argued for the inclusion of </w:t>
      </w:r>
      <w:r w:rsidR="00E95A8D">
        <w:rPr>
          <w:rFonts w:ascii="Times New Roman" w:hAnsi="Times New Roman" w:cs="Times New Roman"/>
          <w:sz w:val="24"/>
          <w:szCs w:val="24"/>
        </w:rPr>
        <w:t>the</w:t>
      </w:r>
      <w:r w:rsidR="009B3B01">
        <w:rPr>
          <w:rFonts w:ascii="Times New Roman" w:hAnsi="Times New Roman" w:cs="Times New Roman"/>
          <w:sz w:val="24"/>
          <w:szCs w:val="24"/>
        </w:rPr>
        <w:t xml:space="preserve"> World Wars (in particular</w:t>
      </w:r>
      <w:r w:rsidR="00AD6FD7" w:rsidRPr="00AE141E">
        <w:rPr>
          <w:rFonts w:ascii="Times New Roman" w:hAnsi="Times New Roman" w:cs="Times New Roman"/>
          <w:sz w:val="24"/>
          <w:szCs w:val="24"/>
        </w:rPr>
        <w:t xml:space="preserve"> </w:t>
      </w:r>
      <w:r w:rsidR="00851F8A" w:rsidRPr="00AE141E">
        <w:rPr>
          <w:rFonts w:ascii="Times New Roman" w:hAnsi="Times New Roman" w:cs="Times New Roman"/>
          <w:sz w:val="24"/>
          <w:szCs w:val="24"/>
        </w:rPr>
        <w:t>the Second</w:t>
      </w:r>
      <w:r w:rsidR="009B3B01">
        <w:rPr>
          <w:rFonts w:ascii="Times New Roman" w:hAnsi="Times New Roman" w:cs="Times New Roman"/>
          <w:sz w:val="24"/>
          <w:szCs w:val="24"/>
        </w:rPr>
        <w:t>)</w:t>
      </w:r>
      <w:r w:rsidR="00851F8A" w:rsidRPr="00AE141E">
        <w:rPr>
          <w:rFonts w:ascii="Times New Roman" w:hAnsi="Times New Roman" w:cs="Times New Roman"/>
          <w:sz w:val="24"/>
          <w:szCs w:val="24"/>
        </w:rPr>
        <w:t xml:space="preserve"> </w:t>
      </w:r>
      <w:r w:rsidR="002B6CC9" w:rsidRPr="00AE141E">
        <w:rPr>
          <w:rFonts w:ascii="Times New Roman" w:hAnsi="Times New Roman" w:cs="Times New Roman"/>
          <w:sz w:val="24"/>
          <w:szCs w:val="24"/>
        </w:rPr>
        <w:t>implies</w:t>
      </w:r>
      <w:r w:rsidR="00AD6FD7" w:rsidRPr="00AE141E">
        <w:rPr>
          <w:rFonts w:ascii="Times New Roman" w:hAnsi="Times New Roman" w:cs="Times New Roman"/>
          <w:sz w:val="24"/>
          <w:szCs w:val="24"/>
        </w:rPr>
        <w:t xml:space="preserve"> </w:t>
      </w:r>
      <w:r w:rsidR="002B6CC9" w:rsidRPr="00AE141E">
        <w:rPr>
          <w:rFonts w:ascii="Times New Roman" w:hAnsi="Times New Roman" w:cs="Times New Roman"/>
          <w:sz w:val="24"/>
          <w:szCs w:val="24"/>
        </w:rPr>
        <w:t xml:space="preserve">that there was also an ideological basis </w:t>
      </w:r>
      <w:r w:rsidR="00E8317D">
        <w:rPr>
          <w:rFonts w:ascii="Times New Roman" w:hAnsi="Times New Roman" w:cs="Times New Roman"/>
          <w:sz w:val="24"/>
          <w:szCs w:val="24"/>
        </w:rPr>
        <w:t>some of these</w:t>
      </w:r>
      <w:r w:rsidR="001156E3" w:rsidRPr="00AE141E">
        <w:rPr>
          <w:rFonts w:ascii="Times New Roman" w:hAnsi="Times New Roman" w:cs="Times New Roman"/>
          <w:sz w:val="24"/>
          <w:szCs w:val="24"/>
        </w:rPr>
        <w:t xml:space="preserve"> concern</w:t>
      </w:r>
      <w:r w:rsidR="00E8317D">
        <w:rPr>
          <w:rFonts w:ascii="Times New Roman" w:hAnsi="Times New Roman" w:cs="Times New Roman"/>
          <w:sz w:val="24"/>
          <w:szCs w:val="24"/>
        </w:rPr>
        <w:t>s</w:t>
      </w:r>
      <w:r w:rsidR="001156E3" w:rsidRPr="00AE141E">
        <w:rPr>
          <w:rFonts w:ascii="Times New Roman" w:hAnsi="Times New Roman" w:cs="Times New Roman"/>
          <w:sz w:val="24"/>
          <w:szCs w:val="24"/>
        </w:rPr>
        <w:t>.</w:t>
      </w:r>
      <w:r w:rsidR="00374DCA" w:rsidRPr="00AE141E">
        <w:rPr>
          <w:rFonts w:ascii="Times New Roman" w:hAnsi="Times New Roman" w:cs="Times New Roman"/>
          <w:sz w:val="24"/>
          <w:szCs w:val="24"/>
        </w:rPr>
        <w:t xml:space="preserve"> </w:t>
      </w:r>
      <w:r w:rsidR="00270719">
        <w:rPr>
          <w:rFonts w:ascii="Times New Roman" w:hAnsi="Times New Roman" w:cs="Times New Roman"/>
          <w:sz w:val="24"/>
          <w:szCs w:val="24"/>
        </w:rPr>
        <w:t>At</w:t>
      </w:r>
      <w:r w:rsidR="00374DCA" w:rsidRPr="00AE141E">
        <w:rPr>
          <w:rFonts w:ascii="Times New Roman" w:hAnsi="Times New Roman" w:cs="Times New Roman"/>
          <w:sz w:val="24"/>
          <w:szCs w:val="24"/>
        </w:rPr>
        <w:t xml:space="preserve"> KS4, the </w:t>
      </w:r>
      <w:r w:rsidR="005F5EA2" w:rsidRPr="00AE141E">
        <w:rPr>
          <w:rFonts w:ascii="Times New Roman" w:hAnsi="Times New Roman" w:cs="Times New Roman"/>
          <w:sz w:val="24"/>
          <w:szCs w:val="24"/>
        </w:rPr>
        <w:t>‘</w:t>
      </w:r>
      <w:r w:rsidR="00374DCA" w:rsidRPr="00AE141E">
        <w:rPr>
          <w:rFonts w:ascii="Times New Roman" w:hAnsi="Times New Roman" w:cs="Times New Roman"/>
          <w:sz w:val="24"/>
          <w:szCs w:val="24"/>
        </w:rPr>
        <w:t>single most repeated</w:t>
      </w:r>
      <w:r w:rsidR="005F5EA2" w:rsidRPr="00AE141E">
        <w:rPr>
          <w:rFonts w:ascii="Times New Roman" w:hAnsi="Times New Roman" w:cs="Times New Roman"/>
          <w:sz w:val="24"/>
          <w:szCs w:val="24"/>
        </w:rPr>
        <w:t>’</w:t>
      </w:r>
      <w:r w:rsidR="00374DCA" w:rsidRPr="00AE141E">
        <w:rPr>
          <w:rFonts w:ascii="Times New Roman" w:hAnsi="Times New Roman" w:cs="Times New Roman"/>
          <w:sz w:val="24"/>
          <w:szCs w:val="24"/>
        </w:rPr>
        <w:t xml:space="preserve"> objection </w:t>
      </w:r>
      <w:r w:rsidR="00DF4FF8" w:rsidRPr="00AE141E">
        <w:rPr>
          <w:rFonts w:ascii="Times New Roman" w:hAnsi="Times New Roman" w:cs="Times New Roman"/>
          <w:sz w:val="24"/>
          <w:szCs w:val="24"/>
        </w:rPr>
        <w:t>related to the omission of the two World War</w:t>
      </w:r>
      <w:r w:rsidR="00374DCA" w:rsidRPr="00AE141E">
        <w:rPr>
          <w:rFonts w:ascii="Times New Roman" w:hAnsi="Times New Roman" w:cs="Times New Roman"/>
          <w:sz w:val="24"/>
          <w:szCs w:val="24"/>
        </w:rPr>
        <w:t>s</w:t>
      </w:r>
      <w:r w:rsidR="00DF4FF8" w:rsidRPr="00AE141E">
        <w:rPr>
          <w:rFonts w:ascii="Times New Roman" w:hAnsi="Times New Roman" w:cs="Times New Roman"/>
          <w:sz w:val="24"/>
          <w:szCs w:val="24"/>
        </w:rPr>
        <w:t xml:space="preserve"> and </w:t>
      </w:r>
      <w:r w:rsidR="00D44911" w:rsidRPr="00AE141E">
        <w:rPr>
          <w:rFonts w:ascii="Times New Roman" w:hAnsi="Times New Roman" w:cs="Times New Roman"/>
          <w:sz w:val="24"/>
          <w:szCs w:val="24"/>
        </w:rPr>
        <w:t>connected</w:t>
      </w:r>
      <w:r w:rsidR="00DF4FF8" w:rsidRPr="00AE141E">
        <w:rPr>
          <w:rFonts w:ascii="Times New Roman" w:hAnsi="Times New Roman" w:cs="Times New Roman"/>
          <w:sz w:val="24"/>
          <w:szCs w:val="24"/>
        </w:rPr>
        <w:t xml:space="preserve"> studies such as </w:t>
      </w:r>
      <w:r w:rsidR="003B6F11" w:rsidRPr="00AE141E">
        <w:rPr>
          <w:rFonts w:ascii="Times New Roman" w:hAnsi="Times New Roman" w:cs="Times New Roman"/>
          <w:sz w:val="24"/>
          <w:szCs w:val="24"/>
        </w:rPr>
        <w:t>the Holocaust and f</w:t>
      </w:r>
      <w:r w:rsidR="00DF4FF8" w:rsidRPr="00AE141E">
        <w:rPr>
          <w:rFonts w:ascii="Times New Roman" w:hAnsi="Times New Roman" w:cs="Times New Roman"/>
          <w:sz w:val="24"/>
          <w:szCs w:val="24"/>
        </w:rPr>
        <w:t>ascism</w:t>
      </w:r>
      <w:r w:rsidR="00D44911" w:rsidRPr="00AE141E">
        <w:rPr>
          <w:rFonts w:ascii="Times New Roman" w:hAnsi="Times New Roman" w:cs="Times New Roman"/>
          <w:sz w:val="24"/>
          <w:szCs w:val="24"/>
        </w:rPr>
        <w:t>.</w:t>
      </w:r>
      <w:r w:rsidR="005F5EA2" w:rsidRPr="00AE141E">
        <w:rPr>
          <w:rStyle w:val="FootnoteReference"/>
          <w:rFonts w:ascii="Times New Roman" w:hAnsi="Times New Roman" w:cs="Times New Roman"/>
          <w:sz w:val="24"/>
          <w:szCs w:val="24"/>
        </w:rPr>
        <w:footnoteReference w:id="845"/>
      </w:r>
      <w:r w:rsidR="00AD6FD7" w:rsidRPr="00AE141E">
        <w:rPr>
          <w:rFonts w:ascii="Times New Roman" w:hAnsi="Times New Roman" w:cs="Times New Roman"/>
          <w:sz w:val="24"/>
          <w:szCs w:val="24"/>
        </w:rPr>
        <w:t xml:space="preserve"> </w:t>
      </w:r>
      <w:r w:rsidR="00F14761" w:rsidRPr="00AE141E">
        <w:rPr>
          <w:rFonts w:ascii="Times New Roman" w:hAnsi="Times New Roman" w:cs="Times New Roman"/>
          <w:sz w:val="24"/>
          <w:szCs w:val="24"/>
        </w:rPr>
        <w:t>Marshall</w:t>
      </w:r>
      <w:r w:rsidR="00AD6FD7" w:rsidRPr="00AE141E">
        <w:rPr>
          <w:rFonts w:ascii="Times New Roman" w:hAnsi="Times New Roman" w:cs="Times New Roman"/>
          <w:sz w:val="24"/>
          <w:szCs w:val="24"/>
        </w:rPr>
        <w:t xml:space="preserve"> would later recall that the single most </w:t>
      </w:r>
      <w:r w:rsidR="001112B5" w:rsidRPr="00AE141E">
        <w:rPr>
          <w:rFonts w:ascii="Times New Roman" w:hAnsi="Times New Roman" w:cs="Times New Roman"/>
          <w:sz w:val="24"/>
          <w:szCs w:val="24"/>
        </w:rPr>
        <w:t xml:space="preserve">‘contentious’ decision </w:t>
      </w:r>
      <w:r w:rsidR="00F14761" w:rsidRPr="00AE141E">
        <w:rPr>
          <w:rFonts w:ascii="Times New Roman" w:hAnsi="Times New Roman" w:cs="Times New Roman"/>
          <w:sz w:val="24"/>
          <w:szCs w:val="24"/>
        </w:rPr>
        <w:t xml:space="preserve">made by the Interim Report was to eschew </w:t>
      </w:r>
      <w:r w:rsidR="0085571C" w:rsidRPr="00AE141E">
        <w:rPr>
          <w:rFonts w:ascii="Times New Roman" w:hAnsi="Times New Roman" w:cs="Times New Roman"/>
          <w:sz w:val="24"/>
          <w:szCs w:val="24"/>
        </w:rPr>
        <w:t xml:space="preserve">the </w:t>
      </w:r>
      <w:r w:rsidR="006A58B7" w:rsidRPr="00AE141E">
        <w:rPr>
          <w:rFonts w:ascii="Times New Roman" w:hAnsi="Times New Roman" w:cs="Times New Roman"/>
          <w:sz w:val="24"/>
          <w:szCs w:val="24"/>
        </w:rPr>
        <w:t xml:space="preserve">Second World War </w:t>
      </w:r>
      <w:r w:rsidR="0085571C" w:rsidRPr="00AE141E">
        <w:rPr>
          <w:rFonts w:ascii="Times New Roman" w:hAnsi="Times New Roman" w:cs="Times New Roman"/>
          <w:sz w:val="24"/>
          <w:szCs w:val="24"/>
        </w:rPr>
        <w:t>in favour of ‘</w:t>
      </w:r>
      <w:r w:rsidR="006A58B7" w:rsidRPr="00AE141E">
        <w:rPr>
          <w:rFonts w:ascii="Times New Roman" w:hAnsi="Times New Roman" w:cs="Times New Roman"/>
          <w:sz w:val="24"/>
          <w:szCs w:val="24"/>
        </w:rPr>
        <w:t>post-war developments</w:t>
      </w:r>
      <w:r w:rsidR="0085571C" w:rsidRPr="00AE141E">
        <w:rPr>
          <w:rFonts w:ascii="Times New Roman" w:hAnsi="Times New Roman" w:cs="Times New Roman"/>
          <w:sz w:val="24"/>
          <w:szCs w:val="24"/>
        </w:rPr>
        <w:t>’</w:t>
      </w:r>
      <w:r w:rsidR="00E75D42" w:rsidRPr="00AE141E">
        <w:rPr>
          <w:rFonts w:ascii="Times New Roman" w:hAnsi="Times New Roman" w:cs="Times New Roman"/>
          <w:sz w:val="24"/>
          <w:szCs w:val="24"/>
        </w:rPr>
        <w:t>.</w:t>
      </w:r>
      <w:r w:rsidR="00785F4A" w:rsidRPr="00AE141E">
        <w:rPr>
          <w:rStyle w:val="FootnoteReference"/>
          <w:rFonts w:ascii="Times New Roman" w:hAnsi="Times New Roman" w:cs="Times New Roman"/>
          <w:sz w:val="24"/>
          <w:szCs w:val="24"/>
        </w:rPr>
        <w:footnoteReference w:id="846"/>
      </w:r>
      <w:r w:rsidR="00590E31" w:rsidRPr="00AE141E">
        <w:rPr>
          <w:rFonts w:ascii="Times New Roman" w:hAnsi="Times New Roman" w:cs="Times New Roman"/>
          <w:sz w:val="24"/>
          <w:szCs w:val="24"/>
        </w:rPr>
        <w:t xml:space="preserve"> </w:t>
      </w:r>
      <w:r w:rsidR="004E4662" w:rsidRPr="00AE141E">
        <w:rPr>
          <w:rFonts w:ascii="Times New Roman" w:hAnsi="Times New Roman" w:cs="Times New Roman"/>
          <w:sz w:val="24"/>
          <w:szCs w:val="24"/>
        </w:rPr>
        <w:t xml:space="preserve">As </w:t>
      </w:r>
      <w:r w:rsidR="00CF1147">
        <w:rPr>
          <w:rFonts w:ascii="Times New Roman" w:hAnsi="Times New Roman" w:cs="Times New Roman"/>
          <w:sz w:val="24"/>
          <w:szCs w:val="24"/>
        </w:rPr>
        <w:t xml:space="preserve">the </w:t>
      </w:r>
      <w:r w:rsidR="004E4662" w:rsidRPr="00AE141E">
        <w:rPr>
          <w:rFonts w:ascii="Times New Roman" w:hAnsi="Times New Roman" w:cs="Times New Roman"/>
          <w:sz w:val="24"/>
          <w:szCs w:val="24"/>
        </w:rPr>
        <w:t>teacher and HWG</w:t>
      </w:r>
      <w:r w:rsidR="00D44E9E">
        <w:rPr>
          <w:rFonts w:ascii="Times New Roman" w:hAnsi="Times New Roman" w:cs="Times New Roman"/>
          <w:sz w:val="24"/>
          <w:szCs w:val="24"/>
        </w:rPr>
        <w:t xml:space="preserve"> </w:t>
      </w:r>
      <w:r w:rsidR="004E4662" w:rsidRPr="00AE141E">
        <w:rPr>
          <w:rFonts w:ascii="Times New Roman" w:hAnsi="Times New Roman" w:cs="Times New Roman"/>
          <w:sz w:val="24"/>
          <w:szCs w:val="24"/>
        </w:rPr>
        <w:t>member Robert Guyver noted, the omission of the Second World War was popularly regarded as an error ‘not so much on historical grounds as for moral and ethical reasons’.</w:t>
      </w:r>
      <w:r w:rsidR="00036A0B" w:rsidRPr="00AE141E">
        <w:rPr>
          <w:rStyle w:val="FootnoteReference"/>
          <w:rFonts w:ascii="Times New Roman" w:hAnsi="Times New Roman" w:cs="Times New Roman"/>
          <w:sz w:val="24"/>
          <w:szCs w:val="24"/>
        </w:rPr>
        <w:footnoteReference w:id="847"/>
      </w:r>
      <w:r w:rsidR="004E4662" w:rsidRPr="00AE141E">
        <w:rPr>
          <w:rFonts w:ascii="Times New Roman" w:hAnsi="Times New Roman" w:cs="Times New Roman"/>
          <w:sz w:val="24"/>
          <w:szCs w:val="24"/>
        </w:rPr>
        <w:t xml:space="preserve"> To this might be added reasons of national pride and</w:t>
      </w:r>
      <w:r w:rsidR="00C96FC4">
        <w:rPr>
          <w:rFonts w:ascii="Times New Roman" w:hAnsi="Times New Roman" w:cs="Times New Roman"/>
          <w:sz w:val="24"/>
          <w:szCs w:val="24"/>
        </w:rPr>
        <w:t xml:space="preserve"> the construction of</w:t>
      </w:r>
      <w:r w:rsidR="004E4662" w:rsidRPr="00AE141E">
        <w:rPr>
          <w:rFonts w:ascii="Times New Roman" w:hAnsi="Times New Roman" w:cs="Times New Roman"/>
          <w:sz w:val="24"/>
          <w:szCs w:val="24"/>
        </w:rPr>
        <w:t xml:space="preserve"> post-imperial identit</w:t>
      </w:r>
      <w:r w:rsidR="00C96FC4">
        <w:rPr>
          <w:rFonts w:ascii="Times New Roman" w:hAnsi="Times New Roman" w:cs="Times New Roman"/>
          <w:sz w:val="24"/>
          <w:szCs w:val="24"/>
        </w:rPr>
        <w:t>ies</w:t>
      </w:r>
      <w:r w:rsidR="004E4662" w:rsidRPr="00AE141E">
        <w:rPr>
          <w:rFonts w:ascii="Times New Roman" w:hAnsi="Times New Roman" w:cs="Times New Roman"/>
          <w:sz w:val="24"/>
          <w:szCs w:val="24"/>
        </w:rPr>
        <w:t>.</w:t>
      </w:r>
    </w:p>
    <w:p w14:paraId="45357FFB" w14:textId="3F5D70E0" w:rsidR="002F12DF" w:rsidRPr="00AE141E" w:rsidRDefault="00300BE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HWG</w:t>
      </w:r>
      <w:r w:rsidR="00B31812" w:rsidRPr="00AE141E">
        <w:rPr>
          <w:rFonts w:ascii="Times New Roman" w:hAnsi="Times New Roman" w:cs="Times New Roman"/>
          <w:sz w:val="24"/>
          <w:szCs w:val="24"/>
        </w:rPr>
        <w:t xml:space="preserve"> had</w:t>
      </w:r>
      <w:r w:rsidR="000E4D32" w:rsidRPr="00AE141E">
        <w:rPr>
          <w:rFonts w:ascii="Times New Roman" w:hAnsi="Times New Roman" w:cs="Times New Roman"/>
          <w:sz w:val="24"/>
          <w:szCs w:val="24"/>
        </w:rPr>
        <w:t xml:space="preserve"> originally </w:t>
      </w:r>
      <w:r w:rsidR="00107075" w:rsidRPr="00AE141E">
        <w:rPr>
          <w:rFonts w:ascii="Times New Roman" w:hAnsi="Times New Roman" w:cs="Times New Roman"/>
          <w:sz w:val="24"/>
          <w:szCs w:val="24"/>
        </w:rPr>
        <w:t xml:space="preserve">opted to omit the Nazis </w:t>
      </w:r>
      <w:r w:rsidR="0051409A">
        <w:rPr>
          <w:rFonts w:ascii="Times New Roman" w:hAnsi="Times New Roman" w:cs="Times New Roman"/>
          <w:sz w:val="24"/>
          <w:szCs w:val="24"/>
        </w:rPr>
        <w:t>in part</w:t>
      </w:r>
      <w:r w:rsidR="007830EE" w:rsidRPr="00AE141E">
        <w:rPr>
          <w:rFonts w:ascii="Times New Roman" w:hAnsi="Times New Roman" w:cs="Times New Roman"/>
          <w:sz w:val="24"/>
          <w:szCs w:val="24"/>
        </w:rPr>
        <w:t xml:space="preserve"> </w:t>
      </w:r>
      <w:r w:rsidR="009452AB" w:rsidRPr="00AE141E">
        <w:rPr>
          <w:rFonts w:ascii="Times New Roman" w:hAnsi="Times New Roman" w:cs="Times New Roman"/>
          <w:sz w:val="24"/>
          <w:szCs w:val="24"/>
        </w:rPr>
        <w:t xml:space="preserve">because </w:t>
      </w:r>
      <w:r w:rsidR="000F4691" w:rsidRPr="00AE141E">
        <w:rPr>
          <w:rFonts w:ascii="Times New Roman" w:hAnsi="Times New Roman" w:cs="Times New Roman"/>
          <w:sz w:val="24"/>
          <w:szCs w:val="24"/>
        </w:rPr>
        <w:t>of the comparatively short period covered by the dictatorship</w:t>
      </w:r>
      <w:r w:rsidR="009452AB" w:rsidRPr="00AE141E">
        <w:rPr>
          <w:rFonts w:ascii="Times New Roman" w:hAnsi="Times New Roman" w:cs="Times New Roman"/>
          <w:sz w:val="24"/>
          <w:szCs w:val="24"/>
        </w:rPr>
        <w:t xml:space="preserve"> </w:t>
      </w:r>
      <w:r w:rsidR="000F4691" w:rsidRPr="00AE141E">
        <w:rPr>
          <w:rFonts w:ascii="Times New Roman" w:hAnsi="Times New Roman" w:cs="Times New Roman"/>
          <w:sz w:val="24"/>
          <w:szCs w:val="24"/>
        </w:rPr>
        <w:t>(</w:t>
      </w:r>
      <w:r w:rsidR="009452AB" w:rsidRPr="00AE141E">
        <w:rPr>
          <w:rFonts w:ascii="Times New Roman" w:hAnsi="Times New Roman" w:cs="Times New Roman"/>
          <w:sz w:val="24"/>
          <w:szCs w:val="24"/>
        </w:rPr>
        <w:t>twelve years</w:t>
      </w:r>
      <w:r w:rsidR="000F4691" w:rsidRPr="00AE141E">
        <w:rPr>
          <w:rFonts w:ascii="Times New Roman" w:hAnsi="Times New Roman" w:cs="Times New Roman"/>
          <w:sz w:val="24"/>
          <w:szCs w:val="24"/>
        </w:rPr>
        <w:t>).</w:t>
      </w:r>
      <w:r w:rsidR="00FE0595" w:rsidRPr="00AE141E">
        <w:rPr>
          <w:rStyle w:val="FootnoteReference"/>
          <w:rFonts w:ascii="Times New Roman" w:hAnsi="Times New Roman" w:cs="Times New Roman"/>
          <w:sz w:val="24"/>
          <w:szCs w:val="24"/>
        </w:rPr>
        <w:footnoteReference w:id="848"/>
      </w:r>
      <w:r w:rsidR="00CC2494" w:rsidRPr="00AE141E">
        <w:rPr>
          <w:rFonts w:ascii="Times New Roman" w:hAnsi="Times New Roman" w:cs="Times New Roman"/>
          <w:sz w:val="24"/>
          <w:szCs w:val="24"/>
        </w:rPr>
        <w:t xml:space="preserve"> The</w:t>
      </w:r>
      <w:r w:rsidR="00FE0595" w:rsidRPr="00AE141E">
        <w:rPr>
          <w:rFonts w:ascii="Times New Roman" w:hAnsi="Times New Roman" w:cs="Times New Roman"/>
          <w:sz w:val="24"/>
          <w:szCs w:val="24"/>
        </w:rPr>
        <w:t xml:space="preserve"> Group believed that the</w:t>
      </w:r>
      <w:r w:rsidR="00731F08" w:rsidRPr="00AE141E">
        <w:rPr>
          <w:rFonts w:ascii="Times New Roman" w:hAnsi="Times New Roman" w:cs="Times New Roman"/>
          <w:sz w:val="24"/>
          <w:szCs w:val="24"/>
        </w:rPr>
        <w:t xml:space="preserve"> </w:t>
      </w:r>
      <w:r w:rsidR="00873A09" w:rsidRPr="00AE141E">
        <w:rPr>
          <w:rFonts w:ascii="Times New Roman" w:hAnsi="Times New Roman" w:cs="Times New Roman"/>
          <w:sz w:val="24"/>
          <w:szCs w:val="24"/>
        </w:rPr>
        <w:t>emphasis</w:t>
      </w:r>
      <w:r w:rsidR="00731F08" w:rsidRPr="00AE141E">
        <w:rPr>
          <w:rFonts w:ascii="Times New Roman" w:hAnsi="Times New Roman" w:cs="Times New Roman"/>
          <w:sz w:val="24"/>
          <w:szCs w:val="24"/>
        </w:rPr>
        <w:t xml:space="preserve"> of </w:t>
      </w:r>
      <w:r w:rsidR="00731F08" w:rsidRPr="00AE141E">
        <w:rPr>
          <w:rFonts w:ascii="Times New Roman" w:hAnsi="Times New Roman" w:cs="Times New Roman"/>
          <w:sz w:val="24"/>
          <w:szCs w:val="24"/>
        </w:rPr>
        <w:lastRenderedPageBreak/>
        <w:t>a National Curriculum introduced in the final years of the twentieth century</w:t>
      </w:r>
      <w:r w:rsidR="00CC2494" w:rsidRPr="00AE141E">
        <w:rPr>
          <w:rFonts w:ascii="Times New Roman" w:hAnsi="Times New Roman" w:cs="Times New Roman"/>
          <w:sz w:val="24"/>
          <w:szCs w:val="24"/>
        </w:rPr>
        <w:t xml:space="preserve"> had to be on </w:t>
      </w:r>
      <w:r w:rsidR="00632BB7" w:rsidRPr="00AE141E">
        <w:rPr>
          <w:rFonts w:ascii="Times New Roman" w:hAnsi="Times New Roman" w:cs="Times New Roman"/>
          <w:sz w:val="24"/>
          <w:szCs w:val="24"/>
        </w:rPr>
        <w:t>educating</w:t>
      </w:r>
      <w:r w:rsidR="00CC2494" w:rsidRPr="00AE141E">
        <w:rPr>
          <w:rFonts w:ascii="Times New Roman" w:hAnsi="Times New Roman" w:cs="Times New Roman"/>
          <w:sz w:val="24"/>
          <w:szCs w:val="24"/>
        </w:rPr>
        <w:t xml:space="preserve"> the citizens of the twenty first.</w:t>
      </w:r>
      <w:r w:rsidR="00CA46F2" w:rsidRPr="00AE141E">
        <w:rPr>
          <w:rStyle w:val="FootnoteReference"/>
          <w:rFonts w:ascii="Times New Roman" w:hAnsi="Times New Roman" w:cs="Times New Roman"/>
          <w:sz w:val="24"/>
          <w:szCs w:val="24"/>
        </w:rPr>
        <w:footnoteReference w:id="849"/>
      </w:r>
      <w:r w:rsidR="00CC2494" w:rsidRPr="00AE141E">
        <w:rPr>
          <w:rFonts w:ascii="Times New Roman" w:hAnsi="Times New Roman" w:cs="Times New Roman"/>
          <w:sz w:val="24"/>
          <w:szCs w:val="24"/>
        </w:rPr>
        <w:t xml:space="preserve"> </w:t>
      </w:r>
      <w:r w:rsidR="00FE0595" w:rsidRPr="00AE141E">
        <w:rPr>
          <w:rFonts w:ascii="Times New Roman" w:hAnsi="Times New Roman" w:cs="Times New Roman"/>
          <w:sz w:val="24"/>
          <w:szCs w:val="24"/>
        </w:rPr>
        <w:t>It</w:t>
      </w:r>
      <w:r w:rsidR="00CC2494" w:rsidRPr="00AE141E">
        <w:rPr>
          <w:rFonts w:ascii="Times New Roman" w:hAnsi="Times New Roman" w:cs="Times New Roman"/>
          <w:sz w:val="24"/>
          <w:szCs w:val="24"/>
        </w:rPr>
        <w:t xml:space="preserve"> therefore had to anticipate which events would have the greatest impact in the long term.</w:t>
      </w:r>
      <w:r w:rsidR="009C5F35" w:rsidRPr="00AE141E">
        <w:rPr>
          <w:rFonts w:ascii="Times New Roman" w:hAnsi="Times New Roman" w:cs="Times New Roman"/>
          <w:sz w:val="24"/>
          <w:szCs w:val="24"/>
        </w:rPr>
        <w:t xml:space="preserve"> John Roberts, widely believed to have been the chief motivating force behind the decision, </w:t>
      </w:r>
      <w:r w:rsidR="007C3F26" w:rsidRPr="00AE141E">
        <w:rPr>
          <w:rFonts w:ascii="Times New Roman" w:hAnsi="Times New Roman" w:cs="Times New Roman"/>
          <w:sz w:val="24"/>
          <w:szCs w:val="24"/>
        </w:rPr>
        <w:t xml:space="preserve">simply did not believe that the Second World War and associated studies fit </w:t>
      </w:r>
      <w:r w:rsidR="001F696A" w:rsidRPr="00AE141E">
        <w:rPr>
          <w:rFonts w:ascii="Times New Roman" w:hAnsi="Times New Roman" w:cs="Times New Roman"/>
          <w:sz w:val="24"/>
          <w:szCs w:val="24"/>
        </w:rPr>
        <w:t>this criterion</w:t>
      </w:r>
      <w:r w:rsidR="009C5F35" w:rsidRPr="00AE141E">
        <w:rPr>
          <w:rFonts w:ascii="Times New Roman" w:hAnsi="Times New Roman" w:cs="Times New Roman"/>
          <w:sz w:val="24"/>
          <w:szCs w:val="24"/>
        </w:rPr>
        <w:t>.</w:t>
      </w:r>
      <w:r w:rsidR="000F4691" w:rsidRPr="00AE141E">
        <w:rPr>
          <w:rFonts w:ascii="Times New Roman" w:hAnsi="Times New Roman" w:cs="Times New Roman"/>
          <w:sz w:val="24"/>
          <w:szCs w:val="24"/>
        </w:rPr>
        <w:t xml:space="preserve"> </w:t>
      </w:r>
      <w:r w:rsidR="00D47BE2" w:rsidRPr="00AE141E">
        <w:rPr>
          <w:rFonts w:ascii="Times New Roman" w:hAnsi="Times New Roman" w:cs="Times New Roman"/>
          <w:sz w:val="24"/>
          <w:szCs w:val="24"/>
        </w:rPr>
        <w:t>As t</w:t>
      </w:r>
      <w:r w:rsidR="001F696A" w:rsidRPr="00AE141E">
        <w:rPr>
          <w:rFonts w:ascii="Times New Roman" w:hAnsi="Times New Roman" w:cs="Times New Roman"/>
          <w:sz w:val="24"/>
          <w:szCs w:val="24"/>
        </w:rPr>
        <w:t>he Group’s internal papers</w:t>
      </w:r>
      <w:r w:rsidR="000F4691" w:rsidRPr="00AE141E">
        <w:rPr>
          <w:rFonts w:ascii="Times New Roman" w:hAnsi="Times New Roman" w:cs="Times New Roman"/>
          <w:sz w:val="24"/>
          <w:szCs w:val="24"/>
        </w:rPr>
        <w:t xml:space="preserve"> </w:t>
      </w:r>
      <w:r w:rsidR="002F12DF" w:rsidRPr="00AE141E">
        <w:rPr>
          <w:rFonts w:ascii="Times New Roman" w:hAnsi="Times New Roman" w:cs="Times New Roman"/>
          <w:sz w:val="24"/>
          <w:szCs w:val="24"/>
        </w:rPr>
        <w:t>argued,</w:t>
      </w:r>
      <w:r w:rsidR="009452AB" w:rsidRPr="00AE141E">
        <w:rPr>
          <w:rFonts w:ascii="Times New Roman" w:hAnsi="Times New Roman" w:cs="Times New Roman"/>
          <w:sz w:val="24"/>
          <w:szCs w:val="24"/>
        </w:rPr>
        <w:t xml:space="preserve"> </w:t>
      </w:r>
      <w:r w:rsidR="00716D2B" w:rsidRPr="00AE141E">
        <w:rPr>
          <w:rFonts w:ascii="Times New Roman" w:hAnsi="Times New Roman" w:cs="Times New Roman"/>
          <w:sz w:val="24"/>
          <w:szCs w:val="24"/>
        </w:rPr>
        <w:t>‘</w:t>
      </w:r>
      <w:r w:rsidR="009452AB" w:rsidRPr="00AE141E">
        <w:rPr>
          <w:rFonts w:ascii="Times New Roman" w:hAnsi="Times New Roman" w:cs="Times New Roman"/>
          <w:sz w:val="24"/>
          <w:szCs w:val="24"/>
        </w:rPr>
        <w:t>by the next century when the war generation has gone and yet our present pupils will just be reaching KS4, this period will be seen in an entirely different perspective</w:t>
      </w:r>
      <w:r w:rsidR="00716D2B" w:rsidRPr="00AE141E">
        <w:rPr>
          <w:rFonts w:ascii="Times New Roman" w:hAnsi="Times New Roman" w:cs="Times New Roman"/>
          <w:sz w:val="24"/>
          <w:szCs w:val="24"/>
        </w:rPr>
        <w:t>’</w:t>
      </w:r>
      <w:r w:rsidR="009452AB" w:rsidRPr="00AE141E">
        <w:rPr>
          <w:rFonts w:ascii="Times New Roman" w:hAnsi="Times New Roman" w:cs="Times New Roman"/>
          <w:sz w:val="24"/>
          <w:szCs w:val="24"/>
        </w:rPr>
        <w:t>.</w:t>
      </w:r>
      <w:r w:rsidR="00C62A01" w:rsidRPr="00AE141E">
        <w:rPr>
          <w:rStyle w:val="FootnoteReference"/>
          <w:rFonts w:ascii="Times New Roman" w:hAnsi="Times New Roman" w:cs="Times New Roman"/>
          <w:sz w:val="24"/>
          <w:szCs w:val="24"/>
        </w:rPr>
        <w:footnoteReference w:id="850"/>
      </w:r>
      <w:r w:rsidR="009B78E9" w:rsidRPr="00AE141E">
        <w:rPr>
          <w:rFonts w:ascii="Times New Roman" w:hAnsi="Times New Roman" w:cs="Times New Roman"/>
          <w:sz w:val="24"/>
          <w:szCs w:val="24"/>
        </w:rPr>
        <w:t xml:space="preserve"> </w:t>
      </w:r>
    </w:p>
    <w:p w14:paraId="644F5FDF" w14:textId="14C1B292" w:rsidR="00C517CA" w:rsidRPr="00AE141E" w:rsidRDefault="003776C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National Curriculum in History was intended to confirm and enact such a shift. Marshall</w:t>
      </w:r>
      <w:r w:rsidR="004A2406" w:rsidRPr="00AE141E">
        <w:rPr>
          <w:rFonts w:ascii="Times New Roman" w:hAnsi="Times New Roman" w:cs="Times New Roman"/>
          <w:sz w:val="24"/>
          <w:szCs w:val="24"/>
        </w:rPr>
        <w:t xml:space="preserve"> credited the de</w:t>
      </w:r>
      <w:r w:rsidR="00F6291A" w:rsidRPr="00AE141E">
        <w:rPr>
          <w:rFonts w:ascii="Times New Roman" w:hAnsi="Times New Roman" w:cs="Times New Roman"/>
          <w:sz w:val="24"/>
          <w:szCs w:val="24"/>
        </w:rPr>
        <w:t>ci</w:t>
      </w:r>
      <w:r w:rsidR="004A2406" w:rsidRPr="00AE141E">
        <w:rPr>
          <w:rFonts w:ascii="Times New Roman" w:hAnsi="Times New Roman" w:cs="Times New Roman"/>
          <w:sz w:val="24"/>
          <w:szCs w:val="24"/>
        </w:rPr>
        <w:t>sion to</w:t>
      </w:r>
      <w:r w:rsidR="00602088" w:rsidRPr="00AE141E">
        <w:rPr>
          <w:rFonts w:ascii="Times New Roman" w:hAnsi="Times New Roman" w:cs="Times New Roman"/>
          <w:sz w:val="24"/>
          <w:szCs w:val="24"/>
        </w:rPr>
        <w:t xml:space="preserve"> omit the Second World War, fascism, and the Holocaust to</w:t>
      </w:r>
      <w:r w:rsidR="004A2406" w:rsidRPr="00AE141E">
        <w:rPr>
          <w:rFonts w:ascii="Times New Roman" w:hAnsi="Times New Roman" w:cs="Times New Roman"/>
          <w:sz w:val="24"/>
          <w:szCs w:val="24"/>
        </w:rPr>
        <w:t xml:space="preserve"> </w:t>
      </w:r>
      <w:r w:rsidR="009F2D6E" w:rsidRPr="00AE141E">
        <w:rPr>
          <w:rFonts w:ascii="Times New Roman" w:hAnsi="Times New Roman" w:cs="Times New Roman"/>
          <w:sz w:val="24"/>
          <w:szCs w:val="24"/>
        </w:rPr>
        <w:t>the HWG’s</w:t>
      </w:r>
      <w:r w:rsidR="001C281F" w:rsidRPr="00AE141E">
        <w:rPr>
          <w:rFonts w:ascii="Times New Roman" w:hAnsi="Times New Roman" w:cs="Times New Roman"/>
          <w:sz w:val="24"/>
          <w:szCs w:val="24"/>
        </w:rPr>
        <w:t xml:space="preserve"> </w:t>
      </w:r>
      <w:r w:rsidR="00C40A51" w:rsidRPr="00AE141E">
        <w:rPr>
          <w:rFonts w:ascii="Times New Roman" w:hAnsi="Times New Roman" w:cs="Times New Roman"/>
          <w:sz w:val="24"/>
          <w:szCs w:val="24"/>
        </w:rPr>
        <w:t>perception</w:t>
      </w:r>
      <w:r w:rsidR="00F6291A" w:rsidRPr="00AE141E">
        <w:rPr>
          <w:rFonts w:ascii="Times New Roman" w:hAnsi="Times New Roman" w:cs="Times New Roman"/>
          <w:sz w:val="24"/>
          <w:szCs w:val="24"/>
        </w:rPr>
        <w:t xml:space="preserve"> </w:t>
      </w:r>
      <w:r w:rsidR="004A2406" w:rsidRPr="00AE141E">
        <w:rPr>
          <w:rFonts w:ascii="Times New Roman" w:hAnsi="Times New Roman" w:cs="Times New Roman"/>
          <w:sz w:val="24"/>
          <w:szCs w:val="24"/>
        </w:rPr>
        <w:t xml:space="preserve">that Britain was </w:t>
      </w:r>
      <w:r w:rsidR="00331C31" w:rsidRPr="00AE141E">
        <w:rPr>
          <w:rFonts w:ascii="Times New Roman" w:hAnsi="Times New Roman" w:cs="Times New Roman"/>
          <w:sz w:val="24"/>
          <w:szCs w:val="24"/>
        </w:rPr>
        <w:t>mired in a</w:t>
      </w:r>
      <w:r w:rsidR="008F7F08" w:rsidRPr="00AE141E">
        <w:rPr>
          <w:rFonts w:ascii="Times New Roman" w:hAnsi="Times New Roman" w:cs="Times New Roman"/>
          <w:sz w:val="24"/>
          <w:szCs w:val="24"/>
        </w:rPr>
        <w:t xml:space="preserve"> nostalgic and celebratory</w:t>
      </w:r>
      <w:r w:rsidR="00AE669B" w:rsidRPr="00AE141E">
        <w:rPr>
          <w:rFonts w:ascii="Times New Roman" w:hAnsi="Times New Roman" w:cs="Times New Roman"/>
          <w:sz w:val="24"/>
          <w:szCs w:val="24"/>
        </w:rPr>
        <w:t xml:space="preserve"> </w:t>
      </w:r>
      <w:r w:rsidR="00331C31" w:rsidRPr="00AE141E">
        <w:rPr>
          <w:rFonts w:ascii="Times New Roman" w:hAnsi="Times New Roman" w:cs="Times New Roman"/>
          <w:sz w:val="24"/>
          <w:szCs w:val="24"/>
        </w:rPr>
        <w:t xml:space="preserve">‘obsession’ </w:t>
      </w:r>
      <w:r w:rsidR="007B6F1E">
        <w:rPr>
          <w:rFonts w:ascii="Times New Roman" w:hAnsi="Times New Roman" w:cs="Times New Roman"/>
          <w:sz w:val="24"/>
          <w:szCs w:val="24"/>
        </w:rPr>
        <w:t>with this part of history</w:t>
      </w:r>
      <w:r w:rsidR="009F2D6E" w:rsidRPr="00AE141E">
        <w:rPr>
          <w:rFonts w:ascii="Times New Roman" w:hAnsi="Times New Roman" w:cs="Times New Roman"/>
          <w:sz w:val="24"/>
          <w:szCs w:val="24"/>
        </w:rPr>
        <w:t>.</w:t>
      </w:r>
      <w:r w:rsidR="00F20D1D" w:rsidRPr="00AE141E">
        <w:rPr>
          <w:rStyle w:val="FootnoteReference"/>
          <w:rFonts w:ascii="Times New Roman" w:hAnsi="Times New Roman" w:cs="Times New Roman"/>
          <w:sz w:val="24"/>
          <w:szCs w:val="24"/>
        </w:rPr>
        <w:footnoteReference w:id="851"/>
      </w:r>
      <w:r w:rsidR="009F2D6E" w:rsidRPr="00AE141E">
        <w:rPr>
          <w:rFonts w:ascii="Times New Roman" w:hAnsi="Times New Roman" w:cs="Times New Roman"/>
          <w:sz w:val="24"/>
          <w:szCs w:val="24"/>
        </w:rPr>
        <w:t xml:space="preserve"> Gareth Elwyn Jones, a HWG member</w:t>
      </w:r>
      <w:r w:rsidR="001C281F" w:rsidRPr="00AE141E">
        <w:rPr>
          <w:rFonts w:ascii="Times New Roman" w:hAnsi="Times New Roman" w:cs="Times New Roman"/>
          <w:sz w:val="24"/>
          <w:szCs w:val="24"/>
        </w:rPr>
        <w:t xml:space="preserve"> and Reader in Education </w:t>
      </w:r>
      <w:r w:rsidR="002D4E2F" w:rsidRPr="00AE141E">
        <w:rPr>
          <w:rFonts w:ascii="Times New Roman" w:hAnsi="Times New Roman" w:cs="Times New Roman"/>
          <w:sz w:val="24"/>
          <w:szCs w:val="24"/>
        </w:rPr>
        <w:t xml:space="preserve">at the University College of Wales, </w:t>
      </w:r>
      <w:r w:rsidR="00C40A51" w:rsidRPr="00AE141E">
        <w:rPr>
          <w:rFonts w:ascii="Times New Roman" w:hAnsi="Times New Roman" w:cs="Times New Roman"/>
          <w:sz w:val="24"/>
          <w:szCs w:val="24"/>
        </w:rPr>
        <w:t xml:space="preserve">expressed a personal belief that </w:t>
      </w:r>
      <w:r w:rsidR="000F4B3D" w:rsidRPr="00AE141E">
        <w:rPr>
          <w:rFonts w:ascii="Times New Roman" w:hAnsi="Times New Roman" w:cs="Times New Roman"/>
          <w:sz w:val="24"/>
          <w:szCs w:val="24"/>
        </w:rPr>
        <w:t>these topics ‘occupied too central a role in secondary school history’</w:t>
      </w:r>
      <w:r w:rsidR="00882F5C" w:rsidRPr="00AE141E">
        <w:rPr>
          <w:rFonts w:ascii="Times New Roman" w:hAnsi="Times New Roman" w:cs="Times New Roman"/>
          <w:sz w:val="24"/>
          <w:szCs w:val="24"/>
        </w:rPr>
        <w:t xml:space="preserve">, especially in the </w:t>
      </w:r>
      <w:r w:rsidR="006753FF">
        <w:rPr>
          <w:rFonts w:ascii="Times New Roman" w:hAnsi="Times New Roman" w:cs="Times New Roman"/>
          <w:sz w:val="24"/>
          <w:szCs w:val="24"/>
        </w:rPr>
        <w:t>upper</w:t>
      </w:r>
      <w:r w:rsidR="00882F5C" w:rsidRPr="00AE141E">
        <w:rPr>
          <w:rFonts w:ascii="Times New Roman" w:hAnsi="Times New Roman" w:cs="Times New Roman"/>
          <w:sz w:val="24"/>
          <w:szCs w:val="24"/>
        </w:rPr>
        <w:t xml:space="preserve"> years.</w:t>
      </w:r>
      <w:r w:rsidR="0065029D" w:rsidRPr="00AE141E">
        <w:rPr>
          <w:rStyle w:val="FootnoteReference"/>
          <w:rFonts w:ascii="Times New Roman" w:hAnsi="Times New Roman" w:cs="Times New Roman"/>
          <w:sz w:val="24"/>
          <w:szCs w:val="24"/>
        </w:rPr>
        <w:footnoteReference w:id="852"/>
      </w:r>
      <w:r w:rsidR="00882F5C" w:rsidRPr="00AE141E">
        <w:rPr>
          <w:rFonts w:ascii="Times New Roman" w:hAnsi="Times New Roman" w:cs="Times New Roman"/>
          <w:sz w:val="24"/>
          <w:szCs w:val="24"/>
        </w:rPr>
        <w:t xml:space="preserve"> </w:t>
      </w:r>
      <w:r w:rsidR="00350DF8" w:rsidRPr="00AE141E">
        <w:rPr>
          <w:rFonts w:ascii="Times New Roman" w:hAnsi="Times New Roman" w:cs="Times New Roman"/>
          <w:sz w:val="24"/>
          <w:szCs w:val="24"/>
        </w:rPr>
        <w:t>T</w:t>
      </w:r>
      <w:r w:rsidR="00882F5C" w:rsidRPr="00AE141E">
        <w:rPr>
          <w:rFonts w:ascii="Times New Roman" w:hAnsi="Times New Roman" w:cs="Times New Roman"/>
          <w:sz w:val="24"/>
          <w:szCs w:val="24"/>
        </w:rPr>
        <w:t>he</w:t>
      </w:r>
      <w:r w:rsidR="000959E1" w:rsidRPr="00AE141E">
        <w:rPr>
          <w:rFonts w:ascii="Times New Roman" w:hAnsi="Times New Roman" w:cs="Times New Roman"/>
          <w:sz w:val="24"/>
          <w:szCs w:val="24"/>
        </w:rPr>
        <w:t xml:space="preserve"> stranglehold exerted by the</w:t>
      </w:r>
      <w:r w:rsidR="00882F5C" w:rsidRPr="00AE141E">
        <w:rPr>
          <w:rFonts w:ascii="Times New Roman" w:hAnsi="Times New Roman" w:cs="Times New Roman"/>
          <w:sz w:val="24"/>
          <w:szCs w:val="24"/>
        </w:rPr>
        <w:t xml:space="preserve"> twentieth century </w:t>
      </w:r>
      <w:r w:rsidR="00141628" w:rsidRPr="00AE141E">
        <w:rPr>
          <w:rFonts w:ascii="Times New Roman" w:hAnsi="Times New Roman" w:cs="Times New Roman"/>
          <w:sz w:val="24"/>
          <w:szCs w:val="24"/>
        </w:rPr>
        <w:t>dictatorships</w:t>
      </w:r>
      <w:r w:rsidR="000959E1" w:rsidRPr="00AE141E">
        <w:rPr>
          <w:rFonts w:ascii="Times New Roman" w:hAnsi="Times New Roman" w:cs="Times New Roman"/>
          <w:sz w:val="24"/>
          <w:szCs w:val="24"/>
        </w:rPr>
        <w:t xml:space="preserve"> (both </w:t>
      </w:r>
      <w:r w:rsidR="003B6F11" w:rsidRPr="00AE141E">
        <w:rPr>
          <w:rFonts w:ascii="Times New Roman" w:hAnsi="Times New Roman" w:cs="Times New Roman"/>
          <w:sz w:val="24"/>
          <w:szCs w:val="24"/>
        </w:rPr>
        <w:t>f</w:t>
      </w:r>
      <w:r w:rsidR="000959E1" w:rsidRPr="00AE141E">
        <w:rPr>
          <w:rFonts w:ascii="Times New Roman" w:hAnsi="Times New Roman" w:cs="Times New Roman"/>
          <w:sz w:val="24"/>
          <w:szCs w:val="24"/>
        </w:rPr>
        <w:t>ascism and Stalinism)</w:t>
      </w:r>
      <w:r w:rsidR="00141628" w:rsidRPr="00AE141E">
        <w:rPr>
          <w:rFonts w:ascii="Times New Roman" w:hAnsi="Times New Roman" w:cs="Times New Roman"/>
          <w:sz w:val="24"/>
          <w:szCs w:val="24"/>
        </w:rPr>
        <w:t xml:space="preserve"> </w:t>
      </w:r>
      <w:r w:rsidR="000959E1" w:rsidRPr="00AE141E">
        <w:rPr>
          <w:rFonts w:ascii="Times New Roman" w:hAnsi="Times New Roman" w:cs="Times New Roman"/>
          <w:sz w:val="24"/>
          <w:szCs w:val="24"/>
        </w:rPr>
        <w:t>on</w:t>
      </w:r>
      <w:r w:rsidR="00141628" w:rsidRPr="00AE141E">
        <w:rPr>
          <w:rFonts w:ascii="Times New Roman" w:hAnsi="Times New Roman" w:cs="Times New Roman"/>
          <w:sz w:val="24"/>
          <w:szCs w:val="24"/>
        </w:rPr>
        <w:t xml:space="preserve"> GCSE and A Level</w:t>
      </w:r>
      <w:r w:rsidR="000959E1" w:rsidRPr="00AE141E">
        <w:rPr>
          <w:rFonts w:ascii="Times New Roman" w:hAnsi="Times New Roman" w:cs="Times New Roman"/>
          <w:sz w:val="24"/>
          <w:szCs w:val="24"/>
        </w:rPr>
        <w:t xml:space="preserve"> studie</w:t>
      </w:r>
      <w:r w:rsidR="00D67219" w:rsidRPr="00AE141E">
        <w:rPr>
          <w:rFonts w:ascii="Times New Roman" w:hAnsi="Times New Roman" w:cs="Times New Roman"/>
          <w:sz w:val="24"/>
          <w:szCs w:val="24"/>
        </w:rPr>
        <w:t>s</w:t>
      </w:r>
      <w:r w:rsidR="00141628" w:rsidRPr="00AE141E">
        <w:rPr>
          <w:rFonts w:ascii="Times New Roman" w:hAnsi="Times New Roman" w:cs="Times New Roman"/>
          <w:sz w:val="24"/>
          <w:szCs w:val="24"/>
        </w:rPr>
        <w:t xml:space="preserve"> </w:t>
      </w:r>
      <w:r w:rsidR="00350DF8" w:rsidRPr="00AE141E">
        <w:rPr>
          <w:rFonts w:ascii="Times New Roman" w:hAnsi="Times New Roman" w:cs="Times New Roman"/>
          <w:sz w:val="24"/>
          <w:szCs w:val="24"/>
        </w:rPr>
        <w:t xml:space="preserve">was deemed </w:t>
      </w:r>
      <w:r w:rsidR="00427E5C" w:rsidRPr="00AE141E">
        <w:rPr>
          <w:rFonts w:ascii="Times New Roman" w:hAnsi="Times New Roman" w:cs="Times New Roman"/>
          <w:sz w:val="24"/>
          <w:szCs w:val="24"/>
        </w:rPr>
        <w:t xml:space="preserve">to negatively impact pupils’ overall ‘historical understanding’. </w:t>
      </w:r>
      <w:r w:rsidR="0022593D" w:rsidRPr="00AE141E">
        <w:rPr>
          <w:rFonts w:ascii="Times New Roman" w:hAnsi="Times New Roman" w:cs="Times New Roman"/>
          <w:sz w:val="24"/>
          <w:szCs w:val="24"/>
        </w:rPr>
        <w:t>Elwyn Jones doubted that</w:t>
      </w:r>
      <w:r w:rsidR="00683EC7" w:rsidRPr="00AE141E">
        <w:rPr>
          <w:rFonts w:ascii="Times New Roman" w:hAnsi="Times New Roman" w:cs="Times New Roman"/>
          <w:sz w:val="24"/>
          <w:szCs w:val="24"/>
        </w:rPr>
        <w:t xml:space="preserve"> students </w:t>
      </w:r>
      <w:r w:rsidR="00FF243E" w:rsidRPr="00AE141E">
        <w:rPr>
          <w:rFonts w:ascii="Times New Roman" w:hAnsi="Times New Roman" w:cs="Times New Roman"/>
          <w:sz w:val="24"/>
          <w:szCs w:val="24"/>
        </w:rPr>
        <w:t xml:space="preserve">below the age of sixteen </w:t>
      </w:r>
      <w:r w:rsidR="00683EC7" w:rsidRPr="00AE141E">
        <w:rPr>
          <w:rFonts w:ascii="Times New Roman" w:hAnsi="Times New Roman" w:cs="Times New Roman"/>
          <w:sz w:val="24"/>
          <w:szCs w:val="24"/>
        </w:rPr>
        <w:t xml:space="preserve">possessed the </w:t>
      </w:r>
      <w:r w:rsidR="007F164E" w:rsidRPr="00AE141E">
        <w:rPr>
          <w:rFonts w:ascii="Times New Roman" w:hAnsi="Times New Roman" w:cs="Times New Roman"/>
          <w:sz w:val="24"/>
          <w:szCs w:val="24"/>
        </w:rPr>
        <w:t xml:space="preserve">maturity necessary to comprehend </w:t>
      </w:r>
      <w:r w:rsidR="00FF243E" w:rsidRPr="00AE141E">
        <w:rPr>
          <w:rFonts w:ascii="Times New Roman" w:hAnsi="Times New Roman" w:cs="Times New Roman"/>
          <w:sz w:val="24"/>
          <w:szCs w:val="24"/>
        </w:rPr>
        <w:t xml:space="preserve">the scale of the horrors. He also hinted at the </w:t>
      </w:r>
      <w:r w:rsidR="00542B8C" w:rsidRPr="00AE141E">
        <w:rPr>
          <w:rFonts w:ascii="Times New Roman" w:hAnsi="Times New Roman" w:cs="Times New Roman"/>
          <w:sz w:val="24"/>
          <w:szCs w:val="24"/>
        </w:rPr>
        <w:t>problems of superficial treatment and</w:t>
      </w:r>
      <w:r w:rsidR="00683EC7" w:rsidRPr="00AE141E">
        <w:rPr>
          <w:rFonts w:ascii="Times New Roman" w:hAnsi="Times New Roman" w:cs="Times New Roman"/>
          <w:sz w:val="24"/>
          <w:szCs w:val="24"/>
        </w:rPr>
        <w:t xml:space="preserve"> the </w:t>
      </w:r>
      <w:r w:rsidR="00542B8C" w:rsidRPr="00AE141E">
        <w:rPr>
          <w:rFonts w:ascii="Times New Roman" w:hAnsi="Times New Roman" w:cs="Times New Roman"/>
          <w:sz w:val="24"/>
          <w:szCs w:val="24"/>
        </w:rPr>
        <w:t>‘</w:t>
      </w:r>
      <w:r w:rsidR="00683EC7" w:rsidRPr="00AE141E">
        <w:rPr>
          <w:rFonts w:ascii="Times New Roman" w:hAnsi="Times New Roman" w:cs="Times New Roman"/>
          <w:sz w:val="24"/>
          <w:szCs w:val="24"/>
        </w:rPr>
        <w:t>fascination of evil</w:t>
      </w:r>
      <w:r w:rsidR="00542B8C" w:rsidRPr="00AE141E">
        <w:rPr>
          <w:rFonts w:ascii="Times New Roman" w:hAnsi="Times New Roman" w:cs="Times New Roman"/>
          <w:sz w:val="24"/>
          <w:szCs w:val="24"/>
        </w:rPr>
        <w:t>’</w:t>
      </w:r>
      <w:r w:rsidR="007639CA" w:rsidRPr="00AE141E">
        <w:rPr>
          <w:rFonts w:ascii="Times New Roman" w:hAnsi="Times New Roman" w:cs="Times New Roman"/>
          <w:sz w:val="24"/>
          <w:szCs w:val="24"/>
        </w:rPr>
        <w:t xml:space="preserve"> – a fascination which Roberts defined as distinctly unhealthy</w:t>
      </w:r>
      <w:r w:rsidR="00683EC7" w:rsidRPr="00AE141E">
        <w:rPr>
          <w:rFonts w:ascii="Times New Roman" w:hAnsi="Times New Roman" w:cs="Times New Roman"/>
          <w:sz w:val="24"/>
          <w:szCs w:val="24"/>
        </w:rPr>
        <w:t>.</w:t>
      </w:r>
      <w:r w:rsidR="00B13368" w:rsidRPr="00AE141E">
        <w:rPr>
          <w:rFonts w:ascii="Times New Roman" w:hAnsi="Times New Roman" w:cs="Times New Roman"/>
          <w:sz w:val="24"/>
          <w:szCs w:val="24"/>
        </w:rPr>
        <w:t xml:space="preserve"> </w:t>
      </w:r>
      <w:r w:rsidR="004D5CB9" w:rsidRPr="00AE141E">
        <w:rPr>
          <w:rFonts w:ascii="Times New Roman" w:hAnsi="Times New Roman" w:cs="Times New Roman"/>
          <w:sz w:val="24"/>
          <w:szCs w:val="24"/>
        </w:rPr>
        <w:t xml:space="preserve">Yet it was </w:t>
      </w:r>
      <w:r w:rsidR="00C517CA" w:rsidRPr="00AE141E">
        <w:rPr>
          <w:rFonts w:ascii="Times New Roman" w:hAnsi="Times New Roman" w:cs="Times New Roman"/>
          <w:sz w:val="24"/>
          <w:szCs w:val="24"/>
        </w:rPr>
        <w:t>precisely this national obsession which made the</w:t>
      </w:r>
      <w:r w:rsidR="00B13368" w:rsidRPr="00AE141E">
        <w:rPr>
          <w:rFonts w:ascii="Times New Roman" w:hAnsi="Times New Roman" w:cs="Times New Roman"/>
          <w:sz w:val="24"/>
          <w:szCs w:val="24"/>
        </w:rPr>
        <w:t xml:space="preserve"> Working Group’s</w:t>
      </w:r>
      <w:r w:rsidR="00C517CA" w:rsidRPr="00AE141E">
        <w:rPr>
          <w:rFonts w:ascii="Times New Roman" w:hAnsi="Times New Roman" w:cs="Times New Roman"/>
          <w:sz w:val="24"/>
          <w:szCs w:val="24"/>
        </w:rPr>
        <w:t xml:space="preserve"> decision controvers</w:t>
      </w:r>
      <w:r w:rsidR="00B46DA7" w:rsidRPr="00AE141E">
        <w:rPr>
          <w:rFonts w:ascii="Times New Roman" w:hAnsi="Times New Roman" w:cs="Times New Roman"/>
          <w:sz w:val="24"/>
          <w:szCs w:val="24"/>
        </w:rPr>
        <w:t>ial</w:t>
      </w:r>
      <w:r w:rsidR="00B13368" w:rsidRPr="00AE141E">
        <w:rPr>
          <w:rFonts w:ascii="Times New Roman" w:hAnsi="Times New Roman" w:cs="Times New Roman"/>
          <w:sz w:val="24"/>
          <w:szCs w:val="24"/>
        </w:rPr>
        <w:t xml:space="preserve">, and which </w:t>
      </w:r>
      <w:r w:rsidR="008E3D00" w:rsidRPr="00AE141E">
        <w:rPr>
          <w:rFonts w:ascii="Times New Roman" w:hAnsi="Times New Roman" w:cs="Times New Roman"/>
          <w:sz w:val="24"/>
          <w:szCs w:val="24"/>
        </w:rPr>
        <w:t xml:space="preserve">ultimately </w:t>
      </w:r>
      <w:r w:rsidR="00B13368" w:rsidRPr="00AE141E">
        <w:rPr>
          <w:rFonts w:ascii="Times New Roman" w:hAnsi="Times New Roman" w:cs="Times New Roman"/>
          <w:sz w:val="24"/>
          <w:szCs w:val="24"/>
        </w:rPr>
        <w:t xml:space="preserve">rendered it </w:t>
      </w:r>
      <w:r w:rsidR="008E3D00" w:rsidRPr="00AE141E">
        <w:rPr>
          <w:rFonts w:ascii="Times New Roman" w:hAnsi="Times New Roman" w:cs="Times New Roman"/>
          <w:sz w:val="24"/>
          <w:szCs w:val="24"/>
        </w:rPr>
        <w:t>unworkable</w:t>
      </w:r>
      <w:r w:rsidR="00B46DA7" w:rsidRPr="00AE141E">
        <w:rPr>
          <w:rFonts w:ascii="Times New Roman" w:hAnsi="Times New Roman" w:cs="Times New Roman"/>
          <w:sz w:val="24"/>
          <w:szCs w:val="24"/>
        </w:rPr>
        <w:t>.</w:t>
      </w:r>
      <w:r w:rsidR="00A974F5" w:rsidRPr="00AE141E">
        <w:rPr>
          <w:rFonts w:ascii="Times New Roman" w:hAnsi="Times New Roman" w:cs="Times New Roman"/>
          <w:sz w:val="24"/>
          <w:szCs w:val="24"/>
        </w:rPr>
        <w:t xml:space="preserve"> </w:t>
      </w:r>
    </w:p>
    <w:p w14:paraId="2D89F92A" w14:textId="3EEEDB30" w:rsidR="00467803" w:rsidRPr="00AE141E" w:rsidRDefault="003407C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Marshall described a</w:t>
      </w:r>
      <w:r w:rsidR="00C07AF9" w:rsidRPr="00AE141E">
        <w:rPr>
          <w:rFonts w:ascii="Times New Roman" w:hAnsi="Times New Roman" w:cs="Times New Roman"/>
          <w:sz w:val="24"/>
          <w:szCs w:val="24"/>
        </w:rPr>
        <w:t xml:space="preserve"> </w:t>
      </w:r>
      <w:r w:rsidR="00217F58" w:rsidRPr="00AE141E">
        <w:rPr>
          <w:rFonts w:ascii="Times New Roman" w:hAnsi="Times New Roman" w:cs="Times New Roman"/>
          <w:sz w:val="24"/>
          <w:szCs w:val="24"/>
        </w:rPr>
        <w:t>‘</w:t>
      </w:r>
      <w:r w:rsidRPr="00AE141E">
        <w:rPr>
          <w:rFonts w:ascii="Times New Roman" w:hAnsi="Times New Roman" w:cs="Times New Roman"/>
          <w:sz w:val="24"/>
          <w:szCs w:val="24"/>
        </w:rPr>
        <w:t>popular reaction’ against the exclusion of the Second World War</w:t>
      </w:r>
      <w:r w:rsidR="00CF2F60" w:rsidRPr="00AE141E">
        <w:rPr>
          <w:rFonts w:ascii="Times New Roman" w:hAnsi="Times New Roman" w:cs="Times New Roman"/>
          <w:sz w:val="24"/>
          <w:szCs w:val="24"/>
        </w:rPr>
        <w:t xml:space="preserve"> and the Holocaust from the Interim Report.</w:t>
      </w:r>
      <w:r w:rsidR="00024568" w:rsidRPr="00AE141E">
        <w:rPr>
          <w:rStyle w:val="FootnoteReference"/>
          <w:rFonts w:ascii="Times New Roman" w:hAnsi="Times New Roman" w:cs="Times New Roman"/>
          <w:sz w:val="24"/>
          <w:szCs w:val="24"/>
        </w:rPr>
        <w:footnoteReference w:id="853"/>
      </w:r>
      <w:r w:rsidR="00046318" w:rsidRPr="00AE141E">
        <w:rPr>
          <w:rFonts w:ascii="Times New Roman" w:hAnsi="Times New Roman" w:cs="Times New Roman"/>
          <w:sz w:val="24"/>
          <w:szCs w:val="24"/>
        </w:rPr>
        <w:t xml:space="preserve"> </w:t>
      </w:r>
      <w:r w:rsidR="00923D83" w:rsidRPr="00AE141E">
        <w:rPr>
          <w:rFonts w:ascii="Times New Roman" w:hAnsi="Times New Roman" w:cs="Times New Roman"/>
          <w:sz w:val="24"/>
          <w:szCs w:val="24"/>
        </w:rPr>
        <w:t xml:space="preserve">Jewish </w:t>
      </w:r>
      <w:r w:rsidR="00C07AF9" w:rsidRPr="00AE141E">
        <w:rPr>
          <w:rFonts w:ascii="Times New Roman" w:hAnsi="Times New Roman" w:cs="Times New Roman"/>
          <w:sz w:val="24"/>
          <w:szCs w:val="24"/>
        </w:rPr>
        <w:t>organisations</w:t>
      </w:r>
      <w:r w:rsidR="00923D83" w:rsidRPr="00AE141E">
        <w:rPr>
          <w:rFonts w:ascii="Times New Roman" w:hAnsi="Times New Roman" w:cs="Times New Roman"/>
          <w:sz w:val="24"/>
          <w:szCs w:val="24"/>
        </w:rPr>
        <w:t xml:space="preserve"> were </w:t>
      </w:r>
      <w:r w:rsidR="00C07AF9" w:rsidRPr="00AE141E">
        <w:rPr>
          <w:rFonts w:ascii="Times New Roman" w:hAnsi="Times New Roman" w:cs="Times New Roman"/>
          <w:sz w:val="24"/>
          <w:szCs w:val="24"/>
        </w:rPr>
        <w:t xml:space="preserve">concerned that the move amounted to historical erasure or denial. </w:t>
      </w:r>
      <w:r w:rsidR="00AE76CE" w:rsidRPr="00AE141E">
        <w:rPr>
          <w:rFonts w:ascii="Times New Roman" w:hAnsi="Times New Roman" w:cs="Times New Roman"/>
          <w:sz w:val="24"/>
          <w:szCs w:val="24"/>
        </w:rPr>
        <w:t>The Holocaust Educational Trust</w:t>
      </w:r>
      <w:r w:rsidR="00F40683" w:rsidRPr="00AE141E">
        <w:rPr>
          <w:rFonts w:ascii="Times New Roman" w:hAnsi="Times New Roman" w:cs="Times New Roman"/>
          <w:sz w:val="24"/>
          <w:szCs w:val="24"/>
        </w:rPr>
        <w:t xml:space="preserve"> mobilised to </w:t>
      </w:r>
      <w:r w:rsidR="003B6F11" w:rsidRPr="00AE141E">
        <w:rPr>
          <w:rFonts w:ascii="Times New Roman" w:hAnsi="Times New Roman" w:cs="Times New Roman"/>
          <w:sz w:val="24"/>
          <w:szCs w:val="24"/>
        </w:rPr>
        <w:lastRenderedPageBreak/>
        <w:t xml:space="preserve">ensure its inclusion in future drafts of the </w:t>
      </w:r>
      <w:r w:rsidR="0074777A">
        <w:rPr>
          <w:rFonts w:ascii="Times New Roman" w:hAnsi="Times New Roman" w:cs="Times New Roman"/>
          <w:sz w:val="24"/>
          <w:szCs w:val="24"/>
        </w:rPr>
        <w:t>N</w:t>
      </w:r>
      <w:r w:rsidR="003B6F11" w:rsidRPr="00AE141E">
        <w:rPr>
          <w:rFonts w:ascii="Times New Roman" w:hAnsi="Times New Roman" w:cs="Times New Roman"/>
          <w:sz w:val="24"/>
          <w:szCs w:val="24"/>
        </w:rPr>
        <w:t xml:space="preserve">ational </w:t>
      </w:r>
      <w:r w:rsidR="0074777A">
        <w:rPr>
          <w:rFonts w:ascii="Times New Roman" w:hAnsi="Times New Roman" w:cs="Times New Roman"/>
          <w:sz w:val="24"/>
          <w:szCs w:val="24"/>
        </w:rPr>
        <w:t>C</w:t>
      </w:r>
      <w:r w:rsidR="003B6F11" w:rsidRPr="00AE141E">
        <w:rPr>
          <w:rFonts w:ascii="Times New Roman" w:hAnsi="Times New Roman" w:cs="Times New Roman"/>
          <w:sz w:val="24"/>
          <w:szCs w:val="24"/>
        </w:rPr>
        <w:t>urriculum.</w:t>
      </w:r>
      <w:r w:rsidR="007442EB" w:rsidRPr="00AE141E">
        <w:rPr>
          <w:rStyle w:val="FootnoteReference"/>
          <w:rFonts w:ascii="Times New Roman" w:hAnsi="Times New Roman" w:cs="Times New Roman"/>
          <w:sz w:val="24"/>
          <w:szCs w:val="24"/>
        </w:rPr>
        <w:footnoteReference w:id="854"/>
      </w:r>
      <w:r w:rsidR="003B6F11" w:rsidRPr="00AE141E">
        <w:rPr>
          <w:rFonts w:ascii="Times New Roman" w:hAnsi="Times New Roman" w:cs="Times New Roman"/>
          <w:sz w:val="24"/>
          <w:szCs w:val="24"/>
        </w:rPr>
        <w:t xml:space="preserve"> Two charities representing veterans, the Royal British Legion and the </w:t>
      </w:r>
      <w:r w:rsidR="00F730CF" w:rsidRPr="00AE141E">
        <w:rPr>
          <w:rFonts w:ascii="Times New Roman" w:hAnsi="Times New Roman" w:cs="Times New Roman"/>
          <w:sz w:val="24"/>
          <w:szCs w:val="24"/>
        </w:rPr>
        <w:t>Western Front Association</w:t>
      </w:r>
      <w:r w:rsidR="003B6F11" w:rsidRPr="00AE141E">
        <w:rPr>
          <w:rFonts w:ascii="Times New Roman" w:hAnsi="Times New Roman" w:cs="Times New Roman"/>
          <w:sz w:val="24"/>
          <w:szCs w:val="24"/>
        </w:rPr>
        <w:t>, also submitted complaints.</w:t>
      </w:r>
      <w:r w:rsidR="00F730CF" w:rsidRPr="00AE141E">
        <w:rPr>
          <w:rFonts w:ascii="Times New Roman" w:hAnsi="Times New Roman" w:cs="Times New Roman"/>
          <w:sz w:val="24"/>
          <w:szCs w:val="24"/>
        </w:rPr>
        <w:t xml:space="preserve"> </w:t>
      </w:r>
      <w:r w:rsidR="00861AE8" w:rsidRPr="00AE141E">
        <w:rPr>
          <w:rFonts w:ascii="Times New Roman" w:hAnsi="Times New Roman" w:cs="Times New Roman"/>
          <w:sz w:val="24"/>
          <w:szCs w:val="24"/>
        </w:rPr>
        <w:t xml:space="preserve">Public anxieties were echoed and amplified </w:t>
      </w:r>
      <w:r w:rsidR="002E382F" w:rsidRPr="00AE141E">
        <w:rPr>
          <w:rFonts w:ascii="Times New Roman" w:hAnsi="Times New Roman" w:cs="Times New Roman"/>
          <w:sz w:val="24"/>
          <w:szCs w:val="24"/>
        </w:rPr>
        <w:t>by politicians</w:t>
      </w:r>
      <w:r w:rsidR="00861AE8" w:rsidRPr="00AE141E">
        <w:rPr>
          <w:rFonts w:ascii="Times New Roman" w:hAnsi="Times New Roman" w:cs="Times New Roman"/>
          <w:sz w:val="24"/>
          <w:szCs w:val="24"/>
        </w:rPr>
        <w:t xml:space="preserve">. </w:t>
      </w:r>
      <w:r w:rsidR="00FB10E7" w:rsidRPr="00AE141E">
        <w:rPr>
          <w:rFonts w:ascii="Times New Roman" w:hAnsi="Times New Roman" w:cs="Times New Roman"/>
          <w:sz w:val="24"/>
          <w:szCs w:val="24"/>
        </w:rPr>
        <w:t>A c</w:t>
      </w:r>
      <w:r w:rsidR="00FE3B25" w:rsidRPr="00AE141E">
        <w:rPr>
          <w:rFonts w:ascii="Times New Roman" w:hAnsi="Times New Roman" w:cs="Times New Roman"/>
          <w:sz w:val="24"/>
          <w:szCs w:val="24"/>
        </w:rPr>
        <w:t xml:space="preserve">ross-party group of </w:t>
      </w:r>
      <w:r w:rsidR="000523CD" w:rsidRPr="00AE141E">
        <w:rPr>
          <w:rFonts w:ascii="Times New Roman" w:hAnsi="Times New Roman" w:cs="Times New Roman"/>
          <w:sz w:val="24"/>
          <w:szCs w:val="24"/>
        </w:rPr>
        <w:t>MP</w:t>
      </w:r>
      <w:r w:rsidR="00FE3B25" w:rsidRPr="00AE141E">
        <w:rPr>
          <w:rFonts w:ascii="Times New Roman" w:hAnsi="Times New Roman" w:cs="Times New Roman"/>
          <w:sz w:val="24"/>
          <w:szCs w:val="24"/>
        </w:rPr>
        <w:t xml:space="preserve">s </w:t>
      </w:r>
      <w:r w:rsidR="009323F0" w:rsidRPr="00AE141E">
        <w:rPr>
          <w:rFonts w:ascii="Times New Roman" w:hAnsi="Times New Roman" w:cs="Times New Roman"/>
          <w:sz w:val="24"/>
          <w:szCs w:val="24"/>
        </w:rPr>
        <w:t>(Greville Janner, John Marshall, Robert Rhodes James</w:t>
      </w:r>
      <w:r w:rsidR="0074777A">
        <w:rPr>
          <w:rFonts w:ascii="Times New Roman" w:hAnsi="Times New Roman" w:cs="Times New Roman"/>
          <w:sz w:val="24"/>
          <w:szCs w:val="24"/>
        </w:rPr>
        <w:t>,</w:t>
      </w:r>
      <w:r w:rsidR="009323F0" w:rsidRPr="00AE141E">
        <w:rPr>
          <w:rFonts w:ascii="Times New Roman" w:hAnsi="Times New Roman" w:cs="Times New Roman"/>
          <w:sz w:val="24"/>
          <w:szCs w:val="24"/>
        </w:rPr>
        <w:t xml:space="preserve"> and Jeff Rooker) </w:t>
      </w:r>
      <w:r w:rsidR="00FE3B25" w:rsidRPr="00AE141E">
        <w:rPr>
          <w:rFonts w:ascii="Times New Roman" w:hAnsi="Times New Roman" w:cs="Times New Roman"/>
          <w:sz w:val="24"/>
          <w:szCs w:val="24"/>
        </w:rPr>
        <w:t xml:space="preserve">penned </w:t>
      </w:r>
      <w:r w:rsidR="000857A1" w:rsidRPr="00AE141E">
        <w:rPr>
          <w:rFonts w:ascii="Times New Roman" w:hAnsi="Times New Roman" w:cs="Times New Roman"/>
          <w:sz w:val="24"/>
          <w:szCs w:val="24"/>
        </w:rPr>
        <w:t xml:space="preserve">a </w:t>
      </w:r>
      <w:r w:rsidR="00FB10E7" w:rsidRPr="00AE141E">
        <w:rPr>
          <w:rFonts w:ascii="Times New Roman" w:hAnsi="Times New Roman" w:cs="Times New Roman"/>
          <w:sz w:val="24"/>
          <w:szCs w:val="24"/>
        </w:rPr>
        <w:t>‘</w:t>
      </w:r>
      <w:r w:rsidR="000857A1" w:rsidRPr="00AE141E">
        <w:rPr>
          <w:rFonts w:ascii="Times New Roman" w:hAnsi="Times New Roman" w:cs="Times New Roman"/>
          <w:sz w:val="24"/>
          <w:szCs w:val="24"/>
        </w:rPr>
        <w:t xml:space="preserve">Submission on the Teaching of the Second World War and the </w:t>
      </w:r>
      <w:r w:rsidR="00FB10E7" w:rsidRPr="00AE141E">
        <w:rPr>
          <w:rFonts w:ascii="Times New Roman" w:hAnsi="Times New Roman" w:cs="Times New Roman"/>
          <w:sz w:val="24"/>
          <w:szCs w:val="24"/>
        </w:rPr>
        <w:t>Rise and Fall of Nazi Germany in the National Curriculum for History’, sent jointly to the Secretary of State and the HWG.</w:t>
      </w:r>
      <w:r w:rsidR="004E2B3A" w:rsidRPr="00AE141E">
        <w:rPr>
          <w:rStyle w:val="FootnoteReference"/>
          <w:rFonts w:ascii="Times New Roman" w:hAnsi="Times New Roman" w:cs="Times New Roman"/>
          <w:sz w:val="24"/>
          <w:szCs w:val="24"/>
        </w:rPr>
        <w:footnoteReference w:id="855"/>
      </w:r>
      <w:r w:rsidR="00AF5A50" w:rsidRPr="00AE141E">
        <w:rPr>
          <w:rFonts w:ascii="Times New Roman" w:hAnsi="Times New Roman" w:cs="Times New Roman"/>
          <w:sz w:val="24"/>
          <w:szCs w:val="24"/>
        </w:rPr>
        <w:t xml:space="preserve"> Their a</w:t>
      </w:r>
      <w:r w:rsidR="00467803" w:rsidRPr="00AE141E">
        <w:rPr>
          <w:rFonts w:ascii="Times New Roman" w:hAnsi="Times New Roman" w:cs="Times New Roman"/>
          <w:sz w:val="24"/>
          <w:szCs w:val="24"/>
        </w:rPr>
        <w:t xml:space="preserve">rgument rested on </w:t>
      </w:r>
      <w:r w:rsidR="00F8226A" w:rsidRPr="00AE141E">
        <w:rPr>
          <w:rFonts w:ascii="Times New Roman" w:hAnsi="Times New Roman" w:cs="Times New Roman"/>
          <w:sz w:val="24"/>
          <w:szCs w:val="24"/>
        </w:rPr>
        <w:t xml:space="preserve">three, interlinked </w:t>
      </w:r>
      <w:r w:rsidR="00467803" w:rsidRPr="00AE141E">
        <w:rPr>
          <w:rFonts w:ascii="Times New Roman" w:hAnsi="Times New Roman" w:cs="Times New Roman"/>
          <w:sz w:val="24"/>
          <w:szCs w:val="24"/>
        </w:rPr>
        <w:t xml:space="preserve">poles: </w:t>
      </w:r>
      <w:r w:rsidR="00F8226A" w:rsidRPr="00AE141E">
        <w:rPr>
          <w:rFonts w:ascii="Times New Roman" w:hAnsi="Times New Roman" w:cs="Times New Roman"/>
          <w:sz w:val="24"/>
          <w:szCs w:val="24"/>
        </w:rPr>
        <w:t xml:space="preserve">the popular </w:t>
      </w:r>
      <w:r w:rsidR="00AF5A50" w:rsidRPr="00AE141E">
        <w:rPr>
          <w:rFonts w:ascii="Times New Roman" w:hAnsi="Times New Roman" w:cs="Times New Roman"/>
          <w:sz w:val="24"/>
          <w:szCs w:val="24"/>
        </w:rPr>
        <w:t>fascination</w:t>
      </w:r>
      <w:r w:rsidR="00F8226A" w:rsidRPr="00AE141E">
        <w:rPr>
          <w:rFonts w:ascii="Times New Roman" w:hAnsi="Times New Roman" w:cs="Times New Roman"/>
          <w:sz w:val="24"/>
          <w:szCs w:val="24"/>
        </w:rPr>
        <w:t xml:space="preserve"> with the war, the war as a matter of national pride, and the war’s enduring emotional resonance.</w:t>
      </w:r>
    </w:p>
    <w:p w14:paraId="19C064EE" w14:textId="30C9FDC4" w:rsidR="004D5AC5" w:rsidRPr="00AE141E" w:rsidRDefault="002E382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Interventions in </w:t>
      </w:r>
      <w:r w:rsidR="00B15764" w:rsidRPr="00AE141E">
        <w:rPr>
          <w:rFonts w:ascii="Times New Roman" w:hAnsi="Times New Roman" w:cs="Times New Roman"/>
          <w:sz w:val="24"/>
          <w:szCs w:val="24"/>
        </w:rPr>
        <w:t>Parliament took a similar tone</w:t>
      </w:r>
      <w:r w:rsidR="008F4295" w:rsidRPr="00AE141E">
        <w:rPr>
          <w:rFonts w:ascii="Times New Roman" w:hAnsi="Times New Roman" w:cs="Times New Roman"/>
          <w:sz w:val="24"/>
          <w:szCs w:val="24"/>
        </w:rPr>
        <w:t xml:space="preserve"> and </w:t>
      </w:r>
      <w:r w:rsidR="004A60FB" w:rsidRPr="00AE141E">
        <w:rPr>
          <w:rFonts w:ascii="Times New Roman" w:hAnsi="Times New Roman" w:cs="Times New Roman"/>
          <w:sz w:val="24"/>
          <w:szCs w:val="24"/>
        </w:rPr>
        <w:t>again cut across party-lines.</w:t>
      </w:r>
      <w:r w:rsidR="003E153A" w:rsidRPr="00AE141E">
        <w:rPr>
          <w:rFonts w:ascii="Times New Roman" w:hAnsi="Times New Roman" w:cs="Times New Roman"/>
          <w:sz w:val="24"/>
          <w:szCs w:val="24"/>
        </w:rPr>
        <w:t xml:space="preserve"> The Conservative MP John Marshall</w:t>
      </w:r>
      <w:r w:rsidR="001A0911" w:rsidRPr="00AE141E">
        <w:rPr>
          <w:rFonts w:ascii="Times New Roman" w:hAnsi="Times New Roman" w:cs="Times New Roman"/>
          <w:sz w:val="24"/>
          <w:szCs w:val="24"/>
        </w:rPr>
        <w:t xml:space="preserve"> wondered</w:t>
      </w:r>
      <w:r w:rsidR="003E153A" w:rsidRPr="00AE141E">
        <w:rPr>
          <w:rFonts w:ascii="Times New Roman" w:hAnsi="Times New Roman" w:cs="Times New Roman"/>
          <w:sz w:val="24"/>
          <w:szCs w:val="24"/>
        </w:rPr>
        <w:t xml:space="preserve"> </w:t>
      </w:r>
      <w:r w:rsidR="00FE4D95" w:rsidRPr="00AE141E">
        <w:rPr>
          <w:rFonts w:ascii="Times New Roman" w:hAnsi="Times New Roman" w:cs="Times New Roman"/>
          <w:sz w:val="24"/>
          <w:szCs w:val="24"/>
        </w:rPr>
        <w:t>why</w:t>
      </w:r>
      <w:r w:rsidR="00AB62E0" w:rsidRPr="00AE141E">
        <w:rPr>
          <w:rFonts w:ascii="Times New Roman" w:hAnsi="Times New Roman" w:cs="Times New Roman"/>
          <w:sz w:val="24"/>
          <w:szCs w:val="24"/>
        </w:rPr>
        <w:t xml:space="preserve"> the ‘history mandarins’ were apparently</w:t>
      </w:r>
      <w:r w:rsidR="00EC5EC8">
        <w:rPr>
          <w:rFonts w:ascii="Times New Roman" w:hAnsi="Times New Roman" w:cs="Times New Roman"/>
          <w:sz w:val="24"/>
          <w:szCs w:val="24"/>
        </w:rPr>
        <w:t xml:space="preserve"> un</w:t>
      </w:r>
      <w:r w:rsidR="00AB62E0" w:rsidRPr="00AE141E">
        <w:rPr>
          <w:rFonts w:ascii="Times New Roman" w:hAnsi="Times New Roman" w:cs="Times New Roman"/>
          <w:sz w:val="24"/>
          <w:szCs w:val="24"/>
        </w:rPr>
        <w:t>impressed by</w:t>
      </w:r>
      <w:r w:rsidR="00FE4D95" w:rsidRPr="00AE141E">
        <w:rPr>
          <w:rFonts w:ascii="Times New Roman" w:hAnsi="Times New Roman" w:cs="Times New Roman"/>
          <w:sz w:val="24"/>
          <w:szCs w:val="24"/>
        </w:rPr>
        <w:t xml:space="preserve"> ‘our finest hour’</w:t>
      </w:r>
      <w:r w:rsidR="00AB62E0" w:rsidRPr="00AE141E">
        <w:rPr>
          <w:rFonts w:ascii="Times New Roman" w:hAnsi="Times New Roman" w:cs="Times New Roman"/>
          <w:sz w:val="24"/>
          <w:szCs w:val="24"/>
        </w:rPr>
        <w:t>.</w:t>
      </w:r>
      <w:r w:rsidR="00375E4A" w:rsidRPr="00AE141E">
        <w:rPr>
          <w:rStyle w:val="FootnoteReference"/>
          <w:rFonts w:ascii="Times New Roman" w:hAnsi="Times New Roman" w:cs="Times New Roman"/>
          <w:sz w:val="24"/>
          <w:szCs w:val="24"/>
        </w:rPr>
        <w:footnoteReference w:id="856"/>
      </w:r>
      <w:r w:rsidR="00AB62E0" w:rsidRPr="00AE141E">
        <w:rPr>
          <w:rFonts w:ascii="Times New Roman" w:hAnsi="Times New Roman" w:cs="Times New Roman"/>
          <w:sz w:val="24"/>
          <w:szCs w:val="24"/>
        </w:rPr>
        <w:t xml:space="preserve"> In the House of Lords, </w:t>
      </w:r>
      <w:r w:rsidR="004D16C5" w:rsidRPr="00AE141E">
        <w:rPr>
          <w:rFonts w:ascii="Times New Roman" w:hAnsi="Times New Roman" w:cs="Times New Roman"/>
          <w:sz w:val="24"/>
          <w:szCs w:val="24"/>
        </w:rPr>
        <w:t>the Labour politician Lord Bottomley argued that the war merited inclusion as the ‘greatest event in world history this centu</w:t>
      </w:r>
      <w:r w:rsidR="001A0911" w:rsidRPr="00AE141E">
        <w:rPr>
          <w:rFonts w:ascii="Times New Roman" w:hAnsi="Times New Roman" w:cs="Times New Roman"/>
          <w:sz w:val="24"/>
          <w:szCs w:val="24"/>
        </w:rPr>
        <w:t>ry’.</w:t>
      </w:r>
      <w:r w:rsidR="00564708" w:rsidRPr="00AE141E">
        <w:rPr>
          <w:rStyle w:val="FootnoteReference"/>
          <w:rFonts w:ascii="Times New Roman" w:hAnsi="Times New Roman" w:cs="Times New Roman"/>
          <w:sz w:val="24"/>
          <w:szCs w:val="24"/>
        </w:rPr>
        <w:footnoteReference w:id="857"/>
      </w:r>
      <w:r w:rsidR="001A0911" w:rsidRPr="00AE141E">
        <w:rPr>
          <w:rFonts w:ascii="Times New Roman" w:hAnsi="Times New Roman" w:cs="Times New Roman"/>
          <w:sz w:val="24"/>
          <w:szCs w:val="24"/>
        </w:rPr>
        <w:t xml:space="preserve"> Such respon</w:t>
      </w:r>
      <w:r w:rsidR="00420280" w:rsidRPr="00AE141E">
        <w:rPr>
          <w:rFonts w:ascii="Times New Roman" w:hAnsi="Times New Roman" w:cs="Times New Roman"/>
          <w:sz w:val="24"/>
          <w:szCs w:val="24"/>
        </w:rPr>
        <w:t>ses illustrate the</w:t>
      </w:r>
      <w:r w:rsidR="000F0205" w:rsidRPr="00AE141E">
        <w:rPr>
          <w:rFonts w:ascii="Times New Roman" w:hAnsi="Times New Roman" w:cs="Times New Roman"/>
          <w:sz w:val="24"/>
          <w:szCs w:val="24"/>
        </w:rPr>
        <w:t xml:space="preserve"> enduring</w:t>
      </w:r>
      <w:r w:rsidR="002D2A49" w:rsidRPr="00AE141E">
        <w:rPr>
          <w:rFonts w:ascii="Times New Roman" w:hAnsi="Times New Roman" w:cs="Times New Roman"/>
          <w:sz w:val="24"/>
          <w:szCs w:val="24"/>
        </w:rPr>
        <w:t>, outstanding</w:t>
      </w:r>
      <w:r w:rsidR="00420280" w:rsidRPr="00AE141E">
        <w:rPr>
          <w:rFonts w:ascii="Times New Roman" w:hAnsi="Times New Roman" w:cs="Times New Roman"/>
          <w:sz w:val="24"/>
          <w:szCs w:val="24"/>
        </w:rPr>
        <w:t xml:space="preserve"> hold of the </w:t>
      </w:r>
      <w:r w:rsidR="0069323D">
        <w:rPr>
          <w:rFonts w:ascii="Times New Roman" w:hAnsi="Times New Roman" w:cs="Times New Roman"/>
          <w:sz w:val="24"/>
          <w:szCs w:val="24"/>
        </w:rPr>
        <w:t>Second World War</w:t>
      </w:r>
      <w:r w:rsidR="00420280" w:rsidRPr="00AE141E">
        <w:rPr>
          <w:rFonts w:ascii="Times New Roman" w:hAnsi="Times New Roman" w:cs="Times New Roman"/>
          <w:sz w:val="24"/>
          <w:szCs w:val="24"/>
        </w:rPr>
        <w:t xml:space="preserve"> on the national imagination</w:t>
      </w:r>
      <w:r w:rsidR="000B728E">
        <w:rPr>
          <w:rFonts w:ascii="Times New Roman" w:hAnsi="Times New Roman" w:cs="Times New Roman"/>
          <w:sz w:val="24"/>
          <w:szCs w:val="24"/>
        </w:rPr>
        <w:t xml:space="preserve">. </w:t>
      </w:r>
      <w:r w:rsidR="001A20AF" w:rsidRPr="00AE141E">
        <w:rPr>
          <w:rFonts w:ascii="Times New Roman" w:hAnsi="Times New Roman" w:cs="Times New Roman"/>
          <w:sz w:val="24"/>
          <w:szCs w:val="24"/>
        </w:rPr>
        <w:t xml:space="preserve">They also </w:t>
      </w:r>
      <w:r w:rsidR="00D51017">
        <w:rPr>
          <w:rFonts w:ascii="Times New Roman" w:hAnsi="Times New Roman" w:cs="Times New Roman"/>
          <w:sz w:val="24"/>
          <w:szCs w:val="24"/>
        </w:rPr>
        <w:t>hint at</w:t>
      </w:r>
      <w:r w:rsidR="001A20AF" w:rsidRPr="00AE141E">
        <w:rPr>
          <w:rFonts w:ascii="Times New Roman" w:hAnsi="Times New Roman" w:cs="Times New Roman"/>
          <w:sz w:val="24"/>
          <w:szCs w:val="24"/>
        </w:rPr>
        <w:t xml:space="preserve"> </w:t>
      </w:r>
      <w:r w:rsidR="003D517D" w:rsidRPr="00AE141E">
        <w:rPr>
          <w:rFonts w:ascii="Times New Roman" w:hAnsi="Times New Roman" w:cs="Times New Roman"/>
          <w:sz w:val="24"/>
          <w:szCs w:val="24"/>
        </w:rPr>
        <w:t>one of</w:t>
      </w:r>
      <w:r w:rsidR="001A20AF" w:rsidRPr="00AE141E">
        <w:rPr>
          <w:rFonts w:ascii="Times New Roman" w:hAnsi="Times New Roman" w:cs="Times New Roman"/>
          <w:sz w:val="24"/>
          <w:szCs w:val="24"/>
        </w:rPr>
        <w:t xml:space="preserve"> </w:t>
      </w:r>
      <w:r w:rsidR="00E97946" w:rsidRPr="00AE141E">
        <w:rPr>
          <w:rFonts w:ascii="Times New Roman" w:hAnsi="Times New Roman" w:cs="Times New Roman"/>
          <w:sz w:val="24"/>
          <w:szCs w:val="24"/>
        </w:rPr>
        <w:t>the reason</w:t>
      </w:r>
      <w:r w:rsidR="003D517D" w:rsidRPr="00AE141E">
        <w:rPr>
          <w:rFonts w:ascii="Times New Roman" w:hAnsi="Times New Roman" w:cs="Times New Roman"/>
          <w:sz w:val="24"/>
          <w:szCs w:val="24"/>
        </w:rPr>
        <w:t>s</w:t>
      </w:r>
      <w:r w:rsidR="004061F6" w:rsidRPr="00AE141E">
        <w:rPr>
          <w:rFonts w:ascii="Times New Roman" w:hAnsi="Times New Roman" w:cs="Times New Roman"/>
          <w:sz w:val="24"/>
          <w:szCs w:val="24"/>
        </w:rPr>
        <w:t xml:space="preserve"> </w:t>
      </w:r>
      <w:r w:rsidR="00E97946" w:rsidRPr="00AE141E">
        <w:rPr>
          <w:rFonts w:ascii="Times New Roman" w:hAnsi="Times New Roman" w:cs="Times New Roman"/>
          <w:sz w:val="24"/>
          <w:szCs w:val="24"/>
        </w:rPr>
        <w:t xml:space="preserve">behind </w:t>
      </w:r>
      <w:r w:rsidR="009427D9">
        <w:rPr>
          <w:rFonts w:ascii="Times New Roman" w:hAnsi="Times New Roman" w:cs="Times New Roman"/>
          <w:sz w:val="24"/>
          <w:szCs w:val="24"/>
        </w:rPr>
        <w:t>this</w:t>
      </w:r>
      <w:r w:rsidR="00E97946" w:rsidRPr="00AE141E">
        <w:rPr>
          <w:rFonts w:ascii="Times New Roman" w:hAnsi="Times New Roman" w:cs="Times New Roman"/>
          <w:sz w:val="24"/>
          <w:szCs w:val="24"/>
        </w:rPr>
        <w:t xml:space="preserve"> dominance</w:t>
      </w:r>
      <w:r w:rsidR="00C76234">
        <w:rPr>
          <w:rFonts w:ascii="Times New Roman" w:hAnsi="Times New Roman" w:cs="Times New Roman"/>
          <w:sz w:val="24"/>
          <w:szCs w:val="24"/>
        </w:rPr>
        <w:t>.</w:t>
      </w:r>
      <w:r w:rsidR="0032555F" w:rsidRPr="00AE141E">
        <w:rPr>
          <w:rFonts w:ascii="Times New Roman" w:hAnsi="Times New Roman" w:cs="Times New Roman"/>
          <w:sz w:val="24"/>
          <w:szCs w:val="24"/>
        </w:rPr>
        <w:t xml:space="preserve"> To return </w:t>
      </w:r>
      <w:r w:rsidR="004D5AC5" w:rsidRPr="00AE141E">
        <w:rPr>
          <w:rFonts w:ascii="Times New Roman" w:hAnsi="Times New Roman" w:cs="Times New Roman"/>
          <w:sz w:val="24"/>
          <w:szCs w:val="24"/>
        </w:rPr>
        <w:t xml:space="preserve">briefly to the arguments of Chapter </w:t>
      </w:r>
      <w:r w:rsidR="00347ED2" w:rsidRPr="00AE141E">
        <w:rPr>
          <w:rFonts w:ascii="Times New Roman" w:hAnsi="Times New Roman" w:cs="Times New Roman"/>
          <w:sz w:val="24"/>
          <w:szCs w:val="24"/>
        </w:rPr>
        <w:t>1</w:t>
      </w:r>
      <w:r w:rsidR="004D5AC5" w:rsidRPr="00AE141E">
        <w:rPr>
          <w:rFonts w:ascii="Times New Roman" w:hAnsi="Times New Roman" w:cs="Times New Roman"/>
          <w:sz w:val="24"/>
          <w:szCs w:val="24"/>
        </w:rPr>
        <w:t xml:space="preserve">, </w:t>
      </w:r>
      <w:r w:rsidR="00DC0E2F" w:rsidRPr="00AE141E">
        <w:rPr>
          <w:rFonts w:ascii="Times New Roman" w:hAnsi="Times New Roman" w:cs="Times New Roman"/>
          <w:sz w:val="24"/>
          <w:szCs w:val="24"/>
        </w:rPr>
        <w:t xml:space="preserve">and to the analysis of Paul Gilroy, the </w:t>
      </w:r>
      <w:r w:rsidR="00771908" w:rsidRPr="00AE141E">
        <w:rPr>
          <w:rFonts w:ascii="Times New Roman" w:hAnsi="Times New Roman" w:cs="Times New Roman"/>
          <w:sz w:val="24"/>
          <w:szCs w:val="24"/>
        </w:rPr>
        <w:t>Second World War is appealing for its ‘uncomplicated moral architecture’</w:t>
      </w:r>
      <w:r w:rsidR="0090570D" w:rsidRPr="00AE141E">
        <w:rPr>
          <w:rFonts w:ascii="Times New Roman" w:hAnsi="Times New Roman" w:cs="Times New Roman"/>
          <w:sz w:val="24"/>
          <w:szCs w:val="24"/>
        </w:rPr>
        <w:t xml:space="preserve">, which allows the nation’s military glory and masculine heroism to be celebrated without </w:t>
      </w:r>
      <w:r w:rsidR="006019A4" w:rsidRPr="00AE141E">
        <w:rPr>
          <w:rFonts w:ascii="Times New Roman" w:hAnsi="Times New Roman" w:cs="Times New Roman"/>
          <w:sz w:val="24"/>
          <w:szCs w:val="24"/>
        </w:rPr>
        <w:t>any hint of postcolonial guilt</w:t>
      </w:r>
      <w:r w:rsidR="004D5AC5" w:rsidRPr="00AE141E">
        <w:rPr>
          <w:rFonts w:ascii="Times New Roman" w:hAnsi="Times New Roman" w:cs="Times New Roman"/>
          <w:sz w:val="24"/>
          <w:szCs w:val="24"/>
        </w:rPr>
        <w:t>.</w:t>
      </w:r>
      <w:r w:rsidR="004D5AC5" w:rsidRPr="00AE141E">
        <w:rPr>
          <w:rStyle w:val="FootnoteReference"/>
          <w:rFonts w:ascii="Times New Roman" w:hAnsi="Times New Roman" w:cs="Times New Roman"/>
          <w:sz w:val="24"/>
          <w:szCs w:val="24"/>
        </w:rPr>
        <w:footnoteReference w:id="858"/>
      </w:r>
      <w:r w:rsidR="00C76234">
        <w:rPr>
          <w:rFonts w:ascii="Times New Roman" w:hAnsi="Times New Roman" w:cs="Times New Roman"/>
          <w:sz w:val="24"/>
          <w:szCs w:val="24"/>
        </w:rPr>
        <w:t xml:space="preserve"> </w:t>
      </w:r>
    </w:p>
    <w:p w14:paraId="0D201EC4" w14:textId="479BC3A6" w:rsidR="00B70FDE" w:rsidRDefault="00AC075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Significantly,</w:t>
      </w:r>
      <w:r w:rsidR="00F503C6" w:rsidRPr="00AE141E">
        <w:rPr>
          <w:rFonts w:ascii="Times New Roman" w:hAnsi="Times New Roman" w:cs="Times New Roman"/>
          <w:sz w:val="24"/>
          <w:szCs w:val="24"/>
        </w:rPr>
        <w:t xml:space="preserve"> the Second World War’s omission from the Interim Report provided the occasion for the</w:t>
      </w:r>
      <w:r w:rsidR="004D4E72" w:rsidRPr="00AE141E">
        <w:rPr>
          <w:rFonts w:ascii="Times New Roman" w:hAnsi="Times New Roman" w:cs="Times New Roman"/>
          <w:sz w:val="24"/>
          <w:szCs w:val="24"/>
        </w:rPr>
        <w:t xml:space="preserve"> single most</w:t>
      </w:r>
      <w:r w:rsidR="00F503C6" w:rsidRPr="00AE141E">
        <w:rPr>
          <w:rFonts w:ascii="Times New Roman" w:hAnsi="Times New Roman" w:cs="Times New Roman"/>
          <w:sz w:val="24"/>
          <w:szCs w:val="24"/>
        </w:rPr>
        <w:t xml:space="preserve"> interventionist stance taken by the government towards the HWG</w:t>
      </w:r>
      <w:r w:rsidR="004D4E72" w:rsidRPr="00AE141E">
        <w:rPr>
          <w:rFonts w:ascii="Times New Roman" w:hAnsi="Times New Roman" w:cs="Times New Roman"/>
          <w:sz w:val="24"/>
          <w:szCs w:val="24"/>
        </w:rPr>
        <w:t>.</w:t>
      </w:r>
      <w:r w:rsidR="00B977E4" w:rsidRPr="00AE141E">
        <w:rPr>
          <w:rStyle w:val="FootnoteReference"/>
          <w:rFonts w:ascii="Times New Roman" w:hAnsi="Times New Roman" w:cs="Times New Roman"/>
          <w:sz w:val="24"/>
          <w:szCs w:val="24"/>
        </w:rPr>
        <w:footnoteReference w:id="859"/>
      </w:r>
      <w:r w:rsidR="008C616D" w:rsidRPr="00AE141E">
        <w:rPr>
          <w:rFonts w:ascii="Times New Roman" w:hAnsi="Times New Roman" w:cs="Times New Roman"/>
          <w:sz w:val="24"/>
          <w:szCs w:val="24"/>
        </w:rPr>
        <w:t xml:space="preserve"> In response to questions from </w:t>
      </w:r>
      <w:r w:rsidR="00FA1CCB" w:rsidRPr="00AE141E">
        <w:rPr>
          <w:rFonts w:ascii="Times New Roman" w:hAnsi="Times New Roman" w:cs="Times New Roman"/>
          <w:sz w:val="24"/>
          <w:szCs w:val="24"/>
        </w:rPr>
        <w:t>John Marshall and Greville Janner</w:t>
      </w:r>
      <w:r w:rsidR="008C616D" w:rsidRPr="00AE141E">
        <w:rPr>
          <w:rFonts w:ascii="Times New Roman" w:hAnsi="Times New Roman" w:cs="Times New Roman"/>
          <w:sz w:val="24"/>
          <w:szCs w:val="24"/>
        </w:rPr>
        <w:t xml:space="preserve">, </w:t>
      </w:r>
      <w:r w:rsidR="00413103">
        <w:rPr>
          <w:rFonts w:ascii="Times New Roman" w:hAnsi="Times New Roman" w:cs="Times New Roman"/>
          <w:sz w:val="24"/>
          <w:szCs w:val="24"/>
        </w:rPr>
        <w:t xml:space="preserve">the </w:t>
      </w:r>
      <w:r w:rsidR="00413103" w:rsidRPr="00413103">
        <w:rPr>
          <w:rFonts w:ascii="Times New Roman" w:hAnsi="Times New Roman" w:cs="Times New Roman"/>
          <w:sz w:val="24"/>
          <w:szCs w:val="24"/>
        </w:rPr>
        <w:t>Minister of State for Education and Science</w:t>
      </w:r>
      <w:r w:rsidR="00413103">
        <w:rPr>
          <w:rFonts w:ascii="Times New Roman" w:hAnsi="Times New Roman" w:cs="Times New Roman"/>
          <w:sz w:val="24"/>
          <w:szCs w:val="24"/>
        </w:rPr>
        <w:t xml:space="preserve">, </w:t>
      </w:r>
      <w:r w:rsidR="008C616D" w:rsidRPr="00AE141E">
        <w:rPr>
          <w:rFonts w:ascii="Times New Roman" w:hAnsi="Times New Roman" w:cs="Times New Roman"/>
          <w:sz w:val="24"/>
          <w:szCs w:val="24"/>
        </w:rPr>
        <w:t>Angela Rumbold</w:t>
      </w:r>
      <w:r w:rsidR="00413103">
        <w:rPr>
          <w:rFonts w:ascii="Times New Roman" w:hAnsi="Times New Roman" w:cs="Times New Roman"/>
          <w:sz w:val="24"/>
          <w:szCs w:val="24"/>
        </w:rPr>
        <w:t>,</w:t>
      </w:r>
      <w:r w:rsidR="008C616D" w:rsidRPr="00AE141E">
        <w:rPr>
          <w:rFonts w:ascii="Times New Roman" w:hAnsi="Times New Roman" w:cs="Times New Roman"/>
          <w:sz w:val="24"/>
          <w:szCs w:val="24"/>
        </w:rPr>
        <w:t xml:space="preserve"> announced that the </w:t>
      </w:r>
      <w:r w:rsidR="00905396" w:rsidRPr="00AE141E">
        <w:rPr>
          <w:rFonts w:ascii="Times New Roman" w:hAnsi="Times New Roman" w:cs="Times New Roman"/>
          <w:sz w:val="24"/>
          <w:szCs w:val="24"/>
        </w:rPr>
        <w:t xml:space="preserve">war would be included </w:t>
      </w:r>
      <w:r w:rsidR="00905396" w:rsidRPr="00AE141E">
        <w:rPr>
          <w:rFonts w:ascii="Times New Roman" w:hAnsi="Times New Roman" w:cs="Times New Roman"/>
          <w:sz w:val="24"/>
          <w:szCs w:val="24"/>
        </w:rPr>
        <w:lastRenderedPageBreak/>
        <w:t>in the Final Report of the HWG</w:t>
      </w:r>
      <w:r w:rsidR="00413103">
        <w:rPr>
          <w:rFonts w:ascii="Times New Roman" w:hAnsi="Times New Roman" w:cs="Times New Roman"/>
          <w:sz w:val="24"/>
          <w:szCs w:val="24"/>
        </w:rPr>
        <w:t xml:space="preserve"> –</w:t>
      </w:r>
      <w:r w:rsidR="00905396" w:rsidRPr="00AE141E">
        <w:rPr>
          <w:rFonts w:ascii="Times New Roman" w:hAnsi="Times New Roman" w:cs="Times New Roman"/>
          <w:sz w:val="24"/>
          <w:szCs w:val="24"/>
        </w:rPr>
        <w:t xml:space="preserve"> </w:t>
      </w:r>
      <w:r w:rsidR="00905396" w:rsidRPr="00AE141E">
        <w:rPr>
          <w:rFonts w:ascii="Times New Roman" w:hAnsi="Times New Roman" w:cs="Times New Roman"/>
          <w:i/>
          <w:sz w:val="24"/>
          <w:szCs w:val="24"/>
        </w:rPr>
        <w:t>before</w:t>
      </w:r>
      <w:r w:rsidR="00413103">
        <w:rPr>
          <w:rFonts w:ascii="Times New Roman" w:hAnsi="Times New Roman" w:cs="Times New Roman"/>
          <w:i/>
          <w:sz w:val="24"/>
          <w:szCs w:val="24"/>
        </w:rPr>
        <w:t xml:space="preserve"> </w:t>
      </w:r>
      <w:r w:rsidR="00905396" w:rsidRPr="00AE141E">
        <w:rPr>
          <w:rFonts w:ascii="Times New Roman" w:hAnsi="Times New Roman" w:cs="Times New Roman"/>
          <w:i/>
          <w:sz w:val="24"/>
          <w:szCs w:val="24"/>
        </w:rPr>
        <w:t xml:space="preserve">the Group had </w:t>
      </w:r>
      <w:r w:rsidR="00B70FDE" w:rsidRPr="00AE141E">
        <w:rPr>
          <w:rFonts w:ascii="Times New Roman" w:hAnsi="Times New Roman" w:cs="Times New Roman"/>
          <w:i/>
          <w:sz w:val="24"/>
          <w:szCs w:val="24"/>
        </w:rPr>
        <w:t>made a formal decision to do so</w:t>
      </w:r>
      <w:r w:rsidR="00A34BB3" w:rsidRPr="00AE141E">
        <w:rPr>
          <w:rFonts w:ascii="Times New Roman" w:hAnsi="Times New Roman" w:cs="Times New Roman"/>
          <w:sz w:val="24"/>
          <w:szCs w:val="24"/>
        </w:rPr>
        <w:t>.</w:t>
      </w:r>
      <w:r w:rsidR="00AA4B4E" w:rsidRPr="00AE141E">
        <w:rPr>
          <w:rStyle w:val="FootnoteReference"/>
          <w:rFonts w:ascii="Times New Roman" w:hAnsi="Times New Roman" w:cs="Times New Roman"/>
          <w:sz w:val="24"/>
          <w:szCs w:val="24"/>
        </w:rPr>
        <w:footnoteReference w:id="860"/>
      </w:r>
      <w:r w:rsidR="00A34BB3" w:rsidRPr="00AE141E">
        <w:rPr>
          <w:rFonts w:ascii="Times New Roman" w:hAnsi="Times New Roman" w:cs="Times New Roman"/>
          <w:sz w:val="24"/>
          <w:szCs w:val="24"/>
        </w:rPr>
        <w:t xml:space="preserve"> </w:t>
      </w:r>
      <w:r w:rsidR="007F0C80" w:rsidRPr="00AE141E">
        <w:rPr>
          <w:rFonts w:ascii="Times New Roman" w:hAnsi="Times New Roman" w:cs="Times New Roman"/>
          <w:sz w:val="24"/>
          <w:szCs w:val="24"/>
        </w:rPr>
        <w:t xml:space="preserve">Rumbold’s interference </w:t>
      </w:r>
      <w:r w:rsidR="00D51CD4" w:rsidRPr="00AE141E">
        <w:rPr>
          <w:rFonts w:ascii="Times New Roman" w:hAnsi="Times New Roman" w:cs="Times New Roman"/>
          <w:sz w:val="24"/>
          <w:szCs w:val="24"/>
        </w:rPr>
        <w:t xml:space="preserve">was considered a serious enough breach of </w:t>
      </w:r>
      <w:r w:rsidR="00DF32CE" w:rsidRPr="00AE141E">
        <w:rPr>
          <w:rFonts w:ascii="Times New Roman" w:hAnsi="Times New Roman" w:cs="Times New Roman"/>
          <w:sz w:val="24"/>
          <w:szCs w:val="24"/>
        </w:rPr>
        <w:t>the principle of autonomy that a senior civil servant telephoned Saunders Watson to issue an apology.</w:t>
      </w:r>
      <w:r w:rsidR="006E2C01" w:rsidRPr="00AE141E">
        <w:rPr>
          <w:rStyle w:val="FootnoteReference"/>
          <w:rFonts w:ascii="Times New Roman" w:hAnsi="Times New Roman" w:cs="Times New Roman"/>
          <w:sz w:val="24"/>
          <w:szCs w:val="24"/>
        </w:rPr>
        <w:footnoteReference w:id="861"/>
      </w:r>
      <w:r w:rsidR="00DF32CE" w:rsidRPr="00AE141E">
        <w:rPr>
          <w:rFonts w:ascii="Times New Roman" w:hAnsi="Times New Roman" w:cs="Times New Roman"/>
          <w:sz w:val="24"/>
          <w:szCs w:val="24"/>
        </w:rPr>
        <w:t xml:space="preserve"> </w:t>
      </w:r>
      <w:r w:rsidR="008538D9" w:rsidRPr="00AE141E">
        <w:rPr>
          <w:rFonts w:ascii="Times New Roman" w:hAnsi="Times New Roman" w:cs="Times New Roman"/>
          <w:sz w:val="24"/>
          <w:szCs w:val="24"/>
        </w:rPr>
        <w:t>Given the intense public response, the HWG</w:t>
      </w:r>
      <w:r w:rsidR="000F5C89" w:rsidRPr="00AE141E">
        <w:rPr>
          <w:rFonts w:ascii="Times New Roman" w:hAnsi="Times New Roman" w:cs="Times New Roman"/>
          <w:sz w:val="24"/>
          <w:szCs w:val="24"/>
        </w:rPr>
        <w:t xml:space="preserve"> was already seriously considering the inclusion of the Second World War in t</w:t>
      </w:r>
      <w:r w:rsidR="006835AF" w:rsidRPr="00AE141E">
        <w:rPr>
          <w:rFonts w:ascii="Times New Roman" w:hAnsi="Times New Roman" w:cs="Times New Roman"/>
          <w:sz w:val="24"/>
          <w:szCs w:val="24"/>
        </w:rPr>
        <w:t>h</w:t>
      </w:r>
      <w:r w:rsidR="000F5C89" w:rsidRPr="00AE141E">
        <w:rPr>
          <w:rFonts w:ascii="Times New Roman" w:hAnsi="Times New Roman" w:cs="Times New Roman"/>
          <w:sz w:val="24"/>
          <w:szCs w:val="24"/>
        </w:rPr>
        <w:t>eir Final Report</w:t>
      </w:r>
      <w:r w:rsidR="00413103">
        <w:rPr>
          <w:rFonts w:ascii="Times New Roman" w:hAnsi="Times New Roman" w:cs="Times New Roman"/>
          <w:sz w:val="24"/>
          <w:szCs w:val="24"/>
        </w:rPr>
        <w:t>.</w:t>
      </w:r>
      <w:r w:rsidR="006835AF" w:rsidRPr="00AE141E">
        <w:rPr>
          <w:rFonts w:ascii="Times New Roman" w:hAnsi="Times New Roman" w:cs="Times New Roman"/>
          <w:sz w:val="24"/>
          <w:szCs w:val="24"/>
        </w:rPr>
        <w:t xml:space="preserve"> </w:t>
      </w:r>
      <w:r w:rsidR="00413103">
        <w:rPr>
          <w:rFonts w:ascii="Times New Roman" w:hAnsi="Times New Roman" w:cs="Times New Roman"/>
          <w:sz w:val="24"/>
          <w:szCs w:val="24"/>
        </w:rPr>
        <w:t>I</w:t>
      </w:r>
      <w:r w:rsidR="006835AF" w:rsidRPr="00AE141E">
        <w:rPr>
          <w:rFonts w:ascii="Times New Roman" w:hAnsi="Times New Roman" w:cs="Times New Roman"/>
          <w:sz w:val="24"/>
          <w:szCs w:val="24"/>
        </w:rPr>
        <w:t>t is therefore</w:t>
      </w:r>
      <w:r w:rsidR="008538D9" w:rsidRPr="00AE141E">
        <w:rPr>
          <w:rFonts w:ascii="Times New Roman" w:hAnsi="Times New Roman" w:cs="Times New Roman"/>
          <w:sz w:val="24"/>
          <w:szCs w:val="24"/>
        </w:rPr>
        <w:t xml:space="preserve"> unlikely that </w:t>
      </w:r>
      <w:r w:rsidR="000F5C89" w:rsidRPr="00AE141E">
        <w:rPr>
          <w:rFonts w:ascii="Times New Roman" w:hAnsi="Times New Roman" w:cs="Times New Roman"/>
          <w:sz w:val="24"/>
          <w:szCs w:val="24"/>
        </w:rPr>
        <w:t xml:space="preserve">Rumbold influenced </w:t>
      </w:r>
      <w:r w:rsidR="00C50DCE" w:rsidRPr="00AE141E">
        <w:rPr>
          <w:rFonts w:ascii="Times New Roman" w:hAnsi="Times New Roman" w:cs="Times New Roman"/>
          <w:sz w:val="24"/>
          <w:szCs w:val="24"/>
        </w:rPr>
        <w:t xml:space="preserve">the </w:t>
      </w:r>
      <w:r w:rsidRPr="00AE141E">
        <w:rPr>
          <w:rFonts w:ascii="Times New Roman" w:hAnsi="Times New Roman" w:cs="Times New Roman"/>
          <w:sz w:val="24"/>
          <w:szCs w:val="24"/>
        </w:rPr>
        <w:t>Group’s</w:t>
      </w:r>
      <w:r w:rsidR="00C50DCE" w:rsidRPr="00AE141E">
        <w:rPr>
          <w:rFonts w:ascii="Times New Roman" w:hAnsi="Times New Roman" w:cs="Times New Roman"/>
          <w:sz w:val="24"/>
          <w:szCs w:val="24"/>
        </w:rPr>
        <w:t xml:space="preserve"> decision to </w:t>
      </w:r>
      <w:r w:rsidRPr="00AE141E">
        <w:rPr>
          <w:rFonts w:ascii="Times New Roman" w:hAnsi="Times New Roman" w:cs="Times New Roman"/>
          <w:sz w:val="24"/>
          <w:szCs w:val="24"/>
        </w:rPr>
        <w:t>create</w:t>
      </w:r>
      <w:r w:rsidR="00C50DCE" w:rsidRPr="00AE141E">
        <w:rPr>
          <w:rFonts w:ascii="Times New Roman" w:hAnsi="Times New Roman" w:cs="Times New Roman"/>
          <w:sz w:val="24"/>
          <w:szCs w:val="24"/>
        </w:rPr>
        <w:t xml:space="preserve"> a </w:t>
      </w:r>
      <w:r w:rsidRPr="00AE141E">
        <w:rPr>
          <w:rFonts w:ascii="Times New Roman" w:hAnsi="Times New Roman" w:cs="Times New Roman"/>
          <w:sz w:val="24"/>
          <w:szCs w:val="24"/>
        </w:rPr>
        <w:t>new</w:t>
      </w:r>
      <w:r w:rsidR="00637B69" w:rsidRPr="00AE141E">
        <w:rPr>
          <w:rFonts w:ascii="Times New Roman" w:hAnsi="Times New Roman" w:cs="Times New Roman"/>
          <w:sz w:val="24"/>
          <w:szCs w:val="24"/>
        </w:rPr>
        <w:t xml:space="preserve"> Core</w:t>
      </w:r>
      <w:r w:rsidRPr="00AE141E">
        <w:rPr>
          <w:rFonts w:ascii="Times New Roman" w:hAnsi="Times New Roman" w:cs="Times New Roman"/>
          <w:sz w:val="24"/>
          <w:szCs w:val="24"/>
        </w:rPr>
        <w:t xml:space="preserve"> </w:t>
      </w:r>
      <w:r w:rsidR="00637B69" w:rsidRPr="00AE141E">
        <w:rPr>
          <w:rFonts w:ascii="Times New Roman" w:hAnsi="Times New Roman" w:cs="Times New Roman"/>
          <w:sz w:val="24"/>
          <w:szCs w:val="24"/>
        </w:rPr>
        <w:t>U</w:t>
      </w:r>
      <w:r w:rsidR="00C50DCE" w:rsidRPr="00AE141E">
        <w:rPr>
          <w:rFonts w:ascii="Times New Roman" w:hAnsi="Times New Roman" w:cs="Times New Roman"/>
          <w:sz w:val="24"/>
          <w:szCs w:val="24"/>
        </w:rPr>
        <w:t xml:space="preserve">nit </w:t>
      </w:r>
      <w:r w:rsidRPr="00AE141E">
        <w:rPr>
          <w:rFonts w:ascii="Times New Roman" w:hAnsi="Times New Roman" w:cs="Times New Roman"/>
          <w:sz w:val="24"/>
          <w:szCs w:val="24"/>
        </w:rPr>
        <w:t>at KS</w:t>
      </w:r>
      <w:r w:rsidR="00637B69" w:rsidRPr="00AE141E">
        <w:rPr>
          <w:rFonts w:ascii="Times New Roman" w:hAnsi="Times New Roman" w:cs="Times New Roman"/>
          <w:sz w:val="24"/>
          <w:szCs w:val="24"/>
        </w:rPr>
        <w:t xml:space="preserve">4 </w:t>
      </w:r>
      <w:r w:rsidRPr="00AE141E">
        <w:rPr>
          <w:rFonts w:ascii="Times New Roman" w:hAnsi="Times New Roman" w:cs="Times New Roman"/>
          <w:sz w:val="24"/>
          <w:szCs w:val="24"/>
        </w:rPr>
        <w:t>entitled</w:t>
      </w:r>
      <w:r w:rsidR="00637B69" w:rsidRPr="00AE141E">
        <w:rPr>
          <w:rFonts w:ascii="Times New Roman" w:hAnsi="Times New Roman" w:cs="Times New Roman"/>
          <w:sz w:val="24"/>
          <w:szCs w:val="24"/>
        </w:rPr>
        <w:t xml:space="preserve"> </w:t>
      </w:r>
      <w:r w:rsidR="00363A3F" w:rsidRPr="00AE141E">
        <w:rPr>
          <w:rFonts w:ascii="Times New Roman" w:hAnsi="Times New Roman" w:cs="Times New Roman"/>
          <w:sz w:val="24"/>
          <w:szCs w:val="24"/>
        </w:rPr>
        <w:t>‘The Era of the Second World War: 1933-1949’.</w:t>
      </w:r>
      <w:r w:rsidR="004904C6" w:rsidRPr="00AE141E">
        <w:rPr>
          <w:rStyle w:val="FootnoteReference"/>
          <w:rFonts w:ascii="Times New Roman" w:hAnsi="Times New Roman" w:cs="Times New Roman"/>
          <w:sz w:val="24"/>
          <w:szCs w:val="24"/>
        </w:rPr>
        <w:footnoteReference w:id="862"/>
      </w:r>
      <w:r w:rsidR="00C50DCE" w:rsidRPr="00AE141E">
        <w:rPr>
          <w:rFonts w:ascii="Times New Roman" w:hAnsi="Times New Roman" w:cs="Times New Roman"/>
          <w:sz w:val="24"/>
          <w:szCs w:val="24"/>
        </w:rPr>
        <w:t xml:space="preserve"> Nevertheless, </w:t>
      </w:r>
      <w:r w:rsidR="00DF18D5" w:rsidRPr="00AE141E">
        <w:rPr>
          <w:rFonts w:ascii="Times New Roman" w:hAnsi="Times New Roman" w:cs="Times New Roman"/>
          <w:sz w:val="24"/>
          <w:szCs w:val="24"/>
        </w:rPr>
        <w:t xml:space="preserve">her intervention </w:t>
      </w:r>
      <w:r w:rsidR="00076039" w:rsidRPr="00AE141E">
        <w:rPr>
          <w:rFonts w:ascii="Times New Roman" w:hAnsi="Times New Roman" w:cs="Times New Roman"/>
          <w:sz w:val="24"/>
          <w:szCs w:val="24"/>
        </w:rPr>
        <w:t>– unusual and surprising</w:t>
      </w:r>
      <w:r w:rsidR="00D02173" w:rsidRPr="00AE141E">
        <w:rPr>
          <w:rFonts w:ascii="Times New Roman" w:hAnsi="Times New Roman" w:cs="Times New Roman"/>
          <w:sz w:val="24"/>
          <w:szCs w:val="24"/>
        </w:rPr>
        <w:t xml:space="preserve"> </w:t>
      </w:r>
      <w:r w:rsidR="00153165" w:rsidRPr="00AE141E">
        <w:rPr>
          <w:rFonts w:ascii="Times New Roman" w:hAnsi="Times New Roman" w:cs="Times New Roman"/>
          <w:sz w:val="24"/>
          <w:szCs w:val="24"/>
        </w:rPr>
        <w:t xml:space="preserve">to Working Group members </w:t>
      </w:r>
      <w:r w:rsidR="00076039" w:rsidRPr="00AE141E">
        <w:rPr>
          <w:rFonts w:ascii="Times New Roman" w:hAnsi="Times New Roman" w:cs="Times New Roman"/>
          <w:sz w:val="24"/>
          <w:szCs w:val="24"/>
        </w:rPr>
        <w:t xml:space="preserve">– illustrates the </w:t>
      </w:r>
      <w:r w:rsidR="00C17CB1" w:rsidRPr="00AE141E">
        <w:rPr>
          <w:rFonts w:ascii="Times New Roman" w:hAnsi="Times New Roman" w:cs="Times New Roman"/>
          <w:sz w:val="24"/>
          <w:szCs w:val="24"/>
        </w:rPr>
        <w:t>exceptional</w:t>
      </w:r>
      <w:r w:rsidR="00076039" w:rsidRPr="00AE141E">
        <w:rPr>
          <w:rFonts w:ascii="Times New Roman" w:hAnsi="Times New Roman" w:cs="Times New Roman"/>
          <w:sz w:val="24"/>
          <w:szCs w:val="24"/>
        </w:rPr>
        <w:t xml:space="preserve"> status </w:t>
      </w:r>
      <w:r w:rsidR="00153165" w:rsidRPr="00AE141E">
        <w:rPr>
          <w:rFonts w:ascii="Times New Roman" w:hAnsi="Times New Roman" w:cs="Times New Roman"/>
          <w:sz w:val="24"/>
          <w:szCs w:val="24"/>
        </w:rPr>
        <w:t xml:space="preserve">of the war within </w:t>
      </w:r>
      <w:r w:rsidR="00C17CB1" w:rsidRPr="00AE141E">
        <w:rPr>
          <w:rFonts w:ascii="Times New Roman" w:hAnsi="Times New Roman" w:cs="Times New Roman"/>
          <w:sz w:val="24"/>
          <w:szCs w:val="24"/>
        </w:rPr>
        <w:t xml:space="preserve">British political culture. </w:t>
      </w:r>
    </w:p>
    <w:p w14:paraId="51ACA218" w14:textId="224B2ED8" w:rsidR="00E12C6E" w:rsidRPr="00E12C6E" w:rsidRDefault="00E12C6E" w:rsidP="00AE141E">
      <w:pPr>
        <w:spacing w:line="360" w:lineRule="auto"/>
        <w:rPr>
          <w:rFonts w:ascii="Times New Roman" w:hAnsi="Times New Roman" w:cs="Times New Roman"/>
          <w:b/>
          <w:bCs/>
          <w:sz w:val="24"/>
          <w:szCs w:val="24"/>
        </w:rPr>
      </w:pPr>
      <w:r>
        <w:rPr>
          <w:rFonts w:ascii="Times New Roman" w:hAnsi="Times New Roman" w:cs="Times New Roman"/>
          <w:b/>
          <w:bCs/>
          <w:sz w:val="24"/>
          <w:szCs w:val="24"/>
        </w:rPr>
        <w:t>The Final Report</w:t>
      </w:r>
    </w:p>
    <w:p w14:paraId="4DC5A5C4" w14:textId="0B8111A5" w:rsidR="00745A0E" w:rsidRPr="00AE141E" w:rsidRDefault="0068785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t>
      </w:r>
      <w:r w:rsidR="00FF7EAC" w:rsidRPr="00AE141E">
        <w:rPr>
          <w:rFonts w:ascii="Times New Roman" w:hAnsi="Times New Roman" w:cs="Times New Roman"/>
          <w:sz w:val="24"/>
          <w:szCs w:val="24"/>
        </w:rPr>
        <w:t>Final Report</w:t>
      </w:r>
      <w:r w:rsidRPr="00AE141E">
        <w:rPr>
          <w:rFonts w:ascii="Times New Roman" w:hAnsi="Times New Roman" w:cs="Times New Roman"/>
          <w:sz w:val="24"/>
          <w:szCs w:val="24"/>
        </w:rPr>
        <w:t xml:space="preserve"> of the </w:t>
      </w:r>
      <w:r w:rsidR="00C822E4" w:rsidRPr="00AE141E">
        <w:rPr>
          <w:rFonts w:ascii="Times New Roman" w:hAnsi="Times New Roman" w:cs="Times New Roman"/>
          <w:sz w:val="24"/>
          <w:szCs w:val="24"/>
        </w:rPr>
        <w:t xml:space="preserve">HWG </w:t>
      </w:r>
      <w:r w:rsidR="00C50AF8" w:rsidRPr="00AE141E">
        <w:rPr>
          <w:rFonts w:ascii="Times New Roman" w:hAnsi="Times New Roman" w:cs="Times New Roman"/>
          <w:sz w:val="24"/>
          <w:szCs w:val="24"/>
        </w:rPr>
        <w:t>contained</w:t>
      </w:r>
      <w:r w:rsidR="00C822E4" w:rsidRPr="00AE141E">
        <w:rPr>
          <w:rFonts w:ascii="Times New Roman" w:hAnsi="Times New Roman" w:cs="Times New Roman"/>
          <w:sz w:val="24"/>
          <w:szCs w:val="24"/>
        </w:rPr>
        <w:t xml:space="preserve"> some major </w:t>
      </w:r>
      <w:r w:rsidR="00C50AF8" w:rsidRPr="00AE141E">
        <w:rPr>
          <w:rFonts w:ascii="Times New Roman" w:hAnsi="Times New Roman" w:cs="Times New Roman"/>
          <w:sz w:val="24"/>
          <w:szCs w:val="24"/>
        </w:rPr>
        <w:t xml:space="preserve">structural </w:t>
      </w:r>
      <w:r w:rsidR="00C822E4" w:rsidRPr="00AE141E">
        <w:rPr>
          <w:rFonts w:ascii="Times New Roman" w:hAnsi="Times New Roman" w:cs="Times New Roman"/>
          <w:sz w:val="24"/>
          <w:szCs w:val="24"/>
        </w:rPr>
        <w:t xml:space="preserve">changes from its predecessor. </w:t>
      </w:r>
      <w:r w:rsidR="002A4C5A" w:rsidRPr="00AE141E">
        <w:rPr>
          <w:rFonts w:ascii="Times New Roman" w:hAnsi="Times New Roman" w:cs="Times New Roman"/>
          <w:sz w:val="24"/>
          <w:szCs w:val="24"/>
        </w:rPr>
        <w:t>The proposed</w:t>
      </w:r>
      <w:r w:rsidR="00634881" w:rsidRPr="00AE141E">
        <w:rPr>
          <w:rFonts w:ascii="Times New Roman" w:hAnsi="Times New Roman" w:cs="Times New Roman"/>
          <w:sz w:val="24"/>
          <w:szCs w:val="24"/>
        </w:rPr>
        <w:t xml:space="preserve"> curriculum comprised a list of </w:t>
      </w:r>
      <w:r w:rsidR="00DD1E5E" w:rsidRPr="00AE141E">
        <w:rPr>
          <w:rFonts w:ascii="Times New Roman" w:hAnsi="Times New Roman" w:cs="Times New Roman"/>
          <w:sz w:val="24"/>
          <w:szCs w:val="24"/>
        </w:rPr>
        <w:t>C</w:t>
      </w:r>
      <w:r w:rsidR="00634881" w:rsidRPr="00AE141E">
        <w:rPr>
          <w:rFonts w:ascii="Times New Roman" w:hAnsi="Times New Roman" w:cs="Times New Roman"/>
          <w:sz w:val="24"/>
          <w:szCs w:val="24"/>
        </w:rPr>
        <w:t xml:space="preserve">ore and </w:t>
      </w:r>
      <w:r w:rsidR="00DD1E5E" w:rsidRPr="00AE141E">
        <w:rPr>
          <w:rFonts w:ascii="Times New Roman" w:hAnsi="Times New Roman" w:cs="Times New Roman"/>
          <w:sz w:val="24"/>
          <w:szCs w:val="24"/>
        </w:rPr>
        <w:t>O</w:t>
      </w:r>
      <w:r w:rsidR="00634881" w:rsidRPr="00AE141E">
        <w:rPr>
          <w:rFonts w:ascii="Times New Roman" w:hAnsi="Times New Roman" w:cs="Times New Roman"/>
          <w:sz w:val="24"/>
          <w:szCs w:val="24"/>
        </w:rPr>
        <w:t xml:space="preserve">ption </w:t>
      </w:r>
      <w:r w:rsidR="00652930" w:rsidRPr="00AE141E">
        <w:rPr>
          <w:rFonts w:ascii="Times New Roman" w:hAnsi="Times New Roman" w:cs="Times New Roman"/>
          <w:sz w:val="24"/>
          <w:szCs w:val="24"/>
        </w:rPr>
        <w:t>U</w:t>
      </w:r>
      <w:r w:rsidR="00634881" w:rsidRPr="00AE141E">
        <w:rPr>
          <w:rFonts w:ascii="Times New Roman" w:hAnsi="Times New Roman" w:cs="Times New Roman"/>
          <w:sz w:val="24"/>
          <w:szCs w:val="24"/>
        </w:rPr>
        <w:t>nits</w:t>
      </w:r>
      <w:r w:rsidR="00E278FD" w:rsidRPr="00AE141E">
        <w:rPr>
          <w:rFonts w:ascii="Times New Roman" w:hAnsi="Times New Roman" w:cs="Times New Roman"/>
          <w:sz w:val="24"/>
          <w:szCs w:val="24"/>
        </w:rPr>
        <w:t>,</w:t>
      </w:r>
      <w:r w:rsidR="00DD1E5E" w:rsidRPr="00AE141E">
        <w:rPr>
          <w:rFonts w:ascii="Times New Roman" w:hAnsi="Times New Roman" w:cs="Times New Roman"/>
          <w:sz w:val="24"/>
          <w:szCs w:val="24"/>
        </w:rPr>
        <w:t xml:space="preserve"> as well as a si</w:t>
      </w:r>
      <w:r w:rsidR="00652930" w:rsidRPr="00AE141E">
        <w:rPr>
          <w:rFonts w:ascii="Times New Roman" w:hAnsi="Times New Roman" w:cs="Times New Roman"/>
          <w:sz w:val="24"/>
          <w:szCs w:val="24"/>
        </w:rPr>
        <w:t>n</w:t>
      </w:r>
      <w:r w:rsidR="00DD1E5E" w:rsidRPr="00AE141E">
        <w:rPr>
          <w:rFonts w:ascii="Times New Roman" w:hAnsi="Times New Roman" w:cs="Times New Roman"/>
          <w:sz w:val="24"/>
          <w:szCs w:val="24"/>
        </w:rPr>
        <w:t>gle School Designed History Study Unit (SDHSU)</w:t>
      </w:r>
      <w:r w:rsidR="002A4C5A" w:rsidRPr="00AE141E">
        <w:rPr>
          <w:rFonts w:ascii="Times New Roman" w:hAnsi="Times New Roman" w:cs="Times New Roman"/>
          <w:sz w:val="24"/>
          <w:szCs w:val="24"/>
        </w:rPr>
        <w:t xml:space="preserve"> at both KS3 and KS4</w:t>
      </w:r>
      <w:r w:rsidR="00652930" w:rsidRPr="00AE141E">
        <w:rPr>
          <w:rFonts w:ascii="Times New Roman" w:hAnsi="Times New Roman" w:cs="Times New Roman"/>
          <w:sz w:val="24"/>
          <w:szCs w:val="24"/>
        </w:rPr>
        <w:t>.</w:t>
      </w:r>
      <w:r w:rsidR="00A3294B" w:rsidRPr="00AE141E">
        <w:rPr>
          <w:rStyle w:val="FootnoteReference"/>
          <w:rFonts w:ascii="Times New Roman" w:hAnsi="Times New Roman" w:cs="Times New Roman"/>
          <w:sz w:val="24"/>
          <w:szCs w:val="24"/>
        </w:rPr>
        <w:footnoteReference w:id="863"/>
      </w:r>
      <w:r w:rsidR="00652930" w:rsidRPr="00AE141E">
        <w:rPr>
          <w:rFonts w:ascii="Times New Roman" w:hAnsi="Times New Roman" w:cs="Times New Roman"/>
          <w:sz w:val="24"/>
          <w:szCs w:val="24"/>
        </w:rPr>
        <w:t xml:space="preserve"> All </w:t>
      </w:r>
      <w:r w:rsidR="006149BD" w:rsidRPr="00AE141E">
        <w:rPr>
          <w:rFonts w:ascii="Times New Roman" w:hAnsi="Times New Roman" w:cs="Times New Roman"/>
          <w:sz w:val="24"/>
          <w:szCs w:val="24"/>
        </w:rPr>
        <w:t>topics were</w:t>
      </w:r>
      <w:r w:rsidR="00E278FD" w:rsidRPr="00AE141E">
        <w:rPr>
          <w:rFonts w:ascii="Times New Roman" w:hAnsi="Times New Roman" w:cs="Times New Roman"/>
          <w:sz w:val="24"/>
          <w:szCs w:val="24"/>
        </w:rPr>
        <w:t xml:space="preserve"> accompanied by</w:t>
      </w:r>
      <w:r w:rsidR="006149BD" w:rsidRPr="00AE141E">
        <w:rPr>
          <w:rFonts w:ascii="Times New Roman" w:hAnsi="Times New Roman" w:cs="Times New Roman"/>
          <w:sz w:val="24"/>
          <w:szCs w:val="24"/>
        </w:rPr>
        <w:t xml:space="preserve"> a set of </w:t>
      </w:r>
      <w:r w:rsidR="00E278FD" w:rsidRPr="00AE141E">
        <w:rPr>
          <w:rFonts w:ascii="Times New Roman" w:hAnsi="Times New Roman" w:cs="Times New Roman"/>
          <w:sz w:val="24"/>
          <w:szCs w:val="24"/>
        </w:rPr>
        <w:t>‘essential information’</w:t>
      </w:r>
      <w:r w:rsidR="001C4797" w:rsidRPr="00AE141E">
        <w:rPr>
          <w:rFonts w:ascii="Times New Roman" w:hAnsi="Times New Roman" w:cs="Times New Roman"/>
          <w:sz w:val="24"/>
          <w:szCs w:val="24"/>
        </w:rPr>
        <w:t xml:space="preserve"> – content which had a statutory basis and would </w:t>
      </w:r>
      <w:r w:rsidR="00381222" w:rsidRPr="00AE141E">
        <w:rPr>
          <w:rFonts w:ascii="Times New Roman" w:hAnsi="Times New Roman" w:cs="Times New Roman"/>
          <w:sz w:val="24"/>
          <w:szCs w:val="24"/>
        </w:rPr>
        <w:t xml:space="preserve">be formally assessed – and non-statutory </w:t>
      </w:r>
      <w:r w:rsidR="00A04871" w:rsidRPr="00AE141E">
        <w:rPr>
          <w:rFonts w:ascii="Times New Roman" w:hAnsi="Times New Roman" w:cs="Times New Roman"/>
          <w:sz w:val="24"/>
          <w:szCs w:val="24"/>
        </w:rPr>
        <w:t>‘exemplary information’</w:t>
      </w:r>
      <w:r w:rsidR="00C448B0" w:rsidRPr="00AE141E">
        <w:rPr>
          <w:rFonts w:ascii="Times New Roman" w:hAnsi="Times New Roman" w:cs="Times New Roman"/>
          <w:sz w:val="24"/>
          <w:szCs w:val="24"/>
        </w:rPr>
        <w:t>.</w:t>
      </w:r>
      <w:r w:rsidR="00CC1F9D" w:rsidRPr="00AE141E">
        <w:rPr>
          <w:rFonts w:ascii="Times New Roman" w:hAnsi="Times New Roman" w:cs="Times New Roman"/>
          <w:sz w:val="24"/>
          <w:szCs w:val="24"/>
        </w:rPr>
        <w:t xml:space="preserve"> </w:t>
      </w:r>
      <w:r w:rsidR="000F3E02" w:rsidRPr="00AE141E">
        <w:rPr>
          <w:rFonts w:ascii="Times New Roman" w:hAnsi="Times New Roman" w:cs="Times New Roman"/>
          <w:sz w:val="24"/>
          <w:szCs w:val="24"/>
        </w:rPr>
        <w:t>O</w:t>
      </w:r>
      <w:r w:rsidR="00F459A3" w:rsidRPr="00AE141E">
        <w:rPr>
          <w:rFonts w:ascii="Times New Roman" w:hAnsi="Times New Roman" w:cs="Times New Roman"/>
          <w:sz w:val="24"/>
          <w:szCs w:val="24"/>
        </w:rPr>
        <w:t>ption</w:t>
      </w:r>
      <w:r w:rsidR="00DE6419" w:rsidRPr="00AE141E">
        <w:rPr>
          <w:rFonts w:ascii="Times New Roman" w:hAnsi="Times New Roman" w:cs="Times New Roman"/>
          <w:sz w:val="24"/>
          <w:szCs w:val="24"/>
        </w:rPr>
        <w:t xml:space="preserve"> </w:t>
      </w:r>
      <w:r w:rsidR="002243E0" w:rsidRPr="00AE141E">
        <w:rPr>
          <w:rFonts w:ascii="Times New Roman" w:hAnsi="Times New Roman" w:cs="Times New Roman"/>
          <w:sz w:val="24"/>
          <w:szCs w:val="24"/>
        </w:rPr>
        <w:t>U</w:t>
      </w:r>
      <w:r w:rsidR="00DE6419" w:rsidRPr="00AE141E">
        <w:rPr>
          <w:rFonts w:ascii="Times New Roman" w:hAnsi="Times New Roman" w:cs="Times New Roman"/>
          <w:sz w:val="24"/>
          <w:szCs w:val="24"/>
        </w:rPr>
        <w:t>nits</w:t>
      </w:r>
      <w:r w:rsidR="00F459A3" w:rsidRPr="00AE141E">
        <w:rPr>
          <w:rFonts w:ascii="Times New Roman" w:hAnsi="Times New Roman" w:cs="Times New Roman"/>
          <w:sz w:val="24"/>
          <w:szCs w:val="24"/>
        </w:rPr>
        <w:t xml:space="preserve"> were divided into </w:t>
      </w:r>
      <w:r w:rsidR="00DE6419" w:rsidRPr="00AE141E">
        <w:rPr>
          <w:rFonts w:ascii="Times New Roman" w:hAnsi="Times New Roman" w:cs="Times New Roman"/>
          <w:sz w:val="24"/>
          <w:szCs w:val="24"/>
        </w:rPr>
        <w:t>four</w:t>
      </w:r>
      <w:r w:rsidR="00F459A3" w:rsidRPr="00AE141E">
        <w:rPr>
          <w:rFonts w:ascii="Times New Roman" w:hAnsi="Times New Roman" w:cs="Times New Roman"/>
          <w:sz w:val="24"/>
          <w:szCs w:val="24"/>
        </w:rPr>
        <w:t xml:space="preserve"> categories, representing British history, European history, </w:t>
      </w:r>
      <w:r w:rsidR="00034F8F">
        <w:rPr>
          <w:rFonts w:ascii="Times New Roman" w:hAnsi="Times New Roman" w:cs="Times New Roman"/>
          <w:sz w:val="24"/>
          <w:szCs w:val="24"/>
        </w:rPr>
        <w:t xml:space="preserve">American history, and </w:t>
      </w:r>
      <w:r w:rsidR="00F459A3" w:rsidRPr="00AE141E">
        <w:rPr>
          <w:rFonts w:ascii="Times New Roman" w:hAnsi="Times New Roman" w:cs="Times New Roman"/>
          <w:sz w:val="24"/>
          <w:szCs w:val="24"/>
        </w:rPr>
        <w:t xml:space="preserve">a non-Western culture </w:t>
      </w:r>
      <w:r w:rsidR="00034F8F">
        <w:rPr>
          <w:rFonts w:ascii="Times New Roman" w:hAnsi="Times New Roman" w:cs="Times New Roman"/>
          <w:sz w:val="24"/>
          <w:szCs w:val="24"/>
        </w:rPr>
        <w:t>‘</w:t>
      </w:r>
      <w:r w:rsidR="00F459A3" w:rsidRPr="00AE141E">
        <w:rPr>
          <w:rFonts w:ascii="Times New Roman" w:hAnsi="Times New Roman" w:cs="Times New Roman"/>
          <w:sz w:val="24"/>
          <w:szCs w:val="24"/>
        </w:rPr>
        <w:t>from its own perspective</w:t>
      </w:r>
      <w:r w:rsidR="00034F8F">
        <w:rPr>
          <w:rFonts w:ascii="Times New Roman" w:hAnsi="Times New Roman" w:cs="Times New Roman"/>
          <w:sz w:val="24"/>
          <w:szCs w:val="24"/>
        </w:rPr>
        <w:t>’</w:t>
      </w:r>
      <w:r w:rsidR="00F459A3" w:rsidRPr="00AE141E">
        <w:rPr>
          <w:rFonts w:ascii="Times New Roman" w:hAnsi="Times New Roman" w:cs="Times New Roman"/>
          <w:sz w:val="24"/>
          <w:szCs w:val="24"/>
        </w:rPr>
        <w:t xml:space="preserve">. </w:t>
      </w:r>
      <w:r w:rsidR="00A947CE" w:rsidRPr="00AE141E">
        <w:rPr>
          <w:rFonts w:ascii="Times New Roman" w:hAnsi="Times New Roman" w:cs="Times New Roman"/>
          <w:sz w:val="24"/>
          <w:szCs w:val="24"/>
        </w:rPr>
        <w:t xml:space="preserve">At KS4, the Option Units were divided into two </w:t>
      </w:r>
      <w:r w:rsidR="00043332" w:rsidRPr="00AE141E">
        <w:rPr>
          <w:rFonts w:ascii="Times New Roman" w:hAnsi="Times New Roman" w:cs="Times New Roman"/>
          <w:sz w:val="24"/>
          <w:szCs w:val="24"/>
        </w:rPr>
        <w:t>categories</w:t>
      </w:r>
      <w:r w:rsidR="00EF728D" w:rsidRPr="00AE141E">
        <w:rPr>
          <w:rFonts w:ascii="Times New Roman" w:hAnsi="Times New Roman" w:cs="Times New Roman"/>
          <w:sz w:val="24"/>
          <w:szCs w:val="24"/>
        </w:rPr>
        <w:t>, one grouping European and north American history, and the other devoted to the history of the rest of the world</w:t>
      </w:r>
      <w:r w:rsidR="00B90EC0" w:rsidRPr="00AE141E">
        <w:rPr>
          <w:rFonts w:ascii="Times New Roman" w:hAnsi="Times New Roman" w:cs="Times New Roman"/>
          <w:sz w:val="24"/>
          <w:szCs w:val="24"/>
        </w:rPr>
        <w:t xml:space="preserve">. At both KS3 and KS4, schools would have to teach one topic from each </w:t>
      </w:r>
      <w:r w:rsidR="00043332" w:rsidRPr="00AE141E">
        <w:rPr>
          <w:rFonts w:ascii="Times New Roman" w:hAnsi="Times New Roman" w:cs="Times New Roman"/>
          <w:sz w:val="24"/>
          <w:szCs w:val="24"/>
        </w:rPr>
        <w:t>category</w:t>
      </w:r>
      <w:r w:rsidR="00B90EC0" w:rsidRPr="00AE141E">
        <w:rPr>
          <w:rFonts w:ascii="Times New Roman" w:hAnsi="Times New Roman" w:cs="Times New Roman"/>
          <w:sz w:val="24"/>
          <w:szCs w:val="24"/>
        </w:rPr>
        <w:t>.</w:t>
      </w:r>
      <w:r w:rsidR="00745A0E" w:rsidRPr="00AE141E">
        <w:rPr>
          <w:rFonts w:ascii="Times New Roman" w:hAnsi="Times New Roman" w:cs="Times New Roman"/>
          <w:sz w:val="24"/>
          <w:szCs w:val="24"/>
        </w:rPr>
        <w:t xml:space="preserve"> </w:t>
      </w:r>
      <w:r w:rsidR="00461AF8">
        <w:rPr>
          <w:rFonts w:ascii="Times New Roman" w:hAnsi="Times New Roman" w:cs="Times New Roman"/>
          <w:sz w:val="24"/>
          <w:szCs w:val="24"/>
        </w:rPr>
        <w:t xml:space="preserve">A complete list </w:t>
      </w:r>
      <w:r w:rsidR="007C1D0B">
        <w:rPr>
          <w:rFonts w:ascii="Times New Roman" w:hAnsi="Times New Roman" w:cs="Times New Roman"/>
          <w:sz w:val="24"/>
          <w:szCs w:val="24"/>
        </w:rPr>
        <w:t xml:space="preserve">of Units, </w:t>
      </w:r>
      <w:r w:rsidR="000B07D5">
        <w:rPr>
          <w:rFonts w:ascii="Times New Roman" w:hAnsi="Times New Roman" w:cs="Times New Roman"/>
          <w:sz w:val="24"/>
          <w:szCs w:val="24"/>
        </w:rPr>
        <w:t xml:space="preserve">alongside </w:t>
      </w:r>
      <w:r w:rsidR="00F07779">
        <w:rPr>
          <w:rFonts w:ascii="Times New Roman" w:hAnsi="Times New Roman" w:cs="Times New Roman"/>
          <w:sz w:val="24"/>
          <w:szCs w:val="24"/>
        </w:rPr>
        <w:t>brief explanatory</w:t>
      </w:r>
      <w:r w:rsidR="000B07D5">
        <w:rPr>
          <w:rFonts w:ascii="Times New Roman" w:hAnsi="Times New Roman" w:cs="Times New Roman"/>
          <w:sz w:val="24"/>
          <w:szCs w:val="24"/>
        </w:rPr>
        <w:t xml:space="preserve"> </w:t>
      </w:r>
      <w:r w:rsidR="00F07779">
        <w:rPr>
          <w:rFonts w:ascii="Times New Roman" w:hAnsi="Times New Roman" w:cs="Times New Roman"/>
          <w:sz w:val="24"/>
          <w:szCs w:val="24"/>
        </w:rPr>
        <w:t>comments</w:t>
      </w:r>
      <w:r w:rsidR="000B07D5">
        <w:rPr>
          <w:rFonts w:ascii="Times New Roman" w:hAnsi="Times New Roman" w:cs="Times New Roman"/>
          <w:sz w:val="24"/>
          <w:szCs w:val="24"/>
        </w:rPr>
        <w:t xml:space="preserve">, </w:t>
      </w:r>
      <w:r w:rsidR="00461AF8">
        <w:rPr>
          <w:rFonts w:ascii="Times New Roman" w:hAnsi="Times New Roman" w:cs="Times New Roman"/>
          <w:sz w:val="24"/>
          <w:szCs w:val="24"/>
        </w:rPr>
        <w:t>is included in Appendix C.</w:t>
      </w:r>
    </w:p>
    <w:p w14:paraId="494E5AA9" w14:textId="77777777" w:rsidR="000A4F7E" w:rsidRDefault="00FD68F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t>
      </w:r>
      <w:r w:rsidR="00DA4B7E" w:rsidRPr="00AE141E">
        <w:rPr>
          <w:rFonts w:ascii="Times New Roman" w:hAnsi="Times New Roman" w:cs="Times New Roman"/>
          <w:sz w:val="24"/>
          <w:szCs w:val="24"/>
        </w:rPr>
        <w:t>HWG</w:t>
      </w:r>
      <w:r w:rsidRPr="00AE141E">
        <w:rPr>
          <w:rFonts w:ascii="Times New Roman" w:hAnsi="Times New Roman" w:cs="Times New Roman"/>
          <w:sz w:val="24"/>
          <w:szCs w:val="24"/>
        </w:rPr>
        <w:t xml:space="preserve">’s new plans </w:t>
      </w:r>
      <w:r w:rsidR="00DA4B7E" w:rsidRPr="00AE141E">
        <w:rPr>
          <w:rFonts w:ascii="Times New Roman" w:hAnsi="Times New Roman" w:cs="Times New Roman"/>
          <w:sz w:val="24"/>
          <w:szCs w:val="24"/>
        </w:rPr>
        <w:t>displayed a genuine attempt to respond to feedback.</w:t>
      </w:r>
      <w:r w:rsidRPr="00AE141E">
        <w:rPr>
          <w:rFonts w:ascii="Times New Roman" w:hAnsi="Times New Roman" w:cs="Times New Roman"/>
          <w:sz w:val="24"/>
          <w:szCs w:val="24"/>
        </w:rPr>
        <w:t xml:space="preserve"> </w:t>
      </w:r>
      <w:r w:rsidR="009045B0">
        <w:rPr>
          <w:rFonts w:ascii="Times New Roman" w:hAnsi="Times New Roman" w:cs="Times New Roman"/>
          <w:sz w:val="24"/>
          <w:szCs w:val="24"/>
        </w:rPr>
        <w:t>Schools</w:t>
      </w:r>
      <w:r w:rsidRPr="00AE141E">
        <w:rPr>
          <w:rFonts w:ascii="Times New Roman" w:hAnsi="Times New Roman" w:cs="Times New Roman"/>
          <w:sz w:val="24"/>
          <w:szCs w:val="24"/>
        </w:rPr>
        <w:t xml:space="preserve"> were given</w:t>
      </w:r>
      <w:r w:rsidR="00AD25D3" w:rsidRPr="00AE141E">
        <w:rPr>
          <w:rFonts w:ascii="Times New Roman" w:hAnsi="Times New Roman" w:cs="Times New Roman"/>
          <w:sz w:val="24"/>
          <w:szCs w:val="24"/>
        </w:rPr>
        <w:t xml:space="preserve"> the opportunity to </w:t>
      </w:r>
      <w:r w:rsidR="00CB5977" w:rsidRPr="00AE141E">
        <w:rPr>
          <w:rFonts w:ascii="Times New Roman" w:hAnsi="Times New Roman" w:cs="Times New Roman"/>
          <w:sz w:val="24"/>
          <w:szCs w:val="24"/>
        </w:rPr>
        <w:t xml:space="preserve">continue </w:t>
      </w:r>
      <w:r w:rsidR="009045B0">
        <w:rPr>
          <w:rFonts w:ascii="Times New Roman" w:hAnsi="Times New Roman" w:cs="Times New Roman"/>
          <w:sz w:val="24"/>
          <w:szCs w:val="24"/>
        </w:rPr>
        <w:t xml:space="preserve">teaching </w:t>
      </w:r>
      <w:r w:rsidR="00CB5977" w:rsidRPr="00AE141E">
        <w:rPr>
          <w:rFonts w:ascii="Times New Roman" w:hAnsi="Times New Roman" w:cs="Times New Roman"/>
          <w:sz w:val="24"/>
          <w:szCs w:val="24"/>
        </w:rPr>
        <w:t xml:space="preserve">the popular </w:t>
      </w:r>
      <w:r w:rsidR="007077CD" w:rsidRPr="00AE141E">
        <w:rPr>
          <w:rFonts w:ascii="Times New Roman" w:hAnsi="Times New Roman" w:cs="Times New Roman"/>
          <w:sz w:val="24"/>
          <w:szCs w:val="24"/>
        </w:rPr>
        <w:t>topic</w:t>
      </w:r>
      <w:r w:rsidR="00CB5977" w:rsidRPr="00AE141E">
        <w:rPr>
          <w:rFonts w:ascii="Times New Roman" w:hAnsi="Times New Roman" w:cs="Times New Roman"/>
          <w:sz w:val="24"/>
          <w:szCs w:val="24"/>
        </w:rPr>
        <w:t xml:space="preserve"> of the Reformation </w:t>
      </w:r>
      <w:r w:rsidRPr="00AE141E">
        <w:rPr>
          <w:rFonts w:ascii="Times New Roman" w:hAnsi="Times New Roman" w:cs="Times New Roman"/>
          <w:sz w:val="24"/>
          <w:szCs w:val="24"/>
        </w:rPr>
        <w:t xml:space="preserve">in a new </w:t>
      </w:r>
      <w:r w:rsidR="00B90EC0" w:rsidRPr="00AE141E">
        <w:rPr>
          <w:rFonts w:ascii="Times New Roman" w:hAnsi="Times New Roman" w:cs="Times New Roman"/>
          <w:sz w:val="24"/>
          <w:szCs w:val="24"/>
        </w:rPr>
        <w:t xml:space="preserve">KS3 </w:t>
      </w:r>
      <w:r w:rsidRPr="00AE141E">
        <w:rPr>
          <w:rFonts w:ascii="Times New Roman" w:hAnsi="Times New Roman" w:cs="Times New Roman"/>
          <w:sz w:val="24"/>
          <w:szCs w:val="24"/>
        </w:rPr>
        <w:t>Unit</w:t>
      </w:r>
      <w:r w:rsidR="009045B0">
        <w:rPr>
          <w:rFonts w:ascii="Times New Roman" w:hAnsi="Times New Roman" w:cs="Times New Roman"/>
          <w:sz w:val="24"/>
          <w:szCs w:val="24"/>
        </w:rPr>
        <w:t xml:space="preserve"> (</w:t>
      </w:r>
      <w:r w:rsidR="00CB5977" w:rsidRPr="00AE141E">
        <w:rPr>
          <w:rFonts w:ascii="Times New Roman" w:hAnsi="Times New Roman" w:cs="Times New Roman"/>
          <w:sz w:val="24"/>
          <w:szCs w:val="24"/>
        </w:rPr>
        <w:t>‘Reformation and Religious Diversity in Western Europe in C16th</w:t>
      </w:r>
      <w:r w:rsidR="00D34EB0" w:rsidRPr="00AE141E">
        <w:rPr>
          <w:rFonts w:ascii="Times New Roman" w:hAnsi="Times New Roman" w:cs="Times New Roman"/>
          <w:sz w:val="24"/>
          <w:szCs w:val="24"/>
        </w:rPr>
        <w:t>’</w:t>
      </w:r>
      <w:r w:rsidR="009045B0">
        <w:rPr>
          <w:rFonts w:ascii="Times New Roman" w:hAnsi="Times New Roman" w:cs="Times New Roman"/>
          <w:sz w:val="24"/>
          <w:szCs w:val="24"/>
        </w:rPr>
        <w:t>)</w:t>
      </w:r>
      <w:r w:rsidR="00CB5977" w:rsidRPr="00AE141E">
        <w:rPr>
          <w:rFonts w:ascii="Times New Roman" w:hAnsi="Times New Roman" w:cs="Times New Roman"/>
          <w:sz w:val="24"/>
          <w:szCs w:val="24"/>
        </w:rPr>
        <w:t>.</w:t>
      </w:r>
      <w:r w:rsidR="00CC4CB0" w:rsidRPr="00AE141E">
        <w:rPr>
          <w:rStyle w:val="FootnoteReference"/>
          <w:rFonts w:ascii="Times New Roman" w:hAnsi="Times New Roman" w:cs="Times New Roman"/>
          <w:sz w:val="24"/>
          <w:szCs w:val="24"/>
        </w:rPr>
        <w:footnoteReference w:id="864"/>
      </w:r>
      <w:r w:rsidR="000B7D58"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At KS4, </w:t>
      </w:r>
      <w:r w:rsidR="00725A57">
        <w:rPr>
          <w:rFonts w:ascii="Times New Roman" w:hAnsi="Times New Roman" w:cs="Times New Roman"/>
          <w:sz w:val="24"/>
          <w:szCs w:val="24"/>
        </w:rPr>
        <w:t xml:space="preserve">the Group </w:t>
      </w:r>
      <w:r w:rsidR="00F721C7">
        <w:rPr>
          <w:rFonts w:ascii="Times New Roman" w:hAnsi="Times New Roman" w:cs="Times New Roman"/>
          <w:sz w:val="24"/>
          <w:szCs w:val="24"/>
        </w:rPr>
        <w:t>answered</w:t>
      </w:r>
      <w:r w:rsidR="00725A57">
        <w:rPr>
          <w:rFonts w:ascii="Times New Roman" w:hAnsi="Times New Roman" w:cs="Times New Roman"/>
          <w:sz w:val="24"/>
          <w:szCs w:val="24"/>
        </w:rPr>
        <w:t xml:space="preserve"> </w:t>
      </w:r>
      <w:r w:rsidR="00B31D60">
        <w:rPr>
          <w:rFonts w:ascii="Times New Roman" w:hAnsi="Times New Roman" w:cs="Times New Roman"/>
          <w:sz w:val="24"/>
          <w:szCs w:val="24"/>
        </w:rPr>
        <w:t>concerns</w:t>
      </w:r>
      <w:r w:rsidRPr="00AE141E">
        <w:rPr>
          <w:rFonts w:ascii="Times New Roman" w:hAnsi="Times New Roman" w:cs="Times New Roman"/>
          <w:sz w:val="24"/>
          <w:szCs w:val="24"/>
        </w:rPr>
        <w:t xml:space="preserve"> </w:t>
      </w:r>
      <w:r w:rsidR="00B31D60">
        <w:rPr>
          <w:rFonts w:ascii="Times New Roman" w:hAnsi="Times New Roman" w:cs="Times New Roman"/>
          <w:sz w:val="24"/>
          <w:szCs w:val="24"/>
        </w:rPr>
        <w:t>regarding</w:t>
      </w:r>
      <w:r w:rsidRPr="00AE141E">
        <w:rPr>
          <w:rFonts w:ascii="Times New Roman" w:hAnsi="Times New Roman" w:cs="Times New Roman"/>
          <w:sz w:val="24"/>
          <w:szCs w:val="24"/>
        </w:rPr>
        <w:t xml:space="preserve"> the inflexibility of previous proposals </w:t>
      </w:r>
      <w:r w:rsidR="00F721C7">
        <w:rPr>
          <w:rFonts w:ascii="Times New Roman" w:hAnsi="Times New Roman" w:cs="Times New Roman"/>
          <w:sz w:val="24"/>
          <w:szCs w:val="24"/>
        </w:rPr>
        <w:t>by introducing</w:t>
      </w:r>
      <w:r w:rsidRPr="00AE141E">
        <w:rPr>
          <w:rFonts w:ascii="Times New Roman" w:hAnsi="Times New Roman" w:cs="Times New Roman"/>
          <w:sz w:val="24"/>
          <w:szCs w:val="24"/>
        </w:rPr>
        <w:t xml:space="preserve"> a </w:t>
      </w:r>
      <w:r w:rsidR="00B31D60">
        <w:rPr>
          <w:rFonts w:ascii="Times New Roman" w:hAnsi="Times New Roman" w:cs="Times New Roman"/>
          <w:sz w:val="24"/>
          <w:szCs w:val="24"/>
        </w:rPr>
        <w:t xml:space="preserve">new </w:t>
      </w:r>
      <w:r w:rsidRPr="00AE141E">
        <w:rPr>
          <w:rFonts w:ascii="Times New Roman" w:hAnsi="Times New Roman" w:cs="Times New Roman"/>
          <w:sz w:val="24"/>
          <w:szCs w:val="24"/>
        </w:rPr>
        <w:t>SDHSU.</w:t>
      </w:r>
      <w:r w:rsidR="0059512F" w:rsidRPr="00AE141E">
        <w:rPr>
          <w:rFonts w:ascii="Times New Roman" w:hAnsi="Times New Roman" w:cs="Times New Roman"/>
          <w:sz w:val="24"/>
          <w:szCs w:val="24"/>
        </w:rPr>
        <w:t xml:space="preserve"> KS4 also featured </w:t>
      </w:r>
      <w:r w:rsidR="00B31D60">
        <w:rPr>
          <w:rFonts w:ascii="Times New Roman" w:hAnsi="Times New Roman" w:cs="Times New Roman"/>
          <w:sz w:val="24"/>
          <w:szCs w:val="24"/>
        </w:rPr>
        <w:t>an increased number of world history</w:t>
      </w:r>
      <w:r w:rsidR="0059512F" w:rsidRPr="00AE141E">
        <w:rPr>
          <w:rFonts w:ascii="Times New Roman" w:hAnsi="Times New Roman" w:cs="Times New Roman"/>
          <w:sz w:val="24"/>
          <w:szCs w:val="24"/>
        </w:rPr>
        <w:t xml:space="preserve"> options, including a Unit specifically focused on African histories (‘Africa South of the Sahara since 1945’). </w:t>
      </w:r>
      <w:r w:rsidRPr="00AE141E">
        <w:rPr>
          <w:rFonts w:ascii="Times New Roman" w:hAnsi="Times New Roman" w:cs="Times New Roman"/>
          <w:sz w:val="24"/>
          <w:szCs w:val="24"/>
        </w:rPr>
        <w:t xml:space="preserve"> </w:t>
      </w:r>
      <w:r w:rsidR="0026209F" w:rsidRPr="00AE141E">
        <w:rPr>
          <w:rFonts w:ascii="Times New Roman" w:hAnsi="Times New Roman" w:cs="Times New Roman"/>
          <w:sz w:val="24"/>
          <w:szCs w:val="24"/>
        </w:rPr>
        <w:t xml:space="preserve">Most importantly, the HWG had increased </w:t>
      </w:r>
      <w:r w:rsidR="00205FA2" w:rsidRPr="00AE141E">
        <w:rPr>
          <w:rFonts w:ascii="Times New Roman" w:hAnsi="Times New Roman" w:cs="Times New Roman"/>
          <w:sz w:val="24"/>
          <w:szCs w:val="24"/>
        </w:rPr>
        <w:t xml:space="preserve">the proportion of British history in line with </w:t>
      </w:r>
      <w:r w:rsidR="00205FA2" w:rsidRPr="00AE141E">
        <w:rPr>
          <w:rFonts w:ascii="Times New Roman" w:hAnsi="Times New Roman" w:cs="Times New Roman"/>
          <w:sz w:val="24"/>
          <w:szCs w:val="24"/>
        </w:rPr>
        <w:lastRenderedPageBreak/>
        <w:t xml:space="preserve">government </w:t>
      </w:r>
      <w:r w:rsidR="00876D69" w:rsidRPr="00AE141E">
        <w:rPr>
          <w:rFonts w:ascii="Times New Roman" w:hAnsi="Times New Roman" w:cs="Times New Roman"/>
          <w:sz w:val="24"/>
          <w:szCs w:val="24"/>
        </w:rPr>
        <w:t xml:space="preserve">demands. </w:t>
      </w:r>
      <w:r w:rsidR="00ED51D6" w:rsidRPr="00AE141E">
        <w:rPr>
          <w:rFonts w:ascii="Times New Roman" w:hAnsi="Times New Roman" w:cs="Times New Roman"/>
          <w:sz w:val="24"/>
          <w:szCs w:val="24"/>
        </w:rPr>
        <w:t>On 13 July 1990,</w:t>
      </w:r>
      <w:r w:rsidR="00876D69" w:rsidRPr="00AE141E">
        <w:rPr>
          <w:rFonts w:ascii="Times New Roman" w:hAnsi="Times New Roman" w:cs="Times New Roman"/>
          <w:sz w:val="24"/>
          <w:szCs w:val="24"/>
        </w:rPr>
        <w:t xml:space="preserve"> MacGregor </w:t>
      </w:r>
      <w:r w:rsidR="007C7890" w:rsidRPr="00AE141E">
        <w:rPr>
          <w:rFonts w:ascii="Times New Roman" w:hAnsi="Times New Roman" w:cs="Times New Roman"/>
          <w:sz w:val="24"/>
          <w:szCs w:val="24"/>
        </w:rPr>
        <w:t>informed Thatcher that the amount of British history, including local history, would in practice now ‘exceed half the syllabus’</w:t>
      </w:r>
      <w:r w:rsidR="00587050" w:rsidRPr="00AE141E">
        <w:rPr>
          <w:rFonts w:ascii="Times New Roman" w:hAnsi="Times New Roman" w:cs="Times New Roman"/>
          <w:sz w:val="24"/>
          <w:szCs w:val="24"/>
        </w:rPr>
        <w:t>.</w:t>
      </w:r>
      <w:r w:rsidR="00436342" w:rsidRPr="00AE141E">
        <w:rPr>
          <w:rStyle w:val="FootnoteReference"/>
          <w:rFonts w:ascii="Times New Roman" w:hAnsi="Times New Roman" w:cs="Times New Roman"/>
          <w:sz w:val="24"/>
          <w:szCs w:val="24"/>
        </w:rPr>
        <w:footnoteReference w:id="865"/>
      </w:r>
      <w:r w:rsidR="000A4F7E">
        <w:rPr>
          <w:rFonts w:ascii="Times New Roman" w:hAnsi="Times New Roman" w:cs="Times New Roman"/>
          <w:sz w:val="24"/>
          <w:szCs w:val="24"/>
        </w:rPr>
        <w:t xml:space="preserve"> </w:t>
      </w:r>
      <w:r w:rsidR="00587050" w:rsidRPr="00AE141E">
        <w:rPr>
          <w:rFonts w:ascii="Times New Roman" w:hAnsi="Times New Roman" w:cs="Times New Roman"/>
          <w:sz w:val="24"/>
          <w:szCs w:val="24"/>
        </w:rPr>
        <w:t xml:space="preserve">The Group’s efforts </w:t>
      </w:r>
      <w:r w:rsidR="009E6916" w:rsidRPr="00AE141E">
        <w:rPr>
          <w:rFonts w:ascii="Times New Roman" w:hAnsi="Times New Roman" w:cs="Times New Roman"/>
          <w:sz w:val="24"/>
          <w:szCs w:val="24"/>
        </w:rPr>
        <w:t xml:space="preserve">in this regard led to some interesting differences in emphasis </w:t>
      </w:r>
      <w:r w:rsidR="00745A0E" w:rsidRPr="00AE141E">
        <w:rPr>
          <w:rFonts w:ascii="Times New Roman" w:hAnsi="Times New Roman" w:cs="Times New Roman"/>
          <w:sz w:val="24"/>
          <w:szCs w:val="24"/>
        </w:rPr>
        <w:t>to the Interim Report.</w:t>
      </w:r>
      <w:r w:rsidR="00265CC8" w:rsidRPr="00AE141E">
        <w:rPr>
          <w:rFonts w:ascii="Times New Roman" w:hAnsi="Times New Roman" w:cs="Times New Roman"/>
          <w:sz w:val="24"/>
          <w:szCs w:val="24"/>
        </w:rPr>
        <w:t xml:space="preserve"> </w:t>
      </w:r>
    </w:p>
    <w:p w14:paraId="3BD2EAC3" w14:textId="4660A953" w:rsidR="005B18F2" w:rsidRDefault="000A4F7E" w:rsidP="00AE141E">
      <w:pPr>
        <w:spacing w:line="360" w:lineRule="auto"/>
        <w:rPr>
          <w:rFonts w:ascii="Times New Roman" w:hAnsi="Times New Roman" w:cs="Times New Roman"/>
          <w:sz w:val="24"/>
          <w:szCs w:val="24"/>
        </w:rPr>
      </w:pPr>
      <w:r>
        <w:rPr>
          <w:rFonts w:ascii="Times New Roman" w:hAnsi="Times New Roman" w:cs="Times New Roman"/>
          <w:sz w:val="24"/>
          <w:szCs w:val="24"/>
        </w:rPr>
        <w:t>The Interim Report’s</w:t>
      </w:r>
      <w:r w:rsidR="00536CBA" w:rsidRPr="00AE141E">
        <w:rPr>
          <w:rFonts w:ascii="Times New Roman" w:hAnsi="Times New Roman" w:cs="Times New Roman"/>
          <w:sz w:val="24"/>
          <w:szCs w:val="24"/>
        </w:rPr>
        <w:t xml:space="preserve"> nuanced approach to Britishness was</w:t>
      </w:r>
      <w:r w:rsidR="00134367" w:rsidRPr="00AE141E">
        <w:rPr>
          <w:rFonts w:ascii="Times New Roman" w:hAnsi="Times New Roman" w:cs="Times New Roman"/>
          <w:sz w:val="24"/>
          <w:szCs w:val="24"/>
        </w:rPr>
        <w:t xml:space="preserve"> reiterated</w:t>
      </w:r>
      <w:r w:rsidR="00C7656B" w:rsidRPr="00AE141E">
        <w:rPr>
          <w:rFonts w:ascii="Times New Roman" w:hAnsi="Times New Roman" w:cs="Times New Roman"/>
          <w:sz w:val="24"/>
          <w:szCs w:val="24"/>
        </w:rPr>
        <w:t>.</w:t>
      </w:r>
      <w:r w:rsidR="00675D40" w:rsidRPr="00AE141E">
        <w:rPr>
          <w:rStyle w:val="FootnoteReference"/>
          <w:rFonts w:ascii="Times New Roman" w:hAnsi="Times New Roman" w:cs="Times New Roman"/>
          <w:sz w:val="24"/>
          <w:szCs w:val="24"/>
        </w:rPr>
        <w:footnoteReference w:id="866"/>
      </w:r>
      <w:r w:rsidR="00C7656B" w:rsidRPr="00AE141E">
        <w:rPr>
          <w:rFonts w:ascii="Times New Roman" w:hAnsi="Times New Roman" w:cs="Times New Roman"/>
          <w:sz w:val="24"/>
          <w:szCs w:val="24"/>
        </w:rPr>
        <w:t xml:space="preserve"> </w:t>
      </w:r>
      <w:r w:rsidR="00B463A3" w:rsidRPr="00AE141E">
        <w:rPr>
          <w:rFonts w:ascii="Times New Roman" w:hAnsi="Times New Roman" w:cs="Times New Roman"/>
          <w:sz w:val="24"/>
          <w:szCs w:val="24"/>
        </w:rPr>
        <w:t xml:space="preserve">As such, the </w:t>
      </w:r>
      <w:r w:rsidR="00647C8D" w:rsidRPr="00AE141E">
        <w:rPr>
          <w:rFonts w:ascii="Times New Roman" w:hAnsi="Times New Roman" w:cs="Times New Roman"/>
          <w:sz w:val="24"/>
          <w:szCs w:val="24"/>
        </w:rPr>
        <w:t>increased emphasis on British history did not</w:t>
      </w:r>
      <w:r w:rsidR="00AF0D90" w:rsidRPr="00AE141E">
        <w:rPr>
          <w:rFonts w:ascii="Times New Roman" w:hAnsi="Times New Roman" w:cs="Times New Roman"/>
          <w:sz w:val="24"/>
          <w:szCs w:val="24"/>
        </w:rPr>
        <w:t xml:space="preserve"> necessarily</w:t>
      </w:r>
      <w:r w:rsidR="00647C8D" w:rsidRPr="00AE141E">
        <w:rPr>
          <w:rFonts w:ascii="Times New Roman" w:hAnsi="Times New Roman" w:cs="Times New Roman"/>
          <w:sz w:val="24"/>
          <w:szCs w:val="24"/>
        </w:rPr>
        <w:t xml:space="preserve"> lead to a</w:t>
      </w:r>
      <w:r w:rsidR="00141CF6" w:rsidRPr="00AE141E">
        <w:rPr>
          <w:rFonts w:ascii="Times New Roman" w:hAnsi="Times New Roman" w:cs="Times New Roman"/>
          <w:sz w:val="24"/>
          <w:szCs w:val="24"/>
        </w:rPr>
        <w:t xml:space="preserve"> simplist</w:t>
      </w:r>
      <w:r w:rsidR="00582027" w:rsidRPr="00AE141E">
        <w:rPr>
          <w:rFonts w:ascii="Times New Roman" w:hAnsi="Times New Roman" w:cs="Times New Roman"/>
          <w:sz w:val="24"/>
          <w:szCs w:val="24"/>
        </w:rPr>
        <w:t xml:space="preserve">ic, </w:t>
      </w:r>
      <w:r w:rsidR="00EB6248" w:rsidRPr="00AE141E">
        <w:rPr>
          <w:rFonts w:ascii="Times New Roman" w:hAnsi="Times New Roman" w:cs="Times New Roman"/>
          <w:sz w:val="24"/>
          <w:szCs w:val="24"/>
        </w:rPr>
        <w:t xml:space="preserve">inward-looking, or jingoistic </w:t>
      </w:r>
      <w:r w:rsidR="009828CE" w:rsidRPr="00AE141E">
        <w:rPr>
          <w:rFonts w:ascii="Times New Roman" w:hAnsi="Times New Roman" w:cs="Times New Roman"/>
          <w:sz w:val="24"/>
          <w:szCs w:val="24"/>
        </w:rPr>
        <w:t xml:space="preserve">narrative of the past. Instead, a flawed yet complex picture </w:t>
      </w:r>
      <w:r w:rsidR="008E3B57" w:rsidRPr="00AE141E">
        <w:rPr>
          <w:rFonts w:ascii="Times New Roman" w:hAnsi="Times New Roman" w:cs="Times New Roman"/>
          <w:sz w:val="24"/>
          <w:szCs w:val="24"/>
        </w:rPr>
        <w:t xml:space="preserve">emerged of imperial entanglement. </w:t>
      </w:r>
      <w:r w:rsidR="00745A0E" w:rsidRPr="00AE141E">
        <w:rPr>
          <w:rFonts w:ascii="Times New Roman" w:hAnsi="Times New Roman" w:cs="Times New Roman"/>
          <w:sz w:val="24"/>
          <w:szCs w:val="24"/>
        </w:rPr>
        <w:t xml:space="preserve"> </w:t>
      </w:r>
      <w:r w:rsidR="005B18F2" w:rsidRPr="00AE141E">
        <w:rPr>
          <w:rFonts w:ascii="Times New Roman" w:hAnsi="Times New Roman" w:cs="Times New Roman"/>
          <w:sz w:val="24"/>
          <w:szCs w:val="24"/>
        </w:rPr>
        <w:t>While the Interim Report had maintained an uncomfortable silence on Irish history, the Final Report presented a new Option Unit focused specifically on Ireland. To recognise the Irish past was to recognise the legacy of empire within the British Isles and to acknowledge the imperial constitution of British identity</w:t>
      </w:r>
      <w:r w:rsidR="005B18F2" w:rsidRPr="00AE141E">
        <w:rPr>
          <w:rFonts w:ascii="Times New Roman" w:hAnsi="Times New Roman" w:cs="Times New Roman"/>
          <w:i/>
          <w:sz w:val="24"/>
          <w:szCs w:val="24"/>
        </w:rPr>
        <w:t xml:space="preserve">. </w:t>
      </w:r>
      <w:r w:rsidR="005B18F2" w:rsidRPr="00AE141E">
        <w:rPr>
          <w:rFonts w:ascii="Times New Roman" w:hAnsi="Times New Roman" w:cs="Times New Roman"/>
          <w:sz w:val="24"/>
          <w:szCs w:val="24"/>
        </w:rPr>
        <w:t>In its description of the new Unit, ‘Culture and Society in Ireland up to Early C20th’, the HWG stepped away from a teleological understanding of history to argue that Ireland’s painful past proved that ‘change’ and ‘progress’ should not be conflated.</w:t>
      </w:r>
      <w:r w:rsidR="005B18F2" w:rsidRPr="00AE141E">
        <w:rPr>
          <w:rStyle w:val="FootnoteReference"/>
          <w:rFonts w:ascii="Times New Roman" w:hAnsi="Times New Roman" w:cs="Times New Roman"/>
          <w:sz w:val="24"/>
          <w:szCs w:val="24"/>
        </w:rPr>
        <w:footnoteReference w:id="867"/>
      </w:r>
      <w:r w:rsidR="005B18F2" w:rsidRPr="00AE141E">
        <w:rPr>
          <w:rFonts w:ascii="Times New Roman" w:hAnsi="Times New Roman" w:cs="Times New Roman"/>
          <w:sz w:val="24"/>
          <w:szCs w:val="24"/>
        </w:rPr>
        <w:t xml:space="preserve"> The ‘essential information’ also gave due attention to Irish resistance to imperial rule. </w:t>
      </w:r>
    </w:p>
    <w:p w14:paraId="19B3C841" w14:textId="3B2359C3" w:rsidR="00970B3E" w:rsidRPr="00AE141E" w:rsidRDefault="004F22D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At KS3, the list of Option Units restored space to the British Empire (‘The British Empire at its Zenith: 1877 to 1905’). The emphasis was to be on British experiences, supplemented by a case study focusing on either India or South Africa</w:t>
      </w:r>
      <w:r w:rsidR="00B26614" w:rsidRPr="00AE141E">
        <w:rPr>
          <w:rFonts w:ascii="Times New Roman" w:hAnsi="Times New Roman" w:cs="Times New Roman"/>
          <w:sz w:val="24"/>
          <w:szCs w:val="24"/>
        </w:rPr>
        <w:t>. T</w:t>
      </w:r>
      <w:r w:rsidRPr="00AE141E">
        <w:rPr>
          <w:rFonts w:ascii="Times New Roman" w:hAnsi="Times New Roman" w:cs="Times New Roman"/>
          <w:sz w:val="24"/>
          <w:szCs w:val="24"/>
        </w:rPr>
        <w:t xml:space="preserve">he ‘essential information’ specified for the </w:t>
      </w:r>
      <w:r w:rsidR="00184FDD">
        <w:rPr>
          <w:rFonts w:ascii="Times New Roman" w:hAnsi="Times New Roman" w:cs="Times New Roman"/>
          <w:sz w:val="24"/>
          <w:szCs w:val="24"/>
        </w:rPr>
        <w:t>U</w:t>
      </w:r>
      <w:r w:rsidRPr="00AE141E">
        <w:rPr>
          <w:rFonts w:ascii="Times New Roman" w:hAnsi="Times New Roman" w:cs="Times New Roman"/>
          <w:sz w:val="24"/>
          <w:szCs w:val="24"/>
        </w:rPr>
        <w:t>nit included both the ‘ideals and responsibilities of empire’ and ‘contemporary criticisms of empire’, as articulated in Britain.</w:t>
      </w:r>
      <w:r w:rsidR="00CB0AE1" w:rsidRPr="00AE141E">
        <w:rPr>
          <w:rStyle w:val="FootnoteReference"/>
          <w:rFonts w:ascii="Times New Roman" w:hAnsi="Times New Roman" w:cs="Times New Roman"/>
          <w:sz w:val="24"/>
          <w:szCs w:val="24"/>
        </w:rPr>
        <w:footnoteReference w:id="868"/>
      </w:r>
      <w:r w:rsidRPr="00AE141E">
        <w:rPr>
          <w:rFonts w:ascii="Times New Roman" w:hAnsi="Times New Roman" w:cs="Times New Roman"/>
          <w:sz w:val="24"/>
          <w:szCs w:val="24"/>
        </w:rPr>
        <w:t xml:space="preserve"> Thus, criticisms of ‘exploitation’ would be appropriately historicised rather than treated as moralistic modern anachronisms.</w:t>
      </w:r>
      <w:r w:rsidR="00AC3BF1">
        <w:rPr>
          <w:rFonts w:ascii="Times New Roman" w:hAnsi="Times New Roman" w:cs="Times New Roman"/>
          <w:sz w:val="24"/>
          <w:szCs w:val="24"/>
        </w:rPr>
        <w:t xml:space="preserve"> </w:t>
      </w:r>
      <w:r w:rsidRPr="00AE141E">
        <w:rPr>
          <w:rFonts w:ascii="Times New Roman" w:hAnsi="Times New Roman" w:cs="Times New Roman"/>
          <w:sz w:val="24"/>
          <w:szCs w:val="24"/>
        </w:rPr>
        <w:t xml:space="preserve">Nevertheless, the </w:t>
      </w:r>
      <w:r w:rsidR="00342BA7">
        <w:rPr>
          <w:rFonts w:ascii="Times New Roman" w:hAnsi="Times New Roman" w:cs="Times New Roman"/>
          <w:sz w:val="24"/>
          <w:szCs w:val="24"/>
        </w:rPr>
        <w:t>U</w:t>
      </w:r>
      <w:r w:rsidRPr="00AE141E">
        <w:rPr>
          <w:rFonts w:ascii="Times New Roman" w:hAnsi="Times New Roman" w:cs="Times New Roman"/>
          <w:sz w:val="24"/>
          <w:szCs w:val="24"/>
        </w:rPr>
        <w:t xml:space="preserve">nit struggled to shake the ‘balance sheet’ framework which had accompanied its early drafts. The ‘costs and benefits of empire to Britain’ were to be studied alongside the ‘transfer of science, technology and expertise’ to the colonies. Listed under the latter </w:t>
      </w:r>
      <w:r w:rsidR="00E942AB">
        <w:rPr>
          <w:rFonts w:ascii="Times New Roman" w:hAnsi="Times New Roman" w:cs="Times New Roman"/>
          <w:sz w:val="24"/>
          <w:szCs w:val="24"/>
        </w:rPr>
        <w:t xml:space="preserve">heading </w:t>
      </w:r>
      <w:r w:rsidRPr="00AE141E">
        <w:rPr>
          <w:rFonts w:ascii="Times New Roman" w:hAnsi="Times New Roman" w:cs="Times New Roman"/>
          <w:sz w:val="24"/>
          <w:szCs w:val="24"/>
        </w:rPr>
        <w:t xml:space="preserve">were the railways and telegraphs; tropical medicine (including the control of </w:t>
      </w:r>
      <w:r w:rsidRPr="00AE141E">
        <w:rPr>
          <w:rFonts w:ascii="Times New Roman" w:hAnsi="Times New Roman" w:cs="Times New Roman"/>
          <w:sz w:val="24"/>
          <w:szCs w:val="24"/>
        </w:rPr>
        <w:lastRenderedPageBreak/>
        <w:t>malaria); and the ecological transfer of cocoa and rubber.</w:t>
      </w:r>
      <w:r w:rsidR="00985FA5">
        <w:rPr>
          <w:rFonts w:ascii="Times New Roman" w:hAnsi="Times New Roman" w:cs="Times New Roman"/>
          <w:sz w:val="24"/>
          <w:szCs w:val="24"/>
        </w:rPr>
        <w:t xml:space="preserve"> The HWG seemed to throw its weight behind a</w:t>
      </w:r>
      <w:r w:rsidR="009B778C">
        <w:rPr>
          <w:rFonts w:ascii="Times New Roman" w:hAnsi="Times New Roman" w:cs="Times New Roman"/>
          <w:sz w:val="24"/>
          <w:szCs w:val="24"/>
        </w:rPr>
        <w:t xml:space="preserve"> self-redemptive</w:t>
      </w:r>
      <w:r w:rsidR="00985FA5">
        <w:rPr>
          <w:rFonts w:ascii="Times New Roman" w:hAnsi="Times New Roman" w:cs="Times New Roman"/>
          <w:sz w:val="24"/>
          <w:szCs w:val="24"/>
        </w:rPr>
        <w:t xml:space="preserve"> </w:t>
      </w:r>
      <w:r w:rsidR="00EF040D">
        <w:rPr>
          <w:rFonts w:ascii="Times New Roman" w:hAnsi="Times New Roman" w:cs="Times New Roman"/>
          <w:sz w:val="24"/>
          <w:szCs w:val="24"/>
        </w:rPr>
        <w:t>vision of</w:t>
      </w:r>
      <w:r w:rsidR="00E8150A">
        <w:rPr>
          <w:rFonts w:ascii="Times New Roman" w:hAnsi="Times New Roman" w:cs="Times New Roman"/>
          <w:sz w:val="24"/>
          <w:szCs w:val="24"/>
        </w:rPr>
        <w:t xml:space="preserve"> British</w:t>
      </w:r>
      <w:r w:rsidR="009B778C">
        <w:rPr>
          <w:rFonts w:ascii="Times New Roman" w:hAnsi="Times New Roman" w:cs="Times New Roman"/>
          <w:sz w:val="24"/>
          <w:szCs w:val="24"/>
        </w:rPr>
        <w:t xml:space="preserve"> imperial history</w:t>
      </w:r>
      <w:r w:rsidR="00E8150A">
        <w:rPr>
          <w:rFonts w:ascii="Times New Roman" w:hAnsi="Times New Roman" w:cs="Times New Roman"/>
          <w:sz w:val="24"/>
          <w:szCs w:val="24"/>
        </w:rPr>
        <w:t>.</w:t>
      </w:r>
    </w:p>
    <w:p w14:paraId="70752A46" w14:textId="77777777" w:rsidR="00ED2309" w:rsidRDefault="0059512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Despite some significant changes,</w:t>
      </w:r>
      <w:r w:rsidR="005964A7" w:rsidRPr="00AE141E">
        <w:rPr>
          <w:rFonts w:ascii="Times New Roman" w:hAnsi="Times New Roman" w:cs="Times New Roman"/>
          <w:sz w:val="24"/>
          <w:szCs w:val="24"/>
        </w:rPr>
        <w:t xml:space="preserve"> there were areas where the Group held their ground. </w:t>
      </w:r>
      <w:r w:rsidR="00A91B2E" w:rsidRPr="00AE141E">
        <w:rPr>
          <w:rFonts w:ascii="Times New Roman" w:hAnsi="Times New Roman" w:cs="Times New Roman"/>
          <w:sz w:val="24"/>
          <w:szCs w:val="24"/>
        </w:rPr>
        <w:t>M</w:t>
      </w:r>
      <w:r w:rsidR="00E87BE2" w:rsidRPr="00AE141E">
        <w:rPr>
          <w:rFonts w:ascii="Times New Roman" w:hAnsi="Times New Roman" w:cs="Times New Roman"/>
          <w:sz w:val="24"/>
          <w:szCs w:val="24"/>
        </w:rPr>
        <w:t xml:space="preserve">embers resisted </w:t>
      </w:r>
      <w:r w:rsidR="00C46BED" w:rsidRPr="00AE141E">
        <w:rPr>
          <w:rFonts w:ascii="Times New Roman" w:hAnsi="Times New Roman" w:cs="Times New Roman"/>
          <w:sz w:val="24"/>
          <w:szCs w:val="24"/>
        </w:rPr>
        <w:t>the</w:t>
      </w:r>
      <w:r w:rsidR="00E87BE2" w:rsidRPr="00AE141E">
        <w:rPr>
          <w:rFonts w:ascii="Times New Roman" w:hAnsi="Times New Roman" w:cs="Times New Roman"/>
          <w:sz w:val="24"/>
          <w:szCs w:val="24"/>
        </w:rPr>
        <w:t xml:space="preserve"> pressure to</w:t>
      </w:r>
      <w:r w:rsidR="00C46BED" w:rsidRPr="00AE141E">
        <w:rPr>
          <w:rFonts w:ascii="Times New Roman" w:hAnsi="Times New Roman" w:cs="Times New Roman"/>
          <w:sz w:val="24"/>
          <w:szCs w:val="24"/>
        </w:rPr>
        <w:t xml:space="preserve"> make the Final Report acceptab</w:t>
      </w:r>
      <w:r w:rsidR="00C1272A" w:rsidRPr="00AE141E">
        <w:rPr>
          <w:rFonts w:ascii="Times New Roman" w:hAnsi="Times New Roman" w:cs="Times New Roman"/>
          <w:sz w:val="24"/>
          <w:szCs w:val="24"/>
        </w:rPr>
        <w:t>le</w:t>
      </w:r>
      <w:r w:rsidR="00C46BED" w:rsidRPr="00AE141E">
        <w:rPr>
          <w:rFonts w:ascii="Times New Roman" w:hAnsi="Times New Roman" w:cs="Times New Roman"/>
          <w:sz w:val="24"/>
          <w:szCs w:val="24"/>
        </w:rPr>
        <w:t xml:space="preserve"> to the government by placing</w:t>
      </w:r>
      <w:r w:rsidR="00E87BE2" w:rsidRPr="00AE141E">
        <w:rPr>
          <w:rFonts w:ascii="Times New Roman" w:hAnsi="Times New Roman" w:cs="Times New Roman"/>
          <w:sz w:val="24"/>
          <w:szCs w:val="24"/>
        </w:rPr>
        <w:t xml:space="preserve"> </w:t>
      </w:r>
      <w:r w:rsidR="00FC5C1C" w:rsidRPr="00AE141E">
        <w:rPr>
          <w:rFonts w:ascii="Times New Roman" w:hAnsi="Times New Roman" w:cs="Times New Roman"/>
          <w:sz w:val="24"/>
          <w:szCs w:val="24"/>
        </w:rPr>
        <w:t>further limit</w:t>
      </w:r>
      <w:r w:rsidR="00C46BED" w:rsidRPr="00AE141E">
        <w:rPr>
          <w:rFonts w:ascii="Times New Roman" w:hAnsi="Times New Roman" w:cs="Times New Roman"/>
          <w:sz w:val="24"/>
          <w:szCs w:val="24"/>
        </w:rPr>
        <w:t>ations on</w:t>
      </w:r>
      <w:r w:rsidR="00FC5C1C" w:rsidRPr="00AE141E">
        <w:rPr>
          <w:rFonts w:ascii="Times New Roman" w:hAnsi="Times New Roman" w:cs="Times New Roman"/>
          <w:sz w:val="24"/>
          <w:szCs w:val="24"/>
        </w:rPr>
        <w:t xml:space="preserve"> teachers’ professional autonomy, or</w:t>
      </w:r>
      <w:r w:rsidR="00A91B2E" w:rsidRPr="00AE141E">
        <w:rPr>
          <w:rFonts w:ascii="Times New Roman" w:hAnsi="Times New Roman" w:cs="Times New Roman"/>
          <w:sz w:val="24"/>
          <w:szCs w:val="24"/>
        </w:rPr>
        <w:t xml:space="preserve"> by</w:t>
      </w:r>
      <w:r w:rsidR="00FC5C1C" w:rsidRPr="00AE141E">
        <w:rPr>
          <w:rFonts w:ascii="Times New Roman" w:hAnsi="Times New Roman" w:cs="Times New Roman"/>
          <w:sz w:val="24"/>
          <w:szCs w:val="24"/>
        </w:rPr>
        <w:t xml:space="preserve"> allow</w:t>
      </w:r>
      <w:r w:rsidR="00C46BED" w:rsidRPr="00AE141E">
        <w:rPr>
          <w:rFonts w:ascii="Times New Roman" w:hAnsi="Times New Roman" w:cs="Times New Roman"/>
          <w:sz w:val="24"/>
          <w:szCs w:val="24"/>
        </w:rPr>
        <w:t>ing</w:t>
      </w:r>
      <w:r w:rsidR="00FC5C1C" w:rsidRPr="00AE141E">
        <w:rPr>
          <w:rFonts w:ascii="Times New Roman" w:hAnsi="Times New Roman" w:cs="Times New Roman"/>
          <w:sz w:val="24"/>
          <w:szCs w:val="24"/>
        </w:rPr>
        <w:t xml:space="preserve"> further erosion of </w:t>
      </w:r>
      <w:r w:rsidR="009E2673" w:rsidRPr="00AE141E">
        <w:rPr>
          <w:rFonts w:ascii="Times New Roman" w:hAnsi="Times New Roman" w:cs="Times New Roman"/>
          <w:sz w:val="24"/>
          <w:szCs w:val="24"/>
        </w:rPr>
        <w:t>non-Western elements of the proposals.</w:t>
      </w:r>
      <w:r w:rsidR="00C11265" w:rsidRPr="00C11265">
        <w:rPr>
          <w:rFonts w:ascii="Times New Roman" w:hAnsi="Times New Roman" w:cs="Times New Roman"/>
          <w:sz w:val="24"/>
          <w:szCs w:val="24"/>
        </w:rPr>
        <w:t xml:space="preserve"> </w:t>
      </w:r>
      <w:r w:rsidR="00C11265" w:rsidRPr="00AE141E">
        <w:rPr>
          <w:rFonts w:ascii="Times New Roman" w:hAnsi="Times New Roman" w:cs="Times New Roman"/>
          <w:sz w:val="24"/>
          <w:szCs w:val="24"/>
        </w:rPr>
        <w:t>Phillips reports that one member was willing to resign over the latter principle.</w:t>
      </w:r>
      <w:r w:rsidR="003A323B" w:rsidRPr="00AE141E">
        <w:rPr>
          <w:rStyle w:val="FootnoteReference"/>
          <w:rFonts w:ascii="Times New Roman" w:hAnsi="Times New Roman" w:cs="Times New Roman"/>
          <w:sz w:val="24"/>
          <w:szCs w:val="24"/>
        </w:rPr>
        <w:footnoteReference w:id="869"/>
      </w:r>
      <w:r w:rsidRPr="00AE141E">
        <w:rPr>
          <w:rFonts w:ascii="Times New Roman" w:hAnsi="Times New Roman" w:cs="Times New Roman"/>
          <w:sz w:val="24"/>
          <w:szCs w:val="24"/>
        </w:rPr>
        <w:t xml:space="preserve"> </w:t>
      </w:r>
      <w:r w:rsidR="00FE4ABF" w:rsidRPr="00AE141E">
        <w:rPr>
          <w:rFonts w:ascii="Times New Roman" w:hAnsi="Times New Roman" w:cs="Times New Roman"/>
          <w:sz w:val="24"/>
          <w:szCs w:val="24"/>
        </w:rPr>
        <w:t>Significantly, t</w:t>
      </w:r>
      <w:r w:rsidR="00E910C6" w:rsidRPr="00AE141E">
        <w:rPr>
          <w:rFonts w:ascii="Times New Roman" w:hAnsi="Times New Roman" w:cs="Times New Roman"/>
          <w:sz w:val="24"/>
          <w:szCs w:val="24"/>
        </w:rPr>
        <w:t>he Group</w:t>
      </w:r>
      <w:r w:rsidR="00FE4ABF" w:rsidRPr="00AE141E">
        <w:rPr>
          <w:rFonts w:ascii="Times New Roman" w:hAnsi="Times New Roman" w:cs="Times New Roman"/>
          <w:sz w:val="24"/>
          <w:szCs w:val="24"/>
        </w:rPr>
        <w:t xml:space="preserve"> also</w:t>
      </w:r>
      <w:r w:rsidR="00E910C6" w:rsidRPr="00AE141E">
        <w:rPr>
          <w:rFonts w:ascii="Times New Roman" w:hAnsi="Times New Roman" w:cs="Times New Roman"/>
          <w:sz w:val="24"/>
          <w:szCs w:val="24"/>
        </w:rPr>
        <w:t xml:space="preserve"> </w:t>
      </w:r>
      <w:r w:rsidR="00C95228" w:rsidRPr="00AE141E">
        <w:rPr>
          <w:rFonts w:ascii="Times New Roman" w:hAnsi="Times New Roman" w:cs="Times New Roman"/>
          <w:sz w:val="24"/>
          <w:szCs w:val="24"/>
        </w:rPr>
        <w:t xml:space="preserve">insisted on </w:t>
      </w:r>
      <w:r w:rsidR="00582027" w:rsidRPr="00AE141E">
        <w:rPr>
          <w:rFonts w:ascii="Times New Roman" w:hAnsi="Times New Roman" w:cs="Times New Roman"/>
          <w:sz w:val="24"/>
          <w:szCs w:val="24"/>
        </w:rPr>
        <w:t xml:space="preserve">maintaining their original </w:t>
      </w:r>
      <w:r w:rsidR="00955A5C" w:rsidRPr="00AE141E">
        <w:rPr>
          <w:rFonts w:ascii="Times New Roman" w:hAnsi="Times New Roman" w:cs="Times New Roman"/>
          <w:sz w:val="24"/>
          <w:szCs w:val="24"/>
        </w:rPr>
        <w:t xml:space="preserve">position </w:t>
      </w:r>
      <w:r w:rsidR="00FB434F" w:rsidRPr="00AE141E">
        <w:rPr>
          <w:rFonts w:ascii="Times New Roman" w:hAnsi="Times New Roman" w:cs="Times New Roman"/>
          <w:sz w:val="24"/>
          <w:szCs w:val="24"/>
        </w:rPr>
        <w:t>on</w:t>
      </w:r>
      <w:r w:rsidR="00071455">
        <w:rPr>
          <w:rFonts w:ascii="Times New Roman" w:hAnsi="Times New Roman" w:cs="Times New Roman"/>
          <w:sz w:val="24"/>
          <w:szCs w:val="24"/>
        </w:rPr>
        <w:t xml:space="preserve"> the testing of</w:t>
      </w:r>
      <w:r w:rsidR="00FB434F" w:rsidRPr="00AE141E">
        <w:rPr>
          <w:rFonts w:ascii="Times New Roman" w:hAnsi="Times New Roman" w:cs="Times New Roman"/>
          <w:sz w:val="24"/>
          <w:szCs w:val="24"/>
        </w:rPr>
        <w:t xml:space="preserve"> </w:t>
      </w:r>
      <w:r w:rsidR="00ED3DD2" w:rsidRPr="00AE141E">
        <w:rPr>
          <w:rFonts w:ascii="Times New Roman" w:hAnsi="Times New Roman" w:cs="Times New Roman"/>
          <w:sz w:val="24"/>
          <w:szCs w:val="24"/>
        </w:rPr>
        <w:t xml:space="preserve">knowledge, </w:t>
      </w:r>
      <w:r w:rsidR="00734846" w:rsidRPr="00AE141E">
        <w:rPr>
          <w:rFonts w:ascii="Times New Roman" w:hAnsi="Times New Roman" w:cs="Times New Roman"/>
          <w:sz w:val="24"/>
          <w:szCs w:val="24"/>
        </w:rPr>
        <w:t xml:space="preserve">in </w:t>
      </w:r>
      <w:r w:rsidR="00FE4ABF" w:rsidRPr="00AE141E">
        <w:rPr>
          <w:rFonts w:ascii="Times New Roman" w:hAnsi="Times New Roman" w:cs="Times New Roman"/>
          <w:sz w:val="24"/>
          <w:szCs w:val="24"/>
        </w:rPr>
        <w:t xml:space="preserve">defiance of </w:t>
      </w:r>
      <w:r w:rsidR="00DA1A12" w:rsidRPr="00AE141E">
        <w:rPr>
          <w:rFonts w:ascii="Times New Roman" w:hAnsi="Times New Roman" w:cs="Times New Roman"/>
          <w:sz w:val="24"/>
          <w:szCs w:val="24"/>
        </w:rPr>
        <w:t>governmental opinion</w:t>
      </w:r>
      <w:r w:rsidR="00FB434F" w:rsidRPr="00AE141E">
        <w:rPr>
          <w:rFonts w:ascii="Times New Roman" w:hAnsi="Times New Roman" w:cs="Times New Roman"/>
          <w:sz w:val="24"/>
          <w:szCs w:val="24"/>
        </w:rPr>
        <w:t xml:space="preserve">. </w:t>
      </w:r>
      <w:r w:rsidR="00667B13" w:rsidRPr="00AE141E">
        <w:rPr>
          <w:rFonts w:ascii="Times New Roman" w:hAnsi="Times New Roman" w:cs="Times New Roman"/>
          <w:sz w:val="24"/>
          <w:szCs w:val="24"/>
        </w:rPr>
        <w:t>The Final Report aimed to give e</w:t>
      </w:r>
      <w:r w:rsidR="006058C1" w:rsidRPr="00AE141E">
        <w:rPr>
          <w:rFonts w:ascii="Times New Roman" w:hAnsi="Times New Roman" w:cs="Times New Roman"/>
          <w:sz w:val="24"/>
          <w:szCs w:val="24"/>
        </w:rPr>
        <w:t xml:space="preserve">qual weight to </w:t>
      </w:r>
      <w:r w:rsidR="003D0451" w:rsidRPr="00AE141E">
        <w:rPr>
          <w:rFonts w:ascii="Times New Roman" w:hAnsi="Times New Roman" w:cs="Times New Roman"/>
          <w:sz w:val="24"/>
          <w:szCs w:val="24"/>
        </w:rPr>
        <w:t>‘</w:t>
      </w:r>
      <w:r w:rsidR="006058C1" w:rsidRPr="00AE141E">
        <w:rPr>
          <w:rFonts w:ascii="Times New Roman" w:hAnsi="Times New Roman" w:cs="Times New Roman"/>
          <w:sz w:val="24"/>
          <w:szCs w:val="24"/>
        </w:rPr>
        <w:t>knowledge, understanding and skills</w:t>
      </w:r>
      <w:r w:rsidR="00667B13" w:rsidRPr="00AE141E">
        <w:rPr>
          <w:rFonts w:ascii="Times New Roman" w:hAnsi="Times New Roman" w:cs="Times New Roman"/>
          <w:sz w:val="24"/>
          <w:szCs w:val="24"/>
        </w:rPr>
        <w:t>’ as mutually reinforcing components of a historical education</w:t>
      </w:r>
      <w:r w:rsidR="003D0451" w:rsidRPr="00AE141E">
        <w:rPr>
          <w:rFonts w:ascii="Times New Roman" w:hAnsi="Times New Roman" w:cs="Times New Roman"/>
          <w:sz w:val="24"/>
          <w:szCs w:val="24"/>
        </w:rPr>
        <w:t>; as the Report argued, ‘k</w:t>
      </w:r>
      <w:r w:rsidR="00D80E3D" w:rsidRPr="00AE141E">
        <w:rPr>
          <w:rFonts w:ascii="Times New Roman" w:hAnsi="Times New Roman" w:cs="Times New Roman"/>
          <w:sz w:val="24"/>
          <w:szCs w:val="24"/>
        </w:rPr>
        <w:t>nowledge as understanding cannot be achieved without a knowledge of historical information</w:t>
      </w:r>
      <w:r w:rsidR="003D0451" w:rsidRPr="00AE141E">
        <w:rPr>
          <w:rFonts w:ascii="Times New Roman" w:hAnsi="Times New Roman" w:cs="Times New Roman"/>
          <w:sz w:val="24"/>
          <w:szCs w:val="24"/>
        </w:rPr>
        <w:t>’.</w:t>
      </w:r>
      <w:r w:rsidR="006232FF" w:rsidRPr="00AE141E">
        <w:rPr>
          <w:rStyle w:val="FootnoteReference"/>
          <w:rFonts w:ascii="Times New Roman" w:hAnsi="Times New Roman" w:cs="Times New Roman"/>
          <w:sz w:val="24"/>
          <w:szCs w:val="24"/>
        </w:rPr>
        <w:footnoteReference w:id="870"/>
      </w:r>
      <w:r w:rsidR="003D0451" w:rsidRPr="00AE141E">
        <w:rPr>
          <w:rFonts w:ascii="Times New Roman" w:hAnsi="Times New Roman" w:cs="Times New Roman"/>
          <w:sz w:val="24"/>
          <w:szCs w:val="24"/>
        </w:rPr>
        <w:t xml:space="preserve"> </w:t>
      </w:r>
      <w:r w:rsidR="00912E35" w:rsidRPr="00AE141E">
        <w:rPr>
          <w:rFonts w:ascii="Times New Roman" w:hAnsi="Times New Roman" w:cs="Times New Roman"/>
          <w:sz w:val="24"/>
          <w:szCs w:val="24"/>
        </w:rPr>
        <w:t xml:space="preserve">The HWG added that </w:t>
      </w:r>
      <w:r w:rsidR="00D538FE" w:rsidRPr="00AE141E">
        <w:rPr>
          <w:rFonts w:ascii="Times New Roman" w:hAnsi="Times New Roman" w:cs="Times New Roman"/>
          <w:sz w:val="24"/>
          <w:szCs w:val="24"/>
        </w:rPr>
        <w:t>they had no intention of taking sides in the debate between tradition</w:t>
      </w:r>
      <w:r w:rsidR="007E2873" w:rsidRPr="00AE141E">
        <w:rPr>
          <w:rFonts w:ascii="Times New Roman" w:hAnsi="Times New Roman" w:cs="Times New Roman"/>
          <w:sz w:val="24"/>
          <w:szCs w:val="24"/>
        </w:rPr>
        <w:t>al teaching and the ‘</w:t>
      </w:r>
      <w:r w:rsidR="00A17280" w:rsidRPr="00AE141E">
        <w:rPr>
          <w:rFonts w:ascii="Times New Roman" w:hAnsi="Times New Roman" w:cs="Times New Roman"/>
          <w:sz w:val="24"/>
          <w:szCs w:val="24"/>
        </w:rPr>
        <w:t>n</w:t>
      </w:r>
      <w:r w:rsidR="007E2873" w:rsidRPr="00AE141E">
        <w:rPr>
          <w:rFonts w:ascii="Times New Roman" w:hAnsi="Times New Roman" w:cs="Times New Roman"/>
          <w:sz w:val="24"/>
          <w:szCs w:val="24"/>
        </w:rPr>
        <w:t xml:space="preserve">ew </w:t>
      </w:r>
      <w:r w:rsidR="00A17280" w:rsidRPr="00AE141E">
        <w:rPr>
          <w:rFonts w:ascii="Times New Roman" w:hAnsi="Times New Roman" w:cs="Times New Roman"/>
          <w:sz w:val="24"/>
          <w:szCs w:val="24"/>
        </w:rPr>
        <w:t>h</w:t>
      </w:r>
      <w:r w:rsidR="007E2873" w:rsidRPr="00AE141E">
        <w:rPr>
          <w:rFonts w:ascii="Times New Roman" w:hAnsi="Times New Roman" w:cs="Times New Roman"/>
          <w:sz w:val="24"/>
          <w:szCs w:val="24"/>
        </w:rPr>
        <w:t xml:space="preserve">istory’ – a debate which </w:t>
      </w:r>
      <w:r w:rsidR="00071455">
        <w:rPr>
          <w:rFonts w:ascii="Times New Roman" w:hAnsi="Times New Roman" w:cs="Times New Roman"/>
          <w:sz w:val="24"/>
          <w:szCs w:val="24"/>
        </w:rPr>
        <w:t>they described as</w:t>
      </w:r>
      <w:r w:rsidR="007E2873" w:rsidRPr="00AE141E">
        <w:rPr>
          <w:rFonts w:ascii="Times New Roman" w:hAnsi="Times New Roman" w:cs="Times New Roman"/>
          <w:sz w:val="24"/>
          <w:szCs w:val="24"/>
        </w:rPr>
        <w:t xml:space="preserve"> ‘contrived’ and ‘exaggerated’.</w:t>
      </w:r>
      <w:r w:rsidR="00E744AB" w:rsidRPr="00AE141E">
        <w:rPr>
          <w:rStyle w:val="FootnoteReference"/>
          <w:rFonts w:ascii="Times New Roman" w:hAnsi="Times New Roman" w:cs="Times New Roman"/>
          <w:sz w:val="24"/>
          <w:szCs w:val="24"/>
        </w:rPr>
        <w:footnoteReference w:id="871"/>
      </w:r>
      <w:r w:rsidR="007E2873" w:rsidRPr="00AE141E">
        <w:rPr>
          <w:rFonts w:ascii="Times New Roman" w:hAnsi="Times New Roman" w:cs="Times New Roman"/>
          <w:sz w:val="24"/>
          <w:szCs w:val="24"/>
        </w:rPr>
        <w:t xml:space="preserve"> </w:t>
      </w:r>
    </w:p>
    <w:p w14:paraId="26A89823" w14:textId="7FAAF4FE" w:rsidR="00D80E3D" w:rsidRDefault="00F16C8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practical terms, </w:t>
      </w:r>
      <w:r w:rsidR="00A910A3" w:rsidRPr="00AE141E">
        <w:rPr>
          <w:rFonts w:ascii="Times New Roman" w:hAnsi="Times New Roman" w:cs="Times New Roman"/>
          <w:sz w:val="24"/>
          <w:szCs w:val="24"/>
        </w:rPr>
        <w:t>this meant an emphasis on the study of factual content</w:t>
      </w:r>
      <w:r w:rsidR="005212FF" w:rsidRPr="00AE141E">
        <w:rPr>
          <w:rFonts w:ascii="Times New Roman" w:hAnsi="Times New Roman" w:cs="Times New Roman"/>
          <w:sz w:val="24"/>
          <w:szCs w:val="24"/>
        </w:rPr>
        <w:t xml:space="preserve">, contained within the ‘essential information’ of each Programme of Study, </w:t>
      </w:r>
      <w:r w:rsidR="00581016">
        <w:rPr>
          <w:rFonts w:ascii="Times New Roman" w:hAnsi="Times New Roman" w:cs="Times New Roman"/>
          <w:sz w:val="24"/>
          <w:szCs w:val="24"/>
        </w:rPr>
        <w:t>and</w:t>
      </w:r>
      <w:r w:rsidR="005212FF" w:rsidRPr="00AE141E">
        <w:rPr>
          <w:rFonts w:ascii="Times New Roman" w:hAnsi="Times New Roman" w:cs="Times New Roman"/>
          <w:sz w:val="24"/>
          <w:szCs w:val="24"/>
        </w:rPr>
        <w:t xml:space="preserve"> the continued exclusion of knowledge from ATs.</w:t>
      </w:r>
      <w:r w:rsidR="00CF2BB2" w:rsidRPr="00AE141E">
        <w:rPr>
          <w:rFonts w:ascii="Times New Roman" w:hAnsi="Times New Roman" w:cs="Times New Roman"/>
          <w:sz w:val="24"/>
          <w:szCs w:val="24"/>
        </w:rPr>
        <w:t xml:space="preserve"> </w:t>
      </w:r>
      <w:r w:rsidR="00995A4C" w:rsidRPr="00AE141E">
        <w:rPr>
          <w:rFonts w:ascii="Times New Roman" w:hAnsi="Times New Roman" w:cs="Times New Roman"/>
          <w:sz w:val="24"/>
          <w:szCs w:val="24"/>
        </w:rPr>
        <w:t xml:space="preserve">As before, the </w:t>
      </w:r>
      <w:r w:rsidR="00ED2309">
        <w:rPr>
          <w:rFonts w:ascii="Times New Roman" w:hAnsi="Times New Roman" w:cs="Times New Roman"/>
          <w:sz w:val="24"/>
          <w:szCs w:val="24"/>
        </w:rPr>
        <w:t>HWG</w:t>
      </w:r>
      <w:r w:rsidR="00995A4C" w:rsidRPr="00AE141E">
        <w:rPr>
          <w:rFonts w:ascii="Times New Roman" w:hAnsi="Times New Roman" w:cs="Times New Roman"/>
          <w:sz w:val="24"/>
          <w:szCs w:val="24"/>
        </w:rPr>
        <w:t xml:space="preserve"> argued that the levelling of historical information</w:t>
      </w:r>
      <w:r w:rsidR="00772A70" w:rsidRPr="00AE141E">
        <w:rPr>
          <w:rFonts w:ascii="Times New Roman" w:hAnsi="Times New Roman" w:cs="Times New Roman"/>
          <w:sz w:val="24"/>
          <w:szCs w:val="24"/>
        </w:rPr>
        <w:t xml:space="preserve"> rested on the absurd premise that one fact or period was inherently more difficult than another.</w:t>
      </w:r>
      <w:r w:rsidR="00F90273" w:rsidRPr="00AE141E">
        <w:rPr>
          <w:rStyle w:val="FootnoteReference"/>
          <w:rFonts w:ascii="Times New Roman" w:hAnsi="Times New Roman" w:cs="Times New Roman"/>
          <w:sz w:val="24"/>
          <w:szCs w:val="24"/>
        </w:rPr>
        <w:footnoteReference w:id="872"/>
      </w:r>
      <w:r w:rsidR="0072367A" w:rsidRPr="00AE141E">
        <w:rPr>
          <w:rFonts w:ascii="Times New Roman" w:hAnsi="Times New Roman" w:cs="Times New Roman"/>
          <w:sz w:val="24"/>
          <w:szCs w:val="24"/>
        </w:rPr>
        <w:t xml:space="preserve"> To make such value judgements was to invite controversy and to run the risk that the resulting curriculum </w:t>
      </w:r>
      <w:r w:rsidR="00FB44E9" w:rsidRPr="00AE141E">
        <w:rPr>
          <w:rFonts w:ascii="Times New Roman" w:hAnsi="Times New Roman" w:cs="Times New Roman"/>
          <w:sz w:val="24"/>
          <w:szCs w:val="24"/>
        </w:rPr>
        <w:t>would be seen as a step towards a</w:t>
      </w:r>
      <w:r w:rsidR="00D36EE4" w:rsidRPr="00AE141E">
        <w:rPr>
          <w:rFonts w:ascii="Times New Roman" w:hAnsi="Times New Roman" w:cs="Times New Roman"/>
          <w:sz w:val="24"/>
          <w:szCs w:val="24"/>
        </w:rPr>
        <w:t xml:space="preserve"> calcified</w:t>
      </w:r>
      <w:r w:rsidR="00FB44E9" w:rsidRPr="00AE141E">
        <w:rPr>
          <w:rFonts w:ascii="Times New Roman" w:hAnsi="Times New Roman" w:cs="Times New Roman"/>
          <w:sz w:val="24"/>
          <w:szCs w:val="24"/>
        </w:rPr>
        <w:t xml:space="preserve"> ‘official history’. </w:t>
      </w:r>
      <w:r w:rsidR="00406E60" w:rsidRPr="00AE141E">
        <w:rPr>
          <w:rFonts w:ascii="Times New Roman" w:hAnsi="Times New Roman" w:cs="Times New Roman"/>
          <w:sz w:val="24"/>
          <w:szCs w:val="24"/>
        </w:rPr>
        <w:t xml:space="preserve">The existence of multiple ‘levels’ </w:t>
      </w:r>
      <w:r w:rsidR="00D61717" w:rsidRPr="00AE141E">
        <w:rPr>
          <w:rFonts w:ascii="Times New Roman" w:hAnsi="Times New Roman" w:cs="Times New Roman"/>
          <w:sz w:val="24"/>
          <w:szCs w:val="24"/>
        </w:rPr>
        <w:t xml:space="preserve">of ability </w:t>
      </w:r>
      <w:r w:rsidR="00406E60" w:rsidRPr="00AE141E">
        <w:rPr>
          <w:rFonts w:ascii="Times New Roman" w:hAnsi="Times New Roman" w:cs="Times New Roman"/>
          <w:sz w:val="24"/>
          <w:szCs w:val="24"/>
        </w:rPr>
        <w:t xml:space="preserve">within a single class </w:t>
      </w:r>
      <w:r w:rsidR="00D61717" w:rsidRPr="00AE141E">
        <w:rPr>
          <w:rFonts w:ascii="Times New Roman" w:hAnsi="Times New Roman" w:cs="Times New Roman"/>
          <w:sz w:val="24"/>
          <w:szCs w:val="24"/>
        </w:rPr>
        <w:t xml:space="preserve">could also lead to teachers being forced to deliver multiple historical periods simultaneously. </w:t>
      </w:r>
    </w:p>
    <w:p w14:paraId="37286182" w14:textId="75D23623" w:rsidR="007F3E6D" w:rsidRPr="007F3E6D" w:rsidRDefault="007F3E6D" w:rsidP="00AE141E">
      <w:pPr>
        <w:spacing w:line="360" w:lineRule="auto"/>
        <w:rPr>
          <w:rFonts w:ascii="Times New Roman" w:hAnsi="Times New Roman" w:cs="Times New Roman"/>
          <w:b/>
          <w:bCs/>
          <w:sz w:val="24"/>
          <w:szCs w:val="24"/>
        </w:rPr>
      </w:pPr>
      <w:r>
        <w:rPr>
          <w:rFonts w:ascii="Times New Roman" w:hAnsi="Times New Roman" w:cs="Times New Roman"/>
          <w:b/>
          <w:bCs/>
          <w:sz w:val="24"/>
          <w:szCs w:val="24"/>
        </w:rPr>
        <w:t>Responses to the Final Report</w:t>
      </w:r>
    </w:p>
    <w:p w14:paraId="3CB2DDC1" w14:textId="4A5168CB" w:rsidR="00C04379" w:rsidRPr="00AE141E" w:rsidRDefault="0062704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Knowledge</w:t>
      </w:r>
      <w:r w:rsidR="00043ED2" w:rsidRPr="00AE141E">
        <w:rPr>
          <w:rFonts w:ascii="Times New Roman" w:hAnsi="Times New Roman" w:cs="Times New Roman"/>
          <w:sz w:val="24"/>
          <w:szCs w:val="24"/>
        </w:rPr>
        <w:t xml:space="preserve"> remained a point of contention with the government</w:t>
      </w:r>
      <w:r w:rsidR="00C44D48">
        <w:rPr>
          <w:rFonts w:ascii="Times New Roman" w:hAnsi="Times New Roman" w:cs="Times New Roman"/>
          <w:sz w:val="24"/>
          <w:szCs w:val="24"/>
        </w:rPr>
        <w:t xml:space="preserve">. </w:t>
      </w:r>
      <w:r w:rsidR="00A5036B" w:rsidRPr="00AE141E">
        <w:rPr>
          <w:rFonts w:ascii="Times New Roman" w:hAnsi="Times New Roman" w:cs="Times New Roman"/>
          <w:sz w:val="24"/>
          <w:szCs w:val="24"/>
        </w:rPr>
        <w:t>MacGregor</w:t>
      </w:r>
      <w:r w:rsidR="00C44D48">
        <w:rPr>
          <w:rFonts w:ascii="Times New Roman" w:hAnsi="Times New Roman" w:cs="Times New Roman"/>
          <w:sz w:val="24"/>
          <w:szCs w:val="24"/>
        </w:rPr>
        <w:t xml:space="preserve"> displayed an</w:t>
      </w:r>
      <w:r w:rsidR="00A5036B" w:rsidRPr="00AE141E">
        <w:rPr>
          <w:rFonts w:ascii="Times New Roman" w:hAnsi="Times New Roman" w:cs="Times New Roman"/>
          <w:sz w:val="24"/>
          <w:szCs w:val="24"/>
        </w:rPr>
        <w:t xml:space="preserve"> initial hesitancy to endorse the conclusions of the Final Report.</w:t>
      </w:r>
      <w:r w:rsidR="003415A6" w:rsidRPr="00AE141E">
        <w:rPr>
          <w:rFonts w:ascii="Times New Roman" w:hAnsi="Times New Roman" w:cs="Times New Roman"/>
          <w:sz w:val="24"/>
          <w:szCs w:val="24"/>
        </w:rPr>
        <w:t xml:space="preserve"> On </w:t>
      </w:r>
      <w:r w:rsidR="00967645" w:rsidRPr="00AE141E">
        <w:rPr>
          <w:rFonts w:ascii="Times New Roman" w:hAnsi="Times New Roman" w:cs="Times New Roman"/>
          <w:sz w:val="24"/>
          <w:szCs w:val="24"/>
        </w:rPr>
        <w:t xml:space="preserve">30 March, </w:t>
      </w:r>
      <w:r w:rsidR="00967645" w:rsidRPr="00AE141E">
        <w:rPr>
          <w:rFonts w:ascii="Times New Roman" w:hAnsi="Times New Roman" w:cs="Times New Roman"/>
          <w:i/>
          <w:sz w:val="24"/>
          <w:szCs w:val="24"/>
        </w:rPr>
        <w:t xml:space="preserve">The Times Educational Supplement </w:t>
      </w:r>
      <w:r w:rsidR="00695813" w:rsidRPr="00AE141E">
        <w:rPr>
          <w:rFonts w:ascii="Times New Roman" w:hAnsi="Times New Roman" w:cs="Times New Roman"/>
          <w:sz w:val="24"/>
          <w:szCs w:val="24"/>
        </w:rPr>
        <w:t xml:space="preserve">(TES) </w:t>
      </w:r>
      <w:r w:rsidR="007335D6" w:rsidRPr="00AE141E">
        <w:rPr>
          <w:rFonts w:ascii="Times New Roman" w:hAnsi="Times New Roman" w:cs="Times New Roman"/>
          <w:sz w:val="24"/>
          <w:szCs w:val="24"/>
        </w:rPr>
        <w:t xml:space="preserve">broke a story detailing Thatcher’s continued dissatisfaction </w:t>
      </w:r>
      <w:r w:rsidR="007335D6" w:rsidRPr="00AE141E">
        <w:rPr>
          <w:rFonts w:ascii="Times New Roman" w:hAnsi="Times New Roman" w:cs="Times New Roman"/>
          <w:sz w:val="24"/>
          <w:szCs w:val="24"/>
        </w:rPr>
        <w:lastRenderedPageBreak/>
        <w:t>with the HWG’s approach to ‘factual information’</w:t>
      </w:r>
      <w:r w:rsidR="00B97F36" w:rsidRPr="00AE141E">
        <w:rPr>
          <w:rFonts w:ascii="Times New Roman" w:hAnsi="Times New Roman" w:cs="Times New Roman"/>
          <w:sz w:val="24"/>
          <w:szCs w:val="24"/>
        </w:rPr>
        <w:t>.</w:t>
      </w:r>
      <w:r w:rsidR="00332E3D" w:rsidRPr="00AE141E">
        <w:rPr>
          <w:rStyle w:val="FootnoteReference"/>
          <w:rFonts w:ascii="Times New Roman" w:hAnsi="Times New Roman" w:cs="Times New Roman"/>
          <w:sz w:val="24"/>
          <w:szCs w:val="24"/>
        </w:rPr>
        <w:footnoteReference w:id="873"/>
      </w:r>
      <w:r w:rsidR="008B4638" w:rsidRPr="00AE141E">
        <w:rPr>
          <w:rFonts w:ascii="Times New Roman" w:hAnsi="Times New Roman" w:cs="Times New Roman"/>
          <w:sz w:val="24"/>
          <w:szCs w:val="24"/>
        </w:rPr>
        <w:t xml:space="preserve"> The New Right once again mobilised.</w:t>
      </w:r>
      <w:r w:rsidR="000A4089" w:rsidRPr="00AE141E">
        <w:rPr>
          <w:rFonts w:ascii="Times New Roman" w:hAnsi="Times New Roman" w:cs="Times New Roman"/>
          <w:sz w:val="24"/>
          <w:szCs w:val="24"/>
        </w:rPr>
        <w:t xml:space="preserve"> Skidelsky, for example, described the Final Report as an improvement on its predecessor</w:t>
      </w:r>
      <w:r w:rsidR="002E18A5">
        <w:rPr>
          <w:rFonts w:ascii="Times New Roman" w:hAnsi="Times New Roman" w:cs="Times New Roman"/>
          <w:sz w:val="24"/>
          <w:szCs w:val="24"/>
        </w:rPr>
        <w:t>,</w:t>
      </w:r>
      <w:r w:rsidR="00411A01" w:rsidRPr="00AE141E">
        <w:rPr>
          <w:rFonts w:ascii="Times New Roman" w:hAnsi="Times New Roman" w:cs="Times New Roman"/>
          <w:sz w:val="24"/>
          <w:szCs w:val="24"/>
        </w:rPr>
        <w:t xml:space="preserve"> but </w:t>
      </w:r>
      <w:r w:rsidR="00571661">
        <w:rPr>
          <w:rFonts w:ascii="Times New Roman" w:hAnsi="Times New Roman" w:cs="Times New Roman"/>
          <w:sz w:val="24"/>
          <w:szCs w:val="24"/>
        </w:rPr>
        <w:t>argued that</w:t>
      </w:r>
      <w:r w:rsidR="00411A01" w:rsidRPr="00AE141E">
        <w:rPr>
          <w:rFonts w:ascii="Times New Roman" w:hAnsi="Times New Roman" w:cs="Times New Roman"/>
          <w:sz w:val="24"/>
          <w:szCs w:val="24"/>
        </w:rPr>
        <w:t xml:space="preserve"> it remain</w:t>
      </w:r>
      <w:r w:rsidR="00571661">
        <w:rPr>
          <w:rFonts w:ascii="Times New Roman" w:hAnsi="Times New Roman" w:cs="Times New Roman"/>
          <w:sz w:val="24"/>
          <w:szCs w:val="24"/>
        </w:rPr>
        <w:t>ed</w:t>
      </w:r>
      <w:r w:rsidR="00411A01" w:rsidRPr="00AE141E">
        <w:rPr>
          <w:rFonts w:ascii="Times New Roman" w:hAnsi="Times New Roman" w:cs="Times New Roman"/>
          <w:sz w:val="24"/>
          <w:szCs w:val="24"/>
        </w:rPr>
        <w:t xml:space="preserve"> ‘biased against knowledge’.</w:t>
      </w:r>
      <w:r w:rsidR="00651329" w:rsidRPr="00AE141E">
        <w:rPr>
          <w:rStyle w:val="FootnoteReference"/>
          <w:rFonts w:ascii="Times New Roman" w:hAnsi="Times New Roman" w:cs="Times New Roman"/>
          <w:sz w:val="24"/>
          <w:szCs w:val="24"/>
        </w:rPr>
        <w:footnoteReference w:id="874"/>
      </w:r>
      <w:r w:rsidR="00713591" w:rsidRPr="00AE141E">
        <w:rPr>
          <w:rFonts w:ascii="Times New Roman" w:hAnsi="Times New Roman" w:cs="Times New Roman"/>
          <w:sz w:val="24"/>
          <w:szCs w:val="24"/>
        </w:rPr>
        <w:t xml:space="preserve"> In concert with other academics, and </w:t>
      </w:r>
      <w:r w:rsidR="00351038">
        <w:rPr>
          <w:rFonts w:ascii="Times New Roman" w:hAnsi="Times New Roman" w:cs="Times New Roman"/>
          <w:sz w:val="24"/>
          <w:szCs w:val="24"/>
        </w:rPr>
        <w:t xml:space="preserve">alongside </w:t>
      </w:r>
      <w:r w:rsidR="00713591" w:rsidRPr="00AE141E">
        <w:rPr>
          <w:rFonts w:ascii="Times New Roman" w:hAnsi="Times New Roman" w:cs="Times New Roman"/>
          <w:sz w:val="24"/>
          <w:szCs w:val="24"/>
        </w:rPr>
        <w:t>the former Lewes Priory history teachers</w:t>
      </w:r>
      <w:r w:rsidR="00EC4B27" w:rsidRPr="00AE141E">
        <w:rPr>
          <w:rFonts w:ascii="Times New Roman" w:hAnsi="Times New Roman" w:cs="Times New Roman"/>
          <w:sz w:val="24"/>
          <w:szCs w:val="24"/>
        </w:rPr>
        <w:t xml:space="preserve"> Freeman and McGovern, </w:t>
      </w:r>
      <w:r w:rsidR="00142C9F" w:rsidRPr="00AE141E">
        <w:rPr>
          <w:rFonts w:ascii="Times New Roman" w:hAnsi="Times New Roman" w:cs="Times New Roman"/>
          <w:sz w:val="24"/>
          <w:szCs w:val="24"/>
        </w:rPr>
        <w:t xml:space="preserve">he formed the History Curriculum Association (HCA) – a group dedicated to </w:t>
      </w:r>
      <w:r w:rsidR="00C04379" w:rsidRPr="00AE141E">
        <w:rPr>
          <w:rFonts w:ascii="Times New Roman" w:hAnsi="Times New Roman" w:cs="Times New Roman"/>
          <w:sz w:val="24"/>
          <w:szCs w:val="24"/>
        </w:rPr>
        <w:t>campaigning for the inclusion of a knowledge AT.</w:t>
      </w:r>
      <w:r w:rsidR="00C04379" w:rsidRPr="00AE141E">
        <w:rPr>
          <w:rStyle w:val="FootnoteReference"/>
          <w:rFonts w:ascii="Times New Roman" w:hAnsi="Times New Roman" w:cs="Times New Roman"/>
          <w:sz w:val="24"/>
          <w:szCs w:val="24"/>
        </w:rPr>
        <w:footnoteReference w:id="875"/>
      </w:r>
    </w:p>
    <w:p w14:paraId="66AC609A" w14:textId="77777777" w:rsidR="00EC6AAC" w:rsidRDefault="00891F3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On 4 April, the day after the Report’s publication, Thatcher gave an interview to t</w:t>
      </w:r>
      <w:r w:rsidR="008B4638" w:rsidRPr="00AE141E">
        <w:rPr>
          <w:rFonts w:ascii="Times New Roman" w:hAnsi="Times New Roman" w:cs="Times New Roman"/>
          <w:sz w:val="24"/>
          <w:szCs w:val="24"/>
        </w:rPr>
        <w:t xml:space="preserve">he </w:t>
      </w:r>
      <w:r w:rsidR="008B4638" w:rsidRPr="00AE141E">
        <w:rPr>
          <w:rFonts w:ascii="Times New Roman" w:hAnsi="Times New Roman" w:cs="Times New Roman"/>
          <w:i/>
          <w:sz w:val="24"/>
          <w:szCs w:val="24"/>
        </w:rPr>
        <w:t xml:space="preserve">Sunday Telegraph </w:t>
      </w:r>
      <w:r w:rsidR="008B4638" w:rsidRPr="00AE141E">
        <w:rPr>
          <w:rFonts w:ascii="Times New Roman" w:hAnsi="Times New Roman" w:cs="Times New Roman"/>
          <w:sz w:val="24"/>
          <w:szCs w:val="24"/>
        </w:rPr>
        <w:t xml:space="preserve">which </w:t>
      </w:r>
      <w:r w:rsidR="00BD218F" w:rsidRPr="00AE141E">
        <w:rPr>
          <w:rFonts w:ascii="Times New Roman" w:hAnsi="Times New Roman" w:cs="Times New Roman"/>
          <w:sz w:val="24"/>
          <w:szCs w:val="24"/>
        </w:rPr>
        <w:t>reiterated her stance on historical knowledge. S</w:t>
      </w:r>
      <w:r w:rsidR="002E18A5">
        <w:rPr>
          <w:rFonts w:ascii="Times New Roman" w:hAnsi="Times New Roman" w:cs="Times New Roman"/>
          <w:sz w:val="24"/>
          <w:szCs w:val="24"/>
        </w:rPr>
        <w:t>he argued that s</w:t>
      </w:r>
      <w:r w:rsidR="00BD218F" w:rsidRPr="00AE141E">
        <w:rPr>
          <w:rFonts w:ascii="Times New Roman" w:hAnsi="Times New Roman" w:cs="Times New Roman"/>
          <w:sz w:val="24"/>
          <w:szCs w:val="24"/>
        </w:rPr>
        <w:t>tudents must leave school with a strong</w:t>
      </w:r>
      <w:r w:rsidR="00003940" w:rsidRPr="00AE141E">
        <w:rPr>
          <w:rFonts w:ascii="Times New Roman" w:hAnsi="Times New Roman" w:cs="Times New Roman"/>
          <w:sz w:val="24"/>
          <w:szCs w:val="24"/>
        </w:rPr>
        <w:t>, chronological grasp of British history: ‘whether it is the reigns, whether it is the treaties, whether it is the repeal of the Corn Laws […] you must have some facts to think with’</w:t>
      </w:r>
      <w:r w:rsidR="009E0DD9">
        <w:rPr>
          <w:rFonts w:ascii="Times New Roman" w:hAnsi="Times New Roman" w:cs="Times New Roman"/>
          <w:sz w:val="24"/>
          <w:szCs w:val="24"/>
        </w:rPr>
        <w:t>.</w:t>
      </w:r>
      <w:r w:rsidR="00003940" w:rsidRPr="00AE141E">
        <w:rPr>
          <w:rStyle w:val="FootnoteReference"/>
          <w:rFonts w:ascii="Times New Roman" w:hAnsi="Times New Roman" w:cs="Times New Roman"/>
          <w:sz w:val="24"/>
          <w:szCs w:val="24"/>
        </w:rPr>
        <w:footnoteReference w:id="876"/>
      </w:r>
      <w:r w:rsidR="003119ED" w:rsidRPr="00AE141E">
        <w:rPr>
          <w:rFonts w:ascii="Times New Roman" w:hAnsi="Times New Roman" w:cs="Times New Roman"/>
          <w:sz w:val="24"/>
          <w:szCs w:val="24"/>
        </w:rPr>
        <w:t xml:space="preserve"> Yet the article also </w:t>
      </w:r>
      <w:r w:rsidR="00A009AE" w:rsidRPr="00AE141E">
        <w:rPr>
          <w:rFonts w:ascii="Times New Roman" w:hAnsi="Times New Roman" w:cs="Times New Roman"/>
          <w:sz w:val="24"/>
          <w:szCs w:val="24"/>
        </w:rPr>
        <w:t xml:space="preserve">offered a more surprising basis for </w:t>
      </w:r>
      <w:r w:rsidR="003119ED" w:rsidRPr="00AE141E">
        <w:rPr>
          <w:rFonts w:ascii="Times New Roman" w:hAnsi="Times New Roman" w:cs="Times New Roman"/>
          <w:sz w:val="24"/>
          <w:szCs w:val="24"/>
        </w:rPr>
        <w:t>the Prime Minister’s</w:t>
      </w:r>
      <w:r w:rsidR="00A009AE" w:rsidRPr="00AE141E">
        <w:rPr>
          <w:rFonts w:ascii="Times New Roman" w:hAnsi="Times New Roman" w:cs="Times New Roman"/>
          <w:sz w:val="24"/>
          <w:szCs w:val="24"/>
        </w:rPr>
        <w:t xml:space="preserve"> opposition: the Report, she believed, was too prescriptive.</w:t>
      </w:r>
      <w:r w:rsidR="008F5DDA" w:rsidRPr="00AE141E">
        <w:rPr>
          <w:rFonts w:ascii="Times New Roman" w:hAnsi="Times New Roman" w:cs="Times New Roman"/>
          <w:sz w:val="24"/>
          <w:szCs w:val="24"/>
        </w:rPr>
        <w:t xml:space="preserve"> In Thatcher’s eyes,</w:t>
      </w:r>
      <w:r w:rsidR="004314B7" w:rsidRPr="00AE141E">
        <w:rPr>
          <w:rFonts w:ascii="Times New Roman" w:hAnsi="Times New Roman" w:cs="Times New Roman"/>
          <w:sz w:val="24"/>
          <w:szCs w:val="24"/>
        </w:rPr>
        <w:t xml:space="preserve"> the </w:t>
      </w:r>
      <w:r w:rsidR="00CB353B" w:rsidRPr="00AE141E">
        <w:rPr>
          <w:rFonts w:ascii="Times New Roman" w:hAnsi="Times New Roman" w:cs="Times New Roman"/>
          <w:sz w:val="24"/>
          <w:szCs w:val="24"/>
        </w:rPr>
        <w:t>cur</w:t>
      </w:r>
      <w:r w:rsidR="00C21F80" w:rsidRPr="00AE141E">
        <w:rPr>
          <w:rFonts w:ascii="Times New Roman" w:hAnsi="Times New Roman" w:cs="Times New Roman"/>
          <w:sz w:val="24"/>
          <w:szCs w:val="24"/>
        </w:rPr>
        <w:t>riculum</w:t>
      </w:r>
      <w:r w:rsidR="004314B7" w:rsidRPr="00AE141E">
        <w:rPr>
          <w:rFonts w:ascii="Times New Roman" w:hAnsi="Times New Roman" w:cs="Times New Roman"/>
          <w:sz w:val="24"/>
          <w:szCs w:val="24"/>
        </w:rPr>
        <w:t xml:space="preserve"> must specify ‘a basic certain number of things</w:t>
      </w:r>
      <w:r w:rsidR="00CB353B" w:rsidRPr="00AE141E">
        <w:rPr>
          <w:rFonts w:ascii="Times New Roman" w:hAnsi="Times New Roman" w:cs="Times New Roman"/>
          <w:sz w:val="24"/>
          <w:szCs w:val="24"/>
        </w:rPr>
        <w:t>, the basic sweep of [British</w:t>
      </w:r>
      <w:r w:rsidR="00C21F80" w:rsidRPr="00AE141E">
        <w:rPr>
          <w:rFonts w:ascii="Times New Roman" w:hAnsi="Times New Roman" w:cs="Times New Roman"/>
          <w:sz w:val="24"/>
          <w:szCs w:val="24"/>
        </w:rPr>
        <w:t xml:space="preserve"> history</w:t>
      </w:r>
      <w:r w:rsidR="00CB353B" w:rsidRPr="00AE141E">
        <w:rPr>
          <w:rFonts w:ascii="Times New Roman" w:hAnsi="Times New Roman" w:cs="Times New Roman"/>
          <w:sz w:val="24"/>
          <w:szCs w:val="24"/>
        </w:rPr>
        <w:t>]</w:t>
      </w:r>
      <w:r w:rsidR="004314B7" w:rsidRPr="00AE141E">
        <w:rPr>
          <w:rFonts w:ascii="Times New Roman" w:hAnsi="Times New Roman" w:cs="Times New Roman"/>
          <w:sz w:val="24"/>
          <w:szCs w:val="24"/>
        </w:rPr>
        <w:t>’</w:t>
      </w:r>
      <w:r w:rsidR="00C21F80" w:rsidRPr="00AE141E">
        <w:rPr>
          <w:rFonts w:ascii="Times New Roman" w:hAnsi="Times New Roman" w:cs="Times New Roman"/>
          <w:sz w:val="24"/>
          <w:szCs w:val="24"/>
        </w:rPr>
        <w:t xml:space="preserve"> </w:t>
      </w:r>
      <w:r w:rsidR="00C13549">
        <w:rPr>
          <w:rFonts w:ascii="Times New Roman" w:hAnsi="Times New Roman" w:cs="Times New Roman"/>
          <w:sz w:val="24"/>
          <w:szCs w:val="24"/>
        </w:rPr>
        <w:t>–</w:t>
      </w:r>
      <w:r w:rsidR="00C21F80" w:rsidRPr="00AE141E">
        <w:rPr>
          <w:rFonts w:ascii="Times New Roman" w:hAnsi="Times New Roman" w:cs="Times New Roman"/>
          <w:sz w:val="24"/>
          <w:szCs w:val="24"/>
        </w:rPr>
        <w:t xml:space="preserve"> </w:t>
      </w:r>
      <w:r w:rsidR="004314B7" w:rsidRPr="00AE141E">
        <w:rPr>
          <w:rFonts w:ascii="Times New Roman" w:hAnsi="Times New Roman" w:cs="Times New Roman"/>
          <w:sz w:val="24"/>
          <w:szCs w:val="24"/>
        </w:rPr>
        <w:t>a</w:t>
      </w:r>
      <w:r w:rsidR="00C13549">
        <w:rPr>
          <w:rFonts w:ascii="Times New Roman" w:hAnsi="Times New Roman" w:cs="Times New Roman"/>
          <w:sz w:val="24"/>
          <w:szCs w:val="24"/>
        </w:rPr>
        <w:t xml:space="preserve"> </w:t>
      </w:r>
      <w:r w:rsidR="004314B7" w:rsidRPr="00AE141E">
        <w:rPr>
          <w:rFonts w:ascii="Times New Roman" w:hAnsi="Times New Roman" w:cs="Times New Roman"/>
          <w:sz w:val="24"/>
          <w:szCs w:val="24"/>
        </w:rPr>
        <w:t>minimum core of content</w:t>
      </w:r>
      <w:r w:rsidR="00C21F80" w:rsidRPr="00AE141E">
        <w:rPr>
          <w:rFonts w:ascii="Times New Roman" w:hAnsi="Times New Roman" w:cs="Times New Roman"/>
          <w:sz w:val="24"/>
          <w:szCs w:val="24"/>
        </w:rPr>
        <w:t xml:space="preserve">. </w:t>
      </w:r>
      <w:r w:rsidR="0067657F" w:rsidRPr="00AE141E">
        <w:rPr>
          <w:rFonts w:ascii="Times New Roman" w:hAnsi="Times New Roman" w:cs="Times New Roman"/>
          <w:sz w:val="24"/>
          <w:szCs w:val="24"/>
        </w:rPr>
        <w:t xml:space="preserve"> Beyond this, however, teachers should be left to their own devices. Otherwise, the government would risk crushing the creative autonomy that made </w:t>
      </w:r>
      <w:r w:rsidR="004D11F5" w:rsidRPr="00AE141E">
        <w:rPr>
          <w:rFonts w:ascii="Times New Roman" w:hAnsi="Times New Roman" w:cs="Times New Roman"/>
          <w:sz w:val="24"/>
          <w:szCs w:val="24"/>
        </w:rPr>
        <w:t>subjects exciting and inspiring.</w:t>
      </w:r>
      <w:r w:rsidR="0061741D" w:rsidRPr="00AE141E">
        <w:rPr>
          <w:rFonts w:ascii="Times New Roman" w:hAnsi="Times New Roman" w:cs="Times New Roman"/>
          <w:sz w:val="24"/>
          <w:szCs w:val="24"/>
        </w:rPr>
        <w:t xml:space="preserve"> </w:t>
      </w:r>
      <w:r w:rsidR="00634488" w:rsidRPr="00AE141E">
        <w:rPr>
          <w:rFonts w:ascii="Times New Roman" w:hAnsi="Times New Roman" w:cs="Times New Roman"/>
          <w:sz w:val="24"/>
          <w:szCs w:val="24"/>
        </w:rPr>
        <w:t xml:space="preserve">Thatcher, it seemed, </w:t>
      </w:r>
      <w:r w:rsidR="00183D57" w:rsidRPr="00AE141E">
        <w:rPr>
          <w:rFonts w:ascii="Times New Roman" w:hAnsi="Times New Roman" w:cs="Times New Roman"/>
          <w:sz w:val="24"/>
          <w:szCs w:val="24"/>
        </w:rPr>
        <w:t>wanted the impossible: a</w:t>
      </w:r>
      <w:r w:rsidR="00F42837" w:rsidRPr="00AE141E">
        <w:rPr>
          <w:rFonts w:ascii="Times New Roman" w:hAnsi="Times New Roman" w:cs="Times New Roman"/>
          <w:sz w:val="24"/>
          <w:szCs w:val="24"/>
        </w:rPr>
        <w:t xml:space="preserve"> set list of content, bordering on an official history, which nevertheless preserved the </w:t>
      </w:r>
      <w:r w:rsidR="00EC6AAC">
        <w:rPr>
          <w:rFonts w:ascii="Times New Roman" w:hAnsi="Times New Roman" w:cs="Times New Roman"/>
          <w:sz w:val="24"/>
          <w:szCs w:val="24"/>
        </w:rPr>
        <w:t xml:space="preserve">traditional </w:t>
      </w:r>
      <w:r w:rsidR="00006A03" w:rsidRPr="00AE141E">
        <w:rPr>
          <w:rFonts w:ascii="Times New Roman" w:hAnsi="Times New Roman" w:cs="Times New Roman"/>
          <w:sz w:val="24"/>
          <w:szCs w:val="24"/>
        </w:rPr>
        <w:t>professional pre</w:t>
      </w:r>
      <w:r w:rsidR="005D09B8" w:rsidRPr="00AE141E">
        <w:rPr>
          <w:rFonts w:ascii="Times New Roman" w:hAnsi="Times New Roman" w:cs="Times New Roman"/>
          <w:sz w:val="24"/>
          <w:szCs w:val="24"/>
        </w:rPr>
        <w:t>rogatives</w:t>
      </w:r>
      <w:r w:rsidR="00F42837" w:rsidRPr="00AE141E">
        <w:rPr>
          <w:rFonts w:ascii="Times New Roman" w:hAnsi="Times New Roman" w:cs="Times New Roman"/>
          <w:sz w:val="24"/>
          <w:szCs w:val="24"/>
        </w:rPr>
        <w:t xml:space="preserve"> of British educators. </w:t>
      </w:r>
    </w:p>
    <w:p w14:paraId="080757B2" w14:textId="723BEF45" w:rsidR="00A274BF" w:rsidRPr="00AE141E" w:rsidRDefault="00DF304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As Phillips has argued, the contradiction in her argument points to a wider tension between the principles of neo-liberalism and neo-</w:t>
      </w:r>
      <w:r w:rsidR="00DE44EE">
        <w:rPr>
          <w:rFonts w:ascii="Times New Roman" w:hAnsi="Times New Roman" w:cs="Times New Roman"/>
          <w:sz w:val="24"/>
          <w:szCs w:val="24"/>
        </w:rPr>
        <w:t>conservatism</w:t>
      </w:r>
      <w:r w:rsidR="00006A03" w:rsidRPr="00AE141E">
        <w:rPr>
          <w:rFonts w:ascii="Times New Roman" w:hAnsi="Times New Roman" w:cs="Times New Roman"/>
          <w:sz w:val="24"/>
          <w:szCs w:val="24"/>
        </w:rPr>
        <w:t>: an appetite for social control</w:t>
      </w:r>
      <w:r w:rsidR="005D09B8" w:rsidRPr="00AE141E">
        <w:rPr>
          <w:rFonts w:ascii="Times New Roman" w:hAnsi="Times New Roman" w:cs="Times New Roman"/>
          <w:sz w:val="24"/>
          <w:szCs w:val="24"/>
        </w:rPr>
        <w:t xml:space="preserve"> here came into conflict with </w:t>
      </w:r>
      <w:r w:rsidR="002D2348" w:rsidRPr="00AE141E">
        <w:rPr>
          <w:rFonts w:ascii="Times New Roman" w:hAnsi="Times New Roman" w:cs="Times New Roman"/>
          <w:sz w:val="24"/>
          <w:szCs w:val="24"/>
        </w:rPr>
        <w:t>the principle of freedom.</w:t>
      </w:r>
      <w:r w:rsidR="00721433" w:rsidRPr="00AE141E">
        <w:rPr>
          <w:rStyle w:val="FootnoteReference"/>
          <w:rFonts w:ascii="Times New Roman" w:hAnsi="Times New Roman" w:cs="Times New Roman"/>
          <w:sz w:val="24"/>
          <w:szCs w:val="24"/>
        </w:rPr>
        <w:footnoteReference w:id="877"/>
      </w:r>
      <w:r w:rsidR="00A274BF" w:rsidRPr="00AE141E">
        <w:rPr>
          <w:rFonts w:ascii="Times New Roman" w:hAnsi="Times New Roman" w:cs="Times New Roman"/>
          <w:sz w:val="24"/>
          <w:szCs w:val="24"/>
        </w:rPr>
        <w:t xml:space="preserve"> Thatcher was </w:t>
      </w:r>
      <w:r w:rsidR="00292BE5" w:rsidRPr="00AE141E">
        <w:rPr>
          <w:rFonts w:ascii="Times New Roman" w:hAnsi="Times New Roman" w:cs="Times New Roman"/>
          <w:sz w:val="24"/>
          <w:szCs w:val="24"/>
        </w:rPr>
        <w:t>far from</w:t>
      </w:r>
      <w:r w:rsidR="00A274BF" w:rsidRPr="00AE141E">
        <w:rPr>
          <w:rFonts w:ascii="Times New Roman" w:hAnsi="Times New Roman" w:cs="Times New Roman"/>
          <w:sz w:val="24"/>
          <w:szCs w:val="24"/>
        </w:rPr>
        <w:t xml:space="preserve"> the only member of the</w:t>
      </w:r>
      <w:r w:rsidR="00292BE5" w:rsidRPr="00AE141E">
        <w:rPr>
          <w:rFonts w:ascii="Times New Roman" w:hAnsi="Times New Roman" w:cs="Times New Roman"/>
          <w:sz w:val="24"/>
          <w:szCs w:val="24"/>
        </w:rPr>
        <w:t xml:space="preserve"> diverse</w:t>
      </w:r>
      <w:r w:rsidR="00A274BF" w:rsidRPr="00AE141E">
        <w:rPr>
          <w:rFonts w:ascii="Times New Roman" w:hAnsi="Times New Roman" w:cs="Times New Roman"/>
          <w:sz w:val="24"/>
          <w:szCs w:val="24"/>
        </w:rPr>
        <w:t xml:space="preserve"> political constellation of the New Right</w:t>
      </w:r>
      <w:r w:rsidR="00292BE5" w:rsidRPr="00AE141E">
        <w:rPr>
          <w:rFonts w:ascii="Times New Roman" w:hAnsi="Times New Roman" w:cs="Times New Roman"/>
          <w:sz w:val="24"/>
          <w:szCs w:val="24"/>
        </w:rPr>
        <w:t xml:space="preserve"> </w:t>
      </w:r>
      <w:r w:rsidR="005E2156" w:rsidRPr="00AE141E">
        <w:rPr>
          <w:rFonts w:ascii="Times New Roman" w:hAnsi="Times New Roman" w:cs="Times New Roman"/>
          <w:sz w:val="24"/>
          <w:szCs w:val="24"/>
        </w:rPr>
        <w:t xml:space="preserve">to become disillusioned with </w:t>
      </w:r>
      <w:r w:rsidR="00F02C42" w:rsidRPr="00AE141E">
        <w:rPr>
          <w:rFonts w:ascii="Times New Roman" w:hAnsi="Times New Roman" w:cs="Times New Roman"/>
          <w:sz w:val="24"/>
          <w:szCs w:val="24"/>
        </w:rPr>
        <w:t xml:space="preserve">the fraught balancing act of the National Curriculum. Fred Naylor, of PACE and Dewsbury fame, </w:t>
      </w:r>
      <w:r w:rsidR="00C32A1B" w:rsidRPr="00AE141E">
        <w:rPr>
          <w:rFonts w:ascii="Times New Roman" w:hAnsi="Times New Roman" w:cs="Times New Roman"/>
          <w:sz w:val="24"/>
          <w:szCs w:val="24"/>
        </w:rPr>
        <w:lastRenderedPageBreak/>
        <w:t xml:space="preserve">wrote that ERA’s good intentions – the raising of educational standards – were cancelled out by </w:t>
      </w:r>
      <w:r w:rsidR="00156F47" w:rsidRPr="00AE141E">
        <w:rPr>
          <w:rFonts w:ascii="Times New Roman" w:hAnsi="Times New Roman" w:cs="Times New Roman"/>
          <w:sz w:val="24"/>
          <w:szCs w:val="24"/>
        </w:rPr>
        <w:t xml:space="preserve">the sacrifice of ‘parental choice’ </w:t>
      </w:r>
      <w:r w:rsidR="00585031" w:rsidRPr="00AE141E">
        <w:rPr>
          <w:rFonts w:ascii="Times New Roman" w:hAnsi="Times New Roman" w:cs="Times New Roman"/>
          <w:sz w:val="24"/>
          <w:szCs w:val="24"/>
        </w:rPr>
        <w:t>through centralist prescription.</w:t>
      </w:r>
      <w:r w:rsidR="00585031" w:rsidRPr="00AE141E">
        <w:rPr>
          <w:rStyle w:val="FootnoteReference"/>
          <w:rFonts w:ascii="Times New Roman" w:hAnsi="Times New Roman" w:cs="Times New Roman"/>
          <w:sz w:val="24"/>
          <w:szCs w:val="24"/>
        </w:rPr>
        <w:footnoteReference w:id="878"/>
      </w:r>
    </w:p>
    <w:p w14:paraId="2E69B451" w14:textId="61889B5B" w:rsidR="00FD3A44" w:rsidRPr="00AE141E" w:rsidRDefault="002D234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Final Report had always been intended to </w:t>
      </w:r>
      <w:r w:rsidR="00FD3A44" w:rsidRPr="00AE141E">
        <w:rPr>
          <w:rFonts w:ascii="Times New Roman" w:hAnsi="Times New Roman" w:cs="Times New Roman"/>
          <w:sz w:val="24"/>
          <w:szCs w:val="24"/>
        </w:rPr>
        <w:t>go out to consultation</w:t>
      </w:r>
      <w:r w:rsidR="00D43A08">
        <w:rPr>
          <w:rFonts w:ascii="Times New Roman" w:hAnsi="Times New Roman" w:cs="Times New Roman"/>
          <w:sz w:val="24"/>
          <w:szCs w:val="24"/>
        </w:rPr>
        <w:t>, under the auspices of</w:t>
      </w:r>
      <w:r w:rsidR="00C06F05" w:rsidRPr="00AE141E">
        <w:rPr>
          <w:rFonts w:ascii="Times New Roman" w:hAnsi="Times New Roman" w:cs="Times New Roman"/>
          <w:sz w:val="24"/>
          <w:szCs w:val="24"/>
        </w:rPr>
        <w:t xml:space="preserve"> </w:t>
      </w:r>
      <w:r w:rsidR="00D43A08">
        <w:rPr>
          <w:rFonts w:ascii="Times New Roman" w:hAnsi="Times New Roman" w:cs="Times New Roman"/>
          <w:sz w:val="24"/>
          <w:szCs w:val="24"/>
        </w:rPr>
        <w:t>a dedicated body</w:t>
      </w:r>
      <w:r w:rsidR="00FD3A44" w:rsidRPr="00AE141E">
        <w:rPr>
          <w:rFonts w:ascii="Times New Roman" w:hAnsi="Times New Roman" w:cs="Times New Roman"/>
          <w:sz w:val="24"/>
          <w:szCs w:val="24"/>
        </w:rPr>
        <w:t xml:space="preserve"> </w:t>
      </w:r>
      <w:r w:rsidR="00D43A08">
        <w:rPr>
          <w:rFonts w:ascii="Times New Roman" w:hAnsi="Times New Roman" w:cs="Times New Roman"/>
          <w:sz w:val="24"/>
          <w:szCs w:val="24"/>
        </w:rPr>
        <w:t xml:space="preserve">(the </w:t>
      </w:r>
      <w:r w:rsidR="00FD3A44" w:rsidRPr="00AE141E">
        <w:rPr>
          <w:rFonts w:ascii="Times New Roman" w:hAnsi="Times New Roman" w:cs="Times New Roman"/>
          <w:sz w:val="24"/>
          <w:szCs w:val="24"/>
        </w:rPr>
        <w:t>National Curriculum Council</w:t>
      </w:r>
      <w:r w:rsidR="00C97EE7">
        <w:rPr>
          <w:rFonts w:ascii="Times New Roman" w:hAnsi="Times New Roman" w:cs="Times New Roman"/>
          <w:sz w:val="24"/>
          <w:szCs w:val="24"/>
        </w:rPr>
        <w:t>, or NCC</w:t>
      </w:r>
      <w:r w:rsidR="00D43A08">
        <w:rPr>
          <w:rFonts w:ascii="Times New Roman" w:hAnsi="Times New Roman" w:cs="Times New Roman"/>
          <w:sz w:val="24"/>
          <w:szCs w:val="24"/>
        </w:rPr>
        <w:t>)</w:t>
      </w:r>
      <w:r w:rsidR="00C06F05" w:rsidRPr="00AE141E">
        <w:rPr>
          <w:rFonts w:ascii="Times New Roman" w:hAnsi="Times New Roman" w:cs="Times New Roman"/>
          <w:sz w:val="24"/>
          <w:szCs w:val="24"/>
        </w:rPr>
        <w:t xml:space="preserve">. However, </w:t>
      </w:r>
      <w:r w:rsidR="000134F7" w:rsidRPr="00AE141E">
        <w:rPr>
          <w:rFonts w:ascii="Times New Roman" w:hAnsi="Times New Roman" w:cs="Times New Roman"/>
          <w:sz w:val="24"/>
          <w:szCs w:val="24"/>
        </w:rPr>
        <w:t xml:space="preserve">governmental unease led to </w:t>
      </w:r>
      <w:r w:rsidR="00072596" w:rsidRPr="00AE141E">
        <w:rPr>
          <w:rFonts w:ascii="Times New Roman" w:hAnsi="Times New Roman" w:cs="Times New Roman"/>
          <w:sz w:val="24"/>
          <w:szCs w:val="24"/>
        </w:rPr>
        <w:t>t</w:t>
      </w:r>
      <w:r w:rsidR="00FD3A44" w:rsidRPr="00AE141E">
        <w:rPr>
          <w:rFonts w:ascii="Times New Roman" w:hAnsi="Times New Roman" w:cs="Times New Roman"/>
          <w:sz w:val="24"/>
          <w:szCs w:val="24"/>
        </w:rPr>
        <w:t>he</w:t>
      </w:r>
      <w:r w:rsidR="000134F7" w:rsidRPr="00AE141E">
        <w:rPr>
          <w:rFonts w:ascii="Times New Roman" w:hAnsi="Times New Roman" w:cs="Times New Roman"/>
          <w:sz w:val="24"/>
          <w:szCs w:val="24"/>
        </w:rPr>
        <w:t xml:space="preserve"> addition of an extra period of consultation</w:t>
      </w:r>
      <w:r w:rsidR="001D5C12" w:rsidRPr="00AE141E">
        <w:rPr>
          <w:rFonts w:ascii="Times New Roman" w:hAnsi="Times New Roman" w:cs="Times New Roman"/>
          <w:sz w:val="24"/>
          <w:szCs w:val="24"/>
        </w:rPr>
        <w:t>.</w:t>
      </w:r>
      <w:r w:rsidR="0057222A" w:rsidRPr="00AE141E">
        <w:rPr>
          <w:rStyle w:val="FootnoteReference"/>
          <w:rFonts w:ascii="Times New Roman" w:hAnsi="Times New Roman" w:cs="Times New Roman"/>
          <w:sz w:val="24"/>
          <w:szCs w:val="24"/>
        </w:rPr>
        <w:footnoteReference w:id="879"/>
      </w:r>
      <w:r w:rsidR="00FD3A44" w:rsidRPr="00AE141E">
        <w:rPr>
          <w:rFonts w:ascii="Times New Roman" w:hAnsi="Times New Roman" w:cs="Times New Roman"/>
          <w:sz w:val="24"/>
          <w:szCs w:val="24"/>
        </w:rPr>
        <w:t xml:space="preserve"> </w:t>
      </w:r>
      <w:r w:rsidR="00386625" w:rsidRPr="00AE141E">
        <w:rPr>
          <w:rFonts w:ascii="Times New Roman" w:hAnsi="Times New Roman" w:cs="Times New Roman"/>
          <w:sz w:val="24"/>
          <w:szCs w:val="24"/>
        </w:rPr>
        <w:t>C</w:t>
      </w:r>
      <w:r w:rsidR="00FD3A44" w:rsidRPr="00AE141E">
        <w:rPr>
          <w:rFonts w:ascii="Times New Roman" w:hAnsi="Times New Roman" w:cs="Times New Roman"/>
          <w:sz w:val="24"/>
          <w:szCs w:val="24"/>
        </w:rPr>
        <w:t xml:space="preserve">omments </w:t>
      </w:r>
      <w:r w:rsidR="00386625" w:rsidRPr="00AE141E">
        <w:rPr>
          <w:rFonts w:ascii="Times New Roman" w:hAnsi="Times New Roman" w:cs="Times New Roman"/>
          <w:sz w:val="24"/>
          <w:szCs w:val="24"/>
        </w:rPr>
        <w:t>were</w:t>
      </w:r>
      <w:r w:rsidR="00C51A07" w:rsidRPr="00AE141E">
        <w:rPr>
          <w:rFonts w:ascii="Times New Roman" w:hAnsi="Times New Roman" w:cs="Times New Roman"/>
          <w:sz w:val="24"/>
          <w:szCs w:val="24"/>
        </w:rPr>
        <w:t xml:space="preserve"> invited from </w:t>
      </w:r>
      <w:r w:rsidR="005806EB">
        <w:rPr>
          <w:rFonts w:ascii="Times New Roman" w:hAnsi="Times New Roman" w:cs="Times New Roman"/>
          <w:sz w:val="24"/>
          <w:szCs w:val="24"/>
        </w:rPr>
        <w:t>‘</w:t>
      </w:r>
      <w:r w:rsidR="00C51A07" w:rsidRPr="00AE141E">
        <w:rPr>
          <w:rFonts w:ascii="Times New Roman" w:hAnsi="Times New Roman" w:cs="Times New Roman"/>
          <w:sz w:val="24"/>
          <w:szCs w:val="24"/>
        </w:rPr>
        <w:t>interested bodies</w:t>
      </w:r>
      <w:r w:rsidR="00372C8A" w:rsidRPr="00AE141E">
        <w:rPr>
          <w:rFonts w:ascii="Times New Roman" w:hAnsi="Times New Roman" w:cs="Times New Roman"/>
          <w:sz w:val="24"/>
          <w:szCs w:val="24"/>
        </w:rPr>
        <w:t>’</w:t>
      </w:r>
      <w:r w:rsidR="005806EB">
        <w:rPr>
          <w:rFonts w:ascii="Times New Roman" w:hAnsi="Times New Roman" w:cs="Times New Roman"/>
          <w:sz w:val="24"/>
          <w:szCs w:val="24"/>
        </w:rPr>
        <w:t>, including all English LEAs</w:t>
      </w:r>
      <w:r w:rsidR="00372C8A" w:rsidRPr="00AE141E">
        <w:rPr>
          <w:rFonts w:ascii="Times New Roman" w:hAnsi="Times New Roman" w:cs="Times New Roman"/>
          <w:sz w:val="24"/>
          <w:szCs w:val="24"/>
        </w:rPr>
        <w:t>.</w:t>
      </w:r>
      <w:r w:rsidR="00940668" w:rsidRPr="00AE141E">
        <w:rPr>
          <w:rStyle w:val="FootnoteReference"/>
          <w:rFonts w:ascii="Times New Roman" w:hAnsi="Times New Roman" w:cs="Times New Roman"/>
          <w:sz w:val="24"/>
          <w:szCs w:val="24"/>
        </w:rPr>
        <w:footnoteReference w:id="880"/>
      </w:r>
      <w:r w:rsidR="00372C8A" w:rsidRPr="00AE141E">
        <w:rPr>
          <w:rFonts w:ascii="Times New Roman" w:hAnsi="Times New Roman" w:cs="Times New Roman"/>
          <w:sz w:val="24"/>
          <w:szCs w:val="24"/>
        </w:rPr>
        <w:t xml:space="preserve"> These were </w:t>
      </w:r>
      <w:r w:rsidR="00FD3A44" w:rsidRPr="00AE141E">
        <w:rPr>
          <w:rFonts w:ascii="Times New Roman" w:hAnsi="Times New Roman" w:cs="Times New Roman"/>
          <w:sz w:val="24"/>
          <w:szCs w:val="24"/>
        </w:rPr>
        <w:t xml:space="preserve">to reach </w:t>
      </w:r>
      <w:r w:rsidR="00CA4A71" w:rsidRPr="00AE141E">
        <w:rPr>
          <w:rFonts w:ascii="Times New Roman" w:hAnsi="Times New Roman" w:cs="Times New Roman"/>
          <w:sz w:val="24"/>
          <w:szCs w:val="24"/>
        </w:rPr>
        <w:t>MacGregor</w:t>
      </w:r>
      <w:r w:rsidR="00FD3A44" w:rsidRPr="00AE141E">
        <w:rPr>
          <w:rFonts w:ascii="Times New Roman" w:hAnsi="Times New Roman" w:cs="Times New Roman"/>
          <w:sz w:val="24"/>
          <w:szCs w:val="24"/>
        </w:rPr>
        <w:t xml:space="preserve"> by 15 June. In the meantime, the School Examinations Assessment Council</w:t>
      </w:r>
      <w:r w:rsidR="002D755E" w:rsidRPr="00AE141E">
        <w:rPr>
          <w:rFonts w:ascii="Times New Roman" w:hAnsi="Times New Roman" w:cs="Times New Roman"/>
          <w:sz w:val="24"/>
          <w:szCs w:val="24"/>
        </w:rPr>
        <w:t xml:space="preserve"> (SEAC) would provide guidance on</w:t>
      </w:r>
      <w:r w:rsidR="00FD3A44" w:rsidRPr="00AE141E">
        <w:rPr>
          <w:rFonts w:ascii="Times New Roman" w:hAnsi="Times New Roman" w:cs="Times New Roman"/>
          <w:sz w:val="24"/>
          <w:szCs w:val="24"/>
        </w:rPr>
        <w:t xml:space="preserve"> the </w:t>
      </w:r>
      <w:r w:rsidR="002D755E" w:rsidRPr="00AE141E">
        <w:rPr>
          <w:rFonts w:ascii="Times New Roman" w:hAnsi="Times New Roman" w:cs="Times New Roman"/>
          <w:sz w:val="24"/>
          <w:szCs w:val="24"/>
        </w:rPr>
        <w:t>‘</w:t>
      </w:r>
      <w:r w:rsidR="00FD3A44" w:rsidRPr="00AE141E">
        <w:rPr>
          <w:rFonts w:ascii="Times New Roman" w:hAnsi="Times New Roman" w:cs="Times New Roman"/>
          <w:sz w:val="24"/>
          <w:szCs w:val="24"/>
        </w:rPr>
        <w:t>effective assessment of pupils</w:t>
      </w:r>
      <w:r w:rsidR="002D755E" w:rsidRPr="00AE141E">
        <w:rPr>
          <w:rFonts w:ascii="Times New Roman" w:hAnsi="Times New Roman" w:cs="Times New Roman"/>
          <w:sz w:val="24"/>
          <w:szCs w:val="24"/>
        </w:rPr>
        <w:t>’</w:t>
      </w:r>
      <w:r w:rsidR="00FD3A44" w:rsidRPr="00AE141E">
        <w:rPr>
          <w:rFonts w:ascii="Times New Roman" w:hAnsi="Times New Roman" w:cs="Times New Roman"/>
          <w:sz w:val="24"/>
          <w:szCs w:val="24"/>
        </w:rPr>
        <w:t xml:space="preserve"> mastery of historical knowledge</w:t>
      </w:r>
      <w:r w:rsidR="002D755E" w:rsidRPr="00AE141E">
        <w:rPr>
          <w:rFonts w:ascii="Times New Roman" w:hAnsi="Times New Roman" w:cs="Times New Roman"/>
          <w:sz w:val="24"/>
          <w:szCs w:val="24"/>
        </w:rPr>
        <w:t>’</w:t>
      </w:r>
      <w:r w:rsidR="00FD3A44" w:rsidRPr="00AE141E">
        <w:rPr>
          <w:rFonts w:ascii="Times New Roman" w:hAnsi="Times New Roman" w:cs="Times New Roman"/>
          <w:sz w:val="24"/>
          <w:szCs w:val="24"/>
        </w:rPr>
        <w:t>.</w:t>
      </w:r>
      <w:r w:rsidR="00F74264" w:rsidRPr="00AE141E">
        <w:rPr>
          <w:rStyle w:val="FootnoteReference"/>
          <w:rFonts w:ascii="Times New Roman" w:hAnsi="Times New Roman" w:cs="Times New Roman"/>
          <w:sz w:val="24"/>
          <w:szCs w:val="24"/>
        </w:rPr>
        <w:footnoteReference w:id="881"/>
      </w:r>
      <w:r w:rsidR="00FD3A44" w:rsidRPr="00AE141E">
        <w:rPr>
          <w:rFonts w:ascii="Times New Roman" w:hAnsi="Times New Roman" w:cs="Times New Roman"/>
          <w:sz w:val="24"/>
          <w:szCs w:val="24"/>
        </w:rPr>
        <w:t xml:space="preserve"> </w:t>
      </w:r>
      <w:r w:rsidR="00175D6F" w:rsidRPr="00AE141E">
        <w:rPr>
          <w:rFonts w:ascii="Times New Roman" w:hAnsi="Times New Roman" w:cs="Times New Roman"/>
          <w:sz w:val="24"/>
          <w:szCs w:val="24"/>
        </w:rPr>
        <w:t xml:space="preserve">Only then would </w:t>
      </w:r>
      <w:r w:rsidR="00CA4A71" w:rsidRPr="00AE141E">
        <w:rPr>
          <w:rFonts w:ascii="Times New Roman" w:hAnsi="Times New Roman" w:cs="Times New Roman"/>
          <w:sz w:val="24"/>
          <w:szCs w:val="24"/>
        </w:rPr>
        <w:t xml:space="preserve">the Secretary of State issue </w:t>
      </w:r>
      <w:r w:rsidR="00A71540">
        <w:rPr>
          <w:rFonts w:ascii="Times New Roman" w:hAnsi="Times New Roman" w:cs="Times New Roman"/>
          <w:sz w:val="24"/>
          <w:szCs w:val="24"/>
        </w:rPr>
        <w:t xml:space="preserve">his own </w:t>
      </w:r>
      <w:r w:rsidR="00D21230" w:rsidRPr="00AE141E">
        <w:rPr>
          <w:rFonts w:ascii="Times New Roman" w:hAnsi="Times New Roman" w:cs="Times New Roman"/>
          <w:sz w:val="24"/>
          <w:szCs w:val="24"/>
        </w:rPr>
        <w:t>comments on the Report</w:t>
      </w:r>
      <w:r w:rsidR="00AC5207" w:rsidRPr="00AE141E">
        <w:rPr>
          <w:rFonts w:ascii="Times New Roman" w:hAnsi="Times New Roman" w:cs="Times New Roman"/>
          <w:sz w:val="24"/>
          <w:szCs w:val="24"/>
        </w:rPr>
        <w:t xml:space="preserve">. </w:t>
      </w:r>
      <w:r w:rsidR="00982AA4" w:rsidRPr="00AE141E">
        <w:rPr>
          <w:rFonts w:ascii="Times New Roman" w:hAnsi="Times New Roman" w:cs="Times New Roman"/>
          <w:sz w:val="24"/>
          <w:szCs w:val="24"/>
        </w:rPr>
        <w:t xml:space="preserve">The extended consultation represented a major delay in </w:t>
      </w:r>
      <w:r w:rsidR="00D21230" w:rsidRPr="00AE141E">
        <w:rPr>
          <w:rFonts w:ascii="Times New Roman" w:hAnsi="Times New Roman" w:cs="Times New Roman"/>
          <w:sz w:val="24"/>
          <w:szCs w:val="24"/>
        </w:rPr>
        <w:t xml:space="preserve">the process of </w:t>
      </w:r>
      <w:r w:rsidR="00982AA4" w:rsidRPr="00AE141E">
        <w:rPr>
          <w:rFonts w:ascii="Times New Roman" w:hAnsi="Times New Roman" w:cs="Times New Roman"/>
          <w:sz w:val="24"/>
          <w:szCs w:val="24"/>
        </w:rPr>
        <w:t>giving</w:t>
      </w:r>
      <w:r w:rsidR="00AC5207" w:rsidRPr="00AE141E">
        <w:rPr>
          <w:rFonts w:ascii="Times New Roman" w:hAnsi="Times New Roman" w:cs="Times New Roman"/>
          <w:sz w:val="24"/>
          <w:szCs w:val="24"/>
        </w:rPr>
        <w:t xml:space="preserve"> </w:t>
      </w:r>
      <w:r w:rsidR="001B2814">
        <w:rPr>
          <w:rFonts w:ascii="Times New Roman" w:hAnsi="Times New Roman" w:cs="Times New Roman"/>
          <w:sz w:val="24"/>
          <w:szCs w:val="24"/>
        </w:rPr>
        <w:t>statutory basis to the</w:t>
      </w:r>
      <w:r w:rsidR="00AC5207" w:rsidRPr="00AE141E">
        <w:rPr>
          <w:rFonts w:ascii="Times New Roman" w:hAnsi="Times New Roman" w:cs="Times New Roman"/>
          <w:sz w:val="24"/>
          <w:szCs w:val="24"/>
        </w:rPr>
        <w:t xml:space="preserve"> National Curriculum in History</w:t>
      </w:r>
      <w:r w:rsidR="00982AA4" w:rsidRPr="00AE141E">
        <w:rPr>
          <w:rFonts w:ascii="Times New Roman" w:hAnsi="Times New Roman" w:cs="Times New Roman"/>
          <w:sz w:val="24"/>
          <w:szCs w:val="24"/>
        </w:rPr>
        <w:t>.</w:t>
      </w:r>
      <w:r w:rsidR="007F3331" w:rsidRPr="00AE141E">
        <w:rPr>
          <w:rFonts w:ascii="Times New Roman" w:hAnsi="Times New Roman" w:cs="Times New Roman"/>
          <w:sz w:val="24"/>
          <w:szCs w:val="24"/>
        </w:rPr>
        <w:t xml:space="preserve"> Nevertheless, it was welcomed by those with a stake in the debate, who</w:t>
      </w:r>
      <w:r w:rsidR="00F30788" w:rsidRPr="00AE141E">
        <w:rPr>
          <w:rFonts w:ascii="Times New Roman" w:hAnsi="Times New Roman" w:cs="Times New Roman"/>
          <w:sz w:val="24"/>
          <w:szCs w:val="24"/>
        </w:rPr>
        <w:t xml:space="preserve"> correctly understood this as a final, unanticipated opportunity to shape the future of British history </w:t>
      </w:r>
      <w:r w:rsidR="006B3B96" w:rsidRPr="00AE141E">
        <w:rPr>
          <w:rFonts w:ascii="Times New Roman" w:hAnsi="Times New Roman" w:cs="Times New Roman"/>
          <w:sz w:val="24"/>
          <w:szCs w:val="24"/>
        </w:rPr>
        <w:t>teaching.</w:t>
      </w:r>
      <w:r w:rsidR="00CD648A" w:rsidRPr="00AE141E">
        <w:rPr>
          <w:rStyle w:val="FootnoteReference"/>
          <w:rFonts w:ascii="Times New Roman" w:hAnsi="Times New Roman" w:cs="Times New Roman"/>
          <w:sz w:val="24"/>
          <w:szCs w:val="24"/>
        </w:rPr>
        <w:footnoteReference w:id="882"/>
      </w:r>
    </w:p>
    <w:p w14:paraId="0800F5E5" w14:textId="67E67E7A" w:rsidR="00B838B4" w:rsidRPr="00AE141E" w:rsidRDefault="00DE1447"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w:t>
      </w:r>
      <w:r w:rsidR="006C4874" w:rsidRPr="00AE141E">
        <w:rPr>
          <w:rFonts w:ascii="Times New Roman" w:hAnsi="Times New Roman" w:cs="Times New Roman"/>
          <w:sz w:val="24"/>
          <w:szCs w:val="24"/>
        </w:rPr>
        <w:t>HA</w:t>
      </w:r>
      <w:r w:rsidR="00822F07" w:rsidRPr="00AE141E">
        <w:rPr>
          <w:rFonts w:ascii="Times New Roman" w:hAnsi="Times New Roman" w:cs="Times New Roman"/>
          <w:sz w:val="24"/>
          <w:szCs w:val="24"/>
        </w:rPr>
        <w:t xml:space="preserve"> </w:t>
      </w:r>
      <w:r w:rsidR="00A0472C" w:rsidRPr="00AE141E">
        <w:rPr>
          <w:rFonts w:ascii="Times New Roman" w:hAnsi="Times New Roman" w:cs="Times New Roman"/>
          <w:sz w:val="24"/>
          <w:szCs w:val="24"/>
        </w:rPr>
        <w:t xml:space="preserve">seized the </w:t>
      </w:r>
      <w:r w:rsidR="00B85E96" w:rsidRPr="00AE141E">
        <w:rPr>
          <w:rFonts w:ascii="Times New Roman" w:hAnsi="Times New Roman" w:cs="Times New Roman"/>
          <w:sz w:val="24"/>
          <w:szCs w:val="24"/>
        </w:rPr>
        <w:t>chance to discuss the Final Report at fourteen regional conferences</w:t>
      </w:r>
      <w:r w:rsidR="00822F07" w:rsidRPr="00AE141E">
        <w:rPr>
          <w:rFonts w:ascii="Times New Roman" w:hAnsi="Times New Roman" w:cs="Times New Roman"/>
          <w:sz w:val="24"/>
          <w:szCs w:val="24"/>
        </w:rPr>
        <w:t>.</w:t>
      </w:r>
      <w:r w:rsidR="007E7015" w:rsidRPr="00AE141E">
        <w:rPr>
          <w:rStyle w:val="FootnoteReference"/>
          <w:rFonts w:ascii="Times New Roman" w:hAnsi="Times New Roman" w:cs="Times New Roman"/>
          <w:sz w:val="24"/>
          <w:szCs w:val="24"/>
        </w:rPr>
        <w:footnoteReference w:id="883"/>
      </w:r>
      <w:r w:rsidR="007727F6" w:rsidRPr="00AE141E">
        <w:rPr>
          <w:rFonts w:ascii="Times New Roman" w:hAnsi="Times New Roman" w:cs="Times New Roman"/>
          <w:sz w:val="24"/>
          <w:szCs w:val="24"/>
        </w:rPr>
        <w:t xml:space="preserve"> </w:t>
      </w:r>
      <w:r w:rsidR="007F3E6D">
        <w:rPr>
          <w:rFonts w:ascii="Times New Roman" w:hAnsi="Times New Roman" w:cs="Times New Roman"/>
          <w:sz w:val="24"/>
          <w:szCs w:val="24"/>
        </w:rPr>
        <w:t>It</w:t>
      </w:r>
      <w:r w:rsidR="00FD7C40" w:rsidRPr="00AE141E">
        <w:rPr>
          <w:rFonts w:ascii="Times New Roman" w:hAnsi="Times New Roman" w:cs="Times New Roman"/>
          <w:sz w:val="24"/>
          <w:szCs w:val="24"/>
        </w:rPr>
        <w:t xml:space="preserve"> expressed concern that the </w:t>
      </w:r>
      <w:r w:rsidR="009E62A7" w:rsidRPr="00AE141E">
        <w:rPr>
          <w:rFonts w:ascii="Times New Roman" w:hAnsi="Times New Roman" w:cs="Times New Roman"/>
          <w:sz w:val="24"/>
          <w:szCs w:val="24"/>
        </w:rPr>
        <w:t xml:space="preserve">media </w:t>
      </w:r>
      <w:r w:rsidR="004312B4" w:rsidRPr="00AE141E">
        <w:rPr>
          <w:rFonts w:ascii="Times New Roman" w:hAnsi="Times New Roman" w:cs="Times New Roman"/>
          <w:sz w:val="24"/>
          <w:szCs w:val="24"/>
        </w:rPr>
        <w:t xml:space="preserve">tendency to highlight ‘divisions and personalities’ </w:t>
      </w:r>
      <w:r w:rsidR="007F0F04" w:rsidRPr="00AE141E">
        <w:rPr>
          <w:rFonts w:ascii="Times New Roman" w:hAnsi="Times New Roman" w:cs="Times New Roman"/>
          <w:sz w:val="24"/>
          <w:szCs w:val="24"/>
        </w:rPr>
        <w:t xml:space="preserve">was having a distorting effect </w:t>
      </w:r>
      <w:r w:rsidR="00521B1F" w:rsidRPr="00AE141E">
        <w:rPr>
          <w:rFonts w:ascii="Times New Roman" w:hAnsi="Times New Roman" w:cs="Times New Roman"/>
          <w:sz w:val="24"/>
          <w:szCs w:val="24"/>
        </w:rPr>
        <w:t>on the creation of the National Curriculum:</w:t>
      </w:r>
    </w:p>
    <w:p w14:paraId="7CB8A5A6" w14:textId="48EFD1CF" w:rsidR="00DB01DD" w:rsidRPr="00AE141E" w:rsidRDefault="00DB01DD"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B</w:t>
      </w:r>
      <w:r w:rsidR="00521B1F" w:rsidRPr="00AE141E">
        <w:rPr>
          <w:rFonts w:ascii="Times New Roman" w:hAnsi="Times New Roman" w:cs="Times New Roman"/>
          <w:sz w:val="24"/>
          <w:szCs w:val="24"/>
        </w:rPr>
        <w:t xml:space="preserve">y </w:t>
      </w:r>
      <w:r w:rsidRPr="00AE141E">
        <w:rPr>
          <w:rFonts w:ascii="Times New Roman" w:hAnsi="Times New Roman" w:cs="Times New Roman"/>
          <w:sz w:val="24"/>
          <w:szCs w:val="24"/>
        </w:rPr>
        <w:t xml:space="preserve">giving excessive prominence to academic </w:t>
      </w:r>
      <w:r w:rsidR="00740276" w:rsidRPr="00AE141E">
        <w:rPr>
          <w:rFonts w:ascii="Times New Roman" w:hAnsi="Times New Roman" w:cs="Times New Roman"/>
          <w:sz w:val="24"/>
          <w:szCs w:val="24"/>
        </w:rPr>
        <w:t>“</w:t>
      </w:r>
      <w:r w:rsidRPr="00AE141E">
        <w:rPr>
          <w:rFonts w:ascii="Times New Roman" w:hAnsi="Times New Roman" w:cs="Times New Roman"/>
          <w:sz w:val="24"/>
          <w:szCs w:val="24"/>
        </w:rPr>
        <w:t>big names</w:t>
      </w:r>
      <w:r w:rsidR="00740276" w:rsidRPr="00AE141E">
        <w:rPr>
          <w:rFonts w:ascii="Times New Roman" w:hAnsi="Times New Roman" w:cs="Times New Roman"/>
          <w:sz w:val="24"/>
          <w:szCs w:val="24"/>
        </w:rPr>
        <w:t>”</w:t>
      </w:r>
      <w:r w:rsidRPr="00AE141E">
        <w:rPr>
          <w:rFonts w:ascii="Times New Roman" w:hAnsi="Times New Roman" w:cs="Times New Roman"/>
          <w:sz w:val="24"/>
          <w:szCs w:val="24"/>
        </w:rPr>
        <w:t xml:space="preserve"> (many of them long retired and far removed from the challenges of day to day</w:t>
      </w:r>
      <w:r w:rsidR="00F30481">
        <w:rPr>
          <w:rFonts w:ascii="Times New Roman" w:hAnsi="Times New Roman" w:cs="Times New Roman"/>
          <w:sz w:val="24"/>
          <w:szCs w:val="24"/>
        </w:rPr>
        <w:t xml:space="preserve"> [sic.]</w:t>
      </w:r>
      <w:r w:rsidRPr="00AE141E">
        <w:rPr>
          <w:rFonts w:ascii="Times New Roman" w:hAnsi="Times New Roman" w:cs="Times New Roman"/>
          <w:sz w:val="24"/>
          <w:szCs w:val="24"/>
        </w:rPr>
        <w:t xml:space="preserve"> teaching in school) the history debate has been hijacked from the classroom professionals who will be called upon to implement the changes in historical education.</w:t>
      </w:r>
      <w:r w:rsidR="005305FA" w:rsidRPr="00AE141E">
        <w:rPr>
          <w:rStyle w:val="FootnoteReference"/>
          <w:rFonts w:ascii="Times New Roman" w:hAnsi="Times New Roman" w:cs="Times New Roman"/>
          <w:sz w:val="24"/>
          <w:szCs w:val="24"/>
        </w:rPr>
        <w:footnoteReference w:id="884"/>
      </w:r>
    </w:p>
    <w:p w14:paraId="7BEAED10" w14:textId="5989715E" w:rsidR="000A29A6" w:rsidRPr="00AE141E" w:rsidRDefault="00F30481" w:rsidP="00AE141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 the eyes of the HA, t</w:t>
      </w:r>
      <w:r w:rsidR="00521B1F" w:rsidRPr="00AE141E">
        <w:rPr>
          <w:rFonts w:ascii="Times New Roman" w:hAnsi="Times New Roman" w:cs="Times New Roman"/>
          <w:sz w:val="24"/>
          <w:szCs w:val="24"/>
        </w:rPr>
        <w:t xml:space="preserve">he </w:t>
      </w:r>
      <w:r w:rsidR="00485892" w:rsidRPr="00AE141E">
        <w:rPr>
          <w:rFonts w:ascii="Times New Roman" w:hAnsi="Times New Roman" w:cs="Times New Roman"/>
          <w:sz w:val="24"/>
          <w:szCs w:val="24"/>
        </w:rPr>
        <w:t>new period of consultation represented an</w:t>
      </w:r>
      <w:r w:rsidR="00EC0010" w:rsidRPr="00AE141E">
        <w:rPr>
          <w:rFonts w:ascii="Times New Roman" w:hAnsi="Times New Roman" w:cs="Times New Roman"/>
          <w:sz w:val="24"/>
          <w:szCs w:val="24"/>
        </w:rPr>
        <w:t xml:space="preserve"> opportunity to place </w:t>
      </w:r>
      <w:r w:rsidR="002C4054" w:rsidRPr="00AE141E">
        <w:rPr>
          <w:rFonts w:ascii="Times New Roman" w:hAnsi="Times New Roman" w:cs="Times New Roman"/>
          <w:sz w:val="24"/>
          <w:szCs w:val="24"/>
        </w:rPr>
        <w:t xml:space="preserve">the voices </w:t>
      </w:r>
      <w:r>
        <w:rPr>
          <w:rFonts w:ascii="Times New Roman" w:hAnsi="Times New Roman" w:cs="Times New Roman"/>
          <w:sz w:val="24"/>
          <w:szCs w:val="24"/>
        </w:rPr>
        <w:t>its</w:t>
      </w:r>
      <w:r w:rsidR="00AA4E07" w:rsidRPr="00AE141E">
        <w:rPr>
          <w:rFonts w:ascii="Times New Roman" w:hAnsi="Times New Roman" w:cs="Times New Roman"/>
          <w:sz w:val="24"/>
          <w:szCs w:val="24"/>
        </w:rPr>
        <w:t xml:space="preserve"> 7000-strong membership – most of whom </w:t>
      </w:r>
      <w:r w:rsidR="00D20F0C" w:rsidRPr="00AE141E">
        <w:rPr>
          <w:rFonts w:ascii="Times New Roman" w:hAnsi="Times New Roman" w:cs="Times New Roman"/>
          <w:sz w:val="24"/>
          <w:szCs w:val="24"/>
        </w:rPr>
        <w:t>had experience</w:t>
      </w:r>
      <w:r w:rsidR="002C4054" w:rsidRPr="00AE141E">
        <w:rPr>
          <w:rFonts w:ascii="Times New Roman" w:hAnsi="Times New Roman" w:cs="Times New Roman"/>
          <w:sz w:val="24"/>
          <w:szCs w:val="24"/>
        </w:rPr>
        <w:t xml:space="preserve"> ‘at the chalk-face’ of education </w:t>
      </w:r>
      <w:r w:rsidR="00D20F0C" w:rsidRPr="00AE141E">
        <w:rPr>
          <w:rFonts w:ascii="Times New Roman" w:hAnsi="Times New Roman" w:cs="Times New Roman"/>
          <w:sz w:val="24"/>
          <w:szCs w:val="24"/>
        </w:rPr>
        <w:t xml:space="preserve">– </w:t>
      </w:r>
      <w:r w:rsidR="002C4054" w:rsidRPr="00AE141E">
        <w:rPr>
          <w:rFonts w:ascii="Times New Roman" w:hAnsi="Times New Roman" w:cs="Times New Roman"/>
          <w:sz w:val="24"/>
          <w:szCs w:val="24"/>
        </w:rPr>
        <w:t>back</w:t>
      </w:r>
      <w:r w:rsidR="00D20F0C" w:rsidRPr="00AE141E">
        <w:rPr>
          <w:rFonts w:ascii="Times New Roman" w:hAnsi="Times New Roman" w:cs="Times New Roman"/>
          <w:sz w:val="24"/>
          <w:szCs w:val="24"/>
        </w:rPr>
        <w:t xml:space="preserve"> </w:t>
      </w:r>
      <w:r w:rsidR="002C4054" w:rsidRPr="00AE141E">
        <w:rPr>
          <w:rFonts w:ascii="Times New Roman" w:hAnsi="Times New Roman" w:cs="Times New Roman"/>
          <w:sz w:val="24"/>
          <w:szCs w:val="24"/>
        </w:rPr>
        <w:t>at the centre of the debate</w:t>
      </w:r>
      <w:r w:rsidR="00A81874" w:rsidRPr="00AE141E">
        <w:rPr>
          <w:rFonts w:ascii="Times New Roman" w:hAnsi="Times New Roman" w:cs="Times New Roman"/>
          <w:sz w:val="24"/>
          <w:szCs w:val="24"/>
        </w:rPr>
        <w:t>.</w:t>
      </w:r>
      <w:r w:rsidR="00A45CE8" w:rsidRPr="00AE141E">
        <w:rPr>
          <w:rStyle w:val="FootnoteReference"/>
          <w:rFonts w:ascii="Times New Roman" w:hAnsi="Times New Roman" w:cs="Times New Roman"/>
          <w:sz w:val="24"/>
          <w:szCs w:val="24"/>
        </w:rPr>
        <w:footnoteReference w:id="885"/>
      </w:r>
      <w:r w:rsidR="00D20F0C" w:rsidRPr="00AE141E">
        <w:rPr>
          <w:rFonts w:ascii="Times New Roman" w:hAnsi="Times New Roman" w:cs="Times New Roman"/>
          <w:sz w:val="24"/>
          <w:szCs w:val="24"/>
        </w:rPr>
        <w:t xml:space="preserve"> </w:t>
      </w:r>
    </w:p>
    <w:p w14:paraId="5910108D" w14:textId="3C0C398B" w:rsidR="00CB2290" w:rsidRPr="00AE141E" w:rsidRDefault="00A11BFC" w:rsidP="00AE141E">
      <w:pPr>
        <w:spacing w:line="360" w:lineRule="auto"/>
        <w:rPr>
          <w:rFonts w:ascii="Times New Roman" w:hAnsi="Times New Roman" w:cs="Times New Roman"/>
          <w:sz w:val="24"/>
          <w:szCs w:val="24"/>
        </w:rPr>
      </w:pPr>
      <w:r>
        <w:rPr>
          <w:rFonts w:ascii="Times New Roman" w:hAnsi="Times New Roman" w:cs="Times New Roman"/>
          <w:sz w:val="24"/>
          <w:szCs w:val="24"/>
        </w:rPr>
        <w:t>The</w:t>
      </w:r>
      <w:r w:rsidR="00E67BFC" w:rsidRPr="00AE141E">
        <w:rPr>
          <w:rFonts w:ascii="Times New Roman" w:hAnsi="Times New Roman" w:cs="Times New Roman"/>
          <w:sz w:val="24"/>
          <w:szCs w:val="24"/>
        </w:rPr>
        <w:t xml:space="preserve"> Chairman of</w:t>
      </w:r>
      <w:r>
        <w:rPr>
          <w:rFonts w:ascii="Times New Roman" w:hAnsi="Times New Roman" w:cs="Times New Roman"/>
          <w:sz w:val="24"/>
          <w:szCs w:val="24"/>
        </w:rPr>
        <w:t xml:space="preserve"> the</w:t>
      </w:r>
      <w:r w:rsidR="00E67BFC" w:rsidRPr="00AE141E">
        <w:rPr>
          <w:rFonts w:ascii="Times New Roman" w:hAnsi="Times New Roman" w:cs="Times New Roman"/>
          <w:sz w:val="24"/>
          <w:szCs w:val="24"/>
        </w:rPr>
        <w:t xml:space="preserve"> HA</w:t>
      </w:r>
      <w:r>
        <w:rPr>
          <w:rFonts w:ascii="Times New Roman" w:hAnsi="Times New Roman" w:cs="Times New Roman"/>
          <w:sz w:val="24"/>
          <w:szCs w:val="24"/>
        </w:rPr>
        <w:t>’</w:t>
      </w:r>
      <w:r w:rsidR="00E67BFC" w:rsidRPr="00AE141E">
        <w:rPr>
          <w:rFonts w:ascii="Times New Roman" w:hAnsi="Times New Roman" w:cs="Times New Roman"/>
          <w:sz w:val="24"/>
          <w:szCs w:val="24"/>
        </w:rPr>
        <w:t>s Education Committee</w:t>
      </w:r>
      <w:r w:rsidR="009C4EA0" w:rsidRPr="00AE141E">
        <w:rPr>
          <w:rFonts w:ascii="Times New Roman" w:hAnsi="Times New Roman" w:cs="Times New Roman"/>
          <w:sz w:val="24"/>
          <w:szCs w:val="24"/>
        </w:rPr>
        <w:t xml:space="preserve">, </w:t>
      </w:r>
      <w:r w:rsidR="00E67BFC" w:rsidRPr="00AE141E">
        <w:rPr>
          <w:rFonts w:ascii="Times New Roman" w:hAnsi="Times New Roman" w:cs="Times New Roman"/>
          <w:sz w:val="24"/>
          <w:szCs w:val="24"/>
        </w:rPr>
        <w:t>Martin Roberts</w:t>
      </w:r>
      <w:r w:rsidR="009C4EA0" w:rsidRPr="00AE141E">
        <w:rPr>
          <w:rFonts w:ascii="Times New Roman" w:hAnsi="Times New Roman" w:cs="Times New Roman"/>
          <w:sz w:val="24"/>
          <w:szCs w:val="24"/>
        </w:rPr>
        <w:t xml:space="preserve">, </w:t>
      </w:r>
      <w:r w:rsidR="00E67BFC" w:rsidRPr="00AE141E">
        <w:rPr>
          <w:rFonts w:ascii="Times New Roman" w:hAnsi="Times New Roman" w:cs="Times New Roman"/>
          <w:sz w:val="24"/>
          <w:szCs w:val="24"/>
        </w:rPr>
        <w:t>set the general tone</w:t>
      </w:r>
      <w:r w:rsidR="00F172DA" w:rsidRPr="00AE141E">
        <w:rPr>
          <w:rFonts w:ascii="Times New Roman" w:hAnsi="Times New Roman" w:cs="Times New Roman"/>
          <w:sz w:val="24"/>
          <w:szCs w:val="24"/>
        </w:rPr>
        <w:t xml:space="preserve"> for the </w:t>
      </w:r>
      <w:r w:rsidR="000A29A6" w:rsidRPr="00AE141E">
        <w:rPr>
          <w:rFonts w:ascii="Times New Roman" w:hAnsi="Times New Roman" w:cs="Times New Roman"/>
          <w:sz w:val="24"/>
          <w:szCs w:val="24"/>
        </w:rPr>
        <w:t>organisation</w:t>
      </w:r>
      <w:r w:rsidR="00616CB2">
        <w:rPr>
          <w:rFonts w:ascii="Times New Roman" w:hAnsi="Times New Roman" w:cs="Times New Roman"/>
          <w:sz w:val="24"/>
          <w:szCs w:val="24"/>
        </w:rPr>
        <w:t>’s</w:t>
      </w:r>
      <w:r w:rsidR="00D4054F" w:rsidRPr="00AE141E">
        <w:rPr>
          <w:rFonts w:ascii="Times New Roman" w:hAnsi="Times New Roman" w:cs="Times New Roman"/>
          <w:sz w:val="24"/>
          <w:szCs w:val="24"/>
        </w:rPr>
        <w:t xml:space="preserve"> approach</w:t>
      </w:r>
      <w:r w:rsidR="000A29A6" w:rsidRPr="00AE141E">
        <w:rPr>
          <w:rFonts w:ascii="Times New Roman" w:hAnsi="Times New Roman" w:cs="Times New Roman"/>
          <w:sz w:val="24"/>
          <w:szCs w:val="24"/>
        </w:rPr>
        <w:t>.</w:t>
      </w:r>
      <w:r w:rsidR="00E860AD" w:rsidRPr="00AE141E">
        <w:rPr>
          <w:rFonts w:ascii="Times New Roman" w:hAnsi="Times New Roman" w:cs="Times New Roman"/>
          <w:sz w:val="24"/>
          <w:szCs w:val="24"/>
        </w:rPr>
        <w:t xml:space="preserve"> Roberts acknowledged the difficulty of the task assigned to the HWG </w:t>
      </w:r>
      <w:r w:rsidR="000E6491" w:rsidRPr="00AE141E">
        <w:rPr>
          <w:rFonts w:ascii="Times New Roman" w:hAnsi="Times New Roman" w:cs="Times New Roman"/>
          <w:sz w:val="24"/>
          <w:szCs w:val="24"/>
        </w:rPr>
        <w:t>and p</w:t>
      </w:r>
      <w:r w:rsidR="00E860AD" w:rsidRPr="00AE141E">
        <w:rPr>
          <w:rFonts w:ascii="Times New Roman" w:hAnsi="Times New Roman" w:cs="Times New Roman"/>
          <w:sz w:val="24"/>
          <w:szCs w:val="24"/>
        </w:rPr>
        <w:t xml:space="preserve">raised </w:t>
      </w:r>
      <w:r w:rsidR="000E6491" w:rsidRPr="00AE141E">
        <w:rPr>
          <w:rFonts w:ascii="Times New Roman" w:hAnsi="Times New Roman" w:cs="Times New Roman"/>
          <w:sz w:val="24"/>
          <w:szCs w:val="24"/>
        </w:rPr>
        <w:t xml:space="preserve">their </w:t>
      </w:r>
      <w:r w:rsidR="00E860AD" w:rsidRPr="00AE141E">
        <w:rPr>
          <w:rFonts w:ascii="Times New Roman" w:hAnsi="Times New Roman" w:cs="Times New Roman"/>
          <w:sz w:val="24"/>
          <w:szCs w:val="24"/>
        </w:rPr>
        <w:t>responsiveness to</w:t>
      </w:r>
      <w:r w:rsidR="000E6491" w:rsidRPr="00AE141E">
        <w:rPr>
          <w:rFonts w:ascii="Times New Roman" w:hAnsi="Times New Roman" w:cs="Times New Roman"/>
          <w:sz w:val="24"/>
          <w:szCs w:val="24"/>
        </w:rPr>
        <w:t xml:space="preserve"> critical</w:t>
      </w:r>
      <w:r w:rsidR="00E860AD" w:rsidRPr="00AE141E">
        <w:rPr>
          <w:rFonts w:ascii="Times New Roman" w:hAnsi="Times New Roman" w:cs="Times New Roman"/>
          <w:sz w:val="24"/>
          <w:szCs w:val="24"/>
        </w:rPr>
        <w:t xml:space="preserve"> feedback </w:t>
      </w:r>
      <w:r w:rsidR="00CB2290" w:rsidRPr="00AE141E">
        <w:rPr>
          <w:rFonts w:ascii="Times New Roman" w:hAnsi="Times New Roman" w:cs="Times New Roman"/>
          <w:sz w:val="24"/>
          <w:szCs w:val="24"/>
        </w:rPr>
        <w:t>on the Interim Report.</w:t>
      </w:r>
      <w:r w:rsidR="00BA53AF" w:rsidRPr="00AE141E">
        <w:rPr>
          <w:rStyle w:val="FootnoteReference"/>
          <w:rFonts w:ascii="Times New Roman" w:hAnsi="Times New Roman" w:cs="Times New Roman"/>
          <w:sz w:val="24"/>
          <w:szCs w:val="24"/>
        </w:rPr>
        <w:footnoteReference w:id="886"/>
      </w:r>
      <w:r w:rsidR="00CB2290" w:rsidRPr="00AE141E">
        <w:rPr>
          <w:rFonts w:ascii="Times New Roman" w:hAnsi="Times New Roman" w:cs="Times New Roman"/>
          <w:sz w:val="24"/>
          <w:szCs w:val="24"/>
        </w:rPr>
        <w:t xml:space="preserve"> The Final Report was not flawless</w:t>
      </w:r>
      <w:r w:rsidR="008B2A4E" w:rsidRPr="00AE141E">
        <w:rPr>
          <w:rFonts w:ascii="Times New Roman" w:hAnsi="Times New Roman" w:cs="Times New Roman"/>
          <w:sz w:val="24"/>
          <w:szCs w:val="24"/>
        </w:rPr>
        <w:t>; Roberts took particular issue with the</w:t>
      </w:r>
      <w:r w:rsidR="002D67BC" w:rsidRPr="00AE141E">
        <w:rPr>
          <w:rFonts w:ascii="Times New Roman" w:hAnsi="Times New Roman" w:cs="Times New Roman"/>
          <w:sz w:val="24"/>
          <w:szCs w:val="24"/>
        </w:rPr>
        <w:t xml:space="preserve"> impracticality of the </w:t>
      </w:r>
      <w:r w:rsidR="00631D96" w:rsidRPr="00AE141E">
        <w:rPr>
          <w:rFonts w:ascii="Times New Roman" w:hAnsi="Times New Roman" w:cs="Times New Roman"/>
          <w:sz w:val="24"/>
          <w:szCs w:val="24"/>
        </w:rPr>
        <w:t>‘</w:t>
      </w:r>
      <w:r w:rsidR="002D67BC" w:rsidRPr="00AE141E">
        <w:rPr>
          <w:rFonts w:ascii="Times New Roman" w:hAnsi="Times New Roman" w:cs="Times New Roman"/>
          <w:sz w:val="24"/>
          <w:szCs w:val="24"/>
        </w:rPr>
        <w:t>statements of attainment</w:t>
      </w:r>
      <w:r w:rsidR="00631D96" w:rsidRPr="00AE141E">
        <w:rPr>
          <w:rFonts w:ascii="Times New Roman" w:hAnsi="Times New Roman" w:cs="Times New Roman"/>
          <w:sz w:val="24"/>
          <w:szCs w:val="24"/>
        </w:rPr>
        <w:t>’</w:t>
      </w:r>
      <w:r w:rsidR="002D67BC" w:rsidRPr="00AE141E">
        <w:rPr>
          <w:rFonts w:ascii="Times New Roman" w:hAnsi="Times New Roman" w:cs="Times New Roman"/>
          <w:sz w:val="24"/>
          <w:szCs w:val="24"/>
        </w:rPr>
        <w:t xml:space="preserve"> </w:t>
      </w:r>
      <w:r w:rsidR="00631D96" w:rsidRPr="00AE141E">
        <w:rPr>
          <w:rFonts w:ascii="Times New Roman" w:hAnsi="Times New Roman" w:cs="Times New Roman"/>
          <w:sz w:val="24"/>
          <w:szCs w:val="24"/>
        </w:rPr>
        <w:t>which described each</w:t>
      </w:r>
      <w:r w:rsidR="002D67BC" w:rsidRPr="00AE141E">
        <w:rPr>
          <w:rFonts w:ascii="Times New Roman" w:hAnsi="Times New Roman" w:cs="Times New Roman"/>
          <w:sz w:val="24"/>
          <w:szCs w:val="24"/>
        </w:rPr>
        <w:t xml:space="preserve"> </w:t>
      </w:r>
      <w:r w:rsidR="00631D96" w:rsidRPr="00AE141E">
        <w:rPr>
          <w:rFonts w:ascii="Times New Roman" w:hAnsi="Times New Roman" w:cs="Times New Roman"/>
          <w:sz w:val="24"/>
          <w:szCs w:val="24"/>
        </w:rPr>
        <w:t>AT</w:t>
      </w:r>
      <w:r w:rsidR="002D67BC" w:rsidRPr="00AE141E">
        <w:rPr>
          <w:rFonts w:ascii="Times New Roman" w:hAnsi="Times New Roman" w:cs="Times New Roman"/>
          <w:sz w:val="24"/>
          <w:szCs w:val="24"/>
        </w:rPr>
        <w:t xml:space="preserve"> level</w:t>
      </w:r>
      <w:r w:rsidR="004A4051" w:rsidRPr="00AE141E">
        <w:rPr>
          <w:rFonts w:ascii="Times New Roman" w:hAnsi="Times New Roman" w:cs="Times New Roman"/>
          <w:sz w:val="24"/>
          <w:szCs w:val="24"/>
        </w:rPr>
        <w:t xml:space="preserve">. On the whole, however, he </w:t>
      </w:r>
      <w:r w:rsidR="001E78F4" w:rsidRPr="00AE141E">
        <w:rPr>
          <w:rFonts w:ascii="Times New Roman" w:hAnsi="Times New Roman" w:cs="Times New Roman"/>
          <w:sz w:val="24"/>
          <w:szCs w:val="24"/>
        </w:rPr>
        <w:t>found</w:t>
      </w:r>
      <w:r w:rsidR="004A4051" w:rsidRPr="00AE141E">
        <w:rPr>
          <w:rFonts w:ascii="Times New Roman" w:hAnsi="Times New Roman" w:cs="Times New Roman"/>
          <w:sz w:val="24"/>
          <w:szCs w:val="24"/>
        </w:rPr>
        <w:t xml:space="preserve"> the Report to be </w:t>
      </w:r>
      <w:r w:rsidR="002F07B0" w:rsidRPr="00AE141E">
        <w:rPr>
          <w:rFonts w:ascii="Times New Roman" w:hAnsi="Times New Roman" w:cs="Times New Roman"/>
          <w:sz w:val="24"/>
          <w:szCs w:val="24"/>
        </w:rPr>
        <w:t xml:space="preserve">less prescriptive than its </w:t>
      </w:r>
      <w:r w:rsidR="001B1856" w:rsidRPr="00AE141E">
        <w:rPr>
          <w:rFonts w:ascii="Times New Roman" w:hAnsi="Times New Roman" w:cs="Times New Roman"/>
          <w:sz w:val="24"/>
          <w:szCs w:val="24"/>
        </w:rPr>
        <w:t>predecessor</w:t>
      </w:r>
      <w:r w:rsidR="001E78F4" w:rsidRPr="00AE141E">
        <w:rPr>
          <w:rFonts w:ascii="Times New Roman" w:hAnsi="Times New Roman" w:cs="Times New Roman"/>
          <w:sz w:val="24"/>
          <w:szCs w:val="24"/>
        </w:rPr>
        <w:t xml:space="preserve"> and </w:t>
      </w:r>
      <w:r w:rsidR="002F07B0" w:rsidRPr="00AE141E">
        <w:rPr>
          <w:rFonts w:ascii="Times New Roman" w:hAnsi="Times New Roman" w:cs="Times New Roman"/>
          <w:sz w:val="24"/>
          <w:szCs w:val="24"/>
        </w:rPr>
        <w:t xml:space="preserve">to contain fewer significant omissions. </w:t>
      </w:r>
      <w:r w:rsidR="001B1856" w:rsidRPr="00AE141E">
        <w:rPr>
          <w:rFonts w:ascii="Times New Roman" w:hAnsi="Times New Roman" w:cs="Times New Roman"/>
          <w:sz w:val="24"/>
          <w:szCs w:val="24"/>
        </w:rPr>
        <w:t>The HWG had produced a document which</w:t>
      </w:r>
      <w:r w:rsidR="002F07B0" w:rsidRPr="00AE141E">
        <w:rPr>
          <w:rFonts w:ascii="Times New Roman" w:hAnsi="Times New Roman" w:cs="Times New Roman"/>
          <w:sz w:val="24"/>
          <w:szCs w:val="24"/>
        </w:rPr>
        <w:t xml:space="preserve"> </w:t>
      </w:r>
      <w:r w:rsidR="006A5871" w:rsidRPr="00AE141E">
        <w:rPr>
          <w:rFonts w:ascii="Times New Roman" w:hAnsi="Times New Roman" w:cs="Times New Roman"/>
          <w:sz w:val="24"/>
          <w:szCs w:val="24"/>
        </w:rPr>
        <w:t>articulated a clear</w:t>
      </w:r>
      <w:r w:rsidR="001E78F4" w:rsidRPr="00AE141E">
        <w:rPr>
          <w:rFonts w:ascii="Times New Roman" w:hAnsi="Times New Roman" w:cs="Times New Roman"/>
          <w:sz w:val="24"/>
          <w:szCs w:val="24"/>
        </w:rPr>
        <w:t xml:space="preserve">, logical, and </w:t>
      </w:r>
      <w:r w:rsidR="006A5871" w:rsidRPr="00AE141E">
        <w:rPr>
          <w:rFonts w:ascii="Times New Roman" w:hAnsi="Times New Roman" w:cs="Times New Roman"/>
          <w:sz w:val="24"/>
          <w:szCs w:val="24"/>
        </w:rPr>
        <w:t>ba</w:t>
      </w:r>
      <w:r w:rsidR="001E78F4" w:rsidRPr="00AE141E">
        <w:rPr>
          <w:rFonts w:ascii="Times New Roman" w:hAnsi="Times New Roman" w:cs="Times New Roman"/>
          <w:sz w:val="24"/>
          <w:szCs w:val="24"/>
        </w:rPr>
        <w:t xml:space="preserve">lanced resolution of the </w:t>
      </w:r>
      <w:r w:rsidR="001E59EC" w:rsidRPr="00AE141E">
        <w:rPr>
          <w:rFonts w:ascii="Times New Roman" w:hAnsi="Times New Roman" w:cs="Times New Roman"/>
          <w:sz w:val="24"/>
          <w:szCs w:val="24"/>
        </w:rPr>
        <w:t xml:space="preserve">recent ‘pedagogical disputes’ which had rocked the discipline, </w:t>
      </w:r>
      <w:r w:rsidR="002705BB" w:rsidRPr="00AE141E">
        <w:rPr>
          <w:rFonts w:ascii="Times New Roman" w:hAnsi="Times New Roman" w:cs="Times New Roman"/>
          <w:sz w:val="24"/>
          <w:szCs w:val="24"/>
        </w:rPr>
        <w:t xml:space="preserve">such as the manufactured debate between </w:t>
      </w:r>
      <w:r w:rsidR="006E05B4" w:rsidRPr="00AE141E">
        <w:rPr>
          <w:rFonts w:ascii="Times New Roman" w:hAnsi="Times New Roman" w:cs="Times New Roman"/>
          <w:sz w:val="24"/>
          <w:szCs w:val="24"/>
        </w:rPr>
        <w:t>knowledge and skills. Roberts</w:t>
      </w:r>
      <w:r w:rsidR="005468A2" w:rsidRPr="00AE141E">
        <w:rPr>
          <w:rFonts w:ascii="Times New Roman" w:hAnsi="Times New Roman" w:cs="Times New Roman"/>
          <w:sz w:val="24"/>
          <w:szCs w:val="24"/>
        </w:rPr>
        <w:t>’</w:t>
      </w:r>
      <w:r w:rsidR="006E05B4" w:rsidRPr="00AE141E">
        <w:rPr>
          <w:rFonts w:ascii="Times New Roman" w:hAnsi="Times New Roman" w:cs="Times New Roman"/>
          <w:sz w:val="24"/>
          <w:szCs w:val="24"/>
        </w:rPr>
        <w:t xml:space="preserve"> overall judgement was one of cautious optimism</w:t>
      </w:r>
      <w:r w:rsidR="001C4636">
        <w:rPr>
          <w:rFonts w:ascii="Times New Roman" w:hAnsi="Times New Roman" w:cs="Times New Roman"/>
          <w:sz w:val="24"/>
          <w:szCs w:val="24"/>
        </w:rPr>
        <w:t xml:space="preserve">. He argued that </w:t>
      </w:r>
      <w:r w:rsidR="006E05B4" w:rsidRPr="00AE141E">
        <w:rPr>
          <w:rFonts w:ascii="Times New Roman" w:hAnsi="Times New Roman" w:cs="Times New Roman"/>
          <w:sz w:val="24"/>
          <w:szCs w:val="24"/>
        </w:rPr>
        <w:t xml:space="preserve">the </w:t>
      </w:r>
      <w:r w:rsidR="00BA53AF" w:rsidRPr="00AE141E">
        <w:rPr>
          <w:rFonts w:ascii="Times New Roman" w:hAnsi="Times New Roman" w:cs="Times New Roman"/>
          <w:sz w:val="24"/>
          <w:szCs w:val="24"/>
        </w:rPr>
        <w:t>curriculum</w:t>
      </w:r>
      <w:r w:rsidR="006E05B4" w:rsidRPr="00AE141E">
        <w:rPr>
          <w:rFonts w:ascii="Times New Roman" w:hAnsi="Times New Roman" w:cs="Times New Roman"/>
          <w:sz w:val="24"/>
          <w:szCs w:val="24"/>
        </w:rPr>
        <w:t xml:space="preserve"> </w:t>
      </w:r>
      <w:r w:rsidR="001C4636">
        <w:rPr>
          <w:rFonts w:ascii="Times New Roman" w:hAnsi="Times New Roman" w:cs="Times New Roman"/>
          <w:sz w:val="24"/>
          <w:szCs w:val="24"/>
        </w:rPr>
        <w:t>laid out</w:t>
      </w:r>
      <w:r w:rsidR="00BA53AF" w:rsidRPr="00AE141E">
        <w:rPr>
          <w:rFonts w:ascii="Times New Roman" w:hAnsi="Times New Roman" w:cs="Times New Roman"/>
          <w:sz w:val="24"/>
          <w:szCs w:val="24"/>
        </w:rPr>
        <w:t xml:space="preserve"> by the Final Report would </w:t>
      </w:r>
      <w:r w:rsidR="00CB2290" w:rsidRPr="00AE141E">
        <w:rPr>
          <w:rFonts w:ascii="Times New Roman" w:hAnsi="Times New Roman" w:cs="Times New Roman"/>
          <w:sz w:val="24"/>
          <w:szCs w:val="24"/>
        </w:rPr>
        <w:t xml:space="preserve">prove </w:t>
      </w:r>
      <w:r w:rsidR="001C4636">
        <w:rPr>
          <w:rFonts w:ascii="Times New Roman" w:hAnsi="Times New Roman" w:cs="Times New Roman"/>
          <w:sz w:val="24"/>
          <w:szCs w:val="24"/>
        </w:rPr>
        <w:t xml:space="preserve">a durable foundation for history teaching </w:t>
      </w:r>
      <w:r w:rsidR="00CB2290" w:rsidRPr="00AE141E">
        <w:rPr>
          <w:rFonts w:ascii="Times New Roman" w:hAnsi="Times New Roman" w:cs="Times New Roman"/>
          <w:sz w:val="24"/>
          <w:szCs w:val="24"/>
        </w:rPr>
        <w:t xml:space="preserve">and </w:t>
      </w:r>
      <w:r w:rsidR="001C4636">
        <w:rPr>
          <w:rFonts w:ascii="Times New Roman" w:hAnsi="Times New Roman" w:cs="Times New Roman"/>
          <w:sz w:val="24"/>
          <w:szCs w:val="24"/>
        </w:rPr>
        <w:t>for</w:t>
      </w:r>
      <w:r w:rsidR="00CB2290" w:rsidRPr="00AE141E">
        <w:rPr>
          <w:rFonts w:ascii="Times New Roman" w:hAnsi="Times New Roman" w:cs="Times New Roman"/>
          <w:sz w:val="24"/>
          <w:szCs w:val="24"/>
        </w:rPr>
        <w:t xml:space="preserve"> public confidence</w:t>
      </w:r>
      <w:r w:rsidR="001C4636">
        <w:rPr>
          <w:rFonts w:ascii="Times New Roman" w:hAnsi="Times New Roman" w:cs="Times New Roman"/>
          <w:sz w:val="24"/>
          <w:szCs w:val="24"/>
        </w:rPr>
        <w:t xml:space="preserve"> in the profession</w:t>
      </w:r>
      <w:r w:rsidR="00E6176C" w:rsidRPr="00AE141E">
        <w:rPr>
          <w:rFonts w:ascii="Times New Roman" w:hAnsi="Times New Roman" w:cs="Times New Roman"/>
          <w:sz w:val="24"/>
          <w:szCs w:val="24"/>
        </w:rPr>
        <w:t>.</w:t>
      </w:r>
    </w:p>
    <w:p w14:paraId="693E489D" w14:textId="4CF6689F" w:rsidR="005619F7" w:rsidRPr="00AE141E" w:rsidRDefault="001F7DB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sentiment of acceptance,</w:t>
      </w:r>
      <w:r w:rsidR="005B7A4A" w:rsidRPr="00AE141E">
        <w:rPr>
          <w:rFonts w:ascii="Times New Roman" w:hAnsi="Times New Roman" w:cs="Times New Roman"/>
          <w:sz w:val="24"/>
          <w:szCs w:val="24"/>
        </w:rPr>
        <w:t xml:space="preserve"> hedged with doubt</w:t>
      </w:r>
      <w:r w:rsidRPr="00AE141E">
        <w:rPr>
          <w:rFonts w:ascii="Times New Roman" w:hAnsi="Times New Roman" w:cs="Times New Roman"/>
          <w:sz w:val="24"/>
          <w:szCs w:val="24"/>
        </w:rPr>
        <w:t xml:space="preserve">, </w:t>
      </w:r>
      <w:r w:rsidR="000E0F2E" w:rsidRPr="00AE141E">
        <w:rPr>
          <w:rFonts w:ascii="Times New Roman" w:hAnsi="Times New Roman" w:cs="Times New Roman"/>
          <w:sz w:val="24"/>
          <w:szCs w:val="24"/>
        </w:rPr>
        <w:t xml:space="preserve">was </w:t>
      </w:r>
      <w:r w:rsidR="004530CC" w:rsidRPr="00AE141E">
        <w:rPr>
          <w:rFonts w:ascii="Times New Roman" w:hAnsi="Times New Roman" w:cs="Times New Roman"/>
          <w:sz w:val="24"/>
          <w:szCs w:val="24"/>
        </w:rPr>
        <w:t>shared by Ian Dawson</w:t>
      </w:r>
      <w:r w:rsidR="001C4636">
        <w:rPr>
          <w:rFonts w:ascii="Times New Roman" w:hAnsi="Times New Roman" w:cs="Times New Roman"/>
          <w:sz w:val="24"/>
          <w:szCs w:val="24"/>
        </w:rPr>
        <w:t xml:space="preserve">, </w:t>
      </w:r>
      <w:r w:rsidR="0039242A" w:rsidRPr="00AE141E">
        <w:rPr>
          <w:rFonts w:ascii="Times New Roman" w:hAnsi="Times New Roman" w:cs="Times New Roman"/>
          <w:sz w:val="24"/>
          <w:szCs w:val="24"/>
        </w:rPr>
        <w:t xml:space="preserve">a </w:t>
      </w:r>
      <w:r w:rsidR="00122C13" w:rsidRPr="00AE141E">
        <w:rPr>
          <w:rFonts w:ascii="Times New Roman" w:hAnsi="Times New Roman" w:cs="Times New Roman"/>
          <w:sz w:val="24"/>
          <w:szCs w:val="24"/>
        </w:rPr>
        <w:t xml:space="preserve">Lecturer in History at Trinity and All Saints College, </w:t>
      </w:r>
      <w:r w:rsidR="004530CC" w:rsidRPr="00AE141E">
        <w:rPr>
          <w:rFonts w:ascii="Times New Roman" w:hAnsi="Times New Roman" w:cs="Times New Roman"/>
          <w:sz w:val="24"/>
          <w:szCs w:val="24"/>
        </w:rPr>
        <w:t>who respon</w:t>
      </w:r>
      <w:r w:rsidR="001C4636">
        <w:rPr>
          <w:rFonts w:ascii="Times New Roman" w:hAnsi="Times New Roman" w:cs="Times New Roman"/>
          <w:sz w:val="24"/>
          <w:szCs w:val="24"/>
        </w:rPr>
        <w:t>ded</w:t>
      </w:r>
      <w:r w:rsidR="00122C13" w:rsidRPr="00AE141E">
        <w:rPr>
          <w:rFonts w:ascii="Times New Roman" w:hAnsi="Times New Roman" w:cs="Times New Roman"/>
          <w:sz w:val="24"/>
          <w:szCs w:val="24"/>
        </w:rPr>
        <w:t xml:space="preserve"> to the Final Report</w:t>
      </w:r>
      <w:r w:rsidR="004530CC" w:rsidRPr="00AE141E">
        <w:rPr>
          <w:rFonts w:ascii="Times New Roman" w:hAnsi="Times New Roman" w:cs="Times New Roman"/>
          <w:sz w:val="24"/>
          <w:szCs w:val="24"/>
        </w:rPr>
        <w:t xml:space="preserve"> in the HA journal </w:t>
      </w:r>
      <w:r w:rsidR="004530CC" w:rsidRPr="00AE141E">
        <w:rPr>
          <w:rFonts w:ascii="Times New Roman" w:hAnsi="Times New Roman" w:cs="Times New Roman"/>
          <w:i/>
          <w:sz w:val="24"/>
          <w:szCs w:val="24"/>
        </w:rPr>
        <w:t>Teaching History.</w:t>
      </w:r>
      <w:r w:rsidR="00122C13" w:rsidRPr="00AE141E">
        <w:rPr>
          <w:rFonts w:ascii="Times New Roman" w:hAnsi="Times New Roman" w:cs="Times New Roman"/>
          <w:i/>
          <w:sz w:val="24"/>
          <w:szCs w:val="24"/>
        </w:rPr>
        <w:t xml:space="preserve"> </w:t>
      </w:r>
      <w:r w:rsidR="00122C13" w:rsidRPr="00AE141E">
        <w:rPr>
          <w:rFonts w:ascii="Times New Roman" w:hAnsi="Times New Roman" w:cs="Times New Roman"/>
          <w:sz w:val="24"/>
          <w:szCs w:val="24"/>
        </w:rPr>
        <w:t xml:space="preserve">Dawson characterised his </w:t>
      </w:r>
      <w:r w:rsidR="00813449" w:rsidRPr="00AE141E">
        <w:rPr>
          <w:rFonts w:ascii="Times New Roman" w:hAnsi="Times New Roman" w:cs="Times New Roman"/>
          <w:sz w:val="24"/>
          <w:szCs w:val="24"/>
        </w:rPr>
        <w:t>reaction as divided between ‘head’ and ‘heart’:</w:t>
      </w:r>
    </w:p>
    <w:p w14:paraId="26AB711F" w14:textId="00BA2BCE" w:rsidR="00E74570" w:rsidRPr="00AE141E" w:rsidRDefault="005B7A4A"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My head says </w:t>
      </w:r>
      <w:r w:rsidR="008378CC">
        <w:rPr>
          <w:rFonts w:ascii="Times New Roman" w:hAnsi="Times New Roman" w:cs="Times New Roman"/>
          <w:sz w:val="24"/>
          <w:szCs w:val="24"/>
        </w:rPr>
        <w:t>“</w:t>
      </w:r>
      <w:r w:rsidRPr="00AE141E">
        <w:rPr>
          <w:rFonts w:ascii="Times New Roman" w:hAnsi="Times New Roman" w:cs="Times New Roman"/>
          <w:sz w:val="24"/>
          <w:szCs w:val="24"/>
        </w:rPr>
        <w:t>support it</w:t>
      </w:r>
      <w:r w:rsidR="008378CC">
        <w:rPr>
          <w:rFonts w:ascii="Times New Roman" w:hAnsi="Times New Roman" w:cs="Times New Roman"/>
          <w:sz w:val="24"/>
          <w:szCs w:val="24"/>
        </w:rPr>
        <w:t>”</w:t>
      </w:r>
      <w:r w:rsidRPr="00AE141E">
        <w:rPr>
          <w:rFonts w:ascii="Times New Roman" w:hAnsi="Times New Roman" w:cs="Times New Roman"/>
          <w:sz w:val="24"/>
          <w:szCs w:val="24"/>
        </w:rPr>
        <w:t xml:space="preserve"> </w:t>
      </w:r>
      <w:r w:rsidR="001C4636">
        <w:rPr>
          <w:rFonts w:ascii="Times New Roman" w:hAnsi="Times New Roman" w:cs="Times New Roman"/>
          <w:sz w:val="24"/>
          <w:szCs w:val="24"/>
        </w:rPr>
        <w:t>–</w:t>
      </w:r>
      <w:r w:rsidRPr="00AE141E">
        <w:rPr>
          <w:rFonts w:ascii="Times New Roman" w:hAnsi="Times New Roman" w:cs="Times New Roman"/>
          <w:sz w:val="24"/>
          <w:szCs w:val="24"/>
        </w:rPr>
        <w:t xml:space="preserve"> at</w:t>
      </w:r>
      <w:r w:rsidR="001C4636">
        <w:rPr>
          <w:rFonts w:ascii="Times New Roman" w:hAnsi="Times New Roman" w:cs="Times New Roman"/>
          <w:sz w:val="24"/>
          <w:szCs w:val="24"/>
        </w:rPr>
        <w:t xml:space="preserve"> </w:t>
      </w:r>
      <w:r w:rsidRPr="00AE141E">
        <w:rPr>
          <w:rFonts w:ascii="Times New Roman" w:hAnsi="Times New Roman" w:cs="Times New Roman"/>
          <w:sz w:val="24"/>
          <w:szCs w:val="24"/>
        </w:rPr>
        <w:t xml:space="preserve">least it ensures history has a place in the National Curriculum and therefore all children will study history; the Attainment Targets are better than they might have been; nothing stands still and it's bound to be improved. My heart says </w:t>
      </w:r>
      <w:r w:rsidR="008378CC">
        <w:rPr>
          <w:rFonts w:ascii="Times New Roman" w:hAnsi="Times New Roman" w:cs="Times New Roman"/>
          <w:sz w:val="24"/>
          <w:szCs w:val="24"/>
        </w:rPr>
        <w:t>“</w:t>
      </w:r>
      <w:r w:rsidRPr="00AE141E">
        <w:rPr>
          <w:rFonts w:ascii="Times New Roman" w:hAnsi="Times New Roman" w:cs="Times New Roman"/>
          <w:sz w:val="24"/>
          <w:szCs w:val="24"/>
        </w:rPr>
        <w:t>reject it</w:t>
      </w:r>
      <w:r w:rsidR="008378CC">
        <w:rPr>
          <w:rFonts w:ascii="Times New Roman" w:hAnsi="Times New Roman" w:cs="Times New Roman"/>
          <w:sz w:val="24"/>
          <w:szCs w:val="24"/>
        </w:rPr>
        <w:t>”</w:t>
      </w:r>
      <w:r w:rsidRPr="00AE141E">
        <w:rPr>
          <w:rFonts w:ascii="Times New Roman" w:hAnsi="Times New Roman" w:cs="Times New Roman"/>
          <w:sz w:val="24"/>
          <w:szCs w:val="24"/>
        </w:rPr>
        <w:t xml:space="preserve"> </w:t>
      </w:r>
      <w:r w:rsidR="008378CC">
        <w:rPr>
          <w:rFonts w:ascii="Times New Roman" w:hAnsi="Times New Roman" w:cs="Times New Roman"/>
          <w:sz w:val="24"/>
          <w:szCs w:val="24"/>
        </w:rPr>
        <w:t>–</w:t>
      </w:r>
      <w:r w:rsidRPr="00AE141E">
        <w:rPr>
          <w:rFonts w:ascii="Times New Roman" w:hAnsi="Times New Roman" w:cs="Times New Roman"/>
          <w:sz w:val="24"/>
          <w:szCs w:val="24"/>
        </w:rPr>
        <w:t xml:space="preserve"> it</w:t>
      </w:r>
      <w:r w:rsidR="008378CC">
        <w:rPr>
          <w:rFonts w:ascii="Times New Roman" w:hAnsi="Times New Roman" w:cs="Times New Roman"/>
          <w:sz w:val="24"/>
          <w:szCs w:val="24"/>
        </w:rPr>
        <w:t xml:space="preserve">’s </w:t>
      </w:r>
      <w:r w:rsidRPr="00AE141E">
        <w:rPr>
          <w:rFonts w:ascii="Times New Roman" w:hAnsi="Times New Roman" w:cs="Times New Roman"/>
          <w:sz w:val="24"/>
          <w:szCs w:val="24"/>
        </w:rPr>
        <w:t xml:space="preserve">flawed fundamentally in its approach to chronology and syllabus construction; it wastes so much existing good practice; above all it's a missed opportunity which doesn't do full justice to the people who really matter </w:t>
      </w:r>
      <w:r w:rsidR="0099433F" w:rsidRPr="00AE141E">
        <w:rPr>
          <w:rFonts w:ascii="Times New Roman" w:hAnsi="Times New Roman" w:cs="Times New Roman"/>
          <w:sz w:val="24"/>
          <w:szCs w:val="24"/>
        </w:rPr>
        <w:t>–</w:t>
      </w:r>
      <w:r w:rsidRPr="00AE141E">
        <w:rPr>
          <w:rFonts w:ascii="Times New Roman" w:hAnsi="Times New Roman" w:cs="Times New Roman"/>
          <w:sz w:val="24"/>
          <w:szCs w:val="24"/>
        </w:rPr>
        <w:t xml:space="preserve"> the</w:t>
      </w:r>
      <w:r w:rsidR="0099433F" w:rsidRPr="00AE141E">
        <w:rPr>
          <w:rFonts w:ascii="Times New Roman" w:hAnsi="Times New Roman" w:cs="Times New Roman"/>
          <w:sz w:val="24"/>
          <w:szCs w:val="24"/>
        </w:rPr>
        <w:t xml:space="preserve"> </w:t>
      </w:r>
      <w:r w:rsidRPr="00AE141E">
        <w:rPr>
          <w:rFonts w:ascii="Times New Roman" w:hAnsi="Times New Roman" w:cs="Times New Roman"/>
          <w:sz w:val="24"/>
          <w:szCs w:val="24"/>
        </w:rPr>
        <w:lastRenderedPageBreak/>
        <w:t>pupils who will study, the people from the past who are being studied and the teachers who will ensure it succeeds.</w:t>
      </w:r>
      <w:r w:rsidR="00605124" w:rsidRPr="00AE141E">
        <w:rPr>
          <w:rStyle w:val="FootnoteReference"/>
          <w:rFonts w:ascii="Times New Roman" w:hAnsi="Times New Roman" w:cs="Times New Roman"/>
          <w:sz w:val="24"/>
          <w:szCs w:val="24"/>
        </w:rPr>
        <w:footnoteReference w:id="887"/>
      </w:r>
    </w:p>
    <w:p w14:paraId="46B465C0" w14:textId="397819C1" w:rsidR="00E74570" w:rsidRPr="00AE141E" w:rsidRDefault="00E7457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Dawson’s </w:t>
      </w:r>
      <w:r w:rsidR="0099433F" w:rsidRPr="00AE141E">
        <w:rPr>
          <w:rFonts w:ascii="Times New Roman" w:hAnsi="Times New Roman" w:cs="Times New Roman"/>
          <w:sz w:val="24"/>
          <w:szCs w:val="24"/>
        </w:rPr>
        <w:t>‘head’ ultimately won.</w:t>
      </w:r>
      <w:r w:rsidR="004A2E89" w:rsidRPr="00AE141E">
        <w:rPr>
          <w:rFonts w:ascii="Times New Roman" w:hAnsi="Times New Roman" w:cs="Times New Roman"/>
          <w:sz w:val="24"/>
          <w:szCs w:val="24"/>
        </w:rPr>
        <w:t xml:space="preserve"> Despite </w:t>
      </w:r>
      <w:r w:rsidR="006539A4">
        <w:rPr>
          <w:rFonts w:ascii="Times New Roman" w:hAnsi="Times New Roman" w:cs="Times New Roman"/>
          <w:sz w:val="24"/>
          <w:szCs w:val="24"/>
        </w:rPr>
        <w:t xml:space="preserve">his </w:t>
      </w:r>
      <w:r w:rsidR="004A2E89" w:rsidRPr="00AE141E">
        <w:rPr>
          <w:rFonts w:ascii="Times New Roman" w:hAnsi="Times New Roman" w:cs="Times New Roman"/>
          <w:sz w:val="24"/>
          <w:szCs w:val="24"/>
        </w:rPr>
        <w:t xml:space="preserve">misgivings, the Final Report was the ‘best political compromise’ available in the </w:t>
      </w:r>
      <w:r w:rsidR="002F27C7" w:rsidRPr="00AE141E">
        <w:rPr>
          <w:rFonts w:ascii="Times New Roman" w:hAnsi="Times New Roman" w:cs="Times New Roman"/>
          <w:sz w:val="24"/>
          <w:szCs w:val="24"/>
        </w:rPr>
        <w:t>spring and summer of 199</w:t>
      </w:r>
      <w:r w:rsidR="00EE7BB2" w:rsidRPr="00AE141E">
        <w:rPr>
          <w:rFonts w:ascii="Times New Roman" w:hAnsi="Times New Roman" w:cs="Times New Roman"/>
          <w:sz w:val="24"/>
          <w:szCs w:val="24"/>
        </w:rPr>
        <w:t>0</w:t>
      </w:r>
      <w:r w:rsidR="006539A4">
        <w:rPr>
          <w:rFonts w:ascii="Times New Roman" w:hAnsi="Times New Roman" w:cs="Times New Roman"/>
          <w:sz w:val="24"/>
          <w:szCs w:val="24"/>
        </w:rPr>
        <w:t xml:space="preserve">, and </w:t>
      </w:r>
      <w:r w:rsidR="00A023E8" w:rsidRPr="00AE141E">
        <w:rPr>
          <w:rFonts w:ascii="Times New Roman" w:hAnsi="Times New Roman" w:cs="Times New Roman"/>
          <w:sz w:val="24"/>
          <w:szCs w:val="24"/>
        </w:rPr>
        <w:t xml:space="preserve">was certainly better than </w:t>
      </w:r>
      <w:r w:rsidR="00D63ADD" w:rsidRPr="00AE141E">
        <w:rPr>
          <w:rFonts w:ascii="Times New Roman" w:hAnsi="Times New Roman" w:cs="Times New Roman"/>
          <w:sz w:val="24"/>
          <w:szCs w:val="24"/>
        </w:rPr>
        <w:t>some of the plausible alternatives</w:t>
      </w:r>
      <w:r w:rsidR="004673AE">
        <w:rPr>
          <w:rFonts w:ascii="Times New Roman" w:hAnsi="Times New Roman" w:cs="Times New Roman"/>
          <w:sz w:val="24"/>
          <w:szCs w:val="24"/>
        </w:rPr>
        <w:t>.</w:t>
      </w:r>
    </w:p>
    <w:p w14:paraId="592F6097" w14:textId="62F4616B" w:rsidR="00EE6194" w:rsidRDefault="006F2B3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According to Phillips, this</w:t>
      </w:r>
      <w:r w:rsidR="00F11E7D" w:rsidRPr="00AE141E">
        <w:rPr>
          <w:rFonts w:ascii="Times New Roman" w:hAnsi="Times New Roman" w:cs="Times New Roman"/>
          <w:sz w:val="24"/>
          <w:szCs w:val="24"/>
        </w:rPr>
        <w:t xml:space="preserve"> ‘could be worse’ attitude </w:t>
      </w:r>
      <w:r w:rsidRPr="00AE141E">
        <w:rPr>
          <w:rFonts w:ascii="Times New Roman" w:hAnsi="Times New Roman" w:cs="Times New Roman"/>
          <w:sz w:val="24"/>
          <w:szCs w:val="24"/>
        </w:rPr>
        <w:t>permeated</w:t>
      </w:r>
      <w:r w:rsidR="00F11E7D" w:rsidRPr="00AE141E">
        <w:rPr>
          <w:rFonts w:ascii="Times New Roman" w:hAnsi="Times New Roman" w:cs="Times New Roman"/>
          <w:sz w:val="24"/>
          <w:szCs w:val="24"/>
        </w:rPr>
        <w:t xml:space="preserve"> </w:t>
      </w:r>
      <w:r w:rsidR="00487523" w:rsidRPr="00AE141E">
        <w:rPr>
          <w:rFonts w:ascii="Times New Roman" w:hAnsi="Times New Roman" w:cs="Times New Roman"/>
          <w:sz w:val="24"/>
          <w:szCs w:val="24"/>
        </w:rPr>
        <w:t>the HA</w:t>
      </w:r>
      <w:r w:rsidRPr="00AE141E">
        <w:rPr>
          <w:rFonts w:ascii="Times New Roman" w:hAnsi="Times New Roman" w:cs="Times New Roman"/>
          <w:sz w:val="24"/>
          <w:szCs w:val="24"/>
        </w:rPr>
        <w:t>.</w:t>
      </w:r>
      <w:r w:rsidR="00576329" w:rsidRPr="00AE141E">
        <w:rPr>
          <w:rStyle w:val="FootnoteReference"/>
          <w:rFonts w:ascii="Times New Roman" w:hAnsi="Times New Roman" w:cs="Times New Roman"/>
          <w:sz w:val="24"/>
          <w:szCs w:val="24"/>
        </w:rPr>
        <w:footnoteReference w:id="888"/>
      </w:r>
      <w:r w:rsidRPr="00AE141E">
        <w:rPr>
          <w:rFonts w:ascii="Times New Roman" w:hAnsi="Times New Roman" w:cs="Times New Roman"/>
          <w:sz w:val="24"/>
          <w:szCs w:val="24"/>
        </w:rPr>
        <w:t xml:space="preserve"> </w:t>
      </w:r>
      <w:r w:rsidR="00FE6CEC" w:rsidRPr="00AE141E">
        <w:rPr>
          <w:rFonts w:ascii="Times New Roman" w:hAnsi="Times New Roman" w:cs="Times New Roman"/>
          <w:sz w:val="24"/>
          <w:szCs w:val="24"/>
        </w:rPr>
        <w:t xml:space="preserve">As such, </w:t>
      </w:r>
      <w:r w:rsidR="00487523" w:rsidRPr="00AE141E">
        <w:rPr>
          <w:rFonts w:ascii="Times New Roman" w:hAnsi="Times New Roman" w:cs="Times New Roman"/>
          <w:sz w:val="24"/>
          <w:szCs w:val="24"/>
        </w:rPr>
        <w:t>members</w:t>
      </w:r>
      <w:r w:rsidR="00FE6CEC" w:rsidRPr="00AE141E">
        <w:rPr>
          <w:rFonts w:ascii="Times New Roman" w:hAnsi="Times New Roman" w:cs="Times New Roman"/>
          <w:sz w:val="24"/>
          <w:szCs w:val="24"/>
        </w:rPr>
        <w:t xml:space="preserve"> were encouraged</w:t>
      </w:r>
      <w:r w:rsidR="00F11E7D" w:rsidRPr="00AE141E">
        <w:rPr>
          <w:rFonts w:ascii="Times New Roman" w:hAnsi="Times New Roman" w:cs="Times New Roman"/>
          <w:sz w:val="24"/>
          <w:szCs w:val="24"/>
        </w:rPr>
        <w:t xml:space="preserve"> to rally around the Final Report</w:t>
      </w:r>
      <w:r w:rsidR="00487523" w:rsidRPr="00AE141E">
        <w:rPr>
          <w:rFonts w:ascii="Times New Roman" w:hAnsi="Times New Roman" w:cs="Times New Roman"/>
          <w:sz w:val="24"/>
          <w:szCs w:val="24"/>
        </w:rPr>
        <w:t xml:space="preserve">. The Association was </w:t>
      </w:r>
      <w:r w:rsidR="004673AE">
        <w:rPr>
          <w:rFonts w:ascii="Times New Roman" w:hAnsi="Times New Roman" w:cs="Times New Roman"/>
          <w:sz w:val="24"/>
          <w:szCs w:val="24"/>
        </w:rPr>
        <w:t>partly</w:t>
      </w:r>
      <w:r w:rsidR="00487523" w:rsidRPr="00AE141E">
        <w:rPr>
          <w:rFonts w:ascii="Times New Roman" w:hAnsi="Times New Roman" w:cs="Times New Roman"/>
          <w:sz w:val="24"/>
          <w:szCs w:val="24"/>
        </w:rPr>
        <w:t xml:space="preserve"> motivated by rumours that </w:t>
      </w:r>
      <w:r w:rsidR="00BF5F23" w:rsidRPr="00AE141E">
        <w:rPr>
          <w:rFonts w:ascii="Times New Roman" w:hAnsi="Times New Roman" w:cs="Times New Roman"/>
          <w:sz w:val="24"/>
          <w:szCs w:val="24"/>
        </w:rPr>
        <w:t xml:space="preserve">history was at risk of being dropped as </w:t>
      </w:r>
      <w:r w:rsidR="006344DA" w:rsidRPr="00AE141E">
        <w:rPr>
          <w:rFonts w:ascii="Times New Roman" w:hAnsi="Times New Roman" w:cs="Times New Roman"/>
          <w:sz w:val="24"/>
          <w:szCs w:val="24"/>
        </w:rPr>
        <w:t xml:space="preserve">a </w:t>
      </w:r>
      <w:r w:rsidR="004673AE">
        <w:rPr>
          <w:rFonts w:ascii="Times New Roman" w:hAnsi="Times New Roman" w:cs="Times New Roman"/>
          <w:sz w:val="24"/>
          <w:szCs w:val="24"/>
        </w:rPr>
        <w:t>F</w:t>
      </w:r>
      <w:r w:rsidR="006344DA" w:rsidRPr="00AE141E">
        <w:rPr>
          <w:rFonts w:ascii="Times New Roman" w:hAnsi="Times New Roman" w:cs="Times New Roman"/>
          <w:sz w:val="24"/>
          <w:szCs w:val="24"/>
        </w:rPr>
        <w:t xml:space="preserve">oundation </w:t>
      </w:r>
      <w:r w:rsidR="00BB15DB" w:rsidRPr="00AE141E">
        <w:rPr>
          <w:rFonts w:ascii="Times New Roman" w:hAnsi="Times New Roman" w:cs="Times New Roman"/>
          <w:sz w:val="24"/>
          <w:szCs w:val="24"/>
        </w:rPr>
        <w:t>subject</w:t>
      </w:r>
      <w:r w:rsidR="006344DA" w:rsidRPr="00AE141E">
        <w:rPr>
          <w:rFonts w:ascii="Times New Roman" w:hAnsi="Times New Roman" w:cs="Times New Roman"/>
          <w:sz w:val="24"/>
          <w:szCs w:val="24"/>
        </w:rPr>
        <w:t>.</w:t>
      </w:r>
      <w:r w:rsidR="002C72C9" w:rsidRPr="00AE141E">
        <w:rPr>
          <w:rFonts w:ascii="Times New Roman" w:hAnsi="Times New Roman" w:cs="Times New Roman"/>
          <w:sz w:val="24"/>
          <w:szCs w:val="24"/>
        </w:rPr>
        <w:t xml:space="preserve"> For the HA, the Final Report represented the ‘big prize’: a guaranteed place for history in primary and secondary classrooms</w:t>
      </w:r>
      <w:r w:rsidR="008B64F9">
        <w:rPr>
          <w:rFonts w:ascii="Times New Roman" w:hAnsi="Times New Roman" w:cs="Times New Roman"/>
          <w:sz w:val="24"/>
          <w:szCs w:val="24"/>
        </w:rPr>
        <w:t>.</w:t>
      </w:r>
      <w:r w:rsidR="00ED5C4B">
        <w:rPr>
          <w:rStyle w:val="FootnoteReference"/>
          <w:rFonts w:ascii="Times New Roman" w:hAnsi="Times New Roman" w:cs="Times New Roman"/>
          <w:sz w:val="24"/>
          <w:szCs w:val="24"/>
        </w:rPr>
        <w:footnoteReference w:id="889"/>
      </w:r>
      <w:r w:rsidR="008B64F9">
        <w:rPr>
          <w:rFonts w:ascii="Times New Roman" w:hAnsi="Times New Roman" w:cs="Times New Roman"/>
          <w:sz w:val="24"/>
          <w:szCs w:val="24"/>
        </w:rPr>
        <w:t xml:space="preserve"> </w:t>
      </w:r>
      <w:r w:rsidR="004075E2" w:rsidRPr="00AE141E">
        <w:rPr>
          <w:rFonts w:ascii="Times New Roman" w:hAnsi="Times New Roman" w:cs="Times New Roman"/>
          <w:sz w:val="24"/>
          <w:szCs w:val="24"/>
        </w:rPr>
        <w:t>To this e</w:t>
      </w:r>
      <w:r w:rsidR="00E077FD" w:rsidRPr="00AE141E">
        <w:rPr>
          <w:rFonts w:ascii="Times New Roman" w:hAnsi="Times New Roman" w:cs="Times New Roman"/>
          <w:sz w:val="24"/>
          <w:szCs w:val="24"/>
        </w:rPr>
        <w:t xml:space="preserve">nd, the </w:t>
      </w:r>
      <w:r w:rsidR="000E5B26" w:rsidRPr="00AE141E">
        <w:rPr>
          <w:rFonts w:ascii="Times New Roman" w:hAnsi="Times New Roman" w:cs="Times New Roman"/>
          <w:sz w:val="24"/>
          <w:szCs w:val="24"/>
        </w:rPr>
        <w:t xml:space="preserve">HA </w:t>
      </w:r>
      <w:r w:rsidR="008B64F9">
        <w:rPr>
          <w:rFonts w:ascii="Times New Roman" w:hAnsi="Times New Roman" w:cs="Times New Roman"/>
          <w:sz w:val="24"/>
          <w:szCs w:val="24"/>
        </w:rPr>
        <w:t xml:space="preserve">sought to build a supportive consensus at its regional conferences. It </w:t>
      </w:r>
      <w:r w:rsidR="000E5B26" w:rsidRPr="00AE141E">
        <w:rPr>
          <w:rFonts w:ascii="Times New Roman" w:hAnsi="Times New Roman" w:cs="Times New Roman"/>
          <w:sz w:val="24"/>
          <w:szCs w:val="24"/>
        </w:rPr>
        <w:t xml:space="preserve">countered objections concerning </w:t>
      </w:r>
      <w:r w:rsidR="00FD0403" w:rsidRPr="00AE141E">
        <w:rPr>
          <w:rFonts w:ascii="Times New Roman" w:hAnsi="Times New Roman" w:cs="Times New Roman"/>
          <w:sz w:val="24"/>
          <w:szCs w:val="24"/>
        </w:rPr>
        <w:t>prescription with the strategic claim that ‘teachers could be creative in their interpretation’ of the future curriculum</w:t>
      </w:r>
      <w:r w:rsidR="00BB15DB" w:rsidRPr="00AE141E">
        <w:rPr>
          <w:rFonts w:ascii="Times New Roman" w:hAnsi="Times New Roman" w:cs="Times New Roman"/>
          <w:sz w:val="24"/>
          <w:szCs w:val="24"/>
        </w:rPr>
        <w:t>.</w:t>
      </w:r>
      <w:r w:rsidR="004C3830" w:rsidRPr="00AE141E">
        <w:rPr>
          <w:rFonts w:ascii="Times New Roman" w:hAnsi="Times New Roman" w:cs="Times New Roman"/>
          <w:sz w:val="24"/>
          <w:szCs w:val="24"/>
        </w:rPr>
        <w:t xml:space="preserve"> As Dawson wrote, he could not help but hope that</w:t>
      </w:r>
      <w:r w:rsidR="004720CD" w:rsidRPr="00AE141E">
        <w:rPr>
          <w:rFonts w:ascii="Times New Roman" w:hAnsi="Times New Roman" w:cs="Times New Roman"/>
          <w:sz w:val="24"/>
          <w:szCs w:val="24"/>
        </w:rPr>
        <w:t xml:space="preserve"> </w:t>
      </w:r>
      <w:r w:rsidR="004C3830" w:rsidRPr="00AE141E">
        <w:rPr>
          <w:rFonts w:ascii="Times New Roman" w:hAnsi="Times New Roman" w:cs="Times New Roman"/>
          <w:sz w:val="24"/>
          <w:szCs w:val="24"/>
        </w:rPr>
        <w:t>‘</w:t>
      </w:r>
      <w:r w:rsidR="004720CD" w:rsidRPr="00AE141E">
        <w:rPr>
          <w:rFonts w:ascii="Times New Roman" w:hAnsi="Times New Roman" w:cs="Times New Roman"/>
          <w:sz w:val="24"/>
          <w:szCs w:val="24"/>
        </w:rPr>
        <w:t>the NCC and time will produce some improvement</w:t>
      </w:r>
      <w:r w:rsidR="00E859FA" w:rsidRPr="00AE141E">
        <w:rPr>
          <w:rFonts w:ascii="Times New Roman" w:hAnsi="Times New Roman" w:cs="Times New Roman"/>
          <w:sz w:val="24"/>
          <w:szCs w:val="24"/>
        </w:rPr>
        <w:t>s</w:t>
      </w:r>
      <w:r w:rsidR="004C3830" w:rsidRPr="00AE141E">
        <w:rPr>
          <w:rFonts w:ascii="Times New Roman" w:hAnsi="Times New Roman" w:cs="Times New Roman"/>
          <w:sz w:val="24"/>
          <w:szCs w:val="24"/>
        </w:rPr>
        <w:t>’.</w:t>
      </w:r>
      <w:r w:rsidR="00922D7B" w:rsidRPr="00AE141E">
        <w:rPr>
          <w:rStyle w:val="FootnoteReference"/>
          <w:rFonts w:ascii="Times New Roman" w:hAnsi="Times New Roman" w:cs="Times New Roman"/>
          <w:sz w:val="24"/>
          <w:szCs w:val="24"/>
        </w:rPr>
        <w:footnoteReference w:id="890"/>
      </w:r>
      <w:r w:rsidR="00BB15DB" w:rsidRPr="00AE141E">
        <w:rPr>
          <w:rFonts w:ascii="Times New Roman" w:hAnsi="Times New Roman" w:cs="Times New Roman"/>
          <w:sz w:val="24"/>
          <w:szCs w:val="24"/>
        </w:rPr>
        <w:t xml:space="preserve"> </w:t>
      </w:r>
    </w:p>
    <w:p w14:paraId="556E84B5" w14:textId="2D70B23D" w:rsidR="008762ED" w:rsidRPr="00AE141E" w:rsidRDefault="00BB15D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When faced with the threat of </w:t>
      </w:r>
      <w:r w:rsidR="00FB381A" w:rsidRPr="00AE141E">
        <w:rPr>
          <w:rFonts w:ascii="Times New Roman" w:hAnsi="Times New Roman" w:cs="Times New Roman"/>
          <w:sz w:val="24"/>
          <w:szCs w:val="24"/>
        </w:rPr>
        <w:t xml:space="preserve">history’s demotion from </w:t>
      </w:r>
      <w:r w:rsidR="00EE6194">
        <w:rPr>
          <w:rFonts w:ascii="Times New Roman" w:hAnsi="Times New Roman" w:cs="Times New Roman"/>
          <w:sz w:val="24"/>
          <w:szCs w:val="24"/>
        </w:rPr>
        <w:t>the status of F</w:t>
      </w:r>
      <w:r w:rsidR="00FB381A" w:rsidRPr="00AE141E">
        <w:rPr>
          <w:rFonts w:ascii="Times New Roman" w:hAnsi="Times New Roman" w:cs="Times New Roman"/>
          <w:sz w:val="24"/>
          <w:szCs w:val="24"/>
        </w:rPr>
        <w:t xml:space="preserve">oundation subject, the academic world </w:t>
      </w:r>
      <w:r w:rsidR="00EE6194">
        <w:rPr>
          <w:rFonts w:ascii="Times New Roman" w:hAnsi="Times New Roman" w:cs="Times New Roman"/>
          <w:sz w:val="24"/>
          <w:szCs w:val="24"/>
        </w:rPr>
        <w:t xml:space="preserve">similarly </w:t>
      </w:r>
      <w:r w:rsidR="00FB381A" w:rsidRPr="00AE141E">
        <w:rPr>
          <w:rFonts w:ascii="Times New Roman" w:hAnsi="Times New Roman" w:cs="Times New Roman"/>
          <w:sz w:val="24"/>
          <w:szCs w:val="24"/>
        </w:rPr>
        <w:t>rallied.</w:t>
      </w:r>
      <w:r w:rsidR="00C34D50" w:rsidRPr="00AE141E">
        <w:rPr>
          <w:rFonts w:ascii="Times New Roman" w:hAnsi="Times New Roman" w:cs="Times New Roman"/>
          <w:sz w:val="24"/>
          <w:szCs w:val="24"/>
        </w:rPr>
        <w:t xml:space="preserve"> An Editorial in </w:t>
      </w:r>
      <w:r w:rsidR="00C34D50" w:rsidRPr="00AE141E">
        <w:rPr>
          <w:rFonts w:ascii="Times New Roman" w:hAnsi="Times New Roman" w:cs="Times New Roman"/>
          <w:i/>
          <w:sz w:val="24"/>
          <w:szCs w:val="24"/>
        </w:rPr>
        <w:t xml:space="preserve">The Historian </w:t>
      </w:r>
      <w:r w:rsidR="00C34D50" w:rsidRPr="00AE141E">
        <w:rPr>
          <w:rFonts w:ascii="Times New Roman" w:hAnsi="Times New Roman" w:cs="Times New Roman"/>
          <w:sz w:val="24"/>
          <w:szCs w:val="24"/>
        </w:rPr>
        <w:t xml:space="preserve">reported that </w:t>
      </w:r>
      <w:r w:rsidR="009764FF" w:rsidRPr="00AE141E">
        <w:rPr>
          <w:rFonts w:ascii="Times New Roman" w:hAnsi="Times New Roman" w:cs="Times New Roman"/>
          <w:sz w:val="24"/>
          <w:szCs w:val="24"/>
        </w:rPr>
        <w:t xml:space="preserve">eminent historians, from </w:t>
      </w:r>
      <w:r w:rsidR="00C34D50" w:rsidRPr="00AE141E">
        <w:rPr>
          <w:rFonts w:ascii="Times New Roman" w:hAnsi="Times New Roman" w:cs="Times New Roman"/>
          <w:sz w:val="24"/>
          <w:szCs w:val="24"/>
        </w:rPr>
        <w:t>‘</w:t>
      </w:r>
      <w:r w:rsidR="009764FF" w:rsidRPr="00AE141E">
        <w:rPr>
          <w:rFonts w:ascii="Times New Roman" w:hAnsi="Times New Roman" w:cs="Times New Roman"/>
          <w:sz w:val="24"/>
          <w:szCs w:val="24"/>
        </w:rPr>
        <w:t>Marxist to High Tory</w:t>
      </w:r>
      <w:r w:rsidR="00C34D50" w:rsidRPr="00AE141E">
        <w:rPr>
          <w:rFonts w:ascii="Times New Roman" w:hAnsi="Times New Roman" w:cs="Times New Roman"/>
          <w:sz w:val="24"/>
          <w:szCs w:val="24"/>
        </w:rPr>
        <w:t>’</w:t>
      </w:r>
      <w:r w:rsidR="00FE09FF" w:rsidRPr="00AE141E">
        <w:rPr>
          <w:rFonts w:ascii="Times New Roman" w:hAnsi="Times New Roman" w:cs="Times New Roman"/>
          <w:sz w:val="24"/>
          <w:szCs w:val="24"/>
        </w:rPr>
        <w:t>,</w:t>
      </w:r>
      <w:r w:rsidR="009764FF" w:rsidRPr="00AE141E">
        <w:rPr>
          <w:rFonts w:ascii="Times New Roman" w:hAnsi="Times New Roman" w:cs="Times New Roman"/>
          <w:sz w:val="24"/>
          <w:szCs w:val="24"/>
        </w:rPr>
        <w:t xml:space="preserve"> were prepared to de</w:t>
      </w:r>
      <w:r w:rsidR="00C34D50" w:rsidRPr="00AE141E">
        <w:rPr>
          <w:rFonts w:ascii="Times New Roman" w:hAnsi="Times New Roman" w:cs="Times New Roman"/>
          <w:sz w:val="24"/>
          <w:szCs w:val="24"/>
        </w:rPr>
        <w:t>cl</w:t>
      </w:r>
      <w:r w:rsidR="009764FF" w:rsidRPr="00AE141E">
        <w:rPr>
          <w:rFonts w:ascii="Times New Roman" w:hAnsi="Times New Roman" w:cs="Times New Roman"/>
          <w:sz w:val="24"/>
          <w:szCs w:val="24"/>
        </w:rPr>
        <w:t xml:space="preserve">are </w:t>
      </w:r>
      <w:r w:rsidR="00AC3F2E" w:rsidRPr="00AE141E">
        <w:rPr>
          <w:rFonts w:ascii="Times New Roman" w:hAnsi="Times New Roman" w:cs="Times New Roman"/>
          <w:sz w:val="24"/>
          <w:szCs w:val="24"/>
        </w:rPr>
        <w:t>‘</w:t>
      </w:r>
      <w:r w:rsidR="009764FF" w:rsidRPr="00AE141E">
        <w:rPr>
          <w:rFonts w:ascii="Times New Roman" w:hAnsi="Times New Roman" w:cs="Times New Roman"/>
          <w:sz w:val="24"/>
          <w:szCs w:val="24"/>
        </w:rPr>
        <w:t>an uneasy truce</w:t>
      </w:r>
      <w:r w:rsidR="00AC3F2E" w:rsidRPr="00AE141E">
        <w:rPr>
          <w:rFonts w:ascii="Times New Roman" w:hAnsi="Times New Roman" w:cs="Times New Roman"/>
          <w:sz w:val="24"/>
          <w:szCs w:val="24"/>
        </w:rPr>
        <w:t>’</w:t>
      </w:r>
      <w:r w:rsidR="00FE09FF" w:rsidRPr="00AE141E">
        <w:rPr>
          <w:rFonts w:ascii="Times New Roman" w:hAnsi="Times New Roman" w:cs="Times New Roman"/>
          <w:sz w:val="24"/>
          <w:szCs w:val="24"/>
        </w:rPr>
        <w:t xml:space="preserve"> to </w:t>
      </w:r>
      <w:r w:rsidR="00AC3F2E" w:rsidRPr="00AE141E">
        <w:rPr>
          <w:rFonts w:ascii="Times New Roman" w:hAnsi="Times New Roman" w:cs="Times New Roman"/>
          <w:sz w:val="24"/>
          <w:szCs w:val="24"/>
        </w:rPr>
        <w:t>demonstrat</w:t>
      </w:r>
      <w:r w:rsidR="00FE09FF" w:rsidRPr="00AE141E">
        <w:rPr>
          <w:rFonts w:ascii="Times New Roman" w:hAnsi="Times New Roman" w:cs="Times New Roman"/>
          <w:sz w:val="24"/>
          <w:szCs w:val="24"/>
        </w:rPr>
        <w:t>e</w:t>
      </w:r>
      <w:r w:rsidR="00AC3F2E" w:rsidRPr="00AE141E">
        <w:rPr>
          <w:rFonts w:ascii="Times New Roman" w:hAnsi="Times New Roman" w:cs="Times New Roman"/>
          <w:sz w:val="24"/>
          <w:szCs w:val="24"/>
        </w:rPr>
        <w:t xml:space="preserve"> </w:t>
      </w:r>
      <w:r w:rsidR="005B50E0" w:rsidRPr="00AE141E">
        <w:rPr>
          <w:rFonts w:ascii="Times New Roman" w:hAnsi="Times New Roman" w:cs="Times New Roman"/>
          <w:sz w:val="24"/>
          <w:szCs w:val="24"/>
        </w:rPr>
        <w:t>t</w:t>
      </w:r>
      <w:r w:rsidR="00D229DB" w:rsidRPr="00AE141E">
        <w:rPr>
          <w:rFonts w:ascii="Times New Roman" w:hAnsi="Times New Roman" w:cs="Times New Roman"/>
          <w:sz w:val="24"/>
          <w:szCs w:val="24"/>
        </w:rPr>
        <w:t xml:space="preserve">o the Secretary of State </w:t>
      </w:r>
      <w:r w:rsidR="009764FF" w:rsidRPr="00AE141E">
        <w:rPr>
          <w:rFonts w:ascii="Times New Roman" w:hAnsi="Times New Roman" w:cs="Times New Roman"/>
          <w:sz w:val="24"/>
          <w:szCs w:val="24"/>
        </w:rPr>
        <w:t xml:space="preserve">that </w:t>
      </w:r>
      <w:r w:rsidR="00AC3F2E" w:rsidRPr="00AE141E">
        <w:rPr>
          <w:rFonts w:ascii="Times New Roman" w:hAnsi="Times New Roman" w:cs="Times New Roman"/>
          <w:sz w:val="24"/>
          <w:szCs w:val="24"/>
        </w:rPr>
        <w:t>t</w:t>
      </w:r>
      <w:r w:rsidR="00FE09FF" w:rsidRPr="00AE141E">
        <w:rPr>
          <w:rFonts w:ascii="Times New Roman" w:hAnsi="Times New Roman" w:cs="Times New Roman"/>
          <w:sz w:val="24"/>
          <w:szCs w:val="24"/>
        </w:rPr>
        <w:t>h</w:t>
      </w:r>
      <w:r w:rsidR="00AC3F2E" w:rsidRPr="00AE141E">
        <w:rPr>
          <w:rFonts w:ascii="Times New Roman" w:hAnsi="Times New Roman" w:cs="Times New Roman"/>
          <w:sz w:val="24"/>
          <w:szCs w:val="24"/>
        </w:rPr>
        <w:t>eir feud</w:t>
      </w:r>
      <w:r w:rsidR="009764FF" w:rsidRPr="00AE141E">
        <w:rPr>
          <w:rFonts w:ascii="Times New Roman" w:hAnsi="Times New Roman" w:cs="Times New Roman"/>
          <w:sz w:val="24"/>
          <w:szCs w:val="24"/>
        </w:rPr>
        <w:t xml:space="preserve"> was </w:t>
      </w:r>
      <w:r w:rsidR="00AC3F2E" w:rsidRPr="00AE141E">
        <w:rPr>
          <w:rFonts w:ascii="Times New Roman" w:hAnsi="Times New Roman" w:cs="Times New Roman"/>
          <w:sz w:val="24"/>
          <w:szCs w:val="24"/>
        </w:rPr>
        <w:t>‘</w:t>
      </w:r>
      <w:r w:rsidR="009764FF" w:rsidRPr="00AE141E">
        <w:rPr>
          <w:rFonts w:ascii="Times New Roman" w:hAnsi="Times New Roman" w:cs="Times New Roman"/>
          <w:sz w:val="24"/>
          <w:szCs w:val="24"/>
        </w:rPr>
        <w:t>nothing but healthy public debate</w:t>
      </w:r>
      <w:r w:rsidR="00AC3F2E" w:rsidRPr="00AE141E">
        <w:rPr>
          <w:rFonts w:ascii="Times New Roman" w:hAnsi="Times New Roman" w:cs="Times New Roman"/>
          <w:sz w:val="24"/>
          <w:szCs w:val="24"/>
        </w:rPr>
        <w:t>’</w:t>
      </w:r>
      <w:r w:rsidR="00151329" w:rsidRPr="00AE141E">
        <w:rPr>
          <w:rFonts w:ascii="Times New Roman" w:hAnsi="Times New Roman" w:cs="Times New Roman"/>
          <w:sz w:val="24"/>
          <w:szCs w:val="24"/>
        </w:rPr>
        <w:t>.</w:t>
      </w:r>
      <w:r w:rsidR="00E859FA" w:rsidRPr="00AE141E">
        <w:rPr>
          <w:rStyle w:val="FootnoteReference"/>
          <w:rFonts w:ascii="Times New Roman" w:hAnsi="Times New Roman" w:cs="Times New Roman"/>
          <w:sz w:val="24"/>
          <w:szCs w:val="24"/>
        </w:rPr>
        <w:footnoteReference w:id="891"/>
      </w:r>
      <w:r w:rsidR="00D229DB" w:rsidRPr="00AE141E">
        <w:rPr>
          <w:rFonts w:ascii="Times New Roman" w:hAnsi="Times New Roman" w:cs="Times New Roman"/>
          <w:sz w:val="24"/>
          <w:szCs w:val="24"/>
        </w:rPr>
        <w:t xml:space="preserve"> At all levels of education, i</w:t>
      </w:r>
      <w:r w:rsidR="008A1EB8" w:rsidRPr="00AE141E">
        <w:rPr>
          <w:rFonts w:ascii="Times New Roman" w:hAnsi="Times New Roman" w:cs="Times New Roman"/>
          <w:sz w:val="24"/>
          <w:szCs w:val="24"/>
        </w:rPr>
        <w:t>t seems that c</w:t>
      </w:r>
      <w:r w:rsidR="008762ED" w:rsidRPr="00AE141E">
        <w:rPr>
          <w:rFonts w:ascii="Times New Roman" w:hAnsi="Times New Roman" w:cs="Times New Roman"/>
          <w:sz w:val="24"/>
          <w:szCs w:val="24"/>
        </w:rPr>
        <w:t>ompromise</w:t>
      </w:r>
      <w:r w:rsidR="00813092" w:rsidRPr="00AE141E">
        <w:rPr>
          <w:rFonts w:ascii="Times New Roman" w:hAnsi="Times New Roman" w:cs="Times New Roman"/>
          <w:sz w:val="24"/>
          <w:szCs w:val="24"/>
        </w:rPr>
        <w:t xml:space="preserve"> </w:t>
      </w:r>
      <w:r w:rsidR="00A17CF3" w:rsidRPr="00AE141E">
        <w:rPr>
          <w:rFonts w:ascii="Times New Roman" w:hAnsi="Times New Roman" w:cs="Times New Roman"/>
          <w:sz w:val="24"/>
          <w:szCs w:val="24"/>
        </w:rPr>
        <w:t>was accepted</w:t>
      </w:r>
      <w:r w:rsidR="00922D7B" w:rsidRPr="00AE141E">
        <w:rPr>
          <w:rFonts w:ascii="Times New Roman" w:hAnsi="Times New Roman" w:cs="Times New Roman"/>
          <w:sz w:val="24"/>
          <w:szCs w:val="24"/>
        </w:rPr>
        <w:t>. A</w:t>
      </w:r>
      <w:r w:rsidR="00530B81" w:rsidRPr="00AE141E">
        <w:rPr>
          <w:rFonts w:ascii="Times New Roman" w:hAnsi="Times New Roman" w:cs="Times New Roman"/>
          <w:sz w:val="24"/>
          <w:szCs w:val="24"/>
        </w:rPr>
        <w:t xml:space="preserve"> (conditional, hesitant) </w:t>
      </w:r>
      <w:r w:rsidR="00A17CF3" w:rsidRPr="00AE141E">
        <w:rPr>
          <w:rFonts w:ascii="Times New Roman" w:hAnsi="Times New Roman" w:cs="Times New Roman"/>
          <w:sz w:val="24"/>
          <w:szCs w:val="24"/>
        </w:rPr>
        <w:t xml:space="preserve">consensus </w:t>
      </w:r>
      <w:r w:rsidR="00922D7B" w:rsidRPr="00AE141E">
        <w:rPr>
          <w:rFonts w:ascii="Times New Roman" w:hAnsi="Times New Roman" w:cs="Times New Roman"/>
          <w:sz w:val="24"/>
          <w:szCs w:val="24"/>
        </w:rPr>
        <w:t xml:space="preserve">was </w:t>
      </w:r>
      <w:r w:rsidR="00A17CF3" w:rsidRPr="00AE141E">
        <w:rPr>
          <w:rFonts w:ascii="Times New Roman" w:hAnsi="Times New Roman" w:cs="Times New Roman"/>
          <w:sz w:val="24"/>
          <w:szCs w:val="24"/>
        </w:rPr>
        <w:t>constructed to</w:t>
      </w:r>
      <w:r w:rsidR="008762ED" w:rsidRPr="00AE141E">
        <w:rPr>
          <w:rFonts w:ascii="Times New Roman" w:hAnsi="Times New Roman" w:cs="Times New Roman"/>
          <w:sz w:val="24"/>
          <w:szCs w:val="24"/>
        </w:rPr>
        <w:t xml:space="preserve"> preserve </w:t>
      </w:r>
      <w:r w:rsidR="002A65F2" w:rsidRPr="00AE141E">
        <w:rPr>
          <w:rFonts w:ascii="Times New Roman" w:hAnsi="Times New Roman" w:cs="Times New Roman"/>
          <w:sz w:val="24"/>
          <w:szCs w:val="24"/>
        </w:rPr>
        <w:t>history’s status</w:t>
      </w:r>
      <w:r w:rsidR="005D0383" w:rsidRPr="00AE141E">
        <w:rPr>
          <w:rFonts w:ascii="Times New Roman" w:hAnsi="Times New Roman" w:cs="Times New Roman"/>
          <w:sz w:val="24"/>
          <w:szCs w:val="24"/>
        </w:rPr>
        <w:t xml:space="preserve"> as a discipline</w:t>
      </w:r>
      <w:r w:rsidR="002A65F2" w:rsidRPr="00AE141E">
        <w:rPr>
          <w:rFonts w:ascii="Times New Roman" w:hAnsi="Times New Roman" w:cs="Times New Roman"/>
          <w:sz w:val="24"/>
          <w:szCs w:val="24"/>
        </w:rPr>
        <w:t xml:space="preserve"> – and </w:t>
      </w:r>
      <w:r w:rsidR="005D0383" w:rsidRPr="00AE141E">
        <w:rPr>
          <w:rFonts w:ascii="Times New Roman" w:hAnsi="Times New Roman" w:cs="Times New Roman"/>
          <w:sz w:val="24"/>
          <w:szCs w:val="24"/>
        </w:rPr>
        <w:t>that of its</w:t>
      </w:r>
      <w:r w:rsidR="002A65F2" w:rsidRPr="00AE141E">
        <w:rPr>
          <w:rFonts w:ascii="Times New Roman" w:hAnsi="Times New Roman" w:cs="Times New Roman"/>
          <w:sz w:val="24"/>
          <w:szCs w:val="24"/>
        </w:rPr>
        <w:t xml:space="preserve"> teachers.</w:t>
      </w:r>
    </w:p>
    <w:p w14:paraId="166F2330" w14:textId="483894E2" w:rsidR="006C3C7D" w:rsidRPr="00AE141E" w:rsidRDefault="00175F0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Complaints which reached the </w:t>
      </w:r>
      <w:r w:rsidR="002B2AE6" w:rsidRPr="00AE141E">
        <w:rPr>
          <w:rFonts w:ascii="Times New Roman" w:hAnsi="Times New Roman" w:cs="Times New Roman"/>
          <w:sz w:val="24"/>
          <w:szCs w:val="24"/>
        </w:rPr>
        <w:t>DES</w:t>
      </w:r>
      <w:r w:rsidR="009570C4" w:rsidRPr="00AE141E">
        <w:rPr>
          <w:rFonts w:ascii="Times New Roman" w:hAnsi="Times New Roman" w:cs="Times New Roman"/>
          <w:sz w:val="24"/>
          <w:szCs w:val="24"/>
        </w:rPr>
        <w:t xml:space="preserve"> as part of the consultation process</w:t>
      </w:r>
      <w:r w:rsidR="002B2AE6" w:rsidRPr="00AE141E">
        <w:rPr>
          <w:rFonts w:ascii="Times New Roman" w:hAnsi="Times New Roman" w:cs="Times New Roman"/>
          <w:sz w:val="24"/>
          <w:szCs w:val="24"/>
        </w:rPr>
        <w:t xml:space="preserve"> </w:t>
      </w:r>
      <w:r w:rsidR="009570C4" w:rsidRPr="00AE141E">
        <w:rPr>
          <w:rFonts w:ascii="Times New Roman" w:hAnsi="Times New Roman" w:cs="Times New Roman"/>
          <w:sz w:val="24"/>
          <w:szCs w:val="24"/>
        </w:rPr>
        <w:t>indicated</w:t>
      </w:r>
      <w:r w:rsidR="00B36A42" w:rsidRPr="00AE141E">
        <w:rPr>
          <w:rFonts w:ascii="Times New Roman" w:hAnsi="Times New Roman" w:cs="Times New Roman"/>
          <w:sz w:val="24"/>
          <w:szCs w:val="24"/>
        </w:rPr>
        <w:t xml:space="preserve"> </w:t>
      </w:r>
      <w:r w:rsidR="0074281B" w:rsidRPr="00AE141E">
        <w:rPr>
          <w:rFonts w:ascii="Times New Roman" w:hAnsi="Times New Roman" w:cs="Times New Roman"/>
          <w:sz w:val="24"/>
          <w:szCs w:val="24"/>
        </w:rPr>
        <w:t>enduring</w:t>
      </w:r>
      <w:r w:rsidR="009570C4" w:rsidRPr="00AE141E">
        <w:rPr>
          <w:rFonts w:ascii="Times New Roman" w:hAnsi="Times New Roman" w:cs="Times New Roman"/>
          <w:sz w:val="24"/>
          <w:szCs w:val="24"/>
        </w:rPr>
        <w:t>,</w:t>
      </w:r>
      <w:r w:rsidR="00B36A42" w:rsidRPr="00AE141E">
        <w:rPr>
          <w:rFonts w:ascii="Times New Roman" w:hAnsi="Times New Roman" w:cs="Times New Roman"/>
          <w:sz w:val="24"/>
          <w:szCs w:val="24"/>
        </w:rPr>
        <w:t xml:space="preserve"> practical concerns regarding </w:t>
      </w:r>
      <w:r w:rsidR="00DE4A00" w:rsidRPr="00AE141E">
        <w:rPr>
          <w:rFonts w:ascii="Times New Roman" w:hAnsi="Times New Roman" w:cs="Times New Roman"/>
          <w:sz w:val="24"/>
          <w:szCs w:val="24"/>
        </w:rPr>
        <w:t>resource</w:t>
      </w:r>
      <w:r w:rsidR="00FA2492" w:rsidRPr="00AE141E">
        <w:rPr>
          <w:rFonts w:ascii="Times New Roman" w:hAnsi="Times New Roman" w:cs="Times New Roman"/>
          <w:sz w:val="24"/>
          <w:szCs w:val="24"/>
        </w:rPr>
        <w:t xml:space="preserve"> </w:t>
      </w:r>
      <w:r w:rsidR="00DE4A00" w:rsidRPr="00AE141E">
        <w:rPr>
          <w:rFonts w:ascii="Times New Roman" w:hAnsi="Times New Roman" w:cs="Times New Roman"/>
          <w:sz w:val="24"/>
          <w:szCs w:val="24"/>
        </w:rPr>
        <w:t xml:space="preserve">constraints and the extra burden which the National Curriculum would </w:t>
      </w:r>
      <w:r w:rsidR="0074281B" w:rsidRPr="00AE141E">
        <w:rPr>
          <w:rFonts w:ascii="Times New Roman" w:hAnsi="Times New Roman" w:cs="Times New Roman"/>
          <w:sz w:val="24"/>
          <w:szCs w:val="24"/>
        </w:rPr>
        <w:t>represent for limited school budgets.</w:t>
      </w:r>
      <w:r w:rsidR="00F1636E" w:rsidRPr="00AE141E">
        <w:rPr>
          <w:rStyle w:val="FootnoteReference"/>
          <w:rFonts w:ascii="Times New Roman" w:hAnsi="Times New Roman" w:cs="Times New Roman"/>
          <w:sz w:val="24"/>
          <w:szCs w:val="24"/>
        </w:rPr>
        <w:footnoteReference w:id="892"/>
      </w:r>
      <w:r w:rsidR="00DE4A00" w:rsidRPr="00AE141E">
        <w:rPr>
          <w:rFonts w:ascii="Times New Roman" w:hAnsi="Times New Roman" w:cs="Times New Roman"/>
          <w:sz w:val="24"/>
          <w:szCs w:val="24"/>
        </w:rPr>
        <w:t xml:space="preserve"> </w:t>
      </w:r>
      <w:r w:rsidR="00CB3E38">
        <w:rPr>
          <w:rFonts w:ascii="Times New Roman" w:hAnsi="Times New Roman" w:cs="Times New Roman"/>
          <w:sz w:val="24"/>
          <w:szCs w:val="24"/>
        </w:rPr>
        <w:t>Some s</w:t>
      </w:r>
      <w:r w:rsidR="00FC13BC" w:rsidRPr="00AE141E">
        <w:rPr>
          <w:rFonts w:ascii="Times New Roman" w:hAnsi="Times New Roman" w:cs="Times New Roman"/>
          <w:sz w:val="24"/>
          <w:szCs w:val="24"/>
        </w:rPr>
        <w:t>ignificant pedagogical and ideological objections</w:t>
      </w:r>
      <w:r w:rsidR="00CB3E38">
        <w:rPr>
          <w:rFonts w:ascii="Times New Roman" w:hAnsi="Times New Roman" w:cs="Times New Roman"/>
          <w:sz w:val="24"/>
          <w:szCs w:val="24"/>
        </w:rPr>
        <w:t xml:space="preserve"> also remained</w:t>
      </w:r>
      <w:r w:rsidR="00FC13BC" w:rsidRPr="00AE141E">
        <w:rPr>
          <w:rFonts w:ascii="Times New Roman" w:hAnsi="Times New Roman" w:cs="Times New Roman"/>
          <w:sz w:val="24"/>
          <w:szCs w:val="24"/>
        </w:rPr>
        <w:t>.</w:t>
      </w:r>
      <w:r w:rsidR="00393444" w:rsidRPr="00AE141E">
        <w:rPr>
          <w:rFonts w:ascii="Times New Roman" w:hAnsi="Times New Roman" w:cs="Times New Roman"/>
          <w:sz w:val="24"/>
          <w:szCs w:val="24"/>
        </w:rPr>
        <w:t xml:space="preserve"> These fell into two major categories</w:t>
      </w:r>
      <w:r w:rsidR="002944B1" w:rsidRPr="00AE141E">
        <w:rPr>
          <w:rFonts w:ascii="Times New Roman" w:hAnsi="Times New Roman" w:cs="Times New Roman"/>
          <w:sz w:val="24"/>
          <w:szCs w:val="24"/>
        </w:rPr>
        <w:t xml:space="preserve">: the </w:t>
      </w:r>
      <w:r w:rsidR="00B86F9B" w:rsidRPr="00AE141E">
        <w:rPr>
          <w:rFonts w:ascii="Times New Roman" w:hAnsi="Times New Roman" w:cs="Times New Roman"/>
          <w:sz w:val="24"/>
          <w:szCs w:val="24"/>
        </w:rPr>
        <w:t>restrictions</w:t>
      </w:r>
      <w:r w:rsidR="002944B1" w:rsidRPr="00AE141E">
        <w:rPr>
          <w:rFonts w:ascii="Times New Roman" w:hAnsi="Times New Roman" w:cs="Times New Roman"/>
          <w:sz w:val="24"/>
          <w:szCs w:val="24"/>
        </w:rPr>
        <w:t xml:space="preserve"> </w:t>
      </w:r>
      <w:r w:rsidR="002944B1" w:rsidRPr="00AE141E">
        <w:rPr>
          <w:rFonts w:ascii="Times New Roman" w:hAnsi="Times New Roman" w:cs="Times New Roman"/>
          <w:sz w:val="24"/>
          <w:szCs w:val="24"/>
        </w:rPr>
        <w:lastRenderedPageBreak/>
        <w:t xml:space="preserve">placed </w:t>
      </w:r>
      <w:r w:rsidR="00B86F9B" w:rsidRPr="00AE141E">
        <w:rPr>
          <w:rFonts w:ascii="Times New Roman" w:hAnsi="Times New Roman" w:cs="Times New Roman"/>
          <w:sz w:val="24"/>
          <w:szCs w:val="24"/>
        </w:rPr>
        <w:t>o</w:t>
      </w:r>
      <w:r w:rsidR="002944B1" w:rsidRPr="00AE141E">
        <w:rPr>
          <w:rFonts w:ascii="Times New Roman" w:hAnsi="Times New Roman" w:cs="Times New Roman"/>
          <w:sz w:val="24"/>
          <w:szCs w:val="24"/>
        </w:rPr>
        <w:t xml:space="preserve">n teachers’ professional </w:t>
      </w:r>
      <w:r w:rsidR="00B86F9B" w:rsidRPr="00AE141E">
        <w:rPr>
          <w:rFonts w:ascii="Times New Roman" w:hAnsi="Times New Roman" w:cs="Times New Roman"/>
          <w:sz w:val="24"/>
          <w:szCs w:val="24"/>
        </w:rPr>
        <w:t>autonomy</w:t>
      </w:r>
      <w:r w:rsidR="002944B1" w:rsidRPr="00AE141E">
        <w:rPr>
          <w:rFonts w:ascii="Times New Roman" w:hAnsi="Times New Roman" w:cs="Times New Roman"/>
          <w:sz w:val="24"/>
          <w:szCs w:val="24"/>
        </w:rPr>
        <w:t xml:space="preserve"> </w:t>
      </w:r>
      <w:r w:rsidR="00B86F9B" w:rsidRPr="00AE141E">
        <w:rPr>
          <w:rFonts w:ascii="Times New Roman" w:hAnsi="Times New Roman" w:cs="Times New Roman"/>
          <w:sz w:val="24"/>
          <w:szCs w:val="24"/>
        </w:rPr>
        <w:t>and</w:t>
      </w:r>
      <w:r w:rsidR="002944B1" w:rsidRPr="00AE141E">
        <w:rPr>
          <w:rFonts w:ascii="Times New Roman" w:hAnsi="Times New Roman" w:cs="Times New Roman"/>
          <w:sz w:val="24"/>
          <w:szCs w:val="24"/>
        </w:rPr>
        <w:t xml:space="preserve"> </w:t>
      </w:r>
      <w:r w:rsidR="00B86F9B" w:rsidRPr="00AE141E">
        <w:rPr>
          <w:rFonts w:ascii="Times New Roman" w:hAnsi="Times New Roman" w:cs="Times New Roman"/>
          <w:sz w:val="24"/>
          <w:szCs w:val="24"/>
        </w:rPr>
        <w:t>the overwhelming dominance of British history.</w:t>
      </w:r>
      <w:r w:rsidR="006C3C7D" w:rsidRPr="00AE141E">
        <w:rPr>
          <w:rFonts w:ascii="Times New Roman" w:hAnsi="Times New Roman" w:cs="Times New Roman"/>
          <w:sz w:val="24"/>
          <w:szCs w:val="24"/>
        </w:rPr>
        <w:t xml:space="preserve"> </w:t>
      </w:r>
      <w:r w:rsidR="004B18C4" w:rsidRPr="00AE141E">
        <w:rPr>
          <w:rFonts w:ascii="Times New Roman" w:hAnsi="Times New Roman" w:cs="Times New Roman"/>
          <w:sz w:val="24"/>
          <w:szCs w:val="24"/>
        </w:rPr>
        <w:t xml:space="preserve">Both were widely shared. </w:t>
      </w:r>
      <w:r w:rsidR="006C3C7D" w:rsidRPr="00AE141E">
        <w:rPr>
          <w:rFonts w:ascii="Times New Roman" w:hAnsi="Times New Roman" w:cs="Times New Roman"/>
          <w:sz w:val="24"/>
          <w:szCs w:val="24"/>
        </w:rPr>
        <w:t>In both primary and secondary school responses, ‘the commonest critical adjective was “prescriptive”.’</w:t>
      </w:r>
      <w:r w:rsidR="0073632C" w:rsidRPr="00AE141E">
        <w:rPr>
          <w:rFonts w:ascii="Times New Roman" w:hAnsi="Times New Roman" w:cs="Times New Roman"/>
          <w:sz w:val="24"/>
          <w:szCs w:val="24"/>
        </w:rPr>
        <w:t xml:space="preserve"> Additionally,</w:t>
      </w:r>
    </w:p>
    <w:p w14:paraId="3DCF4634" w14:textId="51FD8776" w:rsidR="002B2AE6" w:rsidRPr="00AE141E" w:rsidRDefault="002B2AE6" w:rsidP="00AE141E">
      <w:pPr>
        <w:spacing w:line="360" w:lineRule="auto"/>
        <w:ind w:left="720"/>
        <w:rPr>
          <w:rFonts w:ascii="Times New Roman" w:hAnsi="Times New Roman" w:cs="Times New Roman"/>
          <w:sz w:val="24"/>
          <w:szCs w:val="24"/>
        </w:rPr>
      </w:pPr>
      <w:r w:rsidRPr="00AE141E">
        <w:rPr>
          <w:rFonts w:ascii="Times New Roman" w:hAnsi="Times New Roman" w:cs="Times New Roman"/>
          <w:sz w:val="24"/>
          <w:szCs w:val="24"/>
        </w:rPr>
        <w:t xml:space="preserve">With only a few exceptions, respondents felt that there is now too much British </w:t>
      </w:r>
      <w:r w:rsidR="00CB3E38">
        <w:rPr>
          <w:rFonts w:ascii="Times New Roman" w:hAnsi="Times New Roman" w:cs="Times New Roman"/>
          <w:sz w:val="24"/>
          <w:szCs w:val="24"/>
        </w:rPr>
        <w:t>h</w:t>
      </w:r>
      <w:r w:rsidRPr="00AE141E">
        <w:rPr>
          <w:rFonts w:ascii="Times New Roman" w:hAnsi="Times New Roman" w:cs="Times New Roman"/>
          <w:sz w:val="24"/>
          <w:szCs w:val="24"/>
        </w:rPr>
        <w:t>istory in the course, with European history and, to a lesser extent, world history being seriously neglected. Many also felt that the British history is Anglocentric, with the inclusion of Welsh, Scottish and Irish topics in the HSUs being largely tokenistic. On top of this, many also felt they could detect an ethnocentric, monocultural approach to this subject.</w:t>
      </w:r>
      <w:r w:rsidR="00082B57" w:rsidRPr="00AE141E">
        <w:rPr>
          <w:rStyle w:val="FootnoteReference"/>
          <w:rFonts w:ascii="Times New Roman" w:hAnsi="Times New Roman" w:cs="Times New Roman"/>
          <w:sz w:val="24"/>
          <w:szCs w:val="24"/>
        </w:rPr>
        <w:footnoteReference w:id="893"/>
      </w:r>
    </w:p>
    <w:p w14:paraId="1D595DEE" w14:textId="1883A30E" w:rsidR="00AE74FA" w:rsidRPr="00AE141E" w:rsidRDefault="00D7221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 some cases, objections framed </w:t>
      </w:r>
      <w:r w:rsidR="00752E61" w:rsidRPr="00AE141E">
        <w:rPr>
          <w:rFonts w:ascii="Times New Roman" w:hAnsi="Times New Roman" w:cs="Times New Roman"/>
          <w:sz w:val="24"/>
          <w:szCs w:val="24"/>
        </w:rPr>
        <w:t>the Report as a missed opportunity to embed the lessons of multicultural education in the National Curriculum.</w:t>
      </w:r>
      <w:r w:rsidR="0022077A" w:rsidRPr="00AE141E">
        <w:rPr>
          <w:rFonts w:ascii="Times New Roman" w:hAnsi="Times New Roman" w:cs="Times New Roman"/>
          <w:sz w:val="24"/>
          <w:szCs w:val="24"/>
        </w:rPr>
        <w:t xml:space="preserve"> </w:t>
      </w:r>
      <w:r w:rsidR="004C3E65" w:rsidRPr="00AE141E">
        <w:rPr>
          <w:rFonts w:ascii="Times New Roman" w:hAnsi="Times New Roman" w:cs="Times New Roman"/>
          <w:sz w:val="24"/>
          <w:szCs w:val="24"/>
        </w:rPr>
        <w:t>Schools regretted the absence of opportunities to teach pupils ‘about their roots’</w:t>
      </w:r>
      <w:r w:rsidR="00D558B5" w:rsidRPr="00AE141E">
        <w:rPr>
          <w:rFonts w:ascii="Times New Roman" w:hAnsi="Times New Roman" w:cs="Times New Roman"/>
          <w:sz w:val="24"/>
          <w:szCs w:val="24"/>
        </w:rPr>
        <w:t>, for example</w:t>
      </w:r>
      <w:r w:rsidR="004C3E65" w:rsidRPr="00AE141E">
        <w:rPr>
          <w:rFonts w:ascii="Times New Roman" w:hAnsi="Times New Roman" w:cs="Times New Roman"/>
          <w:sz w:val="24"/>
          <w:szCs w:val="24"/>
        </w:rPr>
        <w:t xml:space="preserve"> </w:t>
      </w:r>
      <w:r w:rsidR="00D558B5" w:rsidRPr="00AE141E">
        <w:rPr>
          <w:rFonts w:ascii="Times New Roman" w:hAnsi="Times New Roman" w:cs="Times New Roman"/>
          <w:sz w:val="24"/>
          <w:szCs w:val="24"/>
        </w:rPr>
        <w:t>‘</w:t>
      </w:r>
      <w:r w:rsidR="004C3E65" w:rsidRPr="00AE141E">
        <w:rPr>
          <w:rFonts w:ascii="Times New Roman" w:hAnsi="Times New Roman" w:cs="Times New Roman"/>
          <w:sz w:val="24"/>
          <w:szCs w:val="24"/>
        </w:rPr>
        <w:t>pre-colonial Africa</w:t>
      </w:r>
      <w:r w:rsidR="00D558B5" w:rsidRPr="00AE141E">
        <w:rPr>
          <w:rFonts w:ascii="Times New Roman" w:hAnsi="Times New Roman" w:cs="Times New Roman"/>
          <w:sz w:val="24"/>
          <w:szCs w:val="24"/>
        </w:rPr>
        <w:t>’</w:t>
      </w:r>
      <w:r w:rsidR="007A4070" w:rsidRPr="00AE141E">
        <w:rPr>
          <w:rFonts w:ascii="Times New Roman" w:hAnsi="Times New Roman" w:cs="Times New Roman"/>
          <w:sz w:val="24"/>
          <w:szCs w:val="24"/>
        </w:rPr>
        <w:t xml:space="preserve"> (such responses perhaps betray a patronising</w:t>
      </w:r>
      <w:r w:rsidR="003D0A0A" w:rsidRPr="00AE141E">
        <w:rPr>
          <w:rFonts w:ascii="Times New Roman" w:hAnsi="Times New Roman" w:cs="Times New Roman"/>
          <w:sz w:val="24"/>
          <w:szCs w:val="24"/>
        </w:rPr>
        <w:t xml:space="preserve"> and essentialist</w:t>
      </w:r>
      <w:r w:rsidR="007A4070" w:rsidRPr="00AE141E">
        <w:rPr>
          <w:rFonts w:ascii="Times New Roman" w:hAnsi="Times New Roman" w:cs="Times New Roman"/>
          <w:sz w:val="24"/>
          <w:szCs w:val="24"/>
        </w:rPr>
        <w:t xml:space="preserve">, if well-intentioned, </w:t>
      </w:r>
      <w:r w:rsidR="00D1730E" w:rsidRPr="00AE141E">
        <w:rPr>
          <w:rFonts w:ascii="Times New Roman" w:hAnsi="Times New Roman" w:cs="Times New Roman"/>
          <w:sz w:val="24"/>
          <w:szCs w:val="24"/>
        </w:rPr>
        <w:t xml:space="preserve">assumption of </w:t>
      </w:r>
      <w:r w:rsidR="003D0A0A" w:rsidRPr="00AE141E">
        <w:rPr>
          <w:rFonts w:ascii="Times New Roman" w:hAnsi="Times New Roman" w:cs="Times New Roman"/>
          <w:sz w:val="24"/>
          <w:szCs w:val="24"/>
        </w:rPr>
        <w:t>pupils’ identity).</w:t>
      </w:r>
      <w:r w:rsidR="00631ABF" w:rsidRPr="00AE141E">
        <w:rPr>
          <w:rStyle w:val="FootnoteReference"/>
          <w:rFonts w:ascii="Times New Roman" w:hAnsi="Times New Roman" w:cs="Times New Roman"/>
          <w:sz w:val="24"/>
          <w:szCs w:val="24"/>
        </w:rPr>
        <w:footnoteReference w:id="894"/>
      </w:r>
      <w:r w:rsidR="003D0A0A" w:rsidRPr="00AE141E">
        <w:rPr>
          <w:rFonts w:ascii="Times New Roman" w:hAnsi="Times New Roman" w:cs="Times New Roman"/>
          <w:sz w:val="24"/>
          <w:szCs w:val="24"/>
        </w:rPr>
        <w:t xml:space="preserve"> </w:t>
      </w:r>
      <w:r w:rsidR="0078556C" w:rsidRPr="00AE141E">
        <w:rPr>
          <w:rFonts w:ascii="Times New Roman" w:hAnsi="Times New Roman" w:cs="Times New Roman"/>
          <w:sz w:val="24"/>
          <w:szCs w:val="24"/>
        </w:rPr>
        <w:t xml:space="preserve">There seems to have </w:t>
      </w:r>
      <w:r w:rsidR="002E5DF7" w:rsidRPr="00AE141E">
        <w:rPr>
          <w:rFonts w:ascii="Times New Roman" w:hAnsi="Times New Roman" w:cs="Times New Roman"/>
          <w:sz w:val="24"/>
          <w:szCs w:val="24"/>
        </w:rPr>
        <w:t xml:space="preserve">been a division between </w:t>
      </w:r>
      <w:r w:rsidR="00310F65">
        <w:rPr>
          <w:rFonts w:ascii="Times New Roman" w:hAnsi="Times New Roman" w:cs="Times New Roman"/>
          <w:sz w:val="24"/>
          <w:szCs w:val="24"/>
        </w:rPr>
        <w:t>various groups of</w:t>
      </w:r>
      <w:r w:rsidR="002E5DF7" w:rsidRPr="00AE141E">
        <w:rPr>
          <w:rFonts w:ascii="Times New Roman" w:hAnsi="Times New Roman" w:cs="Times New Roman"/>
          <w:sz w:val="24"/>
          <w:szCs w:val="24"/>
        </w:rPr>
        <w:t xml:space="preserve"> respond</w:t>
      </w:r>
      <w:r w:rsidR="002E2513" w:rsidRPr="00AE141E">
        <w:rPr>
          <w:rFonts w:ascii="Times New Roman" w:hAnsi="Times New Roman" w:cs="Times New Roman"/>
          <w:sz w:val="24"/>
          <w:szCs w:val="24"/>
        </w:rPr>
        <w:t>e</w:t>
      </w:r>
      <w:r w:rsidR="002E5DF7" w:rsidRPr="00AE141E">
        <w:rPr>
          <w:rFonts w:ascii="Times New Roman" w:hAnsi="Times New Roman" w:cs="Times New Roman"/>
          <w:sz w:val="24"/>
          <w:szCs w:val="24"/>
        </w:rPr>
        <w:t>nt</w:t>
      </w:r>
      <w:r w:rsidR="00310F65">
        <w:rPr>
          <w:rFonts w:ascii="Times New Roman" w:hAnsi="Times New Roman" w:cs="Times New Roman"/>
          <w:sz w:val="24"/>
          <w:szCs w:val="24"/>
        </w:rPr>
        <w:t>s</w:t>
      </w:r>
      <w:r w:rsidR="002E5DF7" w:rsidRPr="00AE141E">
        <w:rPr>
          <w:rFonts w:ascii="Times New Roman" w:hAnsi="Times New Roman" w:cs="Times New Roman"/>
          <w:sz w:val="24"/>
          <w:szCs w:val="24"/>
        </w:rPr>
        <w:t xml:space="preserve"> on this issue. </w:t>
      </w:r>
      <w:r w:rsidR="002E2513" w:rsidRPr="00AE141E">
        <w:rPr>
          <w:rFonts w:ascii="Times New Roman" w:hAnsi="Times New Roman" w:cs="Times New Roman"/>
          <w:sz w:val="24"/>
          <w:szCs w:val="24"/>
        </w:rPr>
        <w:t>While s</w:t>
      </w:r>
      <w:r w:rsidR="002E5DF7" w:rsidRPr="00AE141E">
        <w:rPr>
          <w:rFonts w:ascii="Times New Roman" w:hAnsi="Times New Roman" w:cs="Times New Roman"/>
          <w:sz w:val="24"/>
          <w:szCs w:val="24"/>
        </w:rPr>
        <w:t>chools and LEAs</w:t>
      </w:r>
      <w:r w:rsidR="002E2513" w:rsidRPr="00AE141E">
        <w:rPr>
          <w:rFonts w:ascii="Times New Roman" w:hAnsi="Times New Roman" w:cs="Times New Roman"/>
          <w:sz w:val="24"/>
          <w:szCs w:val="24"/>
        </w:rPr>
        <w:t xml:space="preserve"> were concerned with the increase in British history</w:t>
      </w:r>
      <w:r w:rsidR="0073291A" w:rsidRPr="00AE141E">
        <w:rPr>
          <w:rFonts w:ascii="Times New Roman" w:hAnsi="Times New Roman" w:cs="Times New Roman"/>
          <w:sz w:val="24"/>
          <w:szCs w:val="24"/>
        </w:rPr>
        <w:t>, its framework, and the implications for balance in the curriculum, a</w:t>
      </w:r>
      <w:r w:rsidR="00AE74FA" w:rsidRPr="00AE141E">
        <w:rPr>
          <w:rFonts w:ascii="Times New Roman" w:hAnsi="Times New Roman" w:cs="Times New Roman"/>
          <w:sz w:val="24"/>
          <w:szCs w:val="24"/>
        </w:rPr>
        <w:t>n internal analysis of responses to the Secretary of State’s consultation exercise</w:t>
      </w:r>
      <w:r w:rsidR="0073291A" w:rsidRPr="00AE141E">
        <w:rPr>
          <w:rFonts w:ascii="Times New Roman" w:hAnsi="Times New Roman" w:cs="Times New Roman"/>
          <w:sz w:val="24"/>
          <w:szCs w:val="24"/>
        </w:rPr>
        <w:t xml:space="preserve"> suggests that organisational responses largely </w:t>
      </w:r>
      <w:r w:rsidR="00F237AA" w:rsidRPr="00AE141E">
        <w:rPr>
          <w:rFonts w:ascii="Times New Roman" w:hAnsi="Times New Roman" w:cs="Times New Roman"/>
          <w:sz w:val="24"/>
          <w:szCs w:val="24"/>
        </w:rPr>
        <w:t>‘expressed support for the prescribed arrangements’.</w:t>
      </w:r>
      <w:r w:rsidR="00173010" w:rsidRPr="00AE141E">
        <w:rPr>
          <w:rStyle w:val="FootnoteReference"/>
          <w:rFonts w:ascii="Times New Roman" w:hAnsi="Times New Roman" w:cs="Times New Roman"/>
          <w:sz w:val="24"/>
          <w:szCs w:val="24"/>
        </w:rPr>
        <w:footnoteReference w:id="895"/>
      </w:r>
    </w:p>
    <w:p w14:paraId="7CFC4628" w14:textId="451C3F76" w:rsidR="003D300E" w:rsidRPr="00AE141E" w:rsidRDefault="00231C2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some cases, critiques of British dominance extend</w:t>
      </w:r>
      <w:r w:rsidR="001654FC" w:rsidRPr="00AE141E">
        <w:rPr>
          <w:rFonts w:ascii="Times New Roman" w:hAnsi="Times New Roman" w:cs="Times New Roman"/>
          <w:sz w:val="24"/>
          <w:szCs w:val="24"/>
        </w:rPr>
        <w:t xml:space="preserve">ed </w:t>
      </w:r>
      <w:r w:rsidRPr="00AE141E">
        <w:rPr>
          <w:rFonts w:ascii="Times New Roman" w:hAnsi="Times New Roman" w:cs="Times New Roman"/>
          <w:sz w:val="24"/>
          <w:szCs w:val="24"/>
        </w:rPr>
        <w:t>to the content and framing of individual HSUs.</w:t>
      </w:r>
      <w:r w:rsidR="001654FC" w:rsidRPr="00AE141E">
        <w:rPr>
          <w:rFonts w:ascii="Times New Roman" w:hAnsi="Times New Roman" w:cs="Times New Roman"/>
          <w:sz w:val="24"/>
          <w:szCs w:val="24"/>
        </w:rPr>
        <w:t xml:space="preserve"> The Final Report’s new module on imperial history, ‘The British Empire at its Zenith: 1877 to 1905’, was </w:t>
      </w:r>
      <w:r w:rsidR="00D06E13" w:rsidRPr="00AE141E">
        <w:rPr>
          <w:rFonts w:ascii="Times New Roman" w:hAnsi="Times New Roman" w:cs="Times New Roman"/>
          <w:sz w:val="24"/>
          <w:szCs w:val="24"/>
        </w:rPr>
        <w:t>singled out for criticism, in part because its title was viewed as ‘value-loaded’.</w:t>
      </w:r>
      <w:r w:rsidR="00833C88" w:rsidRPr="00AE141E">
        <w:rPr>
          <w:rStyle w:val="FootnoteReference"/>
          <w:rFonts w:ascii="Times New Roman" w:hAnsi="Times New Roman" w:cs="Times New Roman"/>
          <w:sz w:val="24"/>
          <w:szCs w:val="24"/>
        </w:rPr>
        <w:footnoteReference w:id="896"/>
      </w:r>
      <w:r w:rsidR="0061108E" w:rsidRPr="00AE141E">
        <w:rPr>
          <w:rFonts w:ascii="Times New Roman" w:hAnsi="Times New Roman" w:cs="Times New Roman"/>
          <w:sz w:val="24"/>
          <w:szCs w:val="24"/>
        </w:rPr>
        <w:t xml:space="preserve"> </w:t>
      </w:r>
      <w:r w:rsidR="00103F6C" w:rsidRPr="00AE141E">
        <w:rPr>
          <w:rFonts w:ascii="Times New Roman" w:hAnsi="Times New Roman" w:cs="Times New Roman"/>
          <w:sz w:val="24"/>
          <w:szCs w:val="24"/>
        </w:rPr>
        <w:t>A later interview with Peter Marshall offers fascinating insight into the</w:t>
      </w:r>
      <w:r w:rsidR="00BB525E" w:rsidRPr="00AE141E">
        <w:rPr>
          <w:rFonts w:ascii="Times New Roman" w:hAnsi="Times New Roman" w:cs="Times New Roman"/>
          <w:sz w:val="24"/>
          <w:szCs w:val="24"/>
        </w:rPr>
        <w:t xml:space="preserve"> module’s</w:t>
      </w:r>
      <w:r w:rsidR="00103F6C" w:rsidRPr="00AE141E">
        <w:rPr>
          <w:rFonts w:ascii="Times New Roman" w:hAnsi="Times New Roman" w:cs="Times New Roman"/>
          <w:sz w:val="24"/>
          <w:szCs w:val="24"/>
        </w:rPr>
        <w:t xml:space="preserve"> reception</w:t>
      </w:r>
      <w:r w:rsidR="00BB525E" w:rsidRPr="00AE141E">
        <w:rPr>
          <w:rFonts w:ascii="Times New Roman" w:hAnsi="Times New Roman" w:cs="Times New Roman"/>
          <w:sz w:val="24"/>
          <w:szCs w:val="24"/>
        </w:rPr>
        <w:t xml:space="preserve"> </w:t>
      </w:r>
      <w:r w:rsidR="00EF7067" w:rsidRPr="00AE141E">
        <w:rPr>
          <w:rFonts w:ascii="Times New Roman" w:hAnsi="Times New Roman" w:cs="Times New Roman"/>
          <w:sz w:val="24"/>
          <w:szCs w:val="24"/>
        </w:rPr>
        <w:t>amongst educators</w:t>
      </w:r>
      <w:r w:rsidR="0061108E" w:rsidRPr="00AE141E">
        <w:rPr>
          <w:rFonts w:ascii="Times New Roman" w:hAnsi="Times New Roman" w:cs="Times New Roman"/>
          <w:sz w:val="24"/>
          <w:szCs w:val="24"/>
        </w:rPr>
        <w:t xml:space="preserve"> –</w:t>
      </w:r>
      <w:r w:rsidR="00EF7067" w:rsidRPr="00AE141E">
        <w:rPr>
          <w:rFonts w:ascii="Times New Roman" w:hAnsi="Times New Roman" w:cs="Times New Roman"/>
          <w:sz w:val="24"/>
          <w:szCs w:val="24"/>
        </w:rPr>
        <w:t xml:space="preserve"> and</w:t>
      </w:r>
      <w:r w:rsidR="0061108E" w:rsidRPr="00AE141E">
        <w:rPr>
          <w:rFonts w:ascii="Times New Roman" w:hAnsi="Times New Roman" w:cs="Times New Roman"/>
          <w:sz w:val="24"/>
          <w:szCs w:val="24"/>
        </w:rPr>
        <w:t xml:space="preserve"> to contemporary approaches to empire. </w:t>
      </w:r>
      <w:r w:rsidR="007E6E42" w:rsidRPr="00AE141E">
        <w:rPr>
          <w:rFonts w:ascii="Times New Roman" w:hAnsi="Times New Roman" w:cs="Times New Roman"/>
          <w:sz w:val="24"/>
          <w:szCs w:val="24"/>
        </w:rPr>
        <w:t xml:space="preserve">‘Even in 1990’, Marshall </w:t>
      </w:r>
      <w:r w:rsidR="00B55AC1" w:rsidRPr="00AE141E">
        <w:rPr>
          <w:rFonts w:ascii="Times New Roman" w:hAnsi="Times New Roman" w:cs="Times New Roman"/>
          <w:sz w:val="24"/>
          <w:szCs w:val="24"/>
        </w:rPr>
        <w:t>asserted</w:t>
      </w:r>
      <w:r w:rsidR="007E6E42" w:rsidRPr="00AE141E">
        <w:rPr>
          <w:rFonts w:ascii="Times New Roman" w:hAnsi="Times New Roman" w:cs="Times New Roman"/>
          <w:sz w:val="24"/>
          <w:szCs w:val="24"/>
        </w:rPr>
        <w:t xml:space="preserve">, plans </w:t>
      </w:r>
      <w:r w:rsidR="00B55AC1" w:rsidRPr="00AE141E">
        <w:rPr>
          <w:rFonts w:ascii="Times New Roman" w:hAnsi="Times New Roman" w:cs="Times New Roman"/>
          <w:sz w:val="24"/>
          <w:szCs w:val="24"/>
        </w:rPr>
        <w:t>to teach empire (especially in the context of a statutorily defined National Curriculum) provoked ‘panic’.</w:t>
      </w:r>
      <w:r w:rsidR="00300F6B" w:rsidRPr="00AE141E">
        <w:rPr>
          <w:rStyle w:val="FootnoteReference"/>
          <w:rFonts w:ascii="Times New Roman" w:hAnsi="Times New Roman" w:cs="Times New Roman"/>
          <w:sz w:val="24"/>
          <w:szCs w:val="24"/>
        </w:rPr>
        <w:footnoteReference w:id="897"/>
      </w:r>
      <w:r w:rsidR="00B55AC1" w:rsidRPr="00AE141E">
        <w:rPr>
          <w:rFonts w:ascii="Times New Roman" w:hAnsi="Times New Roman" w:cs="Times New Roman"/>
          <w:sz w:val="24"/>
          <w:szCs w:val="24"/>
        </w:rPr>
        <w:t xml:space="preserve"> </w:t>
      </w:r>
      <w:r w:rsidR="00FF32B2" w:rsidRPr="00AE141E">
        <w:rPr>
          <w:rFonts w:ascii="Times New Roman" w:hAnsi="Times New Roman" w:cs="Times New Roman"/>
          <w:sz w:val="24"/>
          <w:szCs w:val="24"/>
        </w:rPr>
        <w:t xml:space="preserve">The </w:t>
      </w:r>
      <w:r w:rsidR="005D12D2">
        <w:rPr>
          <w:rFonts w:ascii="Times New Roman" w:hAnsi="Times New Roman" w:cs="Times New Roman"/>
          <w:sz w:val="24"/>
          <w:szCs w:val="24"/>
        </w:rPr>
        <w:t xml:space="preserve">prevailing ‘cultural climate’ of </w:t>
      </w:r>
      <w:r w:rsidR="005D12D2">
        <w:rPr>
          <w:rFonts w:ascii="Times New Roman" w:hAnsi="Times New Roman" w:cs="Times New Roman"/>
          <w:sz w:val="24"/>
          <w:szCs w:val="24"/>
        </w:rPr>
        <w:lastRenderedPageBreak/>
        <w:t>imperial nostalgia</w:t>
      </w:r>
      <w:r w:rsidR="00021EF0" w:rsidRPr="00AE141E">
        <w:rPr>
          <w:rFonts w:ascii="Times New Roman" w:hAnsi="Times New Roman" w:cs="Times New Roman"/>
          <w:sz w:val="24"/>
          <w:szCs w:val="24"/>
        </w:rPr>
        <w:t xml:space="preserve"> </w:t>
      </w:r>
      <w:r w:rsidR="00372E04">
        <w:rPr>
          <w:rFonts w:ascii="Times New Roman" w:hAnsi="Times New Roman" w:cs="Times New Roman"/>
          <w:sz w:val="24"/>
          <w:szCs w:val="24"/>
        </w:rPr>
        <w:t>formed a toxic combination</w:t>
      </w:r>
      <w:r w:rsidR="00021EF0" w:rsidRPr="00AE141E">
        <w:rPr>
          <w:rFonts w:ascii="Times New Roman" w:hAnsi="Times New Roman" w:cs="Times New Roman"/>
          <w:sz w:val="24"/>
          <w:szCs w:val="24"/>
        </w:rPr>
        <w:t xml:space="preserve"> with </w:t>
      </w:r>
      <w:r w:rsidR="00CD3AEF" w:rsidRPr="00AE141E">
        <w:rPr>
          <w:rFonts w:ascii="Times New Roman" w:hAnsi="Times New Roman" w:cs="Times New Roman"/>
          <w:sz w:val="24"/>
          <w:szCs w:val="24"/>
        </w:rPr>
        <w:t xml:space="preserve">fears of government interference and the prescription of an official history. </w:t>
      </w:r>
      <w:r w:rsidR="00B32CFA" w:rsidRPr="00AE141E">
        <w:rPr>
          <w:rFonts w:ascii="Times New Roman" w:hAnsi="Times New Roman" w:cs="Times New Roman"/>
          <w:sz w:val="24"/>
          <w:szCs w:val="24"/>
        </w:rPr>
        <w:t xml:space="preserve">Teachers seem to have </w:t>
      </w:r>
      <w:r w:rsidR="00372E04">
        <w:rPr>
          <w:rFonts w:ascii="Times New Roman" w:hAnsi="Times New Roman" w:cs="Times New Roman"/>
          <w:sz w:val="24"/>
          <w:szCs w:val="24"/>
        </w:rPr>
        <w:t>assumed</w:t>
      </w:r>
      <w:r w:rsidR="00B32CFA" w:rsidRPr="00AE141E">
        <w:rPr>
          <w:rFonts w:ascii="Times New Roman" w:hAnsi="Times New Roman" w:cs="Times New Roman"/>
          <w:sz w:val="24"/>
          <w:szCs w:val="24"/>
        </w:rPr>
        <w:t xml:space="preserve"> that</w:t>
      </w:r>
      <w:r w:rsidR="003059A3">
        <w:rPr>
          <w:rFonts w:ascii="Times New Roman" w:hAnsi="Times New Roman" w:cs="Times New Roman"/>
          <w:sz w:val="24"/>
          <w:szCs w:val="24"/>
        </w:rPr>
        <w:t xml:space="preserve"> any</w:t>
      </w:r>
      <w:r w:rsidR="00B32CFA" w:rsidRPr="00AE141E">
        <w:rPr>
          <w:rFonts w:ascii="Times New Roman" w:hAnsi="Times New Roman" w:cs="Times New Roman"/>
          <w:sz w:val="24"/>
          <w:szCs w:val="24"/>
        </w:rPr>
        <w:t xml:space="preserve"> attempt to include empire in the National Curriculum amounted to indoctrination</w:t>
      </w:r>
      <w:r w:rsidR="00D8789D" w:rsidRPr="00AE141E">
        <w:rPr>
          <w:rFonts w:ascii="Times New Roman" w:hAnsi="Times New Roman" w:cs="Times New Roman"/>
          <w:sz w:val="24"/>
          <w:szCs w:val="24"/>
        </w:rPr>
        <w:t xml:space="preserve"> and</w:t>
      </w:r>
      <w:r w:rsidR="00B11856">
        <w:rPr>
          <w:rFonts w:ascii="Times New Roman" w:hAnsi="Times New Roman" w:cs="Times New Roman"/>
          <w:sz w:val="24"/>
          <w:szCs w:val="24"/>
        </w:rPr>
        <w:t>/or</w:t>
      </w:r>
      <w:r w:rsidR="00D8789D" w:rsidRPr="00AE141E">
        <w:rPr>
          <w:rFonts w:ascii="Times New Roman" w:hAnsi="Times New Roman" w:cs="Times New Roman"/>
          <w:sz w:val="24"/>
          <w:szCs w:val="24"/>
        </w:rPr>
        <w:t xml:space="preserve"> </w:t>
      </w:r>
      <w:r w:rsidR="00B11856">
        <w:rPr>
          <w:rFonts w:ascii="Times New Roman" w:hAnsi="Times New Roman" w:cs="Times New Roman"/>
          <w:sz w:val="24"/>
          <w:szCs w:val="24"/>
        </w:rPr>
        <w:t xml:space="preserve">education for </w:t>
      </w:r>
      <w:r w:rsidR="00D8789D" w:rsidRPr="00AE141E">
        <w:rPr>
          <w:rFonts w:ascii="Times New Roman" w:hAnsi="Times New Roman" w:cs="Times New Roman"/>
          <w:sz w:val="24"/>
          <w:szCs w:val="24"/>
        </w:rPr>
        <w:t>national pride</w:t>
      </w:r>
      <w:r w:rsidR="00BA06ED" w:rsidRPr="00AE141E">
        <w:rPr>
          <w:rFonts w:ascii="Times New Roman" w:hAnsi="Times New Roman" w:cs="Times New Roman"/>
          <w:sz w:val="24"/>
          <w:szCs w:val="24"/>
        </w:rPr>
        <w:t xml:space="preserve">. </w:t>
      </w:r>
      <w:r w:rsidR="006C1404" w:rsidRPr="00AE141E">
        <w:rPr>
          <w:rFonts w:ascii="Times New Roman" w:hAnsi="Times New Roman" w:cs="Times New Roman"/>
          <w:sz w:val="24"/>
          <w:szCs w:val="24"/>
        </w:rPr>
        <w:t>Marshall recalled an ‘awful occasion</w:t>
      </w:r>
      <w:r w:rsidR="004263A8">
        <w:rPr>
          <w:rFonts w:ascii="Times New Roman" w:hAnsi="Times New Roman" w:cs="Times New Roman"/>
          <w:sz w:val="24"/>
          <w:szCs w:val="24"/>
        </w:rPr>
        <w:t>’</w:t>
      </w:r>
      <w:r w:rsidR="006C1404" w:rsidRPr="00AE141E">
        <w:rPr>
          <w:rFonts w:ascii="Times New Roman" w:hAnsi="Times New Roman" w:cs="Times New Roman"/>
          <w:sz w:val="24"/>
          <w:szCs w:val="24"/>
        </w:rPr>
        <w:t xml:space="preserve"> </w:t>
      </w:r>
      <w:r w:rsidR="006456AA">
        <w:rPr>
          <w:rFonts w:ascii="Times New Roman" w:hAnsi="Times New Roman" w:cs="Times New Roman"/>
          <w:sz w:val="24"/>
          <w:szCs w:val="24"/>
        </w:rPr>
        <w:t>when</w:t>
      </w:r>
      <w:r w:rsidR="00A711CA" w:rsidRPr="00AE141E">
        <w:rPr>
          <w:rFonts w:ascii="Times New Roman" w:hAnsi="Times New Roman" w:cs="Times New Roman"/>
          <w:sz w:val="24"/>
          <w:szCs w:val="24"/>
        </w:rPr>
        <w:t xml:space="preserve"> a trainee teacher approached him</w:t>
      </w:r>
      <w:r w:rsidR="00277BD9" w:rsidRPr="00AE141E">
        <w:rPr>
          <w:rFonts w:ascii="Times New Roman" w:hAnsi="Times New Roman" w:cs="Times New Roman"/>
          <w:sz w:val="24"/>
          <w:szCs w:val="24"/>
        </w:rPr>
        <w:t xml:space="preserve"> to object that the module was an ‘insult’ to </w:t>
      </w:r>
      <w:r w:rsidR="00B66413" w:rsidRPr="00AE141E">
        <w:rPr>
          <w:rFonts w:ascii="Times New Roman" w:hAnsi="Times New Roman" w:cs="Times New Roman"/>
          <w:sz w:val="24"/>
          <w:szCs w:val="24"/>
        </w:rPr>
        <w:t xml:space="preserve">Black people. </w:t>
      </w:r>
      <w:r w:rsidR="006456AA" w:rsidRPr="00AE141E">
        <w:rPr>
          <w:rFonts w:ascii="Times New Roman" w:hAnsi="Times New Roman" w:cs="Times New Roman"/>
          <w:sz w:val="24"/>
          <w:szCs w:val="24"/>
        </w:rPr>
        <w:t>Marshall’s response was simple: ‘no, we’re just trying to get you to think about it’</w:t>
      </w:r>
      <w:r w:rsidR="006456AA">
        <w:rPr>
          <w:rFonts w:ascii="Times New Roman" w:hAnsi="Times New Roman" w:cs="Times New Roman"/>
          <w:sz w:val="24"/>
          <w:szCs w:val="24"/>
        </w:rPr>
        <w:t>; t</w:t>
      </w:r>
      <w:r w:rsidR="006456AA" w:rsidRPr="00AE141E">
        <w:rPr>
          <w:rFonts w:ascii="Times New Roman" w:hAnsi="Times New Roman" w:cs="Times New Roman"/>
          <w:sz w:val="24"/>
          <w:szCs w:val="24"/>
        </w:rPr>
        <w:t xml:space="preserve">he module’s intention was critical study, not blind endorsement. </w:t>
      </w:r>
      <w:r w:rsidR="00E67CD0">
        <w:rPr>
          <w:rFonts w:ascii="Times New Roman" w:hAnsi="Times New Roman" w:cs="Times New Roman"/>
          <w:sz w:val="24"/>
          <w:szCs w:val="24"/>
        </w:rPr>
        <w:t>He</w:t>
      </w:r>
      <w:r w:rsidR="00A02D92" w:rsidRPr="00AE141E">
        <w:rPr>
          <w:rFonts w:ascii="Times New Roman" w:hAnsi="Times New Roman" w:cs="Times New Roman"/>
          <w:sz w:val="24"/>
          <w:szCs w:val="24"/>
        </w:rPr>
        <w:t xml:space="preserve"> pointed t</w:t>
      </w:r>
      <w:r w:rsidR="002D7D65" w:rsidRPr="00AE141E">
        <w:rPr>
          <w:rFonts w:ascii="Times New Roman" w:hAnsi="Times New Roman" w:cs="Times New Roman"/>
          <w:sz w:val="24"/>
          <w:szCs w:val="24"/>
        </w:rPr>
        <w:t xml:space="preserve">o the work of Eric Williams to demonstrate that </w:t>
      </w:r>
      <w:r w:rsidR="00340022" w:rsidRPr="00AE141E">
        <w:rPr>
          <w:rFonts w:ascii="Times New Roman" w:hAnsi="Times New Roman" w:cs="Times New Roman"/>
          <w:sz w:val="24"/>
          <w:szCs w:val="24"/>
        </w:rPr>
        <w:t>critical histories of empire were both possible and instructive.</w:t>
      </w:r>
      <w:r w:rsidR="00B2477D">
        <w:rPr>
          <w:rStyle w:val="FootnoteReference"/>
          <w:rFonts w:ascii="Times New Roman" w:hAnsi="Times New Roman" w:cs="Times New Roman"/>
          <w:sz w:val="24"/>
          <w:szCs w:val="24"/>
        </w:rPr>
        <w:footnoteReference w:id="898"/>
      </w:r>
      <w:r w:rsidR="00340022" w:rsidRPr="00AE141E">
        <w:rPr>
          <w:rFonts w:ascii="Times New Roman" w:hAnsi="Times New Roman" w:cs="Times New Roman"/>
          <w:sz w:val="24"/>
          <w:szCs w:val="24"/>
        </w:rPr>
        <w:t xml:space="preserve"> </w:t>
      </w:r>
    </w:p>
    <w:p w14:paraId="0B4CAE67" w14:textId="79ED5540" w:rsidR="004A4753" w:rsidRPr="00AE141E" w:rsidRDefault="00BF146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MacGregor </w:t>
      </w:r>
      <w:r w:rsidR="00000FF5" w:rsidRPr="00AE141E">
        <w:rPr>
          <w:rFonts w:ascii="Times New Roman" w:hAnsi="Times New Roman" w:cs="Times New Roman"/>
          <w:sz w:val="24"/>
          <w:szCs w:val="24"/>
        </w:rPr>
        <w:t xml:space="preserve">articulated his </w:t>
      </w:r>
      <w:r w:rsidRPr="00AE141E">
        <w:rPr>
          <w:rFonts w:ascii="Times New Roman" w:hAnsi="Times New Roman" w:cs="Times New Roman"/>
          <w:sz w:val="24"/>
          <w:szCs w:val="24"/>
        </w:rPr>
        <w:t>response to</w:t>
      </w:r>
      <w:r w:rsidR="00000FF5" w:rsidRPr="00AE141E">
        <w:rPr>
          <w:rFonts w:ascii="Times New Roman" w:hAnsi="Times New Roman" w:cs="Times New Roman"/>
          <w:sz w:val="24"/>
          <w:szCs w:val="24"/>
        </w:rPr>
        <w:t xml:space="preserve"> </w:t>
      </w:r>
      <w:r w:rsidR="00F65FB5" w:rsidRPr="00AE141E">
        <w:rPr>
          <w:rFonts w:ascii="Times New Roman" w:hAnsi="Times New Roman" w:cs="Times New Roman"/>
          <w:sz w:val="24"/>
          <w:szCs w:val="24"/>
        </w:rPr>
        <w:t xml:space="preserve">the consultation </w:t>
      </w:r>
      <w:r w:rsidR="004A4753" w:rsidRPr="00AE141E">
        <w:rPr>
          <w:rFonts w:ascii="Times New Roman" w:hAnsi="Times New Roman" w:cs="Times New Roman"/>
          <w:sz w:val="24"/>
          <w:szCs w:val="24"/>
        </w:rPr>
        <w:t>in</w:t>
      </w:r>
      <w:r w:rsidR="00F65FB5" w:rsidRPr="00AE141E">
        <w:rPr>
          <w:rFonts w:ascii="Times New Roman" w:hAnsi="Times New Roman" w:cs="Times New Roman"/>
          <w:sz w:val="24"/>
          <w:szCs w:val="24"/>
        </w:rPr>
        <w:t xml:space="preserve"> a</w:t>
      </w:r>
      <w:r w:rsidR="004A4753" w:rsidRPr="00AE141E">
        <w:rPr>
          <w:rFonts w:ascii="Times New Roman" w:hAnsi="Times New Roman" w:cs="Times New Roman"/>
          <w:sz w:val="24"/>
          <w:szCs w:val="24"/>
        </w:rPr>
        <w:t xml:space="preserve"> letter</w:t>
      </w:r>
      <w:r w:rsidR="00F65FB5" w:rsidRPr="00AE141E">
        <w:rPr>
          <w:rFonts w:ascii="Times New Roman" w:hAnsi="Times New Roman" w:cs="Times New Roman"/>
          <w:sz w:val="24"/>
          <w:szCs w:val="24"/>
        </w:rPr>
        <w:t xml:space="preserve"> to Thatcher,</w:t>
      </w:r>
      <w:r w:rsidR="004A4753" w:rsidRPr="00AE141E">
        <w:rPr>
          <w:rFonts w:ascii="Times New Roman" w:hAnsi="Times New Roman" w:cs="Times New Roman"/>
          <w:sz w:val="24"/>
          <w:szCs w:val="24"/>
        </w:rPr>
        <w:t xml:space="preserve"> sent on 13 July 1990.</w:t>
      </w:r>
      <w:r w:rsidR="00D37BEB" w:rsidRPr="00AE141E">
        <w:rPr>
          <w:rFonts w:ascii="Times New Roman" w:hAnsi="Times New Roman" w:cs="Times New Roman"/>
          <w:sz w:val="24"/>
          <w:szCs w:val="24"/>
        </w:rPr>
        <w:t xml:space="preserve"> In it, he indicated satisfaction with the proportion of British history in the Final Report</w:t>
      </w:r>
      <w:r w:rsidR="009A7C6F" w:rsidRPr="00AE141E">
        <w:rPr>
          <w:rFonts w:ascii="Times New Roman" w:hAnsi="Times New Roman" w:cs="Times New Roman"/>
          <w:sz w:val="24"/>
          <w:szCs w:val="24"/>
        </w:rPr>
        <w:t xml:space="preserve"> and noted the opinion of critics that there was now too much</w:t>
      </w:r>
      <w:r w:rsidR="00A360FD" w:rsidRPr="00AE141E">
        <w:rPr>
          <w:rFonts w:ascii="Times New Roman" w:hAnsi="Times New Roman" w:cs="Times New Roman"/>
          <w:sz w:val="24"/>
          <w:szCs w:val="24"/>
        </w:rPr>
        <w:t>: a</w:t>
      </w:r>
      <w:r w:rsidR="009A7C6F" w:rsidRPr="00AE141E">
        <w:rPr>
          <w:rFonts w:ascii="Times New Roman" w:hAnsi="Times New Roman" w:cs="Times New Roman"/>
          <w:sz w:val="24"/>
          <w:szCs w:val="24"/>
        </w:rPr>
        <w:t>ny more</w:t>
      </w:r>
      <w:r w:rsidR="00A360FD" w:rsidRPr="00AE141E">
        <w:rPr>
          <w:rFonts w:ascii="Times New Roman" w:hAnsi="Times New Roman" w:cs="Times New Roman"/>
          <w:sz w:val="24"/>
          <w:szCs w:val="24"/>
        </w:rPr>
        <w:t xml:space="preserve"> would risk </w:t>
      </w:r>
      <w:r w:rsidR="00314C8A" w:rsidRPr="00AE141E">
        <w:rPr>
          <w:rFonts w:ascii="Times New Roman" w:hAnsi="Times New Roman" w:cs="Times New Roman"/>
          <w:sz w:val="24"/>
          <w:szCs w:val="24"/>
        </w:rPr>
        <w:t>‘unbalanc[ing] the whole’.</w:t>
      </w:r>
      <w:r w:rsidR="009C55C2" w:rsidRPr="00AE141E">
        <w:rPr>
          <w:rStyle w:val="FootnoteReference"/>
          <w:rFonts w:ascii="Times New Roman" w:hAnsi="Times New Roman" w:cs="Times New Roman"/>
          <w:sz w:val="24"/>
          <w:szCs w:val="24"/>
        </w:rPr>
        <w:footnoteReference w:id="899"/>
      </w:r>
      <w:r w:rsidR="00314C8A" w:rsidRPr="00AE141E">
        <w:rPr>
          <w:rFonts w:ascii="Times New Roman" w:hAnsi="Times New Roman" w:cs="Times New Roman"/>
          <w:sz w:val="24"/>
          <w:szCs w:val="24"/>
        </w:rPr>
        <w:t xml:space="preserve"> MacGregor </w:t>
      </w:r>
      <w:r w:rsidR="00E21328" w:rsidRPr="00AE141E">
        <w:rPr>
          <w:rFonts w:ascii="Times New Roman" w:hAnsi="Times New Roman" w:cs="Times New Roman"/>
          <w:sz w:val="24"/>
          <w:szCs w:val="24"/>
        </w:rPr>
        <w:t>emphasised</w:t>
      </w:r>
      <w:r w:rsidR="00314C8A" w:rsidRPr="00AE141E">
        <w:rPr>
          <w:rFonts w:ascii="Times New Roman" w:hAnsi="Times New Roman" w:cs="Times New Roman"/>
          <w:sz w:val="24"/>
          <w:szCs w:val="24"/>
        </w:rPr>
        <w:t xml:space="preserve"> th</w:t>
      </w:r>
      <w:r w:rsidR="00E21328" w:rsidRPr="00AE141E">
        <w:rPr>
          <w:rFonts w:ascii="Times New Roman" w:hAnsi="Times New Roman" w:cs="Times New Roman"/>
          <w:sz w:val="24"/>
          <w:szCs w:val="24"/>
        </w:rPr>
        <w:t xml:space="preserve">e high number of respondents </w:t>
      </w:r>
      <w:r w:rsidR="0026379B">
        <w:rPr>
          <w:rFonts w:ascii="Times New Roman" w:hAnsi="Times New Roman" w:cs="Times New Roman"/>
          <w:sz w:val="24"/>
          <w:szCs w:val="24"/>
        </w:rPr>
        <w:t>who</w:t>
      </w:r>
      <w:r w:rsidR="00E21328" w:rsidRPr="00AE141E">
        <w:rPr>
          <w:rFonts w:ascii="Times New Roman" w:hAnsi="Times New Roman" w:cs="Times New Roman"/>
          <w:sz w:val="24"/>
          <w:szCs w:val="24"/>
        </w:rPr>
        <w:t xml:space="preserve"> agreed that </w:t>
      </w:r>
      <w:r w:rsidR="00325652" w:rsidRPr="00AE141E">
        <w:rPr>
          <w:rFonts w:ascii="Times New Roman" w:hAnsi="Times New Roman" w:cs="Times New Roman"/>
          <w:sz w:val="24"/>
          <w:szCs w:val="24"/>
        </w:rPr>
        <w:t xml:space="preserve">historical content should be placed in the Programmes of Study, as opposed to the ATs. </w:t>
      </w:r>
      <w:r w:rsidR="0007125C" w:rsidRPr="00AE141E">
        <w:rPr>
          <w:rFonts w:ascii="Times New Roman" w:hAnsi="Times New Roman" w:cs="Times New Roman"/>
          <w:sz w:val="24"/>
          <w:szCs w:val="24"/>
        </w:rPr>
        <w:t xml:space="preserve">He observed that the consensus amongst </w:t>
      </w:r>
      <w:r w:rsidR="0007125C" w:rsidRPr="0026379B">
        <w:rPr>
          <w:rFonts w:ascii="Times New Roman" w:hAnsi="Times New Roman" w:cs="Times New Roman"/>
          <w:i/>
          <w:iCs/>
          <w:sz w:val="24"/>
          <w:szCs w:val="24"/>
        </w:rPr>
        <w:t>teachers</w:t>
      </w:r>
      <w:r w:rsidR="0007125C" w:rsidRPr="00AE141E">
        <w:rPr>
          <w:rFonts w:ascii="Times New Roman" w:hAnsi="Times New Roman" w:cs="Times New Roman"/>
          <w:sz w:val="24"/>
          <w:szCs w:val="24"/>
        </w:rPr>
        <w:t xml:space="preserve"> on this matter was ‘predictable’ – what was more surprising was the ‘</w:t>
      </w:r>
      <w:r w:rsidR="004A4753" w:rsidRPr="00AE141E">
        <w:rPr>
          <w:rFonts w:ascii="Times New Roman" w:hAnsi="Times New Roman" w:cs="Times New Roman"/>
          <w:sz w:val="24"/>
          <w:szCs w:val="24"/>
        </w:rPr>
        <w:t>large majority among professional historians who believe the recommendations are sound</w:t>
      </w:r>
      <w:r w:rsidR="0007125C" w:rsidRPr="00AE141E">
        <w:rPr>
          <w:rFonts w:ascii="Times New Roman" w:hAnsi="Times New Roman" w:cs="Times New Roman"/>
          <w:sz w:val="24"/>
          <w:szCs w:val="24"/>
        </w:rPr>
        <w:t>’</w:t>
      </w:r>
      <w:r w:rsidR="004A4753" w:rsidRPr="00AE141E">
        <w:rPr>
          <w:rFonts w:ascii="Times New Roman" w:hAnsi="Times New Roman" w:cs="Times New Roman"/>
          <w:sz w:val="24"/>
          <w:szCs w:val="24"/>
        </w:rPr>
        <w:t>.</w:t>
      </w:r>
      <w:r w:rsidR="0007125C" w:rsidRPr="00AE141E">
        <w:rPr>
          <w:rFonts w:ascii="Times New Roman" w:hAnsi="Times New Roman" w:cs="Times New Roman"/>
          <w:sz w:val="24"/>
          <w:szCs w:val="24"/>
        </w:rPr>
        <w:t xml:space="preserve"> </w:t>
      </w:r>
      <w:r w:rsidR="007C4640" w:rsidRPr="00AE141E">
        <w:rPr>
          <w:rFonts w:ascii="Times New Roman" w:hAnsi="Times New Roman" w:cs="Times New Roman"/>
          <w:sz w:val="24"/>
          <w:szCs w:val="24"/>
        </w:rPr>
        <w:t xml:space="preserve">MacGregor </w:t>
      </w:r>
      <w:r w:rsidR="0026379B">
        <w:rPr>
          <w:rFonts w:ascii="Times New Roman" w:hAnsi="Times New Roman" w:cs="Times New Roman"/>
          <w:sz w:val="24"/>
          <w:szCs w:val="24"/>
        </w:rPr>
        <w:t>was</w:t>
      </w:r>
      <w:r w:rsidR="007C4640" w:rsidRPr="00AE141E">
        <w:rPr>
          <w:rFonts w:ascii="Times New Roman" w:hAnsi="Times New Roman" w:cs="Times New Roman"/>
          <w:sz w:val="24"/>
          <w:szCs w:val="24"/>
        </w:rPr>
        <w:t xml:space="preserve"> reluctantly convinced of the validity of their argument.</w:t>
      </w:r>
      <w:r w:rsidR="0072280C" w:rsidRPr="00AE141E">
        <w:rPr>
          <w:rFonts w:ascii="Times New Roman" w:hAnsi="Times New Roman" w:cs="Times New Roman"/>
          <w:sz w:val="24"/>
          <w:szCs w:val="24"/>
        </w:rPr>
        <w:t xml:space="preserve"> </w:t>
      </w:r>
      <w:r w:rsidR="003C2AE4" w:rsidRPr="00AE141E">
        <w:rPr>
          <w:rFonts w:ascii="Times New Roman" w:hAnsi="Times New Roman" w:cs="Times New Roman"/>
          <w:sz w:val="24"/>
          <w:szCs w:val="24"/>
        </w:rPr>
        <w:t>He was more concerned with the issue of prescription and excessive detail, which may leave ‘</w:t>
      </w:r>
      <w:r w:rsidR="004A4753" w:rsidRPr="00AE141E">
        <w:rPr>
          <w:rFonts w:ascii="Times New Roman" w:hAnsi="Times New Roman" w:cs="Times New Roman"/>
          <w:sz w:val="24"/>
          <w:szCs w:val="24"/>
        </w:rPr>
        <w:t>insufficient scope for good teachers</w:t>
      </w:r>
      <w:r w:rsidR="00265EE5" w:rsidRPr="00AE141E">
        <w:rPr>
          <w:rFonts w:ascii="Times New Roman" w:hAnsi="Times New Roman" w:cs="Times New Roman"/>
          <w:sz w:val="24"/>
          <w:szCs w:val="24"/>
        </w:rPr>
        <w:t>’</w:t>
      </w:r>
      <w:r w:rsidR="00F9094B" w:rsidRPr="00AE141E">
        <w:rPr>
          <w:rFonts w:ascii="Times New Roman" w:hAnsi="Times New Roman" w:cs="Times New Roman"/>
          <w:sz w:val="24"/>
          <w:szCs w:val="24"/>
        </w:rPr>
        <w:t xml:space="preserve"> – </w:t>
      </w:r>
      <w:r w:rsidR="00265EE5" w:rsidRPr="00AE141E">
        <w:rPr>
          <w:rFonts w:ascii="Times New Roman" w:hAnsi="Times New Roman" w:cs="Times New Roman"/>
          <w:sz w:val="24"/>
          <w:szCs w:val="24"/>
        </w:rPr>
        <w:t>signalling</w:t>
      </w:r>
      <w:r w:rsidR="00F9094B" w:rsidRPr="00AE141E">
        <w:rPr>
          <w:rFonts w:ascii="Times New Roman" w:hAnsi="Times New Roman" w:cs="Times New Roman"/>
          <w:sz w:val="24"/>
          <w:szCs w:val="24"/>
        </w:rPr>
        <w:t xml:space="preserve"> </w:t>
      </w:r>
      <w:r w:rsidR="00265EE5" w:rsidRPr="00AE141E">
        <w:rPr>
          <w:rFonts w:ascii="Times New Roman" w:hAnsi="Times New Roman" w:cs="Times New Roman"/>
          <w:sz w:val="24"/>
          <w:szCs w:val="24"/>
        </w:rPr>
        <w:t>agreement with Thatcher’s</w:t>
      </w:r>
      <w:r w:rsidR="004A4753" w:rsidRPr="00AE141E">
        <w:rPr>
          <w:rFonts w:ascii="Times New Roman" w:hAnsi="Times New Roman" w:cs="Times New Roman"/>
          <w:sz w:val="24"/>
          <w:szCs w:val="24"/>
        </w:rPr>
        <w:t xml:space="preserve"> </w:t>
      </w:r>
      <w:r w:rsidR="004A4753" w:rsidRPr="00AE141E">
        <w:rPr>
          <w:rFonts w:ascii="Times New Roman" w:hAnsi="Times New Roman" w:cs="Times New Roman"/>
          <w:i/>
          <w:sz w:val="24"/>
          <w:szCs w:val="24"/>
        </w:rPr>
        <w:t>Sunday Telegraph</w:t>
      </w:r>
      <w:r w:rsidR="004A4753" w:rsidRPr="00AE141E">
        <w:rPr>
          <w:rFonts w:ascii="Times New Roman" w:hAnsi="Times New Roman" w:cs="Times New Roman"/>
          <w:sz w:val="24"/>
          <w:szCs w:val="24"/>
        </w:rPr>
        <w:t xml:space="preserve"> intervie</w:t>
      </w:r>
      <w:r w:rsidR="00265EE5" w:rsidRPr="00AE141E">
        <w:rPr>
          <w:rFonts w:ascii="Times New Roman" w:hAnsi="Times New Roman" w:cs="Times New Roman"/>
          <w:sz w:val="24"/>
          <w:szCs w:val="24"/>
        </w:rPr>
        <w:t>w</w:t>
      </w:r>
      <w:r w:rsidR="004A4753" w:rsidRPr="00AE141E">
        <w:rPr>
          <w:rFonts w:ascii="Times New Roman" w:hAnsi="Times New Roman" w:cs="Times New Roman"/>
          <w:sz w:val="24"/>
          <w:szCs w:val="24"/>
        </w:rPr>
        <w:t>.</w:t>
      </w:r>
      <w:r w:rsidR="00265EE5" w:rsidRPr="00AE141E">
        <w:rPr>
          <w:rFonts w:ascii="Times New Roman" w:hAnsi="Times New Roman" w:cs="Times New Roman"/>
          <w:sz w:val="24"/>
          <w:szCs w:val="24"/>
        </w:rPr>
        <w:t xml:space="preserve"> </w:t>
      </w:r>
      <w:r w:rsidR="00F9094B" w:rsidRPr="00AE141E">
        <w:rPr>
          <w:rFonts w:ascii="Times New Roman" w:hAnsi="Times New Roman" w:cs="Times New Roman"/>
          <w:sz w:val="24"/>
          <w:szCs w:val="24"/>
        </w:rPr>
        <w:t xml:space="preserve">The </w:t>
      </w:r>
      <w:r w:rsidR="00506C65" w:rsidRPr="00AE141E">
        <w:rPr>
          <w:rFonts w:ascii="Times New Roman" w:hAnsi="Times New Roman" w:cs="Times New Roman"/>
          <w:sz w:val="24"/>
          <w:szCs w:val="24"/>
        </w:rPr>
        <w:t>Secretary of State anticipated re</w:t>
      </w:r>
      <w:r w:rsidR="00DB2695" w:rsidRPr="00AE141E">
        <w:rPr>
          <w:rFonts w:ascii="Times New Roman" w:hAnsi="Times New Roman" w:cs="Times New Roman"/>
          <w:sz w:val="24"/>
          <w:szCs w:val="24"/>
        </w:rPr>
        <w:t xml:space="preserve">ducing the quantity of factual material </w:t>
      </w:r>
      <w:r w:rsidR="006C5AC6" w:rsidRPr="00AE141E">
        <w:rPr>
          <w:rFonts w:ascii="Times New Roman" w:hAnsi="Times New Roman" w:cs="Times New Roman"/>
          <w:sz w:val="24"/>
          <w:szCs w:val="24"/>
        </w:rPr>
        <w:t xml:space="preserve">specified by the curriculum. </w:t>
      </w:r>
    </w:p>
    <w:p w14:paraId="29CC1008" w14:textId="77777777" w:rsidR="004B0992" w:rsidRDefault="00D55E3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letter took a distinctly defensive tone. </w:t>
      </w:r>
      <w:r w:rsidR="005D75A8" w:rsidRPr="00AE141E">
        <w:rPr>
          <w:rFonts w:ascii="Times New Roman" w:hAnsi="Times New Roman" w:cs="Times New Roman"/>
          <w:sz w:val="24"/>
          <w:szCs w:val="24"/>
        </w:rPr>
        <w:t>MacGregor was careful to note the ‘political and practical limits’ on his scope for future action.</w:t>
      </w:r>
      <w:r w:rsidR="009C55C2" w:rsidRPr="00AE141E">
        <w:rPr>
          <w:rStyle w:val="FootnoteReference"/>
          <w:rFonts w:ascii="Times New Roman" w:hAnsi="Times New Roman" w:cs="Times New Roman"/>
          <w:sz w:val="24"/>
          <w:szCs w:val="24"/>
        </w:rPr>
        <w:footnoteReference w:id="900"/>
      </w:r>
      <w:r w:rsidR="005D75A8" w:rsidRPr="00AE141E">
        <w:rPr>
          <w:rFonts w:ascii="Times New Roman" w:hAnsi="Times New Roman" w:cs="Times New Roman"/>
          <w:sz w:val="24"/>
          <w:szCs w:val="24"/>
        </w:rPr>
        <w:t xml:space="preserve"> He reminded</w:t>
      </w:r>
      <w:r w:rsidR="00060BAA" w:rsidRPr="00AE141E">
        <w:rPr>
          <w:rFonts w:ascii="Times New Roman" w:hAnsi="Times New Roman" w:cs="Times New Roman"/>
          <w:sz w:val="24"/>
          <w:szCs w:val="24"/>
        </w:rPr>
        <w:t xml:space="preserve"> a hostile</w:t>
      </w:r>
      <w:r w:rsidR="005D75A8" w:rsidRPr="00AE141E">
        <w:rPr>
          <w:rFonts w:ascii="Times New Roman" w:hAnsi="Times New Roman" w:cs="Times New Roman"/>
          <w:sz w:val="24"/>
          <w:szCs w:val="24"/>
        </w:rPr>
        <w:t xml:space="preserve"> Thatcher that he could not </w:t>
      </w:r>
      <w:r w:rsidR="00060BAA" w:rsidRPr="00AE141E">
        <w:rPr>
          <w:rFonts w:ascii="Times New Roman" w:hAnsi="Times New Roman" w:cs="Times New Roman"/>
          <w:sz w:val="24"/>
          <w:szCs w:val="24"/>
        </w:rPr>
        <w:t xml:space="preserve">abandon </w:t>
      </w:r>
      <w:r w:rsidR="00DB0505" w:rsidRPr="00AE141E">
        <w:rPr>
          <w:rFonts w:ascii="Times New Roman" w:hAnsi="Times New Roman" w:cs="Times New Roman"/>
          <w:sz w:val="24"/>
          <w:szCs w:val="24"/>
        </w:rPr>
        <w:t>a</w:t>
      </w:r>
      <w:r w:rsidR="00060BAA" w:rsidRPr="00AE141E">
        <w:rPr>
          <w:rFonts w:ascii="Times New Roman" w:hAnsi="Times New Roman" w:cs="Times New Roman"/>
          <w:sz w:val="24"/>
          <w:szCs w:val="24"/>
        </w:rPr>
        <w:t xml:space="preserve"> Report</w:t>
      </w:r>
      <w:r w:rsidR="00DB0505" w:rsidRPr="00AE141E">
        <w:rPr>
          <w:rFonts w:ascii="Times New Roman" w:hAnsi="Times New Roman" w:cs="Times New Roman"/>
          <w:sz w:val="24"/>
          <w:szCs w:val="24"/>
        </w:rPr>
        <w:t xml:space="preserve"> </w:t>
      </w:r>
      <w:r w:rsidR="00060BAA" w:rsidRPr="00AE141E">
        <w:rPr>
          <w:rFonts w:ascii="Times New Roman" w:hAnsi="Times New Roman" w:cs="Times New Roman"/>
          <w:sz w:val="24"/>
          <w:szCs w:val="24"/>
        </w:rPr>
        <w:t xml:space="preserve">which had </w:t>
      </w:r>
      <w:r w:rsidR="00DB0505" w:rsidRPr="00AE141E">
        <w:rPr>
          <w:rFonts w:ascii="Times New Roman" w:hAnsi="Times New Roman" w:cs="Times New Roman"/>
          <w:sz w:val="24"/>
          <w:szCs w:val="24"/>
        </w:rPr>
        <w:t xml:space="preserve">now </w:t>
      </w:r>
      <w:r w:rsidR="00060BAA" w:rsidRPr="00AE141E">
        <w:rPr>
          <w:rFonts w:ascii="Times New Roman" w:hAnsi="Times New Roman" w:cs="Times New Roman"/>
          <w:sz w:val="24"/>
          <w:szCs w:val="24"/>
        </w:rPr>
        <w:t xml:space="preserve">‘received </w:t>
      </w:r>
      <w:r w:rsidR="00DB0505" w:rsidRPr="00AE141E">
        <w:rPr>
          <w:rFonts w:ascii="Times New Roman" w:hAnsi="Times New Roman" w:cs="Times New Roman"/>
          <w:sz w:val="24"/>
          <w:szCs w:val="24"/>
        </w:rPr>
        <w:t xml:space="preserve">very wide support’. </w:t>
      </w:r>
      <w:r w:rsidR="006B0E2C" w:rsidRPr="00AE141E">
        <w:rPr>
          <w:rFonts w:ascii="Times New Roman" w:hAnsi="Times New Roman" w:cs="Times New Roman"/>
          <w:sz w:val="24"/>
          <w:szCs w:val="24"/>
        </w:rPr>
        <w:t>Indeed</w:t>
      </w:r>
      <w:r w:rsidR="0009309A" w:rsidRPr="00AE141E">
        <w:rPr>
          <w:rFonts w:ascii="Times New Roman" w:hAnsi="Times New Roman" w:cs="Times New Roman"/>
          <w:sz w:val="24"/>
          <w:szCs w:val="24"/>
        </w:rPr>
        <w:t>,</w:t>
      </w:r>
      <w:r w:rsidR="004A4753" w:rsidRPr="00AE141E">
        <w:rPr>
          <w:rFonts w:ascii="Times New Roman" w:hAnsi="Times New Roman" w:cs="Times New Roman"/>
          <w:sz w:val="24"/>
          <w:szCs w:val="24"/>
        </w:rPr>
        <w:t xml:space="preserve"> </w:t>
      </w:r>
      <w:r w:rsidR="00C8537C" w:rsidRPr="00AE141E">
        <w:rPr>
          <w:rFonts w:ascii="Times New Roman" w:hAnsi="Times New Roman" w:cs="Times New Roman"/>
          <w:sz w:val="24"/>
          <w:szCs w:val="24"/>
        </w:rPr>
        <w:t xml:space="preserve">it was impossible for him to </w:t>
      </w:r>
      <w:r w:rsidR="004A4753" w:rsidRPr="00AE141E">
        <w:rPr>
          <w:rFonts w:ascii="Times New Roman" w:hAnsi="Times New Roman" w:cs="Times New Roman"/>
          <w:sz w:val="24"/>
          <w:szCs w:val="24"/>
        </w:rPr>
        <w:t xml:space="preserve">rewrite </w:t>
      </w:r>
      <w:r w:rsidR="006B0E2C" w:rsidRPr="00AE141E">
        <w:rPr>
          <w:rFonts w:ascii="Times New Roman" w:hAnsi="Times New Roman" w:cs="Times New Roman"/>
          <w:sz w:val="24"/>
          <w:szCs w:val="24"/>
        </w:rPr>
        <w:t>any</w:t>
      </w:r>
      <w:r w:rsidR="004A4753" w:rsidRPr="00AE141E">
        <w:rPr>
          <w:rFonts w:ascii="Times New Roman" w:hAnsi="Times New Roman" w:cs="Times New Roman"/>
          <w:sz w:val="24"/>
          <w:szCs w:val="24"/>
        </w:rPr>
        <w:t xml:space="preserve"> content</w:t>
      </w:r>
      <w:r w:rsidR="00C8537C" w:rsidRPr="00AE141E">
        <w:rPr>
          <w:rFonts w:ascii="Times New Roman" w:hAnsi="Times New Roman" w:cs="Times New Roman"/>
          <w:sz w:val="24"/>
          <w:szCs w:val="24"/>
        </w:rPr>
        <w:t xml:space="preserve"> him</w:t>
      </w:r>
      <w:r w:rsidR="004A4753" w:rsidRPr="00AE141E">
        <w:rPr>
          <w:rFonts w:ascii="Times New Roman" w:hAnsi="Times New Roman" w:cs="Times New Roman"/>
          <w:sz w:val="24"/>
          <w:szCs w:val="24"/>
        </w:rPr>
        <w:t>self</w:t>
      </w:r>
      <w:r w:rsidR="0026379B">
        <w:rPr>
          <w:rFonts w:ascii="Times New Roman" w:hAnsi="Times New Roman" w:cs="Times New Roman"/>
          <w:sz w:val="24"/>
          <w:szCs w:val="24"/>
        </w:rPr>
        <w:t xml:space="preserve">, as </w:t>
      </w:r>
      <w:r w:rsidR="00C8537C" w:rsidRPr="00AE141E">
        <w:rPr>
          <w:rFonts w:ascii="Times New Roman" w:hAnsi="Times New Roman" w:cs="Times New Roman"/>
          <w:sz w:val="24"/>
          <w:szCs w:val="24"/>
        </w:rPr>
        <w:t>‘t</w:t>
      </w:r>
      <w:r w:rsidR="004A4753" w:rsidRPr="00AE141E">
        <w:rPr>
          <w:rFonts w:ascii="Times New Roman" w:hAnsi="Times New Roman" w:cs="Times New Roman"/>
          <w:sz w:val="24"/>
          <w:szCs w:val="24"/>
        </w:rPr>
        <w:t>o do so would bring charges of political interference in the history taught in schools</w:t>
      </w:r>
      <w:r w:rsidR="00C8537C" w:rsidRPr="00AE141E">
        <w:rPr>
          <w:rFonts w:ascii="Times New Roman" w:hAnsi="Times New Roman" w:cs="Times New Roman"/>
          <w:sz w:val="24"/>
          <w:szCs w:val="24"/>
        </w:rPr>
        <w:t>’</w:t>
      </w:r>
      <w:r w:rsidR="004A4753" w:rsidRPr="00AE141E">
        <w:rPr>
          <w:rFonts w:ascii="Times New Roman" w:hAnsi="Times New Roman" w:cs="Times New Roman"/>
          <w:sz w:val="24"/>
          <w:szCs w:val="24"/>
        </w:rPr>
        <w:t xml:space="preserve">. </w:t>
      </w:r>
      <w:r w:rsidR="00944EED" w:rsidRPr="00AE141E">
        <w:rPr>
          <w:rFonts w:ascii="Times New Roman" w:hAnsi="Times New Roman" w:cs="Times New Roman"/>
          <w:sz w:val="24"/>
          <w:szCs w:val="24"/>
        </w:rPr>
        <w:t>Finally</w:t>
      </w:r>
      <w:r w:rsidR="004A4753" w:rsidRPr="00AE141E">
        <w:rPr>
          <w:rFonts w:ascii="Times New Roman" w:hAnsi="Times New Roman" w:cs="Times New Roman"/>
          <w:sz w:val="24"/>
          <w:szCs w:val="24"/>
        </w:rPr>
        <w:t xml:space="preserve">, </w:t>
      </w:r>
      <w:r w:rsidR="00944EED" w:rsidRPr="00AE141E">
        <w:rPr>
          <w:rFonts w:ascii="Times New Roman" w:hAnsi="Times New Roman" w:cs="Times New Roman"/>
          <w:sz w:val="24"/>
          <w:szCs w:val="24"/>
        </w:rPr>
        <w:t>h</w:t>
      </w:r>
      <w:r w:rsidR="004A4753" w:rsidRPr="00AE141E">
        <w:rPr>
          <w:rFonts w:ascii="Times New Roman" w:hAnsi="Times New Roman" w:cs="Times New Roman"/>
          <w:sz w:val="24"/>
          <w:szCs w:val="24"/>
        </w:rPr>
        <w:t xml:space="preserve">e </w:t>
      </w:r>
      <w:r w:rsidR="00944EED" w:rsidRPr="00AE141E">
        <w:rPr>
          <w:rFonts w:ascii="Times New Roman" w:hAnsi="Times New Roman" w:cs="Times New Roman"/>
          <w:sz w:val="24"/>
          <w:szCs w:val="24"/>
        </w:rPr>
        <w:t>pleaded that the</w:t>
      </w:r>
      <w:r w:rsidR="0026379B">
        <w:rPr>
          <w:rFonts w:ascii="Times New Roman" w:hAnsi="Times New Roman" w:cs="Times New Roman"/>
          <w:sz w:val="24"/>
          <w:szCs w:val="24"/>
        </w:rPr>
        <w:t xml:space="preserve"> overall</w:t>
      </w:r>
      <w:r w:rsidR="00944EED" w:rsidRPr="00AE141E">
        <w:rPr>
          <w:rFonts w:ascii="Times New Roman" w:hAnsi="Times New Roman" w:cs="Times New Roman"/>
          <w:sz w:val="24"/>
          <w:szCs w:val="24"/>
        </w:rPr>
        <w:t xml:space="preserve"> framework must not be </w:t>
      </w:r>
      <w:r w:rsidR="008F5699" w:rsidRPr="00AE141E">
        <w:rPr>
          <w:rFonts w:ascii="Times New Roman" w:hAnsi="Times New Roman" w:cs="Times New Roman"/>
          <w:sz w:val="24"/>
          <w:szCs w:val="24"/>
        </w:rPr>
        <w:t>relaxed to such a degree that the</w:t>
      </w:r>
      <w:r w:rsidR="004A4753" w:rsidRPr="00AE141E">
        <w:rPr>
          <w:rFonts w:ascii="Times New Roman" w:hAnsi="Times New Roman" w:cs="Times New Roman"/>
          <w:sz w:val="24"/>
          <w:szCs w:val="24"/>
        </w:rPr>
        <w:t xml:space="preserve"> National Curriculum fail</w:t>
      </w:r>
      <w:r w:rsidR="008F5699" w:rsidRPr="00AE141E">
        <w:rPr>
          <w:rFonts w:ascii="Times New Roman" w:hAnsi="Times New Roman" w:cs="Times New Roman"/>
          <w:sz w:val="24"/>
          <w:szCs w:val="24"/>
        </w:rPr>
        <w:t>ed</w:t>
      </w:r>
      <w:r w:rsidR="004A4753" w:rsidRPr="00AE141E">
        <w:rPr>
          <w:rFonts w:ascii="Times New Roman" w:hAnsi="Times New Roman" w:cs="Times New Roman"/>
          <w:sz w:val="24"/>
          <w:szCs w:val="24"/>
        </w:rPr>
        <w:t xml:space="preserve"> to provide a </w:t>
      </w:r>
      <w:r w:rsidR="008F5699" w:rsidRPr="00AE141E">
        <w:rPr>
          <w:rFonts w:ascii="Times New Roman" w:hAnsi="Times New Roman" w:cs="Times New Roman"/>
          <w:sz w:val="24"/>
          <w:szCs w:val="24"/>
        </w:rPr>
        <w:t>‘</w:t>
      </w:r>
      <w:r w:rsidR="004A4753" w:rsidRPr="00AE141E">
        <w:rPr>
          <w:rFonts w:ascii="Times New Roman" w:hAnsi="Times New Roman" w:cs="Times New Roman"/>
          <w:sz w:val="24"/>
          <w:szCs w:val="24"/>
        </w:rPr>
        <w:t>rigorous guide for history teachers</w:t>
      </w:r>
      <w:r w:rsidR="008F5699" w:rsidRPr="00AE141E">
        <w:rPr>
          <w:rFonts w:ascii="Times New Roman" w:hAnsi="Times New Roman" w:cs="Times New Roman"/>
          <w:sz w:val="24"/>
          <w:szCs w:val="24"/>
        </w:rPr>
        <w:t>’</w:t>
      </w:r>
      <w:r w:rsidR="004A4753" w:rsidRPr="00AE141E">
        <w:rPr>
          <w:rFonts w:ascii="Times New Roman" w:hAnsi="Times New Roman" w:cs="Times New Roman"/>
          <w:sz w:val="24"/>
          <w:szCs w:val="24"/>
        </w:rPr>
        <w:t>.</w:t>
      </w:r>
      <w:r w:rsidR="00192585" w:rsidRPr="00AE141E">
        <w:rPr>
          <w:rFonts w:ascii="Times New Roman" w:hAnsi="Times New Roman" w:cs="Times New Roman"/>
          <w:sz w:val="24"/>
          <w:szCs w:val="24"/>
        </w:rPr>
        <w:t xml:space="preserve"> </w:t>
      </w:r>
    </w:p>
    <w:p w14:paraId="5C216142" w14:textId="534C1B9C" w:rsidR="00843B8A" w:rsidRDefault="0019258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Guided by the above, MacGregor suggested a compromise on the pressing</w:t>
      </w:r>
      <w:r w:rsidR="00CF615D" w:rsidRPr="00AE141E">
        <w:rPr>
          <w:rFonts w:ascii="Times New Roman" w:hAnsi="Times New Roman" w:cs="Times New Roman"/>
          <w:sz w:val="24"/>
          <w:szCs w:val="24"/>
        </w:rPr>
        <w:t xml:space="preserve"> issue of knowledge and factual information</w:t>
      </w:r>
      <w:r w:rsidR="00843B8A" w:rsidRPr="00AE141E">
        <w:rPr>
          <w:rFonts w:ascii="Times New Roman" w:hAnsi="Times New Roman" w:cs="Times New Roman"/>
          <w:sz w:val="24"/>
          <w:szCs w:val="24"/>
        </w:rPr>
        <w:t xml:space="preserve">: the first AT would heretofore be renamed </w:t>
      </w:r>
      <w:r w:rsidR="005D4377" w:rsidRPr="00AE141E">
        <w:rPr>
          <w:rFonts w:ascii="Times New Roman" w:hAnsi="Times New Roman" w:cs="Times New Roman"/>
          <w:sz w:val="24"/>
          <w:szCs w:val="24"/>
        </w:rPr>
        <w:t>‘</w:t>
      </w:r>
      <w:r w:rsidR="00843B8A" w:rsidRPr="00AE141E">
        <w:rPr>
          <w:rFonts w:ascii="Times New Roman" w:hAnsi="Times New Roman" w:cs="Times New Roman"/>
          <w:sz w:val="24"/>
          <w:szCs w:val="24"/>
        </w:rPr>
        <w:t xml:space="preserve">Knowledge </w:t>
      </w:r>
      <w:r w:rsidR="00843B8A" w:rsidRPr="00AE141E">
        <w:rPr>
          <w:rFonts w:ascii="Times New Roman" w:hAnsi="Times New Roman" w:cs="Times New Roman"/>
          <w:sz w:val="24"/>
          <w:szCs w:val="24"/>
        </w:rPr>
        <w:lastRenderedPageBreak/>
        <w:t>and Understanding</w:t>
      </w:r>
      <w:r w:rsidR="005D4377" w:rsidRPr="00AE141E">
        <w:rPr>
          <w:rFonts w:ascii="Times New Roman" w:hAnsi="Times New Roman" w:cs="Times New Roman"/>
          <w:sz w:val="24"/>
          <w:szCs w:val="24"/>
        </w:rPr>
        <w:t>’</w:t>
      </w:r>
      <w:r w:rsidR="00843B8A" w:rsidRPr="00AE141E">
        <w:rPr>
          <w:rFonts w:ascii="Times New Roman" w:hAnsi="Times New Roman" w:cs="Times New Roman"/>
          <w:sz w:val="24"/>
          <w:szCs w:val="24"/>
        </w:rPr>
        <w:t xml:space="preserve"> and given greater weighting within the scheme of assessment.</w:t>
      </w:r>
      <w:r w:rsidR="005D4377" w:rsidRPr="00AE141E">
        <w:rPr>
          <w:rStyle w:val="FootnoteReference"/>
          <w:rFonts w:ascii="Times New Roman" w:hAnsi="Times New Roman" w:cs="Times New Roman"/>
          <w:sz w:val="24"/>
          <w:szCs w:val="24"/>
        </w:rPr>
        <w:footnoteReference w:id="901"/>
      </w:r>
      <w:r w:rsidR="00C7481F" w:rsidRPr="00AE141E">
        <w:rPr>
          <w:rFonts w:ascii="Times New Roman" w:hAnsi="Times New Roman" w:cs="Times New Roman"/>
          <w:sz w:val="24"/>
          <w:szCs w:val="24"/>
        </w:rPr>
        <w:t xml:space="preserve"> </w:t>
      </w:r>
      <w:r w:rsidR="008F46F1" w:rsidRPr="00AE141E">
        <w:rPr>
          <w:rFonts w:ascii="Times New Roman" w:hAnsi="Times New Roman" w:cs="Times New Roman"/>
          <w:sz w:val="24"/>
          <w:szCs w:val="24"/>
        </w:rPr>
        <w:t>The problem of content overload</w:t>
      </w:r>
      <w:r w:rsidR="009F0A8B" w:rsidRPr="00AE141E">
        <w:rPr>
          <w:rFonts w:ascii="Times New Roman" w:hAnsi="Times New Roman" w:cs="Times New Roman"/>
          <w:sz w:val="24"/>
          <w:szCs w:val="24"/>
        </w:rPr>
        <w:t xml:space="preserve"> and prescription</w:t>
      </w:r>
      <w:r w:rsidR="008F46F1" w:rsidRPr="00AE141E">
        <w:rPr>
          <w:rFonts w:ascii="Times New Roman" w:hAnsi="Times New Roman" w:cs="Times New Roman"/>
          <w:sz w:val="24"/>
          <w:szCs w:val="24"/>
        </w:rPr>
        <w:t xml:space="preserve"> would be addressed by </w:t>
      </w:r>
      <w:r w:rsidR="009F0A8B" w:rsidRPr="00AE141E">
        <w:rPr>
          <w:rFonts w:ascii="Times New Roman" w:hAnsi="Times New Roman" w:cs="Times New Roman"/>
          <w:sz w:val="24"/>
          <w:szCs w:val="24"/>
        </w:rPr>
        <w:t xml:space="preserve">slimming down the level of detail in the Programmes of Study, giving </w:t>
      </w:r>
      <w:r w:rsidR="008252FB" w:rsidRPr="00AE141E">
        <w:rPr>
          <w:rFonts w:ascii="Times New Roman" w:hAnsi="Times New Roman" w:cs="Times New Roman"/>
          <w:sz w:val="24"/>
          <w:szCs w:val="24"/>
        </w:rPr>
        <w:t>schools the chance to ‘design all four non-core history units</w:t>
      </w:r>
      <w:r w:rsidR="003745B6" w:rsidRPr="00AE141E">
        <w:rPr>
          <w:rFonts w:ascii="Times New Roman" w:hAnsi="Times New Roman" w:cs="Times New Roman"/>
          <w:sz w:val="24"/>
          <w:szCs w:val="24"/>
        </w:rPr>
        <w:t>’</w:t>
      </w:r>
      <w:r w:rsidR="008252FB" w:rsidRPr="00AE141E">
        <w:rPr>
          <w:rFonts w:ascii="Times New Roman" w:hAnsi="Times New Roman" w:cs="Times New Roman"/>
          <w:sz w:val="24"/>
          <w:szCs w:val="24"/>
        </w:rPr>
        <w:t xml:space="preserve">, and reducing the total number of </w:t>
      </w:r>
      <w:r w:rsidR="003745B6" w:rsidRPr="00AE141E">
        <w:rPr>
          <w:rFonts w:ascii="Times New Roman" w:hAnsi="Times New Roman" w:cs="Times New Roman"/>
          <w:sz w:val="24"/>
          <w:szCs w:val="24"/>
        </w:rPr>
        <w:t xml:space="preserve">HSUs by one. The proposed victims of the cut, unsurprisingly, would be </w:t>
      </w:r>
      <w:r w:rsidR="008B7CE2" w:rsidRPr="00AE141E">
        <w:rPr>
          <w:rFonts w:ascii="Times New Roman" w:hAnsi="Times New Roman" w:cs="Times New Roman"/>
          <w:sz w:val="24"/>
          <w:szCs w:val="24"/>
        </w:rPr>
        <w:t xml:space="preserve">non-European history. </w:t>
      </w:r>
    </w:p>
    <w:p w14:paraId="2E1990A2" w14:textId="2B2F63C2" w:rsidR="00132082" w:rsidRPr="00132082" w:rsidRDefault="00132082" w:rsidP="00AE141E">
      <w:pPr>
        <w:spacing w:line="360" w:lineRule="auto"/>
        <w:rPr>
          <w:rFonts w:ascii="Times New Roman" w:hAnsi="Times New Roman" w:cs="Times New Roman"/>
          <w:b/>
          <w:bCs/>
          <w:sz w:val="24"/>
          <w:szCs w:val="24"/>
        </w:rPr>
      </w:pPr>
      <w:r>
        <w:rPr>
          <w:rFonts w:ascii="Times New Roman" w:hAnsi="Times New Roman" w:cs="Times New Roman"/>
          <w:b/>
          <w:bCs/>
          <w:sz w:val="24"/>
          <w:szCs w:val="24"/>
        </w:rPr>
        <w:t>The History Task Group</w:t>
      </w:r>
      <w:r w:rsidR="00A62018">
        <w:rPr>
          <w:rFonts w:ascii="Times New Roman" w:hAnsi="Times New Roman" w:cs="Times New Roman"/>
          <w:b/>
          <w:bCs/>
          <w:sz w:val="24"/>
          <w:szCs w:val="24"/>
        </w:rPr>
        <w:t xml:space="preserve"> and Kenneth Clarke’s Interventions</w:t>
      </w:r>
    </w:p>
    <w:p w14:paraId="75ED830D" w14:textId="63635A08" w:rsidR="00FE64A3" w:rsidRDefault="00441BEB"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MacGregor</w:t>
      </w:r>
      <w:r w:rsidR="003F2938" w:rsidRPr="00AE141E">
        <w:rPr>
          <w:rFonts w:ascii="Times New Roman" w:hAnsi="Times New Roman" w:cs="Times New Roman"/>
          <w:sz w:val="24"/>
          <w:szCs w:val="24"/>
        </w:rPr>
        <w:t xml:space="preserve">’s proposals informed the work of </w:t>
      </w:r>
      <w:r w:rsidRPr="00AE141E">
        <w:rPr>
          <w:rFonts w:ascii="Times New Roman" w:hAnsi="Times New Roman" w:cs="Times New Roman"/>
          <w:sz w:val="24"/>
          <w:szCs w:val="24"/>
        </w:rPr>
        <w:t xml:space="preserve">the History Task Group (HTG) of the </w:t>
      </w:r>
      <w:r w:rsidR="00B25EE8" w:rsidRPr="00AE141E">
        <w:rPr>
          <w:rFonts w:ascii="Times New Roman" w:hAnsi="Times New Roman" w:cs="Times New Roman"/>
          <w:sz w:val="24"/>
          <w:szCs w:val="24"/>
        </w:rPr>
        <w:t xml:space="preserve">NCC. </w:t>
      </w:r>
      <w:r w:rsidR="000E0206" w:rsidRPr="00AE141E">
        <w:rPr>
          <w:rFonts w:ascii="Times New Roman" w:hAnsi="Times New Roman" w:cs="Times New Roman"/>
          <w:sz w:val="24"/>
          <w:szCs w:val="24"/>
        </w:rPr>
        <w:t xml:space="preserve">The NCC’s own consultation process confirmed the controversial nature of the </w:t>
      </w:r>
      <w:r w:rsidR="003F2938" w:rsidRPr="00AE141E">
        <w:rPr>
          <w:rFonts w:ascii="Times New Roman" w:hAnsi="Times New Roman" w:cs="Times New Roman"/>
          <w:sz w:val="24"/>
          <w:szCs w:val="24"/>
        </w:rPr>
        <w:t>balance</w:t>
      </w:r>
      <w:r w:rsidR="000E0206" w:rsidRPr="00AE141E">
        <w:rPr>
          <w:rFonts w:ascii="Times New Roman" w:hAnsi="Times New Roman" w:cs="Times New Roman"/>
          <w:sz w:val="24"/>
          <w:szCs w:val="24"/>
        </w:rPr>
        <w:t xml:space="preserve"> between local, British, European and world history</w:t>
      </w:r>
      <w:r w:rsidR="00B543C1" w:rsidRPr="00AE141E">
        <w:rPr>
          <w:rFonts w:ascii="Times New Roman" w:hAnsi="Times New Roman" w:cs="Times New Roman"/>
          <w:sz w:val="24"/>
          <w:szCs w:val="24"/>
        </w:rPr>
        <w:t>: statistical analysis revealed that</w:t>
      </w:r>
      <w:r w:rsidR="000E0206" w:rsidRPr="00AE141E">
        <w:rPr>
          <w:rFonts w:ascii="Times New Roman" w:hAnsi="Times New Roman" w:cs="Times New Roman"/>
          <w:sz w:val="24"/>
          <w:szCs w:val="24"/>
        </w:rPr>
        <w:t xml:space="preserve"> </w:t>
      </w:r>
      <w:r w:rsidR="00B543C1" w:rsidRPr="00AE141E">
        <w:rPr>
          <w:rFonts w:ascii="Times New Roman" w:hAnsi="Times New Roman" w:cs="Times New Roman"/>
          <w:sz w:val="24"/>
          <w:szCs w:val="24"/>
        </w:rPr>
        <w:t>just</w:t>
      </w:r>
      <w:r w:rsidR="000E0206" w:rsidRPr="00AE141E">
        <w:rPr>
          <w:rFonts w:ascii="Times New Roman" w:hAnsi="Times New Roman" w:cs="Times New Roman"/>
          <w:sz w:val="24"/>
          <w:szCs w:val="24"/>
        </w:rPr>
        <w:t xml:space="preserve"> 23</w:t>
      </w:r>
      <w:r w:rsidR="00B543C1" w:rsidRPr="00AE141E">
        <w:rPr>
          <w:rFonts w:ascii="Times New Roman" w:hAnsi="Times New Roman" w:cs="Times New Roman"/>
          <w:sz w:val="24"/>
          <w:szCs w:val="24"/>
        </w:rPr>
        <w:t xml:space="preserve"> per cent</w:t>
      </w:r>
      <w:r w:rsidR="000E0206" w:rsidRPr="00AE141E">
        <w:rPr>
          <w:rFonts w:ascii="Times New Roman" w:hAnsi="Times New Roman" w:cs="Times New Roman"/>
          <w:sz w:val="24"/>
          <w:szCs w:val="24"/>
        </w:rPr>
        <w:t xml:space="preserve"> agree</w:t>
      </w:r>
      <w:r w:rsidR="00B543C1" w:rsidRPr="00AE141E">
        <w:rPr>
          <w:rFonts w:ascii="Times New Roman" w:hAnsi="Times New Roman" w:cs="Times New Roman"/>
          <w:sz w:val="24"/>
          <w:szCs w:val="24"/>
        </w:rPr>
        <w:t>d</w:t>
      </w:r>
      <w:r w:rsidR="000E0206" w:rsidRPr="00AE141E">
        <w:rPr>
          <w:rFonts w:ascii="Times New Roman" w:hAnsi="Times New Roman" w:cs="Times New Roman"/>
          <w:sz w:val="24"/>
          <w:szCs w:val="24"/>
        </w:rPr>
        <w:t xml:space="preserve"> with the balance</w:t>
      </w:r>
      <w:r w:rsidR="0019611E" w:rsidRPr="00AE141E">
        <w:rPr>
          <w:rFonts w:ascii="Times New Roman" w:hAnsi="Times New Roman" w:cs="Times New Roman"/>
          <w:sz w:val="24"/>
          <w:szCs w:val="24"/>
        </w:rPr>
        <w:t xml:space="preserve">, to </w:t>
      </w:r>
      <w:r w:rsidR="000E0206" w:rsidRPr="00AE141E">
        <w:rPr>
          <w:rFonts w:ascii="Times New Roman" w:hAnsi="Times New Roman" w:cs="Times New Roman"/>
          <w:sz w:val="24"/>
          <w:szCs w:val="24"/>
        </w:rPr>
        <w:t>33</w:t>
      </w:r>
      <w:r w:rsidR="0019611E" w:rsidRPr="00AE141E">
        <w:rPr>
          <w:rFonts w:ascii="Times New Roman" w:hAnsi="Times New Roman" w:cs="Times New Roman"/>
          <w:sz w:val="24"/>
          <w:szCs w:val="24"/>
        </w:rPr>
        <w:t xml:space="preserve"> per cent</w:t>
      </w:r>
      <w:r w:rsidR="000E0206" w:rsidRPr="00AE141E">
        <w:rPr>
          <w:rFonts w:ascii="Times New Roman" w:hAnsi="Times New Roman" w:cs="Times New Roman"/>
          <w:sz w:val="24"/>
          <w:szCs w:val="24"/>
        </w:rPr>
        <w:t xml:space="preserve"> </w:t>
      </w:r>
      <w:r w:rsidR="0019611E" w:rsidRPr="00AE141E">
        <w:rPr>
          <w:rFonts w:ascii="Times New Roman" w:hAnsi="Times New Roman" w:cs="Times New Roman"/>
          <w:sz w:val="24"/>
          <w:szCs w:val="24"/>
        </w:rPr>
        <w:t>who disagreed</w:t>
      </w:r>
      <w:r w:rsidR="000E0206" w:rsidRPr="00AE141E">
        <w:rPr>
          <w:rFonts w:ascii="Times New Roman" w:hAnsi="Times New Roman" w:cs="Times New Roman"/>
          <w:sz w:val="24"/>
          <w:szCs w:val="24"/>
        </w:rPr>
        <w:t>.</w:t>
      </w:r>
      <w:r w:rsidR="00E17F30" w:rsidRPr="00AE141E">
        <w:rPr>
          <w:rStyle w:val="FootnoteReference"/>
          <w:rFonts w:ascii="Times New Roman" w:hAnsi="Times New Roman" w:cs="Times New Roman"/>
          <w:sz w:val="24"/>
          <w:szCs w:val="24"/>
        </w:rPr>
        <w:footnoteReference w:id="902"/>
      </w:r>
      <w:r w:rsidR="000E0206" w:rsidRPr="00AE141E">
        <w:rPr>
          <w:rFonts w:ascii="Times New Roman" w:hAnsi="Times New Roman" w:cs="Times New Roman"/>
          <w:sz w:val="24"/>
          <w:szCs w:val="24"/>
        </w:rPr>
        <w:t xml:space="preserve"> Nearly 24</w:t>
      </w:r>
      <w:r w:rsidR="00AE36AE" w:rsidRPr="00AE141E">
        <w:rPr>
          <w:rFonts w:ascii="Times New Roman" w:hAnsi="Times New Roman" w:cs="Times New Roman"/>
          <w:sz w:val="24"/>
          <w:szCs w:val="24"/>
        </w:rPr>
        <w:t xml:space="preserve"> per cent specifically </w:t>
      </w:r>
      <w:r w:rsidR="000E0206" w:rsidRPr="00AE141E">
        <w:rPr>
          <w:rFonts w:ascii="Times New Roman" w:hAnsi="Times New Roman" w:cs="Times New Roman"/>
          <w:sz w:val="24"/>
          <w:szCs w:val="24"/>
        </w:rPr>
        <w:t>wished to see a reduction in the amount of British history</w:t>
      </w:r>
      <w:r w:rsidR="00316CCD" w:rsidRPr="00AE141E">
        <w:rPr>
          <w:rFonts w:ascii="Times New Roman" w:hAnsi="Times New Roman" w:cs="Times New Roman"/>
          <w:sz w:val="24"/>
          <w:szCs w:val="24"/>
        </w:rPr>
        <w:t>.</w:t>
      </w:r>
      <w:r w:rsidR="00AE36AE" w:rsidRPr="00AE141E">
        <w:rPr>
          <w:rFonts w:ascii="Times New Roman" w:hAnsi="Times New Roman" w:cs="Times New Roman"/>
          <w:sz w:val="24"/>
          <w:szCs w:val="24"/>
        </w:rPr>
        <w:t xml:space="preserve"> </w:t>
      </w:r>
      <w:r w:rsidR="00BF79A3" w:rsidRPr="00AE141E">
        <w:rPr>
          <w:rFonts w:ascii="Times New Roman" w:hAnsi="Times New Roman" w:cs="Times New Roman"/>
          <w:sz w:val="24"/>
          <w:szCs w:val="24"/>
        </w:rPr>
        <w:t>T</w:t>
      </w:r>
      <w:r w:rsidR="00C43D7D" w:rsidRPr="00AE141E">
        <w:rPr>
          <w:rFonts w:ascii="Times New Roman" w:hAnsi="Times New Roman" w:cs="Times New Roman"/>
          <w:sz w:val="24"/>
          <w:szCs w:val="24"/>
        </w:rPr>
        <w:t xml:space="preserve">he HTG </w:t>
      </w:r>
      <w:r w:rsidR="00C97F5A" w:rsidRPr="00AE141E">
        <w:rPr>
          <w:rFonts w:ascii="Times New Roman" w:hAnsi="Times New Roman" w:cs="Times New Roman"/>
          <w:sz w:val="24"/>
          <w:szCs w:val="24"/>
        </w:rPr>
        <w:t xml:space="preserve">worked at the intersection of </w:t>
      </w:r>
      <w:r w:rsidR="00224291" w:rsidRPr="00AE141E">
        <w:rPr>
          <w:rFonts w:ascii="Times New Roman" w:hAnsi="Times New Roman" w:cs="Times New Roman"/>
          <w:sz w:val="24"/>
          <w:szCs w:val="24"/>
        </w:rPr>
        <w:t>several competing influences: the</w:t>
      </w:r>
      <w:r w:rsidR="00C97F5A" w:rsidRPr="00AE141E">
        <w:rPr>
          <w:rFonts w:ascii="Times New Roman" w:hAnsi="Times New Roman" w:cs="Times New Roman"/>
          <w:sz w:val="24"/>
          <w:szCs w:val="24"/>
        </w:rPr>
        <w:t xml:space="preserve"> dem</w:t>
      </w:r>
      <w:r w:rsidR="00BA1AFE" w:rsidRPr="00AE141E">
        <w:rPr>
          <w:rFonts w:ascii="Times New Roman" w:hAnsi="Times New Roman" w:cs="Times New Roman"/>
          <w:sz w:val="24"/>
          <w:szCs w:val="24"/>
        </w:rPr>
        <w:t>ands of government</w:t>
      </w:r>
      <w:r w:rsidR="00224291" w:rsidRPr="00AE141E">
        <w:rPr>
          <w:rFonts w:ascii="Times New Roman" w:hAnsi="Times New Roman" w:cs="Times New Roman"/>
          <w:sz w:val="24"/>
          <w:szCs w:val="24"/>
        </w:rPr>
        <w:t>, the</w:t>
      </w:r>
      <w:r w:rsidR="00BA1AFE" w:rsidRPr="00AE141E">
        <w:rPr>
          <w:rFonts w:ascii="Times New Roman" w:hAnsi="Times New Roman" w:cs="Times New Roman"/>
          <w:sz w:val="24"/>
          <w:szCs w:val="24"/>
        </w:rPr>
        <w:t xml:space="preserve"> existing work of the HWG</w:t>
      </w:r>
      <w:r w:rsidR="00224291" w:rsidRPr="00AE141E">
        <w:rPr>
          <w:rFonts w:ascii="Times New Roman" w:hAnsi="Times New Roman" w:cs="Times New Roman"/>
          <w:sz w:val="24"/>
          <w:szCs w:val="24"/>
        </w:rPr>
        <w:t xml:space="preserve">, the </w:t>
      </w:r>
      <w:r w:rsidR="004F430B" w:rsidRPr="00AE141E">
        <w:rPr>
          <w:rFonts w:ascii="Times New Roman" w:hAnsi="Times New Roman" w:cs="Times New Roman"/>
          <w:sz w:val="24"/>
          <w:szCs w:val="24"/>
        </w:rPr>
        <w:t xml:space="preserve">feedback derived from extensive consultation processes, and its own </w:t>
      </w:r>
      <w:r w:rsidR="00BF79A3" w:rsidRPr="00AE141E">
        <w:rPr>
          <w:rFonts w:ascii="Times New Roman" w:hAnsi="Times New Roman" w:cs="Times New Roman"/>
          <w:sz w:val="24"/>
          <w:szCs w:val="24"/>
        </w:rPr>
        <w:t xml:space="preserve">organisational identity and </w:t>
      </w:r>
      <w:r w:rsidR="004F430B" w:rsidRPr="00AE141E">
        <w:rPr>
          <w:rFonts w:ascii="Times New Roman" w:hAnsi="Times New Roman" w:cs="Times New Roman"/>
          <w:sz w:val="24"/>
          <w:szCs w:val="24"/>
        </w:rPr>
        <w:t xml:space="preserve">aspirations for the </w:t>
      </w:r>
      <w:r w:rsidR="00BF79A3" w:rsidRPr="00AE141E">
        <w:rPr>
          <w:rFonts w:ascii="Times New Roman" w:hAnsi="Times New Roman" w:cs="Times New Roman"/>
          <w:sz w:val="24"/>
          <w:szCs w:val="24"/>
        </w:rPr>
        <w:t xml:space="preserve">National Curriculum. As Phillips notes, the Group </w:t>
      </w:r>
      <w:r w:rsidR="00C43D7D" w:rsidRPr="00AE141E">
        <w:rPr>
          <w:rFonts w:ascii="Times New Roman" w:hAnsi="Times New Roman" w:cs="Times New Roman"/>
          <w:sz w:val="24"/>
          <w:szCs w:val="24"/>
        </w:rPr>
        <w:t xml:space="preserve">saw </w:t>
      </w:r>
      <w:r w:rsidR="00BF79A3" w:rsidRPr="00AE141E">
        <w:rPr>
          <w:rFonts w:ascii="Times New Roman" w:hAnsi="Times New Roman" w:cs="Times New Roman"/>
          <w:sz w:val="24"/>
          <w:szCs w:val="24"/>
        </w:rPr>
        <w:t>its</w:t>
      </w:r>
      <w:r w:rsidR="00C43D7D" w:rsidRPr="00AE141E">
        <w:rPr>
          <w:rFonts w:ascii="Times New Roman" w:hAnsi="Times New Roman" w:cs="Times New Roman"/>
          <w:sz w:val="24"/>
          <w:szCs w:val="24"/>
        </w:rPr>
        <w:t xml:space="preserve"> </w:t>
      </w:r>
      <w:r w:rsidR="00B16C07" w:rsidRPr="00AE141E">
        <w:rPr>
          <w:rFonts w:ascii="Times New Roman" w:hAnsi="Times New Roman" w:cs="Times New Roman"/>
          <w:sz w:val="24"/>
          <w:szCs w:val="24"/>
        </w:rPr>
        <w:t>role as ensuring the ‘</w:t>
      </w:r>
      <w:r w:rsidR="000469C0" w:rsidRPr="00AE141E">
        <w:rPr>
          <w:rFonts w:ascii="Times New Roman" w:hAnsi="Times New Roman" w:cs="Times New Roman"/>
          <w:sz w:val="24"/>
          <w:szCs w:val="24"/>
        </w:rPr>
        <w:t>rigour, breadth and balance</w:t>
      </w:r>
      <w:r w:rsidR="00B16C07" w:rsidRPr="00AE141E">
        <w:rPr>
          <w:rFonts w:ascii="Times New Roman" w:hAnsi="Times New Roman" w:cs="Times New Roman"/>
          <w:sz w:val="24"/>
          <w:szCs w:val="24"/>
        </w:rPr>
        <w:t>’ of the National Curriculum.</w:t>
      </w:r>
      <w:r w:rsidR="002E50FA" w:rsidRPr="00AE141E">
        <w:rPr>
          <w:rStyle w:val="FootnoteReference"/>
          <w:rFonts w:ascii="Times New Roman" w:hAnsi="Times New Roman" w:cs="Times New Roman"/>
          <w:sz w:val="24"/>
          <w:szCs w:val="24"/>
        </w:rPr>
        <w:footnoteReference w:id="903"/>
      </w:r>
    </w:p>
    <w:p w14:paraId="68951838" w14:textId="7444C82F" w:rsidR="00C97F5A" w:rsidRPr="00AE141E" w:rsidRDefault="00FE64A3" w:rsidP="00AE141E">
      <w:pPr>
        <w:spacing w:line="360" w:lineRule="auto"/>
        <w:rPr>
          <w:rFonts w:ascii="Times New Roman" w:hAnsi="Times New Roman" w:cs="Times New Roman"/>
          <w:sz w:val="24"/>
          <w:szCs w:val="24"/>
        </w:rPr>
      </w:pPr>
      <w:r>
        <w:rPr>
          <w:rFonts w:ascii="Times New Roman" w:hAnsi="Times New Roman" w:cs="Times New Roman"/>
          <w:sz w:val="24"/>
          <w:szCs w:val="24"/>
        </w:rPr>
        <w:t>The HTG</w:t>
      </w:r>
      <w:r w:rsidR="009E5850" w:rsidRPr="00AE141E">
        <w:rPr>
          <w:rFonts w:ascii="Times New Roman" w:hAnsi="Times New Roman" w:cs="Times New Roman"/>
          <w:sz w:val="24"/>
          <w:szCs w:val="24"/>
        </w:rPr>
        <w:t xml:space="preserve"> endorsed </w:t>
      </w:r>
      <w:r w:rsidR="004F0B35" w:rsidRPr="00AE141E">
        <w:rPr>
          <w:rFonts w:ascii="Times New Roman" w:hAnsi="Times New Roman" w:cs="Times New Roman"/>
          <w:sz w:val="24"/>
          <w:szCs w:val="24"/>
        </w:rPr>
        <w:t xml:space="preserve">MacGregor’s compromise on the position of knowledge. </w:t>
      </w:r>
      <w:r w:rsidR="00BF79A3" w:rsidRPr="00AE141E">
        <w:rPr>
          <w:rFonts w:ascii="Times New Roman" w:hAnsi="Times New Roman" w:cs="Times New Roman"/>
          <w:sz w:val="24"/>
          <w:szCs w:val="24"/>
        </w:rPr>
        <w:t>Members</w:t>
      </w:r>
      <w:r w:rsidR="004F0B35" w:rsidRPr="00AE141E">
        <w:rPr>
          <w:rFonts w:ascii="Times New Roman" w:hAnsi="Times New Roman" w:cs="Times New Roman"/>
          <w:sz w:val="24"/>
          <w:szCs w:val="24"/>
        </w:rPr>
        <w:t xml:space="preserve"> also</w:t>
      </w:r>
      <w:r w:rsidR="00B16C07" w:rsidRPr="00AE141E">
        <w:rPr>
          <w:rFonts w:ascii="Times New Roman" w:hAnsi="Times New Roman" w:cs="Times New Roman"/>
          <w:sz w:val="24"/>
          <w:szCs w:val="24"/>
        </w:rPr>
        <w:t xml:space="preserve"> </w:t>
      </w:r>
      <w:r w:rsidR="00CA1C93" w:rsidRPr="00AE141E">
        <w:rPr>
          <w:rFonts w:ascii="Times New Roman" w:hAnsi="Times New Roman" w:cs="Times New Roman"/>
          <w:sz w:val="24"/>
          <w:szCs w:val="24"/>
        </w:rPr>
        <w:t xml:space="preserve">hoped to tackle prescription and overload by reducing </w:t>
      </w:r>
      <w:r w:rsidR="00F85F61" w:rsidRPr="00AE141E">
        <w:rPr>
          <w:rFonts w:ascii="Times New Roman" w:hAnsi="Times New Roman" w:cs="Times New Roman"/>
          <w:sz w:val="24"/>
          <w:szCs w:val="24"/>
        </w:rPr>
        <w:t xml:space="preserve">content and </w:t>
      </w:r>
      <w:r w:rsidR="00DA2400" w:rsidRPr="00AE141E">
        <w:rPr>
          <w:rFonts w:ascii="Times New Roman" w:hAnsi="Times New Roman" w:cs="Times New Roman"/>
          <w:sz w:val="24"/>
          <w:szCs w:val="24"/>
        </w:rPr>
        <w:t>providing a framework for core study units which offered both ‘concise focus statements</w:t>
      </w:r>
      <w:r w:rsidR="0079407A">
        <w:rPr>
          <w:rFonts w:ascii="Times New Roman" w:hAnsi="Times New Roman" w:cs="Times New Roman"/>
          <w:sz w:val="24"/>
          <w:szCs w:val="24"/>
        </w:rPr>
        <w:t>’</w:t>
      </w:r>
      <w:r w:rsidR="00DA2400" w:rsidRPr="00AE141E">
        <w:rPr>
          <w:rFonts w:ascii="Times New Roman" w:hAnsi="Times New Roman" w:cs="Times New Roman"/>
          <w:sz w:val="24"/>
          <w:szCs w:val="24"/>
        </w:rPr>
        <w:t xml:space="preserve"> and the </w:t>
      </w:r>
      <w:r w:rsidR="0079407A">
        <w:rPr>
          <w:rFonts w:ascii="Times New Roman" w:hAnsi="Times New Roman" w:cs="Times New Roman"/>
          <w:sz w:val="24"/>
          <w:szCs w:val="24"/>
        </w:rPr>
        <w:t>‘</w:t>
      </w:r>
      <w:r w:rsidR="00DA2400" w:rsidRPr="00AE141E">
        <w:rPr>
          <w:rFonts w:ascii="Times New Roman" w:hAnsi="Times New Roman" w:cs="Times New Roman"/>
          <w:sz w:val="24"/>
          <w:szCs w:val="24"/>
        </w:rPr>
        <w:t>historical information which “pupils should be taught about”’.</w:t>
      </w:r>
      <w:r w:rsidR="00B640E2">
        <w:rPr>
          <w:rStyle w:val="FootnoteReference"/>
          <w:rFonts w:ascii="Times New Roman" w:hAnsi="Times New Roman" w:cs="Times New Roman"/>
          <w:sz w:val="24"/>
          <w:szCs w:val="24"/>
        </w:rPr>
        <w:footnoteReference w:id="904"/>
      </w:r>
      <w:r w:rsidR="005A7979" w:rsidRPr="00AE141E">
        <w:rPr>
          <w:rFonts w:ascii="Times New Roman" w:hAnsi="Times New Roman" w:cs="Times New Roman"/>
          <w:sz w:val="24"/>
          <w:szCs w:val="24"/>
        </w:rPr>
        <w:t xml:space="preserve"> </w:t>
      </w:r>
      <w:r w:rsidR="00DA2400" w:rsidRPr="00AE141E">
        <w:rPr>
          <w:rFonts w:ascii="Times New Roman" w:hAnsi="Times New Roman" w:cs="Times New Roman"/>
          <w:sz w:val="24"/>
          <w:szCs w:val="24"/>
        </w:rPr>
        <w:t xml:space="preserve">This was to replace the detailed lists </w:t>
      </w:r>
      <w:r w:rsidR="007E6036" w:rsidRPr="00AE141E">
        <w:rPr>
          <w:rFonts w:ascii="Times New Roman" w:hAnsi="Times New Roman" w:cs="Times New Roman"/>
          <w:sz w:val="24"/>
          <w:szCs w:val="24"/>
        </w:rPr>
        <w:t xml:space="preserve">of information </w:t>
      </w:r>
      <w:r w:rsidR="00DA2400" w:rsidRPr="00AE141E">
        <w:rPr>
          <w:rFonts w:ascii="Times New Roman" w:hAnsi="Times New Roman" w:cs="Times New Roman"/>
          <w:sz w:val="24"/>
          <w:szCs w:val="24"/>
        </w:rPr>
        <w:t xml:space="preserve">which characterised the Final Report. </w:t>
      </w:r>
      <w:r w:rsidR="0069701D" w:rsidRPr="00AE141E">
        <w:rPr>
          <w:rFonts w:ascii="Times New Roman" w:hAnsi="Times New Roman" w:cs="Times New Roman"/>
          <w:sz w:val="24"/>
          <w:szCs w:val="24"/>
        </w:rPr>
        <w:t>A reduction in prescribed content did not, however, entail a</w:t>
      </w:r>
      <w:r w:rsidR="00E16B0E" w:rsidRPr="00AE141E">
        <w:rPr>
          <w:rFonts w:ascii="Times New Roman" w:hAnsi="Times New Roman" w:cs="Times New Roman"/>
          <w:sz w:val="24"/>
          <w:szCs w:val="24"/>
        </w:rPr>
        <w:t xml:space="preserve"> total </w:t>
      </w:r>
      <w:r w:rsidR="000D01F5" w:rsidRPr="00AE141E">
        <w:rPr>
          <w:rFonts w:ascii="Times New Roman" w:hAnsi="Times New Roman" w:cs="Times New Roman"/>
          <w:sz w:val="24"/>
          <w:szCs w:val="24"/>
        </w:rPr>
        <w:t>reappraisal of</w:t>
      </w:r>
      <w:r w:rsidR="0069701D" w:rsidRPr="00AE141E">
        <w:rPr>
          <w:rFonts w:ascii="Times New Roman" w:hAnsi="Times New Roman" w:cs="Times New Roman"/>
          <w:sz w:val="24"/>
          <w:szCs w:val="24"/>
        </w:rPr>
        <w:t xml:space="preserve"> teacher</w:t>
      </w:r>
      <w:r w:rsidR="000E7A63">
        <w:rPr>
          <w:rFonts w:ascii="Times New Roman" w:hAnsi="Times New Roman" w:cs="Times New Roman"/>
          <w:sz w:val="24"/>
          <w:szCs w:val="24"/>
        </w:rPr>
        <w:t>s’ professional</w:t>
      </w:r>
      <w:r w:rsidR="0069701D" w:rsidRPr="00AE141E">
        <w:rPr>
          <w:rFonts w:ascii="Times New Roman" w:hAnsi="Times New Roman" w:cs="Times New Roman"/>
          <w:sz w:val="24"/>
          <w:szCs w:val="24"/>
        </w:rPr>
        <w:t xml:space="preserve"> autonomy. </w:t>
      </w:r>
      <w:r w:rsidR="00F504A1" w:rsidRPr="00AE141E">
        <w:rPr>
          <w:rFonts w:ascii="Times New Roman" w:hAnsi="Times New Roman" w:cs="Times New Roman"/>
          <w:sz w:val="24"/>
          <w:szCs w:val="24"/>
        </w:rPr>
        <w:t xml:space="preserve">The HTG’s commitment to academic rigour led it to reject </w:t>
      </w:r>
      <w:r w:rsidR="004F5573" w:rsidRPr="00AE141E">
        <w:rPr>
          <w:rFonts w:ascii="Times New Roman" w:hAnsi="Times New Roman" w:cs="Times New Roman"/>
          <w:sz w:val="24"/>
          <w:szCs w:val="24"/>
        </w:rPr>
        <w:t xml:space="preserve">the </w:t>
      </w:r>
      <w:r w:rsidR="00F504A1" w:rsidRPr="00AE141E">
        <w:rPr>
          <w:rFonts w:ascii="Times New Roman" w:hAnsi="Times New Roman" w:cs="Times New Roman"/>
          <w:sz w:val="24"/>
          <w:szCs w:val="24"/>
        </w:rPr>
        <w:t xml:space="preserve">SDHSUs </w:t>
      </w:r>
      <w:r w:rsidR="004F5573" w:rsidRPr="00AE141E">
        <w:rPr>
          <w:rFonts w:ascii="Times New Roman" w:hAnsi="Times New Roman" w:cs="Times New Roman"/>
          <w:sz w:val="24"/>
          <w:szCs w:val="24"/>
        </w:rPr>
        <w:t xml:space="preserve">favoured by MacGregor </w:t>
      </w:r>
      <w:r w:rsidR="00F504A1" w:rsidRPr="00AE141E">
        <w:rPr>
          <w:rFonts w:ascii="Times New Roman" w:hAnsi="Times New Roman" w:cs="Times New Roman"/>
          <w:sz w:val="24"/>
          <w:szCs w:val="24"/>
        </w:rPr>
        <w:t xml:space="preserve">in favour of </w:t>
      </w:r>
      <w:r w:rsidR="00844FEE" w:rsidRPr="00AE141E">
        <w:rPr>
          <w:rFonts w:ascii="Times New Roman" w:hAnsi="Times New Roman" w:cs="Times New Roman"/>
          <w:sz w:val="24"/>
          <w:szCs w:val="24"/>
        </w:rPr>
        <w:t>supplementary units accompanied by specific criteria for study</w:t>
      </w:r>
      <w:r w:rsidR="004F5573" w:rsidRPr="00AE141E">
        <w:rPr>
          <w:rFonts w:ascii="Times New Roman" w:hAnsi="Times New Roman" w:cs="Times New Roman"/>
          <w:sz w:val="24"/>
          <w:szCs w:val="24"/>
        </w:rPr>
        <w:t xml:space="preserve">; it recommended the abolition of SDHSUs at </w:t>
      </w:r>
      <w:r w:rsidR="006E3AAB" w:rsidRPr="00AE141E">
        <w:rPr>
          <w:rFonts w:ascii="Times New Roman" w:hAnsi="Times New Roman" w:cs="Times New Roman"/>
          <w:sz w:val="24"/>
          <w:szCs w:val="24"/>
        </w:rPr>
        <w:t>KS2 and KS3</w:t>
      </w:r>
      <w:r w:rsidR="00844FEE" w:rsidRPr="00AE141E">
        <w:rPr>
          <w:rFonts w:ascii="Times New Roman" w:hAnsi="Times New Roman" w:cs="Times New Roman"/>
          <w:sz w:val="24"/>
          <w:szCs w:val="24"/>
        </w:rPr>
        <w:t xml:space="preserve">. This would have the </w:t>
      </w:r>
      <w:r w:rsidR="004F5573" w:rsidRPr="00AE141E">
        <w:rPr>
          <w:rFonts w:ascii="Times New Roman" w:hAnsi="Times New Roman" w:cs="Times New Roman"/>
          <w:sz w:val="24"/>
          <w:szCs w:val="24"/>
        </w:rPr>
        <w:t xml:space="preserve">additional </w:t>
      </w:r>
      <w:r w:rsidR="006E3AAB" w:rsidRPr="00AE141E">
        <w:rPr>
          <w:rFonts w:ascii="Times New Roman" w:hAnsi="Times New Roman" w:cs="Times New Roman"/>
          <w:sz w:val="24"/>
          <w:szCs w:val="24"/>
        </w:rPr>
        <w:t xml:space="preserve">advantage of allowing </w:t>
      </w:r>
      <w:r w:rsidR="006E3AAB" w:rsidRPr="00AE141E">
        <w:rPr>
          <w:rFonts w:ascii="Times New Roman" w:hAnsi="Times New Roman" w:cs="Times New Roman"/>
          <w:sz w:val="24"/>
          <w:szCs w:val="24"/>
        </w:rPr>
        <w:lastRenderedPageBreak/>
        <w:t xml:space="preserve">the </w:t>
      </w:r>
      <w:r w:rsidR="00B63730" w:rsidRPr="00AE141E">
        <w:rPr>
          <w:rFonts w:ascii="Times New Roman" w:hAnsi="Times New Roman" w:cs="Times New Roman"/>
          <w:sz w:val="24"/>
          <w:szCs w:val="24"/>
        </w:rPr>
        <w:t>Group to specify and guarantee the study of a non-European society</w:t>
      </w:r>
      <w:r w:rsidR="007947EF" w:rsidRPr="00AE141E">
        <w:rPr>
          <w:rFonts w:ascii="Times New Roman" w:hAnsi="Times New Roman" w:cs="Times New Roman"/>
          <w:sz w:val="24"/>
          <w:szCs w:val="24"/>
        </w:rPr>
        <w:t xml:space="preserve"> in an attempt to promote balance.</w:t>
      </w:r>
      <w:r w:rsidR="007B1093" w:rsidRPr="00AE141E">
        <w:rPr>
          <w:rFonts w:ascii="Times New Roman" w:hAnsi="Times New Roman" w:cs="Times New Roman"/>
          <w:sz w:val="24"/>
          <w:szCs w:val="24"/>
        </w:rPr>
        <w:t xml:space="preserve"> </w:t>
      </w:r>
    </w:p>
    <w:p w14:paraId="4C1768DC" w14:textId="17B936A4" w:rsidR="00C10ED2" w:rsidRDefault="00845B6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Like the Final Report, the NCC’s </w:t>
      </w:r>
      <w:r w:rsidR="00192FC8" w:rsidRPr="00AE141E">
        <w:rPr>
          <w:rFonts w:ascii="Times New Roman" w:hAnsi="Times New Roman" w:cs="Times New Roman"/>
          <w:sz w:val="24"/>
          <w:szCs w:val="24"/>
        </w:rPr>
        <w:t xml:space="preserve">recommendations </w:t>
      </w:r>
      <w:r w:rsidR="007B3EC4" w:rsidRPr="00AE141E">
        <w:rPr>
          <w:rFonts w:ascii="Times New Roman" w:hAnsi="Times New Roman" w:cs="Times New Roman"/>
          <w:sz w:val="24"/>
          <w:szCs w:val="24"/>
        </w:rPr>
        <w:t>invited</w:t>
      </w:r>
      <w:r w:rsidR="00192FC8" w:rsidRPr="00AE141E">
        <w:rPr>
          <w:rFonts w:ascii="Times New Roman" w:hAnsi="Times New Roman" w:cs="Times New Roman"/>
          <w:sz w:val="24"/>
          <w:szCs w:val="24"/>
        </w:rPr>
        <w:t xml:space="preserve"> broad</w:t>
      </w:r>
      <w:r w:rsidR="00FD0FFF" w:rsidRPr="00AE141E">
        <w:rPr>
          <w:rFonts w:ascii="Times New Roman" w:hAnsi="Times New Roman" w:cs="Times New Roman"/>
          <w:sz w:val="24"/>
          <w:szCs w:val="24"/>
        </w:rPr>
        <w:t xml:space="preserve"> consensus</w:t>
      </w:r>
      <w:r w:rsidR="007B3EC4" w:rsidRPr="00AE141E">
        <w:rPr>
          <w:rFonts w:ascii="Times New Roman" w:hAnsi="Times New Roman" w:cs="Times New Roman"/>
          <w:sz w:val="24"/>
          <w:szCs w:val="24"/>
        </w:rPr>
        <w:t>.</w:t>
      </w:r>
      <w:r w:rsidR="00264980">
        <w:rPr>
          <w:rStyle w:val="FootnoteReference"/>
          <w:rFonts w:ascii="Times New Roman" w:hAnsi="Times New Roman" w:cs="Times New Roman"/>
          <w:sz w:val="24"/>
          <w:szCs w:val="24"/>
        </w:rPr>
        <w:footnoteReference w:id="905"/>
      </w:r>
      <w:r w:rsidR="007B3EC4" w:rsidRPr="00AE141E">
        <w:rPr>
          <w:rFonts w:ascii="Times New Roman" w:hAnsi="Times New Roman" w:cs="Times New Roman"/>
          <w:sz w:val="24"/>
          <w:szCs w:val="24"/>
        </w:rPr>
        <w:t xml:space="preserve"> It was all the more surprising, then, when the new Secretary of State Kenneth Clarke destabilised one of the foundatio</w:t>
      </w:r>
      <w:r w:rsidR="0003504E" w:rsidRPr="00AE141E">
        <w:rPr>
          <w:rFonts w:ascii="Times New Roman" w:hAnsi="Times New Roman" w:cs="Times New Roman"/>
          <w:sz w:val="24"/>
          <w:szCs w:val="24"/>
        </w:rPr>
        <w:t xml:space="preserve">nal assumptions of the drafting process. Clarke </w:t>
      </w:r>
      <w:r w:rsidR="00D409D2" w:rsidRPr="00AE141E">
        <w:rPr>
          <w:rFonts w:ascii="Times New Roman" w:hAnsi="Times New Roman" w:cs="Times New Roman"/>
          <w:sz w:val="24"/>
          <w:szCs w:val="24"/>
        </w:rPr>
        <w:t>had been</w:t>
      </w:r>
      <w:r w:rsidR="0003504E" w:rsidRPr="00AE141E">
        <w:rPr>
          <w:rFonts w:ascii="Times New Roman" w:hAnsi="Times New Roman" w:cs="Times New Roman"/>
          <w:sz w:val="24"/>
          <w:szCs w:val="24"/>
        </w:rPr>
        <w:t xml:space="preserve"> appointed </w:t>
      </w:r>
      <w:r w:rsidR="00724193" w:rsidRPr="00AE141E">
        <w:rPr>
          <w:rFonts w:ascii="Times New Roman" w:hAnsi="Times New Roman" w:cs="Times New Roman"/>
          <w:sz w:val="24"/>
          <w:szCs w:val="24"/>
        </w:rPr>
        <w:t>in recognition of his combative approach</w:t>
      </w:r>
      <w:r w:rsidR="00C26CA6" w:rsidRPr="00AE141E">
        <w:rPr>
          <w:rFonts w:ascii="Times New Roman" w:hAnsi="Times New Roman" w:cs="Times New Roman"/>
          <w:sz w:val="24"/>
          <w:szCs w:val="24"/>
        </w:rPr>
        <w:t xml:space="preserve">; Thatcher trusted him to </w:t>
      </w:r>
      <w:r w:rsidR="009547D7" w:rsidRPr="00AE141E">
        <w:rPr>
          <w:rFonts w:ascii="Times New Roman" w:hAnsi="Times New Roman" w:cs="Times New Roman"/>
          <w:sz w:val="24"/>
          <w:szCs w:val="24"/>
        </w:rPr>
        <w:t>resolve</w:t>
      </w:r>
      <w:r w:rsidR="00C26CA6" w:rsidRPr="00AE141E">
        <w:rPr>
          <w:rFonts w:ascii="Times New Roman" w:hAnsi="Times New Roman" w:cs="Times New Roman"/>
          <w:sz w:val="24"/>
          <w:szCs w:val="24"/>
        </w:rPr>
        <w:t xml:space="preserve"> </w:t>
      </w:r>
      <w:r w:rsidR="009547D7" w:rsidRPr="00AE141E">
        <w:rPr>
          <w:rFonts w:ascii="Times New Roman" w:hAnsi="Times New Roman" w:cs="Times New Roman"/>
          <w:sz w:val="24"/>
          <w:szCs w:val="24"/>
        </w:rPr>
        <w:t>the government’s</w:t>
      </w:r>
      <w:r w:rsidR="00C26CA6" w:rsidRPr="00AE141E">
        <w:rPr>
          <w:rFonts w:ascii="Times New Roman" w:hAnsi="Times New Roman" w:cs="Times New Roman"/>
          <w:sz w:val="24"/>
          <w:szCs w:val="24"/>
        </w:rPr>
        <w:t xml:space="preserve"> long-running battle with the teaching profession</w:t>
      </w:r>
      <w:r w:rsidR="00C83535" w:rsidRPr="00AE141E">
        <w:rPr>
          <w:rFonts w:ascii="Times New Roman" w:hAnsi="Times New Roman" w:cs="Times New Roman"/>
          <w:sz w:val="24"/>
          <w:szCs w:val="24"/>
        </w:rPr>
        <w:t xml:space="preserve"> over pay and conditions</w:t>
      </w:r>
      <w:r w:rsidR="00C26CA6" w:rsidRPr="00AE141E">
        <w:rPr>
          <w:rFonts w:ascii="Times New Roman" w:hAnsi="Times New Roman" w:cs="Times New Roman"/>
          <w:sz w:val="24"/>
          <w:szCs w:val="24"/>
        </w:rPr>
        <w:t xml:space="preserve">, which had </w:t>
      </w:r>
      <w:r w:rsidR="00F45345" w:rsidRPr="00AE141E">
        <w:rPr>
          <w:rFonts w:ascii="Times New Roman" w:hAnsi="Times New Roman" w:cs="Times New Roman"/>
          <w:sz w:val="24"/>
          <w:szCs w:val="24"/>
        </w:rPr>
        <w:t>already generated a two-year period of industrial action (19</w:t>
      </w:r>
      <w:r w:rsidR="00D409D2" w:rsidRPr="00AE141E">
        <w:rPr>
          <w:rFonts w:ascii="Times New Roman" w:hAnsi="Times New Roman" w:cs="Times New Roman"/>
          <w:sz w:val="24"/>
          <w:szCs w:val="24"/>
        </w:rPr>
        <w:t>84-1986).</w:t>
      </w:r>
      <w:r w:rsidR="00AE619A" w:rsidRPr="00AE141E">
        <w:rPr>
          <w:rStyle w:val="FootnoteReference"/>
          <w:rFonts w:ascii="Times New Roman" w:hAnsi="Times New Roman" w:cs="Times New Roman"/>
          <w:sz w:val="24"/>
          <w:szCs w:val="24"/>
        </w:rPr>
        <w:footnoteReference w:id="906"/>
      </w:r>
      <w:r w:rsidR="00D409D2" w:rsidRPr="00AE141E">
        <w:rPr>
          <w:rFonts w:ascii="Times New Roman" w:hAnsi="Times New Roman" w:cs="Times New Roman"/>
          <w:sz w:val="24"/>
          <w:szCs w:val="24"/>
        </w:rPr>
        <w:t xml:space="preserve"> </w:t>
      </w:r>
      <w:r w:rsidR="005C59D7" w:rsidRPr="00AE141E">
        <w:rPr>
          <w:rFonts w:ascii="Times New Roman" w:hAnsi="Times New Roman" w:cs="Times New Roman"/>
          <w:sz w:val="24"/>
          <w:szCs w:val="24"/>
        </w:rPr>
        <w:t xml:space="preserve">His first major act </w:t>
      </w:r>
      <w:r w:rsidR="00986943" w:rsidRPr="00AE141E">
        <w:rPr>
          <w:rFonts w:ascii="Times New Roman" w:hAnsi="Times New Roman" w:cs="Times New Roman"/>
          <w:sz w:val="24"/>
          <w:szCs w:val="24"/>
        </w:rPr>
        <w:t xml:space="preserve">as </w:t>
      </w:r>
      <w:r w:rsidR="00CB3A77">
        <w:rPr>
          <w:rFonts w:ascii="Times New Roman" w:hAnsi="Times New Roman" w:cs="Times New Roman"/>
          <w:sz w:val="24"/>
          <w:szCs w:val="24"/>
        </w:rPr>
        <w:t>Secretary</w:t>
      </w:r>
      <w:r w:rsidR="00986943" w:rsidRPr="00AE141E">
        <w:rPr>
          <w:rFonts w:ascii="Times New Roman" w:hAnsi="Times New Roman" w:cs="Times New Roman"/>
          <w:sz w:val="24"/>
          <w:szCs w:val="24"/>
        </w:rPr>
        <w:t xml:space="preserve"> of State confirmed Thatcher’s character judgement. Clarke took to the stage at the </w:t>
      </w:r>
      <w:r w:rsidR="006252BF" w:rsidRPr="00AE141E">
        <w:rPr>
          <w:rFonts w:ascii="Times New Roman" w:hAnsi="Times New Roman" w:cs="Times New Roman"/>
          <w:sz w:val="24"/>
          <w:szCs w:val="24"/>
        </w:rPr>
        <w:t xml:space="preserve">North of England Education Conference to proclaim that history and geography would no longer be </w:t>
      </w:r>
      <w:r w:rsidR="003773ED" w:rsidRPr="00AE141E">
        <w:rPr>
          <w:rFonts w:ascii="Times New Roman" w:hAnsi="Times New Roman" w:cs="Times New Roman"/>
          <w:sz w:val="24"/>
          <w:szCs w:val="24"/>
        </w:rPr>
        <w:t xml:space="preserve">compulsory at KS4: instead, students </w:t>
      </w:r>
      <w:r w:rsidR="00117A8C">
        <w:rPr>
          <w:rFonts w:ascii="Times New Roman" w:hAnsi="Times New Roman" w:cs="Times New Roman"/>
          <w:sz w:val="24"/>
          <w:szCs w:val="24"/>
        </w:rPr>
        <w:t>at ages thirteen to fourteen</w:t>
      </w:r>
      <w:r w:rsidR="003773ED" w:rsidRPr="00AE141E">
        <w:rPr>
          <w:rFonts w:ascii="Times New Roman" w:hAnsi="Times New Roman" w:cs="Times New Roman"/>
          <w:sz w:val="24"/>
          <w:szCs w:val="24"/>
        </w:rPr>
        <w:t xml:space="preserve"> would </w:t>
      </w:r>
      <w:r w:rsidR="001A78B2" w:rsidRPr="00AE141E">
        <w:rPr>
          <w:rFonts w:ascii="Times New Roman" w:hAnsi="Times New Roman" w:cs="Times New Roman"/>
          <w:sz w:val="24"/>
          <w:szCs w:val="24"/>
        </w:rPr>
        <w:t xml:space="preserve">choose </w:t>
      </w:r>
      <w:r w:rsidR="00264980">
        <w:rPr>
          <w:rFonts w:ascii="Times New Roman" w:hAnsi="Times New Roman" w:cs="Times New Roman"/>
          <w:sz w:val="24"/>
          <w:szCs w:val="24"/>
        </w:rPr>
        <w:t xml:space="preserve">just </w:t>
      </w:r>
      <w:r w:rsidR="001A78B2" w:rsidRPr="00AE141E">
        <w:rPr>
          <w:rFonts w:ascii="Times New Roman" w:hAnsi="Times New Roman" w:cs="Times New Roman"/>
          <w:sz w:val="24"/>
          <w:szCs w:val="24"/>
        </w:rPr>
        <w:t>one of the two subjects to take forwards.</w:t>
      </w:r>
    </w:p>
    <w:p w14:paraId="7C5601D4" w14:textId="7AB079D8" w:rsidR="00B9251D" w:rsidRPr="00AE141E" w:rsidRDefault="004D61B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impact of this act cannot be overstated. </w:t>
      </w:r>
      <w:r w:rsidR="00AC18D4" w:rsidRPr="00AE141E">
        <w:rPr>
          <w:rFonts w:ascii="Times New Roman" w:hAnsi="Times New Roman" w:cs="Times New Roman"/>
          <w:sz w:val="24"/>
          <w:szCs w:val="24"/>
        </w:rPr>
        <w:t>In general terms, it confirmed th</w:t>
      </w:r>
      <w:r w:rsidR="00FA50C6" w:rsidRPr="00AE141E">
        <w:rPr>
          <w:rFonts w:ascii="Times New Roman" w:hAnsi="Times New Roman" w:cs="Times New Roman"/>
          <w:sz w:val="24"/>
          <w:szCs w:val="24"/>
        </w:rPr>
        <w:t>e political malleability of the National Curriculum</w:t>
      </w:r>
      <w:r w:rsidR="002C4BF0" w:rsidRPr="00AE141E">
        <w:rPr>
          <w:rFonts w:ascii="Times New Roman" w:hAnsi="Times New Roman" w:cs="Times New Roman"/>
          <w:sz w:val="24"/>
          <w:szCs w:val="24"/>
        </w:rPr>
        <w:t xml:space="preserve">, emphasising that what was taught in schools would henceforth be subject to the whims of successive ministers and/or </w:t>
      </w:r>
      <w:r w:rsidR="00126DEF" w:rsidRPr="00AE141E">
        <w:rPr>
          <w:rFonts w:ascii="Times New Roman" w:hAnsi="Times New Roman" w:cs="Times New Roman"/>
          <w:sz w:val="24"/>
          <w:szCs w:val="24"/>
        </w:rPr>
        <w:t>governments</w:t>
      </w:r>
      <w:r w:rsidR="002C4BF0" w:rsidRPr="00AE141E">
        <w:rPr>
          <w:rFonts w:ascii="Times New Roman" w:hAnsi="Times New Roman" w:cs="Times New Roman"/>
          <w:sz w:val="24"/>
          <w:szCs w:val="24"/>
        </w:rPr>
        <w:t>.</w:t>
      </w:r>
      <w:r w:rsidR="002C4BF0" w:rsidRPr="00AE141E">
        <w:rPr>
          <w:rStyle w:val="FootnoteReference"/>
          <w:rFonts w:ascii="Times New Roman" w:hAnsi="Times New Roman" w:cs="Times New Roman"/>
          <w:sz w:val="24"/>
          <w:szCs w:val="24"/>
        </w:rPr>
        <w:footnoteReference w:id="907"/>
      </w:r>
      <w:r w:rsidR="00126DEF" w:rsidRPr="00AE141E">
        <w:rPr>
          <w:rFonts w:ascii="Times New Roman" w:hAnsi="Times New Roman" w:cs="Times New Roman"/>
          <w:sz w:val="24"/>
          <w:szCs w:val="24"/>
        </w:rPr>
        <w:t xml:space="preserve"> More specifically, Clarke’s decision </w:t>
      </w:r>
      <w:r w:rsidR="00416C6B" w:rsidRPr="00AE141E">
        <w:rPr>
          <w:rFonts w:ascii="Times New Roman" w:hAnsi="Times New Roman" w:cs="Times New Roman"/>
          <w:sz w:val="24"/>
          <w:szCs w:val="24"/>
        </w:rPr>
        <w:t>‘s</w:t>
      </w:r>
      <w:r w:rsidR="00FE7414" w:rsidRPr="00AE141E">
        <w:rPr>
          <w:rFonts w:ascii="Times New Roman" w:hAnsi="Times New Roman" w:cs="Times New Roman"/>
          <w:sz w:val="24"/>
          <w:szCs w:val="24"/>
        </w:rPr>
        <w:t>eemed to leave the HA</w:t>
      </w:r>
      <w:r w:rsidR="00416C6B" w:rsidRPr="00AE141E">
        <w:rPr>
          <w:rFonts w:ascii="Times New Roman" w:hAnsi="Times New Roman" w:cs="Times New Roman"/>
          <w:sz w:val="24"/>
          <w:szCs w:val="24"/>
        </w:rPr>
        <w:t>’</w:t>
      </w:r>
      <w:r w:rsidR="00FE7414" w:rsidRPr="00AE141E">
        <w:rPr>
          <w:rFonts w:ascii="Times New Roman" w:hAnsi="Times New Roman" w:cs="Times New Roman"/>
          <w:sz w:val="24"/>
          <w:szCs w:val="24"/>
        </w:rPr>
        <w:t>s strategy of defending the compulsory teaching of history up to the age of 16 in tatters</w:t>
      </w:r>
      <w:r w:rsidR="00416C6B" w:rsidRPr="00AE141E">
        <w:rPr>
          <w:rFonts w:ascii="Times New Roman" w:hAnsi="Times New Roman" w:cs="Times New Roman"/>
          <w:sz w:val="24"/>
          <w:szCs w:val="24"/>
        </w:rPr>
        <w:t>’.</w:t>
      </w:r>
      <w:r w:rsidR="00187335" w:rsidRPr="00AE141E">
        <w:rPr>
          <w:rStyle w:val="FootnoteReference"/>
          <w:rFonts w:ascii="Times New Roman" w:hAnsi="Times New Roman" w:cs="Times New Roman"/>
          <w:sz w:val="24"/>
          <w:szCs w:val="24"/>
        </w:rPr>
        <w:footnoteReference w:id="908"/>
      </w:r>
      <w:r w:rsidR="00FD243B" w:rsidRPr="00AE141E">
        <w:rPr>
          <w:rFonts w:ascii="Times New Roman" w:hAnsi="Times New Roman" w:cs="Times New Roman"/>
          <w:sz w:val="24"/>
          <w:szCs w:val="24"/>
        </w:rPr>
        <w:t xml:space="preserve"> The </w:t>
      </w:r>
      <w:r w:rsidR="000B61F5" w:rsidRPr="00AE141E">
        <w:rPr>
          <w:rFonts w:ascii="Times New Roman" w:hAnsi="Times New Roman" w:cs="Times New Roman"/>
          <w:sz w:val="24"/>
          <w:szCs w:val="24"/>
        </w:rPr>
        <w:t xml:space="preserve">good-faith </w:t>
      </w:r>
      <w:r w:rsidR="00283AC4" w:rsidRPr="00AE141E">
        <w:rPr>
          <w:rFonts w:ascii="Times New Roman" w:hAnsi="Times New Roman" w:cs="Times New Roman"/>
          <w:sz w:val="24"/>
          <w:szCs w:val="24"/>
        </w:rPr>
        <w:t>bargain which many believed they had made</w:t>
      </w:r>
      <w:r w:rsidR="000B61F5" w:rsidRPr="00AE141E">
        <w:rPr>
          <w:rFonts w:ascii="Times New Roman" w:hAnsi="Times New Roman" w:cs="Times New Roman"/>
          <w:sz w:val="24"/>
          <w:szCs w:val="24"/>
        </w:rPr>
        <w:t xml:space="preserve"> – </w:t>
      </w:r>
      <w:r w:rsidR="00C10ED2">
        <w:rPr>
          <w:rFonts w:ascii="Times New Roman" w:hAnsi="Times New Roman" w:cs="Times New Roman"/>
          <w:sz w:val="24"/>
          <w:szCs w:val="24"/>
        </w:rPr>
        <w:t xml:space="preserve">to </w:t>
      </w:r>
      <w:r w:rsidR="000B61F5" w:rsidRPr="00AE141E">
        <w:rPr>
          <w:rFonts w:ascii="Times New Roman" w:hAnsi="Times New Roman" w:cs="Times New Roman"/>
          <w:sz w:val="24"/>
          <w:szCs w:val="24"/>
        </w:rPr>
        <w:t xml:space="preserve">compromise on </w:t>
      </w:r>
      <w:r w:rsidR="00F3521F" w:rsidRPr="00AE141E">
        <w:rPr>
          <w:rFonts w:ascii="Times New Roman" w:hAnsi="Times New Roman" w:cs="Times New Roman"/>
          <w:sz w:val="24"/>
          <w:szCs w:val="24"/>
        </w:rPr>
        <w:t xml:space="preserve">framework and content in exchange for </w:t>
      </w:r>
      <w:r w:rsidR="0047533A" w:rsidRPr="00AE141E">
        <w:rPr>
          <w:rFonts w:ascii="Times New Roman" w:hAnsi="Times New Roman" w:cs="Times New Roman"/>
          <w:sz w:val="24"/>
          <w:szCs w:val="24"/>
        </w:rPr>
        <w:t xml:space="preserve">a guaranteed place for history in the nation’s </w:t>
      </w:r>
      <w:r w:rsidR="00B74DAD">
        <w:rPr>
          <w:rFonts w:ascii="Times New Roman" w:hAnsi="Times New Roman" w:cs="Times New Roman"/>
          <w:sz w:val="24"/>
          <w:szCs w:val="24"/>
        </w:rPr>
        <w:t>schools</w:t>
      </w:r>
      <w:r w:rsidR="0047533A" w:rsidRPr="00AE141E">
        <w:rPr>
          <w:rFonts w:ascii="Times New Roman" w:hAnsi="Times New Roman" w:cs="Times New Roman"/>
          <w:sz w:val="24"/>
          <w:szCs w:val="24"/>
        </w:rPr>
        <w:t xml:space="preserve"> </w:t>
      </w:r>
      <w:r w:rsidR="00D325CA" w:rsidRPr="00AE141E">
        <w:rPr>
          <w:rFonts w:ascii="Times New Roman" w:hAnsi="Times New Roman" w:cs="Times New Roman"/>
          <w:sz w:val="24"/>
          <w:szCs w:val="24"/>
        </w:rPr>
        <w:t>–</w:t>
      </w:r>
      <w:r w:rsidR="0047533A" w:rsidRPr="00AE141E">
        <w:rPr>
          <w:rFonts w:ascii="Times New Roman" w:hAnsi="Times New Roman" w:cs="Times New Roman"/>
          <w:sz w:val="24"/>
          <w:szCs w:val="24"/>
        </w:rPr>
        <w:t xml:space="preserve"> </w:t>
      </w:r>
      <w:r w:rsidR="00D325CA" w:rsidRPr="00AE141E">
        <w:rPr>
          <w:rFonts w:ascii="Times New Roman" w:hAnsi="Times New Roman" w:cs="Times New Roman"/>
          <w:sz w:val="24"/>
          <w:szCs w:val="24"/>
        </w:rPr>
        <w:t xml:space="preserve">was reneged upon without warning or discussion. Understandably, the move was </w:t>
      </w:r>
      <w:r w:rsidR="00B9251D" w:rsidRPr="00AE141E">
        <w:rPr>
          <w:rFonts w:ascii="Times New Roman" w:hAnsi="Times New Roman" w:cs="Times New Roman"/>
          <w:sz w:val="24"/>
          <w:szCs w:val="24"/>
        </w:rPr>
        <w:t xml:space="preserve">deeply </w:t>
      </w:r>
      <w:r w:rsidR="00D325CA" w:rsidRPr="00AE141E">
        <w:rPr>
          <w:rFonts w:ascii="Times New Roman" w:hAnsi="Times New Roman" w:cs="Times New Roman"/>
          <w:sz w:val="24"/>
          <w:szCs w:val="24"/>
        </w:rPr>
        <w:t>resented.</w:t>
      </w:r>
      <w:r w:rsidR="00B9251D" w:rsidRPr="00AE141E">
        <w:rPr>
          <w:rFonts w:ascii="Times New Roman" w:hAnsi="Times New Roman" w:cs="Times New Roman"/>
          <w:sz w:val="24"/>
          <w:szCs w:val="24"/>
        </w:rPr>
        <w:t xml:space="preserve"> Interested parties, including the HA, lobbied unsuccessfully for the return of compulsory history at KS4.</w:t>
      </w:r>
    </w:p>
    <w:p w14:paraId="52BAE296" w14:textId="77777777" w:rsidR="00E03B15" w:rsidRDefault="00AF48BE"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Cl</w:t>
      </w:r>
      <w:r w:rsidR="009D26A4" w:rsidRPr="00AE141E">
        <w:rPr>
          <w:rFonts w:ascii="Times New Roman" w:hAnsi="Times New Roman" w:cs="Times New Roman"/>
          <w:sz w:val="24"/>
          <w:szCs w:val="24"/>
        </w:rPr>
        <w:t>arke’s other major decision as Secretary of State added insult to injury</w:t>
      </w:r>
      <w:r w:rsidR="00851B24" w:rsidRPr="00AE141E">
        <w:rPr>
          <w:rFonts w:ascii="Times New Roman" w:hAnsi="Times New Roman" w:cs="Times New Roman"/>
          <w:sz w:val="24"/>
          <w:szCs w:val="24"/>
        </w:rPr>
        <w:t xml:space="preserve">. </w:t>
      </w:r>
      <w:r w:rsidR="00B74DAD">
        <w:rPr>
          <w:rFonts w:ascii="Times New Roman" w:hAnsi="Times New Roman" w:cs="Times New Roman"/>
          <w:sz w:val="24"/>
          <w:szCs w:val="24"/>
        </w:rPr>
        <w:t>He</w:t>
      </w:r>
      <w:r w:rsidR="00851B24" w:rsidRPr="00AE141E">
        <w:rPr>
          <w:rFonts w:ascii="Times New Roman" w:hAnsi="Times New Roman" w:cs="Times New Roman"/>
          <w:sz w:val="24"/>
          <w:szCs w:val="24"/>
        </w:rPr>
        <w:t xml:space="preserve"> endorsed the amendments made by the NCC but appended his own revisions</w:t>
      </w:r>
      <w:r w:rsidR="00107C9C" w:rsidRPr="00AE141E">
        <w:rPr>
          <w:rFonts w:ascii="Times New Roman" w:hAnsi="Times New Roman" w:cs="Times New Roman"/>
          <w:sz w:val="24"/>
          <w:szCs w:val="24"/>
        </w:rPr>
        <w:t xml:space="preserve"> – the most significant being a twenty-year ‘date cap’ on historical study.</w:t>
      </w:r>
      <w:r w:rsidR="00187335" w:rsidRPr="00AE141E">
        <w:rPr>
          <w:rStyle w:val="FootnoteReference"/>
          <w:rFonts w:ascii="Times New Roman" w:hAnsi="Times New Roman" w:cs="Times New Roman"/>
          <w:sz w:val="24"/>
          <w:szCs w:val="24"/>
        </w:rPr>
        <w:footnoteReference w:id="909"/>
      </w:r>
      <w:r w:rsidR="007D2D70" w:rsidRPr="00AE141E">
        <w:rPr>
          <w:rFonts w:ascii="Times New Roman" w:hAnsi="Times New Roman" w:cs="Times New Roman"/>
          <w:sz w:val="24"/>
          <w:szCs w:val="24"/>
        </w:rPr>
        <w:t xml:space="preserve"> Clarke’s intervention pertained to </w:t>
      </w:r>
      <w:r w:rsidR="004D485A" w:rsidRPr="00AE141E">
        <w:rPr>
          <w:rFonts w:ascii="Times New Roman" w:hAnsi="Times New Roman" w:cs="Times New Roman"/>
          <w:sz w:val="24"/>
          <w:szCs w:val="24"/>
        </w:rPr>
        <w:t xml:space="preserve">two twentieth century units of </w:t>
      </w:r>
      <w:r w:rsidR="007D2D70" w:rsidRPr="00AE141E">
        <w:rPr>
          <w:rFonts w:ascii="Times New Roman" w:hAnsi="Times New Roman" w:cs="Times New Roman"/>
          <w:sz w:val="24"/>
          <w:szCs w:val="24"/>
        </w:rPr>
        <w:t>the revised KS4</w:t>
      </w:r>
      <w:r w:rsidR="00725E19" w:rsidRPr="00AE141E">
        <w:rPr>
          <w:rFonts w:ascii="Times New Roman" w:hAnsi="Times New Roman" w:cs="Times New Roman"/>
          <w:sz w:val="24"/>
          <w:szCs w:val="24"/>
        </w:rPr>
        <w:t xml:space="preserve"> (</w:t>
      </w:r>
      <w:r w:rsidR="001F30D2">
        <w:rPr>
          <w:rFonts w:ascii="Times New Roman" w:hAnsi="Times New Roman" w:cs="Times New Roman"/>
          <w:sz w:val="24"/>
          <w:szCs w:val="24"/>
        </w:rPr>
        <w:t>‘</w:t>
      </w:r>
      <w:r w:rsidR="00725E19" w:rsidRPr="00AE141E">
        <w:rPr>
          <w:rFonts w:ascii="Times New Roman" w:hAnsi="Times New Roman" w:cs="Times New Roman"/>
          <w:sz w:val="24"/>
          <w:szCs w:val="24"/>
        </w:rPr>
        <w:t>The Development of British Democracy</w:t>
      </w:r>
      <w:r w:rsidR="001F30D2">
        <w:rPr>
          <w:rFonts w:ascii="Times New Roman" w:hAnsi="Times New Roman" w:cs="Times New Roman"/>
          <w:sz w:val="24"/>
          <w:szCs w:val="24"/>
        </w:rPr>
        <w:t>’</w:t>
      </w:r>
      <w:r w:rsidR="00725E19" w:rsidRPr="00AE141E">
        <w:rPr>
          <w:rFonts w:ascii="Times New Roman" w:hAnsi="Times New Roman" w:cs="Times New Roman"/>
          <w:sz w:val="24"/>
          <w:szCs w:val="24"/>
        </w:rPr>
        <w:t xml:space="preserve"> and </w:t>
      </w:r>
      <w:r w:rsidR="001F30D2">
        <w:rPr>
          <w:rFonts w:ascii="Times New Roman" w:hAnsi="Times New Roman" w:cs="Times New Roman"/>
          <w:sz w:val="24"/>
          <w:szCs w:val="24"/>
        </w:rPr>
        <w:t>‘</w:t>
      </w:r>
      <w:r w:rsidR="00725E19" w:rsidRPr="00AE141E">
        <w:rPr>
          <w:rFonts w:ascii="Times New Roman" w:hAnsi="Times New Roman" w:cs="Times New Roman"/>
          <w:sz w:val="24"/>
          <w:szCs w:val="24"/>
        </w:rPr>
        <w:t>International Conflict and Co-operation</w:t>
      </w:r>
      <w:r w:rsidR="001F30D2">
        <w:rPr>
          <w:rFonts w:ascii="Times New Roman" w:hAnsi="Times New Roman" w:cs="Times New Roman"/>
          <w:sz w:val="24"/>
          <w:szCs w:val="24"/>
        </w:rPr>
        <w:t>’</w:t>
      </w:r>
      <w:r w:rsidR="00725E19" w:rsidRPr="00AE141E">
        <w:rPr>
          <w:rFonts w:ascii="Times New Roman" w:hAnsi="Times New Roman" w:cs="Times New Roman"/>
          <w:sz w:val="24"/>
          <w:szCs w:val="24"/>
        </w:rPr>
        <w:t>).  Under his prop</w:t>
      </w:r>
      <w:r w:rsidR="0095345B" w:rsidRPr="00AE141E">
        <w:rPr>
          <w:rFonts w:ascii="Times New Roman" w:hAnsi="Times New Roman" w:cs="Times New Roman"/>
          <w:sz w:val="24"/>
          <w:szCs w:val="24"/>
        </w:rPr>
        <w:t>osal, both would be given a rolling limit of twenty years from the present</w:t>
      </w:r>
      <w:r w:rsidR="009632CD" w:rsidRPr="00AE141E">
        <w:rPr>
          <w:rFonts w:ascii="Times New Roman" w:hAnsi="Times New Roman" w:cs="Times New Roman"/>
          <w:sz w:val="24"/>
          <w:szCs w:val="24"/>
        </w:rPr>
        <w:t xml:space="preserve">. As Phillips observes, this was </w:t>
      </w:r>
      <w:r w:rsidR="00623A01" w:rsidRPr="00AE141E">
        <w:rPr>
          <w:rFonts w:ascii="Times New Roman" w:hAnsi="Times New Roman" w:cs="Times New Roman"/>
          <w:sz w:val="24"/>
          <w:szCs w:val="24"/>
        </w:rPr>
        <w:t xml:space="preserve">a less extreme version </w:t>
      </w:r>
      <w:r w:rsidR="00623A01" w:rsidRPr="00AE141E">
        <w:rPr>
          <w:rFonts w:ascii="Times New Roman" w:hAnsi="Times New Roman" w:cs="Times New Roman"/>
          <w:sz w:val="24"/>
          <w:szCs w:val="24"/>
        </w:rPr>
        <w:lastRenderedPageBreak/>
        <w:t>of Clarke’s original plan</w:t>
      </w:r>
      <w:r w:rsidR="00F729D5" w:rsidRPr="00AE141E">
        <w:rPr>
          <w:rFonts w:ascii="Times New Roman" w:hAnsi="Times New Roman" w:cs="Times New Roman"/>
          <w:sz w:val="24"/>
          <w:szCs w:val="24"/>
        </w:rPr>
        <w:t xml:space="preserve">, </w:t>
      </w:r>
      <w:r w:rsidR="00AE1142" w:rsidRPr="00AE141E">
        <w:rPr>
          <w:rFonts w:ascii="Times New Roman" w:hAnsi="Times New Roman" w:cs="Times New Roman"/>
          <w:sz w:val="24"/>
          <w:szCs w:val="24"/>
        </w:rPr>
        <w:t>which had been tempered by DES intervention.</w:t>
      </w:r>
      <w:r w:rsidR="00D0125F" w:rsidRPr="00AE141E">
        <w:rPr>
          <w:rStyle w:val="FootnoteReference"/>
          <w:rFonts w:ascii="Times New Roman" w:hAnsi="Times New Roman" w:cs="Times New Roman"/>
          <w:sz w:val="24"/>
          <w:szCs w:val="24"/>
        </w:rPr>
        <w:footnoteReference w:id="910"/>
      </w:r>
      <w:r w:rsidR="00AE1142" w:rsidRPr="00AE141E">
        <w:rPr>
          <w:rFonts w:ascii="Times New Roman" w:hAnsi="Times New Roman" w:cs="Times New Roman"/>
          <w:sz w:val="24"/>
          <w:szCs w:val="24"/>
        </w:rPr>
        <w:t xml:space="preserve"> </w:t>
      </w:r>
      <w:r w:rsidR="00174512" w:rsidRPr="00AE141E">
        <w:rPr>
          <w:rFonts w:ascii="Times New Roman" w:hAnsi="Times New Roman" w:cs="Times New Roman"/>
          <w:sz w:val="24"/>
          <w:szCs w:val="24"/>
        </w:rPr>
        <w:t>Earlier</w:t>
      </w:r>
      <w:r w:rsidR="008F0D42" w:rsidRPr="00AE141E">
        <w:rPr>
          <w:rFonts w:ascii="Times New Roman" w:hAnsi="Times New Roman" w:cs="Times New Roman"/>
          <w:sz w:val="24"/>
          <w:szCs w:val="24"/>
        </w:rPr>
        <w:t xml:space="preserve"> propositions focused on </w:t>
      </w:r>
      <w:r w:rsidR="00312636" w:rsidRPr="00AE141E">
        <w:rPr>
          <w:rFonts w:ascii="Times New Roman" w:hAnsi="Times New Roman" w:cs="Times New Roman"/>
          <w:sz w:val="24"/>
          <w:szCs w:val="24"/>
        </w:rPr>
        <w:t xml:space="preserve">1900 </w:t>
      </w:r>
      <w:r w:rsidR="00174512" w:rsidRPr="00AE141E">
        <w:rPr>
          <w:rFonts w:ascii="Times New Roman" w:hAnsi="Times New Roman" w:cs="Times New Roman"/>
          <w:sz w:val="24"/>
          <w:szCs w:val="24"/>
        </w:rPr>
        <w:t>(representative of the height of Britain’s imperial power)</w:t>
      </w:r>
      <w:r w:rsidR="00F75BB5" w:rsidRPr="00AE141E">
        <w:rPr>
          <w:rFonts w:ascii="Times New Roman" w:hAnsi="Times New Roman" w:cs="Times New Roman"/>
          <w:sz w:val="24"/>
          <w:szCs w:val="24"/>
        </w:rPr>
        <w:t>, 1939 (rejected for its exclusion of the Second World War), and</w:t>
      </w:r>
      <w:r w:rsidR="00D02EEF" w:rsidRPr="00AE141E">
        <w:rPr>
          <w:rFonts w:ascii="Times New Roman" w:hAnsi="Times New Roman" w:cs="Times New Roman"/>
          <w:sz w:val="24"/>
          <w:szCs w:val="24"/>
        </w:rPr>
        <w:t xml:space="preserve"> </w:t>
      </w:r>
      <w:r w:rsidR="00312636" w:rsidRPr="00AE141E">
        <w:rPr>
          <w:rFonts w:ascii="Times New Roman" w:hAnsi="Times New Roman" w:cs="Times New Roman"/>
          <w:sz w:val="24"/>
          <w:szCs w:val="24"/>
        </w:rPr>
        <w:t>1945</w:t>
      </w:r>
      <w:r w:rsidR="00174512" w:rsidRPr="00AE141E">
        <w:rPr>
          <w:rFonts w:ascii="Times New Roman" w:hAnsi="Times New Roman" w:cs="Times New Roman"/>
          <w:sz w:val="24"/>
          <w:szCs w:val="24"/>
        </w:rPr>
        <w:t xml:space="preserve"> (</w:t>
      </w:r>
      <w:r w:rsidR="00E05C6C" w:rsidRPr="00AE141E">
        <w:rPr>
          <w:rFonts w:ascii="Times New Roman" w:hAnsi="Times New Roman" w:cs="Times New Roman"/>
          <w:sz w:val="24"/>
          <w:szCs w:val="24"/>
        </w:rPr>
        <w:t>symbolic of military and moral pride)</w:t>
      </w:r>
      <w:r w:rsidR="00312636" w:rsidRPr="00AE141E">
        <w:rPr>
          <w:rFonts w:ascii="Times New Roman" w:hAnsi="Times New Roman" w:cs="Times New Roman"/>
          <w:sz w:val="24"/>
          <w:szCs w:val="24"/>
        </w:rPr>
        <w:t xml:space="preserve"> as the endpoint of the national story</w:t>
      </w:r>
      <w:r w:rsidR="00E05C6C" w:rsidRPr="00AE141E">
        <w:rPr>
          <w:rFonts w:ascii="Times New Roman" w:hAnsi="Times New Roman" w:cs="Times New Roman"/>
          <w:sz w:val="24"/>
          <w:szCs w:val="24"/>
        </w:rPr>
        <w:t>.</w:t>
      </w:r>
      <w:r w:rsidR="00FC174E" w:rsidRPr="00AE141E">
        <w:rPr>
          <w:rStyle w:val="FootnoteReference"/>
          <w:rFonts w:ascii="Times New Roman" w:hAnsi="Times New Roman" w:cs="Times New Roman"/>
          <w:sz w:val="24"/>
          <w:szCs w:val="24"/>
        </w:rPr>
        <w:footnoteReference w:id="911"/>
      </w:r>
      <w:r w:rsidR="00A60C4E" w:rsidRPr="00AE141E">
        <w:rPr>
          <w:rFonts w:ascii="Times New Roman" w:hAnsi="Times New Roman" w:cs="Times New Roman"/>
          <w:sz w:val="24"/>
          <w:szCs w:val="24"/>
        </w:rPr>
        <w:t xml:space="preserve"> </w:t>
      </w:r>
    </w:p>
    <w:p w14:paraId="5B798E48" w14:textId="2D9662EA" w:rsidR="008050A5" w:rsidRPr="00AE141E" w:rsidRDefault="00E000E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Teachers correctly surmised that ‘date-capping’ was born out of a mistrust of their </w:t>
      </w:r>
      <w:r w:rsidR="005C15D6" w:rsidRPr="00AE141E">
        <w:rPr>
          <w:rFonts w:ascii="Times New Roman" w:hAnsi="Times New Roman" w:cs="Times New Roman"/>
          <w:sz w:val="24"/>
          <w:szCs w:val="24"/>
        </w:rPr>
        <w:t>professional capacity to tackle politically relevant subjects.</w:t>
      </w:r>
      <w:r w:rsidR="00E03B15">
        <w:rPr>
          <w:rStyle w:val="FootnoteReference"/>
          <w:rFonts w:ascii="Times New Roman" w:hAnsi="Times New Roman" w:cs="Times New Roman"/>
          <w:sz w:val="24"/>
          <w:szCs w:val="24"/>
        </w:rPr>
        <w:footnoteReference w:id="912"/>
      </w:r>
      <w:r w:rsidR="005C15D6" w:rsidRPr="00AE141E">
        <w:rPr>
          <w:rFonts w:ascii="Times New Roman" w:hAnsi="Times New Roman" w:cs="Times New Roman"/>
          <w:sz w:val="24"/>
          <w:szCs w:val="24"/>
        </w:rPr>
        <w:t xml:space="preserve"> </w:t>
      </w:r>
      <w:r w:rsidR="00401242" w:rsidRPr="00AE141E">
        <w:rPr>
          <w:rFonts w:ascii="Times New Roman" w:hAnsi="Times New Roman" w:cs="Times New Roman"/>
          <w:sz w:val="24"/>
          <w:szCs w:val="24"/>
        </w:rPr>
        <w:t>Answers supplied by the Sec</w:t>
      </w:r>
      <w:r w:rsidR="00C2046F" w:rsidRPr="00AE141E">
        <w:rPr>
          <w:rFonts w:ascii="Times New Roman" w:hAnsi="Times New Roman" w:cs="Times New Roman"/>
          <w:sz w:val="24"/>
          <w:szCs w:val="24"/>
        </w:rPr>
        <w:t xml:space="preserve">retary of State to a House of Commons debate </w:t>
      </w:r>
      <w:r w:rsidR="008B03E4" w:rsidRPr="00AE141E">
        <w:rPr>
          <w:rFonts w:ascii="Times New Roman" w:hAnsi="Times New Roman" w:cs="Times New Roman"/>
          <w:sz w:val="24"/>
          <w:szCs w:val="24"/>
        </w:rPr>
        <w:t xml:space="preserve">suggested </w:t>
      </w:r>
      <w:r w:rsidR="00C2046F" w:rsidRPr="00AE141E">
        <w:rPr>
          <w:rFonts w:ascii="Times New Roman" w:hAnsi="Times New Roman" w:cs="Times New Roman"/>
          <w:sz w:val="24"/>
          <w:szCs w:val="24"/>
        </w:rPr>
        <w:t xml:space="preserve">that the </w:t>
      </w:r>
      <w:r w:rsidR="008B03E4" w:rsidRPr="00AE141E">
        <w:rPr>
          <w:rFonts w:ascii="Times New Roman" w:hAnsi="Times New Roman" w:cs="Times New Roman"/>
          <w:sz w:val="24"/>
          <w:szCs w:val="24"/>
        </w:rPr>
        <w:t xml:space="preserve">majority of parental complaints of </w:t>
      </w:r>
      <w:r w:rsidR="00AE31DC" w:rsidRPr="00AE141E">
        <w:rPr>
          <w:rFonts w:ascii="Times New Roman" w:hAnsi="Times New Roman" w:cs="Times New Roman"/>
          <w:sz w:val="24"/>
          <w:szCs w:val="24"/>
        </w:rPr>
        <w:t>political bias in the classroom related to teaching about</w:t>
      </w:r>
      <w:r w:rsidR="00C2046F" w:rsidRPr="00AE141E">
        <w:rPr>
          <w:rFonts w:ascii="Times New Roman" w:hAnsi="Times New Roman" w:cs="Times New Roman"/>
          <w:sz w:val="24"/>
          <w:szCs w:val="24"/>
        </w:rPr>
        <w:t xml:space="preserve"> </w:t>
      </w:r>
      <w:r w:rsidR="00AE31DC" w:rsidRPr="00AE141E">
        <w:rPr>
          <w:rFonts w:ascii="Times New Roman" w:hAnsi="Times New Roman" w:cs="Times New Roman"/>
          <w:sz w:val="24"/>
          <w:szCs w:val="24"/>
        </w:rPr>
        <w:t>‘</w:t>
      </w:r>
      <w:r w:rsidR="00C2046F" w:rsidRPr="00AE141E">
        <w:rPr>
          <w:rFonts w:ascii="Times New Roman" w:hAnsi="Times New Roman" w:cs="Times New Roman"/>
          <w:sz w:val="24"/>
          <w:szCs w:val="24"/>
        </w:rPr>
        <w:t>current issues</w:t>
      </w:r>
      <w:r w:rsidR="004A3233" w:rsidRPr="00AE141E">
        <w:rPr>
          <w:rFonts w:ascii="Times New Roman" w:hAnsi="Times New Roman" w:cs="Times New Roman"/>
          <w:sz w:val="24"/>
          <w:szCs w:val="24"/>
        </w:rPr>
        <w:t>’</w:t>
      </w:r>
      <w:r w:rsidR="00C2046F" w:rsidRPr="00AE141E">
        <w:rPr>
          <w:rFonts w:ascii="Times New Roman" w:hAnsi="Times New Roman" w:cs="Times New Roman"/>
          <w:sz w:val="24"/>
          <w:szCs w:val="24"/>
        </w:rPr>
        <w:t>.</w:t>
      </w:r>
      <w:r w:rsidR="004E0720" w:rsidRPr="00AE141E">
        <w:rPr>
          <w:rStyle w:val="FootnoteReference"/>
          <w:rFonts w:ascii="Times New Roman" w:hAnsi="Times New Roman" w:cs="Times New Roman"/>
          <w:sz w:val="24"/>
          <w:szCs w:val="24"/>
        </w:rPr>
        <w:footnoteReference w:id="913"/>
      </w:r>
      <w:r w:rsidR="00C2046F" w:rsidRPr="00AE141E">
        <w:rPr>
          <w:rFonts w:ascii="Times New Roman" w:hAnsi="Times New Roman" w:cs="Times New Roman"/>
          <w:sz w:val="24"/>
          <w:szCs w:val="24"/>
        </w:rPr>
        <w:t xml:space="preserve"> </w:t>
      </w:r>
      <w:r w:rsidR="004A3233" w:rsidRPr="00AE141E">
        <w:rPr>
          <w:rFonts w:ascii="Times New Roman" w:hAnsi="Times New Roman" w:cs="Times New Roman"/>
          <w:sz w:val="24"/>
          <w:szCs w:val="24"/>
        </w:rPr>
        <w:t>On the defensive, C</w:t>
      </w:r>
      <w:r w:rsidR="00AE31DC" w:rsidRPr="00AE141E">
        <w:rPr>
          <w:rFonts w:ascii="Times New Roman" w:hAnsi="Times New Roman" w:cs="Times New Roman"/>
          <w:sz w:val="24"/>
          <w:szCs w:val="24"/>
        </w:rPr>
        <w:t>larke noted that</w:t>
      </w:r>
      <w:r w:rsidR="00BA59C0" w:rsidRPr="00AE141E">
        <w:rPr>
          <w:rFonts w:ascii="Times New Roman" w:hAnsi="Times New Roman" w:cs="Times New Roman"/>
          <w:sz w:val="24"/>
          <w:szCs w:val="24"/>
        </w:rPr>
        <w:t xml:space="preserve"> most teachers were able to handle such matters with </w:t>
      </w:r>
      <w:r w:rsidR="00AE209D" w:rsidRPr="00AE141E">
        <w:rPr>
          <w:rFonts w:ascii="Times New Roman" w:hAnsi="Times New Roman" w:cs="Times New Roman"/>
          <w:sz w:val="24"/>
          <w:szCs w:val="24"/>
        </w:rPr>
        <w:t>‘</w:t>
      </w:r>
      <w:r w:rsidR="00BA59C0" w:rsidRPr="00AE141E">
        <w:rPr>
          <w:rFonts w:ascii="Times New Roman" w:hAnsi="Times New Roman" w:cs="Times New Roman"/>
          <w:sz w:val="24"/>
          <w:szCs w:val="24"/>
        </w:rPr>
        <w:t>full regard</w:t>
      </w:r>
      <w:r w:rsidR="00F27724">
        <w:rPr>
          <w:rFonts w:ascii="Times New Roman" w:hAnsi="Times New Roman" w:cs="Times New Roman"/>
          <w:sz w:val="24"/>
          <w:szCs w:val="24"/>
        </w:rPr>
        <w:t xml:space="preserve">’ </w:t>
      </w:r>
      <w:r w:rsidR="00BA59C0" w:rsidRPr="00AE141E">
        <w:rPr>
          <w:rFonts w:ascii="Times New Roman" w:hAnsi="Times New Roman" w:cs="Times New Roman"/>
          <w:sz w:val="24"/>
          <w:szCs w:val="24"/>
        </w:rPr>
        <w:t>to their legal duty</w:t>
      </w:r>
      <w:r w:rsidR="00AE209D" w:rsidRPr="00AE141E">
        <w:rPr>
          <w:rFonts w:ascii="Times New Roman" w:hAnsi="Times New Roman" w:cs="Times New Roman"/>
          <w:sz w:val="24"/>
          <w:szCs w:val="24"/>
        </w:rPr>
        <w:t>, imposed by the Conservative government in 1986,</w:t>
      </w:r>
      <w:r w:rsidR="00BA59C0" w:rsidRPr="00AE141E">
        <w:rPr>
          <w:rFonts w:ascii="Times New Roman" w:hAnsi="Times New Roman" w:cs="Times New Roman"/>
          <w:sz w:val="24"/>
          <w:szCs w:val="24"/>
        </w:rPr>
        <w:t xml:space="preserve"> to ensure a </w:t>
      </w:r>
      <w:r w:rsidR="00AE209D" w:rsidRPr="00AE141E">
        <w:rPr>
          <w:rFonts w:ascii="Times New Roman" w:hAnsi="Times New Roman" w:cs="Times New Roman"/>
          <w:sz w:val="24"/>
          <w:szCs w:val="24"/>
        </w:rPr>
        <w:t>‘</w:t>
      </w:r>
      <w:r w:rsidR="00BA59C0" w:rsidRPr="00AE141E">
        <w:rPr>
          <w:rFonts w:ascii="Times New Roman" w:hAnsi="Times New Roman" w:cs="Times New Roman"/>
          <w:sz w:val="24"/>
          <w:szCs w:val="24"/>
        </w:rPr>
        <w:t>balanced presentation of opposing views</w:t>
      </w:r>
      <w:r w:rsidR="00AE209D" w:rsidRPr="00AE141E">
        <w:rPr>
          <w:rFonts w:ascii="Times New Roman" w:hAnsi="Times New Roman" w:cs="Times New Roman"/>
          <w:sz w:val="24"/>
          <w:szCs w:val="24"/>
        </w:rPr>
        <w:t xml:space="preserve">’. </w:t>
      </w:r>
      <w:r w:rsidR="00565D0D" w:rsidRPr="00AE141E">
        <w:rPr>
          <w:rFonts w:ascii="Times New Roman" w:hAnsi="Times New Roman" w:cs="Times New Roman"/>
          <w:sz w:val="24"/>
          <w:szCs w:val="24"/>
        </w:rPr>
        <w:t xml:space="preserve">However, </w:t>
      </w:r>
      <w:r w:rsidR="004A3233" w:rsidRPr="00AE141E">
        <w:rPr>
          <w:rFonts w:ascii="Times New Roman" w:hAnsi="Times New Roman" w:cs="Times New Roman"/>
          <w:sz w:val="24"/>
          <w:szCs w:val="24"/>
        </w:rPr>
        <w:t xml:space="preserve">recent events inevitably aroused the ‘strongest feelings’ and were thus safest excluded from the classroom. </w:t>
      </w:r>
      <w:r w:rsidR="00BF4DA4" w:rsidRPr="00AE141E">
        <w:rPr>
          <w:rFonts w:ascii="Times New Roman" w:hAnsi="Times New Roman" w:cs="Times New Roman"/>
          <w:sz w:val="24"/>
          <w:szCs w:val="24"/>
        </w:rPr>
        <w:t xml:space="preserve">He may have had in mind the </w:t>
      </w:r>
      <w:r w:rsidR="0057130C" w:rsidRPr="00AE141E">
        <w:rPr>
          <w:rFonts w:ascii="Times New Roman" w:hAnsi="Times New Roman" w:cs="Times New Roman"/>
          <w:sz w:val="24"/>
          <w:szCs w:val="24"/>
        </w:rPr>
        <w:t>First</w:t>
      </w:r>
      <w:r w:rsidR="00185F44" w:rsidRPr="00AE141E">
        <w:rPr>
          <w:rFonts w:ascii="Times New Roman" w:hAnsi="Times New Roman" w:cs="Times New Roman"/>
          <w:sz w:val="24"/>
          <w:szCs w:val="24"/>
        </w:rPr>
        <w:t xml:space="preserve"> </w:t>
      </w:r>
      <w:r w:rsidR="00F371FF" w:rsidRPr="00AE141E">
        <w:rPr>
          <w:rFonts w:ascii="Times New Roman" w:hAnsi="Times New Roman" w:cs="Times New Roman"/>
          <w:sz w:val="24"/>
          <w:szCs w:val="24"/>
        </w:rPr>
        <w:t>Gulf War</w:t>
      </w:r>
      <w:r w:rsidR="00335C67" w:rsidRPr="00AE141E">
        <w:rPr>
          <w:rFonts w:ascii="Times New Roman" w:hAnsi="Times New Roman" w:cs="Times New Roman"/>
          <w:sz w:val="24"/>
          <w:szCs w:val="24"/>
        </w:rPr>
        <w:t xml:space="preserve"> which, as we will see, was proving divisive in British classrooms.</w:t>
      </w:r>
      <w:r w:rsidR="00CA5D4B" w:rsidRPr="00AE141E">
        <w:rPr>
          <w:rStyle w:val="FootnoteReference"/>
          <w:rFonts w:ascii="Times New Roman" w:hAnsi="Times New Roman" w:cs="Times New Roman"/>
          <w:sz w:val="24"/>
          <w:szCs w:val="24"/>
        </w:rPr>
        <w:footnoteReference w:id="914"/>
      </w:r>
    </w:p>
    <w:p w14:paraId="7670D78F" w14:textId="01E206C5" w:rsidR="007F6399" w:rsidRPr="00AE141E" w:rsidRDefault="00F5279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notion that proximity to the present determines the controversy of a given event is historically questionable. Furthermore, as </w:t>
      </w:r>
      <w:r w:rsidR="00B951A4" w:rsidRPr="00AE141E">
        <w:rPr>
          <w:rFonts w:ascii="Times New Roman" w:hAnsi="Times New Roman" w:cs="Times New Roman"/>
          <w:sz w:val="24"/>
          <w:szCs w:val="24"/>
        </w:rPr>
        <w:t xml:space="preserve">civil servants informed Clarke, the National Curriculum had the power to mandate content but not exclude it from classrooms; to leave </w:t>
      </w:r>
      <w:r w:rsidR="005C02FE" w:rsidRPr="00AE141E">
        <w:rPr>
          <w:rFonts w:ascii="Times New Roman" w:hAnsi="Times New Roman" w:cs="Times New Roman"/>
          <w:sz w:val="24"/>
          <w:szCs w:val="24"/>
        </w:rPr>
        <w:t>current issues out of the National Curriculum may have the reverse of the intended effect, by excluding these issues from government regulation.</w:t>
      </w:r>
      <w:r w:rsidR="003A087D" w:rsidRPr="00AE141E">
        <w:rPr>
          <w:rStyle w:val="FootnoteReference"/>
          <w:rFonts w:ascii="Times New Roman" w:hAnsi="Times New Roman" w:cs="Times New Roman"/>
          <w:sz w:val="24"/>
          <w:szCs w:val="24"/>
        </w:rPr>
        <w:footnoteReference w:id="915"/>
      </w:r>
      <w:r w:rsidR="005C02FE" w:rsidRPr="00AE141E">
        <w:rPr>
          <w:rFonts w:ascii="Times New Roman" w:hAnsi="Times New Roman" w:cs="Times New Roman"/>
          <w:sz w:val="24"/>
          <w:szCs w:val="24"/>
        </w:rPr>
        <w:t xml:space="preserve"> </w:t>
      </w:r>
      <w:r w:rsidR="00972F02" w:rsidRPr="00AE141E">
        <w:rPr>
          <w:rFonts w:ascii="Times New Roman" w:hAnsi="Times New Roman" w:cs="Times New Roman"/>
          <w:sz w:val="24"/>
          <w:szCs w:val="24"/>
        </w:rPr>
        <w:t>The Secretary of State, however, was not to be moved.</w:t>
      </w:r>
      <w:r w:rsidR="00A82F6D">
        <w:rPr>
          <w:rFonts w:ascii="Times New Roman" w:hAnsi="Times New Roman" w:cs="Times New Roman"/>
          <w:sz w:val="24"/>
          <w:szCs w:val="24"/>
        </w:rPr>
        <w:t xml:space="preserve"> </w:t>
      </w:r>
      <w:r w:rsidR="00972F02" w:rsidRPr="00AE141E">
        <w:rPr>
          <w:rFonts w:ascii="Times New Roman" w:hAnsi="Times New Roman" w:cs="Times New Roman"/>
          <w:sz w:val="24"/>
          <w:szCs w:val="24"/>
        </w:rPr>
        <w:t>The so-called ‘</w:t>
      </w:r>
      <w:r w:rsidR="00DA5586" w:rsidRPr="00AE141E">
        <w:rPr>
          <w:rFonts w:ascii="Times New Roman" w:hAnsi="Times New Roman" w:cs="Times New Roman"/>
          <w:sz w:val="24"/>
          <w:szCs w:val="24"/>
        </w:rPr>
        <w:t>twenty-year</w:t>
      </w:r>
      <w:r w:rsidR="00972F02" w:rsidRPr="00AE141E">
        <w:rPr>
          <w:rFonts w:ascii="Times New Roman" w:hAnsi="Times New Roman" w:cs="Times New Roman"/>
          <w:sz w:val="24"/>
          <w:szCs w:val="24"/>
        </w:rPr>
        <w:t xml:space="preserve"> rule’ </w:t>
      </w:r>
      <w:r w:rsidR="00A019A5" w:rsidRPr="00AE141E">
        <w:rPr>
          <w:rFonts w:ascii="Times New Roman" w:hAnsi="Times New Roman" w:cs="Times New Roman"/>
          <w:sz w:val="24"/>
          <w:szCs w:val="24"/>
        </w:rPr>
        <w:t xml:space="preserve">eventually </w:t>
      </w:r>
      <w:r w:rsidR="003D4792" w:rsidRPr="00AE141E">
        <w:rPr>
          <w:rFonts w:ascii="Times New Roman" w:hAnsi="Times New Roman" w:cs="Times New Roman"/>
          <w:sz w:val="24"/>
          <w:szCs w:val="24"/>
        </w:rPr>
        <w:t xml:space="preserve">left little practical impact upon </w:t>
      </w:r>
      <w:r w:rsidR="00A019A5" w:rsidRPr="00AE141E">
        <w:rPr>
          <w:rFonts w:ascii="Times New Roman" w:hAnsi="Times New Roman" w:cs="Times New Roman"/>
          <w:sz w:val="24"/>
          <w:szCs w:val="24"/>
        </w:rPr>
        <w:lastRenderedPageBreak/>
        <w:t>the National Curriculum owing to</w:t>
      </w:r>
      <w:r w:rsidR="003D4792" w:rsidRPr="00AE141E">
        <w:rPr>
          <w:rFonts w:ascii="Times New Roman" w:hAnsi="Times New Roman" w:cs="Times New Roman"/>
          <w:sz w:val="24"/>
          <w:szCs w:val="24"/>
        </w:rPr>
        <w:t xml:space="preserve"> </w:t>
      </w:r>
      <w:r w:rsidR="008050A5" w:rsidRPr="00AE141E">
        <w:rPr>
          <w:rFonts w:ascii="Times New Roman" w:hAnsi="Times New Roman" w:cs="Times New Roman"/>
          <w:sz w:val="24"/>
          <w:szCs w:val="24"/>
        </w:rPr>
        <w:t xml:space="preserve">changes made by the </w:t>
      </w:r>
      <w:r w:rsidR="003D4792" w:rsidRPr="00AE141E">
        <w:rPr>
          <w:rFonts w:ascii="Times New Roman" w:hAnsi="Times New Roman" w:cs="Times New Roman"/>
          <w:sz w:val="24"/>
          <w:szCs w:val="24"/>
        </w:rPr>
        <w:t>Dearing Review</w:t>
      </w:r>
      <w:r w:rsidR="008050A5" w:rsidRPr="00AE141E">
        <w:rPr>
          <w:rFonts w:ascii="Times New Roman" w:hAnsi="Times New Roman" w:cs="Times New Roman"/>
          <w:sz w:val="24"/>
          <w:szCs w:val="24"/>
        </w:rPr>
        <w:t xml:space="preserve"> (see below)</w:t>
      </w:r>
      <w:r w:rsidR="006444E0" w:rsidRPr="00AE141E">
        <w:rPr>
          <w:rFonts w:ascii="Times New Roman" w:hAnsi="Times New Roman" w:cs="Times New Roman"/>
          <w:sz w:val="24"/>
          <w:szCs w:val="24"/>
        </w:rPr>
        <w:t>.</w:t>
      </w:r>
      <w:r w:rsidR="00DA5586" w:rsidRPr="00AE141E">
        <w:rPr>
          <w:rStyle w:val="FootnoteReference"/>
          <w:rFonts w:ascii="Times New Roman" w:hAnsi="Times New Roman" w:cs="Times New Roman"/>
          <w:sz w:val="24"/>
          <w:szCs w:val="24"/>
        </w:rPr>
        <w:footnoteReference w:id="916"/>
      </w:r>
      <w:r w:rsidR="006444E0" w:rsidRPr="00AE141E">
        <w:rPr>
          <w:rFonts w:ascii="Times New Roman" w:hAnsi="Times New Roman" w:cs="Times New Roman"/>
          <w:sz w:val="24"/>
          <w:szCs w:val="24"/>
        </w:rPr>
        <w:t xml:space="preserve"> </w:t>
      </w:r>
      <w:r w:rsidR="003720CB" w:rsidRPr="00AE141E">
        <w:rPr>
          <w:rFonts w:ascii="Times New Roman" w:hAnsi="Times New Roman" w:cs="Times New Roman"/>
          <w:sz w:val="24"/>
          <w:szCs w:val="24"/>
        </w:rPr>
        <w:t xml:space="preserve">Nevertheless, </w:t>
      </w:r>
      <w:r w:rsidR="009600DC" w:rsidRPr="00AE141E">
        <w:rPr>
          <w:rFonts w:ascii="Times New Roman" w:hAnsi="Times New Roman" w:cs="Times New Roman"/>
          <w:sz w:val="24"/>
          <w:szCs w:val="24"/>
        </w:rPr>
        <w:t xml:space="preserve">Clarke’s proposal was symptomatic of the </w:t>
      </w:r>
      <w:r w:rsidR="00CD223D" w:rsidRPr="00AE141E">
        <w:rPr>
          <w:rFonts w:ascii="Times New Roman" w:hAnsi="Times New Roman" w:cs="Times New Roman"/>
          <w:sz w:val="24"/>
          <w:szCs w:val="24"/>
        </w:rPr>
        <w:t>mistrust with which the government approached the teaching profession, and of the increasingly fraught relationship between the two parties.</w:t>
      </w:r>
    </w:p>
    <w:p w14:paraId="67BCCC1D" w14:textId="12083BC7" w:rsidR="003B3F7B" w:rsidRDefault="008B7DEF" w:rsidP="00AE141E">
      <w:pPr>
        <w:spacing w:line="360" w:lineRule="auto"/>
        <w:rPr>
          <w:rFonts w:ascii="Times New Roman" w:hAnsi="Times New Roman" w:cs="Times New Roman"/>
          <w:sz w:val="24"/>
          <w:szCs w:val="24"/>
        </w:rPr>
      </w:pPr>
      <w:r w:rsidRPr="00AE141E">
        <w:rPr>
          <w:rFonts w:ascii="Times New Roman" w:hAnsi="Times New Roman" w:cs="Times New Roman"/>
          <w:i/>
          <w:sz w:val="24"/>
          <w:szCs w:val="24"/>
        </w:rPr>
        <w:t>History in the National Curriculum (England)</w:t>
      </w:r>
      <w:r w:rsidR="005A4CFA" w:rsidRPr="00AE141E">
        <w:rPr>
          <w:rFonts w:ascii="Times New Roman" w:hAnsi="Times New Roman" w:cs="Times New Roman"/>
          <w:sz w:val="24"/>
          <w:szCs w:val="24"/>
        </w:rPr>
        <w:t xml:space="preserve"> (1991), the document released to accompany Clarke’s </w:t>
      </w:r>
      <w:r w:rsidR="008050A5" w:rsidRPr="00AE141E">
        <w:rPr>
          <w:rFonts w:ascii="Times New Roman" w:hAnsi="Times New Roman" w:cs="Times New Roman"/>
          <w:sz w:val="24"/>
          <w:szCs w:val="24"/>
        </w:rPr>
        <w:t>Statutory Orders for the National Curriculu</w:t>
      </w:r>
      <w:r w:rsidR="005A4CFA" w:rsidRPr="00AE141E">
        <w:rPr>
          <w:rFonts w:ascii="Times New Roman" w:hAnsi="Times New Roman" w:cs="Times New Roman"/>
          <w:sz w:val="24"/>
          <w:szCs w:val="24"/>
        </w:rPr>
        <w:t xml:space="preserve">m, was vastly different to </w:t>
      </w:r>
      <w:r w:rsidR="001326BF" w:rsidRPr="00AE141E">
        <w:rPr>
          <w:rFonts w:ascii="Times New Roman" w:hAnsi="Times New Roman" w:cs="Times New Roman"/>
          <w:sz w:val="24"/>
          <w:szCs w:val="24"/>
        </w:rPr>
        <w:t>the Reports issued by the HWG.</w:t>
      </w:r>
      <w:r w:rsidR="00A923EA" w:rsidRPr="00AE141E">
        <w:rPr>
          <w:rFonts w:ascii="Times New Roman" w:hAnsi="Times New Roman" w:cs="Times New Roman"/>
          <w:sz w:val="24"/>
          <w:szCs w:val="24"/>
        </w:rPr>
        <w:t xml:space="preserve"> </w:t>
      </w:r>
      <w:r w:rsidR="004C3DEA" w:rsidRPr="00AE141E">
        <w:rPr>
          <w:rFonts w:ascii="Times New Roman" w:hAnsi="Times New Roman" w:cs="Times New Roman"/>
          <w:sz w:val="24"/>
          <w:szCs w:val="24"/>
        </w:rPr>
        <w:t>At KS3</w:t>
      </w:r>
      <w:r w:rsidR="000C52BF" w:rsidRPr="00AE141E">
        <w:rPr>
          <w:rFonts w:ascii="Times New Roman" w:hAnsi="Times New Roman" w:cs="Times New Roman"/>
          <w:sz w:val="24"/>
          <w:szCs w:val="24"/>
        </w:rPr>
        <w:t>,</w:t>
      </w:r>
      <w:r w:rsidR="008E0CE9" w:rsidRPr="00AE141E">
        <w:rPr>
          <w:rFonts w:ascii="Times New Roman" w:hAnsi="Times New Roman" w:cs="Times New Roman"/>
          <w:sz w:val="24"/>
          <w:szCs w:val="24"/>
        </w:rPr>
        <w:t xml:space="preserve"> </w:t>
      </w:r>
      <w:r w:rsidR="00764911">
        <w:rPr>
          <w:rFonts w:ascii="Times New Roman" w:hAnsi="Times New Roman" w:cs="Times New Roman"/>
          <w:sz w:val="24"/>
          <w:szCs w:val="24"/>
        </w:rPr>
        <w:t>the</w:t>
      </w:r>
      <w:r w:rsidR="00BD352A">
        <w:rPr>
          <w:rFonts w:ascii="Times New Roman" w:hAnsi="Times New Roman" w:cs="Times New Roman"/>
          <w:sz w:val="24"/>
          <w:szCs w:val="24"/>
        </w:rPr>
        <w:t xml:space="preserve"> new syllabus featured five Core and 3 Supplementary Units (a complete list is to be found in Appendix C).</w:t>
      </w:r>
      <w:r w:rsidR="0075559C">
        <w:rPr>
          <w:rStyle w:val="FootnoteReference"/>
          <w:rFonts w:ascii="Times New Roman" w:hAnsi="Times New Roman" w:cs="Times New Roman"/>
          <w:sz w:val="24"/>
          <w:szCs w:val="24"/>
        </w:rPr>
        <w:footnoteReference w:id="917"/>
      </w:r>
      <w:r w:rsidR="00BD352A">
        <w:rPr>
          <w:rFonts w:ascii="Times New Roman" w:hAnsi="Times New Roman" w:cs="Times New Roman"/>
          <w:sz w:val="24"/>
          <w:szCs w:val="24"/>
        </w:rPr>
        <w:t xml:space="preserve"> T</w:t>
      </w:r>
      <w:r w:rsidR="008E0CE9" w:rsidRPr="00AE141E">
        <w:rPr>
          <w:rFonts w:ascii="Times New Roman" w:hAnsi="Times New Roman" w:cs="Times New Roman"/>
          <w:sz w:val="24"/>
          <w:szCs w:val="24"/>
        </w:rPr>
        <w:t>he</w:t>
      </w:r>
      <w:r w:rsidR="004C3DEA" w:rsidRPr="00AE141E">
        <w:rPr>
          <w:rFonts w:ascii="Times New Roman" w:hAnsi="Times New Roman" w:cs="Times New Roman"/>
          <w:sz w:val="24"/>
          <w:szCs w:val="24"/>
        </w:rPr>
        <w:t xml:space="preserve"> Britis</w:t>
      </w:r>
      <w:r w:rsidR="008E353D">
        <w:rPr>
          <w:rFonts w:ascii="Times New Roman" w:hAnsi="Times New Roman" w:cs="Times New Roman"/>
          <w:sz w:val="24"/>
          <w:szCs w:val="24"/>
        </w:rPr>
        <w:t>h</w:t>
      </w:r>
      <w:r w:rsidR="004C3DEA" w:rsidRPr="00AE141E">
        <w:rPr>
          <w:rFonts w:ascii="Times New Roman" w:hAnsi="Times New Roman" w:cs="Times New Roman"/>
          <w:sz w:val="24"/>
          <w:szCs w:val="24"/>
        </w:rPr>
        <w:t xml:space="preserve"> </w:t>
      </w:r>
      <w:r w:rsidR="008E0CE9" w:rsidRPr="00AE141E">
        <w:rPr>
          <w:rFonts w:ascii="Times New Roman" w:hAnsi="Times New Roman" w:cs="Times New Roman"/>
          <w:sz w:val="24"/>
          <w:szCs w:val="24"/>
        </w:rPr>
        <w:t>Core</w:t>
      </w:r>
      <w:r w:rsidR="004C3DEA" w:rsidRPr="00AE141E">
        <w:rPr>
          <w:rFonts w:ascii="Times New Roman" w:hAnsi="Times New Roman" w:cs="Times New Roman"/>
          <w:sz w:val="24"/>
          <w:szCs w:val="24"/>
        </w:rPr>
        <w:t xml:space="preserve"> </w:t>
      </w:r>
      <w:r w:rsidR="008E353D">
        <w:rPr>
          <w:rFonts w:ascii="Times New Roman" w:hAnsi="Times New Roman" w:cs="Times New Roman"/>
          <w:sz w:val="24"/>
          <w:szCs w:val="24"/>
        </w:rPr>
        <w:t xml:space="preserve">Units </w:t>
      </w:r>
      <w:r w:rsidR="003E17A2" w:rsidRPr="00AE141E">
        <w:rPr>
          <w:rFonts w:ascii="Times New Roman" w:hAnsi="Times New Roman" w:cs="Times New Roman"/>
          <w:sz w:val="24"/>
          <w:szCs w:val="24"/>
        </w:rPr>
        <w:t>remained</w:t>
      </w:r>
      <w:r w:rsidR="004C3DEA" w:rsidRPr="00AE141E">
        <w:rPr>
          <w:rFonts w:ascii="Times New Roman" w:hAnsi="Times New Roman" w:cs="Times New Roman"/>
          <w:sz w:val="24"/>
          <w:szCs w:val="24"/>
        </w:rPr>
        <w:t xml:space="preserve"> basically intact</w:t>
      </w:r>
      <w:r w:rsidR="003E17A2" w:rsidRPr="00AE141E">
        <w:rPr>
          <w:rFonts w:ascii="Times New Roman" w:hAnsi="Times New Roman" w:cs="Times New Roman"/>
          <w:sz w:val="24"/>
          <w:szCs w:val="24"/>
        </w:rPr>
        <w:t xml:space="preserve">. The single most important change was </w:t>
      </w:r>
      <w:r w:rsidR="008F3CAD" w:rsidRPr="00AE141E">
        <w:rPr>
          <w:rFonts w:ascii="Times New Roman" w:hAnsi="Times New Roman" w:cs="Times New Roman"/>
          <w:sz w:val="24"/>
          <w:szCs w:val="24"/>
        </w:rPr>
        <w:t xml:space="preserve">the addition of </w:t>
      </w:r>
      <w:r w:rsidR="00916FA8">
        <w:rPr>
          <w:rFonts w:ascii="Times New Roman" w:hAnsi="Times New Roman" w:cs="Times New Roman"/>
          <w:sz w:val="24"/>
          <w:szCs w:val="24"/>
        </w:rPr>
        <w:t>the</w:t>
      </w:r>
      <w:r w:rsidR="00DE71F6">
        <w:rPr>
          <w:rFonts w:ascii="Times New Roman" w:hAnsi="Times New Roman" w:cs="Times New Roman"/>
          <w:sz w:val="24"/>
          <w:szCs w:val="24"/>
        </w:rPr>
        <w:t xml:space="preserve"> Unit entitled</w:t>
      </w:r>
      <w:r w:rsidR="008F3CAD" w:rsidRPr="00AE141E">
        <w:rPr>
          <w:rFonts w:ascii="Times New Roman" w:hAnsi="Times New Roman" w:cs="Times New Roman"/>
          <w:sz w:val="24"/>
          <w:szCs w:val="24"/>
        </w:rPr>
        <w:t xml:space="preserve"> </w:t>
      </w:r>
      <w:r w:rsidR="00EE54C1" w:rsidRPr="00AE141E">
        <w:rPr>
          <w:rFonts w:ascii="Times New Roman" w:hAnsi="Times New Roman" w:cs="Times New Roman"/>
          <w:sz w:val="24"/>
          <w:szCs w:val="24"/>
        </w:rPr>
        <w:t>‘</w:t>
      </w:r>
      <w:r w:rsidR="00DE71F6">
        <w:rPr>
          <w:rFonts w:ascii="Times New Roman" w:hAnsi="Times New Roman" w:cs="Times New Roman"/>
          <w:sz w:val="24"/>
          <w:szCs w:val="24"/>
        </w:rPr>
        <w:t xml:space="preserve">The </w:t>
      </w:r>
      <w:r w:rsidR="008F3CAD" w:rsidRPr="00AE141E">
        <w:rPr>
          <w:rFonts w:ascii="Times New Roman" w:hAnsi="Times New Roman" w:cs="Times New Roman"/>
          <w:sz w:val="24"/>
          <w:szCs w:val="24"/>
        </w:rPr>
        <w:t>Era of the Second World War</w:t>
      </w:r>
      <w:r w:rsidR="00EE54C1" w:rsidRPr="00AE141E">
        <w:rPr>
          <w:rFonts w:ascii="Times New Roman" w:hAnsi="Times New Roman" w:cs="Times New Roman"/>
          <w:sz w:val="24"/>
          <w:szCs w:val="24"/>
        </w:rPr>
        <w:t>’</w:t>
      </w:r>
      <w:r w:rsidR="00DE71F6">
        <w:rPr>
          <w:rFonts w:ascii="Times New Roman" w:hAnsi="Times New Roman" w:cs="Times New Roman"/>
          <w:sz w:val="24"/>
          <w:szCs w:val="24"/>
        </w:rPr>
        <w:t xml:space="preserve">, </w:t>
      </w:r>
      <w:r w:rsidR="00D345F5" w:rsidRPr="00AE141E">
        <w:rPr>
          <w:rFonts w:ascii="Times New Roman" w:hAnsi="Times New Roman" w:cs="Times New Roman"/>
          <w:sz w:val="24"/>
          <w:szCs w:val="24"/>
        </w:rPr>
        <w:t>originally to be found in KS4</w:t>
      </w:r>
      <w:r w:rsidR="008F3CAD" w:rsidRPr="00AE141E">
        <w:rPr>
          <w:rFonts w:ascii="Times New Roman" w:hAnsi="Times New Roman" w:cs="Times New Roman"/>
          <w:sz w:val="24"/>
          <w:szCs w:val="24"/>
        </w:rPr>
        <w:t>. Wi</w:t>
      </w:r>
      <w:r w:rsidR="00B94DE4" w:rsidRPr="00AE141E">
        <w:rPr>
          <w:rFonts w:ascii="Times New Roman" w:hAnsi="Times New Roman" w:cs="Times New Roman"/>
          <w:sz w:val="24"/>
          <w:szCs w:val="24"/>
        </w:rPr>
        <w:t>th the removal of History as a compulsory subject in KS4</w:t>
      </w:r>
      <w:r w:rsidR="008F3CAD" w:rsidRPr="00AE141E">
        <w:rPr>
          <w:rFonts w:ascii="Times New Roman" w:hAnsi="Times New Roman" w:cs="Times New Roman"/>
          <w:sz w:val="24"/>
          <w:szCs w:val="24"/>
        </w:rPr>
        <w:t>,</w:t>
      </w:r>
      <w:r w:rsidR="00B94DE4" w:rsidRPr="00AE141E">
        <w:rPr>
          <w:rFonts w:ascii="Times New Roman" w:hAnsi="Times New Roman" w:cs="Times New Roman"/>
          <w:sz w:val="24"/>
          <w:szCs w:val="24"/>
        </w:rPr>
        <w:t xml:space="preserve"> the module had been transferred</w:t>
      </w:r>
      <w:r w:rsidR="008F3CAD" w:rsidRPr="00AE141E">
        <w:rPr>
          <w:rFonts w:ascii="Times New Roman" w:hAnsi="Times New Roman" w:cs="Times New Roman"/>
          <w:sz w:val="24"/>
          <w:szCs w:val="24"/>
        </w:rPr>
        <w:t xml:space="preserve"> to ensure that students dropping history at </w:t>
      </w:r>
      <w:r w:rsidR="00D02EEF" w:rsidRPr="00AE141E">
        <w:rPr>
          <w:rFonts w:ascii="Times New Roman" w:hAnsi="Times New Roman" w:cs="Times New Roman"/>
          <w:sz w:val="24"/>
          <w:szCs w:val="24"/>
        </w:rPr>
        <w:t>fourteen</w:t>
      </w:r>
      <w:r w:rsidR="0041706F" w:rsidRPr="00AE141E">
        <w:rPr>
          <w:rFonts w:ascii="Times New Roman" w:hAnsi="Times New Roman" w:cs="Times New Roman"/>
          <w:sz w:val="24"/>
          <w:szCs w:val="24"/>
        </w:rPr>
        <w:t xml:space="preserve"> would be taught </w:t>
      </w:r>
      <w:r w:rsidR="00B94DE4" w:rsidRPr="00AE141E">
        <w:rPr>
          <w:rFonts w:ascii="Times New Roman" w:hAnsi="Times New Roman" w:cs="Times New Roman"/>
          <w:sz w:val="24"/>
          <w:szCs w:val="24"/>
        </w:rPr>
        <w:t xml:space="preserve">at least </w:t>
      </w:r>
      <w:r w:rsidR="0041706F" w:rsidRPr="00AE141E">
        <w:rPr>
          <w:rFonts w:ascii="Times New Roman" w:hAnsi="Times New Roman" w:cs="Times New Roman"/>
          <w:sz w:val="24"/>
          <w:szCs w:val="24"/>
        </w:rPr>
        <w:t>some twentieth century content.</w:t>
      </w:r>
      <w:r w:rsidR="00E53BD2" w:rsidRPr="00AE141E">
        <w:rPr>
          <w:rStyle w:val="FootnoteReference"/>
          <w:rFonts w:ascii="Times New Roman" w:hAnsi="Times New Roman" w:cs="Times New Roman"/>
          <w:sz w:val="24"/>
          <w:szCs w:val="24"/>
        </w:rPr>
        <w:footnoteReference w:id="918"/>
      </w:r>
      <w:r w:rsidR="008F7271" w:rsidRPr="00AE141E">
        <w:rPr>
          <w:rFonts w:ascii="Times New Roman" w:hAnsi="Times New Roman" w:cs="Times New Roman"/>
          <w:sz w:val="24"/>
          <w:szCs w:val="24"/>
        </w:rPr>
        <w:t xml:space="preserve"> </w:t>
      </w:r>
      <w:r w:rsidR="00915819" w:rsidRPr="00AE141E">
        <w:rPr>
          <w:rFonts w:ascii="Times New Roman" w:hAnsi="Times New Roman" w:cs="Times New Roman"/>
          <w:sz w:val="24"/>
          <w:szCs w:val="24"/>
        </w:rPr>
        <w:t>T</w:t>
      </w:r>
      <w:r w:rsidR="008F7271" w:rsidRPr="00AE141E">
        <w:rPr>
          <w:rFonts w:ascii="Times New Roman" w:hAnsi="Times New Roman" w:cs="Times New Roman"/>
          <w:sz w:val="24"/>
          <w:szCs w:val="24"/>
        </w:rPr>
        <w:t>h</w:t>
      </w:r>
      <w:r w:rsidR="00CF398E" w:rsidRPr="00AE141E">
        <w:rPr>
          <w:rFonts w:ascii="Times New Roman" w:hAnsi="Times New Roman" w:cs="Times New Roman"/>
          <w:sz w:val="24"/>
          <w:szCs w:val="24"/>
        </w:rPr>
        <w:t xml:space="preserve">e choice </w:t>
      </w:r>
      <w:r w:rsidR="00C55E75" w:rsidRPr="00AE141E">
        <w:rPr>
          <w:rFonts w:ascii="Times New Roman" w:hAnsi="Times New Roman" w:cs="Times New Roman"/>
          <w:sz w:val="24"/>
          <w:szCs w:val="24"/>
        </w:rPr>
        <w:t>to move this</w:t>
      </w:r>
      <w:r w:rsidR="00CF398E" w:rsidRPr="00AE141E">
        <w:rPr>
          <w:rFonts w:ascii="Times New Roman" w:hAnsi="Times New Roman" w:cs="Times New Roman"/>
          <w:sz w:val="24"/>
          <w:szCs w:val="24"/>
        </w:rPr>
        <w:t xml:space="preserve"> module </w:t>
      </w:r>
      <w:r w:rsidR="00CF398E" w:rsidRPr="00AE141E">
        <w:rPr>
          <w:rFonts w:ascii="Times New Roman" w:hAnsi="Times New Roman" w:cs="Times New Roman"/>
          <w:i/>
          <w:sz w:val="24"/>
          <w:szCs w:val="24"/>
        </w:rPr>
        <w:t>specifically</w:t>
      </w:r>
      <w:r w:rsidR="00CF398E" w:rsidRPr="00AE141E">
        <w:rPr>
          <w:rFonts w:ascii="Times New Roman" w:hAnsi="Times New Roman" w:cs="Times New Roman"/>
          <w:sz w:val="24"/>
          <w:szCs w:val="24"/>
        </w:rPr>
        <w:t xml:space="preserve"> </w:t>
      </w:r>
      <w:r w:rsidR="00F67CFB" w:rsidRPr="00AE141E">
        <w:rPr>
          <w:rFonts w:ascii="Times New Roman" w:hAnsi="Times New Roman" w:cs="Times New Roman"/>
          <w:sz w:val="24"/>
          <w:szCs w:val="24"/>
        </w:rPr>
        <w:t>was</w:t>
      </w:r>
      <w:r w:rsidR="00915819" w:rsidRPr="00AE141E">
        <w:rPr>
          <w:rFonts w:ascii="Times New Roman" w:hAnsi="Times New Roman" w:cs="Times New Roman"/>
          <w:sz w:val="24"/>
          <w:szCs w:val="24"/>
        </w:rPr>
        <w:t xml:space="preserve"> a reflection of its </w:t>
      </w:r>
      <w:r w:rsidR="00F729D5" w:rsidRPr="00AE141E">
        <w:rPr>
          <w:rFonts w:ascii="Times New Roman" w:hAnsi="Times New Roman" w:cs="Times New Roman"/>
          <w:sz w:val="24"/>
          <w:szCs w:val="24"/>
        </w:rPr>
        <w:t>demonstrable cultural and political importance</w:t>
      </w:r>
      <w:r w:rsidR="00994D0C" w:rsidRPr="00AE141E">
        <w:rPr>
          <w:rFonts w:ascii="Times New Roman" w:hAnsi="Times New Roman" w:cs="Times New Roman"/>
          <w:sz w:val="24"/>
          <w:szCs w:val="24"/>
        </w:rPr>
        <w:t>.</w:t>
      </w:r>
      <w:r w:rsidR="004C3DEA" w:rsidRPr="00AE141E">
        <w:rPr>
          <w:rFonts w:ascii="Times New Roman" w:hAnsi="Times New Roman" w:cs="Times New Roman"/>
          <w:sz w:val="24"/>
          <w:szCs w:val="24"/>
        </w:rPr>
        <w:t xml:space="preserve"> </w:t>
      </w:r>
    </w:p>
    <w:p w14:paraId="71AEDE0B" w14:textId="77777777" w:rsidR="003D1CA6" w:rsidRDefault="0041706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w:t>
      </w:r>
      <w:r w:rsidR="008E0CE9" w:rsidRPr="00AE141E">
        <w:rPr>
          <w:rFonts w:ascii="Times New Roman" w:hAnsi="Times New Roman" w:cs="Times New Roman"/>
          <w:sz w:val="24"/>
          <w:szCs w:val="24"/>
        </w:rPr>
        <w:t xml:space="preserve">eachers were </w:t>
      </w:r>
      <w:r w:rsidR="003B3F7B">
        <w:rPr>
          <w:rFonts w:ascii="Times New Roman" w:hAnsi="Times New Roman" w:cs="Times New Roman"/>
          <w:sz w:val="24"/>
          <w:szCs w:val="24"/>
        </w:rPr>
        <w:t xml:space="preserve">also </w:t>
      </w:r>
      <w:r w:rsidR="008E0CE9" w:rsidRPr="00AE141E">
        <w:rPr>
          <w:rFonts w:ascii="Times New Roman" w:hAnsi="Times New Roman" w:cs="Times New Roman"/>
          <w:sz w:val="24"/>
          <w:szCs w:val="24"/>
        </w:rPr>
        <w:t xml:space="preserve">given more freedom to </w:t>
      </w:r>
      <w:r w:rsidR="007F1D2B" w:rsidRPr="00AE141E">
        <w:rPr>
          <w:rFonts w:ascii="Times New Roman" w:hAnsi="Times New Roman" w:cs="Times New Roman"/>
          <w:sz w:val="24"/>
          <w:szCs w:val="24"/>
        </w:rPr>
        <w:t>choose</w:t>
      </w:r>
      <w:r w:rsidR="008E0CE9" w:rsidRPr="00AE141E">
        <w:rPr>
          <w:rFonts w:ascii="Times New Roman" w:hAnsi="Times New Roman" w:cs="Times New Roman"/>
          <w:sz w:val="24"/>
          <w:szCs w:val="24"/>
        </w:rPr>
        <w:t xml:space="preserve"> non-British content</w:t>
      </w:r>
      <w:r w:rsidR="002220E7" w:rsidRPr="00AE141E">
        <w:rPr>
          <w:rFonts w:ascii="Times New Roman" w:hAnsi="Times New Roman" w:cs="Times New Roman"/>
          <w:sz w:val="24"/>
          <w:szCs w:val="24"/>
        </w:rPr>
        <w:t xml:space="preserve"> in </w:t>
      </w:r>
      <w:r w:rsidR="008E353D">
        <w:rPr>
          <w:rFonts w:ascii="Times New Roman" w:hAnsi="Times New Roman" w:cs="Times New Roman"/>
          <w:sz w:val="24"/>
          <w:szCs w:val="24"/>
        </w:rPr>
        <w:t xml:space="preserve">the </w:t>
      </w:r>
      <w:r w:rsidR="002220E7" w:rsidRPr="00AE141E">
        <w:rPr>
          <w:rFonts w:ascii="Times New Roman" w:hAnsi="Times New Roman" w:cs="Times New Roman"/>
          <w:sz w:val="24"/>
          <w:szCs w:val="24"/>
        </w:rPr>
        <w:t>Supplemen</w:t>
      </w:r>
      <w:r w:rsidR="007F1D2B" w:rsidRPr="00AE141E">
        <w:rPr>
          <w:rFonts w:ascii="Times New Roman" w:hAnsi="Times New Roman" w:cs="Times New Roman"/>
          <w:sz w:val="24"/>
          <w:szCs w:val="24"/>
        </w:rPr>
        <w:t xml:space="preserve">tary Units. Curricula were </w:t>
      </w:r>
      <w:r w:rsidR="003B3F7B">
        <w:rPr>
          <w:rFonts w:ascii="Times New Roman" w:hAnsi="Times New Roman" w:cs="Times New Roman"/>
          <w:sz w:val="24"/>
          <w:szCs w:val="24"/>
        </w:rPr>
        <w:t xml:space="preserve">now </w:t>
      </w:r>
      <w:r w:rsidR="007F1D2B" w:rsidRPr="00AE141E">
        <w:rPr>
          <w:rFonts w:ascii="Times New Roman" w:hAnsi="Times New Roman" w:cs="Times New Roman"/>
          <w:sz w:val="24"/>
          <w:szCs w:val="24"/>
        </w:rPr>
        <w:t>obliged to include an ‘episode or turning point in European history’ and the ‘study of a past non-European society’</w:t>
      </w:r>
      <w:r w:rsidR="003B3F7B">
        <w:rPr>
          <w:rFonts w:ascii="Times New Roman" w:hAnsi="Times New Roman" w:cs="Times New Roman"/>
          <w:sz w:val="24"/>
          <w:szCs w:val="24"/>
        </w:rPr>
        <w:t xml:space="preserve">, </w:t>
      </w:r>
      <w:r w:rsidR="008E0CE9" w:rsidRPr="00AE141E">
        <w:rPr>
          <w:rFonts w:ascii="Times New Roman" w:hAnsi="Times New Roman" w:cs="Times New Roman"/>
          <w:sz w:val="24"/>
          <w:szCs w:val="24"/>
        </w:rPr>
        <w:t xml:space="preserve">but </w:t>
      </w:r>
      <w:r w:rsidR="00950B1B" w:rsidRPr="00AE141E">
        <w:rPr>
          <w:rFonts w:ascii="Times New Roman" w:hAnsi="Times New Roman" w:cs="Times New Roman"/>
          <w:sz w:val="24"/>
          <w:szCs w:val="24"/>
        </w:rPr>
        <w:t>named</w:t>
      </w:r>
      <w:r w:rsidR="008E0CE9" w:rsidRPr="00AE141E">
        <w:rPr>
          <w:rFonts w:ascii="Times New Roman" w:hAnsi="Times New Roman" w:cs="Times New Roman"/>
          <w:sz w:val="24"/>
          <w:szCs w:val="24"/>
        </w:rPr>
        <w:t xml:space="preserve"> topics </w:t>
      </w:r>
      <w:r w:rsidR="00950B1B" w:rsidRPr="00AE141E">
        <w:rPr>
          <w:rFonts w:ascii="Times New Roman" w:hAnsi="Times New Roman" w:cs="Times New Roman"/>
          <w:sz w:val="24"/>
          <w:szCs w:val="24"/>
        </w:rPr>
        <w:t>were excluded from the final document.</w:t>
      </w:r>
      <w:r w:rsidR="00091A8C" w:rsidRPr="00AE141E">
        <w:rPr>
          <w:rStyle w:val="FootnoteReference"/>
          <w:rFonts w:ascii="Times New Roman" w:hAnsi="Times New Roman" w:cs="Times New Roman"/>
          <w:sz w:val="24"/>
          <w:szCs w:val="24"/>
        </w:rPr>
        <w:footnoteReference w:id="919"/>
      </w:r>
      <w:r w:rsidR="00950B1B" w:rsidRPr="00AE141E">
        <w:rPr>
          <w:rFonts w:ascii="Times New Roman" w:hAnsi="Times New Roman" w:cs="Times New Roman"/>
          <w:sz w:val="24"/>
          <w:szCs w:val="24"/>
        </w:rPr>
        <w:t xml:space="preserve"> </w:t>
      </w:r>
      <w:r w:rsidR="00E146B8" w:rsidRPr="00AE141E">
        <w:rPr>
          <w:rFonts w:ascii="Times New Roman" w:hAnsi="Times New Roman" w:cs="Times New Roman"/>
          <w:sz w:val="24"/>
          <w:szCs w:val="24"/>
        </w:rPr>
        <w:t xml:space="preserve">The </w:t>
      </w:r>
      <w:r w:rsidR="00AB069C" w:rsidRPr="00AE141E">
        <w:rPr>
          <w:rFonts w:ascii="Times New Roman" w:hAnsi="Times New Roman" w:cs="Times New Roman"/>
          <w:sz w:val="24"/>
          <w:szCs w:val="24"/>
        </w:rPr>
        <w:t>topics chosen by the HWG figured here only as</w:t>
      </w:r>
      <w:r w:rsidR="008E0CE9" w:rsidRPr="00AE141E">
        <w:rPr>
          <w:rFonts w:ascii="Times New Roman" w:hAnsi="Times New Roman" w:cs="Times New Roman"/>
          <w:sz w:val="24"/>
          <w:szCs w:val="24"/>
        </w:rPr>
        <w:t xml:space="preserve"> suggestions.</w:t>
      </w:r>
      <w:r w:rsidR="00AB069C" w:rsidRPr="00AE141E">
        <w:rPr>
          <w:rFonts w:ascii="Times New Roman" w:hAnsi="Times New Roman" w:cs="Times New Roman"/>
          <w:sz w:val="24"/>
          <w:szCs w:val="24"/>
        </w:rPr>
        <w:t xml:space="preserve"> </w:t>
      </w:r>
      <w:r w:rsidR="00E3211F" w:rsidRPr="00AE141E">
        <w:rPr>
          <w:rFonts w:ascii="Times New Roman" w:hAnsi="Times New Roman" w:cs="Times New Roman"/>
          <w:sz w:val="24"/>
          <w:szCs w:val="24"/>
        </w:rPr>
        <w:t xml:space="preserve">This reflected an overall trend towards </w:t>
      </w:r>
      <w:r w:rsidR="008551FE" w:rsidRPr="00AE141E">
        <w:rPr>
          <w:rFonts w:ascii="Times New Roman" w:hAnsi="Times New Roman" w:cs="Times New Roman"/>
          <w:sz w:val="24"/>
          <w:szCs w:val="24"/>
        </w:rPr>
        <w:t>a reduction in detail and prescription in the new curriculum. Core modules were now accompanied by short</w:t>
      </w:r>
      <w:r w:rsidR="00F61E1A" w:rsidRPr="00AE141E">
        <w:rPr>
          <w:rFonts w:ascii="Times New Roman" w:hAnsi="Times New Roman" w:cs="Times New Roman"/>
          <w:sz w:val="24"/>
          <w:szCs w:val="24"/>
        </w:rPr>
        <w:t>, relatively broad</w:t>
      </w:r>
      <w:r w:rsidR="008551FE" w:rsidRPr="00AE141E">
        <w:rPr>
          <w:rFonts w:ascii="Times New Roman" w:hAnsi="Times New Roman" w:cs="Times New Roman"/>
          <w:sz w:val="24"/>
          <w:szCs w:val="24"/>
        </w:rPr>
        <w:t xml:space="preserve"> </w:t>
      </w:r>
      <w:r w:rsidR="00F61E1A" w:rsidRPr="00AE141E">
        <w:rPr>
          <w:rFonts w:ascii="Times New Roman" w:hAnsi="Times New Roman" w:cs="Times New Roman"/>
          <w:sz w:val="24"/>
          <w:szCs w:val="24"/>
        </w:rPr>
        <w:t xml:space="preserve">lists of compulsory content, as opposed to the detailed </w:t>
      </w:r>
      <w:r w:rsidR="00C13446" w:rsidRPr="00AE141E">
        <w:rPr>
          <w:rFonts w:ascii="Times New Roman" w:hAnsi="Times New Roman" w:cs="Times New Roman"/>
          <w:sz w:val="24"/>
          <w:szCs w:val="24"/>
        </w:rPr>
        <w:t>information supplied in the Final Report of the HWG.</w:t>
      </w:r>
      <w:r w:rsidR="003D1CA6">
        <w:rPr>
          <w:rFonts w:ascii="Times New Roman" w:hAnsi="Times New Roman" w:cs="Times New Roman"/>
          <w:sz w:val="24"/>
          <w:szCs w:val="24"/>
        </w:rPr>
        <w:t xml:space="preserve"> </w:t>
      </w:r>
    </w:p>
    <w:p w14:paraId="77F6214B" w14:textId="44A7BA9C" w:rsidR="003C08D1" w:rsidRDefault="003B3F7B" w:rsidP="00AE141E">
      <w:pPr>
        <w:spacing w:line="360" w:lineRule="auto"/>
        <w:rPr>
          <w:rFonts w:ascii="Times New Roman" w:hAnsi="Times New Roman" w:cs="Times New Roman"/>
          <w:sz w:val="24"/>
          <w:szCs w:val="24"/>
        </w:rPr>
      </w:pPr>
      <w:r>
        <w:rPr>
          <w:rFonts w:ascii="Times New Roman" w:hAnsi="Times New Roman" w:cs="Times New Roman"/>
          <w:sz w:val="24"/>
          <w:szCs w:val="24"/>
        </w:rPr>
        <w:t>D</w:t>
      </w:r>
      <w:r w:rsidR="00413FE5" w:rsidRPr="00AE141E">
        <w:rPr>
          <w:rFonts w:ascii="Times New Roman" w:hAnsi="Times New Roman" w:cs="Times New Roman"/>
          <w:sz w:val="24"/>
          <w:szCs w:val="24"/>
        </w:rPr>
        <w:t>epth</w:t>
      </w:r>
      <w:r w:rsidR="004C1E8F" w:rsidRPr="00AE141E">
        <w:rPr>
          <w:rFonts w:ascii="Times New Roman" w:hAnsi="Times New Roman" w:cs="Times New Roman"/>
          <w:sz w:val="24"/>
          <w:szCs w:val="24"/>
        </w:rPr>
        <w:t xml:space="preserve"> and prescription were also reduced</w:t>
      </w:r>
      <w:r>
        <w:rPr>
          <w:rFonts w:ascii="Times New Roman" w:hAnsi="Times New Roman" w:cs="Times New Roman"/>
          <w:sz w:val="24"/>
          <w:szCs w:val="24"/>
        </w:rPr>
        <w:t xml:space="preserve"> at KS4</w:t>
      </w:r>
      <w:r w:rsidR="004C1E8F" w:rsidRPr="00AE141E">
        <w:rPr>
          <w:rFonts w:ascii="Times New Roman" w:hAnsi="Times New Roman" w:cs="Times New Roman"/>
          <w:sz w:val="24"/>
          <w:szCs w:val="24"/>
        </w:rPr>
        <w:t xml:space="preserve">. </w:t>
      </w:r>
      <w:r w:rsidR="00E60B19" w:rsidRPr="00AE141E">
        <w:rPr>
          <w:rFonts w:ascii="Times New Roman" w:hAnsi="Times New Roman" w:cs="Times New Roman"/>
          <w:sz w:val="24"/>
          <w:szCs w:val="24"/>
        </w:rPr>
        <w:t>Two Core</w:t>
      </w:r>
      <w:r w:rsidR="003C08D1">
        <w:rPr>
          <w:rFonts w:ascii="Times New Roman" w:hAnsi="Times New Roman" w:cs="Times New Roman"/>
          <w:sz w:val="24"/>
          <w:szCs w:val="24"/>
        </w:rPr>
        <w:t xml:space="preserve"> </w:t>
      </w:r>
      <w:r w:rsidR="009629FB" w:rsidRPr="00AE141E">
        <w:rPr>
          <w:rFonts w:ascii="Times New Roman" w:hAnsi="Times New Roman" w:cs="Times New Roman"/>
          <w:sz w:val="24"/>
          <w:szCs w:val="24"/>
        </w:rPr>
        <w:t>Units</w:t>
      </w:r>
      <w:r w:rsidR="003C08D1">
        <w:rPr>
          <w:rFonts w:ascii="Times New Roman" w:hAnsi="Times New Roman" w:cs="Times New Roman"/>
          <w:sz w:val="24"/>
          <w:szCs w:val="24"/>
        </w:rPr>
        <w:t xml:space="preserve"> with an exclusively British emphasis</w:t>
      </w:r>
      <w:r w:rsidR="009629FB" w:rsidRPr="00AE141E">
        <w:rPr>
          <w:rFonts w:ascii="Times New Roman" w:hAnsi="Times New Roman" w:cs="Times New Roman"/>
          <w:sz w:val="24"/>
          <w:szCs w:val="24"/>
        </w:rPr>
        <w:t xml:space="preserve"> were accompanied by a third which </w:t>
      </w:r>
      <w:r w:rsidR="00B250B9">
        <w:rPr>
          <w:rFonts w:ascii="Times New Roman" w:hAnsi="Times New Roman" w:cs="Times New Roman"/>
          <w:sz w:val="24"/>
          <w:szCs w:val="24"/>
        </w:rPr>
        <w:t>set</w:t>
      </w:r>
      <w:r w:rsidR="009629FB" w:rsidRPr="00AE141E">
        <w:rPr>
          <w:rFonts w:ascii="Times New Roman" w:hAnsi="Times New Roman" w:cs="Times New Roman"/>
          <w:sz w:val="24"/>
          <w:szCs w:val="24"/>
        </w:rPr>
        <w:t xml:space="preserve"> twentieth century British economic, social and cultural change</w:t>
      </w:r>
      <w:r w:rsidR="00B250B9">
        <w:rPr>
          <w:rFonts w:ascii="Times New Roman" w:hAnsi="Times New Roman" w:cs="Times New Roman"/>
          <w:sz w:val="24"/>
          <w:szCs w:val="24"/>
        </w:rPr>
        <w:t>s</w:t>
      </w:r>
      <w:r w:rsidR="009629FB" w:rsidRPr="00AE141E">
        <w:rPr>
          <w:rFonts w:ascii="Times New Roman" w:hAnsi="Times New Roman" w:cs="Times New Roman"/>
          <w:sz w:val="24"/>
          <w:szCs w:val="24"/>
        </w:rPr>
        <w:t xml:space="preserve"> </w:t>
      </w:r>
      <w:r w:rsidR="00B250B9">
        <w:rPr>
          <w:rFonts w:ascii="Times New Roman" w:hAnsi="Times New Roman" w:cs="Times New Roman"/>
          <w:sz w:val="24"/>
          <w:szCs w:val="24"/>
        </w:rPr>
        <w:t>in a world context</w:t>
      </w:r>
      <w:r w:rsidR="009629FB" w:rsidRPr="00AE141E">
        <w:rPr>
          <w:rFonts w:ascii="Times New Roman" w:hAnsi="Times New Roman" w:cs="Times New Roman"/>
          <w:sz w:val="24"/>
          <w:szCs w:val="24"/>
        </w:rPr>
        <w:t xml:space="preserve">. </w:t>
      </w:r>
      <w:r w:rsidR="00AD4041" w:rsidRPr="00AE141E">
        <w:rPr>
          <w:rFonts w:ascii="Times New Roman" w:hAnsi="Times New Roman" w:cs="Times New Roman"/>
          <w:sz w:val="24"/>
          <w:szCs w:val="24"/>
        </w:rPr>
        <w:t>Of the two Supplementary Units, one was</w:t>
      </w:r>
      <w:r w:rsidR="003C08D1">
        <w:rPr>
          <w:rFonts w:ascii="Times New Roman" w:hAnsi="Times New Roman" w:cs="Times New Roman"/>
          <w:sz w:val="24"/>
          <w:szCs w:val="24"/>
        </w:rPr>
        <w:t xml:space="preserve"> designed</w:t>
      </w:r>
      <w:r w:rsidR="00AD4041" w:rsidRPr="00AE141E">
        <w:rPr>
          <w:rFonts w:ascii="Times New Roman" w:hAnsi="Times New Roman" w:cs="Times New Roman"/>
          <w:sz w:val="24"/>
          <w:szCs w:val="24"/>
        </w:rPr>
        <w:t xml:space="preserve"> to extend </w:t>
      </w:r>
      <w:r w:rsidR="003C08D1">
        <w:rPr>
          <w:rFonts w:ascii="Times New Roman" w:hAnsi="Times New Roman" w:cs="Times New Roman"/>
          <w:sz w:val="24"/>
          <w:szCs w:val="24"/>
        </w:rPr>
        <w:t>pupils’ knowledge</w:t>
      </w:r>
      <w:r w:rsidR="00AD4041" w:rsidRPr="00AE141E">
        <w:rPr>
          <w:rFonts w:ascii="Times New Roman" w:hAnsi="Times New Roman" w:cs="Times New Roman"/>
          <w:sz w:val="24"/>
          <w:szCs w:val="24"/>
        </w:rPr>
        <w:t xml:space="preserve"> o</w:t>
      </w:r>
      <w:r w:rsidR="003C08D1">
        <w:rPr>
          <w:rFonts w:ascii="Times New Roman" w:hAnsi="Times New Roman" w:cs="Times New Roman"/>
          <w:sz w:val="24"/>
          <w:szCs w:val="24"/>
        </w:rPr>
        <w:t>f</w:t>
      </w:r>
      <w:r w:rsidR="00AD4041" w:rsidRPr="00AE141E">
        <w:rPr>
          <w:rFonts w:ascii="Times New Roman" w:hAnsi="Times New Roman" w:cs="Times New Roman"/>
          <w:sz w:val="24"/>
          <w:szCs w:val="24"/>
        </w:rPr>
        <w:t xml:space="preserve"> British history. The other </w:t>
      </w:r>
      <w:r w:rsidR="003C08D1">
        <w:rPr>
          <w:rFonts w:ascii="Times New Roman" w:hAnsi="Times New Roman" w:cs="Times New Roman"/>
          <w:sz w:val="24"/>
          <w:szCs w:val="24"/>
        </w:rPr>
        <w:t>invited teachers to</w:t>
      </w:r>
      <w:r w:rsidR="008903EF" w:rsidRPr="00AE141E">
        <w:rPr>
          <w:rFonts w:ascii="Times New Roman" w:hAnsi="Times New Roman" w:cs="Times New Roman"/>
          <w:sz w:val="24"/>
          <w:szCs w:val="24"/>
        </w:rPr>
        <w:t xml:space="preserve"> explore a </w:t>
      </w:r>
      <w:r w:rsidR="008903EF" w:rsidRPr="00AE141E">
        <w:rPr>
          <w:rFonts w:ascii="Times New Roman" w:hAnsi="Times New Roman" w:cs="Times New Roman"/>
          <w:sz w:val="24"/>
          <w:szCs w:val="24"/>
        </w:rPr>
        <w:lastRenderedPageBreak/>
        <w:t xml:space="preserve">‘country or region of the world other than Britain’, from a geographically varied list of options (see Appendix </w:t>
      </w:r>
      <w:r w:rsidR="00E13339" w:rsidRPr="00AE141E">
        <w:rPr>
          <w:rFonts w:ascii="Times New Roman" w:hAnsi="Times New Roman" w:cs="Times New Roman"/>
          <w:sz w:val="24"/>
          <w:szCs w:val="24"/>
        </w:rPr>
        <w:t>C</w:t>
      </w:r>
      <w:r w:rsidR="008903EF" w:rsidRPr="00AE141E">
        <w:rPr>
          <w:rFonts w:ascii="Times New Roman" w:hAnsi="Times New Roman" w:cs="Times New Roman"/>
          <w:sz w:val="24"/>
          <w:szCs w:val="24"/>
        </w:rPr>
        <w:t>).</w:t>
      </w:r>
      <w:r w:rsidR="00794EF8" w:rsidRPr="00AE141E">
        <w:rPr>
          <w:rStyle w:val="FootnoteReference"/>
          <w:rFonts w:ascii="Times New Roman" w:hAnsi="Times New Roman" w:cs="Times New Roman"/>
          <w:sz w:val="24"/>
          <w:szCs w:val="24"/>
        </w:rPr>
        <w:footnoteReference w:id="920"/>
      </w:r>
      <w:r w:rsidR="008903EF" w:rsidRPr="00AE141E">
        <w:rPr>
          <w:rFonts w:ascii="Times New Roman" w:hAnsi="Times New Roman" w:cs="Times New Roman"/>
          <w:sz w:val="24"/>
          <w:szCs w:val="24"/>
        </w:rPr>
        <w:t xml:space="preserve"> </w:t>
      </w:r>
    </w:p>
    <w:p w14:paraId="69F8C145" w14:textId="23478084" w:rsidR="00A62018" w:rsidRPr="00A62018" w:rsidRDefault="00A62018" w:rsidP="00AE141E">
      <w:pPr>
        <w:spacing w:line="360" w:lineRule="auto"/>
        <w:rPr>
          <w:rFonts w:ascii="Times New Roman" w:hAnsi="Times New Roman" w:cs="Times New Roman"/>
          <w:b/>
          <w:bCs/>
          <w:sz w:val="24"/>
          <w:szCs w:val="24"/>
        </w:rPr>
      </w:pPr>
      <w:r>
        <w:rPr>
          <w:rFonts w:ascii="Times New Roman" w:hAnsi="Times New Roman" w:cs="Times New Roman"/>
          <w:b/>
          <w:bCs/>
          <w:sz w:val="24"/>
          <w:szCs w:val="24"/>
        </w:rPr>
        <w:t>The Dearing Review</w:t>
      </w:r>
    </w:p>
    <w:p w14:paraId="1E88649D" w14:textId="27ACC5E0" w:rsidR="00920360" w:rsidRPr="00AE141E" w:rsidRDefault="00C6397E" w:rsidP="00AE141E">
      <w:pPr>
        <w:spacing w:line="360" w:lineRule="auto"/>
        <w:rPr>
          <w:rFonts w:ascii="Times New Roman" w:hAnsi="Times New Roman" w:cs="Times New Roman"/>
          <w:sz w:val="24"/>
          <w:szCs w:val="24"/>
        </w:rPr>
      </w:pPr>
      <w:r>
        <w:rPr>
          <w:rFonts w:ascii="Times New Roman" w:hAnsi="Times New Roman" w:cs="Times New Roman"/>
          <w:sz w:val="24"/>
          <w:szCs w:val="24"/>
        </w:rPr>
        <w:t>T</w:t>
      </w:r>
      <w:r w:rsidR="00D75D24" w:rsidRPr="00AE141E">
        <w:rPr>
          <w:rFonts w:ascii="Times New Roman" w:hAnsi="Times New Roman" w:cs="Times New Roman"/>
          <w:sz w:val="24"/>
          <w:szCs w:val="24"/>
        </w:rPr>
        <w:t xml:space="preserve">he KS4 curriculum was never to be </w:t>
      </w:r>
      <w:r w:rsidR="003C08D1">
        <w:rPr>
          <w:rFonts w:ascii="Times New Roman" w:hAnsi="Times New Roman" w:cs="Times New Roman"/>
          <w:sz w:val="24"/>
          <w:szCs w:val="24"/>
        </w:rPr>
        <w:t>implemented</w:t>
      </w:r>
      <w:r w:rsidR="00D75D24" w:rsidRPr="00AE141E">
        <w:rPr>
          <w:rFonts w:ascii="Times New Roman" w:hAnsi="Times New Roman" w:cs="Times New Roman"/>
          <w:sz w:val="24"/>
          <w:szCs w:val="24"/>
        </w:rPr>
        <w:t xml:space="preserve">. The </w:t>
      </w:r>
      <w:r w:rsidR="00686E5A" w:rsidRPr="00AE141E">
        <w:rPr>
          <w:rFonts w:ascii="Times New Roman" w:hAnsi="Times New Roman" w:cs="Times New Roman"/>
          <w:sz w:val="24"/>
          <w:szCs w:val="24"/>
        </w:rPr>
        <w:t>National Curriculum had been slated for a staggered introduction into schools</w:t>
      </w:r>
      <w:r w:rsidR="003C08D1">
        <w:rPr>
          <w:rFonts w:ascii="Times New Roman" w:hAnsi="Times New Roman" w:cs="Times New Roman"/>
          <w:sz w:val="24"/>
          <w:szCs w:val="24"/>
        </w:rPr>
        <w:t xml:space="preserve">, beginning in </w:t>
      </w:r>
      <w:r w:rsidR="001E7BB3">
        <w:rPr>
          <w:rFonts w:ascii="Times New Roman" w:hAnsi="Times New Roman" w:cs="Times New Roman"/>
          <w:sz w:val="24"/>
          <w:szCs w:val="24"/>
        </w:rPr>
        <w:t>September</w:t>
      </w:r>
      <w:r w:rsidR="00303A1F">
        <w:rPr>
          <w:rFonts w:ascii="Times New Roman" w:hAnsi="Times New Roman" w:cs="Times New Roman"/>
          <w:sz w:val="24"/>
          <w:szCs w:val="24"/>
        </w:rPr>
        <w:t xml:space="preserve"> 1989</w:t>
      </w:r>
      <w:r w:rsidR="00686E5A" w:rsidRPr="00AE141E">
        <w:rPr>
          <w:rFonts w:ascii="Times New Roman" w:hAnsi="Times New Roman" w:cs="Times New Roman"/>
          <w:sz w:val="24"/>
          <w:szCs w:val="24"/>
        </w:rPr>
        <w:t>.</w:t>
      </w:r>
      <w:r w:rsidR="005619ED" w:rsidRPr="00AE141E">
        <w:rPr>
          <w:rFonts w:ascii="Times New Roman" w:hAnsi="Times New Roman" w:cs="Times New Roman"/>
          <w:sz w:val="24"/>
          <w:szCs w:val="24"/>
        </w:rPr>
        <w:t xml:space="preserve"> </w:t>
      </w:r>
      <w:r w:rsidR="000206A4">
        <w:rPr>
          <w:rFonts w:ascii="Times New Roman" w:hAnsi="Times New Roman" w:cs="Times New Roman"/>
          <w:sz w:val="24"/>
          <w:szCs w:val="24"/>
        </w:rPr>
        <w:t>Teaching had not yet begun at KS4 when</w:t>
      </w:r>
      <w:r w:rsidR="006401EB">
        <w:rPr>
          <w:rFonts w:ascii="Times New Roman" w:hAnsi="Times New Roman" w:cs="Times New Roman"/>
          <w:sz w:val="24"/>
          <w:szCs w:val="24"/>
        </w:rPr>
        <w:t xml:space="preserve"> a further review of the National Curriculum was announced in </w:t>
      </w:r>
      <w:r w:rsidR="00303A1F">
        <w:rPr>
          <w:rFonts w:ascii="Times New Roman" w:hAnsi="Times New Roman" w:cs="Times New Roman"/>
          <w:sz w:val="24"/>
          <w:szCs w:val="24"/>
        </w:rPr>
        <w:t xml:space="preserve">1993, </w:t>
      </w:r>
      <w:r w:rsidR="005619ED" w:rsidRPr="00AE141E">
        <w:rPr>
          <w:rFonts w:ascii="Times New Roman" w:hAnsi="Times New Roman" w:cs="Times New Roman"/>
          <w:sz w:val="24"/>
          <w:szCs w:val="24"/>
        </w:rPr>
        <w:t>amidst</w:t>
      </w:r>
      <w:r w:rsidR="00D75D24" w:rsidRPr="00AE141E">
        <w:rPr>
          <w:rFonts w:ascii="Times New Roman" w:hAnsi="Times New Roman" w:cs="Times New Roman"/>
          <w:sz w:val="24"/>
          <w:szCs w:val="24"/>
        </w:rPr>
        <w:t xml:space="preserve"> escalating complaints of overload and overwork</w:t>
      </w:r>
      <w:r w:rsidR="006401EB">
        <w:rPr>
          <w:rFonts w:ascii="Times New Roman" w:hAnsi="Times New Roman" w:cs="Times New Roman"/>
          <w:sz w:val="24"/>
          <w:szCs w:val="24"/>
        </w:rPr>
        <w:t xml:space="preserve"> </w:t>
      </w:r>
      <w:r w:rsidR="005619ED" w:rsidRPr="00AE141E">
        <w:rPr>
          <w:rFonts w:ascii="Times New Roman" w:hAnsi="Times New Roman" w:cs="Times New Roman"/>
          <w:sz w:val="24"/>
          <w:szCs w:val="24"/>
        </w:rPr>
        <w:t xml:space="preserve">and a </w:t>
      </w:r>
      <w:r w:rsidR="006401EB">
        <w:rPr>
          <w:rFonts w:ascii="Times New Roman" w:hAnsi="Times New Roman" w:cs="Times New Roman"/>
          <w:sz w:val="24"/>
          <w:szCs w:val="24"/>
        </w:rPr>
        <w:t xml:space="preserve">teacher-led, </w:t>
      </w:r>
      <w:r w:rsidR="005619ED" w:rsidRPr="00AE141E">
        <w:rPr>
          <w:rFonts w:ascii="Times New Roman" w:hAnsi="Times New Roman" w:cs="Times New Roman"/>
          <w:sz w:val="24"/>
          <w:szCs w:val="24"/>
        </w:rPr>
        <w:t xml:space="preserve">national boycott </w:t>
      </w:r>
      <w:r w:rsidR="003105B9" w:rsidRPr="00AE141E">
        <w:rPr>
          <w:rFonts w:ascii="Times New Roman" w:hAnsi="Times New Roman" w:cs="Times New Roman"/>
          <w:sz w:val="24"/>
          <w:szCs w:val="24"/>
        </w:rPr>
        <w:t xml:space="preserve">of standard assessment </w:t>
      </w:r>
      <w:r w:rsidR="006C0589" w:rsidRPr="00AE141E">
        <w:rPr>
          <w:rFonts w:ascii="Times New Roman" w:hAnsi="Times New Roman" w:cs="Times New Roman"/>
          <w:sz w:val="24"/>
          <w:szCs w:val="24"/>
        </w:rPr>
        <w:t>tests</w:t>
      </w:r>
      <w:r w:rsidR="003105B9" w:rsidRPr="00AE141E">
        <w:rPr>
          <w:rFonts w:ascii="Times New Roman" w:hAnsi="Times New Roman" w:cs="Times New Roman"/>
          <w:sz w:val="24"/>
          <w:szCs w:val="24"/>
        </w:rPr>
        <w:t xml:space="preserve"> (SATs</w:t>
      </w:r>
      <w:r w:rsidR="006401EB">
        <w:rPr>
          <w:rFonts w:ascii="Times New Roman" w:hAnsi="Times New Roman" w:cs="Times New Roman"/>
          <w:sz w:val="24"/>
          <w:szCs w:val="24"/>
        </w:rPr>
        <w:t>)</w:t>
      </w:r>
      <w:r w:rsidR="00654737" w:rsidRPr="00AE141E">
        <w:rPr>
          <w:rFonts w:ascii="Times New Roman" w:hAnsi="Times New Roman" w:cs="Times New Roman"/>
          <w:sz w:val="24"/>
          <w:szCs w:val="24"/>
        </w:rPr>
        <w:t>.</w:t>
      </w:r>
      <w:r w:rsidR="003D1CA6">
        <w:rPr>
          <w:rStyle w:val="FootnoteReference"/>
          <w:rFonts w:ascii="Times New Roman" w:hAnsi="Times New Roman" w:cs="Times New Roman"/>
          <w:sz w:val="24"/>
          <w:szCs w:val="24"/>
        </w:rPr>
        <w:footnoteReference w:id="921"/>
      </w:r>
      <w:r w:rsidR="002545B8" w:rsidRPr="00AE141E">
        <w:rPr>
          <w:rFonts w:ascii="Times New Roman" w:hAnsi="Times New Roman" w:cs="Times New Roman"/>
          <w:sz w:val="24"/>
          <w:szCs w:val="24"/>
        </w:rPr>
        <w:t xml:space="preserve"> A new body, the School Curriculum and Assessment Authority (SCAA), was created to</w:t>
      </w:r>
      <w:r w:rsidR="00A62018">
        <w:rPr>
          <w:rFonts w:ascii="Times New Roman" w:hAnsi="Times New Roman" w:cs="Times New Roman"/>
          <w:sz w:val="24"/>
          <w:szCs w:val="24"/>
        </w:rPr>
        <w:t xml:space="preserve"> formulate and</w:t>
      </w:r>
      <w:r w:rsidR="002545B8" w:rsidRPr="00AE141E">
        <w:rPr>
          <w:rFonts w:ascii="Times New Roman" w:hAnsi="Times New Roman" w:cs="Times New Roman"/>
          <w:sz w:val="24"/>
          <w:szCs w:val="24"/>
        </w:rPr>
        <w:t xml:space="preserve"> enact the necessary changes, under the Chair</w:t>
      </w:r>
      <w:r w:rsidR="0088045F" w:rsidRPr="00AE141E">
        <w:rPr>
          <w:rFonts w:ascii="Times New Roman" w:hAnsi="Times New Roman" w:cs="Times New Roman"/>
          <w:sz w:val="24"/>
          <w:szCs w:val="24"/>
        </w:rPr>
        <w:t>manship</w:t>
      </w:r>
      <w:r w:rsidR="002545B8" w:rsidRPr="00AE141E">
        <w:rPr>
          <w:rFonts w:ascii="Times New Roman" w:hAnsi="Times New Roman" w:cs="Times New Roman"/>
          <w:sz w:val="24"/>
          <w:szCs w:val="24"/>
        </w:rPr>
        <w:t xml:space="preserve"> of</w:t>
      </w:r>
      <w:r w:rsidR="00920360" w:rsidRPr="00AE141E">
        <w:rPr>
          <w:rFonts w:ascii="Times New Roman" w:hAnsi="Times New Roman" w:cs="Times New Roman"/>
          <w:sz w:val="24"/>
          <w:szCs w:val="24"/>
        </w:rPr>
        <w:t xml:space="preserve"> Sir Ron Dearing. The announcement of the </w:t>
      </w:r>
      <w:r w:rsidR="0088045F" w:rsidRPr="00AE141E">
        <w:rPr>
          <w:rFonts w:ascii="Times New Roman" w:hAnsi="Times New Roman" w:cs="Times New Roman"/>
          <w:sz w:val="24"/>
          <w:szCs w:val="24"/>
        </w:rPr>
        <w:t>‘</w:t>
      </w:r>
      <w:r w:rsidR="00920360" w:rsidRPr="00AE141E">
        <w:rPr>
          <w:rFonts w:ascii="Times New Roman" w:hAnsi="Times New Roman" w:cs="Times New Roman"/>
          <w:sz w:val="24"/>
          <w:szCs w:val="24"/>
        </w:rPr>
        <w:t>Dearing Review</w:t>
      </w:r>
      <w:r w:rsidR="0088045F" w:rsidRPr="00AE141E">
        <w:rPr>
          <w:rFonts w:ascii="Times New Roman" w:hAnsi="Times New Roman" w:cs="Times New Roman"/>
          <w:sz w:val="24"/>
          <w:szCs w:val="24"/>
        </w:rPr>
        <w:t>’</w:t>
      </w:r>
      <w:r w:rsidR="00920360" w:rsidRPr="00AE141E">
        <w:rPr>
          <w:rFonts w:ascii="Times New Roman" w:hAnsi="Times New Roman" w:cs="Times New Roman"/>
          <w:sz w:val="24"/>
          <w:szCs w:val="24"/>
        </w:rPr>
        <w:t xml:space="preserve"> led the government to postpone the introduction of the National Curriculum Orders for history at K</w:t>
      </w:r>
      <w:r w:rsidR="00A62018">
        <w:rPr>
          <w:rFonts w:ascii="Times New Roman" w:hAnsi="Times New Roman" w:cs="Times New Roman"/>
          <w:sz w:val="24"/>
          <w:szCs w:val="24"/>
        </w:rPr>
        <w:t>S</w:t>
      </w:r>
      <w:r w:rsidR="00920360" w:rsidRPr="00AE141E">
        <w:rPr>
          <w:rFonts w:ascii="Times New Roman" w:hAnsi="Times New Roman" w:cs="Times New Roman"/>
          <w:sz w:val="24"/>
          <w:szCs w:val="24"/>
        </w:rPr>
        <w:t>4.</w:t>
      </w:r>
      <w:r w:rsidR="00D8395E" w:rsidRPr="00AE141E">
        <w:rPr>
          <w:rStyle w:val="FootnoteReference"/>
          <w:rFonts w:ascii="Times New Roman" w:hAnsi="Times New Roman" w:cs="Times New Roman"/>
          <w:sz w:val="24"/>
          <w:szCs w:val="24"/>
        </w:rPr>
        <w:footnoteReference w:id="922"/>
      </w:r>
      <w:r w:rsidR="00920360" w:rsidRPr="00AE141E">
        <w:rPr>
          <w:rFonts w:ascii="Times New Roman" w:hAnsi="Times New Roman" w:cs="Times New Roman"/>
          <w:sz w:val="24"/>
          <w:szCs w:val="24"/>
        </w:rPr>
        <w:t xml:space="preserve"> </w:t>
      </w:r>
      <w:r w:rsidR="00D02EEF" w:rsidRPr="00AE141E">
        <w:rPr>
          <w:rFonts w:ascii="Times New Roman" w:hAnsi="Times New Roman" w:cs="Times New Roman"/>
          <w:sz w:val="24"/>
          <w:szCs w:val="24"/>
        </w:rPr>
        <w:t xml:space="preserve">Dearing would later confirm that post-fourteen students could drop </w:t>
      </w:r>
      <w:r w:rsidR="00D02EEF" w:rsidRPr="00A62018">
        <w:rPr>
          <w:rFonts w:ascii="Times New Roman" w:hAnsi="Times New Roman" w:cs="Times New Roman"/>
          <w:i/>
          <w:iCs/>
          <w:sz w:val="24"/>
          <w:szCs w:val="24"/>
        </w:rPr>
        <w:t>both</w:t>
      </w:r>
      <w:r w:rsidR="00D02EEF" w:rsidRPr="00AE141E">
        <w:rPr>
          <w:rFonts w:ascii="Times New Roman" w:hAnsi="Times New Roman" w:cs="Times New Roman"/>
          <w:sz w:val="24"/>
          <w:szCs w:val="24"/>
        </w:rPr>
        <w:t xml:space="preserve"> history and geography</w:t>
      </w:r>
      <w:r w:rsidR="000E7DD7" w:rsidRPr="00AE141E">
        <w:rPr>
          <w:rFonts w:ascii="Times New Roman" w:hAnsi="Times New Roman" w:cs="Times New Roman"/>
          <w:sz w:val="24"/>
          <w:szCs w:val="24"/>
        </w:rPr>
        <w:t>.</w:t>
      </w:r>
      <w:r w:rsidR="00D74456" w:rsidRPr="00AE141E">
        <w:rPr>
          <w:rFonts w:ascii="Times New Roman" w:hAnsi="Times New Roman" w:cs="Times New Roman"/>
          <w:sz w:val="24"/>
          <w:szCs w:val="24"/>
        </w:rPr>
        <w:t xml:space="preserve"> </w:t>
      </w:r>
      <w:r w:rsidR="001E5661" w:rsidRPr="00AE141E">
        <w:rPr>
          <w:rFonts w:ascii="Times New Roman" w:hAnsi="Times New Roman" w:cs="Times New Roman"/>
          <w:sz w:val="24"/>
          <w:szCs w:val="24"/>
        </w:rPr>
        <w:t xml:space="preserve">As before, GCSE examining boards </w:t>
      </w:r>
      <w:r w:rsidR="00F10C3A" w:rsidRPr="00AE141E">
        <w:rPr>
          <w:rFonts w:ascii="Times New Roman" w:hAnsi="Times New Roman" w:cs="Times New Roman"/>
          <w:sz w:val="24"/>
          <w:szCs w:val="24"/>
        </w:rPr>
        <w:t>were</w:t>
      </w:r>
      <w:r w:rsidR="001E5661" w:rsidRPr="00AE141E">
        <w:rPr>
          <w:rFonts w:ascii="Times New Roman" w:hAnsi="Times New Roman" w:cs="Times New Roman"/>
          <w:sz w:val="24"/>
          <w:szCs w:val="24"/>
        </w:rPr>
        <w:t xml:space="preserve"> free to set the framework and content of their own syllab</w:t>
      </w:r>
      <w:r w:rsidR="003C569E" w:rsidRPr="00AE141E">
        <w:rPr>
          <w:rFonts w:ascii="Times New Roman" w:hAnsi="Times New Roman" w:cs="Times New Roman"/>
          <w:sz w:val="24"/>
          <w:szCs w:val="24"/>
        </w:rPr>
        <w:t>i within certain</w:t>
      </w:r>
      <w:r w:rsidR="00C82CBD" w:rsidRPr="00AE141E">
        <w:rPr>
          <w:rFonts w:ascii="Times New Roman" w:hAnsi="Times New Roman" w:cs="Times New Roman"/>
          <w:sz w:val="24"/>
          <w:szCs w:val="24"/>
        </w:rPr>
        <w:t xml:space="preserve"> broad criteria</w:t>
      </w:r>
      <w:r w:rsidR="001E5661" w:rsidRPr="00AE141E">
        <w:rPr>
          <w:rFonts w:ascii="Times New Roman" w:hAnsi="Times New Roman" w:cs="Times New Roman"/>
          <w:sz w:val="24"/>
          <w:szCs w:val="24"/>
        </w:rPr>
        <w:t>.</w:t>
      </w:r>
      <w:r w:rsidR="00F10C3A" w:rsidRPr="00AE141E">
        <w:rPr>
          <w:rStyle w:val="FootnoteReference"/>
          <w:rFonts w:ascii="Times New Roman" w:hAnsi="Times New Roman" w:cs="Times New Roman"/>
          <w:sz w:val="24"/>
          <w:szCs w:val="24"/>
        </w:rPr>
        <w:footnoteReference w:id="923"/>
      </w:r>
    </w:p>
    <w:p w14:paraId="4632B48F" w14:textId="549135D0" w:rsidR="00882139" w:rsidRDefault="00D7445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Dearing focused on two </w:t>
      </w:r>
      <w:r w:rsidR="003F1927" w:rsidRPr="00AE141E">
        <w:rPr>
          <w:rFonts w:ascii="Times New Roman" w:hAnsi="Times New Roman" w:cs="Times New Roman"/>
          <w:sz w:val="24"/>
          <w:szCs w:val="24"/>
        </w:rPr>
        <w:t>aspects of the curriculum: reforming assessment and</w:t>
      </w:r>
      <w:r w:rsidRPr="00AE141E">
        <w:rPr>
          <w:rFonts w:ascii="Times New Roman" w:hAnsi="Times New Roman" w:cs="Times New Roman"/>
          <w:sz w:val="24"/>
          <w:szCs w:val="24"/>
        </w:rPr>
        <w:t xml:space="preserve"> slimming down and cutting content</w:t>
      </w:r>
      <w:r w:rsidR="003F1927" w:rsidRPr="00AE141E">
        <w:rPr>
          <w:rFonts w:ascii="Times New Roman" w:hAnsi="Times New Roman" w:cs="Times New Roman"/>
          <w:sz w:val="24"/>
          <w:szCs w:val="24"/>
        </w:rPr>
        <w:t xml:space="preserve">. SATs </w:t>
      </w:r>
      <w:r w:rsidR="00DA7B05">
        <w:rPr>
          <w:rFonts w:ascii="Times New Roman" w:hAnsi="Times New Roman" w:cs="Times New Roman"/>
          <w:sz w:val="24"/>
          <w:szCs w:val="24"/>
        </w:rPr>
        <w:t>were</w:t>
      </w:r>
      <w:r w:rsidR="003F1927" w:rsidRPr="00AE141E">
        <w:rPr>
          <w:rFonts w:ascii="Times New Roman" w:hAnsi="Times New Roman" w:cs="Times New Roman"/>
          <w:sz w:val="24"/>
          <w:szCs w:val="24"/>
        </w:rPr>
        <w:t xml:space="preserve"> henceforth to apply exclusively to</w:t>
      </w:r>
      <w:r w:rsidR="00DA7B05">
        <w:rPr>
          <w:rFonts w:ascii="Times New Roman" w:hAnsi="Times New Roman" w:cs="Times New Roman"/>
          <w:sz w:val="24"/>
          <w:szCs w:val="24"/>
        </w:rPr>
        <w:t xml:space="preserve"> the Core subjects of</w:t>
      </w:r>
      <w:r w:rsidR="003F1927" w:rsidRPr="00AE141E">
        <w:rPr>
          <w:rFonts w:ascii="Times New Roman" w:hAnsi="Times New Roman" w:cs="Times New Roman"/>
          <w:sz w:val="24"/>
          <w:szCs w:val="24"/>
        </w:rPr>
        <w:t xml:space="preserve"> English, </w:t>
      </w:r>
      <w:r w:rsidR="00E661AF">
        <w:rPr>
          <w:rFonts w:ascii="Times New Roman" w:hAnsi="Times New Roman" w:cs="Times New Roman"/>
          <w:sz w:val="24"/>
          <w:szCs w:val="24"/>
        </w:rPr>
        <w:t>m</w:t>
      </w:r>
      <w:r w:rsidR="003F1927" w:rsidRPr="00AE141E">
        <w:rPr>
          <w:rFonts w:ascii="Times New Roman" w:hAnsi="Times New Roman" w:cs="Times New Roman"/>
          <w:sz w:val="24"/>
          <w:szCs w:val="24"/>
        </w:rPr>
        <w:t xml:space="preserve">aths, and </w:t>
      </w:r>
      <w:r w:rsidR="00E661AF">
        <w:rPr>
          <w:rFonts w:ascii="Times New Roman" w:hAnsi="Times New Roman" w:cs="Times New Roman"/>
          <w:sz w:val="24"/>
          <w:szCs w:val="24"/>
        </w:rPr>
        <w:t>s</w:t>
      </w:r>
      <w:r w:rsidR="003F1927" w:rsidRPr="00AE141E">
        <w:rPr>
          <w:rFonts w:ascii="Times New Roman" w:hAnsi="Times New Roman" w:cs="Times New Roman"/>
          <w:sz w:val="24"/>
          <w:szCs w:val="24"/>
        </w:rPr>
        <w:t>cience.</w:t>
      </w:r>
      <w:r w:rsidR="00BE12E9" w:rsidRPr="00AE141E">
        <w:rPr>
          <w:rStyle w:val="FootnoteReference"/>
          <w:rFonts w:ascii="Times New Roman" w:hAnsi="Times New Roman" w:cs="Times New Roman"/>
          <w:sz w:val="24"/>
          <w:szCs w:val="24"/>
        </w:rPr>
        <w:footnoteReference w:id="924"/>
      </w:r>
      <w:r w:rsidR="003F1927" w:rsidRPr="00AE141E">
        <w:rPr>
          <w:rFonts w:ascii="Times New Roman" w:hAnsi="Times New Roman" w:cs="Times New Roman"/>
          <w:sz w:val="24"/>
          <w:szCs w:val="24"/>
        </w:rPr>
        <w:t xml:space="preserve"> </w:t>
      </w:r>
      <w:r w:rsidR="00357A53" w:rsidRPr="00AE141E">
        <w:rPr>
          <w:rFonts w:ascii="Times New Roman" w:hAnsi="Times New Roman" w:cs="Times New Roman"/>
          <w:sz w:val="24"/>
          <w:szCs w:val="24"/>
        </w:rPr>
        <w:t>Curricula</w:t>
      </w:r>
      <w:r w:rsidR="00DA7B05">
        <w:rPr>
          <w:rFonts w:ascii="Times New Roman" w:hAnsi="Times New Roman" w:cs="Times New Roman"/>
          <w:sz w:val="24"/>
          <w:szCs w:val="24"/>
        </w:rPr>
        <w:t xml:space="preserve"> </w:t>
      </w:r>
      <w:r w:rsidR="00BB27B5" w:rsidRPr="00AE141E">
        <w:rPr>
          <w:rFonts w:ascii="Times New Roman" w:hAnsi="Times New Roman" w:cs="Times New Roman"/>
          <w:sz w:val="24"/>
          <w:szCs w:val="24"/>
        </w:rPr>
        <w:t xml:space="preserve">again became less detailed and less prescriptive. </w:t>
      </w:r>
      <w:r w:rsidR="004F3A7B" w:rsidRPr="00AE141E">
        <w:rPr>
          <w:rFonts w:ascii="Times New Roman" w:hAnsi="Times New Roman" w:cs="Times New Roman"/>
          <w:sz w:val="24"/>
          <w:szCs w:val="24"/>
        </w:rPr>
        <w:t>The History Advisory Group (HAG) was the</w:t>
      </w:r>
      <w:r w:rsidR="00A51B1A" w:rsidRPr="00AE141E">
        <w:rPr>
          <w:rFonts w:ascii="Times New Roman" w:hAnsi="Times New Roman" w:cs="Times New Roman"/>
          <w:sz w:val="24"/>
          <w:szCs w:val="24"/>
        </w:rPr>
        <w:t xml:space="preserve"> </w:t>
      </w:r>
      <w:r w:rsidR="00D12821" w:rsidRPr="00AE141E">
        <w:rPr>
          <w:rFonts w:ascii="Times New Roman" w:hAnsi="Times New Roman" w:cs="Times New Roman"/>
          <w:sz w:val="24"/>
          <w:szCs w:val="24"/>
        </w:rPr>
        <w:t>body charged with reviewing the history curriculum</w:t>
      </w:r>
      <w:r w:rsidR="004F3A7B" w:rsidRPr="00AE141E">
        <w:rPr>
          <w:rFonts w:ascii="Times New Roman" w:hAnsi="Times New Roman" w:cs="Times New Roman"/>
          <w:sz w:val="24"/>
          <w:szCs w:val="24"/>
        </w:rPr>
        <w:t xml:space="preserve"> and reporting back to</w:t>
      </w:r>
      <w:r w:rsidR="002545B8" w:rsidRPr="00AE141E">
        <w:rPr>
          <w:rFonts w:ascii="Times New Roman" w:hAnsi="Times New Roman" w:cs="Times New Roman"/>
          <w:sz w:val="24"/>
          <w:szCs w:val="24"/>
        </w:rPr>
        <w:t xml:space="preserve"> the</w:t>
      </w:r>
      <w:r w:rsidR="004F3A7B" w:rsidRPr="00AE141E">
        <w:rPr>
          <w:rFonts w:ascii="Times New Roman" w:hAnsi="Times New Roman" w:cs="Times New Roman"/>
          <w:sz w:val="24"/>
          <w:szCs w:val="24"/>
        </w:rPr>
        <w:t xml:space="preserve"> </w:t>
      </w:r>
      <w:r w:rsidR="002545B8" w:rsidRPr="00AE141E">
        <w:rPr>
          <w:rFonts w:ascii="Times New Roman" w:hAnsi="Times New Roman" w:cs="Times New Roman"/>
          <w:sz w:val="24"/>
          <w:szCs w:val="24"/>
        </w:rPr>
        <w:t>SCAA</w:t>
      </w:r>
      <w:r w:rsidR="004F3A7B" w:rsidRPr="00AE141E">
        <w:rPr>
          <w:rFonts w:ascii="Times New Roman" w:hAnsi="Times New Roman" w:cs="Times New Roman"/>
          <w:sz w:val="24"/>
          <w:szCs w:val="24"/>
        </w:rPr>
        <w:t>. HAG</w:t>
      </w:r>
      <w:r w:rsidR="00D12821" w:rsidRPr="00AE141E">
        <w:rPr>
          <w:rFonts w:ascii="Times New Roman" w:hAnsi="Times New Roman" w:cs="Times New Roman"/>
          <w:sz w:val="24"/>
          <w:szCs w:val="24"/>
        </w:rPr>
        <w:t>,</w:t>
      </w:r>
      <w:r w:rsidR="004F3A7B" w:rsidRPr="00AE141E">
        <w:rPr>
          <w:rFonts w:ascii="Times New Roman" w:hAnsi="Times New Roman" w:cs="Times New Roman"/>
          <w:sz w:val="24"/>
          <w:szCs w:val="24"/>
        </w:rPr>
        <w:t xml:space="preserve"> like the HWG before it,</w:t>
      </w:r>
      <w:r w:rsidR="00C27C9D" w:rsidRPr="00AE141E">
        <w:rPr>
          <w:rFonts w:ascii="Times New Roman" w:hAnsi="Times New Roman" w:cs="Times New Roman"/>
          <w:sz w:val="24"/>
          <w:szCs w:val="24"/>
        </w:rPr>
        <w:t xml:space="preserve"> </w:t>
      </w:r>
      <w:r w:rsidR="006532A6">
        <w:rPr>
          <w:rFonts w:ascii="Times New Roman" w:hAnsi="Times New Roman" w:cs="Times New Roman"/>
          <w:sz w:val="24"/>
          <w:szCs w:val="24"/>
        </w:rPr>
        <w:t xml:space="preserve">was bound by the need to produce a document acceptable to the government of the day. </w:t>
      </w:r>
      <w:r w:rsidR="00DF2F09">
        <w:rPr>
          <w:rFonts w:ascii="Times New Roman" w:hAnsi="Times New Roman" w:cs="Times New Roman"/>
          <w:sz w:val="24"/>
          <w:szCs w:val="24"/>
        </w:rPr>
        <w:t>Thus,</w:t>
      </w:r>
      <w:r w:rsidR="005313C0" w:rsidRPr="00AE141E">
        <w:rPr>
          <w:rFonts w:ascii="Times New Roman" w:hAnsi="Times New Roman" w:cs="Times New Roman"/>
          <w:sz w:val="24"/>
          <w:szCs w:val="24"/>
        </w:rPr>
        <w:t xml:space="preserve"> </w:t>
      </w:r>
      <w:r w:rsidR="0013624A">
        <w:rPr>
          <w:rFonts w:ascii="Times New Roman" w:hAnsi="Times New Roman" w:cs="Times New Roman"/>
          <w:sz w:val="24"/>
          <w:szCs w:val="24"/>
        </w:rPr>
        <w:t>HA</w:t>
      </w:r>
      <w:r w:rsidR="00DF2F09">
        <w:rPr>
          <w:rFonts w:ascii="Times New Roman" w:hAnsi="Times New Roman" w:cs="Times New Roman"/>
          <w:sz w:val="24"/>
          <w:szCs w:val="24"/>
        </w:rPr>
        <w:t>G</w:t>
      </w:r>
      <w:r w:rsidR="005313C0" w:rsidRPr="00AE141E">
        <w:rPr>
          <w:rFonts w:ascii="Times New Roman" w:hAnsi="Times New Roman" w:cs="Times New Roman"/>
          <w:sz w:val="24"/>
          <w:szCs w:val="24"/>
        </w:rPr>
        <w:t xml:space="preserve"> </w:t>
      </w:r>
      <w:r w:rsidR="00DF2F09">
        <w:rPr>
          <w:rFonts w:ascii="Times New Roman" w:hAnsi="Times New Roman" w:cs="Times New Roman"/>
          <w:sz w:val="24"/>
          <w:szCs w:val="24"/>
        </w:rPr>
        <w:t>identified areas of ‘non-British history’ as the ‘main targets for cuts’</w:t>
      </w:r>
      <w:r w:rsidR="00F07241" w:rsidRPr="00AE141E">
        <w:rPr>
          <w:rFonts w:ascii="Times New Roman" w:hAnsi="Times New Roman" w:cs="Times New Roman"/>
          <w:sz w:val="24"/>
          <w:szCs w:val="24"/>
        </w:rPr>
        <w:t>.</w:t>
      </w:r>
      <w:r w:rsidR="00020887" w:rsidRPr="00AE141E">
        <w:rPr>
          <w:rStyle w:val="FootnoteReference"/>
          <w:rFonts w:ascii="Times New Roman" w:hAnsi="Times New Roman" w:cs="Times New Roman"/>
          <w:sz w:val="24"/>
          <w:szCs w:val="24"/>
        </w:rPr>
        <w:footnoteReference w:id="925"/>
      </w:r>
      <w:r w:rsidR="001A16E9" w:rsidRPr="00AE141E">
        <w:rPr>
          <w:rFonts w:ascii="Times New Roman" w:hAnsi="Times New Roman" w:cs="Times New Roman"/>
          <w:sz w:val="24"/>
          <w:szCs w:val="24"/>
        </w:rPr>
        <w:t xml:space="preserve"> The result was a curriculum </w:t>
      </w:r>
      <w:r w:rsidR="001A16E9" w:rsidRPr="00AE141E">
        <w:rPr>
          <w:rFonts w:ascii="Times New Roman" w:hAnsi="Times New Roman" w:cs="Times New Roman"/>
          <w:sz w:val="24"/>
          <w:szCs w:val="24"/>
        </w:rPr>
        <w:lastRenderedPageBreak/>
        <w:t xml:space="preserve">which was between two thirds and three quarters </w:t>
      </w:r>
      <w:r w:rsidR="00572DB2" w:rsidRPr="00AE141E">
        <w:rPr>
          <w:rFonts w:ascii="Times New Roman" w:hAnsi="Times New Roman" w:cs="Times New Roman"/>
          <w:sz w:val="24"/>
          <w:szCs w:val="24"/>
        </w:rPr>
        <w:t>British in focus.</w:t>
      </w:r>
      <w:r w:rsidR="00386F2B" w:rsidRPr="00AE141E">
        <w:rPr>
          <w:rStyle w:val="FootnoteReference"/>
          <w:rFonts w:ascii="Times New Roman" w:hAnsi="Times New Roman" w:cs="Times New Roman"/>
          <w:sz w:val="24"/>
          <w:szCs w:val="24"/>
        </w:rPr>
        <w:footnoteReference w:id="926"/>
      </w:r>
      <w:r w:rsidR="00572DB2" w:rsidRPr="00AE141E">
        <w:rPr>
          <w:rFonts w:ascii="Times New Roman" w:hAnsi="Times New Roman" w:cs="Times New Roman"/>
          <w:sz w:val="24"/>
          <w:szCs w:val="24"/>
        </w:rPr>
        <w:t xml:space="preserve"> </w:t>
      </w:r>
      <w:r w:rsidR="00C232F1">
        <w:rPr>
          <w:rFonts w:ascii="Times New Roman" w:hAnsi="Times New Roman" w:cs="Times New Roman"/>
          <w:sz w:val="24"/>
          <w:szCs w:val="24"/>
        </w:rPr>
        <w:t>These changes focused mainly on primary education</w:t>
      </w:r>
      <w:r w:rsidR="00882139">
        <w:rPr>
          <w:rFonts w:ascii="Times New Roman" w:hAnsi="Times New Roman" w:cs="Times New Roman"/>
          <w:sz w:val="24"/>
          <w:szCs w:val="24"/>
        </w:rPr>
        <w:t>; a</w:t>
      </w:r>
      <w:r w:rsidR="00CD058A" w:rsidRPr="00AE141E">
        <w:rPr>
          <w:rFonts w:ascii="Times New Roman" w:hAnsi="Times New Roman" w:cs="Times New Roman"/>
          <w:sz w:val="24"/>
          <w:szCs w:val="24"/>
        </w:rPr>
        <w:t>t KS3</w:t>
      </w:r>
      <w:r w:rsidR="00E46731" w:rsidRPr="00AE141E">
        <w:rPr>
          <w:rFonts w:ascii="Times New Roman" w:hAnsi="Times New Roman" w:cs="Times New Roman"/>
          <w:sz w:val="24"/>
          <w:szCs w:val="24"/>
        </w:rPr>
        <w:t>, the balance</w:t>
      </w:r>
      <w:r w:rsidR="007B0375">
        <w:rPr>
          <w:rFonts w:ascii="Times New Roman" w:hAnsi="Times New Roman" w:cs="Times New Roman"/>
          <w:sz w:val="24"/>
          <w:szCs w:val="24"/>
        </w:rPr>
        <w:t xml:space="preserve"> between British and world history</w:t>
      </w:r>
      <w:r w:rsidR="00E46731" w:rsidRPr="00AE141E">
        <w:rPr>
          <w:rFonts w:ascii="Times New Roman" w:hAnsi="Times New Roman" w:cs="Times New Roman"/>
          <w:sz w:val="24"/>
          <w:szCs w:val="24"/>
        </w:rPr>
        <w:t xml:space="preserve"> remaine</w:t>
      </w:r>
      <w:r w:rsidR="00863218" w:rsidRPr="00AE141E">
        <w:rPr>
          <w:rFonts w:ascii="Times New Roman" w:hAnsi="Times New Roman" w:cs="Times New Roman"/>
          <w:sz w:val="24"/>
          <w:szCs w:val="24"/>
        </w:rPr>
        <w:t>d roughly the same as it had been in 1991.</w:t>
      </w:r>
      <w:r w:rsidR="00CD058A" w:rsidRPr="00AE141E">
        <w:rPr>
          <w:rFonts w:ascii="Times New Roman" w:hAnsi="Times New Roman" w:cs="Times New Roman"/>
          <w:sz w:val="24"/>
          <w:szCs w:val="24"/>
        </w:rPr>
        <w:t xml:space="preserve"> </w:t>
      </w:r>
    </w:p>
    <w:p w14:paraId="4163B7A4" w14:textId="6CDA16F2" w:rsidR="00EE7755" w:rsidRDefault="007B0375" w:rsidP="00AE141E">
      <w:pPr>
        <w:spacing w:line="360" w:lineRule="auto"/>
        <w:rPr>
          <w:rFonts w:ascii="Times New Roman" w:hAnsi="Times New Roman" w:cs="Times New Roman"/>
          <w:sz w:val="24"/>
          <w:szCs w:val="24"/>
        </w:rPr>
      </w:pPr>
      <w:r>
        <w:rPr>
          <w:rFonts w:ascii="Times New Roman" w:hAnsi="Times New Roman" w:cs="Times New Roman"/>
          <w:sz w:val="24"/>
          <w:szCs w:val="24"/>
        </w:rPr>
        <w:t xml:space="preserve">Nevertheless, there were important </w:t>
      </w:r>
      <w:r w:rsidR="003E71E5">
        <w:rPr>
          <w:rFonts w:ascii="Times New Roman" w:hAnsi="Times New Roman" w:cs="Times New Roman"/>
          <w:sz w:val="24"/>
          <w:szCs w:val="24"/>
        </w:rPr>
        <w:t>revisions</w:t>
      </w:r>
      <w:r>
        <w:rPr>
          <w:rFonts w:ascii="Times New Roman" w:hAnsi="Times New Roman" w:cs="Times New Roman"/>
          <w:sz w:val="24"/>
          <w:szCs w:val="24"/>
        </w:rPr>
        <w:t xml:space="preserve"> in emphasis. </w:t>
      </w:r>
      <w:r w:rsidR="00882139">
        <w:rPr>
          <w:rFonts w:ascii="Times New Roman" w:hAnsi="Times New Roman" w:cs="Times New Roman"/>
          <w:sz w:val="24"/>
          <w:szCs w:val="24"/>
        </w:rPr>
        <w:t>At KS3, p</w:t>
      </w:r>
      <w:r w:rsidR="00461AFD" w:rsidRPr="00AE141E">
        <w:rPr>
          <w:rFonts w:ascii="Times New Roman" w:hAnsi="Times New Roman" w:cs="Times New Roman"/>
          <w:sz w:val="24"/>
          <w:szCs w:val="24"/>
        </w:rPr>
        <w:t>upils would now study four, rather than five Core Units</w:t>
      </w:r>
      <w:r w:rsidR="004E6BF4" w:rsidRPr="00AE141E">
        <w:rPr>
          <w:rFonts w:ascii="Times New Roman" w:hAnsi="Times New Roman" w:cs="Times New Roman"/>
          <w:sz w:val="24"/>
          <w:szCs w:val="24"/>
        </w:rPr>
        <w:t xml:space="preserve">: </w:t>
      </w:r>
      <w:r w:rsidR="00F311BA" w:rsidRPr="00AE141E">
        <w:rPr>
          <w:rFonts w:ascii="Times New Roman" w:hAnsi="Times New Roman" w:cs="Times New Roman"/>
          <w:sz w:val="24"/>
          <w:szCs w:val="24"/>
        </w:rPr>
        <w:t>‘The</w:t>
      </w:r>
      <w:r w:rsidR="004E6BF4" w:rsidRPr="00AE141E">
        <w:rPr>
          <w:rFonts w:ascii="Times New Roman" w:hAnsi="Times New Roman" w:cs="Times New Roman"/>
          <w:sz w:val="24"/>
          <w:szCs w:val="24"/>
        </w:rPr>
        <w:t xml:space="preserve"> Roman Empire</w:t>
      </w:r>
      <w:r w:rsidR="00F311BA" w:rsidRPr="00AE141E">
        <w:rPr>
          <w:rFonts w:ascii="Times New Roman" w:hAnsi="Times New Roman" w:cs="Times New Roman"/>
          <w:sz w:val="24"/>
          <w:szCs w:val="24"/>
        </w:rPr>
        <w:t>’</w:t>
      </w:r>
      <w:r w:rsidR="00D80577">
        <w:rPr>
          <w:rFonts w:ascii="Times New Roman" w:hAnsi="Times New Roman" w:cs="Times New Roman"/>
          <w:sz w:val="24"/>
          <w:szCs w:val="24"/>
        </w:rPr>
        <w:t>, a holdover from Baker’s initial guidance to the HWG,</w:t>
      </w:r>
      <w:r w:rsidR="004E6BF4" w:rsidRPr="00AE141E">
        <w:rPr>
          <w:rFonts w:ascii="Times New Roman" w:hAnsi="Times New Roman" w:cs="Times New Roman"/>
          <w:sz w:val="24"/>
          <w:szCs w:val="24"/>
        </w:rPr>
        <w:t xml:space="preserve"> was removed entirely</w:t>
      </w:r>
      <w:r w:rsidR="00D80577">
        <w:rPr>
          <w:rFonts w:ascii="Times New Roman" w:hAnsi="Times New Roman" w:cs="Times New Roman"/>
          <w:sz w:val="24"/>
          <w:szCs w:val="24"/>
        </w:rPr>
        <w:t>.</w:t>
      </w:r>
      <w:r>
        <w:rPr>
          <w:rStyle w:val="FootnoteReference"/>
          <w:rFonts w:ascii="Times New Roman" w:hAnsi="Times New Roman" w:cs="Times New Roman"/>
          <w:sz w:val="24"/>
          <w:szCs w:val="24"/>
        </w:rPr>
        <w:footnoteReference w:id="927"/>
      </w:r>
      <w:r w:rsidR="00D80577">
        <w:rPr>
          <w:rFonts w:ascii="Times New Roman" w:hAnsi="Times New Roman" w:cs="Times New Roman"/>
          <w:sz w:val="24"/>
          <w:szCs w:val="24"/>
        </w:rPr>
        <w:t xml:space="preserve"> T</w:t>
      </w:r>
      <w:r w:rsidR="004E6BF4" w:rsidRPr="00AE141E">
        <w:rPr>
          <w:rFonts w:ascii="Times New Roman" w:hAnsi="Times New Roman" w:cs="Times New Roman"/>
          <w:sz w:val="24"/>
          <w:szCs w:val="24"/>
        </w:rPr>
        <w:t xml:space="preserve">he list of </w:t>
      </w:r>
      <w:r w:rsidR="00F311BA" w:rsidRPr="00AE141E">
        <w:rPr>
          <w:rFonts w:ascii="Times New Roman" w:hAnsi="Times New Roman" w:cs="Times New Roman"/>
          <w:sz w:val="24"/>
          <w:szCs w:val="24"/>
        </w:rPr>
        <w:t xml:space="preserve">content for other modules was </w:t>
      </w:r>
      <w:r w:rsidR="00192264" w:rsidRPr="00AE141E">
        <w:rPr>
          <w:rFonts w:ascii="Times New Roman" w:hAnsi="Times New Roman" w:cs="Times New Roman"/>
          <w:sz w:val="24"/>
          <w:szCs w:val="24"/>
        </w:rPr>
        <w:t xml:space="preserve">narrowed, sometimes with an attendant change of </w:t>
      </w:r>
      <w:r w:rsidR="00314EFB">
        <w:rPr>
          <w:rFonts w:ascii="Times New Roman" w:hAnsi="Times New Roman" w:cs="Times New Roman"/>
          <w:sz w:val="24"/>
          <w:szCs w:val="24"/>
        </w:rPr>
        <w:t>focus. Most importantly for our purpose,</w:t>
      </w:r>
      <w:r w:rsidR="00192264" w:rsidRPr="00AE141E">
        <w:rPr>
          <w:rFonts w:ascii="Times New Roman" w:hAnsi="Times New Roman" w:cs="Times New Roman"/>
          <w:sz w:val="24"/>
          <w:szCs w:val="24"/>
        </w:rPr>
        <w:t xml:space="preserve"> </w:t>
      </w:r>
      <w:r w:rsidR="006532A6">
        <w:rPr>
          <w:rFonts w:ascii="Times New Roman" w:hAnsi="Times New Roman" w:cs="Times New Roman"/>
          <w:sz w:val="24"/>
          <w:szCs w:val="24"/>
        </w:rPr>
        <w:t>‘</w:t>
      </w:r>
      <w:r w:rsidR="00192264" w:rsidRPr="00AE141E">
        <w:rPr>
          <w:rFonts w:ascii="Times New Roman" w:hAnsi="Times New Roman" w:cs="Times New Roman"/>
          <w:sz w:val="24"/>
          <w:szCs w:val="24"/>
        </w:rPr>
        <w:t>Expansion, Trade and Industry: Britain 1750 to 1900</w:t>
      </w:r>
      <w:r w:rsidR="006532A6">
        <w:rPr>
          <w:rFonts w:ascii="Times New Roman" w:hAnsi="Times New Roman" w:cs="Times New Roman"/>
          <w:sz w:val="24"/>
          <w:szCs w:val="24"/>
        </w:rPr>
        <w:t xml:space="preserve">’ </w:t>
      </w:r>
      <w:r w:rsidR="00BC3BC0">
        <w:rPr>
          <w:rFonts w:ascii="Times New Roman" w:hAnsi="Times New Roman" w:cs="Times New Roman"/>
          <w:sz w:val="24"/>
          <w:szCs w:val="24"/>
        </w:rPr>
        <w:t xml:space="preserve">was shorn of much of its specified content and </w:t>
      </w:r>
      <w:r w:rsidR="00D07800">
        <w:rPr>
          <w:rFonts w:ascii="Times New Roman" w:hAnsi="Times New Roman" w:cs="Times New Roman"/>
          <w:sz w:val="24"/>
          <w:szCs w:val="24"/>
        </w:rPr>
        <w:t>redesignated as</w:t>
      </w:r>
      <w:r w:rsidR="00192264" w:rsidRPr="00AE141E">
        <w:rPr>
          <w:rFonts w:ascii="Times New Roman" w:hAnsi="Times New Roman" w:cs="Times New Roman"/>
          <w:sz w:val="24"/>
          <w:szCs w:val="24"/>
        </w:rPr>
        <w:t xml:space="preserve"> </w:t>
      </w:r>
      <w:r w:rsidR="006532A6">
        <w:rPr>
          <w:rFonts w:ascii="Times New Roman" w:hAnsi="Times New Roman" w:cs="Times New Roman"/>
          <w:sz w:val="24"/>
          <w:szCs w:val="24"/>
        </w:rPr>
        <w:t>‘</w:t>
      </w:r>
      <w:r w:rsidR="00192264" w:rsidRPr="00AE141E">
        <w:rPr>
          <w:rFonts w:ascii="Times New Roman" w:hAnsi="Times New Roman" w:cs="Times New Roman"/>
          <w:sz w:val="24"/>
          <w:szCs w:val="24"/>
        </w:rPr>
        <w:t>Britain 1750 to circa 1900</w:t>
      </w:r>
      <w:r w:rsidR="006532A6">
        <w:rPr>
          <w:rFonts w:ascii="Times New Roman" w:hAnsi="Times New Roman" w:cs="Times New Roman"/>
          <w:sz w:val="24"/>
          <w:szCs w:val="24"/>
        </w:rPr>
        <w:t>’</w:t>
      </w:r>
      <w:r w:rsidR="00236A9C" w:rsidRPr="00AE141E">
        <w:rPr>
          <w:rFonts w:ascii="Times New Roman" w:hAnsi="Times New Roman" w:cs="Times New Roman"/>
          <w:sz w:val="24"/>
          <w:szCs w:val="24"/>
        </w:rPr>
        <w:t>.</w:t>
      </w:r>
      <w:r w:rsidR="00A62A6E" w:rsidRPr="00AE141E">
        <w:rPr>
          <w:rStyle w:val="FootnoteReference"/>
          <w:rFonts w:ascii="Times New Roman" w:hAnsi="Times New Roman" w:cs="Times New Roman"/>
          <w:sz w:val="24"/>
          <w:szCs w:val="24"/>
        </w:rPr>
        <w:footnoteReference w:id="928"/>
      </w:r>
      <w:r w:rsidR="00236A9C" w:rsidRPr="00AE141E">
        <w:rPr>
          <w:rFonts w:ascii="Times New Roman" w:hAnsi="Times New Roman" w:cs="Times New Roman"/>
          <w:sz w:val="24"/>
          <w:szCs w:val="24"/>
        </w:rPr>
        <w:t xml:space="preserve"> </w:t>
      </w:r>
      <w:r w:rsidR="00192264" w:rsidRPr="00AE141E">
        <w:rPr>
          <w:rFonts w:ascii="Times New Roman" w:hAnsi="Times New Roman" w:cs="Times New Roman"/>
          <w:sz w:val="24"/>
          <w:szCs w:val="24"/>
        </w:rPr>
        <w:t xml:space="preserve"> </w:t>
      </w:r>
      <w:r w:rsidR="008806B8">
        <w:rPr>
          <w:rFonts w:ascii="Times New Roman" w:hAnsi="Times New Roman" w:cs="Times New Roman"/>
          <w:sz w:val="24"/>
          <w:szCs w:val="24"/>
        </w:rPr>
        <w:t xml:space="preserve">Surprisingly, </w:t>
      </w:r>
      <w:r w:rsidR="00ED332A">
        <w:rPr>
          <w:rFonts w:ascii="Times New Roman" w:hAnsi="Times New Roman" w:cs="Times New Roman"/>
          <w:sz w:val="24"/>
          <w:szCs w:val="24"/>
        </w:rPr>
        <w:t xml:space="preserve">only </w:t>
      </w:r>
      <w:r w:rsidR="008806B8">
        <w:rPr>
          <w:rFonts w:ascii="Times New Roman" w:hAnsi="Times New Roman" w:cs="Times New Roman"/>
          <w:sz w:val="24"/>
          <w:szCs w:val="24"/>
        </w:rPr>
        <w:t>the Supplementary Unit designed to extend the study of British history was cut</w:t>
      </w:r>
      <w:r w:rsidR="00ED332A">
        <w:rPr>
          <w:rFonts w:ascii="Times New Roman" w:hAnsi="Times New Roman" w:cs="Times New Roman"/>
          <w:sz w:val="24"/>
          <w:szCs w:val="24"/>
        </w:rPr>
        <w:t xml:space="preserve">; the </w:t>
      </w:r>
      <w:r w:rsidR="00461AFD" w:rsidRPr="00AE141E">
        <w:rPr>
          <w:rFonts w:ascii="Times New Roman" w:hAnsi="Times New Roman" w:cs="Times New Roman"/>
          <w:sz w:val="24"/>
          <w:szCs w:val="24"/>
        </w:rPr>
        <w:t>study of a past non-European society</w:t>
      </w:r>
      <w:r w:rsidR="001B6AF9">
        <w:rPr>
          <w:rFonts w:ascii="Times New Roman" w:hAnsi="Times New Roman" w:cs="Times New Roman"/>
          <w:sz w:val="24"/>
          <w:szCs w:val="24"/>
        </w:rPr>
        <w:t xml:space="preserve"> remained intact, but</w:t>
      </w:r>
      <w:r w:rsidR="009448D5">
        <w:rPr>
          <w:rFonts w:ascii="Times New Roman" w:hAnsi="Times New Roman" w:cs="Times New Roman"/>
          <w:sz w:val="24"/>
          <w:szCs w:val="24"/>
        </w:rPr>
        <w:t xml:space="preserve"> </w:t>
      </w:r>
      <w:r w:rsidR="00BF3DA4">
        <w:rPr>
          <w:rFonts w:ascii="Times New Roman" w:hAnsi="Times New Roman" w:cs="Times New Roman"/>
          <w:sz w:val="24"/>
          <w:szCs w:val="24"/>
        </w:rPr>
        <w:t xml:space="preserve">the guidance to teachers </w:t>
      </w:r>
      <w:r w:rsidR="00461AFD" w:rsidRPr="00AE141E">
        <w:rPr>
          <w:rFonts w:ascii="Times New Roman" w:hAnsi="Times New Roman" w:cs="Times New Roman"/>
          <w:sz w:val="24"/>
          <w:szCs w:val="24"/>
        </w:rPr>
        <w:t xml:space="preserve">no longer </w:t>
      </w:r>
      <w:r w:rsidR="00863218" w:rsidRPr="00AE141E">
        <w:rPr>
          <w:rFonts w:ascii="Times New Roman" w:hAnsi="Times New Roman" w:cs="Times New Roman"/>
          <w:sz w:val="24"/>
          <w:szCs w:val="24"/>
        </w:rPr>
        <w:t>required</w:t>
      </w:r>
      <w:r w:rsidR="00BF3DA4">
        <w:rPr>
          <w:rFonts w:ascii="Times New Roman" w:hAnsi="Times New Roman" w:cs="Times New Roman"/>
          <w:sz w:val="24"/>
          <w:szCs w:val="24"/>
        </w:rPr>
        <w:t xml:space="preserve"> it</w:t>
      </w:r>
      <w:r w:rsidR="00461AFD" w:rsidRPr="00AE141E">
        <w:rPr>
          <w:rFonts w:ascii="Times New Roman" w:hAnsi="Times New Roman" w:cs="Times New Roman"/>
          <w:sz w:val="24"/>
          <w:szCs w:val="24"/>
        </w:rPr>
        <w:t xml:space="preserve"> </w:t>
      </w:r>
      <w:r w:rsidR="008806B8">
        <w:rPr>
          <w:rFonts w:ascii="Times New Roman" w:hAnsi="Times New Roman" w:cs="Times New Roman"/>
          <w:sz w:val="24"/>
          <w:szCs w:val="24"/>
        </w:rPr>
        <w:t xml:space="preserve">to be taught </w:t>
      </w:r>
      <w:r w:rsidR="00863218" w:rsidRPr="00AE141E">
        <w:rPr>
          <w:rFonts w:ascii="Times New Roman" w:hAnsi="Times New Roman" w:cs="Times New Roman"/>
          <w:sz w:val="24"/>
          <w:szCs w:val="24"/>
        </w:rPr>
        <w:t>‘</w:t>
      </w:r>
      <w:r w:rsidR="00461AFD" w:rsidRPr="00AE141E">
        <w:rPr>
          <w:rFonts w:ascii="Times New Roman" w:hAnsi="Times New Roman" w:cs="Times New Roman"/>
          <w:sz w:val="24"/>
          <w:szCs w:val="24"/>
        </w:rPr>
        <w:t>from a variety of perspectives</w:t>
      </w:r>
      <w:r w:rsidR="00863218" w:rsidRPr="00AE141E">
        <w:rPr>
          <w:rFonts w:ascii="Times New Roman" w:hAnsi="Times New Roman" w:cs="Times New Roman"/>
          <w:sz w:val="24"/>
          <w:szCs w:val="24"/>
        </w:rPr>
        <w:t>’</w:t>
      </w:r>
      <w:r w:rsidR="00461AFD" w:rsidRPr="00AE141E">
        <w:rPr>
          <w:rFonts w:ascii="Times New Roman" w:hAnsi="Times New Roman" w:cs="Times New Roman"/>
          <w:sz w:val="24"/>
          <w:szCs w:val="24"/>
        </w:rPr>
        <w:t>.</w:t>
      </w:r>
      <w:r w:rsidR="00F03DCD">
        <w:rPr>
          <w:rFonts w:ascii="Times New Roman" w:hAnsi="Times New Roman" w:cs="Times New Roman"/>
          <w:sz w:val="24"/>
          <w:szCs w:val="24"/>
        </w:rPr>
        <w:t xml:space="preserve"> </w:t>
      </w:r>
      <w:r w:rsidR="002F4518">
        <w:rPr>
          <w:rFonts w:ascii="Times New Roman" w:hAnsi="Times New Roman" w:cs="Times New Roman"/>
          <w:sz w:val="24"/>
          <w:szCs w:val="24"/>
        </w:rPr>
        <w:t xml:space="preserve">In one crucial way, </w:t>
      </w:r>
      <w:r w:rsidR="00882139">
        <w:rPr>
          <w:rFonts w:ascii="Times New Roman" w:hAnsi="Times New Roman" w:cs="Times New Roman"/>
          <w:sz w:val="24"/>
          <w:szCs w:val="24"/>
        </w:rPr>
        <w:t xml:space="preserve">then, </w:t>
      </w:r>
      <w:r w:rsidR="002F4518">
        <w:rPr>
          <w:rFonts w:ascii="Times New Roman" w:hAnsi="Times New Roman" w:cs="Times New Roman"/>
          <w:sz w:val="24"/>
          <w:szCs w:val="24"/>
        </w:rPr>
        <w:t xml:space="preserve">the Dearing Review </w:t>
      </w:r>
      <w:r w:rsidR="00C51C28">
        <w:rPr>
          <w:rFonts w:ascii="Times New Roman" w:hAnsi="Times New Roman" w:cs="Times New Roman"/>
          <w:sz w:val="24"/>
          <w:szCs w:val="24"/>
        </w:rPr>
        <w:t>reprised</w:t>
      </w:r>
      <w:r w:rsidR="002F4518">
        <w:rPr>
          <w:rFonts w:ascii="Times New Roman" w:hAnsi="Times New Roman" w:cs="Times New Roman"/>
          <w:sz w:val="24"/>
          <w:szCs w:val="24"/>
        </w:rPr>
        <w:t xml:space="preserve"> </w:t>
      </w:r>
      <w:r w:rsidR="00DD4607">
        <w:rPr>
          <w:rFonts w:ascii="Times New Roman" w:hAnsi="Times New Roman" w:cs="Times New Roman"/>
          <w:sz w:val="24"/>
          <w:szCs w:val="24"/>
        </w:rPr>
        <w:t xml:space="preserve">the </w:t>
      </w:r>
      <w:r w:rsidR="00B70C03">
        <w:rPr>
          <w:rFonts w:ascii="Times New Roman" w:hAnsi="Times New Roman" w:cs="Times New Roman"/>
          <w:sz w:val="24"/>
          <w:szCs w:val="24"/>
        </w:rPr>
        <w:t>emphasis of the HWG’s Interim Report</w:t>
      </w:r>
      <w:r w:rsidR="003E71E5">
        <w:rPr>
          <w:rFonts w:ascii="Times New Roman" w:hAnsi="Times New Roman" w:cs="Times New Roman"/>
          <w:sz w:val="24"/>
          <w:szCs w:val="24"/>
        </w:rPr>
        <w:t>: empire once again disappeared from view</w:t>
      </w:r>
      <w:r w:rsidR="00B956D6">
        <w:rPr>
          <w:rFonts w:ascii="Times New Roman" w:hAnsi="Times New Roman" w:cs="Times New Roman"/>
          <w:sz w:val="24"/>
          <w:szCs w:val="24"/>
        </w:rPr>
        <w:t>. Dearing left the door open for schools to deliver teaching on imperial history, especially in ‘</w:t>
      </w:r>
      <w:r w:rsidR="00B956D6" w:rsidRPr="00AE141E">
        <w:rPr>
          <w:rFonts w:ascii="Times New Roman" w:hAnsi="Times New Roman" w:cs="Times New Roman"/>
          <w:sz w:val="24"/>
          <w:szCs w:val="24"/>
        </w:rPr>
        <w:t>Britain 1750 to circa 1900</w:t>
      </w:r>
      <w:r w:rsidR="00B956D6">
        <w:rPr>
          <w:rFonts w:ascii="Times New Roman" w:hAnsi="Times New Roman" w:cs="Times New Roman"/>
          <w:sz w:val="24"/>
          <w:szCs w:val="24"/>
        </w:rPr>
        <w:t xml:space="preserve">’, but </w:t>
      </w:r>
      <w:r w:rsidR="00377DA5">
        <w:rPr>
          <w:rFonts w:ascii="Times New Roman" w:hAnsi="Times New Roman" w:cs="Times New Roman"/>
          <w:sz w:val="24"/>
          <w:szCs w:val="24"/>
        </w:rPr>
        <w:t>appeared</w:t>
      </w:r>
      <w:r w:rsidR="00E76315">
        <w:rPr>
          <w:rFonts w:ascii="Times New Roman" w:hAnsi="Times New Roman" w:cs="Times New Roman"/>
          <w:sz w:val="24"/>
          <w:szCs w:val="24"/>
        </w:rPr>
        <w:t xml:space="preserve"> to decentre its</w:t>
      </w:r>
      <w:r w:rsidR="003D65FB">
        <w:rPr>
          <w:rFonts w:ascii="Times New Roman" w:hAnsi="Times New Roman" w:cs="Times New Roman"/>
          <w:sz w:val="24"/>
          <w:szCs w:val="24"/>
        </w:rPr>
        <w:t xml:space="preserve"> importance as a constitutive </w:t>
      </w:r>
      <w:r w:rsidR="0091329B">
        <w:rPr>
          <w:rFonts w:ascii="Times New Roman" w:hAnsi="Times New Roman" w:cs="Times New Roman"/>
          <w:sz w:val="24"/>
          <w:szCs w:val="24"/>
        </w:rPr>
        <w:t>force of British modernity</w:t>
      </w:r>
      <w:r w:rsidR="00E76315">
        <w:rPr>
          <w:rFonts w:ascii="Times New Roman" w:hAnsi="Times New Roman" w:cs="Times New Roman"/>
          <w:sz w:val="24"/>
          <w:szCs w:val="24"/>
        </w:rPr>
        <w:t>.</w:t>
      </w:r>
      <w:r w:rsidR="00C51C28">
        <w:rPr>
          <w:rFonts w:ascii="Times New Roman" w:hAnsi="Times New Roman" w:cs="Times New Roman"/>
          <w:sz w:val="24"/>
          <w:szCs w:val="24"/>
        </w:rPr>
        <w:t xml:space="preserve"> </w:t>
      </w:r>
      <w:r w:rsidR="00FD7E3B">
        <w:rPr>
          <w:rFonts w:ascii="Times New Roman" w:hAnsi="Times New Roman" w:cs="Times New Roman"/>
          <w:sz w:val="24"/>
          <w:szCs w:val="24"/>
        </w:rPr>
        <w:t>The Review re</w:t>
      </w:r>
      <w:r w:rsidR="00BD1B1F">
        <w:rPr>
          <w:rFonts w:ascii="Times New Roman" w:hAnsi="Times New Roman" w:cs="Times New Roman"/>
          <w:sz w:val="24"/>
          <w:szCs w:val="24"/>
        </w:rPr>
        <w:t>-e</w:t>
      </w:r>
      <w:r w:rsidR="00FD7E3B">
        <w:rPr>
          <w:rFonts w:ascii="Times New Roman" w:hAnsi="Times New Roman" w:cs="Times New Roman"/>
          <w:sz w:val="24"/>
          <w:szCs w:val="24"/>
        </w:rPr>
        <w:t xml:space="preserve">nshrined </w:t>
      </w:r>
      <w:r w:rsidR="00675939">
        <w:rPr>
          <w:rFonts w:ascii="Times New Roman" w:hAnsi="Times New Roman" w:cs="Times New Roman"/>
          <w:sz w:val="24"/>
          <w:szCs w:val="24"/>
        </w:rPr>
        <w:t>a problematic,</w:t>
      </w:r>
      <w:r w:rsidR="00FD7E3B">
        <w:rPr>
          <w:rFonts w:ascii="Times New Roman" w:hAnsi="Times New Roman" w:cs="Times New Roman"/>
          <w:sz w:val="24"/>
          <w:szCs w:val="24"/>
        </w:rPr>
        <w:t xml:space="preserve"> binary division between</w:t>
      </w:r>
      <w:r w:rsidR="00093322">
        <w:rPr>
          <w:rFonts w:ascii="Times New Roman" w:hAnsi="Times New Roman" w:cs="Times New Roman"/>
          <w:sz w:val="24"/>
          <w:szCs w:val="24"/>
        </w:rPr>
        <w:t xml:space="preserve"> the</w:t>
      </w:r>
      <w:r w:rsidR="00FD7E3B">
        <w:rPr>
          <w:rFonts w:ascii="Times New Roman" w:hAnsi="Times New Roman" w:cs="Times New Roman"/>
          <w:sz w:val="24"/>
          <w:szCs w:val="24"/>
        </w:rPr>
        <w:t xml:space="preserve"> British </w:t>
      </w:r>
      <w:r w:rsidR="00093322">
        <w:rPr>
          <w:rFonts w:ascii="Times New Roman" w:hAnsi="Times New Roman" w:cs="Times New Roman"/>
          <w:sz w:val="24"/>
          <w:szCs w:val="24"/>
        </w:rPr>
        <w:t xml:space="preserve">past </w:t>
      </w:r>
      <w:r w:rsidR="00FD7E3B">
        <w:rPr>
          <w:rFonts w:ascii="Times New Roman" w:hAnsi="Times New Roman" w:cs="Times New Roman"/>
          <w:sz w:val="24"/>
          <w:szCs w:val="24"/>
        </w:rPr>
        <w:t xml:space="preserve">and </w:t>
      </w:r>
      <w:r w:rsidR="00BD1B1F">
        <w:rPr>
          <w:rFonts w:ascii="Times New Roman" w:hAnsi="Times New Roman" w:cs="Times New Roman"/>
          <w:sz w:val="24"/>
          <w:szCs w:val="24"/>
        </w:rPr>
        <w:t xml:space="preserve">a (resolutely non-imperial) </w:t>
      </w:r>
      <w:r w:rsidR="00FD7E3B">
        <w:rPr>
          <w:rFonts w:ascii="Times New Roman" w:hAnsi="Times New Roman" w:cs="Times New Roman"/>
          <w:sz w:val="24"/>
          <w:szCs w:val="24"/>
        </w:rPr>
        <w:t>world history</w:t>
      </w:r>
      <w:r w:rsidR="00675939">
        <w:rPr>
          <w:rFonts w:ascii="Times New Roman" w:hAnsi="Times New Roman" w:cs="Times New Roman"/>
          <w:sz w:val="24"/>
          <w:szCs w:val="24"/>
        </w:rPr>
        <w:t>.</w:t>
      </w:r>
      <w:r w:rsidR="00047653">
        <w:rPr>
          <w:rFonts w:ascii="Times New Roman" w:hAnsi="Times New Roman" w:cs="Times New Roman"/>
          <w:sz w:val="24"/>
          <w:szCs w:val="24"/>
        </w:rPr>
        <w:t xml:space="preserve"> Whether unwittingly or not, it </w:t>
      </w:r>
      <w:r w:rsidR="0041632C">
        <w:rPr>
          <w:rFonts w:ascii="Times New Roman" w:hAnsi="Times New Roman" w:cs="Times New Roman"/>
          <w:sz w:val="24"/>
          <w:szCs w:val="24"/>
        </w:rPr>
        <w:t>fostered</w:t>
      </w:r>
      <w:r w:rsidR="00047653">
        <w:rPr>
          <w:rFonts w:ascii="Times New Roman" w:hAnsi="Times New Roman" w:cs="Times New Roman"/>
          <w:sz w:val="24"/>
          <w:szCs w:val="24"/>
        </w:rPr>
        <w:t xml:space="preserve"> a vision of the national as ‘our island story’</w:t>
      </w:r>
      <w:r w:rsidR="0091329B">
        <w:rPr>
          <w:rFonts w:ascii="Times New Roman" w:hAnsi="Times New Roman" w:cs="Times New Roman"/>
          <w:sz w:val="24"/>
          <w:szCs w:val="24"/>
        </w:rPr>
        <w:t>.</w:t>
      </w:r>
      <w:r w:rsidR="00131CB0">
        <w:rPr>
          <w:rFonts w:ascii="Times New Roman" w:hAnsi="Times New Roman" w:cs="Times New Roman"/>
          <w:sz w:val="24"/>
          <w:szCs w:val="24"/>
        </w:rPr>
        <w:t xml:space="preserve"> </w:t>
      </w:r>
    </w:p>
    <w:p w14:paraId="6182D672" w14:textId="77777777" w:rsidR="00F03DCD" w:rsidRDefault="0086321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McGovern, of Lewes Priory fame, </w:t>
      </w:r>
      <w:r w:rsidR="003C43EB" w:rsidRPr="00AE141E">
        <w:rPr>
          <w:rFonts w:ascii="Times New Roman" w:hAnsi="Times New Roman" w:cs="Times New Roman"/>
          <w:sz w:val="24"/>
          <w:szCs w:val="24"/>
        </w:rPr>
        <w:t xml:space="preserve">was </w:t>
      </w:r>
      <w:r w:rsidR="0048226A" w:rsidRPr="00AE141E">
        <w:rPr>
          <w:rFonts w:ascii="Times New Roman" w:hAnsi="Times New Roman" w:cs="Times New Roman"/>
          <w:sz w:val="24"/>
          <w:szCs w:val="24"/>
        </w:rPr>
        <w:t xml:space="preserve">one of the </w:t>
      </w:r>
      <w:r w:rsidR="00067830" w:rsidRPr="00AE141E">
        <w:rPr>
          <w:rFonts w:ascii="Times New Roman" w:hAnsi="Times New Roman" w:cs="Times New Roman"/>
          <w:sz w:val="24"/>
          <w:szCs w:val="24"/>
        </w:rPr>
        <w:t>H</w:t>
      </w:r>
      <w:r w:rsidR="00C82CBD" w:rsidRPr="00AE141E">
        <w:rPr>
          <w:rFonts w:ascii="Times New Roman" w:hAnsi="Times New Roman" w:cs="Times New Roman"/>
          <w:sz w:val="24"/>
          <w:szCs w:val="24"/>
        </w:rPr>
        <w:t>AG</w:t>
      </w:r>
      <w:r w:rsidR="0048226A" w:rsidRPr="00AE141E">
        <w:rPr>
          <w:rFonts w:ascii="Times New Roman" w:hAnsi="Times New Roman" w:cs="Times New Roman"/>
          <w:sz w:val="24"/>
          <w:szCs w:val="24"/>
        </w:rPr>
        <w:t xml:space="preserve">’s most high profile and controversial members. </w:t>
      </w:r>
      <w:r w:rsidR="009C0D11" w:rsidRPr="00AE141E">
        <w:rPr>
          <w:rFonts w:ascii="Times New Roman" w:hAnsi="Times New Roman" w:cs="Times New Roman"/>
          <w:sz w:val="24"/>
          <w:szCs w:val="24"/>
        </w:rPr>
        <w:t xml:space="preserve">McGovern remained dissatisfied with the British content of the </w:t>
      </w:r>
      <w:r w:rsidR="0091329B">
        <w:rPr>
          <w:rFonts w:ascii="Times New Roman" w:hAnsi="Times New Roman" w:cs="Times New Roman"/>
          <w:sz w:val="24"/>
          <w:szCs w:val="24"/>
        </w:rPr>
        <w:t xml:space="preserve">proposed </w:t>
      </w:r>
      <w:r w:rsidR="009C0D11" w:rsidRPr="00AE141E">
        <w:rPr>
          <w:rFonts w:ascii="Times New Roman" w:hAnsi="Times New Roman" w:cs="Times New Roman"/>
          <w:sz w:val="24"/>
          <w:szCs w:val="24"/>
        </w:rPr>
        <w:t>curriculum</w:t>
      </w:r>
      <w:r w:rsidR="00501C6A" w:rsidRPr="00AE141E">
        <w:rPr>
          <w:rFonts w:ascii="Times New Roman" w:hAnsi="Times New Roman" w:cs="Times New Roman"/>
          <w:sz w:val="24"/>
          <w:szCs w:val="24"/>
        </w:rPr>
        <w:t>.</w:t>
      </w:r>
      <w:r w:rsidR="0091329B">
        <w:rPr>
          <w:rFonts w:ascii="Times New Roman" w:hAnsi="Times New Roman" w:cs="Times New Roman"/>
          <w:sz w:val="24"/>
          <w:szCs w:val="24"/>
        </w:rPr>
        <w:t xml:space="preserve"> His decision to</w:t>
      </w:r>
      <w:r w:rsidR="00501C6A" w:rsidRPr="00AE141E">
        <w:rPr>
          <w:rFonts w:ascii="Times New Roman" w:hAnsi="Times New Roman" w:cs="Times New Roman"/>
          <w:sz w:val="24"/>
          <w:szCs w:val="24"/>
        </w:rPr>
        <w:t xml:space="preserve"> leak </w:t>
      </w:r>
      <w:r w:rsidR="0091329B">
        <w:rPr>
          <w:rFonts w:ascii="Times New Roman" w:hAnsi="Times New Roman" w:cs="Times New Roman"/>
          <w:sz w:val="24"/>
          <w:szCs w:val="24"/>
        </w:rPr>
        <w:t xml:space="preserve">the Group’s </w:t>
      </w:r>
      <w:r w:rsidR="00206131">
        <w:rPr>
          <w:rFonts w:ascii="Times New Roman" w:hAnsi="Times New Roman" w:cs="Times New Roman"/>
          <w:sz w:val="24"/>
          <w:szCs w:val="24"/>
        </w:rPr>
        <w:t xml:space="preserve">workings </w:t>
      </w:r>
      <w:r w:rsidR="00501C6A" w:rsidRPr="00AE141E">
        <w:rPr>
          <w:rFonts w:ascii="Times New Roman" w:hAnsi="Times New Roman" w:cs="Times New Roman"/>
          <w:sz w:val="24"/>
          <w:szCs w:val="24"/>
        </w:rPr>
        <w:t xml:space="preserve">to the press, accompanied by critical commentary, alienated him from </w:t>
      </w:r>
      <w:r w:rsidR="00206131">
        <w:rPr>
          <w:rFonts w:ascii="Times New Roman" w:hAnsi="Times New Roman" w:cs="Times New Roman"/>
          <w:sz w:val="24"/>
          <w:szCs w:val="24"/>
        </w:rPr>
        <w:t>his fellow members</w:t>
      </w:r>
      <w:r w:rsidR="00501C6A" w:rsidRPr="00AE141E">
        <w:rPr>
          <w:rFonts w:ascii="Times New Roman" w:hAnsi="Times New Roman" w:cs="Times New Roman"/>
          <w:sz w:val="24"/>
          <w:szCs w:val="24"/>
        </w:rPr>
        <w:t>.</w:t>
      </w:r>
      <w:r w:rsidR="00CB4B8A" w:rsidRPr="00AE141E">
        <w:rPr>
          <w:rStyle w:val="FootnoteReference"/>
          <w:rFonts w:ascii="Times New Roman" w:hAnsi="Times New Roman" w:cs="Times New Roman"/>
          <w:sz w:val="24"/>
          <w:szCs w:val="24"/>
        </w:rPr>
        <w:footnoteReference w:id="929"/>
      </w:r>
      <w:r w:rsidR="00501C6A" w:rsidRPr="00AE141E">
        <w:rPr>
          <w:rFonts w:ascii="Times New Roman" w:hAnsi="Times New Roman" w:cs="Times New Roman"/>
          <w:sz w:val="24"/>
          <w:szCs w:val="24"/>
        </w:rPr>
        <w:t xml:space="preserve"> Significantly, </w:t>
      </w:r>
      <w:r w:rsidR="00206131">
        <w:rPr>
          <w:rFonts w:ascii="Times New Roman" w:hAnsi="Times New Roman" w:cs="Times New Roman"/>
          <w:sz w:val="24"/>
          <w:szCs w:val="24"/>
        </w:rPr>
        <w:t>McGovern’s</w:t>
      </w:r>
      <w:r w:rsidR="00501C6A" w:rsidRPr="00AE141E">
        <w:rPr>
          <w:rFonts w:ascii="Times New Roman" w:hAnsi="Times New Roman" w:cs="Times New Roman"/>
          <w:sz w:val="24"/>
          <w:szCs w:val="24"/>
        </w:rPr>
        <w:t xml:space="preserve"> opponents included fellow HAG-member </w:t>
      </w:r>
      <w:r w:rsidR="00221C27" w:rsidRPr="00AE141E">
        <w:rPr>
          <w:rFonts w:ascii="Times New Roman" w:hAnsi="Times New Roman" w:cs="Times New Roman"/>
          <w:sz w:val="24"/>
          <w:szCs w:val="24"/>
        </w:rPr>
        <w:t xml:space="preserve">Anthony O'Hear, a conservative philosopher </w:t>
      </w:r>
      <w:r w:rsidR="00206131">
        <w:rPr>
          <w:rFonts w:ascii="Times New Roman" w:hAnsi="Times New Roman" w:cs="Times New Roman"/>
          <w:sz w:val="24"/>
          <w:szCs w:val="24"/>
        </w:rPr>
        <w:t>often</w:t>
      </w:r>
      <w:r w:rsidR="00221C27" w:rsidRPr="00AE141E">
        <w:rPr>
          <w:rFonts w:ascii="Times New Roman" w:hAnsi="Times New Roman" w:cs="Times New Roman"/>
          <w:sz w:val="24"/>
          <w:szCs w:val="24"/>
        </w:rPr>
        <w:t xml:space="preserve"> linked to the New Right. </w:t>
      </w:r>
      <w:r w:rsidR="000D6163" w:rsidRPr="00AE141E">
        <w:rPr>
          <w:rFonts w:ascii="Times New Roman" w:hAnsi="Times New Roman" w:cs="Times New Roman"/>
          <w:sz w:val="24"/>
          <w:szCs w:val="24"/>
        </w:rPr>
        <w:t xml:space="preserve">The brief media outcry which greeted McGovern’s leak </w:t>
      </w:r>
      <w:r w:rsidR="007C7F39" w:rsidRPr="00AE141E">
        <w:rPr>
          <w:rFonts w:ascii="Times New Roman" w:hAnsi="Times New Roman" w:cs="Times New Roman"/>
          <w:sz w:val="24"/>
          <w:szCs w:val="24"/>
        </w:rPr>
        <w:t xml:space="preserve">rapidly resolved itself into </w:t>
      </w:r>
      <w:r w:rsidR="00655484" w:rsidRPr="00AE141E">
        <w:rPr>
          <w:rFonts w:ascii="Times New Roman" w:hAnsi="Times New Roman" w:cs="Times New Roman"/>
          <w:sz w:val="24"/>
          <w:szCs w:val="24"/>
        </w:rPr>
        <w:t>accepting silence.</w:t>
      </w:r>
      <w:r w:rsidR="005D01D8" w:rsidRPr="00AE141E">
        <w:rPr>
          <w:rStyle w:val="FootnoteReference"/>
          <w:rFonts w:ascii="Times New Roman" w:hAnsi="Times New Roman" w:cs="Times New Roman"/>
          <w:sz w:val="24"/>
          <w:szCs w:val="24"/>
        </w:rPr>
        <w:footnoteReference w:id="930"/>
      </w:r>
      <w:r w:rsidR="00655484" w:rsidRPr="00AE141E">
        <w:rPr>
          <w:rFonts w:ascii="Times New Roman" w:hAnsi="Times New Roman" w:cs="Times New Roman"/>
          <w:sz w:val="24"/>
          <w:szCs w:val="24"/>
        </w:rPr>
        <w:t xml:space="preserve"> Once more, it appeared that </w:t>
      </w:r>
      <w:r w:rsidR="00F52C5E" w:rsidRPr="00AE141E">
        <w:rPr>
          <w:rFonts w:ascii="Times New Roman" w:hAnsi="Times New Roman" w:cs="Times New Roman"/>
          <w:sz w:val="24"/>
          <w:szCs w:val="24"/>
        </w:rPr>
        <w:t xml:space="preserve">a consensus position had </w:t>
      </w:r>
      <w:r w:rsidR="00F52C5E" w:rsidRPr="00AE141E">
        <w:rPr>
          <w:rFonts w:ascii="Times New Roman" w:hAnsi="Times New Roman" w:cs="Times New Roman"/>
          <w:sz w:val="24"/>
          <w:szCs w:val="24"/>
        </w:rPr>
        <w:lastRenderedPageBreak/>
        <w:t xml:space="preserve">been reached. </w:t>
      </w:r>
      <w:r w:rsidR="00206131">
        <w:rPr>
          <w:rFonts w:ascii="Times New Roman" w:hAnsi="Times New Roman" w:cs="Times New Roman"/>
          <w:sz w:val="24"/>
          <w:szCs w:val="24"/>
        </w:rPr>
        <w:t>The</w:t>
      </w:r>
      <w:r w:rsidR="00E165D2" w:rsidRPr="00AE141E">
        <w:rPr>
          <w:rFonts w:ascii="Times New Roman" w:hAnsi="Times New Roman" w:cs="Times New Roman"/>
          <w:sz w:val="24"/>
          <w:szCs w:val="24"/>
        </w:rPr>
        <w:t xml:space="preserve"> New Right</w:t>
      </w:r>
      <w:r w:rsidR="00206131">
        <w:rPr>
          <w:rFonts w:ascii="Times New Roman" w:hAnsi="Times New Roman" w:cs="Times New Roman"/>
          <w:sz w:val="24"/>
          <w:szCs w:val="24"/>
        </w:rPr>
        <w:t xml:space="preserve"> –</w:t>
      </w:r>
      <w:r w:rsidR="00E165D2" w:rsidRPr="00AE141E">
        <w:rPr>
          <w:rFonts w:ascii="Times New Roman" w:hAnsi="Times New Roman" w:cs="Times New Roman"/>
          <w:sz w:val="24"/>
          <w:szCs w:val="24"/>
        </w:rPr>
        <w:t xml:space="preserve"> </w:t>
      </w:r>
      <w:r w:rsidR="007A30FA" w:rsidRPr="00AE141E">
        <w:rPr>
          <w:rFonts w:ascii="Times New Roman" w:hAnsi="Times New Roman" w:cs="Times New Roman"/>
          <w:sz w:val="24"/>
          <w:szCs w:val="24"/>
        </w:rPr>
        <w:t>both</w:t>
      </w:r>
      <w:r w:rsidR="00206131">
        <w:rPr>
          <w:rFonts w:ascii="Times New Roman" w:hAnsi="Times New Roman" w:cs="Times New Roman"/>
          <w:sz w:val="24"/>
          <w:szCs w:val="24"/>
        </w:rPr>
        <w:t xml:space="preserve"> </w:t>
      </w:r>
      <w:r w:rsidR="007A30FA" w:rsidRPr="00AE141E">
        <w:rPr>
          <w:rFonts w:ascii="Times New Roman" w:hAnsi="Times New Roman" w:cs="Times New Roman"/>
          <w:sz w:val="24"/>
          <w:szCs w:val="24"/>
        </w:rPr>
        <w:t>within and outside of government</w:t>
      </w:r>
      <w:r w:rsidR="00206131">
        <w:rPr>
          <w:rFonts w:ascii="Times New Roman" w:hAnsi="Times New Roman" w:cs="Times New Roman"/>
          <w:sz w:val="24"/>
          <w:szCs w:val="24"/>
        </w:rPr>
        <w:t xml:space="preserve"> – </w:t>
      </w:r>
      <w:r w:rsidR="00E165D2" w:rsidRPr="00AE141E">
        <w:rPr>
          <w:rFonts w:ascii="Times New Roman" w:hAnsi="Times New Roman" w:cs="Times New Roman"/>
          <w:sz w:val="24"/>
          <w:szCs w:val="24"/>
        </w:rPr>
        <w:t>could</w:t>
      </w:r>
      <w:r w:rsidR="00206131">
        <w:rPr>
          <w:rFonts w:ascii="Times New Roman" w:hAnsi="Times New Roman" w:cs="Times New Roman"/>
          <w:sz w:val="24"/>
          <w:szCs w:val="24"/>
        </w:rPr>
        <w:t xml:space="preserve"> </w:t>
      </w:r>
      <w:r w:rsidR="00E772E7">
        <w:rPr>
          <w:rFonts w:ascii="Times New Roman" w:hAnsi="Times New Roman" w:cs="Times New Roman"/>
          <w:sz w:val="24"/>
          <w:szCs w:val="24"/>
        </w:rPr>
        <w:t>consider the substantial</w:t>
      </w:r>
      <w:r w:rsidR="007A30FA" w:rsidRPr="00AE141E">
        <w:rPr>
          <w:rFonts w:ascii="Times New Roman" w:hAnsi="Times New Roman" w:cs="Times New Roman"/>
          <w:sz w:val="24"/>
          <w:szCs w:val="24"/>
        </w:rPr>
        <w:t xml:space="preserve"> core of mandatory British history</w:t>
      </w:r>
      <w:r w:rsidR="00E772E7">
        <w:rPr>
          <w:rFonts w:ascii="Times New Roman" w:hAnsi="Times New Roman" w:cs="Times New Roman"/>
          <w:sz w:val="24"/>
          <w:szCs w:val="24"/>
        </w:rPr>
        <w:t xml:space="preserve"> with pride</w:t>
      </w:r>
      <w:r w:rsidR="007A30FA" w:rsidRPr="00AE141E">
        <w:rPr>
          <w:rFonts w:ascii="Times New Roman" w:hAnsi="Times New Roman" w:cs="Times New Roman"/>
          <w:sz w:val="24"/>
          <w:szCs w:val="24"/>
        </w:rPr>
        <w:t xml:space="preserve">. </w:t>
      </w:r>
      <w:r w:rsidR="00191039" w:rsidRPr="00AE141E">
        <w:rPr>
          <w:rFonts w:ascii="Times New Roman" w:hAnsi="Times New Roman" w:cs="Times New Roman"/>
          <w:sz w:val="24"/>
          <w:szCs w:val="24"/>
        </w:rPr>
        <w:t xml:space="preserve">Those </w:t>
      </w:r>
      <w:r w:rsidR="00131CB0">
        <w:rPr>
          <w:rFonts w:ascii="Times New Roman" w:hAnsi="Times New Roman" w:cs="Times New Roman"/>
          <w:sz w:val="24"/>
          <w:szCs w:val="24"/>
        </w:rPr>
        <w:t>charged with</w:t>
      </w:r>
      <w:r w:rsidR="00191039" w:rsidRPr="00AE141E">
        <w:rPr>
          <w:rFonts w:ascii="Times New Roman" w:hAnsi="Times New Roman" w:cs="Times New Roman"/>
          <w:sz w:val="24"/>
          <w:szCs w:val="24"/>
        </w:rPr>
        <w:t xml:space="preserve"> deliver</w:t>
      </w:r>
      <w:r w:rsidR="00131CB0">
        <w:rPr>
          <w:rFonts w:ascii="Times New Roman" w:hAnsi="Times New Roman" w:cs="Times New Roman"/>
          <w:sz w:val="24"/>
          <w:szCs w:val="24"/>
        </w:rPr>
        <w:t>ing</w:t>
      </w:r>
      <w:r w:rsidR="00191039" w:rsidRPr="00AE141E">
        <w:rPr>
          <w:rFonts w:ascii="Times New Roman" w:hAnsi="Times New Roman" w:cs="Times New Roman"/>
          <w:sz w:val="24"/>
          <w:szCs w:val="24"/>
        </w:rPr>
        <w:t xml:space="preserve"> the curriculum, the nation’s teachers, were</w:t>
      </w:r>
      <w:r w:rsidR="00131CB0">
        <w:rPr>
          <w:rFonts w:ascii="Times New Roman" w:hAnsi="Times New Roman" w:cs="Times New Roman"/>
          <w:sz w:val="24"/>
          <w:szCs w:val="24"/>
        </w:rPr>
        <w:t xml:space="preserve"> simply</w:t>
      </w:r>
      <w:r w:rsidR="00191039" w:rsidRPr="00AE141E">
        <w:rPr>
          <w:rFonts w:ascii="Times New Roman" w:hAnsi="Times New Roman" w:cs="Times New Roman"/>
          <w:sz w:val="24"/>
          <w:szCs w:val="24"/>
        </w:rPr>
        <w:t xml:space="preserve"> relieved that their</w:t>
      </w:r>
      <w:r w:rsidR="00270A33" w:rsidRPr="00AE141E">
        <w:rPr>
          <w:rFonts w:ascii="Times New Roman" w:hAnsi="Times New Roman" w:cs="Times New Roman"/>
          <w:sz w:val="24"/>
          <w:szCs w:val="24"/>
        </w:rPr>
        <w:t xml:space="preserve"> burden had been lightened. </w:t>
      </w:r>
    </w:p>
    <w:p w14:paraId="2F327702" w14:textId="0E144296" w:rsidR="00461AFD" w:rsidRPr="00AE141E" w:rsidRDefault="0041632C" w:rsidP="00AE141E">
      <w:pPr>
        <w:spacing w:line="360" w:lineRule="auto"/>
        <w:rPr>
          <w:rFonts w:ascii="Times New Roman" w:hAnsi="Times New Roman" w:cs="Times New Roman"/>
          <w:sz w:val="24"/>
          <w:szCs w:val="24"/>
        </w:rPr>
      </w:pPr>
      <w:r>
        <w:rPr>
          <w:rFonts w:ascii="Times New Roman" w:hAnsi="Times New Roman" w:cs="Times New Roman"/>
          <w:sz w:val="24"/>
          <w:szCs w:val="24"/>
        </w:rPr>
        <w:t xml:space="preserve">The Dearing Review was formally released in 1995, and its changes implemented shortly thereafter. </w:t>
      </w:r>
      <w:r w:rsidR="009D2DEE">
        <w:rPr>
          <w:rFonts w:ascii="Times New Roman" w:hAnsi="Times New Roman" w:cs="Times New Roman"/>
          <w:sz w:val="24"/>
          <w:szCs w:val="24"/>
        </w:rPr>
        <w:t>To some extent, the imperial erasure that had characterised m</w:t>
      </w:r>
      <w:r w:rsidR="003178B0">
        <w:rPr>
          <w:rFonts w:ascii="Times New Roman" w:hAnsi="Times New Roman" w:cs="Times New Roman"/>
          <w:sz w:val="24"/>
          <w:szCs w:val="24"/>
        </w:rPr>
        <w:t xml:space="preserve">any </w:t>
      </w:r>
      <w:r w:rsidR="00882139">
        <w:rPr>
          <w:rFonts w:ascii="Times New Roman" w:hAnsi="Times New Roman" w:cs="Times New Roman"/>
          <w:sz w:val="24"/>
          <w:szCs w:val="24"/>
        </w:rPr>
        <w:t xml:space="preserve">school </w:t>
      </w:r>
      <w:r w:rsidR="003178B0">
        <w:rPr>
          <w:rFonts w:ascii="Times New Roman" w:hAnsi="Times New Roman" w:cs="Times New Roman"/>
          <w:sz w:val="24"/>
          <w:szCs w:val="24"/>
        </w:rPr>
        <w:t>curricula in the second half of the twentieth century was</w:t>
      </w:r>
      <w:r w:rsidR="00F03DCD">
        <w:rPr>
          <w:rFonts w:ascii="Times New Roman" w:hAnsi="Times New Roman" w:cs="Times New Roman"/>
          <w:sz w:val="24"/>
          <w:szCs w:val="24"/>
        </w:rPr>
        <w:t xml:space="preserve"> now</w:t>
      </w:r>
      <w:r w:rsidR="003178B0">
        <w:rPr>
          <w:rFonts w:ascii="Times New Roman" w:hAnsi="Times New Roman" w:cs="Times New Roman"/>
          <w:sz w:val="24"/>
          <w:szCs w:val="24"/>
        </w:rPr>
        <w:t xml:space="preserve"> given statutory basis. </w:t>
      </w:r>
      <w:r w:rsidR="00710A02">
        <w:rPr>
          <w:rFonts w:ascii="Times New Roman" w:hAnsi="Times New Roman" w:cs="Times New Roman"/>
          <w:sz w:val="24"/>
          <w:szCs w:val="24"/>
        </w:rPr>
        <w:t>Educators</w:t>
      </w:r>
      <w:r w:rsidR="00FF6979">
        <w:rPr>
          <w:rFonts w:ascii="Times New Roman" w:hAnsi="Times New Roman" w:cs="Times New Roman"/>
          <w:sz w:val="24"/>
          <w:szCs w:val="24"/>
        </w:rPr>
        <w:t xml:space="preserve"> were</w:t>
      </w:r>
      <w:r w:rsidR="00710A02">
        <w:rPr>
          <w:rFonts w:ascii="Times New Roman" w:hAnsi="Times New Roman" w:cs="Times New Roman"/>
          <w:sz w:val="24"/>
          <w:szCs w:val="24"/>
        </w:rPr>
        <w:t>,</w:t>
      </w:r>
      <w:r w:rsidR="00FF6979">
        <w:rPr>
          <w:rFonts w:ascii="Times New Roman" w:hAnsi="Times New Roman" w:cs="Times New Roman"/>
          <w:sz w:val="24"/>
          <w:szCs w:val="24"/>
        </w:rPr>
        <w:t xml:space="preserve"> of course</w:t>
      </w:r>
      <w:r w:rsidR="00710A02">
        <w:rPr>
          <w:rFonts w:ascii="Times New Roman" w:hAnsi="Times New Roman" w:cs="Times New Roman"/>
          <w:sz w:val="24"/>
          <w:szCs w:val="24"/>
        </w:rPr>
        <w:t>,</w:t>
      </w:r>
      <w:r w:rsidR="00FF6979">
        <w:rPr>
          <w:rFonts w:ascii="Times New Roman" w:hAnsi="Times New Roman" w:cs="Times New Roman"/>
          <w:sz w:val="24"/>
          <w:szCs w:val="24"/>
        </w:rPr>
        <w:t xml:space="preserve"> </w:t>
      </w:r>
      <w:r w:rsidR="00FF6979" w:rsidRPr="00FF6979">
        <w:rPr>
          <w:rFonts w:ascii="Times New Roman" w:hAnsi="Times New Roman" w:cs="Times New Roman"/>
          <w:i/>
          <w:iCs/>
          <w:sz w:val="24"/>
          <w:szCs w:val="24"/>
        </w:rPr>
        <w:t>permitted</w:t>
      </w:r>
      <w:r w:rsidR="00FF6979">
        <w:rPr>
          <w:rFonts w:ascii="Times New Roman" w:hAnsi="Times New Roman" w:cs="Times New Roman"/>
          <w:sz w:val="24"/>
          <w:szCs w:val="24"/>
        </w:rPr>
        <w:t xml:space="preserve"> to teach empire</w:t>
      </w:r>
      <w:r w:rsidR="00BF2791">
        <w:rPr>
          <w:rFonts w:ascii="Times New Roman" w:hAnsi="Times New Roman" w:cs="Times New Roman"/>
          <w:sz w:val="24"/>
          <w:szCs w:val="24"/>
        </w:rPr>
        <w:t>.</w:t>
      </w:r>
      <w:r w:rsidR="00350417">
        <w:rPr>
          <w:rFonts w:ascii="Times New Roman" w:hAnsi="Times New Roman" w:cs="Times New Roman"/>
          <w:sz w:val="24"/>
          <w:szCs w:val="24"/>
        </w:rPr>
        <w:t xml:space="preserve"> However, the set curriculum clearly </w:t>
      </w:r>
      <w:r w:rsidR="006B18D6">
        <w:rPr>
          <w:rFonts w:ascii="Times New Roman" w:hAnsi="Times New Roman" w:cs="Times New Roman"/>
          <w:sz w:val="24"/>
          <w:szCs w:val="24"/>
        </w:rPr>
        <w:t>identified</w:t>
      </w:r>
      <w:r w:rsidR="00350417">
        <w:rPr>
          <w:rFonts w:ascii="Times New Roman" w:hAnsi="Times New Roman" w:cs="Times New Roman"/>
          <w:sz w:val="24"/>
          <w:szCs w:val="24"/>
        </w:rPr>
        <w:t xml:space="preserve"> it as a matter of secondary</w:t>
      </w:r>
      <w:r w:rsidR="00F35068">
        <w:rPr>
          <w:rFonts w:ascii="Times New Roman" w:hAnsi="Times New Roman" w:cs="Times New Roman"/>
          <w:sz w:val="24"/>
          <w:szCs w:val="24"/>
        </w:rPr>
        <w:t xml:space="preserve"> importance</w:t>
      </w:r>
      <w:r w:rsidR="00F52D96">
        <w:rPr>
          <w:rFonts w:ascii="Times New Roman" w:hAnsi="Times New Roman" w:cs="Times New Roman"/>
          <w:sz w:val="24"/>
          <w:szCs w:val="24"/>
        </w:rPr>
        <w:t xml:space="preserve"> which could be comfortably excised from the national story</w:t>
      </w:r>
      <w:r w:rsidR="00F35068">
        <w:rPr>
          <w:rFonts w:ascii="Times New Roman" w:hAnsi="Times New Roman" w:cs="Times New Roman"/>
          <w:sz w:val="24"/>
          <w:szCs w:val="24"/>
        </w:rPr>
        <w:t>.</w:t>
      </w:r>
      <w:r w:rsidR="00BF2791">
        <w:rPr>
          <w:rFonts w:ascii="Times New Roman" w:hAnsi="Times New Roman" w:cs="Times New Roman"/>
          <w:sz w:val="24"/>
          <w:szCs w:val="24"/>
        </w:rPr>
        <w:t xml:space="preserve"> </w:t>
      </w:r>
      <w:r w:rsidR="00F52D96">
        <w:rPr>
          <w:rFonts w:ascii="Times New Roman" w:hAnsi="Times New Roman" w:cs="Times New Roman"/>
          <w:sz w:val="24"/>
          <w:szCs w:val="24"/>
        </w:rPr>
        <w:t xml:space="preserve">As we will see, the </w:t>
      </w:r>
      <w:r w:rsidR="0051169C">
        <w:rPr>
          <w:rFonts w:ascii="Times New Roman" w:hAnsi="Times New Roman" w:cs="Times New Roman"/>
          <w:sz w:val="24"/>
          <w:szCs w:val="24"/>
        </w:rPr>
        <w:t xml:space="preserve">National Curriculum and its accompanying emphasis on discipline and results </w:t>
      </w:r>
      <w:r w:rsidR="00A13F94">
        <w:rPr>
          <w:rFonts w:ascii="Times New Roman" w:hAnsi="Times New Roman" w:cs="Times New Roman"/>
          <w:sz w:val="24"/>
          <w:szCs w:val="24"/>
        </w:rPr>
        <w:t>intentionally narrowed teachers</w:t>
      </w:r>
      <w:r w:rsidR="004E1492">
        <w:rPr>
          <w:rFonts w:ascii="Times New Roman" w:hAnsi="Times New Roman" w:cs="Times New Roman"/>
          <w:sz w:val="24"/>
          <w:szCs w:val="24"/>
        </w:rPr>
        <w:t xml:space="preserve">’ room for manoeuvre. Thatcher’s </w:t>
      </w:r>
      <w:r w:rsidR="00634605">
        <w:rPr>
          <w:rFonts w:ascii="Times New Roman" w:hAnsi="Times New Roman" w:cs="Times New Roman"/>
          <w:sz w:val="24"/>
          <w:szCs w:val="24"/>
        </w:rPr>
        <w:t xml:space="preserve">self-expressed desire to curb educational experimentation </w:t>
      </w:r>
      <w:r w:rsidR="00FA4DB4">
        <w:rPr>
          <w:rFonts w:ascii="Times New Roman" w:hAnsi="Times New Roman" w:cs="Times New Roman"/>
          <w:sz w:val="24"/>
          <w:szCs w:val="24"/>
        </w:rPr>
        <w:t>amongst</w:t>
      </w:r>
      <w:r w:rsidR="00634605">
        <w:rPr>
          <w:rFonts w:ascii="Times New Roman" w:hAnsi="Times New Roman" w:cs="Times New Roman"/>
          <w:sz w:val="24"/>
          <w:szCs w:val="24"/>
        </w:rPr>
        <w:t xml:space="preserve"> history </w:t>
      </w:r>
      <w:r w:rsidR="00FA4DB4">
        <w:rPr>
          <w:rFonts w:ascii="Times New Roman" w:hAnsi="Times New Roman" w:cs="Times New Roman"/>
          <w:sz w:val="24"/>
          <w:szCs w:val="24"/>
        </w:rPr>
        <w:t>teachers</w:t>
      </w:r>
      <w:r w:rsidR="00634605">
        <w:rPr>
          <w:rFonts w:ascii="Times New Roman" w:hAnsi="Times New Roman" w:cs="Times New Roman"/>
          <w:sz w:val="24"/>
          <w:szCs w:val="24"/>
        </w:rPr>
        <w:t xml:space="preserve"> would </w:t>
      </w:r>
      <w:r w:rsidR="00FA4DB4">
        <w:rPr>
          <w:rFonts w:ascii="Times New Roman" w:hAnsi="Times New Roman" w:cs="Times New Roman"/>
          <w:sz w:val="24"/>
          <w:szCs w:val="24"/>
        </w:rPr>
        <w:t>be born</w:t>
      </w:r>
      <w:r w:rsidR="00E65C8E">
        <w:rPr>
          <w:rFonts w:ascii="Times New Roman" w:hAnsi="Times New Roman" w:cs="Times New Roman"/>
          <w:sz w:val="24"/>
          <w:szCs w:val="24"/>
        </w:rPr>
        <w:t>e</w:t>
      </w:r>
      <w:r w:rsidR="00FA4DB4">
        <w:rPr>
          <w:rFonts w:ascii="Times New Roman" w:hAnsi="Times New Roman" w:cs="Times New Roman"/>
          <w:sz w:val="24"/>
          <w:szCs w:val="24"/>
        </w:rPr>
        <w:t xml:space="preserve"> out</w:t>
      </w:r>
      <w:r w:rsidR="007821D0">
        <w:rPr>
          <w:rFonts w:ascii="Times New Roman" w:hAnsi="Times New Roman" w:cs="Times New Roman"/>
          <w:sz w:val="24"/>
          <w:szCs w:val="24"/>
        </w:rPr>
        <w:t xml:space="preserve"> in the classrooms of the 1990s and early 2000s.</w:t>
      </w:r>
      <w:r w:rsidR="000A3AD6">
        <w:rPr>
          <w:rStyle w:val="FootnoteReference"/>
          <w:rFonts w:ascii="Times New Roman" w:hAnsi="Times New Roman" w:cs="Times New Roman"/>
          <w:sz w:val="24"/>
          <w:szCs w:val="24"/>
        </w:rPr>
        <w:footnoteReference w:id="931"/>
      </w:r>
    </w:p>
    <w:p w14:paraId="797F2EA0" w14:textId="08852DD1" w:rsidR="00FB6695" w:rsidRPr="00AE141E" w:rsidRDefault="00FB6695"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 xml:space="preserve">The </w:t>
      </w:r>
      <w:r w:rsidR="00B632A4" w:rsidRPr="00AE141E">
        <w:rPr>
          <w:rFonts w:ascii="Times New Roman" w:hAnsi="Times New Roman" w:cs="Times New Roman"/>
          <w:b/>
          <w:bCs/>
          <w:sz w:val="24"/>
          <w:szCs w:val="24"/>
        </w:rPr>
        <w:t>L</w:t>
      </w:r>
      <w:r w:rsidRPr="00AE141E">
        <w:rPr>
          <w:rFonts w:ascii="Times New Roman" w:hAnsi="Times New Roman" w:cs="Times New Roman"/>
          <w:b/>
          <w:bCs/>
          <w:sz w:val="24"/>
          <w:szCs w:val="24"/>
        </w:rPr>
        <w:t xml:space="preserve">egacy and </w:t>
      </w:r>
      <w:r w:rsidR="00B632A4" w:rsidRPr="00AE141E">
        <w:rPr>
          <w:rFonts w:ascii="Times New Roman" w:hAnsi="Times New Roman" w:cs="Times New Roman"/>
          <w:b/>
          <w:bCs/>
          <w:sz w:val="24"/>
          <w:szCs w:val="24"/>
        </w:rPr>
        <w:t>I</w:t>
      </w:r>
      <w:r w:rsidRPr="00AE141E">
        <w:rPr>
          <w:rFonts w:ascii="Times New Roman" w:hAnsi="Times New Roman" w:cs="Times New Roman"/>
          <w:b/>
          <w:bCs/>
          <w:sz w:val="24"/>
          <w:szCs w:val="24"/>
        </w:rPr>
        <w:t>mpact of the National Curriculum</w:t>
      </w:r>
    </w:p>
    <w:p w14:paraId="48938519" w14:textId="77777777" w:rsidR="0056598E" w:rsidRDefault="00B73A4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introduction of the National Curriculum heralded a major shift in British political culture. As </w:t>
      </w:r>
      <w:r w:rsidR="001F710B" w:rsidRPr="00AE141E">
        <w:rPr>
          <w:rFonts w:ascii="Times New Roman" w:hAnsi="Times New Roman" w:cs="Times New Roman"/>
          <w:sz w:val="24"/>
          <w:szCs w:val="24"/>
        </w:rPr>
        <w:t>its contemporaries</w:t>
      </w:r>
      <w:r w:rsidRPr="00AE141E">
        <w:rPr>
          <w:rFonts w:ascii="Times New Roman" w:hAnsi="Times New Roman" w:cs="Times New Roman"/>
          <w:sz w:val="24"/>
          <w:szCs w:val="24"/>
        </w:rPr>
        <w:t xml:space="preserve"> correctly identified, the legislation was designed to permanently alter the balance of power within state education by transferring decision-making capabilities from teachers to policy makers.</w:t>
      </w:r>
      <w:r w:rsidRPr="00AE141E">
        <w:rPr>
          <w:rStyle w:val="FootnoteReference"/>
          <w:rFonts w:ascii="Times New Roman" w:hAnsi="Times New Roman" w:cs="Times New Roman"/>
          <w:sz w:val="24"/>
          <w:szCs w:val="24"/>
        </w:rPr>
        <w:footnoteReference w:id="932"/>
      </w:r>
      <w:r w:rsidRPr="00AE141E">
        <w:rPr>
          <w:rFonts w:ascii="Times New Roman" w:hAnsi="Times New Roman" w:cs="Times New Roman"/>
          <w:sz w:val="24"/>
          <w:szCs w:val="24"/>
        </w:rPr>
        <w:t xml:space="preserve"> This was symptomatic of a broader decline in professional status which made the relationship between government and educators increasingly fraught. The arrival of the National Curriculum, particularly in the chaotic final stages of its creation, normalised direct government intervention in British classrooms. School teaching became subject to national political discussion and centralised policy decisions, in a manner almost unprecedented within the British educational system. </w:t>
      </w:r>
    </w:p>
    <w:p w14:paraId="7B06E762" w14:textId="5D89C368" w:rsidR="001E0F35" w:rsidRPr="00AE141E" w:rsidRDefault="00B73A4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point is less whether the government of the day chooses to wield this power than </w:t>
      </w:r>
      <w:r w:rsidRPr="0056598E">
        <w:rPr>
          <w:rFonts w:ascii="Times New Roman" w:hAnsi="Times New Roman" w:cs="Times New Roman"/>
          <w:iCs/>
          <w:sz w:val="24"/>
          <w:szCs w:val="24"/>
        </w:rPr>
        <w:t>the fact that it now exists within the realm of political possibility</w:t>
      </w:r>
      <w:r w:rsidRPr="00AE141E">
        <w:rPr>
          <w:rFonts w:ascii="Times New Roman" w:hAnsi="Times New Roman" w:cs="Times New Roman"/>
          <w:sz w:val="24"/>
          <w:szCs w:val="24"/>
        </w:rPr>
        <w:t xml:space="preserve">. Curricula have since become a political volleyball, to be played with at the whim of the government of the day. This analysis applies especially to history, which has obvious resonance for any project of nation-building. Hence, Michael Gove’s controversial curricular experimentation may be traced back in a </w:t>
      </w:r>
      <w:r w:rsidRPr="00AE141E">
        <w:rPr>
          <w:rFonts w:ascii="Times New Roman" w:hAnsi="Times New Roman" w:cs="Times New Roman"/>
          <w:sz w:val="24"/>
          <w:szCs w:val="24"/>
        </w:rPr>
        <w:lastRenderedPageBreak/>
        <w:t>direct line to 1991.</w:t>
      </w:r>
      <w:r w:rsidRPr="00AE141E">
        <w:rPr>
          <w:rStyle w:val="FootnoteReference"/>
          <w:rFonts w:ascii="Times New Roman" w:hAnsi="Times New Roman" w:cs="Times New Roman"/>
          <w:sz w:val="24"/>
          <w:szCs w:val="24"/>
        </w:rPr>
        <w:footnoteReference w:id="933"/>
      </w:r>
      <w:r w:rsidR="001E0F35" w:rsidRPr="00AE141E">
        <w:rPr>
          <w:rFonts w:ascii="Times New Roman" w:hAnsi="Times New Roman" w:cs="Times New Roman"/>
          <w:sz w:val="24"/>
          <w:szCs w:val="24"/>
        </w:rPr>
        <w:t xml:space="preserve"> Nevertheless, l</w:t>
      </w:r>
      <w:r w:rsidR="009E0B1D" w:rsidRPr="00AE141E">
        <w:rPr>
          <w:rFonts w:ascii="Times New Roman" w:hAnsi="Times New Roman" w:cs="Times New Roman"/>
          <w:sz w:val="24"/>
          <w:szCs w:val="24"/>
        </w:rPr>
        <w:t>egislation is</w:t>
      </w:r>
      <w:r w:rsidR="00CA7E5C" w:rsidRPr="00AE141E">
        <w:rPr>
          <w:rFonts w:ascii="Times New Roman" w:hAnsi="Times New Roman" w:cs="Times New Roman"/>
          <w:sz w:val="24"/>
          <w:szCs w:val="24"/>
        </w:rPr>
        <w:t xml:space="preserve"> inevitably</w:t>
      </w:r>
      <w:r w:rsidR="00C86772" w:rsidRPr="00AE141E">
        <w:rPr>
          <w:rFonts w:ascii="Times New Roman" w:hAnsi="Times New Roman" w:cs="Times New Roman"/>
          <w:sz w:val="24"/>
          <w:szCs w:val="24"/>
        </w:rPr>
        <w:t xml:space="preserve"> changed in the delivery.</w:t>
      </w:r>
      <w:r w:rsidR="009E0B1D" w:rsidRPr="00AE141E">
        <w:rPr>
          <w:rFonts w:ascii="Times New Roman" w:hAnsi="Times New Roman" w:cs="Times New Roman"/>
          <w:sz w:val="24"/>
          <w:szCs w:val="24"/>
        </w:rPr>
        <w:t xml:space="preserve"> This pertains particularly to the complex</w:t>
      </w:r>
      <w:r w:rsidR="0056598E">
        <w:rPr>
          <w:rFonts w:ascii="Times New Roman" w:hAnsi="Times New Roman" w:cs="Times New Roman"/>
          <w:sz w:val="24"/>
          <w:szCs w:val="24"/>
        </w:rPr>
        <w:t xml:space="preserve">, </w:t>
      </w:r>
      <w:r w:rsidR="009E0B1D" w:rsidRPr="00AE141E">
        <w:rPr>
          <w:rFonts w:ascii="Times New Roman" w:hAnsi="Times New Roman" w:cs="Times New Roman"/>
          <w:sz w:val="24"/>
          <w:szCs w:val="24"/>
        </w:rPr>
        <w:t>sometimes chaotic world of the classroom.</w:t>
      </w:r>
      <w:r w:rsidR="00B66824" w:rsidRPr="00AE141E">
        <w:rPr>
          <w:rFonts w:ascii="Times New Roman" w:hAnsi="Times New Roman" w:cs="Times New Roman"/>
          <w:sz w:val="24"/>
          <w:szCs w:val="24"/>
        </w:rPr>
        <w:t xml:space="preserve"> </w:t>
      </w:r>
      <w:r w:rsidR="003F5BD3">
        <w:rPr>
          <w:rFonts w:ascii="Times New Roman" w:hAnsi="Times New Roman" w:cs="Times New Roman"/>
          <w:sz w:val="24"/>
          <w:szCs w:val="24"/>
        </w:rPr>
        <w:t>Th</w:t>
      </w:r>
      <w:r w:rsidR="00F81124">
        <w:rPr>
          <w:rFonts w:ascii="Times New Roman" w:hAnsi="Times New Roman" w:cs="Times New Roman"/>
          <w:sz w:val="24"/>
          <w:szCs w:val="24"/>
        </w:rPr>
        <w:t>us, the</w:t>
      </w:r>
      <w:r w:rsidR="003F5BD3">
        <w:rPr>
          <w:rFonts w:ascii="Times New Roman" w:hAnsi="Times New Roman" w:cs="Times New Roman"/>
          <w:sz w:val="24"/>
          <w:szCs w:val="24"/>
        </w:rPr>
        <w:t xml:space="preserve"> true significance of the National Curriculum </w:t>
      </w:r>
      <w:r w:rsidR="00F81124">
        <w:rPr>
          <w:rFonts w:ascii="Times New Roman" w:hAnsi="Times New Roman" w:cs="Times New Roman"/>
          <w:sz w:val="24"/>
          <w:szCs w:val="24"/>
        </w:rPr>
        <w:t>can only be gauged from its</w:t>
      </w:r>
      <w:r w:rsidR="00B66824" w:rsidRPr="00AE141E">
        <w:rPr>
          <w:rFonts w:ascii="Times New Roman" w:hAnsi="Times New Roman" w:cs="Times New Roman"/>
          <w:sz w:val="24"/>
          <w:szCs w:val="24"/>
        </w:rPr>
        <w:t xml:space="preserve"> reception</w:t>
      </w:r>
      <w:r w:rsidR="00F81124">
        <w:rPr>
          <w:rFonts w:ascii="Times New Roman" w:hAnsi="Times New Roman" w:cs="Times New Roman"/>
          <w:sz w:val="24"/>
          <w:szCs w:val="24"/>
        </w:rPr>
        <w:t xml:space="preserve"> and implementation</w:t>
      </w:r>
      <w:r w:rsidR="00422232" w:rsidRPr="00AE141E">
        <w:rPr>
          <w:rFonts w:ascii="Times New Roman" w:hAnsi="Times New Roman" w:cs="Times New Roman"/>
          <w:sz w:val="24"/>
          <w:szCs w:val="24"/>
        </w:rPr>
        <w:t xml:space="preserve">. </w:t>
      </w:r>
      <w:r w:rsidR="00F81124">
        <w:rPr>
          <w:rFonts w:ascii="Times New Roman" w:hAnsi="Times New Roman" w:cs="Times New Roman"/>
          <w:sz w:val="24"/>
          <w:szCs w:val="24"/>
        </w:rPr>
        <w:t>Its content</w:t>
      </w:r>
      <w:r w:rsidR="00733E20">
        <w:rPr>
          <w:rFonts w:ascii="Times New Roman" w:hAnsi="Times New Roman" w:cs="Times New Roman"/>
          <w:sz w:val="24"/>
          <w:szCs w:val="24"/>
        </w:rPr>
        <w:t>, even after the Dearing Review,</w:t>
      </w:r>
      <w:r w:rsidR="00422232" w:rsidRPr="00AE141E">
        <w:rPr>
          <w:rFonts w:ascii="Times New Roman" w:hAnsi="Times New Roman" w:cs="Times New Roman"/>
          <w:sz w:val="24"/>
          <w:szCs w:val="24"/>
        </w:rPr>
        <w:t xml:space="preserve"> was by no means fixed – being subject both to formal, governmental intervention and to imaginative reinterpretation.</w:t>
      </w:r>
      <w:r w:rsidR="00ED3641" w:rsidRPr="00AE141E">
        <w:rPr>
          <w:rFonts w:ascii="Times New Roman" w:hAnsi="Times New Roman" w:cs="Times New Roman"/>
          <w:sz w:val="24"/>
          <w:szCs w:val="24"/>
        </w:rPr>
        <w:t xml:space="preserve"> </w:t>
      </w:r>
    </w:p>
    <w:p w14:paraId="1A17D075" w14:textId="77777777" w:rsidR="00887C94" w:rsidRDefault="004C0CB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Long-term members of the teaching profession, whose careers spanned the introduction of the National Curriculum and successive reforms, </w:t>
      </w:r>
      <w:r w:rsidR="00887C94">
        <w:rPr>
          <w:rFonts w:ascii="Times New Roman" w:hAnsi="Times New Roman" w:cs="Times New Roman"/>
          <w:sz w:val="24"/>
          <w:szCs w:val="24"/>
        </w:rPr>
        <w:t xml:space="preserve">have </w:t>
      </w:r>
      <w:r w:rsidRPr="00AE141E">
        <w:rPr>
          <w:rFonts w:ascii="Times New Roman" w:hAnsi="Times New Roman" w:cs="Times New Roman"/>
          <w:sz w:val="24"/>
          <w:szCs w:val="24"/>
        </w:rPr>
        <w:t>highlight</w:t>
      </w:r>
      <w:r w:rsidR="00887C94">
        <w:rPr>
          <w:rFonts w:ascii="Times New Roman" w:hAnsi="Times New Roman" w:cs="Times New Roman"/>
          <w:sz w:val="24"/>
          <w:szCs w:val="24"/>
        </w:rPr>
        <w:t>ed</w:t>
      </w:r>
      <w:r w:rsidRPr="00AE141E">
        <w:rPr>
          <w:rFonts w:ascii="Times New Roman" w:hAnsi="Times New Roman" w:cs="Times New Roman"/>
          <w:sz w:val="24"/>
          <w:szCs w:val="24"/>
        </w:rPr>
        <w:t xml:space="preserve"> </w:t>
      </w:r>
      <w:r w:rsidR="00887C94">
        <w:rPr>
          <w:rFonts w:ascii="Times New Roman" w:hAnsi="Times New Roman" w:cs="Times New Roman"/>
          <w:sz w:val="24"/>
          <w:szCs w:val="24"/>
        </w:rPr>
        <w:t>a</w:t>
      </w:r>
      <w:r w:rsidRPr="00AE141E">
        <w:rPr>
          <w:rFonts w:ascii="Times New Roman" w:hAnsi="Times New Roman" w:cs="Times New Roman"/>
          <w:sz w:val="24"/>
          <w:szCs w:val="24"/>
        </w:rPr>
        <w:t xml:space="preserve"> gradual reduction of prescription</w:t>
      </w:r>
      <w:r w:rsidR="00887C94">
        <w:rPr>
          <w:rFonts w:ascii="Times New Roman" w:hAnsi="Times New Roman" w:cs="Times New Roman"/>
          <w:sz w:val="24"/>
          <w:szCs w:val="24"/>
        </w:rPr>
        <w:t xml:space="preserve"> in the years after 1995</w:t>
      </w:r>
      <w:r w:rsidRPr="00AE141E">
        <w:rPr>
          <w:rFonts w:ascii="Times New Roman" w:hAnsi="Times New Roman" w:cs="Times New Roman"/>
          <w:sz w:val="24"/>
          <w:szCs w:val="24"/>
        </w:rPr>
        <w:t xml:space="preserve"> (perhaps culminating in the</w:t>
      </w:r>
      <w:r w:rsidR="008567F6" w:rsidRPr="00AE141E">
        <w:rPr>
          <w:rFonts w:ascii="Times New Roman" w:hAnsi="Times New Roman" w:cs="Times New Roman"/>
          <w:sz w:val="24"/>
          <w:szCs w:val="24"/>
        </w:rPr>
        <w:t xml:space="preserve"> recent</w:t>
      </w:r>
      <w:r w:rsidRPr="00AE141E">
        <w:rPr>
          <w:rFonts w:ascii="Times New Roman" w:hAnsi="Times New Roman" w:cs="Times New Roman"/>
          <w:sz w:val="24"/>
          <w:szCs w:val="24"/>
        </w:rPr>
        <w:t xml:space="preserve"> academisation process, which has rendered the National Curriculum </w:t>
      </w:r>
      <w:r w:rsidR="005F6F20" w:rsidRPr="00AE141E">
        <w:rPr>
          <w:rFonts w:ascii="Times New Roman" w:hAnsi="Times New Roman" w:cs="Times New Roman"/>
          <w:sz w:val="24"/>
          <w:szCs w:val="24"/>
        </w:rPr>
        <w:t>non-mandatory</w:t>
      </w:r>
      <w:r w:rsidRPr="00AE141E">
        <w:rPr>
          <w:rFonts w:ascii="Times New Roman" w:hAnsi="Times New Roman" w:cs="Times New Roman"/>
          <w:sz w:val="24"/>
          <w:szCs w:val="24"/>
        </w:rPr>
        <w:t xml:space="preserve"> for many of the nation’s </w:t>
      </w:r>
      <w:r w:rsidR="008567F6" w:rsidRPr="00AE141E">
        <w:rPr>
          <w:rFonts w:ascii="Times New Roman" w:hAnsi="Times New Roman" w:cs="Times New Roman"/>
          <w:sz w:val="24"/>
          <w:szCs w:val="24"/>
        </w:rPr>
        <w:t>teachers</w:t>
      </w:r>
      <w:r w:rsidRPr="00AE141E">
        <w:rPr>
          <w:rFonts w:ascii="Times New Roman" w:hAnsi="Times New Roman" w:cs="Times New Roman"/>
          <w:sz w:val="24"/>
          <w:szCs w:val="24"/>
        </w:rPr>
        <w:t>).</w:t>
      </w:r>
      <w:r w:rsidR="00A83F4B" w:rsidRPr="00AE141E">
        <w:rPr>
          <w:rStyle w:val="FootnoteReference"/>
          <w:rFonts w:ascii="Times New Roman" w:hAnsi="Times New Roman" w:cs="Times New Roman"/>
          <w:sz w:val="24"/>
          <w:szCs w:val="24"/>
        </w:rPr>
        <w:footnoteReference w:id="934"/>
      </w:r>
      <w:r w:rsidRPr="00AE141E">
        <w:rPr>
          <w:rFonts w:ascii="Times New Roman" w:hAnsi="Times New Roman" w:cs="Times New Roman"/>
          <w:sz w:val="24"/>
          <w:szCs w:val="24"/>
        </w:rPr>
        <w:t xml:space="preserve"> Linda Turner and Rob Snow, history teachers at King James School, North Yorkshire, remembered the introduction of the National Curriculum as a time of professional strain, produced by an overload of content and assessment.</w:t>
      </w:r>
      <w:r w:rsidR="00EF3693" w:rsidRPr="00AE141E">
        <w:rPr>
          <w:rFonts w:ascii="Times New Roman" w:hAnsi="Times New Roman" w:cs="Times New Roman"/>
          <w:sz w:val="24"/>
          <w:szCs w:val="24"/>
        </w:rPr>
        <w:t xml:space="preserve"> Both reported a sense that</w:t>
      </w:r>
      <w:r w:rsidR="0090030E" w:rsidRPr="00AE141E">
        <w:rPr>
          <w:rFonts w:ascii="Times New Roman" w:hAnsi="Times New Roman" w:cs="Times New Roman"/>
          <w:sz w:val="24"/>
          <w:szCs w:val="24"/>
        </w:rPr>
        <w:t xml:space="preserve"> they were expected to ‘cram’ in excessive content – especially as pertained to British history.</w:t>
      </w:r>
      <w:r w:rsidR="0090030E" w:rsidRPr="00AE141E">
        <w:rPr>
          <w:rStyle w:val="FootnoteReference"/>
          <w:rFonts w:ascii="Times New Roman" w:hAnsi="Times New Roman" w:cs="Times New Roman"/>
          <w:sz w:val="24"/>
          <w:szCs w:val="24"/>
        </w:rPr>
        <w:footnoteReference w:id="935"/>
      </w:r>
      <w:r w:rsidR="0090030E" w:rsidRPr="00AE141E">
        <w:rPr>
          <w:rFonts w:ascii="Times New Roman" w:hAnsi="Times New Roman" w:cs="Times New Roman"/>
          <w:sz w:val="24"/>
          <w:szCs w:val="24"/>
        </w:rPr>
        <w:t xml:space="preserve"> These demands, combined with the massive labour produced by levelling, made the National Curriculum ‘awful to begin with’. </w:t>
      </w:r>
      <w:r w:rsidRPr="00AE141E">
        <w:rPr>
          <w:rFonts w:ascii="Times New Roman" w:hAnsi="Times New Roman" w:cs="Times New Roman"/>
          <w:sz w:val="24"/>
          <w:szCs w:val="24"/>
        </w:rPr>
        <w:t xml:space="preserve"> ‘After a few years’, however, as legislation was revised and teachers’ attitudes relaxed, it became possible to ‘chop it down to what you wanted’ without provoking intervention. </w:t>
      </w:r>
    </w:p>
    <w:p w14:paraId="21156814" w14:textId="34B91C45" w:rsidR="004C0CB4" w:rsidRPr="00AE141E" w:rsidRDefault="004C0CB4"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Similarly, Simon Bishop, a teacher in a Cumbria</w:t>
      </w:r>
      <w:r w:rsidR="00887C94">
        <w:rPr>
          <w:rFonts w:ascii="Times New Roman" w:hAnsi="Times New Roman" w:cs="Times New Roman"/>
          <w:sz w:val="24"/>
          <w:szCs w:val="24"/>
        </w:rPr>
        <w:t>n</w:t>
      </w:r>
      <w:r w:rsidRPr="00AE141E">
        <w:rPr>
          <w:rFonts w:ascii="Times New Roman" w:hAnsi="Times New Roman" w:cs="Times New Roman"/>
          <w:sz w:val="24"/>
          <w:szCs w:val="24"/>
        </w:rPr>
        <w:t xml:space="preserve"> comprehensive school, argued that (at the time of interview</w:t>
      </w:r>
      <w:r w:rsidR="00887C94">
        <w:rPr>
          <w:rFonts w:ascii="Times New Roman" w:hAnsi="Times New Roman" w:cs="Times New Roman"/>
          <w:sz w:val="24"/>
          <w:szCs w:val="24"/>
        </w:rPr>
        <w:t>,</w:t>
      </w:r>
      <w:r w:rsidRPr="00AE141E">
        <w:rPr>
          <w:rFonts w:ascii="Times New Roman" w:hAnsi="Times New Roman" w:cs="Times New Roman"/>
          <w:sz w:val="24"/>
          <w:szCs w:val="24"/>
        </w:rPr>
        <w:t xml:space="preserve"> in 2010) ‘however you interpret the National Curriculum you probably end up teaching what you want to teach anyway’.</w:t>
      </w:r>
      <w:r w:rsidR="007C42BD" w:rsidRPr="00AE141E">
        <w:rPr>
          <w:rStyle w:val="FootnoteReference"/>
          <w:rFonts w:ascii="Times New Roman" w:hAnsi="Times New Roman" w:cs="Times New Roman"/>
          <w:sz w:val="24"/>
          <w:szCs w:val="24"/>
        </w:rPr>
        <w:footnoteReference w:id="936"/>
      </w:r>
      <w:r w:rsidRPr="00AE141E">
        <w:rPr>
          <w:rFonts w:ascii="Times New Roman" w:hAnsi="Times New Roman" w:cs="Times New Roman"/>
          <w:sz w:val="24"/>
          <w:szCs w:val="24"/>
        </w:rPr>
        <w:t xml:space="preserve"> </w:t>
      </w:r>
      <w:r w:rsidR="007B2C48" w:rsidRPr="00AE141E">
        <w:rPr>
          <w:rFonts w:ascii="Times New Roman" w:hAnsi="Times New Roman" w:cs="Times New Roman"/>
          <w:sz w:val="24"/>
          <w:szCs w:val="24"/>
        </w:rPr>
        <w:t xml:space="preserve">John D. Clare, a former Deputy Headteacher, </w:t>
      </w:r>
      <w:r w:rsidRPr="00AE141E">
        <w:rPr>
          <w:rFonts w:ascii="Times New Roman" w:hAnsi="Times New Roman" w:cs="Times New Roman"/>
          <w:sz w:val="24"/>
          <w:szCs w:val="24"/>
        </w:rPr>
        <w:lastRenderedPageBreak/>
        <w:t xml:space="preserve">agreed with such arguments, but cautioned against taking the decline in prescription to </w:t>
      </w:r>
      <w:r w:rsidR="00F31A6F" w:rsidRPr="00AE141E">
        <w:rPr>
          <w:rFonts w:ascii="Times New Roman" w:hAnsi="Times New Roman" w:cs="Times New Roman"/>
          <w:sz w:val="24"/>
          <w:szCs w:val="24"/>
        </w:rPr>
        <w:t>signify</w:t>
      </w:r>
      <w:r w:rsidRPr="00AE141E">
        <w:rPr>
          <w:rFonts w:ascii="Times New Roman" w:hAnsi="Times New Roman" w:cs="Times New Roman"/>
          <w:sz w:val="24"/>
          <w:szCs w:val="24"/>
        </w:rPr>
        <w:t xml:space="preserve"> that the National Curriculum was not a major departure for the British educational tradition. Having adapted to the National Curriculum as it existed in the mid-1990s, teachers were sometimes unwilling to break away from its familiar content and framework. As Clare suggested, many classrooms in the early 2010s continued to feature ‘what they set up in 1990’.</w:t>
      </w:r>
      <w:r w:rsidR="009C3D57" w:rsidRPr="00AE141E">
        <w:rPr>
          <w:rStyle w:val="FootnoteReference"/>
          <w:rFonts w:ascii="Times New Roman" w:hAnsi="Times New Roman" w:cs="Times New Roman"/>
          <w:sz w:val="24"/>
          <w:szCs w:val="24"/>
        </w:rPr>
        <w:footnoteReference w:id="937"/>
      </w:r>
      <w:r w:rsidRPr="00AE141E">
        <w:rPr>
          <w:rFonts w:ascii="Times New Roman" w:hAnsi="Times New Roman" w:cs="Times New Roman"/>
          <w:sz w:val="24"/>
          <w:szCs w:val="24"/>
        </w:rPr>
        <w:t xml:space="preserve">  Thus, decisions made in the initial drafting process of the National Curriculum had long afterlives in the classroom.</w:t>
      </w:r>
    </w:p>
    <w:p w14:paraId="621335FC" w14:textId="6D2549B2" w:rsidR="00CC0003" w:rsidRPr="00AE141E" w:rsidRDefault="00B81410" w:rsidP="00AE141E">
      <w:pPr>
        <w:spacing w:line="360" w:lineRule="auto"/>
        <w:rPr>
          <w:rFonts w:ascii="Times New Roman" w:hAnsi="Times New Roman" w:cs="Times New Roman"/>
          <w:sz w:val="24"/>
          <w:szCs w:val="24"/>
        </w:rPr>
      </w:pPr>
      <w:r>
        <w:rPr>
          <w:rFonts w:ascii="Times New Roman" w:hAnsi="Times New Roman" w:cs="Times New Roman"/>
          <w:sz w:val="24"/>
          <w:szCs w:val="24"/>
        </w:rPr>
        <w:t>T</w:t>
      </w:r>
      <w:r w:rsidR="006F6189" w:rsidRPr="00AE141E">
        <w:rPr>
          <w:rFonts w:ascii="Times New Roman" w:hAnsi="Times New Roman" w:cs="Times New Roman"/>
          <w:sz w:val="24"/>
          <w:szCs w:val="24"/>
        </w:rPr>
        <w:t>he</w:t>
      </w:r>
      <w:r>
        <w:rPr>
          <w:rFonts w:ascii="Times New Roman" w:hAnsi="Times New Roman" w:cs="Times New Roman"/>
          <w:sz w:val="24"/>
          <w:szCs w:val="24"/>
        </w:rPr>
        <w:t xml:space="preserve"> National</w:t>
      </w:r>
      <w:r w:rsidR="006F6189" w:rsidRPr="00AE141E">
        <w:rPr>
          <w:rFonts w:ascii="Times New Roman" w:hAnsi="Times New Roman" w:cs="Times New Roman"/>
          <w:sz w:val="24"/>
          <w:szCs w:val="24"/>
        </w:rPr>
        <w:t xml:space="preserve"> Curriculum</w:t>
      </w:r>
      <w:r w:rsidR="00AE5A2D" w:rsidRPr="00AE141E">
        <w:rPr>
          <w:rFonts w:ascii="Times New Roman" w:hAnsi="Times New Roman" w:cs="Times New Roman"/>
          <w:sz w:val="24"/>
          <w:szCs w:val="24"/>
        </w:rPr>
        <w:t xml:space="preserve"> can</w:t>
      </w:r>
      <w:r w:rsidR="006F6189" w:rsidRPr="00AE141E">
        <w:rPr>
          <w:rFonts w:ascii="Times New Roman" w:hAnsi="Times New Roman" w:cs="Times New Roman"/>
          <w:sz w:val="24"/>
          <w:szCs w:val="24"/>
        </w:rPr>
        <w:t xml:space="preserve"> be viewed as </w:t>
      </w:r>
      <w:r w:rsidR="008D56DC">
        <w:rPr>
          <w:rFonts w:ascii="Times New Roman" w:hAnsi="Times New Roman" w:cs="Times New Roman"/>
          <w:sz w:val="24"/>
          <w:szCs w:val="24"/>
        </w:rPr>
        <w:t>symptomatic</w:t>
      </w:r>
      <w:r w:rsidR="006F6189" w:rsidRPr="00AE141E">
        <w:rPr>
          <w:rFonts w:ascii="Times New Roman" w:hAnsi="Times New Roman" w:cs="Times New Roman"/>
          <w:sz w:val="24"/>
          <w:szCs w:val="24"/>
        </w:rPr>
        <w:t xml:space="preserve"> of a new era for British teachers, </w:t>
      </w:r>
      <w:r w:rsidR="006526BF">
        <w:rPr>
          <w:rFonts w:ascii="Times New Roman" w:hAnsi="Times New Roman" w:cs="Times New Roman"/>
          <w:sz w:val="24"/>
          <w:szCs w:val="24"/>
        </w:rPr>
        <w:t>characterised by</w:t>
      </w:r>
      <w:r w:rsidR="006F35E3">
        <w:rPr>
          <w:rFonts w:ascii="Times New Roman" w:hAnsi="Times New Roman" w:cs="Times New Roman"/>
          <w:sz w:val="24"/>
          <w:szCs w:val="24"/>
        </w:rPr>
        <w:t xml:space="preserve"> increased </w:t>
      </w:r>
      <w:r w:rsidR="006F6189" w:rsidRPr="00AE141E">
        <w:rPr>
          <w:rFonts w:ascii="Times New Roman" w:hAnsi="Times New Roman" w:cs="Times New Roman"/>
          <w:sz w:val="24"/>
          <w:szCs w:val="24"/>
        </w:rPr>
        <w:t>emphasis on the ‘rigour’ of assessment. Writing in 1991,</w:t>
      </w:r>
      <w:r w:rsidR="003967DD" w:rsidRPr="00AE141E">
        <w:rPr>
          <w:rFonts w:ascii="Times New Roman" w:hAnsi="Times New Roman" w:cs="Times New Roman"/>
          <w:sz w:val="24"/>
          <w:szCs w:val="24"/>
        </w:rPr>
        <w:t xml:space="preserve"> Julie</w:t>
      </w:r>
      <w:r w:rsidR="006F6189" w:rsidRPr="00AE141E">
        <w:rPr>
          <w:rFonts w:ascii="Times New Roman" w:hAnsi="Times New Roman" w:cs="Times New Roman"/>
          <w:sz w:val="24"/>
          <w:szCs w:val="24"/>
        </w:rPr>
        <w:t xml:space="preserve"> Pearn and</w:t>
      </w:r>
      <w:r w:rsidR="002657FA" w:rsidRPr="00AE141E">
        <w:rPr>
          <w:rFonts w:ascii="Times New Roman" w:hAnsi="Times New Roman" w:cs="Times New Roman"/>
          <w:sz w:val="24"/>
          <w:szCs w:val="24"/>
        </w:rPr>
        <w:t xml:space="preserve"> Maushumi</w:t>
      </w:r>
      <w:r w:rsidR="006F6189" w:rsidRPr="00AE141E">
        <w:rPr>
          <w:rFonts w:ascii="Times New Roman" w:hAnsi="Times New Roman" w:cs="Times New Roman"/>
          <w:sz w:val="24"/>
          <w:szCs w:val="24"/>
        </w:rPr>
        <w:t xml:space="preserve"> Roy </w:t>
      </w:r>
      <w:r w:rsidR="00C3444F">
        <w:rPr>
          <w:rFonts w:ascii="Times New Roman" w:hAnsi="Times New Roman" w:cs="Times New Roman"/>
          <w:sz w:val="24"/>
          <w:szCs w:val="24"/>
        </w:rPr>
        <w:t>described fears</w:t>
      </w:r>
      <w:r w:rsidR="006F6189" w:rsidRPr="00AE141E">
        <w:rPr>
          <w:rFonts w:ascii="Times New Roman" w:hAnsi="Times New Roman" w:cs="Times New Roman"/>
          <w:sz w:val="24"/>
          <w:szCs w:val="24"/>
        </w:rPr>
        <w:t xml:space="preserve"> that the publication of SAT results</w:t>
      </w:r>
      <w:r w:rsidR="00C3444F">
        <w:rPr>
          <w:rFonts w:ascii="Times New Roman" w:hAnsi="Times New Roman" w:cs="Times New Roman"/>
          <w:sz w:val="24"/>
          <w:szCs w:val="24"/>
        </w:rPr>
        <w:t xml:space="preserve"> was</w:t>
      </w:r>
      <w:r w:rsidR="006F6189" w:rsidRPr="00AE141E">
        <w:rPr>
          <w:rFonts w:ascii="Times New Roman" w:hAnsi="Times New Roman" w:cs="Times New Roman"/>
          <w:sz w:val="24"/>
          <w:szCs w:val="24"/>
        </w:rPr>
        <w:t xml:space="preserve"> feed</w:t>
      </w:r>
      <w:r w:rsidR="00C3444F">
        <w:rPr>
          <w:rFonts w:ascii="Times New Roman" w:hAnsi="Times New Roman" w:cs="Times New Roman"/>
          <w:sz w:val="24"/>
          <w:szCs w:val="24"/>
        </w:rPr>
        <w:t>ing</w:t>
      </w:r>
      <w:r w:rsidR="006F6189" w:rsidRPr="00AE141E">
        <w:rPr>
          <w:rFonts w:ascii="Times New Roman" w:hAnsi="Times New Roman" w:cs="Times New Roman"/>
          <w:sz w:val="24"/>
          <w:szCs w:val="24"/>
        </w:rPr>
        <w:t xml:space="preserve"> a ‘new competitive ethos’</w:t>
      </w:r>
      <w:r w:rsidR="00A63AE4">
        <w:rPr>
          <w:rFonts w:ascii="Times New Roman" w:hAnsi="Times New Roman" w:cs="Times New Roman"/>
          <w:sz w:val="24"/>
          <w:szCs w:val="24"/>
        </w:rPr>
        <w:t xml:space="preserve"> amongst </w:t>
      </w:r>
      <w:r w:rsidR="006F6189" w:rsidRPr="00AE141E">
        <w:rPr>
          <w:rFonts w:ascii="Times New Roman" w:hAnsi="Times New Roman" w:cs="Times New Roman"/>
          <w:sz w:val="24"/>
          <w:szCs w:val="24"/>
        </w:rPr>
        <w:t>pupils and schools.</w:t>
      </w:r>
      <w:r w:rsidR="006F6189" w:rsidRPr="00AE141E">
        <w:rPr>
          <w:rStyle w:val="FootnoteReference"/>
          <w:rFonts w:ascii="Times New Roman" w:hAnsi="Times New Roman" w:cs="Times New Roman"/>
          <w:sz w:val="24"/>
          <w:szCs w:val="24"/>
        </w:rPr>
        <w:footnoteReference w:id="938"/>
      </w:r>
      <w:r w:rsidR="006F6189" w:rsidRPr="00AE141E">
        <w:rPr>
          <w:rFonts w:ascii="Times New Roman" w:hAnsi="Times New Roman" w:cs="Times New Roman"/>
          <w:sz w:val="24"/>
          <w:szCs w:val="24"/>
        </w:rPr>
        <w:t xml:space="preserve"> In conjunction with the </w:t>
      </w:r>
      <w:r w:rsidR="006F35E3">
        <w:rPr>
          <w:rFonts w:ascii="Times New Roman" w:hAnsi="Times New Roman" w:cs="Times New Roman"/>
          <w:sz w:val="24"/>
          <w:szCs w:val="24"/>
        </w:rPr>
        <w:t>government’s emphasis</w:t>
      </w:r>
      <w:r w:rsidR="006F6189" w:rsidRPr="00AE141E">
        <w:rPr>
          <w:rFonts w:ascii="Times New Roman" w:hAnsi="Times New Roman" w:cs="Times New Roman"/>
          <w:sz w:val="24"/>
          <w:szCs w:val="24"/>
        </w:rPr>
        <w:t xml:space="preserve"> on free parental choice, they anticipated that </w:t>
      </w:r>
      <w:r w:rsidR="008D56DC">
        <w:rPr>
          <w:rFonts w:ascii="Times New Roman" w:hAnsi="Times New Roman" w:cs="Times New Roman"/>
          <w:sz w:val="24"/>
          <w:szCs w:val="24"/>
        </w:rPr>
        <w:t>inter-school competition</w:t>
      </w:r>
      <w:r w:rsidR="006F6189" w:rsidRPr="00AE141E">
        <w:rPr>
          <w:rFonts w:ascii="Times New Roman" w:hAnsi="Times New Roman" w:cs="Times New Roman"/>
          <w:sz w:val="24"/>
          <w:szCs w:val="24"/>
        </w:rPr>
        <w:t xml:space="preserve"> would contribute to the damaging</w:t>
      </w:r>
      <w:r w:rsidR="001B0EAD" w:rsidRPr="00AE141E">
        <w:rPr>
          <w:rFonts w:ascii="Times New Roman" w:hAnsi="Times New Roman" w:cs="Times New Roman"/>
          <w:sz w:val="24"/>
          <w:szCs w:val="24"/>
        </w:rPr>
        <w:t xml:space="preserve"> </w:t>
      </w:r>
      <w:r w:rsidR="002762AF">
        <w:rPr>
          <w:rFonts w:ascii="Times New Roman" w:hAnsi="Times New Roman" w:cs="Times New Roman"/>
          <w:sz w:val="24"/>
          <w:szCs w:val="24"/>
        </w:rPr>
        <w:t>m</w:t>
      </w:r>
      <w:r w:rsidR="006F6189" w:rsidRPr="00AE141E">
        <w:rPr>
          <w:rFonts w:ascii="Times New Roman" w:hAnsi="Times New Roman" w:cs="Times New Roman"/>
          <w:sz w:val="24"/>
          <w:szCs w:val="24"/>
        </w:rPr>
        <w:t>ythology that schools were fundamentally either ‘good’ or ‘bad’.</w:t>
      </w:r>
      <w:r w:rsidR="006F6189" w:rsidRPr="00AE141E">
        <w:rPr>
          <w:rStyle w:val="FootnoteReference"/>
          <w:rFonts w:ascii="Times New Roman" w:hAnsi="Times New Roman" w:cs="Times New Roman"/>
          <w:sz w:val="24"/>
          <w:szCs w:val="24"/>
        </w:rPr>
        <w:footnoteReference w:id="939"/>
      </w:r>
      <w:r w:rsidR="006F6189" w:rsidRPr="00AE141E">
        <w:rPr>
          <w:rFonts w:ascii="Times New Roman" w:hAnsi="Times New Roman" w:cs="Times New Roman"/>
          <w:sz w:val="24"/>
          <w:szCs w:val="24"/>
        </w:rPr>
        <w:t xml:space="preserve"> </w:t>
      </w:r>
      <w:r w:rsidR="000F7B69" w:rsidRPr="00AE141E">
        <w:rPr>
          <w:rFonts w:ascii="Times New Roman" w:hAnsi="Times New Roman" w:cs="Times New Roman"/>
          <w:sz w:val="24"/>
          <w:szCs w:val="24"/>
        </w:rPr>
        <w:t xml:space="preserve">As the radical educator Chris Searle observed, </w:t>
      </w:r>
      <w:r w:rsidR="000F7B69">
        <w:rPr>
          <w:rFonts w:ascii="Times New Roman" w:hAnsi="Times New Roman" w:cs="Times New Roman"/>
          <w:sz w:val="24"/>
          <w:szCs w:val="24"/>
        </w:rPr>
        <w:t>these</w:t>
      </w:r>
      <w:r w:rsidR="000F7B69" w:rsidRPr="00AE141E">
        <w:rPr>
          <w:rFonts w:ascii="Times New Roman" w:hAnsi="Times New Roman" w:cs="Times New Roman"/>
          <w:sz w:val="24"/>
          <w:szCs w:val="24"/>
        </w:rPr>
        <w:t xml:space="preserve"> developments would disproportionately impact people of colour.</w:t>
      </w:r>
      <w:r w:rsidR="000F7B69">
        <w:rPr>
          <w:rStyle w:val="FootnoteReference"/>
          <w:rFonts w:ascii="Times New Roman" w:hAnsi="Times New Roman" w:cs="Times New Roman"/>
          <w:sz w:val="24"/>
          <w:szCs w:val="24"/>
        </w:rPr>
        <w:footnoteReference w:id="940"/>
      </w:r>
      <w:r w:rsidR="000F7B69" w:rsidRPr="00AE141E">
        <w:rPr>
          <w:rFonts w:ascii="Times New Roman" w:hAnsi="Times New Roman" w:cs="Times New Roman"/>
          <w:sz w:val="24"/>
          <w:szCs w:val="24"/>
        </w:rPr>
        <w:t xml:space="preserve"> </w:t>
      </w:r>
      <w:r w:rsidR="000565B4" w:rsidRPr="00AE141E">
        <w:rPr>
          <w:rFonts w:ascii="Times New Roman" w:hAnsi="Times New Roman" w:cs="Times New Roman"/>
          <w:sz w:val="24"/>
          <w:szCs w:val="24"/>
        </w:rPr>
        <w:t>In 1992, a new body, the Office for Standards in Education, Children</w:t>
      </w:r>
      <w:r w:rsidR="00704F8B">
        <w:rPr>
          <w:rFonts w:ascii="Times New Roman" w:hAnsi="Times New Roman" w:cs="Times New Roman"/>
          <w:sz w:val="24"/>
          <w:szCs w:val="24"/>
        </w:rPr>
        <w:t>’</w:t>
      </w:r>
      <w:r w:rsidR="000565B4" w:rsidRPr="00AE141E">
        <w:rPr>
          <w:rFonts w:ascii="Times New Roman" w:hAnsi="Times New Roman" w:cs="Times New Roman"/>
          <w:sz w:val="24"/>
          <w:szCs w:val="24"/>
        </w:rPr>
        <w:t xml:space="preserve">s Services and Skills (OFSTED), was created to </w:t>
      </w:r>
      <w:r w:rsidR="00166398" w:rsidRPr="00AE141E">
        <w:rPr>
          <w:rFonts w:ascii="Times New Roman" w:hAnsi="Times New Roman" w:cs="Times New Roman"/>
          <w:sz w:val="24"/>
          <w:szCs w:val="24"/>
        </w:rPr>
        <w:t>appraise and promote</w:t>
      </w:r>
      <w:r w:rsidR="000565B4" w:rsidRPr="00AE141E">
        <w:rPr>
          <w:rFonts w:ascii="Times New Roman" w:hAnsi="Times New Roman" w:cs="Times New Roman"/>
          <w:sz w:val="24"/>
          <w:szCs w:val="24"/>
        </w:rPr>
        <w:t xml:space="preserve"> </w:t>
      </w:r>
      <w:r w:rsidR="00166398" w:rsidRPr="00AE141E">
        <w:rPr>
          <w:rFonts w:ascii="Times New Roman" w:hAnsi="Times New Roman" w:cs="Times New Roman"/>
          <w:sz w:val="24"/>
          <w:szCs w:val="24"/>
        </w:rPr>
        <w:t>educational</w:t>
      </w:r>
      <w:r w:rsidR="000565B4" w:rsidRPr="00AE141E">
        <w:rPr>
          <w:rFonts w:ascii="Times New Roman" w:hAnsi="Times New Roman" w:cs="Times New Roman"/>
          <w:sz w:val="24"/>
          <w:szCs w:val="24"/>
        </w:rPr>
        <w:t xml:space="preserve"> standards</w:t>
      </w:r>
      <w:r w:rsidR="00166398" w:rsidRPr="00AE141E">
        <w:rPr>
          <w:rFonts w:ascii="Times New Roman" w:hAnsi="Times New Roman" w:cs="Times New Roman"/>
          <w:sz w:val="24"/>
          <w:szCs w:val="24"/>
        </w:rPr>
        <w:t xml:space="preserve"> through school inspection.</w:t>
      </w:r>
      <w:r w:rsidR="000565B4" w:rsidRPr="00AE141E">
        <w:rPr>
          <w:rFonts w:ascii="Times New Roman" w:hAnsi="Times New Roman" w:cs="Times New Roman"/>
          <w:sz w:val="24"/>
          <w:szCs w:val="24"/>
        </w:rPr>
        <w:t xml:space="preserve"> </w:t>
      </w:r>
      <w:r w:rsidR="00DF762B" w:rsidRPr="00AE141E">
        <w:rPr>
          <w:rFonts w:ascii="Times New Roman" w:hAnsi="Times New Roman" w:cs="Times New Roman"/>
          <w:sz w:val="24"/>
          <w:szCs w:val="24"/>
        </w:rPr>
        <w:t xml:space="preserve">Anecdotal evidence </w:t>
      </w:r>
      <w:r w:rsidR="000565B4" w:rsidRPr="00AE141E">
        <w:rPr>
          <w:rFonts w:ascii="Times New Roman" w:hAnsi="Times New Roman" w:cs="Times New Roman"/>
          <w:sz w:val="24"/>
          <w:szCs w:val="24"/>
        </w:rPr>
        <w:t>suggested that OFSTED</w:t>
      </w:r>
      <w:r w:rsidR="00382046" w:rsidRPr="00AE141E">
        <w:rPr>
          <w:rFonts w:ascii="Times New Roman" w:hAnsi="Times New Roman" w:cs="Times New Roman"/>
          <w:sz w:val="24"/>
          <w:szCs w:val="24"/>
        </w:rPr>
        <w:t xml:space="preserve"> </w:t>
      </w:r>
      <w:r w:rsidR="00382046" w:rsidRPr="00AE141E">
        <w:rPr>
          <w:rFonts w:ascii="Times New Roman" w:hAnsi="Times New Roman" w:cs="Times New Roman"/>
          <w:sz w:val="24"/>
          <w:szCs w:val="24"/>
        </w:rPr>
        <w:lastRenderedPageBreak/>
        <w:t>target</w:t>
      </w:r>
      <w:r w:rsidR="000565B4" w:rsidRPr="00AE141E">
        <w:rPr>
          <w:rFonts w:ascii="Times New Roman" w:hAnsi="Times New Roman" w:cs="Times New Roman"/>
          <w:sz w:val="24"/>
          <w:szCs w:val="24"/>
        </w:rPr>
        <w:t>ed</w:t>
      </w:r>
      <w:r w:rsidR="00382046" w:rsidRPr="00AE141E">
        <w:rPr>
          <w:rFonts w:ascii="Times New Roman" w:hAnsi="Times New Roman" w:cs="Times New Roman"/>
          <w:sz w:val="24"/>
          <w:szCs w:val="24"/>
        </w:rPr>
        <w:t xml:space="preserve"> inner-city areas and downwardly racialised headteachers in its initial rounds of </w:t>
      </w:r>
      <w:r w:rsidR="00166398" w:rsidRPr="00AE141E">
        <w:rPr>
          <w:rFonts w:ascii="Times New Roman" w:hAnsi="Times New Roman" w:cs="Times New Roman"/>
          <w:sz w:val="24"/>
          <w:szCs w:val="24"/>
        </w:rPr>
        <w:t xml:space="preserve">school </w:t>
      </w:r>
      <w:r w:rsidR="00BB7868" w:rsidRPr="00AE141E">
        <w:rPr>
          <w:rFonts w:ascii="Times New Roman" w:hAnsi="Times New Roman" w:cs="Times New Roman"/>
          <w:sz w:val="24"/>
          <w:szCs w:val="24"/>
        </w:rPr>
        <w:t>visits</w:t>
      </w:r>
      <w:r w:rsidR="00382046" w:rsidRPr="00AE141E">
        <w:rPr>
          <w:rFonts w:ascii="Times New Roman" w:hAnsi="Times New Roman" w:cs="Times New Roman"/>
          <w:sz w:val="24"/>
          <w:szCs w:val="24"/>
        </w:rPr>
        <w:t>.</w:t>
      </w:r>
      <w:r w:rsidR="00316E8C" w:rsidRPr="00AE141E">
        <w:rPr>
          <w:rStyle w:val="FootnoteReference"/>
          <w:rFonts w:ascii="Times New Roman" w:hAnsi="Times New Roman" w:cs="Times New Roman"/>
          <w:sz w:val="24"/>
          <w:szCs w:val="24"/>
        </w:rPr>
        <w:footnoteReference w:id="941"/>
      </w:r>
      <w:r w:rsidR="0056419B" w:rsidRPr="00AE141E">
        <w:rPr>
          <w:rFonts w:ascii="Times New Roman" w:hAnsi="Times New Roman" w:cs="Times New Roman"/>
          <w:sz w:val="24"/>
          <w:szCs w:val="24"/>
        </w:rPr>
        <w:t xml:space="preserve"> Searle argued that </w:t>
      </w:r>
      <w:r w:rsidR="00BB7868" w:rsidRPr="00AE141E">
        <w:rPr>
          <w:rFonts w:ascii="Times New Roman" w:hAnsi="Times New Roman" w:cs="Times New Roman"/>
          <w:sz w:val="24"/>
          <w:szCs w:val="24"/>
        </w:rPr>
        <w:t>the body held a</w:t>
      </w:r>
      <w:r w:rsidR="0056419B" w:rsidRPr="00AE141E">
        <w:rPr>
          <w:rFonts w:ascii="Times New Roman" w:hAnsi="Times New Roman" w:cs="Times New Roman"/>
          <w:sz w:val="24"/>
          <w:szCs w:val="24"/>
        </w:rPr>
        <w:t xml:space="preserve"> ‘deficit vision’ of inner-city schools and the communities they served</w:t>
      </w:r>
      <w:r w:rsidR="00B23EB5" w:rsidRPr="00AE141E">
        <w:rPr>
          <w:rFonts w:ascii="Times New Roman" w:hAnsi="Times New Roman" w:cs="Times New Roman"/>
          <w:sz w:val="24"/>
          <w:szCs w:val="24"/>
        </w:rPr>
        <w:t xml:space="preserve">, which </w:t>
      </w:r>
      <w:r w:rsidR="002F5AC4" w:rsidRPr="00AE141E">
        <w:rPr>
          <w:rFonts w:ascii="Times New Roman" w:hAnsi="Times New Roman" w:cs="Times New Roman"/>
          <w:sz w:val="24"/>
          <w:szCs w:val="24"/>
        </w:rPr>
        <w:t>deemed schools unable or unwilling to meet</w:t>
      </w:r>
      <w:r w:rsidR="00A833FF" w:rsidRPr="00AE141E">
        <w:rPr>
          <w:rFonts w:ascii="Times New Roman" w:hAnsi="Times New Roman" w:cs="Times New Roman"/>
          <w:sz w:val="24"/>
          <w:szCs w:val="24"/>
        </w:rPr>
        <w:t xml:space="preserve"> centrally imposed</w:t>
      </w:r>
      <w:r w:rsidR="002F5AC4" w:rsidRPr="00AE141E">
        <w:rPr>
          <w:rFonts w:ascii="Times New Roman" w:hAnsi="Times New Roman" w:cs="Times New Roman"/>
          <w:sz w:val="24"/>
          <w:szCs w:val="24"/>
        </w:rPr>
        <w:t xml:space="preserve"> </w:t>
      </w:r>
      <w:r w:rsidR="00A833FF" w:rsidRPr="00AE141E">
        <w:rPr>
          <w:rFonts w:ascii="Times New Roman" w:hAnsi="Times New Roman" w:cs="Times New Roman"/>
          <w:sz w:val="24"/>
          <w:szCs w:val="24"/>
        </w:rPr>
        <w:t xml:space="preserve">curricular, academic, or disciplinary demands. </w:t>
      </w:r>
      <w:r w:rsidR="00BB7868" w:rsidRPr="00AE141E">
        <w:rPr>
          <w:rFonts w:ascii="Times New Roman" w:hAnsi="Times New Roman" w:cs="Times New Roman"/>
          <w:sz w:val="24"/>
          <w:szCs w:val="24"/>
        </w:rPr>
        <w:t>This vision was then confirmed by critical OFSTED reports, which judge</w:t>
      </w:r>
      <w:r w:rsidR="00A26DD2">
        <w:rPr>
          <w:rFonts w:ascii="Times New Roman" w:hAnsi="Times New Roman" w:cs="Times New Roman"/>
          <w:sz w:val="24"/>
          <w:szCs w:val="24"/>
        </w:rPr>
        <w:t>d</w:t>
      </w:r>
      <w:r w:rsidR="00BB7868" w:rsidRPr="00AE141E">
        <w:rPr>
          <w:rFonts w:ascii="Times New Roman" w:hAnsi="Times New Roman" w:cs="Times New Roman"/>
          <w:sz w:val="24"/>
          <w:szCs w:val="24"/>
        </w:rPr>
        <w:t xml:space="preserve"> schools to be ‘failing’ and </w:t>
      </w:r>
      <w:r w:rsidR="00525952" w:rsidRPr="00AE141E">
        <w:rPr>
          <w:rFonts w:ascii="Times New Roman" w:hAnsi="Times New Roman" w:cs="Times New Roman"/>
          <w:sz w:val="24"/>
          <w:szCs w:val="24"/>
        </w:rPr>
        <w:t>spark</w:t>
      </w:r>
      <w:r w:rsidR="00A26DD2">
        <w:rPr>
          <w:rFonts w:ascii="Times New Roman" w:hAnsi="Times New Roman" w:cs="Times New Roman"/>
          <w:sz w:val="24"/>
          <w:szCs w:val="24"/>
        </w:rPr>
        <w:t>ed</w:t>
      </w:r>
      <w:r w:rsidR="00525952" w:rsidRPr="00AE141E">
        <w:rPr>
          <w:rFonts w:ascii="Times New Roman" w:hAnsi="Times New Roman" w:cs="Times New Roman"/>
          <w:sz w:val="24"/>
          <w:szCs w:val="24"/>
        </w:rPr>
        <w:t xml:space="preserve"> external intervention (as we will see, Searle had personal experience o</w:t>
      </w:r>
      <w:r w:rsidR="009F1914" w:rsidRPr="00AE141E">
        <w:rPr>
          <w:rFonts w:ascii="Times New Roman" w:hAnsi="Times New Roman" w:cs="Times New Roman"/>
          <w:sz w:val="24"/>
          <w:szCs w:val="24"/>
        </w:rPr>
        <w:t xml:space="preserve">f </w:t>
      </w:r>
      <w:r w:rsidR="00A91FA8" w:rsidRPr="00AE141E">
        <w:rPr>
          <w:rFonts w:ascii="Times New Roman" w:hAnsi="Times New Roman" w:cs="Times New Roman"/>
          <w:sz w:val="24"/>
          <w:szCs w:val="24"/>
        </w:rPr>
        <w:t>this</w:t>
      </w:r>
      <w:r w:rsidR="00525952" w:rsidRPr="00AE141E">
        <w:rPr>
          <w:rFonts w:ascii="Times New Roman" w:hAnsi="Times New Roman" w:cs="Times New Roman"/>
          <w:sz w:val="24"/>
          <w:szCs w:val="24"/>
        </w:rPr>
        <w:t xml:space="preserve"> process).</w:t>
      </w:r>
      <w:r w:rsidR="00A91FA8" w:rsidRPr="00AE141E">
        <w:rPr>
          <w:rFonts w:ascii="Times New Roman" w:hAnsi="Times New Roman" w:cs="Times New Roman"/>
          <w:sz w:val="24"/>
          <w:szCs w:val="24"/>
        </w:rPr>
        <w:t xml:space="preserve"> </w:t>
      </w:r>
      <w:r w:rsidR="002E737E" w:rsidRPr="00AE141E">
        <w:rPr>
          <w:rFonts w:ascii="Times New Roman" w:hAnsi="Times New Roman" w:cs="Times New Roman"/>
          <w:sz w:val="24"/>
          <w:szCs w:val="24"/>
        </w:rPr>
        <w:t xml:space="preserve">OFSTED thus transferred responsibility from </w:t>
      </w:r>
      <w:r w:rsidR="00CC3A5A" w:rsidRPr="00AE141E">
        <w:rPr>
          <w:rFonts w:ascii="Times New Roman" w:hAnsi="Times New Roman" w:cs="Times New Roman"/>
          <w:sz w:val="24"/>
          <w:szCs w:val="24"/>
        </w:rPr>
        <w:t xml:space="preserve">government to communities and teachers, ignoring the reality of </w:t>
      </w:r>
      <w:r w:rsidR="004A5CD9" w:rsidRPr="00AE141E">
        <w:rPr>
          <w:rFonts w:ascii="Times New Roman" w:hAnsi="Times New Roman" w:cs="Times New Roman"/>
          <w:sz w:val="24"/>
          <w:szCs w:val="24"/>
        </w:rPr>
        <w:t>a</w:t>
      </w:r>
      <w:r w:rsidR="00726619">
        <w:rPr>
          <w:rFonts w:ascii="Times New Roman" w:hAnsi="Times New Roman" w:cs="Times New Roman"/>
          <w:sz w:val="24"/>
          <w:szCs w:val="24"/>
        </w:rPr>
        <w:t xml:space="preserve"> social and </w:t>
      </w:r>
      <w:r w:rsidR="004A5CD9" w:rsidRPr="00AE141E">
        <w:rPr>
          <w:rFonts w:ascii="Times New Roman" w:hAnsi="Times New Roman" w:cs="Times New Roman"/>
          <w:sz w:val="24"/>
          <w:szCs w:val="24"/>
        </w:rPr>
        <w:t xml:space="preserve">educational structure </w:t>
      </w:r>
      <w:r w:rsidR="00CF5935" w:rsidRPr="00AE141E">
        <w:rPr>
          <w:rFonts w:ascii="Times New Roman" w:hAnsi="Times New Roman" w:cs="Times New Roman"/>
          <w:sz w:val="24"/>
          <w:szCs w:val="24"/>
        </w:rPr>
        <w:t>which failed to serve the most deprived communities.</w:t>
      </w:r>
      <w:r w:rsidR="008553D6" w:rsidRPr="00AE141E">
        <w:rPr>
          <w:rFonts w:ascii="Times New Roman" w:hAnsi="Times New Roman" w:cs="Times New Roman"/>
          <w:sz w:val="24"/>
          <w:szCs w:val="24"/>
        </w:rPr>
        <w:t xml:space="preserve"> </w:t>
      </w:r>
    </w:p>
    <w:p w14:paraId="72E5ED3C" w14:textId="3F732F55" w:rsidR="006F6189" w:rsidRPr="00AE141E" w:rsidRDefault="008553D6"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very public results of inspections enforced a </w:t>
      </w:r>
      <w:r w:rsidR="00B94848" w:rsidRPr="00AE141E">
        <w:rPr>
          <w:rFonts w:ascii="Times New Roman" w:hAnsi="Times New Roman" w:cs="Times New Roman"/>
          <w:sz w:val="24"/>
          <w:szCs w:val="24"/>
        </w:rPr>
        <w:t>‘system of market competition and rivalry’ which was increasingly enshrined in the cult of the league table.</w:t>
      </w:r>
      <w:r w:rsidR="006D758B" w:rsidRPr="00AE141E">
        <w:rPr>
          <w:rStyle w:val="FootnoteReference"/>
          <w:rFonts w:ascii="Times New Roman" w:hAnsi="Times New Roman" w:cs="Times New Roman"/>
          <w:sz w:val="24"/>
          <w:szCs w:val="24"/>
        </w:rPr>
        <w:footnoteReference w:id="942"/>
      </w:r>
      <w:r w:rsidR="00B94848" w:rsidRPr="00AE141E">
        <w:rPr>
          <w:rFonts w:ascii="Times New Roman" w:hAnsi="Times New Roman" w:cs="Times New Roman"/>
          <w:sz w:val="24"/>
          <w:szCs w:val="24"/>
        </w:rPr>
        <w:t xml:space="preserve"> </w:t>
      </w:r>
      <w:r w:rsidR="003727E2" w:rsidRPr="00AE141E">
        <w:rPr>
          <w:rFonts w:ascii="Times New Roman" w:hAnsi="Times New Roman" w:cs="Times New Roman"/>
          <w:sz w:val="24"/>
          <w:szCs w:val="24"/>
        </w:rPr>
        <w:t xml:space="preserve">A judgement of failure </w:t>
      </w:r>
      <w:r w:rsidR="00C552BD" w:rsidRPr="00AE141E">
        <w:rPr>
          <w:rFonts w:ascii="Times New Roman" w:hAnsi="Times New Roman" w:cs="Times New Roman"/>
          <w:sz w:val="24"/>
          <w:szCs w:val="24"/>
        </w:rPr>
        <w:t xml:space="preserve">risked becoming a self-fulfilling prophecy: </w:t>
      </w:r>
      <w:r w:rsidR="00EC58F5" w:rsidRPr="00AE141E">
        <w:rPr>
          <w:rFonts w:ascii="Times New Roman" w:hAnsi="Times New Roman" w:cs="Times New Roman"/>
          <w:sz w:val="24"/>
          <w:szCs w:val="24"/>
        </w:rPr>
        <w:t xml:space="preserve">to be defined as a ‘bad’ school in the new era of free parental choice could severely impact intake size and </w:t>
      </w:r>
      <w:r w:rsidR="00817673" w:rsidRPr="00AE141E">
        <w:rPr>
          <w:rFonts w:ascii="Times New Roman" w:hAnsi="Times New Roman" w:cs="Times New Roman"/>
          <w:sz w:val="24"/>
          <w:szCs w:val="24"/>
        </w:rPr>
        <w:t>the ‘pupil-generated budget’ to which it was correlated.</w:t>
      </w:r>
      <w:r w:rsidR="00CB5CE7" w:rsidRPr="00AE141E">
        <w:rPr>
          <w:rStyle w:val="FootnoteReference"/>
          <w:rFonts w:ascii="Times New Roman" w:hAnsi="Times New Roman" w:cs="Times New Roman"/>
          <w:sz w:val="24"/>
          <w:szCs w:val="24"/>
        </w:rPr>
        <w:footnoteReference w:id="943"/>
      </w:r>
      <w:r w:rsidR="00817673" w:rsidRPr="00AE141E">
        <w:rPr>
          <w:rFonts w:ascii="Times New Roman" w:hAnsi="Times New Roman" w:cs="Times New Roman"/>
          <w:sz w:val="24"/>
          <w:szCs w:val="24"/>
        </w:rPr>
        <w:t xml:space="preserve"> </w:t>
      </w:r>
      <w:r w:rsidR="007124E3" w:rsidRPr="00AE141E">
        <w:rPr>
          <w:rFonts w:ascii="Times New Roman" w:hAnsi="Times New Roman" w:cs="Times New Roman"/>
          <w:sz w:val="24"/>
          <w:szCs w:val="24"/>
        </w:rPr>
        <w:t xml:space="preserve">Faced with </w:t>
      </w:r>
      <w:r w:rsidR="00575ABB" w:rsidRPr="00AE141E">
        <w:rPr>
          <w:rFonts w:ascii="Times New Roman" w:hAnsi="Times New Roman" w:cs="Times New Roman"/>
          <w:sz w:val="24"/>
          <w:szCs w:val="24"/>
        </w:rPr>
        <w:t xml:space="preserve">the pressure of career-defining assessment, teachers were likely to respond </w:t>
      </w:r>
      <w:r w:rsidR="00657C83" w:rsidRPr="00AE141E">
        <w:rPr>
          <w:rFonts w:ascii="Times New Roman" w:hAnsi="Times New Roman" w:cs="Times New Roman"/>
          <w:sz w:val="24"/>
          <w:szCs w:val="24"/>
        </w:rPr>
        <w:t xml:space="preserve">with enhanced disciplinary measures – up to and including permanent exclusion. The </w:t>
      </w:r>
      <w:r w:rsidR="00335DE2" w:rsidRPr="00AE141E">
        <w:rPr>
          <w:rFonts w:ascii="Times New Roman" w:hAnsi="Times New Roman" w:cs="Times New Roman"/>
          <w:sz w:val="24"/>
          <w:szCs w:val="24"/>
        </w:rPr>
        <w:t>flip side</w:t>
      </w:r>
      <w:r w:rsidR="00657C83" w:rsidRPr="00AE141E">
        <w:rPr>
          <w:rFonts w:ascii="Times New Roman" w:hAnsi="Times New Roman" w:cs="Times New Roman"/>
          <w:sz w:val="24"/>
          <w:szCs w:val="24"/>
        </w:rPr>
        <w:t xml:space="preserve"> of the coin </w:t>
      </w:r>
      <w:r w:rsidR="00335DE2" w:rsidRPr="00AE141E">
        <w:rPr>
          <w:rFonts w:ascii="Times New Roman" w:hAnsi="Times New Roman" w:cs="Times New Roman"/>
          <w:sz w:val="24"/>
          <w:szCs w:val="24"/>
        </w:rPr>
        <w:t>was</w:t>
      </w:r>
      <w:r w:rsidR="00657C83" w:rsidRPr="00AE141E">
        <w:rPr>
          <w:rFonts w:ascii="Times New Roman" w:hAnsi="Times New Roman" w:cs="Times New Roman"/>
          <w:sz w:val="24"/>
          <w:szCs w:val="24"/>
        </w:rPr>
        <w:t xml:space="preserve"> the selection </w:t>
      </w:r>
      <w:r w:rsidR="004D2215" w:rsidRPr="00AE141E">
        <w:rPr>
          <w:rFonts w:ascii="Times New Roman" w:hAnsi="Times New Roman" w:cs="Times New Roman"/>
          <w:sz w:val="24"/>
          <w:szCs w:val="24"/>
        </w:rPr>
        <w:t xml:space="preserve">and prioritisation of students most likely to ‘succeed’ under the new metric, who </w:t>
      </w:r>
      <w:r w:rsidR="00532702" w:rsidRPr="00AE141E">
        <w:rPr>
          <w:rFonts w:ascii="Times New Roman" w:hAnsi="Times New Roman" w:cs="Times New Roman"/>
          <w:sz w:val="24"/>
          <w:szCs w:val="24"/>
        </w:rPr>
        <w:t>were</w:t>
      </w:r>
      <w:r w:rsidR="004D2215" w:rsidRPr="00AE141E">
        <w:rPr>
          <w:rFonts w:ascii="Times New Roman" w:hAnsi="Times New Roman" w:cs="Times New Roman"/>
          <w:sz w:val="24"/>
          <w:szCs w:val="24"/>
        </w:rPr>
        <w:t xml:space="preserve"> inevitably those ‘most able to reflect and reproduce pre-approved knowledge’ and behavioural patterns.</w:t>
      </w:r>
      <w:r w:rsidR="008D63E7" w:rsidRPr="00AE141E">
        <w:rPr>
          <w:rStyle w:val="FootnoteReference"/>
          <w:rFonts w:ascii="Times New Roman" w:hAnsi="Times New Roman" w:cs="Times New Roman"/>
          <w:sz w:val="24"/>
          <w:szCs w:val="24"/>
        </w:rPr>
        <w:footnoteReference w:id="944"/>
      </w:r>
      <w:r w:rsidR="004D2215" w:rsidRPr="00AE141E">
        <w:rPr>
          <w:rFonts w:ascii="Times New Roman" w:hAnsi="Times New Roman" w:cs="Times New Roman"/>
          <w:sz w:val="24"/>
          <w:szCs w:val="24"/>
        </w:rPr>
        <w:t xml:space="preserve"> </w:t>
      </w:r>
      <w:r w:rsidR="00532702" w:rsidRPr="00AE141E">
        <w:rPr>
          <w:rFonts w:ascii="Times New Roman" w:hAnsi="Times New Roman" w:cs="Times New Roman"/>
          <w:sz w:val="24"/>
          <w:szCs w:val="24"/>
        </w:rPr>
        <w:t>Students</w:t>
      </w:r>
      <w:r w:rsidR="00997F55" w:rsidRPr="00AE141E">
        <w:rPr>
          <w:rFonts w:ascii="Times New Roman" w:hAnsi="Times New Roman" w:cs="Times New Roman"/>
          <w:sz w:val="24"/>
          <w:szCs w:val="24"/>
        </w:rPr>
        <w:t xml:space="preserve"> disenfranchised by the system – </w:t>
      </w:r>
      <w:r w:rsidR="00B037E3" w:rsidRPr="00AE141E">
        <w:rPr>
          <w:rFonts w:ascii="Times New Roman" w:hAnsi="Times New Roman" w:cs="Times New Roman"/>
          <w:sz w:val="24"/>
          <w:szCs w:val="24"/>
        </w:rPr>
        <w:t>disproportionately</w:t>
      </w:r>
      <w:r w:rsidR="00997F55" w:rsidRPr="00AE141E">
        <w:rPr>
          <w:rFonts w:ascii="Times New Roman" w:hAnsi="Times New Roman" w:cs="Times New Roman"/>
          <w:sz w:val="24"/>
          <w:szCs w:val="24"/>
        </w:rPr>
        <w:t xml:space="preserve"> drawn from </w:t>
      </w:r>
      <w:r w:rsidR="006B04B4" w:rsidRPr="00AE141E">
        <w:rPr>
          <w:rFonts w:ascii="Times New Roman" w:hAnsi="Times New Roman" w:cs="Times New Roman"/>
          <w:sz w:val="24"/>
          <w:szCs w:val="24"/>
        </w:rPr>
        <w:t>downwardly racialised</w:t>
      </w:r>
      <w:r w:rsidR="00997F55" w:rsidRPr="00AE141E">
        <w:rPr>
          <w:rFonts w:ascii="Times New Roman" w:hAnsi="Times New Roman" w:cs="Times New Roman"/>
          <w:sz w:val="24"/>
          <w:szCs w:val="24"/>
        </w:rPr>
        <w:t xml:space="preserve"> backgrounds </w:t>
      </w:r>
      <w:r w:rsidR="00B037E3" w:rsidRPr="00AE141E">
        <w:rPr>
          <w:rFonts w:ascii="Times New Roman" w:hAnsi="Times New Roman" w:cs="Times New Roman"/>
          <w:sz w:val="24"/>
          <w:szCs w:val="24"/>
        </w:rPr>
        <w:t>–</w:t>
      </w:r>
      <w:r w:rsidR="00997F55" w:rsidRPr="00AE141E">
        <w:rPr>
          <w:rFonts w:ascii="Times New Roman" w:hAnsi="Times New Roman" w:cs="Times New Roman"/>
          <w:sz w:val="24"/>
          <w:szCs w:val="24"/>
        </w:rPr>
        <w:t xml:space="preserve"> would</w:t>
      </w:r>
      <w:r w:rsidR="00B037E3" w:rsidRPr="00AE141E">
        <w:rPr>
          <w:rFonts w:ascii="Times New Roman" w:hAnsi="Times New Roman" w:cs="Times New Roman"/>
          <w:sz w:val="24"/>
          <w:szCs w:val="24"/>
        </w:rPr>
        <w:t xml:space="preserve"> </w:t>
      </w:r>
      <w:r w:rsidR="00997F55" w:rsidRPr="00AE141E">
        <w:rPr>
          <w:rFonts w:ascii="Times New Roman" w:hAnsi="Times New Roman" w:cs="Times New Roman"/>
          <w:sz w:val="24"/>
          <w:szCs w:val="24"/>
        </w:rPr>
        <w:t>simply disappear or be left behind.</w:t>
      </w:r>
      <w:r w:rsidR="006923C4">
        <w:rPr>
          <w:rFonts w:ascii="Times New Roman" w:hAnsi="Times New Roman" w:cs="Times New Roman"/>
          <w:sz w:val="24"/>
          <w:szCs w:val="24"/>
        </w:rPr>
        <w:t xml:space="preserve"> </w:t>
      </w:r>
    </w:p>
    <w:p w14:paraId="2A3CDC24" w14:textId="02773762" w:rsidR="006923C4" w:rsidRDefault="00C2292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w:t>
      </w:r>
      <w:r w:rsidR="000E0B30" w:rsidRPr="00AE141E">
        <w:rPr>
          <w:rFonts w:ascii="Times New Roman" w:hAnsi="Times New Roman" w:cs="Times New Roman"/>
          <w:sz w:val="24"/>
          <w:szCs w:val="24"/>
        </w:rPr>
        <w:t xml:space="preserve">ulticultural and antiracist educators </w:t>
      </w:r>
      <w:r w:rsidR="000B0325" w:rsidRPr="00AE141E">
        <w:rPr>
          <w:rFonts w:ascii="Times New Roman" w:hAnsi="Times New Roman" w:cs="Times New Roman"/>
          <w:sz w:val="24"/>
          <w:szCs w:val="24"/>
        </w:rPr>
        <w:t>concluded that the competitive ethos of the</w:t>
      </w:r>
      <w:r w:rsidR="00C51060" w:rsidRPr="00AE141E">
        <w:rPr>
          <w:rFonts w:ascii="Times New Roman" w:hAnsi="Times New Roman" w:cs="Times New Roman"/>
          <w:sz w:val="24"/>
          <w:szCs w:val="24"/>
        </w:rPr>
        <w:t xml:space="preserve"> National</w:t>
      </w:r>
      <w:r w:rsidR="00E42F9B" w:rsidRPr="00AE141E">
        <w:rPr>
          <w:rFonts w:ascii="Times New Roman" w:hAnsi="Times New Roman" w:cs="Times New Roman"/>
          <w:sz w:val="24"/>
          <w:szCs w:val="24"/>
        </w:rPr>
        <w:t xml:space="preserve"> Curriculum</w:t>
      </w:r>
      <w:r w:rsidR="000B0325" w:rsidRPr="00AE141E">
        <w:rPr>
          <w:rFonts w:ascii="Times New Roman" w:hAnsi="Times New Roman" w:cs="Times New Roman"/>
          <w:sz w:val="24"/>
          <w:szCs w:val="24"/>
        </w:rPr>
        <w:t xml:space="preserve"> would </w:t>
      </w:r>
      <w:r w:rsidR="00222137">
        <w:rPr>
          <w:rFonts w:ascii="Times New Roman" w:hAnsi="Times New Roman" w:cs="Times New Roman"/>
          <w:sz w:val="24"/>
          <w:szCs w:val="24"/>
        </w:rPr>
        <w:t>reinforce</w:t>
      </w:r>
      <w:r w:rsidR="000B0325" w:rsidRPr="00AE141E">
        <w:rPr>
          <w:rFonts w:ascii="Times New Roman" w:hAnsi="Times New Roman" w:cs="Times New Roman"/>
          <w:sz w:val="24"/>
          <w:szCs w:val="24"/>
        </w:rPr>
        <w:t xml:space="preserve"> patterns of racial discrimination.</w:t>
      </w:r>
      <w:r w:rsidR="00291B16">
        <w:rPr>
          <w:rStyle w:val="FootnoteReference"/>
          <w:rFonts w:ascii="Times New Roman" w:hAnsi="Times New Roman" w:cs="Times New Roman"/>
          <w:sz w:val="24"/>
          <w:szCs w:val="24"/>
        </w:rPr>
        <w:footnoteReference w:id="945"/>
      </w:r>
      <w:r w:rsidR="000B0325" w:rsidRPr="00AE141E">
        <w:rPr>
          <w:rFonts w:ascii="Times New Roman" w:hAnsi="Times New Roman" w:cs="Times New Roman"/>
          <w:sz w:val="24"/>
          <w:szCs w:val="24"/>
        </w:rPr>
        <w:t xml:space="preserve"> </w:t>
      </w:r>
      <w:r w:rsidR="00E255B2" w:rsidRPr="00AE141E">
        <w:rPr>
          <w:rFonts w:ascii="Times New Roman" w:hAnsi="Times New Roman" w:cs="Times New Roman"/>
          <w:sz w:val="24"/>
          <w:szCs w:val="24"/>
        </w:rPr>
        <w:t xml:space="preserve">Objections also focused on </w:t>
      </w:r>
      <w:r w:rsidR="00E255B2" w:rsidRPr="00AE141E">
        <w:rPr>
          <w:rFonts w:ascii="Times New Roman" w:hAnsi="Times New Roman" w:cs="Times New Roman"/>
          <w:sz w:val="24"/>
          <w:szCs w:val="24"/>
        </w:rPr>
        <w:lastRenderedPageBreak/>
        <w:t xml:space="preserve">the assimilationist designs of a curriculum which gave </w:t>
      </w:r>
      <w:r w:rsidR="0020103F" w:rsidRPr="00AE141E">
        <w:rPr>
          <w:rFonts w:ascii="Times New Roman" w:hAnsi="Times New Roman" w:cs="Times New Roman"/>
          <w:sz w:val="24"/>
          <w:szCs w:val="24"/>
        </w:rPr>
        <w:t xml:space="preserve">statutory </w:t>
      </w:r>
      <w:r w:rsidR="00E255B2" w:rsidRPr="00AE141E">
        <w:rPr>
          <w:rFonts w:ascii="Times New Roman" w:hAnsi="Times New Roman" w:cs="Times New Roman"/>
          <w:sz w:val="24"/>
          <w:szCs w:val="24"/>
        </w:rPr>
        <w:t>status</w:t>
      </w:r>
      <w:r w:rsidR="0020103F" w:rsidRPr="00AE141E">
        <w:rPr>
          <w:rFonts w:ascii="Times New Roman" w:hAnsi="Times New Roman" w:cs="Times New Roman"/>
          <w:sz w:val="24"/>
          <w:szCs w:val="24"/>
        </w:rPr>
        <w:t xml:space="preserve"> to a specific</w:t>
      </w:r>
      <w:r w:rsidR="00F2605B" w:rsidRPr="00AE141E">
        <w:rPr>
          <w:rFonts w:ascii="Times New Roman" w:hAnsi="Times New Roman" w:cs="Times New Roman"/>
          <w:sz w:val="24"/>
          <w:szCs w:val="24"/>
        </w:rPr>
        <w:t xml:space="preserve"> (and hence limiting)</w:t>
      </w:r>
      <w:r w:rsidR="00997362" w:rsidRPr="00AE141E">
        <w:rPr>
          <w:rFonts w:ascii="Times New Roman" w:hAnsi="Times New Roman" w:cs="Times New Roman"/>
          <w:sz w:val="24"/>
          <w:szCs w:val="24"/>
        </w:rPr>
        <w:t xml:space="preserve"> </w:t>
      </w:r>
      <w:r w:rsidR="00F2605B" w:rsidRPr="00AE141E">
        <w:rPr>
          <w:rFonts w:ascii="Times New Roman" w:hAnsi="Times New Roman" w:cs="Times New Roman"/>
          <w:sz w:val="24"/>
          <w:szCs w:val="24"/>
        </w:rPr>
        <w:t>vision</w:t>
      </w:r>
      <w:r w:rsidR="0020103F" w:rsidRPr="00AE141E">
        <w:rPr>
          <w:rFonts w:ascii="Times New Roman" w:hAnsi="Times New Roman" w:cs="Times New Roman"/>
          <w:sz w:val="24"/>
          <w:szCs w:val="24"/>
        </w:rPr>
        <w:t xml:space="preserve"> of British identity.</w:t>
      </w:r>
      <w:r w:rsidR="00BA0E83" w:rsidRPr="00AE141E">
        <w:rPr>
          <w:rStyle w:val="FootnoteReference"/>
          <w:rFonts w:ascii="Times New Roman" w:hAnsi="Times New Roman" w:cs="Times New Roman"/>
          <w:sz w:val="24"/>
          <w:szCs w:val="24"/>
        </w:rPr>
        <w:footnoteReference w:id="946"/>
      </w:r>
      <w:r w:rsidR="0020103F" w:rsidRPr="00AE141E">
        <w:rPr>
          <w:rFonts w:ascii="Times New Roman" w:hAnsi="Times New Roman" w:cs="Times New Roman"/>
          <w:sz w:val="24"/>
          <w:szCs w:val="24"/>
        </w:rPr>
        <w:t xml:space="preserve"> </w:t>
      </w:r>
      <w:r w:rsidR="00F2605B" w:rsidRPr="00AE141E">
        <w:rPr>
          <w:rFonts w:ascii="Times New Roman" w:hAnsi="Times New Roman" w:cs="Times New Roman"/>
          <w:sz w:val="24"/>
          <w:szCs w:val="24"/>
        </w:rPr>
        <w:t>This was e</w:t>
      </w:r>
      <w:r w:rsidR="00997362" w:rsidRPr="00AE141E">
        <w:rPr>
          <w:rFonts w:ascii="Times New Roman" w:hAnsi="Times New Roman" w:cs="Times New Roman"/>
          <w:sz w:val="24"/>
          <w:szCs w:val="24"/>
        </w:rPr>
        <w:t xml:space="preserve">specially the </w:t>
      </w:r>
      <w:r w:rsidR="00EA1E0B" w:rsidRPr="00AE141E">
        <w:rPr>
          <w:rFonts w:ascii="Times New Roman" w:hAnsi="Times New Roman" w:cs="Times New Roman"/>
          <w:sz w:val="24"/>
          <w:szCs w:val="24"/>
        </w:rPr>
        <w:t xml:space="preserve">case </w:t>
      </w:r>
      <w:r w:rsidR="00F2605B" w:rsidRPr="00AE141E">
        <w:rPr>
          <w:rFonts w:ascii="Times New Roman" w:hAnsi="Times New Roman" w:cs="Times New Roman"/>
          <w:sz w:val="24"/>
          <w:szCs w:val="24"/>
        </w:rPr>
        <w:t>for history which, as we have seen, bore much of the burden of national self-definition.</w:t>
      </w:r>
      <w:r w:rsidR="00462C7D" w:rsidRPr="00AE141E">
        <w:rPr>
          <w:rFonts w:ascii="Times New Roman" w:hAnsi="Times New Roman" w:cs="Times New Roman"/>
          <w:sz w:val="24"/>
          <w:szCs w:val="24"/>
        </w:rPr>
        <w:t xml:space="preserve"> </w:t>
      </w:r>
      <w:r w:rsidR="00BA0E83" w:rsidRPr="00AE141E">
        <w:rPr>
          <w:rFonts w:ascii="Times New Roman" w:hAnsi="Times New Roman" w:cs="Times New Roman"/>
          <w:sz w:val="24"/>
          <w:szCs w:val="24"/>
        </w:rPr>
        <w:t xml:space="preserve">As such, educators </w:t>
      </w:r>
      <w:r w:rsidR="000E0B30" w:rsidRPr="00AE141E">
        <w:rPr>
          <w:rFonts w:ascii="Times New Roman" w:hAnsi="Times New Roman" w:cs="Times New Roman"/>
          <w:sz w:val="24"/>
          <w:szCs w:val="24"/>
        </w:rPr>
        <w:t>sometimes</w:t>
      </w:r>
      <w:r w:rsidR="00D74E57" w:rsidRPr="00AE141E">
        <w:rPr>
          <w:rFonts w:ascii="Times New Roman" w:hAnsi="Times New Roman" w:cs="Times New Roman"/>
          <w:sz w:val="24"/>
          <w:szCs w:val="24"/>
        </w:rPr>
        <w:t xml:space="preserve"> approached </w:t>
      </w:r>
      <w:r w:rsidR="00C67246" w:rsidRPr="00AE141E">
        <w:rPr>
          <w:rFonts w:ascii="Times New Roman" w:hAnsi="Times New Roman" w:cs="Times New Roman"/>
          <w:sz w:val="24"/>
          <w:szCs w:val="24"/>
        </w:rPr>
        <w:t>the National Curriculum</w:t>
      </w:r>
      <w:r w:rsidR="00BA0E83" w:rsidRPr="00AE141E">
        <w:rPr>
          <w:rFonts w:ascii="Times New Roman" w:hAnsi="Times New Roman" w:cs="Times New Roman"/>
          <w:sz w:val="24"/>
          <w:szCs w:val="24"/>
        </w:rPr>
        <w:t xml:space="preserve"> in history</w:t>
      </w:r>
      <w:r w:rsidR="004D5755" w:rsidRPr="00AE141E">
        <w:rPr>
          <w:rFonts w:ascii="Times New Roman" w:hAnsi="Times New Roman" w:cs="Times New Roman"/>
          <w:sz w:val="24"/>
          <w:szCs w:val="24"/>
        </w:rPr>
        <w:t xml:space="preserve"> with the intention of subverting the philosophy which lay behind </w:t>
      </w:r>
      <w:r w:rsidR="00C67246" w:rsidRPr="00AE141E">
        <w:rPr>
          <w:rFonts w:ascii="Times New Roman" w:hAnsi="Times New Roman" w:cs="Times New Roman"/>
          <w:sz w:val="24"/>
          <w:szCs w:val="24"/>
        </w:rPr>
        <w:t>it</w:t>
      </w:r>
      <w:r w:rsidR="004D5755" w:rsidRPr="00AE141E">
        <w:rPr>
          <w:rFonts w:ascii="Times New Roman" w:hAnsi="Times New Roman" w:cs="Times New Roman"/>
          <w:sz w:val="24"/>
          <w:szCs w:val="24"/>
        </w:rPr>
        <w:t>.</w:t>
      </w:r>
      <w:r w:rsidR="00F42ED2" w:rsidRPr="00AE141E">
        <w:rPr>
          <w:rFonts w:ascii="Times New Roman" w:hAnsi="Times New Roman" w:cs="Times New Roman"/>
          <w:sz w:val="24"/>
          <w:szCs w:val="24"/>
        </w:rPr>
        <w:t xml:space="preserve"> </w:t>
      </w:r>
    </w:p>
    <w:p w14:paraId="78CDE936" w14:textId="07352645" w:rsidR="0060705E" w:rsidRPr="00191760" w:rsidRDefault="00191760" w:rsidP="00AE141E">
      <w:pPr>
        <w:spacing w:line="360" w:lineRule="auto"/>
        <w:rPr>
          <w:rFonts w:ascii="Times New Roman" w:hAnsi="Times New Roman" w:cs="Times New Roman"/>
          <w:b/>
          <w:bCs/>
          <w:sz w:val="24"/>
          <w:szCs w:val="24"/>
        </w:rPr>
      </w:pPr>
      <w:r>
        <w:rPr>
          <w:rFonts w:ascii="Times New Roman" w:hAnsi="Times New Roman" w:cs="Times New Roman"/>
          <w:b/>
          <w:bCs/>
          <w:sz w:val="24"/>
          <w:szCs w:val="24"/>
        </w:rPr>
        <w:t>Radical Contestation and its Limits in the new ERA</w:t>
      </w:r>
    </w:p>
    <w:p w14:paraId="0791A8FF" w14:textId="2B27528C" w:rsidR="00281D99" w:rsidRDefault="00A2240F"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Julia Bush</w:t>
      </w:r>
      <w:r w:rsidR="007807AF" w:rsidRPr="00AE141E">
        <w:rPr>
          <w:rFonts w:ascii="Times New Roman" w:hAnsi="Times New Roman" w:cs="Times New Roman"/>
          <w:sz w:val="24"/>
          <w:szCs w:val="24"/>
        </w:rPr>
        <w:t xml:space="preserve">, a multicultural educator based in Northamptonshire, </w:t>
      </w:r>
      <w:r w:rsidR="00EF5580">
        <w:rPr>
          <w:rFonts w:ascii="Times New Roman" w:hAnsi="Times New Roman" w:cs="Times New Roman"/>
          <w:sz w:val="24"/>
          <w:szCs w:val="24"/>
        </w:rPr>
        <w:t>viewed</w:t>
      </w:r>
      <w:r w:rsidR="007928C8" w:rsidRPr="00AE141E">
        <w:rPr>
          <w:rFonts w:ascii="Times New Roman" w:hAnsi="Times New Roman" w:cs="Times New Roman"/>
          <w:sz w:val="24"/>
          <w:szCs w:val="24"/>
        </w:rPr>
        <w:t xml:space="preserve"> the National Curriculum as a</w:t>
      </w:r>
      <w:r w:rsidR="00E56517">
        <w:rPr>
          <w:rFonts w:ascii="Times New Roman" w:hAnsi="Times New Roman" w:cs="Times New Roman"/>
          <w:sz w:val="24"/>
          <w:szCs w:val="24"/>
        </w:rPr>
        <w:t>n</w:t>
      </w:r>
      <w:r w:rsidR="00EF5580">
        <w:rPr>
          <w:rFonts w:ascii="Times New Roman" w:hAnsi="Times New Roman" w:cs="Times New Roman"/>
          <w:sz w:val="24"/>
          <w:szCs w:val="24"/>
        </w:rPr>
        <w:t xml:space="preserve"> essentially</w:t>
      </w:r>
      <w:r w:rsidR="007928C8" w:rsidRPr="00AE141E">
        <w:rPr>
          <w:rFonts w:ascii="Times New Roman" w:hAnsi="Times New Roman" w:cs="Times New Roman"/>
          <w:sz w:val="24"/>
          <w:szCs w:val="24"/>
        </w:rPr>
        <w:t xml:space="preserve"> nationalist endeavour, designed to </w:t>
      </w:r>
      <w:r w:rsidR="001C01AF" w:rsidRPr="00AE141E">
        <w:rPr>
          <w:rFonts w:ascii="Times New Roman" w:hAnsi="Times New Roman" w:cs="Times New Roman"/>
          <w:sz w:val="24"/>
          <w:szCs w:val="24"/>
        </w:rPr>
        <w:t>discard</w:t>
      </w:r>
      <w:r w:rsidR="007928C8" w:rsidRPr="00AE141E">
        <w:rPr>
          <w:rFonts w:ascii="Times New Roman" w:hAnsi="Times New Roman" w:cs="Times New Roman"/>
          <w:sz w:val="24"/>
          <w:szCs w:val="24"/>
        </w:rPr>
        <w:t xml:space="preserve"> the</w:t>
      </w:r>
      <w:r w:rsidR="00D658DF" w:rsidRPr="00AE141E">
        <w:rPr>
          <w:rFonts w:ascii="Times New Roman" w:hAnsi="Times New Roman" w:cs="Times New Roman"/>
          <w:sz w:val="24"/>
          <w:szCs w:val="24"/>
        </w:rPr>
        <w:t xml:space="preserve"> </w:t>
      </w:r>
      <w:r w:rsidR="001C01AF" w:rsidRPr="00AE141E">
        <w:rPr>
          <w:rFonts w:ascii="Times New Roman" w:hAnsi="Times New Roman" w:cs="Times New Roman"/>
          <w:sz w:val="24"/>
          <w:szCs w:val="24"/>
        </w:rPr>
        <w:t>‘tarnished, no-longer-profitable, imperial past’</w:t>
      </w:r>
      <w:r w:rsidR="00D658DF" w:rsidRPr="00AE141E">
        <w:rPr>
          <w:rFonts w:ascii="Times New Roman" w:hAnsi="Times New Roman" w:cs="Times New Roman"/>
          <w:sz w:val="24"/>
          <w:szCs w:val="24"/>
        </w:rPr>
        <w:t xml:space="preserve"> and to re-equip school children with an</w:t>
      </w:r>
      <w:r w:rsidR="007807AF" w:rsidRPr="00AE141E">
        <w:rPr>
          <w:rFonts w:ascii="Times New Roman" w:hAnsi="Times New Roman" w:cs="Times New Roman"/>
          <w:sz w:val="24"/>
          <w:szCs w:val="24"/>
        </w:rPr>
        <w:t xml:space="preserve"> </w:t>
      </w:r>
      <w:r w:rsidR="00D658DF" w:rsidRPr="00AE141E">
        <w:rPr>
          <w:rFonts w:ascii="Times New Roman" w:hAnsi="Times New Roman" w:cs="Times New Roman"/>
          <w:sz w:val="24"/>
          <w:szCs w:val="24"/>
        </w:rPr>
        <w:t>‘acceptably insular British (possibly European?) outlook for a different era</w:t>
      </w:r>
      <w:r w:rsidR="00067D8D" w:rsidRPr="00AE141E">
        <w:rPr>
          <w:rFonts w:ascii="Times New Roman" w:hAnsi="Times New Roman" w:cs="Times New Roman"/>
          <w:sz w:val="24"/>
          <w:szCs w:val="24"/>
        </w:rPr>
        <w:t>’.</w:t>
      </w:r>
      <w:r w:rsidR="00325AF6" w:rsidRPr="00AE141E">
        <w:rPr>
          <w:rStyle w:val="FootnoteReference"/>
          <w:rFonts w:ascii="Times New Roman" w:hAnsi="Times New Roman" w:cs="Times New Roman"/>
          <w:sz w:val="24"/>
          <w:szCs w:val="24"/>
        </w:rPr>
        <w:footnoteReference w:id="947"/>
      </w:r>
      <w:r w:rsidR="00067D8D" w:rsidRPr="00AE141E">
        <w:rPr>
          <w:rFonts w:ascii="Times New Roman" w:hAnsi="Times New Roman" w:cs="Times New Roman"/>
          <w:sz w:val="24"/>
          <w:szCs w:val="24"/>
        </w:rPr>
        <w:t xml:space="preserve"> </w:t>
      </w:r>
      <w:r w:rsidR="00CD6A1F" w:rsidRPr="00AE141E">
        <w:rPr>
          <w:rFonts w:ascii="Times New Roman" w:hAnsi="Times New Roman" w:cs="Times New Roman"/>
          <w:sz w:val="24"/>
          <w:szCs w:val="24"/>
        </w:rPr>
        <w:t xml:space="preserve">Rather than despair, Bush </w:t>
      </w:r>
      <w:r w:rsidR="00EF5580">
        <w:rPr>
          <w:rFonts w:ascii="Times New Roman" w:hAnsi="Times New Roman" w:cs="Times New Roman"/>
          <w:sz w:val="24"/>
          <w:szCs w:val="24"/>
        </w:rPr>
        <w:t>believed that</w:t>
      </w:r>
      <w:r w:rsidR="00CD6A1F" w:rsidRPr="00AE141E">
        <w:rPr>
          <w:rFonts w:ascii="Times New Roman" w:hAnsi="Times New Roman" w:cs="Times New Roman"/>
          <w:sz w:val="24"/>
          <w:szCs w:val="24"/>
        </w:rPr>
        <w:t xml:space="preserve"> history teachers </w:t>
      </w:r>
      <w:r w:rsidR="00EF5580">
        <w:rPr>
          <w:rFonts w:ascii="Times New Roman" w:hAnsi="Times New Roman" w:cs="Times New Roman"/>
          <w:sz w:val="24"/>
          <w:szCs w:val="24"/>
        </w:rPr>
        <w:t>could rework</w:t>
      </w:r>
      <w:r w:rsidR="00646A53" w:rsidRPr="00AE141E">
        <w:rPr>
          <w:rFonts w:ascii="Times New Roman" w:hAnsi="Times New Roman" w:cs="Times New Roman"/>
          <w:sz w:val="24"/>
          <w:szCs w:val="24"/>
        </w:rPr>
        <w:t xml:space="preserve"> prescribed units to subvert their ‘complacent</w:t>
      </w:r>
      <w:r w:rsidR="00556C16">
        <w:rPr>
          <w:rFonts w:ascii="Times New Roman" w:hAnsi="Times New Roman" w:cs="Times New Roman"/>
          <w:sz w:val="24"/>
          <w:szCs w:val="24"/>
        </w:rPr>
        <w:t xml:space="preserve">’ </w:t>
      </w:r>
      <w:r w:rsidR="00646A53" w:rsidRPr="00AE141E">
        <w:rPr>
          <w:rFonts w:ascii="Times New Roman" w:hAnsi="Times New Roman" w:cs="Times New Roman"/>
          <w:sz w:val="24"/>
          <w:szCs w:val="24"/>
        </w:rPr>
        <w:t xml:space="preserve">political message. </w:t>
      </w:r>
      <w:r w:rsidR="005B0E5D" w:rsidRPr="00AE141E">
        <w:rPr>
          <w:rFonts w:ascii="Times New Roman" w:hAnsi="Times New Roman" w:cs="Times New Roman"/>
          <w:sz w:val="24"/>
          <w:szCs w:val="24"/>
        </w:rPr>
        <w:t xml:space="preserve">ATs such as ‘interpretations of history’ and ‘use of historical sources’ offered substantial scope for the </w:t>
      </w:r>
      <w:r w:rsidR="00281D99">
        <w:rPr>
          <w:rFonts w:ascii="Times New Roman" w:hAnsi="Times New Roman" w:cs="Times New Roman"/>
          <w:sz w:val="24"/>
          <w:szCs w:val="24"/>
        </w:rPr>
        <w:t>study</w:t>
      </w:r>
      <w:r w:rsidR="00044F59" w:rsidRPr="00AE141E">
        <w:rPr>
          <w:rFonts w:ascii="Times New Roman" w:hAnsi="Times New Roman" w:cs="Times New Roman"/>
          <w:sz w:val="24"/>
          <w:szCs w:val="24"/>
        </w:rPr>
        <w:t xml:space="preserve"> of existing</w:t>
      </w:r>
      <w:r w:rsidR="0006003F" w:rsidRPr="00AE141E">
        <w:rPr>
          <w:rFonts w:ascii="Times New Roman" w:hAnsi="Times New Roman" w:cs="Times New Roman"/>
          <w:sz w:val="24"/>
          <w:szCs w:val="24"/>
        </w:rPr>
        <w:t xml:space="preserve">, </w:t>
      </w:r>
      <w:r w:rsidR="00007502" w:rsidRPr="00AE141E">
        <w:rPr>
          <w:rFonts w:ascii="Times New Roman" w:hAnsi="Times New Roman" w:cs="Times New Roman"/>
          <w:sz w:val="24"/>
          <w:szCs w:val="24"/>
        </w:rPr>
        <w:t xml:space="preserve">primary </w:t>
      </w:r>
      <w:r w:rsidR="00044F59" w:rsidRPr="00AE141E">
        <w:rPr>
          <w:rFonts w:ascii="Times New Roman" w:hAnsi="Times New Roman" w:cs="Times New Roman"/>
          <w:sz w:val="24"/>
          <w:szCs w:val="24"/>
        </w:rPr>
        <w:t>source-based</w:t>
      </w:r>
      <w:r w:rsidR="00007502" w:rsidRPr="00AE141E">
        <w:rPr>
          <w:rFonts w:ascii="Times New Roman" w:hAnsi="Times New Roman" w:cs="Times New Roman"/>
          <w:sz w:val="24"/>
          <w:szCs w:val="24"/>
        </w:rPr>
        <w:t xml:space="preserve"> materials which took a critical approach to British national identity and its imperial entanglements. </w:t>
      </w:r>
      <w:r w:rsidR="00195D97" w:rsidRPr="00AE141E">
        <w:rPr>
          <w:rFonts w:ascii="Times New Roman" w:hAnsi="Times New Roman" w:cs="Times New Roman"/>
          <w:sz w:val="24"/>
          <w:szCs w:val="24"/>
        </w:rPr>
        <w:t xml:space="preserve">Such work included Bush’s own </w:t>
      </w:r>
      <w:r w:rsidR="00677C6F" w:rsidRPr="00AE141E">
        <w:rPr>
          <w:rFonts w:ascii="Times New Roman" w:hAnsi="Times New Roman" w:cs="Times New Roman"/>
          <w:sz w:val="24"/>
          <w:szCs w:val="24"/>
        </w:rPr>
        <w:t>research on local traces of empire in Northamptonshire, and the resources produced by Sylvia L. Collicott (</w:t>
      </w:r>
      <w:r w:rsidR="008070CE" w:rsidRPr="00AE141E">
        <w:rPr>
          <w:rFonts w:ascii="Times New Roman" w:hAnsi="Times New Roman" w:cs="Times New Roman"/>
          <w:sz w:val="24"/>
          <w:szCs w:val="24"/>
        </w:rPr>
        <w:t>examined in the previous chapter) on imperial legacies in Haringey, north London.</w:t>
      </w:r>
      <w:r w:rsidR="002E62E8" w:rsidRPr="00AE141E">
        <w:rPr>
          <w:rFonts w:ascii="Times New Roman" w:hAnsi="Times New Roman" w:cs="Times New Roman"/>
          <w:sz w:val="24"/>
          <w:szCs w:val="24"/>
        </w:rPr>
        <w:t xml:space="preserve"> </w:t>
      </w:r>
    </w:p>
    <w:p w14:paraId="0AF85C92" w14:textId="2D095B51" w:rsidR="00786A70" w:rsidRPr="00AE141E" w:rsidRDefault="0076384E"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New materials targeting specific areas of the National Curriculum were still being produced. Bush cited the example of a teaching pack produced by the Sheffield Development Education Centre</w:t>
      </w:r>
      <w:r w:rsidR="0060705E">
        <w:rPr>
          <w:rFonts w:ascii="Times New Roman" w:hAnsi="Times New Roman" w:cs="Times New Roman"/>
          <w:sz w:val="24"/>
          <w:szCs w:val="24"/>
        </w:rPr>
        <w:t xml:space="preserve"> (SDEC)</w:t>
      </w:r>
      <w:r w:rsidRPr="00AE141E">
        <w:rPr>
          <w:rFonts w:ascii="Times New Roman" w:hAnsi="Times New Roman" w:cs="Times New Roman"/>
          <w:sz w:val="24"/>
          <w:szCs w:val="24"/>
        </w:rPr>
        <w:t>, entitled ‘Colonialism, Slavery and the Industrial Revolution c. 1700—1860: The Empire in South Yorkshire’.</w:t>
      </w:r>
      <w:r w:rsidR="00281D99">
        <w:rPr>
          <w:rStyle w:val="FootnoteReference"/>
          <w:rFonts w:ascii="Times New Roman" w:hAnsi="Times New Roman" w:cs="Times New Roman"/>
          <w:sz w:val="24"/>
          <w:szCs w:val="24"/>
        </w:rPr>
        <w:footnoteReference w:id="948"/>
      </w:r>
      <w:r w:rsidRPr="00AE141E">
        <w:rPr>
          <w:rFonts w:ascii="Times New Roman" w:hAnsi="Times New Roman" w:cs="Times New Roman"/>
          <w:sz w:val="24"/>
          <w:szCs w:val="24"/>
        </w:rPr>
        <w:t xml:space="preserve"> </w:t>
      </w:r>
      <w:r w:rsidR="005166E0" w:rsidRPr="00AE141E">
        <w:rPr>
          <w:rFonts w:ascii="Times New Roman" w:hAnsi="Times New Roman" w:cs="Times New Roman"/>
          <w:sz w:val="24"/>
          <w:szCs w:val="24"/>
        </w:rPr>
        <w:t xml:space="preserve">Although the pack was designed to </w:t>
      </w:r>
      <w:r w:rsidR="003F587E" w:rsidRPr="00AE141E">
        <w:rPr>
          <w:rFonts w:ascii="Times New Roman" w:hAnsi="Times New Roman" w:cs="Times New Roman"/>
          <w:sz w:val="24"/>
          <w:szCs w:val="24"/>
        </w:rPr>
        <w:t xml:space="preserve">support the study of a KS3 Core Unit </w:t>
      </w:r>
      <w:r w:rsidR="0060705E">
        <w:rPr>
          <w:rFonts w:ascii="Times New Roman" w:hAnsi="Times New Roman" w:cs="Times New Roman"/>
          <w:sz w:val="24"/>
          <w:szCs w:val="24"/>
        </w:rPr>
        <w:t>(</w:t>
      </w:r>
      <w:r w:rsidR="003F587E" w:rsidRPr="00AE141E">
        <w:rPr>
          <w:rFonts w:ascii="Times New Roman" w:hAnsi="Times New Roman" w:cs="Times New Roman"/>
          <w:sz w:val="24"/>
          <w:szCs w:val="24"/>
        </w:rPr>
        <w:t>‘</w:t>
      </w:r>
      <w:r w:rsidR="00786A70" w:rsidRPr="00AE141E">
        <w:rPr>
          <w:rFonts w:ascii="Times New Roman" w:hAnsi="Times New Roman" w:cs="Times New Roman"/>
          <w:sz w:val="24"/>
          <w:szCs w:val="24"/>
        </w:rPr>
        <w:t>Britain 1750- circa 1900</w:t>
      </w:r>
      <w:r w:rsidR="00F153B6" w:rsidRPr="00AE141E">
        <w:rPr>
          <w:rFonts w:ascii="Times New Roman" w:hAnsi="Times New Roman" w:cs="Times New Roman"/>
          <w:sz w:val="24"/>
          <w:szCs w:val="24"/>
        </w:rPr>
        <w:t>’</w:t>
      </w:r>
      <w:r w:rsidR="0060705E">
        <w:rPr>
          <w:rFonts w:ascii="Times New Roman" w:hAnsi="Times New Roman" w:cs="Times New Roman"/>
          <w:sz w:val="24"/>
          <w:szCs w:val="24"/>
        </w:rPr>
        <w:t>)</w:t>
      </w:r>
      <w:r w:rsidR="00F153B6" w:rsidRPr="00AE141E">
        <w:rPr>
          <w:rFonts w:ascii="Times New Roman" w:hAnsi="Times New Roman" w:cs="Times New Roman"/>
          <w:sz w:val="24"/>
          <w:szCs w:val="24"/>
        </w:rPr>
        <w:t xml:space="preserve"> it refused to concede to the logic of </w:t>
      </w:r>
      <w:r w:rsidR="00133644" w:rsidRPr="00AE141E">
        <w:rPr>
          <w:rFonts w:ascii="Times New Roman" w:hAnsi="Times New Roman" w:cs="Times New Roman"/>
          <w:sz w:val="24"/>
          <w:szCs w:val="24"/>
        </w:rPr>
        <w:t xml:space="preserve">the National </w:t>
      </w:r>
      <w:r w:rsidR="00133644" w:rsidRPr="00AE141E">
        <w:rPr>
          <w:rFonts w:ascii="Times New Roman" w:hAnsi="Times New Roman" w:cs="Times New Roman"/>
          <w:sz w:val="24"/>
          <w:szCs w:val="24"/>
        </w:rPr>
        <w:lastRenderedPageBreak/>
        <w:t>Curricul</w:t>
      </w:r>
      <w:r w:rsidR="00081203" w:rsidRPr="00AE141E">
        <w:rPr>
          <w:rFonts w:ascii="Times New Roman" w:hAnsi="Times New Roman" w:cs="Times New Roman"/>
          <w:sz w:val="24"/>
          <w:szCs w:val="24"/>
        </w:rPr>
        <w:t xml:space="preserve">um’s framing, which treated empire </w:t>
      </w:r>
      <w:r w:rsidR="000B1F17" w:rsidRPr="00AE141E">
        <w:rPr>
          <w:rFonts w:ascii="Times New Roman" w:hAnsi="Times New Roman" w:cs="Times New Roman"/>
          <w:sz w:val="24"/>
          <w:szCs w:val="24"/>
        </w:rPr>
        <w:t>as a single</w:t>
      </w:r>
      <w:r w:rsidR="00DF055F">
        <w:rPr>
          <w:rFonts w:ascii="Times New Roman" w:hAnsi="Times New Roman" w:cs="Times New Roman"/>
          <w:sz w:val="24"/>
          <w:szCs w:val="24"/>
        </w:rPr>
        <w:t>, marginal</w:t>
      </w:r>
      <w:r w:rsidR="00D27FBF">
        <w:rPr>
          <w:rFonts w:ascii="Times New Roman" w:hAnsi="Times New Roman" w:cs="Times New Roman"/>
          <w:sz w:val="24"/>
          <w:szCs w:val="24"/>
        </w:rPr>
        <w:t xml:space="preserve"> </w:t>
      </w:r>
      <w:r w:rsidR="000B1F17" w:rsidRPr="00AE141E">
        <w:rPr>
          <w:rFonts w:ascii="Times New Roman" w:hAnsi="Times New Roman" w:cs="Times New Roman"/>
          <w:sz w:val="24"/>
          <w:szCs w:val="24"/>
        </w:rPr>
        <w:t>‘dimension’ of the British past.</w:t>
      </w:r>
      <w:r w:rsidR="00673952" w:rsidRPr="00AE141E">
        <w:rPr>
          <w:rStyle w:val="FootnoteReference"/>
          <w:rFonts w:ascii="Times New Roman" w:hAnsi="Times New Roman" w:cs="Times New Roman"/>
          <w:sz w:val="24"/>
          <w:szCs w:val="24"/>
        </w:rPr>
        <w:footnoteReference w:id="949"/>
      </w:r>
      <w:r w:rsidR="003F587E" w:rsidRPr="00AE141E">
        <w:rPr>
          <w:rFonts w:ascii="Times New Roman" w:hAnsi="Times New Roman" w:cs="Times New Roman"/>
          <w:sz w:val="24"/>
          <w:szCs w:val="24"/>
        </w:rPr>
        <w:t xml:space="preserve"> </w:t>
      </w:r>
      <w:r w:rsidR="000B1F17" w:rsidRPr="00AE141E">
        <w:rPr>
          <w:rFonts w:ascii="Times New Roman" w:hAnsi="Times New Roman" w:cs="Times New Roman"/>
          <w:sz w:val="24"/>
          <w:szCs w:val="24"/>
        </w:rPr>
        <w:t xml:space="preserve">The </w:t>
      </w:r>
      <w:r w:rsidR="0060705E">
        <w:rPr>
          <w:rFonts w:ascii="Times New Roman" w:hAnsi="Times New Roman" w:cs="Times New Roman"/>
          <w:sz w:val="24"/>
          <w:szCs w:val="24"/>
        </w:rPr>
        <w:t>SDEC</w:t>
      </w:r>
      <w:r w:rsidR="000B1F17" w:rsidRPr="00AE141E">
        <w:rPr>
          <w:rFonts w:ascii="Times New Roman" w:hAnsi="Times New Roman" w:cs="Times New Roman"/>
          <w:sz w:val="24"/>
          <w:szCs w:val="24"/>
        </w:rPr>
        <w:t xml:space="preserve"> instead </w:t>
      </w:r>
      <w:r w:rsidR="004C2119" w:rsidRPr="00AE141E">
        <w:rPr>
          <w:rFonts w:ascii="Times New Roman" w:hAnsi="Times New Roman" w:cs="Times New Roman"/>
          <w:sz w:val="24"/>
          <w:szCs w:val="24"/>
        </w:rPr>
        <w:t xml:space="preserve">viewed colonialism as </w:t>
      </w:r>
      <w:r w:rsidR="00830D8C" w:rsidRPr="00AE141E">
        <w:rPr>
          <w:rFonts w:ascii="Times New Roman" w:hAnsi="Times New Roman" w:cs="Times New Roman"/>
          <w:sz w:val="24"/>
          <w:szCs w:val="24"/>
        </w:rPr>
        <w:t xml:space="preserve">a central pillar of </w:t>
      </w:r>
      <w:r w:rsidR="00C245C5" w:rsidRPr="00AE141E">
        <w:rPr>
          <w:rFonts w:ascii="Times New Roman" w:hAnsi="Times New Roman" w:cs="Times New Roman"/>
          <w:sz w:val="24"/>
          <w:szCs w:val="24"/>
        </w:rPr>
        <w:t xml:space="preserve">the country’s </w:t>
      </w:r>
      <w:r w:rsidR="00830D8C" w:rsidRPr="00AE141E">
        <w:rPr>
          <w:rFonts w:ascii="Times New Roman" w:hAnsi="Times New Roman" w:cs="Times New Roman"/>
          <w:sz w:val="24"/>
          <w:szCs w:val="24"/>
        </w:rPr>
        <w:t>economic, political and cultural development</w:t>
      </w:r>
      <w:r w:rsidR="00C245C5" w:rsidRPr="00AE141E">
        <w:rPr>
          <w:rFonts w:ascii="Times New Roman" w:hAnsi="Times New Roman" w:cs="Times New Roman"/>
          <w:sz w:val="24"/>
          <w:szCs w:val="24"/>
        </w:rPr>
        <w:t xml:space="preserve">, which continued to </w:t>
      </w:r>
      <w:r w:rsidR="002B0DA7" w:rsidRPr="00AE141E">
        <w:rPr>
          <w:rFonts w:ascii="Times New Roman" w:hAnsi="Times New Roman" w:cs="Times New Roman"/>
          <w:sz w:val="24"/>
          <w:szCs w:val="24"/>
        </w:rPr>
        <w:t>shape</w:t>
      </w:r>
      <w:r w:rsidR="00C245C5" w:rsidRPr="00AE141E">
        <w:rPr>
          <w:rFonts w:ascii="Times New Roman" w:hAnsi="Times New Roman" w:cs="Times New Roman"/>
          <w:sz w:val="24"/>
          <w:szCs w:val="24"/>
        </w:rPr>
        <w:t xml:space="preserve"> </w:t>
      </w:r>
      <w:r w:rsidR="00954ED8" w:rsidRPr="00AE141E">
        <w:rPr>
          <w:rFonts w:ascii="Times New Roman" w:hAnsi="Times New Roman" w:cs="Times New Roman"/>
          <w:sz w:val="24"/>
          <w:szCs w:val="24"/>
        </w:rPr>
        <w:t>present-day experiences</w:t>
      </w:r>
      <w:r w:rsidR="000255A6" w:rsidRPr="00AE141E">
        <w:rPr>
          <w:rFonts w:ascii="Times New Roman" w:hAnsi="Times New Roman" w:cs="Times New Roman"/>
          <w:sz w:val="24"/>
          <w:szCs w:val="24"/>
        </w:rPr>
        <w:t xml:space="preserve"> of racism and inequality.</w:t>
      </w:r>
      <w:r w:rsidR="00B81332" w:rsidRPr="00AE141E">
        <w:rPr>
          <w:rFonts w:ascii="Times New Roman" w:hAnsi="Times New Roman" w:cs="Times New Roman"/>
          <w:sz w:val="24"/>
          <w:szCs w:val="24"/>
        </w:rPr>
        <w:t xml:space="preserve"> </w:t>
      </w:r>
      <w:r w:rsidR="00954ED8" w:rsidRPr="00AE141E">
        <w:rPr>
          <w:rFonts w:ascii="Times New Roman" w:hAnsi="Times New Roman" w:cs="Times New Roman"/>
          <w:sz w:val="24"/>
          <w:szCs w:val="24"/>
        </w:rPr>
        <w:t>Bush concluded tha</w:t>
      </w:r>
      <w:r w:rsidR="006C068F" w:rsidRPr="00AE141E">
        <w:rPr>
          <w:rFonts w:ascii="Times New Roman" w:hAnsi="Times New Roman" w:cs="Times New Roman"/>
          <w:sz w:val="24"/>
          <w:szCs w:val="24"/>
        </w:rPr>
        <w:t xml:space="preserve">t those teaching the National Curriculum did not have to reproduce </w:t>
      </w:r>
      <w:r w:rsidR="002B0DA7" w:rsidRPr="00AE141E">
        <w:rPr>
          <w:rFonts w:ascii="Times New Roman" w:hAnsi="Times New Roman" w:cs="Times New Roman"/>
          <w:sz w:val="24"/>
          <w:szCs w:val="24"/>
        </w:rPr>
        <w:t>its ideological structures. She acknowledged, however, that the increas</w:t>
      </w:r>
      <w:r w:rsidR="006E3DBA" w:rsidRPr="00AE141E">
        <w:rPr>
          <w:rFonts w:ascii="Times New Roman" w:hAnsi="Times New Roman" w:cs="Times New Roman"/>
          <w:sz w:val="24"/>
          <w:szCs w:val="24"/>
        </w:rPr>
        <w:t>ed workload placed upon teachers limited their capacity to find ‘the time and resources’ to resist.</w:t>
      </w:r>
      <w:r w:rsidR="00DF7E86" w:rsidRPr="00AE141E">
        <w:rPr>
          <w:rStyle w:val="FootnoteReference"/>
          <w:rFonts w:ascii="Times New Roman" w:hAnsi="Times New Roman" w:cs="Times New Roman"/>
          <w:sz w:val="24"/>
          <w:szCs w:val="24"/>
        </w:rPr>
        <w:footnoteReference w:id="950"/>
      </w:r>
    </w:p>
    <w:p w14:paraId="6F3D2539" w14:textId="68B48250" w:rsidR="00884220" w:rsidRPr="00AE141E" w:rsidRDefault="00C6058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Teachers were not the only ones capable of contesting the narrative of the National Curriculum. </w:t>
      </w:r>
      <w:r w:rsidR="00C83AE2">
        <w:rPr>
          <w:rFonts w:ascii="Times New Roman" w:hAnsi="Times New Roman" w:cs="Times New Roman"/>
          <w:sz w:val="24"/>
          <w:szCs w:val="24"/>
        </w:rPr>
        <w:t>Chapter 3</w:t>
      </w:r>
      <w:r w:rsidR="00820A6F" w:rsidRPr="00AE141E">
        <w:rPr>
          <w:rFonts w:ascii="Times New Roman" w:hAnsi="Times New Roman" w:cs="Times New Roman"/>
          <w:sz w:val="24"/>
          <w:szCs w:val="24"/>
        </w:rPr>
        <w:t xml:space="preserve"> showed how vocal and opinionated studen</w:t>
      </w:r>
      <w:r w:rsidR="00732FCB" w:rsidRPr="00AE141E">
        <w:rPr>
          <w:rFonts w:ascii="Times New Roman" w:hAnsi="Times New Roman" w:cs="Times New Roman"/>
          <w:sz w:val="24"/>
          <w:szCs w:val="24"/>
        </w:rPr>
        <w:t xml:space="preserve">ts, especially those from colonised backgrounds, served as educators in their own right. </w:t>
      </w:r>
      <w:r w:rsidR="00C726BA" w:rsidRPr="00AE141E">
        <w:rPr>
          <w:rFonts w:ascii="Times New Roman" w:hAnsi="Times New Roman" w:cs="Times New Roman"/>
          <w:sz w:val="24"/>
          <w:szCs w:val="24"/>
        </w:rPr>
        <w:t>In</w:t>
      </w:r>
      <w:r w:rsidR="0095244B" w:rsidRPr="00AE141E">
        <w:rPr>
          <w:rFonts w:ascii="Times New Roman" w:hAnsi="Times New Roman" w:cs="Times New Roman"/>
          <w:sz w:val="24"/>
          <w:szCs w:val="24"/>
        </w:rPr>
        <w:t xml:space="preserve"> </w:t>
      </w:r>
      <w:r w:rsidR="00714CC3" w:rsidRPr="00AE141E">
        <w:rPr>
          <w:rFonts w:ascii="Times New Roman" w:hAnsi="Times New Roman" w:cs="Times New Roman"/>
          <w:sz w:val="24"/>
          <w:szCs w:val="24"/>
        </w:rPr>
        <w:t xml:space="preserve">July </w:t>
      </w:r>
      <w:r w:rsidR="0095244B" w:rsidRPr="00AE141E">
        <w:rPr>
          <w:rFonts w:ascii="Times New Roman" w:hAnsi="Times New Roman" w:cs="Times New Roman"/>
          <w:sz w:val="24"/>
          <w:szCs w:val="24"/>
        </w:rPr>
        <w:t>1991</w:t>
      </w:r>
      <w:r w:rsidR="00C726BA" w:rsidRPr="00AE141E">
        <w:rPr>
          <w:rFonts w:ascii="Times New Roman" w:hAnsi="Times New Roman" w:cs="Times New Roman"/>
          <w:sz w:val="24"/>
          <w:szCs w:val="24"/>
        </w:rPr>
        <w:t xml:space="preserve">, </w:t>
      </w:r>
      <w:r w:rsidR="00275614" w:rsidRPr="00AE141E">
        <w:rPr>
          <w:rFonts w:ascii="Times New Roman" w:hAnsi="Times New Roman" w:cs="Times New Roman"/>
          <w:sz w:val="24"/>
          <w:szCs w:val="24"/>
        </w:rPr>
        <w:t xml:space="preserve">Pearn and </w:t>
      </w:r>
      <w:r w:rsidR="00714CC3" w:rsidRPr="00AE141E">
        <w:rPr>
          <w:rFonts w:ascii="Times New Roman" w:hAnsi="Times New Roman" w:cs="Times New Roman"/>
          <w:sz w:val="24"/>
          <w:szCs w:val="24"/>
        </w:rPr>
        <w:t>Roy produced a</w:t>
      </w:r>
      <w:r w:rsidR="0095244B" w:rsidRPr="00AE141E">
        <w:rPr>
          <w:rFonts w:ascii="Times New Roman" w:hAnsi="Times New Roman" w:cs="Times New Roman"/>
          <w:sz w:val="24"/>
          <w:szCs w:val="24"/>
        </w:rPr>
        <w:t xml:space="preserve"> study designed to examine the experiences of politically </w:t>
      </w:r>
      <w:r w:rsidR="00C869CD">
        <w:rPr>
          <w:rFonts w:ascii="Times New Roman" w:hAnsi="Times New Roman" w:cs="Times New Roman"/>
          <w:sz w:val="24"/>
          <w:szCs w:val="24"/>
        </w:rPr>
        <w:t>b</w:t>
      </w:r>
      <w:r w:rsidR="0095244B" w:rsidRPr="00AE141E">
        <w:rPr>
          <w:rFonts w:ascii="Times New Roman" w:hAnsi="Times New Roman" w:cs="Times New Roman"/>
          <w:sz w:val="24"/>
          <w:szCs w:val="24"/>
        </w:rPr>
        <w:t>lack students</w:t>
      </w:r>
      <w:r w:rsidR="00714CC3" w:rsidRPr="00AE141E">
        <w:rPr>
          <w:rFonts w:ascii="Times New Roman" w:hAnsi="Times New Roman" w:cs="Times New Roman"/>
          <w:sz w:val="24"/>
          <w:szCs w:val="24"/>
        </w:rPr>
        <w:t xml:space="preserve"> in</w:t>
      </w:r>
      <w:r w:rsidR="002657FA" w:rsidRPr="00AE141E">
        <w:rPr>
          <w:rFonts w:ascii="Times New Roman" w:hAnsi="Times New Roman" w:cs="Times New Roman"/>
          <w:sz w:val="24"/>
          <w:szCs w:val="24"/>
        </w:rPr>
        <w:t xml:space="preserve"> one</w:t>
      </w:r>
      <w:r w:rsidR="00714CC3" w:rsidRPr="00AE141E">
        <w:rPr>
          <w:rFonts w:ascii="Times New Roman" w:hAnsi="Times New Roman" w:cs="Times New Roman"/>
          <w:sz w:val="24"/>
          <w:szCs w:val="24"/>
        </w:rPr>
        <w:t xml:space="preserve"> Sheffield</w:t>
      </w:r>
      <w:r w:rsidR="002657FA" w:rsidRPr="00AE141E">
        <w:rPr>
          <w:rFonts w:ascii="Times New Roman" w:hAnsi="Times New Roman" w:cs="Times New Roman"/>
          <w:sz w:val="24"/>
          <w:szCs w:val="24"/>
        </w:rPr>
        <w:t xml:space="preserve"> secondary school</w:t>
      </w:r>
      <w:r w:rsidR="00714CC3" w:rsidRPr="00AE141E">
        <w:rPr>
          <w:rFonts w:ascii="Times New Roman" w:hAnsi="Times New Roman" w:cs="Times New Roman"/>
          <w:sz w:val="24"/>
          <w:szCs w:val="24"/>
        </w:rPr>
        <w:t>,</w:t>
      </w:r>
      <w:r w:rsidR="0095244B" w:rsidRPr="00AE141E">
        <w:rPr>
          <w:rFonts w:ascii="Times New Roman" w:hAnsi="Times New Roman" w:cs="Times New Roman"/>
          <w:sz w:val="24"/>
          <w:szCs w:val="24"/>
        </w:rPr>
        <w:t xml:space="preserve"> on the eve of the introduction of the National Curriculum</w:t>
      </w:r>
      <w:r w:rsidR="00714CC3" w:rsidRPr="00AE141E">
        <w:rPr>
          <w:rFonts w:ascii="Times New Roman" w:hAnsi="Times New Roman" w:cs="Times New Roman"/>
          <w:sz w:val="24"/>
          <w:szCs w:val="24"/>
        </w:rPr>
        <w:t xml:space="preserve">. It </w:t>
      </w:r>
      <w:r w:rsidR="00F5231D" w:rsidRPr="00AE141E">
        <w:rPr>
          <w:rFonts w:ascii="Times New Roman" w:hAnsi="Times New Roman" w:cs="Times New Roman"/>
          <w:sz w:val="24"/>
          <w:szCs w:val="24"/>
        </w:rPr>
        <w:t xml:space="preserve">showed that students </w:t>
      </w:r>
      <w:r w:rsidR="00627AC7" w:rsidRPr="00AE141E">
        <w:rPr>
          <w:rFonts w:ascii="Times New Roman" w:hAnsi="Times New Roman" w:cs="Times New Roman"/>
          <w:sz w:val="24"/>
          <w:szCs w:val="24"/>
        </w:rPr>
        <w:t xml:space="preserve">remained </w:t>
      </w:r>
      <w:r w:rsidR="00061D8C" w:rsidRPr="00AE141E">
        <w:rPr>
          <w:rFonts w:ascii="Times New Roman" w:hAnsi="Times New Roman" w:cs="Times New Roman"/>
          <w:sz w:val="24"/>
          <w:szCs w:val="24"/>
        </w:rPr>
        <w:t>willing to speak out against perceived injustices – including those ingrained in dominant historical narratives.</w:t>
      </w:r>
      <w:r w:rsidR="00884220" w:rsidRPr="00AE141E">
        <w:rPr>
          <w:rFonts w:ascii="Times New Roman" w:hAnsi="Times New Roman" w:cs="Times New Roman"/>
          <w:sz w:val="24"/>
          <w:szCs w:val="24"/>
        </w:rPr>
        <w:t xml:space="preserve"> Of the twenty </w:t>
      </w:r>
      <w:r w:rsidR="00F46D7F">
        <w:rPr>
          <w:rFonts w:ascii="Times New Roman" w:hAnsi="Times New Roman" w:cs="Times New Roman"/>
          <w:sz w:val="24"/>
          <w:szCs w:val="24"/>
        </w:rPr>
        <w:t>b</w:t>
      </w:r>
      <w:r w:rsidR="00884220" w:rsidRPr="00AE141E">
        <w:rPr>
          <w:rFonts w:ascii="Times New Roman" w:hAnsi="Times New Roman" w:cs="Times New Roman"/>
          <w:sz w:val="24"/>
          <w:szCs w:val="24"/>
        </w:rPr>
        <w:t>lack students interviewed for the study, all agreed that the present curriculum ‘did not reflect their culture or their needs’.</w:t>
      </w:r>
      <w:r w:rsidR="00331D8A" w:rsidRPr="00AE141E">
        <w:rPr>
          <w:rStyle w:val="FootnoteReference"/>
          <w:rFonts w:ascii="Times New Roman" w:hAnsi="Times New Roman" w:cs="Times New Roman"/>
          <w:sz w:val="24"/>
          <w:szCs w:val="24"/>
        </w:rPr>
        <w:footnoteReference w:id="951"/>
      </w:r>
      <w:r w:rsidR="00884220" w:rsidRPr="00AE141E">
        <w:rPr>
          <w:rFonts w:ascii="Times New Roman" w:hAnsi="Times New Roman" w:cs="Times New Roman"/>
          <w:sz w:val="24"/>
          <w:szCs w:val="24"/>
        </w:rPr>
        <w:t xml:space="preserve"> Multiple students reported </w:t>
      </w:r>
      <w:r w:rsidR="00456E1F">
        <w:rPr>
          <w:rFonts w:ascii="Times New Roman" w:hAnsi="Times New Roman" w:cs="Times New Roman"/>
          <w:sz w:val="24"/>
          <w:szCs w:val="24"/>
        </w:rPr>
        <w:t>alienation from</w:t>
      </w:r>
      <w:r w:rsidR="00884220" w:rsidRPr="00AE141E">
        <w:rPr>
          <w:rFonts w:ascii="Times New Roman" w:hAnsi="Times New Roman" w:cs="Times New Roman"/>
          <w:sz w:val="24"/>
          <w:szCs w:val="24"/>
        </w:rPr>
        <w:t xml:space="preserve"> the British-focused school curriculum and called for greater opportunities to study ‘black history’, ‘history from a black perspective’, or </w:t>
      </w:r>
      <w:r w:rsidR="00456E1F">
        <w:rPr>
          <w:rFonts w:ascii="Times New Roman" w:hAnsi="Times New Roman" w:cs="Times New Roman"/>
          <w:sz w:val="24"/>
          <w:szCs w:val="24"/>
        </w:rPr>
        <w:t xml:space="preserve">the </w:t>
      </w:r>
      <w:r w:rsidR="00884220" w:rsidRPr="00AE141E">
        <w:rPr>
          <w:rFonts w:ascii="Times New Roman" w:hAnsi="Times New Roman" w:cs="Times New Roman"/>
          <w:sz w:val="24"/>
          <w:szCs w:val="24"/>
        </w:rPr>
        <w:t>history o</w:t>
      </w:r>
      <w:r w:rsidR="00456E1F">
        <w:rPr>
          <w:rFonts w:ascii="Times New Roman" w:hAnsi="Times New Roman" w:cs="Times New Roman"/>
          <w:sz w:val="24"/>
          <w:szCs w:val="24"/>
        </w:rPr>
        <w:t>f</w:t>
      </w:r>
      <w:r w:rsidR="00884220" w:rsidRPr="00AE141E">
        <w:rPr>
          <w:rFonts w:ascii="Times New Roman" w:hAnsi="Times New Roman" w:cs="Times New Roman"/>
          <w:sz w:val="24"/>
          <w:szCs w:val="24"/>
        </w:rPr>
        <w:t xml:space="preserve"> </w:t>
      </w:r>
      <w:r w:rsidR="00456E1F">
        <w:rPr>
          <w:rFonts w:ascii="Times New Roman" w:hAnsi="Times New Roman" w:cs="Times New Roman"/>
          <w:sz w:val="24"/>
          <w:szCs w:val="24"/>
        </w:rPr>
        <w:t>‘</w:t>
      </w:r>
      <w:r w:rsidR="00884220" w:rsidRPr="00AE141E">
        <w:rPr>
          <w:rFonts w:ascii="Times New Roman" w:hAnsi="Times New Roman" w:cs="Times New Roman"/>
          <w:sz w:val="24"/>
          <w:szCs w:val="24"/>
        </w:rPr>
        <w:t xml:space="preserve">our own countries’. Where attempts were made to teach </w:t>
      </w:r>
      <w:r w:rsidR="00F46D7F">
        <w:rPr>
          <w:rFonts w:ascii="Times New Roman" w:hAnsi="Times New Roman" w:cs="Times New Roman"/>
          <w:sz w:val="24"/>
          <w:szCs w:val="24"/>
        </w:rPr>
        <w:t>b</w:t>
      </w:r>
      <w:r w:rsidR="00884220" w:rsidRPr="00AE141E">
        <w:rPr>
          <w:rFonts w:ascii="Times New Roman" w:hAnsi="Times New Roman" w:cs="Times New Roman"/>
          <w:sz w:val="24"/>
          <w:szCs w:val="24"/>
        </w:rPr>
        <w:t xml:space="preserve">lack history, these were generally regarded as reinforcing a ‘negative image’. Slavery and underdevelopment seemed to be the dominant images associated with </w:t>
      </w:r>
      <w:r w:rsidR="00B9197C">
        <w:rPr>
          <w:rFonts w:ascii="Times New Roman" w:hAnsi="Times New Roman" w:cs="Times New Roman"/>
          <w:sz w:val="24"/>
          <w:szCs w:val="24"/>
        </w:rPr>
        <w:t>b/</w:t>
      </w:r>
      <w:r w:rsidR="00884220" w:rsidRPr="00AE141E">
        <w:rPr>
          <w:rFonts w:ascii="Times New Roman" w:hAnsi="Times New Roman" w:cs="Times New Roman"/>
          <w:sz w:val="24"/>
          <w:szCs w:val="24"/>
        </w:rPr>
        <w:t xml:space="preserve">Blackness. </w:t>
      </w:r>
    </w:p>
    <w:p w14:paraId="094EC98C" w14:textId="04377B90" w:rsidR="00DC59C9" w:rsidRPr="00AE141E" w:rsidRDefault="00F253DD"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w:t>
      </w:r>
      <w:r w:rsidR="00535FA0" w:rsidRPr="00AE141E">
        <w:rPr>
          <w:rFonts w:ascii="Times New Roman" w:hAnsi="Times New Roman" w:cs="Times New Roman"/>
          <w:sz w:val="24"/>
          <w:szCs w:val="24"/>
        </w:rPr>
        <w:t xml:space="preserve">he study took place in the </w:t>
      </w:r>
      <w:r w:rsidRPr="00AE141E">
        <w:rPr>
          <w:rFonts w:ascii="Times New Roman" w:hAnsi="Times New Roman" w:cs="Times New Roman"/>
          <w:sz w:val="24"/>
          <w:szCs w:val="24"/>
        </w:rPr>
        <w:t>aftermath</w:t>
      </w:r>
      <w:r w:rsidR="00535FA0" w:rsidRPr="00AE141E">
        <w:rPr>
          <w:rFonts w:ascii="Times New Roman" w:hAnsi="Times New Roman" w:cs="Times New Roman"/>
          <w:sz w:val="24"/>
          <w:szCs w:val="24"/>
        </w:rPr>
        <w:t xml:space="preserve"> of the Gulf War</w:t>
      </w:r>
      <w:r w:rsidR="000E1944" w:rsidRPr="00AE141E">
        <w:rPr>
          <w:rFonts w:ascii="Times New Roman" w:hAnsi="Times New Roman" w:cs="Times New Roman"/>
          <w:sz w:val="24"/>
          <w:szCs w:val="24"/>
        </w:rPr>
        <w:t>. School policies intended to govern and restrict discussion on the conflict</w:t>
      </w:r>
      <w:r w:rsidR="00CB3F32" w:rsidRPr="00AE141E">
        <w:rPr>
          <w:rFonts w:ascii="Times New Roman" w:hAnsi="Times New Roman" w:cs="Times New Roman"/>
          <w:sz w:val="24"/>
          <w:szCs w:val="24"/>
        </w:rPr>
        <w:t>, for example the Headteacher’s ban on listening to the radio news in classrooms,</w:t>
      </w:r>
      <w:r w:rsidR="000E1944" w:rsidRPr="00AE141E">
        <w:rPr>
          <w:rFonts w:ascii="Times New Roman" w:hAnsi="Times New Roman" w:cs="Times New Roman"/>
          <w:sz w:val="24"/>
          <w:szCs w:val="24"/>
        </w:rPr>
        <w:t xml:space="preserve"> attracted particular criticism.</w:t>
      </w:r>
      <w:r w:rsidR="00290798" w:rsidRPr="00AE141E">
        <w:rPr>
          <w:rStyle w:val="FootnoteReference"/>
          <w:rFonts w:ascii="Times New Roman" w:hAnsi="Times New Roman" w:cs="Times New Roman"/>
          <w:sz w:val="24"/>
          <w:szCs w:val="24"/>
        </w:rPr>
        <w:footnoteReference w:id="952"/>
      </w:r>
      <w:r w:rsidR="000E1944" w:rsidRPr="00AE141E">
        <w:rPr>
          <w:rFonts w:ascii="Times New Roman" w:hAnsi="Times New Roman" w:cs="Times New Roman"/>
          <w:sz w:val="24"/>
          <w:szCs w:val="24"/>
        </w:rPr>
        <w:t xml:space="preserve"> </w:t>
      </w:r>
      <w:r w:rsidR="001F710B" w:rsidRPr="00AE141E">
        <w:rPr>
          <w:rFonts w:ascii="Times New Roman" w:hAnsi="Times New Roman" w:cs="Times New Roman"/>
          <w:sz w:val="24"/>
          <w:szCs w:val="24"/>
        </w:rPr>
        <w:t>The r</w:t>
      </w:r>
      <w:r w:rsidR="000E1944" w:rsidRPr="00AE141E">
        <w:rPr>
          <w:rFonts w:ascii="Times New Roman" w:hAnsi="Times New Roman" w:cs="Times New Roman"/>
          <w:sz w:val="24"/>
          <w:szCs w:val="24"/>
        </w:rPr>
        <w:t xml:space="preserve">esearchers identified </w:t>
      </w:r>
      <w:r w:rsidR="00CB3F32" w:rsidRPr="00AE141E">
        <w:rPr>
          <w:rFonts w:ascii="Times New Roman" w:hAnsi="Times New Roman" w:cs="Times New Roman"/>
          <w:sz w:val="24"/>
          <w:szCs w:val="24"/>
        </w:rPr>
        <w:t xml:space="preserve">simmering frustration </w:t>
      </w:r>
      <w:r w:rsidR="006842CE" w:rsidRPr="00AE141E">
        <w:rPr>
          <w:rFonts w:ascii="Times New Roman" w:hAnsi="Times New Roman" w:cs="Times New Roman"/>
          <w:sz w:val="24"/>
          <w:szCs w:val="24"/>
        </w:rPr>
        <w:t>amongst the student-body. One pupil had become ‘so despondent’ about the school’s unresponsiveness that it had ‘</w:t>
      </w:r>
      <w:r w:rsidR="00535FA0" w:rsidRPr="00AE141E">
        <w:rPr>
          <w:rFonts w:ascii="Times New Roman" w:hAnsi="Times New Roman" w:cs="Times New Roman"/>
          <w:sz w:val="24"/>
          <w:szCs w:val="24"/>
        </w:rPr>
        <w:t>negatively affected his work and motivation’</w:t>
      </w:r>
      <w:r w:rsidR="006842CE" w:rsidRPr="00AE141E">
        <w:rPr>
          <w:rFonts w:ascii="Times New Roman" w:hAnsi="Times New Roman" w:cs="Times New Roman"/>
          <w:sz w:val="24"/>
          <w:szCs w:val="24"/>
        </w:rPr>
        <w:t xml:space="preserve">. Some </w:t>
      </w:r>
      <w:r w:rsidR="00B9197C">
        <w:rPr>
          <w:rFonts w:ascii="Times New Roman" w:hAnsi="Times New Roman" w:cs="Times New Roman"/>
          <w:sz w:val="24"/>
          <w:szCs w:val="24"/>
        </w:rPr>
        <w:t>b</w:t>
      </w:r>
      <w:r w:rsidR="006842CE" w:rsidRPr="00AE141E">
        <w:rPr>
          <w:rFonts w:ascii="Times New Roman" w:hAnsi="Times New Roman" w:cs="Times New Roman"/>
          <w:sz w:val="24"/>
          <w:szCs w:val="24"/>
        </w:rPr>
        <w:t xml:space="preserve">lack students attempted to step up where they believed the school had failed, for </w:t>
      </w:r>
      <w:r w:rsidR="006842CE" w:rsidRPr="00AE141E">
        <w:rPr>
          <w:rFonts w:ascii="Times New Roman" w:hAnsi="Times New Roman" w:cs="Times New Roman"/>
          <w:sz w:val="24"/>
          <w:szCs w:val="24"/>
        </w:rPr>
        <w:lastRenderedPageBreak/>
        <w:t xml:space="preserve">instance by </w:t>
      </w:r>
      <w:r w:rsidR="00EB5A60" w:rsidRPr="00AE141E">
        <w:rPr>
          <w:rFonts w:ascii="Times New Roman" w:hAnsi="Times New Roman" w:cs="Times New Roman"/>
          <w:sz w:val="24"/>
          <w:szCs w:val="24"/>
        </w:rPr>
        <w:t xml:space="preserve">claiming space within their classes to explain their perspectives and to provide information to their peers. </w:t>
      </w:r>
      <w:r w:rsidR="00471296" w:rsidRPr="00AE141E">
        <w:rPr>
          <w:rFonts w:ascii="Times New Roman" w:hAnsi="Times New Roman" w:cs="Times New Roman"/>
          <w:sz w:val="24"/>
          <w:szCs w:val="24"/>
        </w:rPr>
        <w:t xml:space="preserve">The situation within the upper school was eventually identified as ‘explosive’ and </w:t>
      </w:r>
      <w:r w:rsidR="00B84EC7" w:rsidRPr="00AE141E">
        <w:rPr>
          <w:rFonts w:ascii="Times New Roman" w:hAnsi="Times New Roman" w:cs="Times New Roman"/>
          <w:sz w:val="24"/>
          <w:szCs w:val="24"/>
        </w:rPr>
        <w:t xml:space="preserve">senior staff were forced to concede by organising a formal debate. Nevertheless, </w:t>
      </w:r>
      <w:r w:rsidR="005B7F12">
        <w:rPr>
          <w:rFonts w:ascii="Times New Roman" w:hAnsi="Times New Roman" w:cs="Times New Roman"/>
          <w:sz w:val="24"/>
          <w:szCs w:val="24"/>
        </w:rPr>
        <w:t>b</w:t>
      </w:r>
      <w:r w:rsidR="00B84EC7" w:rsidRPr="00AE141E">
        <w:rPr>
          <w:rFonts w:ascii="Times New Roman" w:hAnsi="Times New Roman" w:cs="Times New Roman"/>
          <w:sz w:val="24"/>
          <w:szCs w:val="24"/>
        </w:rPr>
        <w:t xml:space="preserve">lack </w:t>
      </w:r>
      <w:r w:rsidR="00FC27BF" w:rsidRPr="00AE141E">
        <w:rPr>
          <w:rFonts w:ascii="Times New Roman" w:hAnsi="Times New Roman" w:cs="Times New Roman"/>
          <w:sz w:val="24"/>
          <w:szCs w:val="24"/>
        </w:rPr>
        <w:t>pupils</w:t>
      </w:r>
      <w:r w:rsidR="00B84EC7" w:rsidRPr="00AE141E">
        <w:rPr>
          <w:rFonts w:ascii="Times New Roman" w:hAnsi="Times New Roman" w:cs="Times New Roman"/>
          <w:sz w:val="24"/>
          <w:szCs w:val="24"/>
        </w:rPr>
        <w:t xml:space="preserve"> seem to have resented the </w:t>
      </w:r>
      <w:r w:rsidR="00837D19" w:rsidRPr="00AE141E">
        <w:rPr>
          <w:rFonts w:ascii="Times New Roman" w:hAnsi="Times New Roman" w:cs="Times New Roman"/>
          <w:sz w:val="24"/>
          <w:szCs w:val="24"/>
        </w:rPr>
        <w:t xml:space="preserve">controlled nature of this forum for discussion. </w:t>
      </w:r>
      <w:r w:rsidR="00257519" w:rsidRPr="00AE141E">
        <w:rPr>
          <w:rFonts w:ascii="Times New Roman" w:hAnsi="Times New Roman" w:cs="Times New Roman"/>
          <w:sz w:val="24"/>
          <w:szCs w:val="24"/>
        </w:rPr>
        <w:t xml:space="preserve">Such students’ dedication to </w:t>
      </w:r>
      <w:r w:rsidR="007C3523" w:rsidRPr="00AE141E">
        <w:rPr>
          <w:rFonts w:ascii="Times New Roman" w:hAnsi="Times New Roman" w:cs="Times New Roman"/>
          <w:sz w:val="24"/>
          <w:szCs w:val="24"/>
        </w:rPr>
        <w:t xml:space="preserve">narrating history on their own terms – serving as peer educators in the </w:t>
      </w:r>
      <w:r w:rsidR="00462DFF" w:rsidRPr="00AE141E">
        <w:rPr>
          <w:rFonts w:ascii="Times New Roman" w:hAnsi="Times New Roman" w:cs="Times New Roman"/>
          <w:sz w:val="24"/>
          <w:szCs w:val="24"/>
        </w:rPr>
        <w:t>process</w:t>
      </w:r>
      <w:r w:rsidR="007C3523" w:rsidRPr="00AE141E">
        <w:rPr>
          <w:rFonts w:ascii="Times New Roman" w:hAnsi="Times New Roman" w:cs="Times New Roman"/>
          <w:sz w:val="24"/>
          <w:szCs w:val="24"/>
        </w:rPr>
        <w:t xml:space="preserve"> </w:t>
      </w:r>
      <w:r w:rsidR="00462DFF" w:rsidRPr="00AE141E">
        <w:rPr>
          <w:rFonts w:ascii="Times New Roman" w:hAnsi="Times New Roman" w:cs="Times New Roman"/>
          <w:sz w:val="24"/>
          <w:szCs w:val="24"/>
        </w:rPr>
        <w:t>–</w:t>
      </w:r>
      <w:r w:rsidR="007C3523" w:rsidRPr="00AE141E">
        <w:rPr>
          <w:rFonts w:ascii="Times New Roman" w:hAnsi="Times New Roman" w:cs="Times New Roman"/>
          <w:sz w:val="24"/>
          <w:szCs w:val="24"/>
        </w:rPr>
        <w:t xml:space="preserve"> </w:t>
      </w:r>
      <w:r w:rsidR="00462DFF" w:rsidRPr="00AE141E">
        <w:rPr>
          <w:rFonts w:ascii="Times New Roman" w:hAnsi="Times New Roman" w:cs="Times New Roman"/>
          <w:sz w:val="24"/>
          <w:szCs w:val="24"/>
        </w:rPr>
        <w:t>implie</w:t>
      </w:r>
      <w:r w:rsidR="00C91B23">
        <w:rPr>
          <w:rFonts w:ascii="Times New Roman" w:hAnsi="Times New Roman" w:cs="Times New Roman"/>
          <w:sz w:val="24"/>
          <w:szCs w:val="24"/>
        </w:rPr>
        <w:t xml:space="preserve">d </w:t>
      </w:r>
      <w:r w:rsidR="00462DFF" w:rsidRPr="00AE141E">
        <w:rPr>
          <w:rFonts w:ascii="Times New Roman" w:hAnsi="Times New Roman" w:cs="Times New Roman"/>
          <w:sz w:val="24"/>
          <w:szCs w:val="24"/>
        </w:rPr>
        <w:t>that the National Curriculum would not go uncontested</w:t>
      </w:r>
      <w:r w:rsidR="00462C7D" w:rsidRPr="00AE141E">
        <w:rPr>
          <w:rFonts w:ascii="Times New Roman" w:hAnsi="Times New Roman" w:cs="Times New Roman"/>
          <w:sz w:val="24"/>
          <w:szCs w:val="24"/>
        </w:rPr>
        <w:t>.</w:t>
      </w:r>
      <w:r w:rsidR="00B40CFA">
        <w:rPr>
          <w:rFonts w:ascii="Times New Roman" w:hAnsi="Times New Roman" w:cs="Times New Roman"/>
          <w:sz w:val="24"/>
          <w:szCs w:val="24"/>
        </w:rPr>
        <w:t xml:space="preserve"> </w:t>
      </w:r>
      <w:r w:rsidR="00462C7D" w:rsidRPr="00AE141E">
        <w:rPr>
          <w:rFonts w:ascii="Times New Roman" w:hAnsi="Times New Roman" w:cs="Times New Roman"/>
          <w:sz w:val="24"/>
          <w:szCs w:val="24"/>
        </w:rPr>
        <w:t xml:space="preserve">Yet the </w:t>
      </w:r>
      <w:r w:rsidR="001859C5" w:rsidRPr="00AE141E">
        <w:rPr>
          <w:rFonts w:ascii="Times New Roman" w:hAnsi="Times New Roman" w:cs="Times New Roman"/>
          <w:sz w:val="24"/>
          <w:szCs w:val="24"/>
        </w:rPr>
        <w:t xml:space="preserve">authors </w:t>
      </w:r>
      <w:r w:rsidR="00462C7D" w:rsidRPr="00AE141E">
        <w:rPr>
          <w:rFonts w:ascii="Times New Roman" w:hAnsi="Times New Roman" w:cs="Times New Roman"/>
          <w:sz w:val="24"/>
          <w:szCs w:val="24"/>
        </w:rPr>
        <w:t>feared</w:t>
      </w:r>
      <w:r w:rsidR="001859C5" w:rsidRPr="00AE141E">
        <w:rPr>
          <w:rFonts w:ascii="Times New Roman" w:hAnsi="Times New Roman" w:cs="Times New Roman"/>
          <w:sz w:val="24"/>
          <w:szCs w:val="24"/>
        </w:rPr>
        <w:t xml:space="preserve"> that the </w:t>
      </w:r>
      <w:r w:rsidR="008C2184" w:rsidRPr="00AE141E">
        <w:rPr>
          <w:rFonts w:ascii="Times New Roman" w:hAnsi="Times New Roman" w:cs="Times New Roman"/>
          <w:sz w:val="24"/>
          <w:szCs w:val="24"/>
        </w:rPr>
        <w:t>specific</w:t>
      </w:r>
      <w:r w:rsidR="001859C5" w:rsidRPr="00AE141E">
        <w:rPr>
          <w:rFonts w:ascii="Times New Roman" w:hAnsi="Times New Roman" w:cs="Times New Roman"/>
          <w:sz w:val="24"/>
          <w:szCs w:val="24"/>
        </w:rPr>
        <w:t xml:space="preserve"> needs</w:t>
      </w:r>
      <w:r w:rsidR="00006697" w:rsidRPr="00AE141E">
        <w:rPr>
          <w:rFonts w:ascii="Times New Roman" w:hAnsi="Times New Roman" w:cs="Times New Roman"/>
          <w:sz w:val="24"/>
          <w:szCs w:val="24"/>
        </w:rPr>
        <w:t xml:space="preserve"> and desires</w:t>
      </w:r>
      <w:r w:rsidR="001859C5" w:rsidRPr="00AE141E">
        <w:rPr>
          <w:rFonts w:ascii="Times New Roman" w:hAnsi="Times New Roman" w:cs="Times New Roman"/>
          <w:sz w:val="24"/>
          <w:szCs w:val="24"/>
        </w:rPr>
        <w:t xml:space="preserve"> of </w:t>
      </w:r>
      <w:r w:rsidR="009045A1">
        <w:rPr>
          <w:rFonts w:ascii="Times New Roman" w:hAnsi="Times New Roman" w:cs="Times New Roman"/>
          <w:sz w:val="24"/>
          <w:szCs w:val="24"/>
        </w:rPr>
        <w:t>b</w:t>
      </w:r>
      <w:r w:rsidR="001859C5" w:rsidRPr="00AE141E">
        <w:rPr>
          <w:rFonts w:ascii="Times New Roman" w:hAnsi="Times New Roman" w:cs="Times New Roman"/>
          <w:sz w:val="24"/>
          <w:szCs w:val="24"/>
        </w:rPr>
        <w:t>lack pupils risked being ‘submerged’ under the pressure</w:t>
      </w:r>
      <w:r w:rsidR="008C2184" w:rsidRPr="00AE141E">
        <w:rPr>
          <w:rFonts w:ascii="Times New Roman" w:hAnsi="Times New Roman" w:cs="Times New Roman"/>
          <w:sz w:val="24"/>
          <w:szCs w:val="24"/>
        </w:rPr>
        <w:t xml:space="preserve"> faced by schools</w:t>
      </w:r>
      <w:r w:rsidR="001859C5" w:rsidRPr="00AE141E">
        <w:rPr>
          <w:rFonts w:ascii="Times New Roman" w:hAnsi="Times New Roman" w:cs="Times New Roman"/>
          <w:sz w:val="24"/>
          <w:szCs w:val="24"/>
        </w:rPr>
        <w:t xml:space="preserve"> </w:t>
      </w:r>
      <w:r w:rsidR="00006697" w:rsidRPr="00AE141E">
        <w:rPr>
          <w:rFonts w:ascii="Times New Roman" w:hAnsi="Times New Roman" w:cs="Times New Roman"/>
          <w:sz w:val="24"/>
          <w:szCs w:val="24"/>
        </w:rPr>
        <w:t>in the new legislative climate</w:t>
      </w:r>
      <w:r w:rsidR="00462C7D" w:rsidRPr="00AE141E">
        <w:rPr>
          <w:rFonts w:ascii="Times New Roman" w:hAnsi="Times New Roman" w:cs="Times New Roman"/>
          <w:sz w:val="24"/>
          <w:szCs w:val="24"/>
        </w:rPr>
        <w:t xml:space="preserve">. </w:t>
      </w:r>
      <w:r w:rsidR="001000E5" w:rsidRPr="00AE141E">
        <w:rPr>
          <w:rFonts w:ascii="Times New Roman" w:hAnsi="Times New Roman" w:cs="Times New Roman"/>
          <w:sz w:val="24"/>
          <w:szCs w:val="24"/>
        </w:rPr>
        <w:t>ERA’s potential to generate an authoritarian approach to discipline</w:t>
      </w:r>
      <w:r w:rsidR="00E45E91" w:rsidRPr="00AE141E">
        <w:rPr>
          <w:rFonts w:ascii="Times New Roman" w:hAnsi="Times New Roman" w:cs="Times New Roman"/>
          <w:sz w:val="24"/>
          <w:szCs w:val="24"/>
        </w:rPr>
        <w:t xml:space="preserve">, racialised in its application, was of particular concern. </w:t>
      </w:r>
    </w:p>
    <w:p w14:paraId="3C2CA1C4" w14:textId="59ED1698" w:rsidR="00373099" w:rsidRPr="00AE141E" w:rsidRDefault="0019070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experiences of another</w:t>
      </w:r>
      <w:r w:rsidR="009835FF" w:rsidRPr="00AE141E">
        <w:rPr>
          <w:rFonts w:ascii="Times New Roman" w:hAnsi="Times New Roman" w:cs="Times New Roman"/>
          <w:sz w:val="24"/>
          <w:szCs w:val="24"/>
        </w:rPr>
        <w:t xml:space="preserve"> Sheffield </w:t>
      </w:r>
      <w:r w:rsidR="003901A7" w:rsidRPr="00AE141E">
        <w:rPr>
          <w:rFonts w:ascii="Times New Roman" w:hAnsi="Times New Roman" w:cs="Times New Roman"/>
          <w:sz w:val="24"/>
          <w:szCs w:val="24"/>
        </w:rPr>
        <w:t>secondary school,</w:t>
      </w:r>
      <w:r w:rsidR="007972B6" w:rsidRPr="00AE141E">
        <w:rPr>
          <w:rFonts w:ascii="Times New Roman" w:hAnsi="Times New Roman" w:cs="Times New Roman"/>
          <w:sz w:val="24"/>
          <w:szCs w:val="24"/>
        </w:rPr>
        <w:t xml:space="preserve"> </w:t>
      </w:r>
      <w:r w:rsidR="003901A7" w:rsidRPr="00AE141E">
        <w:rPr>
          <w:rFonts w:ascii="Times New Roman" w:hAnsi="Times New Roman" w:cs="Times New Roman"/>
          <w:sz w:val="24"/>
          <w:szCs w:val="24"/>
        </w:rPr>
        <w:t>Earl Marshal</w:t>
      </w:r>
      <w:r w:rsidR="007972B6" w:rsidRPr="00AE141E">
        <w:rPr>
          <w:rFonts w:ascii="Times New Roman" w:hAnsi="Times New Roman" w:cs="Times New Roman"/>
          <w:sz w:val="24"/>
          <w:szCs w:val="24"/>
        </w:rPr>
        <w:t xml:space="preserve">, </w:t>
      </w:r>
      <w:r w:rsidR="009152DC" w:rsidRPr="00AE141E">
        <w:rPr>
          <w:rFonts w:ascii="Times New Roman" w:hAnsi="Times New Roman" w:cs="Times New Roman"/>
          <w:sz w:val="24"/>
          <w:szCs w:val="24"/>
        </w:rPr>
        <w:t>emblematised the problem</w:t>
      </w:r>
      <w:r w:rsidR="007972B6" w:rsidRPr="00AE141E">
        <w:rPr>
          <w:rFonts w:ascii="Times New Roman" w:hAnsi="Times New Roman" w:cs="Times New Roman"/>
          <w:sz w:val="24"/>
          <w:szCs w:val="24"/>
        </w:rPr>
        <w:t xml:space="preserve">. </w:t>
      </w:r>
      <w:r w:rsidR="00D035E4" w:rsidRPr="00AE141E">
        <w:rPr>
          <w:rFonts w:ascii="Times New Roman" w:hAnsi="Times New Roman" w:cs="Times New Roman"/>
          <w:sz w:val="24"/>
          <w:szCs w:val="24"/>
        </w:rPr>
        <w:t xml:space="preserve">From </w:t>
      </w:r>
      <w:r w:rsidR="006F2C4E" w:rsidRPr="00AE141E">
        <w:rPr>
          <w:rFonts w:ascii="Times New Roman" w:hAnsi="Times New Roman" w:cs="Times New Roman"/>
          <w:sz w:val="24"/>
          <w:szCs w:val="24"/>
        </w:rPr>
        <w:t>Searle</w:t>
      </w:r>
      <w:r w:rsidR="00FE126F" w:rsidRPr="00AE141E">
        <w:rPr>
          <w:rFonts w:ascii="Times New Roman" w:hAnsi="Times New Roman" w:cs="Times New Roman"/>
          <w:sz w:val="24"/>
          <w:szCs w:val="24"/>
        </w:rPr>
        <w:t>’s</w:t>
      </w:r>
      <w:r w:rsidR="006F2C4E" w:rsidRPr="00AE141E">
        <w:rPr>
          <w:rFonts w:ascii="Times New Roman" w:hAnsi="Times New Roman" w:cs="Times New Roman"/>
          <w:sz w:val="24"/>
          <w:szCs w:val="24"/>
        </w:rPr>
        <w:t xml:space="preserve"> </w:t>
      </w:r>
      <w:r w:rsidR="00D035E4" w:rsidRPr="00AE141E">
        <w:rPr>
          <w:rFonts w:ascii="Times New Roman" w:hAnsi="Times New Roman" w:cs="Times New Roman"/>
          <w:sz w:val="24"/>
          <w:szCs w:val="24"/>
        </w:rPr>
        <w:t xml:space="preserve">1990 </w:t>
      </w:r>
      <w:r w:rsidR="00CB617E" w:rsidRPr="00AE141E">
        <w:rPr>
          <w:rFonts w:ascii="Times New Roman" w:hAnsi="Times New Roman" w:cs="Times New Roman"/>
          <w:sz w:val="24"/>
          <w:szCs w:val="24"/>
        </w:rPr>
        <w:t>appoint</w:t>
      </w:r>
      <w:r w:rsidR="00FE126F" w:rsidRPr="00AE141E">
        <w:rPr>
          <w:rFonts w:ascii="Times New Roman" w:hAnsi="Times New Roman" w:cs="Times New Roman"/>
          <w:sz w:val="24"/>
          <w:szCs w:val="24"/>
        </w:rPr>
        <w:t>ment as</w:t>
      </w:r>
      <w:r w:rsidR="006F2C4E" w:rsidRPr="00AE141E">
        <w:rPr>
          <w:rFonts w:ascii="Times New Roman" w:hAnsi="Times New Roman" w:cs="Times New Roman"/>
          <w:sz w:val="24"/>
          <w:szCs w:val="24"/>
        </w:rPr>
        <w:t xml:space="preserve"> headmaster</w:t>
      </w:r>
      <w:r w:rsidR="00D035E4" w:rsidRPr="00AE141E">
        <w:rPr>
          <w:rFonts w:ascii="Times New Roman" w:hAnsi="Times New Roman" w:cs="Times New Roman"/>
          <w:sz w:val="24"/>
          <w:szCs w:val="24"/>
        </w:rPr>
        <w:t xml:space="preserve"> </w:t>
      </w:r>
      <w:r w:rsidR="00285E12" w:rsidRPr="00AE141E">
        <w:rPr>
          <w:rFonts w:ascii="Times New Roman" w:hAnsi="Times New Roman" w:cs="Times New Roman"/>
          <w:sz w:val="24"/>
          <w:szCs w:val="24"/>
        </w:rPr>
        <w:t xml:space="preserve">– in the midst of the National Curriculum debate – </w:t>
      </w:r>
      <w:r w:rsidR="00D035E4" w:rsidRPr="00AE141E">
        <w:rPr>
          <w:rFonts w:ascii="Times New Roman" w:hAnsi="Times New Roman" w:cs="Times New Roman"/>
          <w:sz w:val="24"/>
          <w:szCs w:val="24"/>
        </w:rPr>
        <w:t>the school had embraced an ethos of community service.</w:t>
      </w:r>
      <w:r w:rsidR="000C53A6" w:rsidRPr="00AE141E">
        <w:rPr>
          <w:rFonts w:ascii="Times New Roman" w:hAnsi="Times New Roman" w:cs="Times New Roman"/>
          <w:sz w:val="24"/>
          <w:szCs w:val="24"/>
        </w:rPr>
        <w:t xml:space="preserve"> Earl Marshal was located in Sheffield’s most economically deprived area.</w:t>
      </w:r>
      <w:r w:rsidR="00285E12" w:rsidRPr="00AE141E">
        <w:rPr>
          <w:rFonts w:ascii="Times New Roman" w:hAnsi="Times New Roman" w:cs="Times New Roman"/>
          <w:sz w:val="24"/>
          <w:szCs w:val="24"/>
        </w:rPr>
        <w:t xml:space="preserve"> </w:t>
      </w:r>
      <w:r w:rsidR="00CB617E" w:rsidRPr="00AE141E">
        <w:rPr>
          <w:rFonts w:ascii="Times New Roman" w:hAnsi="Times New Roman" w:cs="Times New Roman"/>
          <w:sz w:val="24"/>
          <w:szCs w:val="24"/>
        </w:rPr>
        <w:t xml:space="preserve">Over 80 per cent of </w:t>
      </w:r>
      <w:r w:rsidR="00854943" w:rsidRPr="00AE141E">
        <w:rPr>
          <w:rFonts w:ascii="Times New Roman" w:hAnsi="Times New Roman" w:cs="Times New Roman"/>
          <w:sz w:val="24"/>
          <w:szCs w:val="24"/>
        </w:rPr>
        <w:t>pupils</w:t>
      </w:r>
      <w:r w:rsidR="00CB617E" w:rsidRPr="00AE141E">
        <w:rPr>
          <w:rFonts w:ascii="Times New Roman" w:hAnsi="Times New Roman" w:cs="Times New Roman"/>
          <w:sz w:val="24"/>
          <w:szCs w:val="24"/>
        </w:rPr>
        <w:t xml:space="preserve"> were </w:t>
      </w:r>
      <w:r w:rsidR="000C53A6" w:rsidRPr="00AE141E">
        <w:rPr>
          <w:rFonts w:ascii="Times New Roman" w:hAnsi="Times New Roman" w:cs="Times New Roman"/>
          <w:sz w:val="24"/>
          <w:szCs w:val="24"/>
        </w:rPr>
        <w:t xml:space="preserve">drawn </w:t>
      </w:r>
      <w:r w:rsidR="00CB617E" w:rsidRPr="00AE141E">
        <w:rPr>
          <w:rFonts w:ascii="Times New Roman" w:hAnsi="Times New Roman" w:cs="Times New Roman"/>
          <w:sz w:val="24"/>
          <w:szCs w:val="24"/>
        </w:rPr>
        <w:t xml:space="preserve">from </w:t>
      </w:r>
      <w:r w:rsidR="00067DB1">
        <w:rPr>
          <w:rFonts w:ascii="Times New Roman" w:hAnsi="Times New Roman" w:cs="Times New Roman"/>
          <w:sz w:val="24"/>
          <w:szCs w:val="24"/>
        </w:rPr>
        <w:t>downwardly racialised communities,</w:t>
      </w:r>
      <w:r w:rsidR="00CB617E" w:rsidRPr="00AE141E">
        <w:rPr>
          <w:rFonts w:ascii="Times New Roman" w:hAnsi="Times New Roman" w:cs="Times New Roman"/>
          <w:sz w:val="24"/>
          <w:szCs w:val="24"/>
        </w:rPr>
        <w:t xml:space="preserve"> </w:t>
      </w:r>
      <w:r w:rsidR="00067DB1">
        <w:rPr>
          <w:rFonts w:ascii="Times New Roman" w:hAnsi="Times New Roman" w:cs="Times New Roman"/>
          <w:sz w:val="24"/>
          <w:szCs w:val="24"/>
        </w:rPr>
        <w:t xml:space="preserve">many with </w:t>
      </w:r>
      <w:r w:rsidR="00CB617E" w:rsidRPr="00AE141E">
        <w:rPr>
          <w:rFonts w:ascii="Times New Roman" w:hAnsi="Times New Roman" w:cs="Times New Roman"/>
          <w:sz w:val="24"/>
          <w:szCs w:val="24"/>
        </w:rPr>
        <w:t>origins in former British colonies (primarily Pakistan, Somalia, Yemen, and the Caribbean).</w:t>
      </w:r>
      <w:r w:rsidR="001F1FBE" w:rsidRPr="00AE141E">
        <w:rPr>
          <w:rStyle w:val="FootnoteReference"/>
          <w:rFonts w:ascii="Times New Roman" w:hAnsi="Times New Roman" w:cs="Times New Roman"/>
          <w:sz w:val="24"/>
          <w:szCs w:val="24"/>
        </w:rPr>
        <w:footnoteReference w:id="953"/>
      </w:r>
      <w:r w:rsidR="00CB617E" w:rsidRPr="00AE141E">
        <w:rPr>
          <w:rFonts w:ascii="Times New Roman" w:hAnsi="Times New Roman" w:cs="Times New Roman"/>
          <w:sz w:val="24"/>
          <w:szCs w:val="24"/>
        </w:rPr>
        <w:t xml:space="preserve"> </w:t>
      </w:r>
      <w:r w:rsidR="00854943" w:rsidRPr="00AE141E">
        <w:rPr>
          <w:rFonts w:ascii="Times New Roman" w:hAnsi="Times New Roman" w:cs="Times New Roman"/>
          <w:sz w:val="24"/>
          <w:szCs w:val="24"/>
        </w:rPr>
        <w:t>The student body also contained a high proportion of learners of English as an additional language.</w:t>
      </w:r>
      <w:r w:rsidR="00A37C05" w:rsidRPr="00AE141E">
        <w:rPr>
          <w:rFonts w:ascii="Times New Roman" w:hAnsi="Times New Roman" w:cs="Times New Roman"/>
          <w:sz w:val="24"/>
          <w:szCs w:val="24"/>
        </w:rPr>
        <w:t xml:space="preserve"> </w:t>
      </w:r>
      <w:r w:rsidR="0072611B" w:rsidRPr="00AE141E">
        <w:rPr>
          <w:rFonts w:ascii="Times New Roman" w:hAnsi="Times New Roman" w:cs="Times New Roman"/>
          <w:sz w:val="24"/>
          <w:szCs w:val="24"/>
        </w:rPr>
        <w:t>As such, t</w:t>
      </w:r>
      <w:r w:rsidR="00B45FC6" w:rsidRPr="00AE141E">
        <w:rPr>
          <w:rFonts w:ascii="Times New Roman" w:hAnsi="Times New Roman" w:cs="Times New Roman"/>
          <w:sz w:val="24"/>
          <w:szCs w:val="24"/>
        </w:rPr>
        <w:t xml:space="preserve">he </w:t>
      </w:r>
      <w:r w:rsidR="00FF6657" w:rsidRPr="00AE141E">
        <w:rPr>
          <w:rFonts w:ascii="Times New Roman" w:hAnsi="Times New Roman" w:cs="Times New Roman"/>
          <w:sz w:val="24"/>
          <w:szCs w:val="24"/>
        </w:rPr>
        <w:t>school</w:t>
      </w:r>
      <w:r w:rsidR="00A37C05" w:rsidRPr="00AE141E">
        <w:rPr>
          <w:rFonts w:ascii="Times New Roman" w:hAnsi="Times New Roman" w:cs="Times New Roman"/>
          <w:sz w:val="24"/>
          <w:szCs w:val="24"/>
        </w:rPr>
        <w:t xml:space="preserve"> aimed to affirm the ‘experience, history, languages and faiths of its constituents’.</w:t>
      </w:r>
      <w:r w:rsidR="00B45FC6" w:rsidRPr="00AE141E">
        <w:rPr>
          <w:rFonts w:ascii="Times New Roman" w:hAnsi="Times New Roman" w:cs="Times New Roman"/>
          <w:sz w:val="24"/>
          <w:szCs w:val="24"/>
        </w:rPr>
        <w:t xml:space="preserve"> </w:t>
      </w:r>
      <w:r w:rsidR="0072611B" w:rsidRPr="00AE141E">
        <w:rPr>
          <w:rFonts w:ascii="Times New Roman" w:hAnsi="Times New Roman" w:cs="Times New Roman"/>
          <w:sz w:val="24"/>
          <w:szCs w:val="24"/>
        </w:rPr>
        <w:t>The</w:t>
      </w:r>
      <w:r w:rsidR="00B45FC6" w:rsidRPr="00AE141E">
        <w:rPr>
          <w:rFonts w:ascii="Times New Roman" w:hAnsi="Times New Roman" w:cs="Times New Roman"/>
          <w:sz w:val="24"/>
          <w:szCs w:val="24"/>
        </w:rPr>
        <w:t xml:space="preserve"> </w:t>
      </w:r>
      <w:r w:rsidR="00FF6657" w:rsidRPr="00AE141E">
        <w:rPr>
          <w:rFonts w:ascii="Times New Roman" w:hAnsi="Times New Roman" w:cs="Times New Roman"/>
          <w:sz w:val="24"/>
          <w:szCs w:val="24"/>
        </w:rPr>
        <w:t>curriculum</w:t>
      </w:r>
      <w:r w:rsidR="00B45FC6" w:rsidRPr="00AE141E">
        <w:rPr>
          <w:rFonts w:ascii="Times New Roman" w:hAnsi="Times New Roman" w:cs="Times New Roman"/>
          <w:sz w:val="24"/>
          <w:szCs w:val="24"/>
        </w:rPr>
        <w:t xml:space="preserve"> placed a significant emphasis on language support.</w:t>
      </w:r>
      <w:r w:rsidR="00015F5E">
        <w:rPr>
          <w:rFonts w:ascii="Times New Roman" w:hAnsi="Times New Roman" w:cs="Times New Roman"/>
          <w:sz w:val="24"/>
          <w:szCs w:val="24"/>
        </w:rPr>
        <w:t xml:space="preserve"> </w:t>
      </w:r>
      <w:r w:rsidR="00872F54" w:rsidRPr="00AE141E">
        <w:rPr>
          <w:rFonts w:ascii="Times New Roman" w:hAnsi="Times New Roman" w:cs="Times New Roman"/>
          <w:sz w:val="24"/>
          <w:szCs w:val="24"/>
        </w:rPr>
        <w:t>‘</w:t>
      </w:r>
      <w:r w:rsidR="00015F5E">
        <w:rPr>
          <w:rFonts w:ascii="Times New Roman" w:hAnsi="Times New Roman" w:cs="Times New Roman"/>
          <w:sz w:val="24"/>
          <w:szCs w:val="24"/>
        </w:rPr>
        <w:t>I</w:t>
      </w:r>
      <w:r w:rsidR="00872F54" w:rsidRPr="00AE141E">
        <w:rPr>
          <w:rFonts w:ascii="Times New Roman" w:hAnsi="Times New Roman" w:cs="Times New Roman"/>
          <w:sz w:val="24"/>
          <w:szCs w:val="24"/>
        </w:rPr>
        <w:t>nternationalist’</w:t>
      </w:r>
      <w:r w:rsidR="00015F5E">
        <w:rPr>
          <w:rFonts w:ascii="Times New Roman" w:hAnsi="Times New Roman" w:cs="Times New Roman"/>
          <w:sz w:val="24"/>
          <w:szCs w:val="24"/>
        </w:rPr>
        <w:t>, ‘questioning’</w:t>
      </w:r>
      <w:r w:rsidR="002B5D35" w:rsidRPr="00AE141E">
        <w:rPr>
          <w:rFonts w:ascii="Times New Roman" w:hAnsi="Times New Roman" w:cs="Times New Roman"/>
          <w:sz w:val="24"/>
          <w:szCs w:val="24"/>
        </w:rPr>
        <w:t xml:space="preserve"> perspectives on </w:t>
      </w:r>
      <w:r w:rsidR="005D7B93" w:rsidRPr="00AE141E">
        <w:rPr>
          <w:rFonts w:ascii="Times New Roman" w:hAnsi="Times New Roman" w:cs="Times New Roman"/>
          <w:sz w:val="24"/>
          <w:szCs w:val="24"/>
        </w:rPr>
        <w:t>the National Curriculum</w:t>
      </w:r>
      <w:r w:rsidR="002C53CC">
        <w:rPr>
          <w:rFonts w:ascii="Times New Roman" w:hAnsi="Times New Roman" w:cs="Times New Roman"/>
          <w:sz w:val="24"/>
          <w:szCs w:val="24"/>
        </w:rPr>
        <w:t xml:space="preserve">’s construction of </w:t>
      </w:r>
      <w:r w:rsidR="003C450E">
        <w:rPr>
          <w:rFonts w:ascii="Times New Roman" w:hAnsi="Times New Roman" w:cs="Times New Roman"/>
          <w:sz w:val="24"/>
          <w:szCs w:val="24"/>
        </w:rPr>
        <w:t>British identity</w:t>
      </w:r>
      <w:r w:rsidR="002C53CC">
        <w:rPr>
          <w:rFonts w:ascii="Times New Roman" w:hAnsi="Times New Roman" w:cs="Times New Roman"/>
          <w:sz w:val="24"/>
          <w:szCs w:val="24"/>
        </w:rPr>
        <w:t xml:space="preserve"> </w:t>
      </w:r>
      <w:r w:rsidR="005D7B93" w:rsidRPr="00AE141E">
        <w:rPr>
          <w:rFonts w:ascii="Times New Roman" w:hAnsi="Times New Roman" w:cs="Times New Roman"/>
          <w:sz w:val="24"/>
          <w:szCs w:val="24"/>
        </w:rPr>
        <w:t>were woven through the life of the school.</w:t>
      </w:r>
      <w:r w:rsidR="00403E69">
        <w:rPr>
          <w:rStyle w:val="FootnoteReference"/>
          <w:rFonts w:ascii="Times New Roman" w:hAnsi="Times New Roman" w:cs="Times New Roman"/>
          <w:sz w:val="24"/>
          <w:szCs w:val="24"/>
        </w:rPr>
        <w:footnoteReference w:id="954"/>
      </w:r>
      <w:r w:rsidR="005D7B93" w:rsidRPr="00AE141E">
        <w:rPr>
          <w:rFonts w:ascii="Times New Roman" w:hAnsi="Times New Roman" w:cs="Times New Roman"/>
          <w:sz w:val="24"/>
          <w:szCs w:val="24"/>
        </w:rPr>
        <w:t xml:space="preserve"> </w:t>
      </w:r>
      <w:r w:rsidR="00BB3BBD" w:rsidRPr="00AE141E">
        <w:rPr>
          <w:rFonts w:ascii="Times New Roman" w:hAnsi="Times New Roman" w:cs="Times New Roman"/>
          <w:sz w:val="24"/>
          <w:szCs w:val="24"/>
        </w:rPr>
        <w:t xml:space="preserve">Classrooms were adorned with </w:t>
      </w:r>
      <w:r w:rsidR="006A340F" w:rsidRPr="00AE141E">
        <w:rPr>
          <w:rFonts w:ascii="Times New Roman" w:hAnsi="Times New Roman" w:cs="Times New Roman"/>
          <w:sz w:val="24"/>
          <w:szCs w:val="24"/>
        </w:rPr>
        <w:t xml:space="preserve">the </w:t>
      </w:r>
      <w:r w:rsidR="00A93CDB" w:rsidRPr="00AE141E">
        <w:rPr>
          <w:rFonts w:ascii="Times New Roman" w:hAnsi="Times New Roman" w:cs="Times New Roman"/>
          <w:sz w:val="24"/>
          <w:szCs w:val="24"/>
        </w:rPr>
        <w:t>anti-colonial</w:t>
      </w:r>
      <w:r w:rsidR="006A340F" w:rsidRPr="00AE141E">
        <w:rPr>
          <w:rFonts w:ascii="Times New Roman" w:hAnsi="Times New Roman" w:cs="Times New Roman"/>
          <w:sz w:val="24"/>
          <w:szCs w:val="24"/>
        </w:rPr>
        <w:t xml:space="preserve"> poster-series </w:t>
      </w:r>
      <w:r w:rsidR="006A340F" w:rsidRPr="00AE141E">
        <w:rPr>
          <w:rFonts w:ascii="Times New Roman" w:hAnsi="Times New Roman" w:cs="Times New Roman"/>
          <w:i/>
          <w:sz w:val="24"/>
          <w:szCs w:val="24"/>
        </w:rPr>
        <w:t>Whose World is the World</w:t>
      </w:r>
      <w:r w:rsidR="000A2649">
        <w:rPr>
          <w:rFonts w:ascii="Times New Roman" w:hAnsi="Times New Roman" w:cs="Times New Roman"/>
          <w:i/>
          <w:sz w:val="24"/>
          <w:szCs w:val="24"/>
        </w:rPr>
        <w:t xml:space="preserve"> </w:t>
      </w:r>
      <w:r w:rsidR="000A2649">
        <w:rPr>
          <w:rFonts w:ascii="Times New Roman" w:hAnsi="Times New Roman" w:cs="Times New Roman"/>
          <w:iCs/>
          <w:sz w:val="24"/>
          <w:szCs w:val="24"/>
        </w:rPr>
        <w:t>(</w:t>
      </w:r>
      <w:r w:rsidR="00A93CDB" w:rsidRPr="00AE141E">
        <w:rPr>
          <w:rFonts w:ascii="Times New Roman" w:hAnsi="Times New Roman" w:cs="Times New Roman"/>
          <w:sz w:val="24"/>
          <w:szCs w:val="24"/>
        </w:rPr>
        <w:t xml:space="preserve">discussed in </w:t>
      </w:r>
      <w:r w:rsidR="000A2649">
        <w:rPr>
          <w:rFonts w:ascii="Times New Roman" w:hAnsi="Times New Roman" w:cs="Times New Roman"/>
          <w:sz w:val="24"/>
          <w:szCs w:val="24"/>
        </w:rPr>
        <w:t>Chapter 3)</w:t>
      </w:r>
      <w:r w:rsidR="00197DAE" w:rsidRPr="00AE141E">
        <w:rPr>
          <w:rFonts w:ascii="Times New Roman" w:hAnsi="Times New Roman" w:cs="Times New Roman"/>
          <w:sz w:val="24"/>
          <w:szCs w:val="24"/>
        </w:rPr>
        <w:t>.</w:t>
      </w:r>
      <w:r w:rsidR="005C307D" w:rsidRPr="00AE141E">
        <w:rPr>
          <w:rFonts w:ascii="Times New Roman" w:hAnsi="Times New Roman" w:cs="Times New Roman"/>
          <w:sz w:val="24"/>
          <w:szCs w:val="24"/>
        </w:rPr>
        <w:t xml:space="preserve"> Critical discussions of imperialism extended to Earl Marshal’s approach to the Gulf War. </w:t>
      </w:r>
      <w:r w:rsidR="00015F5E">
        <w:rPr>
          <w:rFonts w:ascii="Times New Roman" w:hAnsi="Times New Roman" w:cs="Times New Roman"/>
          <w:sz w:val="24"/>
          <w:szCs w:val="24"/>
        </w:rPr>
        <w:t>By</w:t>
      </w:r>
      <w:r w:rsidR="005C307D" w:rsidRPr="00AE141E">
        <w:rPr>
          <w:rFonts w:ascii="Times New Roman" w:hAnsi="Times New Roman" w:cs="Times New Roman"/>
          <w:sz w:val="24"/>
          <w:szCs w:val="24"/>
        </w:rPr>
        <w:t xml:space="preserve"> contrast to the caution displayed by other schools in the vicinity, Earl Marshal students were actively encouraged to </w:t>
      </w:r>
      <w:r w:rsidR="00F2649F">
        <w:rPr>
          <w:rFonts w:ascii="Times New Roman" w:hAnsi="Times New Roman" w:cs="Times New Roman"/>
          <w:sz w:val="24"/>
          <w:szCs w:val="24"/>
        </w:rPr>
        <w:t>learn about</w:t>
      </w:r>
      <w:r w:rsidR="005C307D" w:rsidRPr="00AE141E">
        <w:rPr>
          <w:rFonts w:ascii="Times New Roman" w:hAnsi="Times New Roman" w:cs="Times New Roman"/>
          <w:sz w:val="24"/>
          <w:szCs w:val="24"/>
        </w:rPr>
        <w:t xml:space="preserve"> the conflict.</w:t>
      </w:r>
      <w:r w:rsidR="00FC2F64" w:rsidRPr="00AE141E">
        <w:rPr>
          <w:rStyle w:val="FootnoteReference"/>
          <w:rFonts w:ascii="Times New Roman" w:hAnsi="Times New Roman" w:cs="Times New Roman"/>
          <w:sz w:val="24"/>
          <w:szCs w:val="24"/>
        </w:rPr>
        <w:footnoteReference w:id="955"/>
      </w:r>
      <w:r w:rsidR="005C307D" w:rsidRPr="00AE141E">
        <w:rPr>
          <w:rFonts w:ascii="Times New Roman" w:hAnsi="Times New Roman" w:cs="Times New Roman"/>
          <w:sz w:val="24"/>
          <w:szCs w:val="24"/>
        </w:rPr>
        <w:t xml:space="preserve"> </w:t>
      </w:r>
    </w:p>
    <w:p w14:paraId="54318DDF" w14:textId="68AB5F7D" w:rsidR="0024566F" w:rsidRPr="00AE141E" w:rsidRDefault="00C40C30"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1993,</w:t>
      </w:r>
      <w:r w:rsidR="006838F5" w:rsidRPr="00AE141E">
        <w:rPr>
          <w:rFonts w:ascii="Times New Roman" w:hAnsi="Times New Roman" w:cs="Times New Roman"/>
          <w:sz w:val="24"/>
          <w:szCs w:val="24"/>
        </w:rPr>
        <w:t xml:space="preserve"> the school published</w:t>
      </w:r>
      <w:r w:rsidRPr="00AE141E">
        <w:rPr>
          <w:rFonts w:ascii="Times New Roman" w:hAnsi="Times New Roman" w:cs="Times New Roman"/>
          <w:sz w:val="24"/>
          <w:szCs w:val="24"/>
        </w:rPr>
        <w:t xml:space="preserve"> </w:t>
      </w:r>
      <w:r w:rsidR="007F650B" w:rsidRPr="00AE141E">
        <w:rPr>
          <w:rFonts w:ascii="Times New Roman" w:hAnsi="Times New Roman" w:cs="Times New Roman"/>
          <w:i/>
          <w:sz w:val="24"/>
          <w:szCs w:val="24"/>
        </w:rPr>
        <w:t>Lives of Love and Hope: A Sheffield Herstory</w:t>
      </w:r>
      <w:r w:rsidR="006838F5" w:rsidRPr="00AE141E">
        <w:rPr>
          <w:rFonts w:ascii="Times New Roman" w:hAnsi="Times New Roman" w:cs="Times New Roman"/>
          <w:i/>
          <w:sz w:val="24"/>
          <w:szCs w:val="24"/>
        </w:rPr>
        <w:t xml:space="preserve">, </w:t>
      </w:r>
      <w:r w:rsidR="006838F5" w:rsidRPr="00AE141E">
        <w:rPr>
          <w:rFonts w:ascii="Times New Roman" w:hAnsi="Times New Roman" w:cs="Times New Roman"/>
          <w:sz w:val="24"/>
          <w:szCs w:val="24"/>
        </w:rPr>
        <w:t xml:space="preserve">a </w:t>
      </w:r>
      <w:r w:rsidR="00C625D2" w:rsidRPr="00AE141E">
        <w:rPr>
          <w:rFonts w:ascii="Times New Roman" w:hAnsi="Times New Roman" w:cs="Times New Roman"/>
          <w:sz w:val="24"/>
          <w:szCs w:val="24"/>
        </w:rPr>
        <w:t>collection of interviews with</w:t>
      </w:r>
      <w:r w:rsidR="009A08D1" w:rsidRPr="00AE141E">
        <w:rPr>
          <w:rFonts w:ascii="Times New Roman" w:hAnsi="Times New Roman" w:cs="Times New Roman"/>
          <w:sz w:val="24"/>
          <w:szCs w:val="24"/>
        </w:rPr>
        <w:t xml:space="preserve"> </w:t>
      </w:r>
      <w:r w:rsidR="007F650B" w:rsidRPr="00AE141E">
        <w:rPr>
          <w:rFonts w:ascii="Times New Roman" w:hAnsi="Times New Roman" w:cs="Times New Roman"/>
          <w:sz w:val="24"/>
          <w:szCs w:val="24"/>
        </w:rPr>
        <w:t>local women</w:t>
      </w:r>
      <w:r w:rsidR="009A08D1" w:rsidRPr="00AE141E">
        <w:rPr>
          <w:rFonts w:ascii="Times New Roman" w:hAnsi="Times New Roman" w:cs="Times New Roman"/>
          <w:sz w:val="24"/>
          <w:szCs w:val="24"/>
        </w:rPr>
        <w:t xml:space="preserve">, </w:t>
      </w:r>
      <w:r w:rsidR="005F489D">
        <w:rPr>
          <w:rFonts w:ascii="Times New Roman" w:hAnsi="Times New Roman" w:cs="Times New Roman"/>
          <w:sz w:val="24"/>
          <w:szCs w:val="24"/>
        </w:rPr>
        <w:t>transcribed and edited</w:t>
      </w:r>
      <w:r w:rsidR="009A08D1" w:rsidRPr="00AE141E">
        <w:rPr>
          <w:rFonts w:ascii="Times New Roman" w:hAnsi="Times New Roman" w:cs="Times New Roman"/>
          <w:sz w:val="24"/>
          <w:szCs w:val="24"/>
        </w:rPr>
        <w:t xml:space="preserve"> by their own children</w:t>
      </w:r>
      <w:r w:rsidR="006838F5" w:rsidRPr="00AE141E">
        <w:rPr>
          <w:rFonts w:ascii="Times New Roman" w:hAnsi="Times New Roman" w:cs="Times New Roman"/>
          <w:sz w:val="24"/>
          <w:szCs w:val="24"/>
        </w:rPr>
        <w:t>.</w:t>
      </w:r>
      <w:r w:rsidR="009A08D1" w:rsidRPr="00AE141E">
        <w:rPr>
          <w:rFonts w:ascii="Times New Roman" w:hAnsi="Times New Roman" w:cs="Times New Roman"/>
          <w:sz w:val="24"/>
          <w:szCs w:val="24"/>
        </w:rPr>
        <w:t xml:space="preserve"> </w:t>
      </w:r>
      <w:r w:rsidR="00FE39C3" w:rsidRPr="00AE141E">
        <w:rPr>
          <w:rFonts w:ascii="Times New Roman" w:hAnsi="Times New Roman" w:cs="Times New Roman"/>
          <w:sz w:val="24"/>
          <w:szCs w:val="24"/>
        </w:rPr>
        <w:t xml:space="preserve">The text affirmed the </w:t>
      </w:r>
      <w:r w:rsidR="005F489D">
        <w:rPr>
          <w:rFonts w:ascii="Times New Roman" w:hAnsi="Times New Roman" w:cs="Times New Roman"/>
          <w:sz w:val="24"/>
          <w:szCs w:val="24"/>
        </w:rPr>
        <w:t>importance of</w:t>
      </w:r>
      <w:r w:rsidR="00FE39C3" w:rsidRPr="00AE141E">
        <w:rPr>
          <w:rFonts w:ascii="Times New Roman" w:hAnsi="Times New Roman" w:cs="Times New Roman"/>
          <w:sz w:val="24"/>
          <w:szCs w:val="24"/>
        </w:rPr>
        <w:t xml:space="preserve"> gender, rac</w:t>
      </w:r>
      <w:r w:rsidR="005F489D">
        <w:rPr>
          <w:rFonts w:ascii="Times New Roman" w:hAnsi="Times New Roman" w:cs="Times New Roman"/>
          <w:sz w:val="24"/>
          <w:szCs w:val="24"/>
        </w:rPr>
        <w:t>e,</w:t>
      </w:r>
      <w:r w:rsidR="00FE39C3" w:rsidRPr="00AE141E">
        <w:rPr>
          <w:rFonts w:ascii="Times New Roman" w:hAnsi="Times New Roman" w:cs="Times New Roman"/>
          <w:sz w:val="24"/>
          <w:szCs w:val="24"/>
        </w:rPr>
        <w:t xml:space="preserve"> and class </w:t>
      </w:r>
      <w:r w:rsidR="005F489D">
        <w:rPr>
          <w:rFonts w:ascii="Times New Roman" w:hAnsi="Times New Roman" w:cs="Times New Roman"/>
          <w:sz w:val="24"/>
          <w:szCs w:val="24"/>
        </w:rPr>
        <w:t>as categories of historical analysis</w:t>
      </w:r>
      <w:r w:rsidR="00FE39C3" w:rsidRPr="00AE141E">
        <w:rPr>
          <w:rFonts w:ascii="Times New Roman" w:hAnsi="Times New Roman" w:cs="Times New Roman"/>
          <w:sz w:val="24"/>
          <w:szCs w:val="24"/>
        </w:rPr>
        <w:t xml:space="preserve">. It also </w:t>
      </w:r>
      <w:r w:rsidR="005F489D">
        <w:rPr>
          <w:rFonts w:ascii="Times New Roman" w:hAnsi="Times New Roman" w:cs="Times New Roman"/>
          <w:sz w:val="24"/>
          <w:szCs w:val="24"/>
        </w:rPr>
        <w:t>took</w:t>
      </w:r>
      <w:r w:rsidR="00FE39C3" w:rsidRPr="00AE141E">
        <w:rPr>
          <w:rFonts w:ascii="Times New Roman" w:hAnsi="Times New Roman" w:cs="Times New Roman"/>
          <w:sz w:val="24"/>
          <w:szCs w:val="24"/>
        </w:rPr>
        <w:t xml:space="preserve"> a distinctly anti-imperialist tone</w:t>
      </w:r>
      <w:r w:rsidR="009A08D1" w:rsidRPr="00AE141E">
        <w:rPr>
          <w:rFonts w:ascii="Times New Roman" w:hAnsi="Times New Roman" w:cs="Times New Roman"/>
          <w:sz w:val="24"/>
          <w:szCs w:val="24"/>
        </w:rPr>
        <w:t xml:space="preserve">. </w:t>
      </w:r>
      <w:r w:rsidR="00285C41" w:rsidRPr="00AE141E">
        <w:rPr>
          <w:rFonts w:ascii="Times New Roman" w:hAnsi="Times New Roman" w:cs="Times New Roman"/>
          <w:sz w:val="24"/>
          <w:szCs w:val="24"/>
        </w:rPr>
        <w:t>Safa Mohammed,</w:t>
      </w:r>
      <w:r w:rsidR="00742E54" w:rsidRPr="00AE141E">
        <w:rPr>
          <w:rFonts w:ascii="Times New Roman" w:hAnsi="Times New Roman" w:cs="Times New Roman"/>
          <w:sz w:val="24"/>
          <w:szCs w:val="24"/>
        </w:rPr>
        <w:t xml:space="preserve"> a Yemeni student who had been in the UK </w:t>
      </w:r>
      <w:r w:rsidR="00742E54" w:rsidRPr="00AE141E">
        <w:rPr>
          <w:rFonts w:ascii="Times New Roman" w:hAnsi="Times New Roman" w:cs="Times New Roman"/>
          <w:sz w:val="24"/>
          <w:szCs w:val="24"/>
        </w:rPr>
        <w:lastRenderedPageBreak/>
        <w:t>for less than a year,</w:t>
      </w:r>
      <w:r w:rsidR="00285C41" w:rsidRPr="00AE141E">
        <w:rPr>
          <w:rFonts w:ascii="Times New Roman" w:hAnsi="Times New Roman" w:cs="Times New Roman"/>
          <w:sz w:val="24"/>
          <w:szCs w:val="24"/>
        </w:rPr>
        <w:t xml:space="preserve"> decided to interview her mother for the project</w:t>
      </w:r>
      <w:r w:rsidR="00742E54" w:rsidRPr="00AE141E">
        <w:rPr>
          <w:rFonts w:ascii="Times New Roman" w:hAnsi="Times New Roman" w:cs="Times New Roman"/>
          <w:sz w:val="24"/>
          <w:szCs w:val="24"/>
        </w:rPr>
        <w:t xml:space="preserve">. The </w:t>
      </w:r>
      <w:r w:rsidR="00F25815" w:rsidRPr="00AE141E">
        <w:rPr>
          <w:rFonts w:ascii="Times New Roman" w:hAnsi="Times New Roman" w:cs="Times New Roman"/>
          <w:sz w:val="24"/>
          <w:szCs w:val="24"/>
        </w:rPr>
        <w:t xml:space="preserve">result was a women’s history of Yemeni </w:t>
      </w:r>
      <w:r w:rsidR="006C7F9A" w:rsidRPr="00AE141E">
        <w:rPr>
          <w:rFonts w:ascii="Times New Roman" w:hAnsi="Times New Roman" w:cs="Times New Roman"/>
          <w:sz w:val="24"/>
          <w:szCs w:val="24"/>
        </w:rPr>
        <w:t>resistance</w:t>
      </w:r>
      <w:r w:rsidR="00F25815" w:rsidRPr="00AE141E">
        <w:rPr>
          <w:rFonts w:ascii="Times New Roman" w:hAnsi="Times New Roman" w:cs="Times New Roman"/>
          <w:sz w:val="24"/>
          <w:szCs w:val="24"/>
        </w:rPr>
        <w:t xml:space="preserve"> </w:t>
      </w:r>
      <w:r w:rsidR="00285C41" w:rsidRPr="00AE141E">
        <w:rPr>
          <w:rFonts w:ascii="Times New Roman" w:hAnsi="Times New Roman" w:cs="Times New Roman"/>
          <w:sz w:val="24"/>
          <w:szCs w:val="24"/>
        </w:rPr>
        <w:t>against British colonialism</w:t>
      </w:r>
      <w:r w:rsidR="00F25815" w:rsidRPr="00AE141E">
        <w:rPr>
          <w:rFonts w:ascii="Times New Roman" w:hAnsi="Times New Roman" w:cs="Times New Roman"/>
          <w:sz w:val="24"/>
          <w:szCs w:val="24"/>
        </w:rPr>
        <w:t xml:space="preserve"> </w:t>
      </w:r>
      <w:r w:rsidR="006C7F9A" w:rsidRPr="00AE141E">
        <w:rPr>
          <w:rFonts w:ascii="Times New Roman" w:hAnsi="Times New Roman" w:cs="Times New Roman"/>
          <w:sz w:val="24"/>
          <w:szCs w:val="24"/>
        </w:rPr>
        <w:t xml:space="preserve">– a struggle in which Mohammed’s father had been blinded, with life-changing implications for his </w:t>
      </w:r>
      <w:r w:rsidR="00643BD6" w:rsidRPr="00AE141E">
        <w:rPr>
          <w:rFonts w:ascii="Times New Roman" w:hAnsi="Times New Roman" w:cs="Times New Roman"/>
          <w:sz w:val="24"/>
          <w:szCs w:val="24"/>
        </w:rPr>
        <w:t>betrothed</w:t>
      </w:r>
      <w:r w:rsidR="007076C6" w:rsidRPr="00AE141E">
        <w:rPr>
          <w:rFonts w:ascii="Times New Roman" w:hAnsi="Times New Roman" w:cs="Times New Roman"/>
          <w:sz w:val="24"/>
          <w:szCs w:val="24"/>
        </w:rPr>
        <w:t xml:space="preserve"> (Mohammed’s mother)</w:t>
      </w:r>
      <w:r w:rsidR="00643BD6" w:rsidRPr="00AE141E">
        <w:rPr>
          <w:rFonts w:ascii="Times New Roman" w:hAnsi="Times New Roman" w:cs="Times New Roman"/>
          <w:sz w:val="24"/>
          <w:szCs w:val="24"/>
        </w:rPr>
        <w:t xml:space="preserve">, who became </w:t>
      </w:r>
      <w:r w:rsidR="006847D9">
        <w:rPr>
          <w:rFonts w:ascii="Times New Roman" w:hAnsi="Times New Roman" w:cs="Times New Roman"/>
          <w:sz w:val="24"/>
          <w:szCs w:val="24"/>
        </w:rPr>
        <w:t xml:space="preserve">a </w:t>
      </w:r>
      <w:r w:rsidR="007076C6" w:rsidRPr="00AE141E">
        <w:rPr>
          <w:rFonts w:ascii="Times New Roman" w:hAnsi="Times New Roman" w:cs="Times New Roman"/>
          <w:sz w:val="24"/>
          <w:szCs w:val="24"/>
        </w:rPr>
        <w:t>wife and</w:t>
      </w:r>
      <w:r w:rsidR="00643BD6" w:rsidRPr="00AE141E">
        <w:rPr>
          <w:rFonts w:ascii="Times New Roman" w:hAnsi="Times New Roman" w:cs="Times New Roman"/>
          <w:sz w:val="24"/>
          <w:szCs w:val="24"/>
        </w:rPr>
        <w:t xml:space="preserve"> </w:t>
      </w:r>
      <w:r w:rsidR="00B35F6A" w:rsidRPr="00AE141E">
        <w:rPr>
          <w:rFonts w:ascii="Times New Roman" w:hAnsi="Times New Roman" w:cs="Times New Roman"/>
          <w:sz w:val="24"/>
          <w:szCs w:val="24"/>
        </w:rPr>
        <w:t>caregiver</w:t>
      </w:r>
      <w:r w:rsidR="00643BD6" w:rsidRPr="00AE141E">
        <w:rPr>
          <w:rFonts w:ascii="Times New Roman" w:hAnsi="Times New Roman" w:cs="Times New Roman"/>
          <w:sz w:val="24"/>
          <w:szCs w:val="24"/>
        </w:rPr>
        <w:t xml:space="preserve"> at just thirteen</w:t>
      </w:r>
      <w:r w:rsidR="00B35F6A" w:rsidRPr="00AE141E">
        <w:rPr>
          <w:rFonts w:ascii="Times New Roman" w:hAnsi="Times New Roman" w:cs="Times New Roman"/>
          <w:sz w:val="24"/>
          <w:szCs w:val="24"/>
        </w:rPr>
        <w:t>.</w:t>
      </w:r>
      <w:r w:rsidR="00AA4589" w:rsidRPr="00AE141E">
        <w:rPr>
          <w:rStyle w:val="FootnoteReference"/>
          <w:rFonts w:ascii="Times New Roman" w:hAnsi="Times New Roman" w:cs="Times New Roman"/>
          <w:sz w:val="24"/>
          <w:szCs w:val="24"/>
        </w:rPr>
        <w:footnoteReference w:id="956"/>
      </w:r>
      <w:r w:rsidR="00B35F6A" w:rsidRPr="00AE141E">
        <w:rPr>
          <w:rFonts w:ascii="Times New Roman" w:hAnsi="Times New Roman" w:cs="Times New Roman"/>
          <w:sz w:val="24"/>
          <w:szCs w:val="24"/>
        </w:rPr>
        <w:t xml:space="preserve"> </w:t>
      </w:r>
      <w:r w:rsidR="00DB08A6" w:rsidRPr="00AE141E">
        <w:rPr>
          <w:rFonts w:ascii="Times New Roman" w:hAnsi="Times New Roman" w:cs="Times New Roman"/>
          <w:sz w:val="24"/>
          <w:szCs w:val="24"/>
        </w:rPr>
        <w:t xml:space="preserve">The </w:t>
      </w:r>
      <w:r w:rsidR="00DB08A6" w:rsidRPr="00AE141E">
        <w:rPr>
          <w:rFonts w:ascii="Times New Roman" w:hAnsi="Times New Roman" w:cs="Times New Roman"/>
          <w:i/>
          <w:sz w:val="24"/>
          <w:szCs w:val="24"/>
        </w:rPr>
        <w:t xml:space="preserve">Herstory </w:t>
      </w:r>
      <w:r w:rsidR="00DB08A6" w:rsidRPr="00AE141E">
        <w:rPr>
          <w:rFonts w:ascii="Times New Roman" w:hAnsi="Times New Roman" w:cs="Times New Roman"/>
          <w:sz w:val="24"/>
          <w:szCs w:val="24"/>
        </w:rPr>
        <w:t xml:space="preserve">project </w:t>
      </w:r>
      <w:r w:rsidR="009152DC" w:rsidRPr="00AE141E">
        <w:rPr>
          <w:rFonts w:ascii="Times New Roman" w:hAnsi="Times New Roman" w:cs="Times New Roman"/>
          <w:sz w:val="24"/>
          <w:szCs w:val="24"/>
        </w:rPr>
        <w:t>was one product of</w:t>
      </w:r>
      <w:r w:rsidR="00DB08A6" w:rsidRPr="00AE141E">
        <w:rPr>
          <w:rFonts w:ascii="Times New Roman" w:hAnsi="Times New Roman" w:cs="Times New Roman"/>
          <w:sz w:val="24"/>
          <w:szCs w:val="24"/>
        </w:rPr>
        <w:t xml:space="preserve"> Earl Marshal’s significant investment in</w:t>
      </w:r>
      <w:r w:rsidR="00B838BF" w:rsidRPr="00AE141E">
        <w:rPr>
          <w:rFonts w:ascii="Times New Roman" w:hAnsi="Times New Roman" w:cs="Times New Roman"/>
          <w:sz w:val="24"/>
          <w:szCs w:val="24"/>
        </w:rPr>
        <w:t xml:space="preserve"> its </w:t>
      </w:r>
      <w:r w:rsidR="00901C3A" w:rsidRPr="00AE141E">
        <w:rPr>
          <w:rFonts w:ascii="Times New Roman" w:hAnsi="Times New Roman" w:cs="Times New Roman"/>
          <w:sz w:val="24"/>
          <w:szCs w:val="24"/>
        </w:rPr>
        <w:t>locality</w:t>
      </w:r>
      <w:r w:rsidR="009C0287" w:rsidRPr="00AE141E">
        <w:rPr>
          <w:rFonts w:ascii="Times New Roman" w:hAnsi="Times New Roman" w:cs="Times New Roman"/>
          <w:sz w:val="24"/>
          <w:szCs w:val="24"/>
        </w:rPr>
        <w:t>, which included close involvement with Arabic, Somali and Pakistani supplementary schools</w:t>
      </w:r>
      <w:r w:rsidR="009152DC" w:rsidRPr="00AE141E">
        <w:rPr>
          <w:rFonts w:ascii="Times New Roman" w:hAnsi="Times New Roman" w:cs="Times New Roman"/>
          <w:sz w:val="24"/>
          <w:szCs w:val="24"/>
        </w:rPr>
        <w:t>.</w:t>
      </w:r>
      <w:r w:rsidR="00993AA1" w:rsidRPr="00AE141E">
        <w:rPr>
          <w:rStyle w:val="FootnoteReference"/>
          <w:rFonts w:ascii="Times New Roman" w:hAnsi="Times New Roman" w:cs="Times New Roman"/>
          <w:sz w:val="24"/>
          <w:szCs w:val="24"/>
        </w:rPr>
        <w:footnoteReference w:id="957"/>
      </w:r>
      <w:r w:rsidR="009152DC" w:rsidRPr="00AE141E">
        <w:rPr>
          <w:rFonts w:ascii="Times New Roman" w:hAnsi="Times New Roman" w:cs="Times New Roman"/>
          <w:sz w:val="24"/>
          <w:szCs w:val="24"/>
        </w:rPr>
        <w:t xml:space="preserve"> </w:t>
      </w:r>
    </w:p>
    <w:p w14:paraId="377B8F17" w14:textId="51E616B5" w:rsidR="003359CB" w:rsidRPr="00AE141E" w:rsidRDefault="00CC706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Community ties also inflected </w:t>
      </w:r>
      <w:r w:rsidR="00D460D4" w:rsidRPr="00AE141E">
        <w:rPr>
          <w:rFonts w:ascii="Times New Roman" w:hAnsi="Times New Roman" w:cs="Times New Roman"/>
          <w:sz w:val="24"/>
          <w:szCs w:val="24"/>
        </w:rPr>
        <w:t>Earl Marshal’s</w:t>
      </w:r>
      <w:r w:rsidRPr="00AE141E">
        <w:rPr>
          <w:rFonts w:ascii="Times New Roman" w:hAnsi="Times New Roman" w:cs="Times New Roman"/>
          <w:sz w:val="24"/>
          <w:szCs w:val="24"/>
        </w:rPr>
        <w:t xml:space="preserve"> approach to discipline.</w:t>
      </w:r>
      <w:r w:rsidR="0024566F" w:rsidRPr="00AE141E">
        <w:rPr>
          <w:rFonts w:ascii="Times New Roman" w:hAnsi="Times New Roman" w:cs="Times New Roman"/>
          <w:sz w:val="24"/>
          <w:szCs w:val="24"/>
        </w:rPr>
        <w:t xml:space="preserve"> </w:t>
      </w:r>
      <w:r w:rsidR="00D460D4" w:rsidRPr="00AE141E">
        <w:rPr>
          <w:rFonts w:ascii="Times New Roman" w:hAnsi="Times New Roman" w:cs="Times New Roman"/>
          <w:sz w:val="24"/>
          <w:szCs w:val="24"/>
        </w:rPr>
        <w:t xml:space="preserve">Searle was cognisant of the </w:t>
      </w:r>
      <w:r w:rsidR="00273D14" w:rsidRPr="00AE141E">
        <w:rPr>
          <w:rFonts w:ascii="Times New Roman" w:hAnsi="Times New Roman" w:cs="Times New Roman"/>
          <w:sz w:val="24"/>
          <w:szCs w:val="24"/>
        </w:rPr>
        <w:t xml:space="preserve">disproportionate levels of permanent exclusion experienced by </w:t>
      </w:r>
      <w:r w:rsidR="00B65E30" w:rsidRPr="00AE141E">
        <w:rPr>
          <w:rFonts w:ascii="Times New Roman" w:hAnsi="Times New Roman" w:cs="Times New Roman"/>
          <w:sz w:val="24"/>
          <w:szCs w:val="24"/>
        </w:rPr>
        <w:t>downwardly racialised students</w:t>
      </w:r>
      <w:r w:rsidR="00E80C29">
        <w:rPr>
          <w:rFonts w:ascii="Times New Roman" w:hAnsi="Times New Roman" w:cs="Times New Roman"/>
          <w:sz w:val="24"/>
          <w:szCs w:val="24"/>
        </w:rPr>
        <w:t xml:space="preserve">, </w:t>
      </w:r>
      <w:r w:rsidR="00B65E30" w:rsidRPr="00AE141E">
        <w:rPr>
          <w:rFonts w:ascii="Times New Roman" w:hAnsi="Times New Roman" w:cs="Times New Roman"/>
          <w:sz w:val="24"/>
          <w:szCs w:val="24"/>
        </w:rPr>
        <w:t>and especially students of African-Caribbean heritage.</w:t>
      </w:r>
      <w:r w:rsidR="00457FD2" w:rsidRPr="00AE141E">
        <w:rPr>
          <w:rStyle w:val="FootnoteReference"/>
          <w:rFonts w:ascii="Times New Roman" w:hAnsi="Times New Roman" w:cs="Times New Roman"/>
          <w:sz w:val="24"/>
          <w:szCs w:val="24"/>
        </w:rPr>
        <w:footnoteReference w:id="958"/>
      </w:r>
      <w:r w:rsidR="00B65E30" w:rsidRPr="00AE141E">
        <w:rPr>
          <w:rFonts w:ascii="Times New Roman" w:hAnsi="Times New Roman" w:cs="Times New Roman"/>
          <w:sz w:val="24"/>
          <w:szCs w:val="24"/>
        </w:rPr>
        <w:t xml:space="preserve"> </w:t>
      </w:r>
      <w:r w:rsidR="00A728B4" w:rsidRPr="00AE141E">
        <w:rPr>
          <w:rFonts w:ascii="Times New Roman" w:hAnsi="Times New Roman" w:cs="Times New Roman"/>
          <w:sz w:val="24"/>
          <w:szCs w:val="24"/>
        </w:rPr>
        <w:t>He did not view t</w:t>
      </w:r>
      <w:r w:rsidR="00E329EB" w:rsidRPr="00AE141E">
        <w:rPr>
          <w:rFonts w:ascii="Times New Roman" w:hAnsi="Times New Roman" w:cs="Times New Roman"/>
          <w:sz w:val="24"/>
          <w:szCs w:val="24"/>
        </w:rPr>
        <w:t>he deprivation of educational opportunity</w:t>
      </w:r>
      <w:r w:rsidR="00A728B4" w:rsidRPr="00AE141E">
        <w:rPr>
          <w:rFonts w:ascii="Times New Roman" w:hAnsi="Times New Roman" w:cs="Times New Roman"/>
          <w:sz w:val="24"/>
          <w:szCs w:val="24"/>
        </w:rPr>
        <w:t xml:space="preserve">, influenced by patterns of racial prejudice, as an acceptable response to pupil misbehaviour </w:t>
      </w:r>
      <w:r w:rsidR="006C7392" w:rsidRPr="00AE141E">
        <w:rPr>
          <w:rFonts w:ascii="Times New Roman" w:hAnsi="Times New Roman" w:cs="Times New Roman"/>
          <w:sz w:val="24"/>
          <w:szCs w:val="24"/>
        </w:rPr>
        <w:t xml:space="preserve">(itself too often motivated by disaffection with a system </w:t>
      </w:r>
      <w:r w:rsidR="00E80C29">
        <w:rPr>
          <w:rFonts w:ascii="Times New Roman" w:hAnsi="Times New Roman" w:cs="Times New Roman"/>
          <w:sz w:val="24"/>
          <w:szCs w:val="24"/>
        </w:rPr>
        <w:t>by</w:t>
      </w:r>
      <w:r w:rsidR="006C7392" w:rsidRPr="00AE141E">
        <w:rPr>
          <w:rFonts w:ascii="Times New Roman" w:hAnsi="Times New Roman" w:cs="Times New Roman"/>
          <w:sz w:val="24"/>
          <w:szCs w:val="24"/>
        </w:rPr>
        <w:t xml:space="preserve"> which the student </w:t>
      </w:r>
      <w:r w:rsidR="00E80C29">
        <w:rPr>
          <w:rFonts w:ascii="Times New Roman" w:hAnsi="Times New Roman" w:cs="Times New Roman"/>
          <w:sz w:val="24"/>
          <w:szCs w:val="24"/>
        </w:rPr>
        <w:t>was</w:t>
      </w:r>
      <w:r w:rsidR="006C7392" w:rsidRPr="00AE141E">
        <w:rPr>
          <w:rFonts w:ascii="Times New Roman" w:hAnsi="Times New Roman" w:cs="Times New Roman"/>
          <w:sz w:val="24"/>
          <w:szCs w:val="24"/>
        </w:rPr>
        <w:t xml:space="preserve"> marginalised). As such, Searle instituted an alternative </w:t>
      </w:r>
      <w:r w:rsidR="00177037" w:rsidRPr="00AE141E">
        <w:rPr>
          <w:rFonts w:ascii="Times New Roman" w:hAnsi="Times New Roman" w:cs="Times New Roman"/>
          <w:sz w:val="24"/>
          <w:szCs w:val="24"/>
        </w:rPr>
        <w:t>provision of work experience and counselling, in</w:t>
      </w:r>
      <w:r w:rsidR="000D6063" w:rsidRPr="00AE141E">
        <w:rPr>
          <w:rFonts w:ascii="Times New Roman" w:hAnsi="Times New Roman" w:cs="Times New Roman"/>
          <w:sz w:val="24"/>
          <w:szCs w:val="24"/>
        </w:rPr>
        <w:t xml:space="preserve"> dialogue with</w:t>
      </w:r>
      <w:r w:rsidR="00A55E1E" w:rsidRPr="00AE141E">
        <w:rPr>
          <w:rFonts w:ascii="Times New Roman" w:hAnsi="Times New Roman" w:cs="Times New Roman"/>
          <w:sz w:val="24"/>
          <w:szCs w:val="24"/>
        </w:rPr>
        <w:t xml:space="preserve"> parental contacts and</w:t>
      </w:r>
      <w:r w:rsidR="000D6063" w:rsidRPr="00AE141E">
        <w:rPr>
          <w:rFonts w:ascii="Times New Roman" w:hAnsi="Times New Roman" w:cs="Times New Roman"/>
          <w:sz w:val="24"/>
          <w:szCs w:val="24"/>
        </w:rPr>
        <w:t xml:space="preserve"> </w:t>
      </w:r>
      <w:r w:rsidR="00177037" w:rsidRPr="00AE141E">
        <w:rPr>
          <w:rFonts w:ascii="Times New Roman" w:hAnsi="Times New Roman" w:cs="Times New Roman"/>
          <w:sz w:val="24"/>
          <w:szCs w:val="24"/>
        </w:rPr>
        <w:t>community</w:t>
      </w:r>
      <w:r w:rsidR="000D6063" w:rsidRPr="00AE141E">
        <w:rPr>
          <w:rFonts w:ascii="Times New Roman" w:hAnsi="Times New Roman" w:cs="Times New Roman"/>
          <w:sz w:val="24"/>
          <w:szCs w:val="24"/>
        </w:rPr>
        <w:t xml:space="preserve"> </w:t>
      </w:r>
      <w:r w:rsidR="00A55E1E" w:rsidRPr="00AE141E">
        <w:rPr>
          <w:rFonts w:ascii="Times New Roman" w:hAnsi="Times New Roman" w:cs="Times New Roman"/>
          <w:sz w:val="24"/>
          <w:szCs w:val="24"/>
        </w:rPr>
        <w:t>centres</w:t>
      </w:r>
      <w:r w:rsidR="000D6063" w:rsidRPr="00AE141E">
        <w:rPr>
          <w:rFonts w:ascii="Times New Roman" w:hAnsi="Times New Roman" w:cs="Times New Roman"/>
          <w:sz w:val="24"/>
          <w:szCs w:val="24"/>
        </w:rPr>
        <w:t>. It was this refusal to exclude</w:t>
      </w:r>
      <w:r w:rsidR="00A8545D" w:rsidRPr="00AE141E">
        <w:rPr>
          <w:rFonts w:ascii="Times New Roman" w:hAnsi="Times New Roman" w:cs="Times New Roman"/>
          <w:sz w:val="24"/>
          <w:szCs w:val="24"/>
        </w:rPr>
        <w:t>, except as a last resort,</w:t>
      </w:r>
      <w:r w:rsidR="000D6063" w:rsidRPr="00AE141E">
        <w:rPr>
          <w:rFonts w:ascii="Times New Roman" w:hAnsi="Times New Roman" w:cs="Times New Roman"/>
          <w:sz w:val="24"/>
          <w:szCs w:val="24"/>
        </w:rPr>
        <w:t xml:space="preserve"> which would ultimately be his </w:t>
      </w:r>
      <w:r w:rsidR="00A55E1E" w:rsidRPr="00AE141E">
        <w:rPr>
          <w:rFonts w:ascii="Times New Roman" w:hAnsi="Times New Roman" w:cs="Times New Roman"/>
          <w:sz w:val="24"/>
          <w:szCs w:val="24"/>
        </w:rPr>
        <w:t xml:space="preserve">undoing. </w:t>
      </w:r>
      <w:r w:rsidR="00A8545D" w:rsidRPr="00AE141E">
        <w:rPr>
          <w:rFonts w:ascii="Times New Roman" w:hAnsi="Times New Roman" w:cs="Times New Roman"/>
          <w:sz w:val="24"/>
          <w:szCs w:val="24"/>
        </w:rPr>
        <w:t>M</w:t>
      </w:r>
      <w:r w:rsidR="00A55E1E" w:rsidRPr="00AE141E">
        <w:rPr>
          <w:rFonts w:ascii="Times New Roman" w:hAnsi="Times New Roman" w:cs="Times New Roman"/>
          <w:sz w:val="24"/>
          <w:szCs w:val="24"/>
        </w:rPr>
        <w:t xml:space="preserve">embers of the National Association of Schoolmasters/Union of Women Teachers (NASUWT) </w:t>
      </w:r>
      <w:r w:rsidR="00A8545D" w:rsidRPr="00AE141E">
        <w:rPr>
          <w:rFonts w:ascii="Times New Roman" w:hAnsi="Times New Roman" w:cs="Times New Roman"/>
          <w:sz w:val="24"/>
          <w:szCs w:val="24"/>
        </w:rPr>
        <w:t>mobilised to</w:t>
      </w:r>
      <w:r w:rsidR="00FC114D" w:rsidRPr="00AE141E">
        <w:rPr>
          <w:rFonts w:ascii="Times New Roman" w:hAnsi="Times New Roman" w:cs="Times New Roman"/>
          <w:sz w:val="24"/>
          <w:szCs w:val="24"/>
        </w:rPr>
        <w:t xml:space="preserve"> </w:t>
      </w:r>
      <w:r w:rsidR="00A8545D" w:rsidRPr="00AE141E">
        <w:rPr>
          <w:rFonts w:ascii="Times New Roman" w:hAnsi="Times New Roman" w:cs="Times New Roman"/>
          <w:sz w:val="24"/>
          <w:szCs w:val="24"/>
        </w:rPr>
        <w:t>demand the permanent exclusion of a number of pupils</w:t>
      </w:r>
      <w:r w:rsidR="00552B2D" w:rsidRPr="00AE141E">
        <w:rPr>
          <w:rFonts w:ascii="Times New Roman" w:hAnsi="Times New Roman" w:cs="Times New Roman"/>
          <w:sz w:val="24"/>
          <w:szCs w:val="24"/>
        </w:rPr>
        <w:t xml:space="preserve">, citing the professional </w:t>
      </w:r>
      <w:r w:rsidR="00B62731" w:rsidRPr="00AE141E">
        <w:rPr>
          <w:rFonts w:ascii="Times New Roman" w:hAnsi="Times New Roman" w:cs="Times New Roman"/>
          <w:sz w:val="24"/>
          <w:szCs w:val="24"/>
        </w:rPr>
        <w:t xml:space="preserve">and personal </w:t>
      </w:r>
      <w:r w:rsidR="00552B2D" w:rsidRPr="00AE141E">
        <w:rPr>
          <w:rFonts w:ascii="Times New Roman" w:hAnsi="Times New Roman" w:cs="Times New Roman"/>
          <w:sz w:val="24"/>
          <w:szCs w:val="24"/>
        </w:rPr>
        <w:t xml:space="preserve">strain of </w:t>
      </w:r>
      <w:r w:rsidR="00B62731" w:rsidRPr="00AE141E">
        <w:rPr>
          <w:rFonts w:ascii="Times New Roman" w:hAnsi="Times New Roman" w:cs="Times New Roman"/>
          <w:sz w:val="24"/>
          <w:szCs w:val="24"/>
        </w:rPr>
        <w:t>disruptive behaviour</w:t>
      </w:r>
      <w:r w:rsidR="003359CB" w:rsidRPr="00AE141E">
        <w:rPr>
          <w:rFonts w:ascii="Times New Roman" w:hAnsi="Times New Roman" w:cs="Times New Roman"/>
          <w:sz w:val="24"/>
          <w:szCs w:val="24"/>
        </w:rPr>
        <w:t>. The Union contacted local MP and Shadow Secretary of State for Education</w:t>
      </w:r>
      <w:r w:rsidR="00B62731" w:rsidRPr="00AE141E">
        <w:rPr>
          <w:rFonts w:ascii="Times New Roman" w:hAnsi="Times New Roman" w:cs="Times New Roman"/>
          <w:sz w:val="24"/>
          <w:szCs w:val="24"/>
        </w:rPr>
        <w:t>,</w:t>
      </w:r>
      <w:r w:rsidR="003359CB" w:rsidRPr="00AE141E">
        <w:rPr>
          <w:rFonts w:ascii="Times New Roman" w:hAnsi="Times New Roman" w:cs="Times New Roman"/>
          <w:sz w:val="24"/>
          <w:szCs w:val="24"/>
        </w:rPr>
        <w:t xml:space="preserve"> David Blunkett</w:t>
      </w:r>
      <w:r w:rsidR="00B62731" w:rsidRPr="00AE141E">
        <w:rPr>
          <w:rFonts w:ascii="Times New Roman" w:hAnsi="Times New Roman" w:cs="Times New Roman"/>
          <w:sz w:val="24"/>
          <w:szCs w:val="24"/>
        </w:rPr>
        <w:t>, for support.</w:t>
      </w:r>
      <w:r w:rsidR="003359CB" w:rsidRPr="00AE141E">
        <w:rPr>
          <w:rFonts w:ascii="Times New Roman" w:hAnsi="Times New Roman" w:cs="Times New Roman"/>
          <w:sz w:val="24"/>
          <w:szCs w:val="24"/>
        </w:rPr>
        <w:t xml:space="preserve"> </w:t>
      </w:r>
      <w:r w:rsidR="00B62731" w:rsidRPr="00AE141E">
        <w:rPr>
          <w:rFonts w:ascii="Times New Roman" w:hAnsi="Times New Roman" w:cs="Times New Roman"/>
          <w:sz w:val="24"/>
          <w:szCs w:val="24"/>
        </w:rPr>
        <w:t>I</w:t>
      </w:r>
      <w:r w:rsidR="003359CB" w:rsidRPr="00AE141E">
        <w:rPr>
          <w:rFonts w:ascii="Times New Roman" w:hAnsi="Times New Roman" w:cs="Times New Roman"/>
          <w:sz w:val="24"/>
          <w:szCs w:val="24"/>
        </w:rPr>
        <w:t>n February 1994</w:t>
      </w:r>
      <w:r w:rsidR="00B62731" w:rsidRPr="00AE141E">
        <w:rPr>
          <w:rFonts w:ascii="Times New Roman" w:hAnsi="Times New Roman" w:cs="Times New Roman"/>
          <w:sz w:val="24"/>
          <w:szCs w:val="24"/>
        </w:rPr>
        <w:t xml:space="preserve">, </w:t>
      </w:r>
      <w:r w:rsidR="003359CB" w:rsidRPr="00AE141E">
        <w:rPr>
          <w:rFonts w:ascii="Times New Roman" w:hAnsi="Times New Roman" w:cs="Times New Roman"/>
          <w:sz w:val="24"/>
          <w:szCs w:val="24"/>
        </w:rPr>
        <w:t>Blunkett</w:t>
      </w:r>
      <w:r w:rsidR="00313CBA" w:rsidRPr="00AE141E">
        <w:rPr>
          <w:rFonts w:ascii="Times New Roman" w:hAnsi="Times New Roman" w:cs="Times New Roman"/>
          <w:sz w:val="24"/>
          <w:szCs w:val="24"/>
        </w:rPr>
        <w:t xml:space="preserve"> requested that the</w:t>
      </w:r>
      <w:r w:rsidR="003359CB" w:rsidRPr="00AE141E">
        <w:rPr>
          <w:rFonts w:ascii="Times New Roman" w:hAnsi="Times New Roman" w:cs="Times New Roman"/>
          <w:sz w:val="24"/>
          <w:szCs w:val="24"/>
        </w:rPr>
        <w:t xml:space="preserve"> Sheffield Education Department </w:t>
      </w:r>
      <w:r w:rsidR="00313CBA" w:rsidRPr="00AE141E">
        <w:rPr>
          <w:rFonts w:ascii="Times New Roman" w:hAnsi="Times New Roman" w:cs="Times New Roman"/>
          <w:sz w:val="24"/>
          <w:szCs w:val="24"/>
        </w:rPr>
        <w:t>remove Searle from his post.</w:t>
      </w:r>
    </w:p>
    <w:p w14:paraId="6E660602" w14:textId="0955BD85" w:rsidR="006000A8" w:rsidRDefault="00313CB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Blunkett’s</w:t>
      </w:r>
      <w:r w:rsidR="00384958" w:rsidRPr="00AE141E">
        <w:rPr>
          <w:rFonts w:ascii="Times New Roman" w:hAnsi="Times New Roman" w:cs="Times New Roman"/>
          <w:sz w:val="24"/>
          <w:szCs w:val="24"/>
        </w:rPr>
        <w:t xml:space="preserve"> </w:t>
      </w:r>
      <w:r w:rsidR="00AB7ADB" w:rsidRPr="00AE141E">
        <w:rPr>
          <w:rFonts w:ascii="Times New Roman" w:hAnsi="Times New Roman" w:cs="Times New Roman"/>
          <w:sz w:val="24"/>
          <w:szCs w:val="24"/>
        </w:rPr>
        <w:t>involvement</w:t>
      </w:r>
      <w:r w:rsidR="00384958" w:rsidRPr="00AE141E">
        <w:rPr>
          <w:rFonts w:ascii="Times New Roman" w:hAnsi="Times New Roman" w:cs="Times New Roman"/>
          <w:sz w:val="24"/>
          <w:szCs w:val="24"/>
        </w:rPr>
        <w:t>, and Union pressure, were sufficient to precip</w:t>
      </w:r>
      <w:r w:rsidR="001A2423" w:rsidRPr="00AE141E">
        <w:rPr>
          <w:rFonts w:ascii="Times New Roman" w:hAnsi="Times New Roman" w:cs="Times New Roman"/>
          <w:sz w:val="24"/>
          <w:szCs w:val="24"/>
        </w:rPr>
        <w:t xml:space="preserve">itate OFSTED </w:t>
      </w:r>
      <w:r w:rsidR="00AB7ADB" w:rsidRPr="00AE141E">
        <w:rPr>
          <w:rFonts w:ascii="Times New Roman" w:hAnsi="Times New Roman" w:cs="Times New Roman"/>
          <w:sz w:val="24"/>
          <w:szCs w:val="24"/>
        </w:rPr>
        <w:t>intervention</w:t>
      </w:r>
      <w:r w:rsidR="001A2423" w:rsidRPr="00AE141E">
        <w:rPr>
          <w:rFonts w:ascii="Times New Roman" w:hAnsi="Times New Roman" w:cs="Times New Roman"/>
          <w:sz w:val="24"/>
          <w:szCs w:val="24"/>
        </w:rPr>
        <w:t xml:space="preserve">. The resulting inspections </w:t>
      </w:r>
      <w:r w:rsidR="00E82D6D" w:rsidRPr="00AE141E">
        <w:rPr>
          <w:rFonts w:ascii="Times New Roman" w:hAnsi="Times New Roman" w:cs="Times New Roman"/>
          <w:sz w:val="24"/>
          <w:szCs w:val="24"/>
        </w:rPr>
        <w:t>produced a damning report</w:t>
      </w:r>
      <w:r w:rsidR="007547C8" w:rsidRPr="00AE141E">
        <w:rPr>
          <w:rFonts w:ascii="Times New Roman" w:hAnsi="Times New Roman" w:cs="Times New Roman"/>
          <w:sz w:val="24"/>
          <w:szCs w:val="24"/>
        </w:rPr>
        <w:t xml:space="preserve"> </w:t>
      </w:r>
      <w:r w:rsidR="00DD711A" w:rsidRPr="00AE141E">
        <w:rPr>
          <w:rFonts w:ascii="Times New Roman" w:hAnsi="Times New Roman" w:cs="Times New Roman"/>
          <w:sz w:val="24"/>
          <w:szCs w:val="24"/>
        </w:rPr>
        <w:t>which</w:t>
      </w:r>
      <w:r w:rsidR="003A0779" w:rsidRPr="00AE141E">
        <w:rPr>
          <w:rFonts w:ascii="Times New Roman" w:hAnsi="Times New Roman" w:cs="Times New Roman"/>
          <w:sz w:val="24"/>
          <w:szCs w:val="24"/>
        </w:rPr>
        <w:t xml:space="preserve"> reflected a fundamental clash of values.</w:t>
      </w:r>
      <w:r w:rsidR="009553C8" w:rsidRPr="00AE141E">
        <w:rPr>
          <w:rFonts w:ascii="Times New Roman" w:hAnsi="Times New Roman" w:cs="Times New Roman"/>
          <w:sz w:val="24"/>
          <w:szCs w:val="24"/>
        </w:rPr>
        <w:t xml:space="preserve"> </w:t>
      </w:r>
      <w:r w:rsidR="00FB3357" w:rsidRPr="00AE141E">
        <w:rPr>
          <w:rFonts w:ascii="Times New Roman" w:hAnsi="Times New Roman" w:cs="Times New Roman"/>
          <w:sz w:val="24"/>
          <w:szCs w:val="24"/>
        </w:rPr>
        <w:t xml:space="preserve">A </w:t>
      </w:r>
      <w:r w:rsidR="00DF0486" w:rsidRPr="00AE141E">
        <w:rPr>
          <w:rFonts w:ascii="Times New Roman" w:hAnsi="Times New Roman" w:cs="Times New Roman"/>
          <w:sz w:val="24"/>
          <w:szCs w:val="24"/>
        </w:rPr>
        <w:t xml:space="preserve">historic </w:t>
      </w:r>
      <w:r w:rsidR="00FB3357" w:rsidRPr="00AE141E">
        <w:rPr>
          <w:rFonts w:ascii="Times New Roman" w:hAnsi="Times New Roman" w:cs="Times New Roman"/>
          <w:sz w:val="24"/>
          <w:szCs w:val="24"/>
        </w:rPr>
        <w:t>d</w:t>
      </w:r>
      <w:r w:rsidR="007765FA" w:rsidRPr="00AE141E">
        <w:rPr>
          <w:rFonts w:ascii="Times New Roman" w:hAnsi="Times New Roman" w:cs="Times New Roman"/>
          <w:sz w:val="24"/>
          <w:szCs w:val="24"/>
        </w:rPr>
        <w:t>ecline in the previous year’s</w:t>
      </w:r>
      <w:r w:rsidR="00FB3357" w:rsidRPr="00AE141E">
        <w:rPr>
          <w:rFonts w:ascii="Times New Roman" w:hAnsi="Times New Roman" w:cs="Times New Roman"/>
          <w:sz w:val="24"/>
          <w:szCs w:val="24"/>
        </w:rPr>
        <w:t xml:space="preserve"> examination results was taken as evidence that Earl Marshal was an academically failing school</w:t>
      </w:r>
      <w:r w:rsidR="00DF0486" w:rsidRPr="00AE141E">
        <w:rPr>
          <w:rFonts w:ascii="Times New Roman" w:hAnsi="Times New Roman" w:cs="Times New Roman"/>
          <w:sz w:val="24"/>
          <w:szCs w:val="24"/>
        </w:rPr>
        <w:t xml:space="preserve">; </w:t>
      </w:r>
      <w:r w:rsidR="009A36BC" w:rsidRPr="00AE141E">
        <w:rPr>
          <w:rFonts w:ascii="Times New Roman" w:hAnsi="Times New Roman" w:cs="Times New Roman"/>
          <w:sz w:val="24"/>
          <w:szCs w:val="24"/>
        </w:rPr>
        <w:t xml:space="preserve">in 1995, </w:t>
      </w:r>
      <w:r w:rsidR="00DF0486" w:rsidRPr="00AE141E">
        <w:rPr>
          <w:rFonts w:ascii="Times New Roman" w:hAnsi="Times New Roman" w:cs="Times New Roman"/>
          <w:sz w:val="24"/>
          <w:szCs w:val="24"/>
        </w:rPr>
        <w:t xml:space="preserve">only six per cent </w:t>
      </w:r>
      <w:r w:rsidR="00A22515" w:rsidRPr="00AE141E">
        <w:rPr>
          <w:rFonts w:ascii="Times New Roman" w:hAnsi="Times New Roman" w:cs="Times New Roman"/>
          <w:sz w:val="24"/>
          <w:szCs w:val="24"/>
        </w:rPr>
        <w:t>of Earl Marshal students received</w:t>
      </w:r>
      <w:r w:rsidR="00DF0486" w:rsidRPr="00AE141E">
        <w:rPr>
          <w:rFonts w:ascii="Times New Roman" w:hAnsi="Times New Roman" w:cs="Times New Roman"/>
          <w:sz w:val="24"/>
          <w:szCs w:val="24"/>
        </w:rPr>
        <w:t xml:space="preserve"> five or more GCSEs (</w:t>
      </w:r>
      <w:r w:rsidR="009A36BC" w:rsidRPr="00AE141E">
        <w:rPr>
          <w:rFonts w:ascii="Times New Roman" w:hAnsi="Times New Roman" w:cs="Times New Roman"/>
          <w:sz w:val="24"/>
          <w:szCs w:val="24"/>
        </w:rPr>
        <w:t xml:space="preserve">compared to a national average </w:t>
      </w:r>
      <w:r w:rsidR="009A36BC" w:rsidRPr="00AE141E">
        <w:rPr>
          <w:rFonts w:ascii="Times New Roman" w:hAnsi="Times New Roman" w:cs="Times New Roman"/>
          <w:sz w:val="24"/>
          <w:szCs w:val="24"/>
        </w:rPr>
        <w:lastRenderedPageBreak/>
        <w:t>in excess of</w:t>
      </w:r>
      <w:r w:rsidR="00DF0486" w:rsidRPr="00AE141E">
        <w:rPr>
          <w:rFonts w:ascii="Times New Roman" w:hAnsi="Times New Roman" w:cs="Times New Roman"/>
          <w:sz w:val="24"/>
          <w:szCs w:val="24"/>
        </w:rPr>
        <w:t xml:space="preserve"> </w:t>
      </w:r>
      <w:r w:rsidR="00FE3521" w:rsidRPr="00AE141E">
        <w:rPr>
          <w:rFonts w:ascii="Times New Roman" w:hAnsi="Times New Roman" w:cs="Times New Roman"/>
          <w:sz w:val="24"/>
          <w:szCs w:val="24"/>
        </w:rPr>
        <w:t>forty</w:t>
      </w:r>
      <w:r w:rsidR="00DF0486" w:rsidRPr="00AE141E">
        <w:rPr>
          <w:rFonts w:ascii="Times New Roman" w:hAnsi="Times New Roman" w:cs="Times New Roman"/>
          <w:sz w:val="24"/>
          <w:szCs w:val="24"/>
        </w:rPr>
        <w:t xml:space="preserve"> per cent)</w:t>
      </w:r>
      <w:r w:rsidR="00CA2A51" w:rsidRPr="00AE141E">
        <w:rPr>
          <w:rFonts w:ascii="Times New Roman" w:hAnsi="Times New Roman" w:cs="Times New Roman"/>
          <w:sz w:val="24"/>
          <w:szCs w:val="24"/>
        </w:rPr>
        <w:t>.</w:t>
      </w:r>
      <w:r w:rsidR="00CA2A51" w:rsidRPr="00AE141E">
        <w:rPr>
          <w:rStyle w:val="FootnoteReference"/>
          <w:rFonts w:ascii="Times New Roman" w:hAnsi="Times New Roman" w:cs="Times New Roman"/>
          <w:sz w:val="24"/>
          <w:szCs w:val="24"/>
        </w:rPr>
        <w:footnoteReference w:id="959"/>
      </w:r>
      <w:r w:rsidR="00826863" w:rsidRPr="00AE141E">
        <w:rPr>
          <w:rFonts w:ascii="Times New Roman" w:hAnsi="Times New Roman" w:cs="Times New Roman"/>
          <w:sz w:val="24"/>
          <w:szCs w:val="24"/>
        </w:rPr>
        <w:t xml:space="preserve"> </w:t>
      </w:r>
      <w:r w:rsidR="00E40CC7" w:rsidRPr="00AE141E">
        <w:rPr>
          <w:rFonts w:ascii="Times New Roman" w:hAnsi="Times New Roman" w:cs="Times New Roman"/>
          <w:sz w:val="24"/>
          <w:szCs w:val="24"/>
        </w:rPr>
        <w:t>This</w:t>
      </w:r>
      <w:r w:rsidR="00F511FF" w:rsidRPr="00AE141E">
        <w:rPr>
          <w:rFonts w:ascii="Times New Roman" w:hAnsi="Times New Roman" w:cs="Times New Roman"/>
          <w:sz w:val="24"/>
          <w:szCs w:val="24"/>
        </w:rPr>
        <w:t xml:space="preserve"> purported failure </w:t>
      </w:r>
      <w:r w:rsidR="00E40CC7" w:rsidRPr="00AE141E">
        <w:rPr>
          <w:rFonts w:ascii="Times New Roman" w:hAnsi="Times New Roman" w:cs="Times New Roman"/>
          <w:sz w:val="24"/>
          <w:szCs w:val="24"/>
        </w:rPr>
        <w:t>was linked to</w:t>
      </w:r>
      <w:r w:rsidR="00F511FF" w:rsidRPr="00AE141E">
        <w:rPr>
          <w:rFonts w:ascii="Times New Roman" w:hAnsi="Times New Roman" w:cs="Times New Roman"/>
          <w:sz w:val="24"/>
          <w:szCs w:val="24"/>
        </w:rPr>
        <w:t xml:space="preserve"> the </w:t>
      </w:r>
      <w:r w:rsidR="006042F6" w:rsidRPr="00AE141E">
        <w:rPr>
          <w:rFonts w:ascii="Times New Roman" w:hAnsi="Times New Roman" w:cs="Times New Roman"/>
          <w:sz w:val="24"/>
          <w:szCs w:val="24"/>
        </w:rPr>
        <w:t xml:space="preserve">headmaster’s </w:t>
      </w:r>
      <w:r w:rsidR="00807C90" w:rsidRPr="00AE141E">
        <w:rPr>
          <w:rFonts w:ascii="Times New Roman" w:hAnsi="Times New Roman" w:cs="Times New Roman"/>
          <w:sz w:val="24"/>
          <w:szCs w:val="24"/>
        </w:rPr>
        <w:t>rejection of</w:t>
      </w:r>
      <w:r w:rsidR="00DA0BF7" w:rsidRPr="00AE141E">
        <w:rPr>
          <w:rFonts w:ascii="Times New Roman" w:hAnsi="Times New Roman" w:cs="Times New Roman"/>
          <w:sz w:val="24"/>
          <w:szCs w:val="24"/>
        </w:rPr>
        <w:t xml:space="preserve"> the</w:t>
      </w:r>
      <w:r w:rsidR="00807C90" w:rsidRPr="00AE141E">
        <w:rPr>
          <w:rFonts w:ascii="Times New Roman" w:hAnsi="Times New Roman" w:cs="Times New Roman"/>
          <w:sz w:val="24"/>
          <w:szCs w:val="24"/>
        </w:rPr>
        <w:t xml:space="preserve"> educational philosophy</w:t>
      </w:r>
      <w:r w:rsidR="00DA0BF7" w:rsidRPr="00AE141E">
        <w:rPr>
          <w:rFonts w:ascii="Times New Roman" w:hAnsi="Times New Roman" w:cs="Times New Roman"/>
          <w:sz w:val="24"/>
          <w:szCs w:val="24"/>
        </w:rPr>
        <w:t xml:space="preserve"> </w:t>
      </w:r>
      <w:r w:rsidR="00807C90" w:rsidRPr="00AE141E">
        <w:rPr>
          <w:rFonts w:ascii="Times New Roman" w:hAnsi="Times New Roman" w:cs="Times New Roman"/>
          <w:sz w:val="24"/>
          <w:szCs w:val="24"/>
        </w:rPr>
        <w:t xml:space="preserve">of the </w:t>
      </w:r>
      <w:r w:rsidR="00DA0BF7" w:rsidRPr="00AE141E">
        <w:rPr>
          <w:rFonts w:ascii="Times New Roman" w:hAnsi="Times New Roman" w:cs="Times New Roman"/>
          <w:sz w:val="24"/>
          <w:szCs w:val="24"/>
        </w:rPr>
        <w:t xml:space="preserve">National Curriculum. </w:t>
      </w:r>
      <w:r w:rsidR="00BB3D73" w:rsidRPr="00AE141E">
        <w:rPr>
          <w:rFonts w:ascii="Times New Roman" w:hAnsi="Times New Roman" w:cs="Times New Roman"/>
          <w:sz w:val="24"/>
          <w:szCs w:val="24"/>
        </w:rPr>
        <w:t>Inspectors identified</w:t>
      </w:r>
      <w:r w:rsidR="00311394" w:rsidRPr="00AE141E">
        <w:rPr>
          <w:rFonts w:ascii="Times New Roman" w:hAnsi="Times New Roman" w:cs="Times New Roman"/>
          <w:sz w:val="24"/>
          <w:szCs w:val="24"/>
        </w:rPr>
        <w:t xml:space="preserve"> </w:t>
      </w:r>
      <w:r w:rsidR="000139E2" w:rsidRPr="00AE141E">
        <w:rPr>
          <w:rFonts w:ascii="Times New Roman" w:hAnsi="Times New Roman" w:cs="Times New Roman"/>
          <w:sz w:val="24"/>
          <w:szCs w:val="24"/>
        </w:rPr>
        <w:t xml:space="preserve">a </w:t>
      </w:r>
      <w:r w:rsidR="00311394" w:rsidRPr="00AE141E">
        <w:rPr>
          <w:rFonts w:ascii="Times New Roman" w:hAnsi="Times New Roman" w:cs="Times New Roman"/>
          <w:sz w:val="24"/>
          <w:szCs w:val="24"/>
        </w:rPr>
        <w:t xml:space="preserve">‘lack of political balance’ displayed in the school’s </w:t>
      </w:r>
      <w:r w:rsidR="00EB123F" w:rsidRPr="00AE141E">
        <w:rPr>
          <w:rFonts w:ascii="Times New Roman" w:hAnsi="Times New Roman" w:cs="Times New Roman"/>
          <w:sz w:val="24"/>
          <w:szCs w:val="24"/>
        </w:rPr>
        <w:t xml:space="preserve">teaching and learning environment. Its critical view of </w:t>
      </w:r>
      <w:r w:rsidR="007D410D" w:rsidRPr="00AE141E">
        <w:rPr>
          <w:rFonts w:ascii="Times New Roman" w:hAnsi="Times New Roman" w:cs="Times New Roman"/>
          <w:sz w:val="24"/>
          <w:szCs w:val="24"/>
        </w:rPr>
        <w:t>the country’s</w:t>
      </w:r>
      <w:r w:rsidR="00EB123F" w:rsidRPr="00AE141E">
        <w:rPr>
          <w:rFonts w:ascii="Times New Roman" w:hAnsi="Times New Roman" w:cs="Times New Roman"/>
          <w:sz w:val="24"/>
          <w:szCs w:val="24"/>
        </w:rPr>
        <w:t xml:space="preserve"> imperial </w:t>
      </w:r>
      <w:r w:rsidR="007D410D" w:rsidRPr="00AE141E">
        <w:rPr>
          <w:rFonts w:ascii="Times New Roman" w:hAnsi="Times New Roman" w:cs="Times New Roman"/>
          <w:sz w:val="24"/>
          <w:szCs w:val="24"/>
        </w:rPr>
        <w:t>past</w:t>
      </w:r>
      <w:r w:rsidR="00EB123F" w:rsidRPr="00AE141E">
        <w:rPr>
          <w:rFonts w:ascii="Times New Roman" w:hAnsi="Times New Roman" w:cs="Times New Roman"/>
          <w:sz w:val="24"/>
          <w:szCs w:val="24"/>
        </w:rPr>
        <w:t xml:space="preserve">, as represented by the </w:t>
      </w:r>
      <w:r w:rsidR="00EB123F" w:rsidRPr="00AE141E">
        <w:rPr>
          <w:rFonts w:ascii="Times New Roman" w:hAnsi="Times New Roman" w:cs="Times New Roman"/>
          <w:i/>
          <w:sz w:val="24"/>
          <w:szCs w:val="24"/>
        </w:rPr>
        <w:t xml:space="preserve">Whose World is the World? </w:t>
      </w:r>
      <w:r w:rsidR="000D30DE" w:rsidRPr="00AE141E">
        <w:rPr>
          <w:rFonts w:ascii="Times New Roman" w:hAnsi="Times New Roman" w:cs="Times New Roman"/>
          <w:sz w:val="24"/>
          <w:szCs w:val="24"/>
        </w:rPr>
        <w:t>p</w:t>
      </w:r>
      <w:r w:rsidR="00EB123F" w:rsidRPr="00AE141E">
        <w:rPr>
          <w:rFonts w:ascii="Times New Roman" w:hAnsi="Times New Roman" w:cs="Times New Roman"/>
          <w:sz w:val="24"/>
          <w:szCs w:val="24"/>
        </w:rPr>
        <w:t>osters</w:t>
      </w:r>
      <w:r w:rsidR="000D30DE" w:rsidRPr="00AE141E">
        <w:rPr>
          <w:rFonts w:ascii="Times New Roman" w:hAnsi="Times New Roman" w:cs="Times New Roman"/>
          <w:sz w:val="24"/>
          <w:szCs w:val="24"/>
        </w:rPr>
        <w:t xml:space="preserve">, was </w:t>
      </w:r>
      <w:r w:rsidR="007D410D" w:rsidRPr="00AE141E">
        <w:rPr>
          <w:rFonts w:ascii="Times New Roman" w:hAnsi="Times New Roman" w:cs="Times New Roman"/>
          <w:sz w:val="24"/>
          <w:szCs w:val="24"/>
        </w:rPr>
        <w:t>singled out as an example of Earl Marshal’s general ‘bias’ against ‘European and British perspectives on history and “civilisation”’.</w:t>
      </w:r>
      <w:r w:rsidR="00C31C4F" w:rsidRPr="00AE141E">
        <w:rPr>
          <w:rStyle w:val="FootnoteReference"/>
          <w:rFonts w:ascii="Times New Roman" w:hAnsi="Times New Roman" w:cs="Times New Roman"/>
          <w:sz w:val="24"/>
          <w:szCs w:val="24"/>
        </w:rPr>
        <w:footnoteReference w:id="960"/>
      </w:r>
      <w:r w:rsidR="007D410D" w:rsidRPr="00AE141E">
        <w:rPr>
          <w:rFonts w:ascii="Times New Roman" w:hAnsi="Times New Roman" w:cs="Times New Roman"/>
          <w:sz w:val="24"/>
          <w:szCs w:val="24"/>
        </w:rPr>
        <w:t xml:space="preserve"> </w:t>
      </w:r>
    </w:p>
    <w:p w14:paraId="116132A5" w14:textId="23D6BD00" w:rsidR="00871B95" w:rsidRPr="00AE141E" w:rsidRDefault="00FF43B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report’s specific references to historical education were representative </w:t>
      </w:r>
      <w:r w:rsidR="00EC5A52" w:rsidRPr="00AE141E">
        <w:rPr>
          <w:rFonts w:ascii="Times New Roman" w:hAnsi="Times New Roman" w:cs="Times New Roman"/>
          <w:sz w:val="24"/>
          <w:szCs w:val="24"/>
        </w:rPr>
        <w:t xml:space="preserve">of the subject’s </w:t>
      </w:r>
      <w:r w:rsidR="00B36BE4" w:rsidRPr="00AE141E">
        <w:rPr>
          <w:rFonts w:ascii="Times New Roman" w:hAnsi="Times New Roman" w:cs="Times New Roman"/>
          <w:sz w:val="24"/>
          <w:szCs w:val="24"/>
        </w:rPr>
        <w:t>role</w:t>
      </w:r>
      <w:r w:rsidR="00EC5A52" w:rsidRPr="00AE141E">
        <w:rPr>
          <w:rFonts w:ascii="Times New Roman" w:hAnsi="Times New Roman" w:cs="Times New Roman"/>
          <w:sz w:val="24"/>
          <w:szCs w:val="24"/>
        </w:rPr>
        <w:t xml:space="preserve"> as arbiter of national identity</w:t>
      </w:r>
      <w:r w:rsidR="00D35A80" w:rsidRPr="00AE141E">
        <w:rPr>
          <w:rFonts w:ascii="Times New Roman" w:hAnsi="Times New Roman" w:cs="Times New Roman"/>
          <w:sz w:val="24"/>
          <w:szCs w:val="24"/>
        </w:rPr>
        <w:t xml:space="preserve"> within the National Curriculum</w:t>
      </w:r>
      <w:r w:rsidR="00B36BE4" w:rsidRPr="00AE141E">
        <w:rPr>
          <w:rFonts w:ascii="Times New Roman" w:hAnsi="Times New Roman" w:cs="Times New Roman"/>
          <w:sz w:val="24"/>
          <w:szCs w:val="24"/>
        </w:rPr>
        <w:t xml:space="preserve"> – a role </w:t>
      </w:r>
      <w:r w:rsidR="00687901" w:rsidRPr="00AE141E">
        <w:rPr>
          <w:rFonts w:ascii="Times New Roman" w:hAnsi="Times New Roman" w:cs="Times New Roman"/>
          <w:sz w:val="24"/>
          <w:szCs w:val="24"/>
        </w:rPr>
        <w:t>that</w:t>
      </w:r>
      <w:r w:rsidR="00B36BE4" w:rsidRPr="00AE141E">
        <w:rPr>
          <w:rFonts w:ascii="Times New Roman" w:hAnsi="Times New Roman" w:cs="Times New Roman"/>
          <w:sz w:val="24"/>
          <w:szCs w:val="24"/>
        </w:rPr>
        <w:t xml:space="preserve"> Earl Marshal students had been encouraged to question. </w:t>
      </w:r>
      <w:r w:rsidR="0061133E" w:rsidRPr="00AE141E">
        <w:rPr>
          <w:rFonts w:ascii="Times New Roman" w:hAnsi="Times New Roman" w:cs="Times New Roman"/>
          <w:sz w:val="24"/>
          <w:szCs w:val="24"/>
        </w:rPr>
        <w:t xml:space="preserve">It was clear that the school’s approach was out of step with the </w:t>
      </w:r>
      <w:r w:rsidR="00BB1FAC" w:rsidRPr="00AE141E">
        <w:rPr>
          <w:rFonts w:ascii="Times New Roman" w:hAnsi="Times New Roman" w:cs="Times New Roman"/>
          <w:sz w:val="24"/>
          <w:szCs w:val="24"/>
        </w:rPr>
        <w:t>centralising impulses of educational policy</w:t>
      </w:r>
      <w:r w:rsidR="00E9440C" w:rsidRPr="00AE141E">
        <w:rPr>
          <w:rFonts w:ascii="Times New Roman" w:hAnsi="Times New Roman" w:cs="Times New Roman"/>
          <w:sz w:val="24"/>
          <w:szCs w:val="24"/>
        </w:rPr>
        <w:t xml:space="preserve">. OFSTED, as </w:t>
      </w:r>
      <w:r w:rsidR="003B078D" w:rsidRPr="00AE141E">
        <w:rPr>
          <w:rFonts w:ascii="Times New Roman" w:hAnsi="Times New Roman" w:cs="Times New Roman"/>
          <w:sz w:val="24"/>
          <w:szCs w:val="24"/>
        </w:rPr>
        <w:t>bearer</w:t>
      </w:r>
      <w:r w:rsidR="00E9440C" w:rsidRPr="00AE141E">
        <w:rPr>
          <w:rFonts w:ascii="Times New Roman" w:hAnsi="Times New Roman" w:cs="Times New Roman"/>
          <w:sz w:val="24"/>
          <w:szCs w:val="24"/>
        </w:rPr>
        <w:t xml:space="preserve"> and enforcer of the logic of the new</w:t>
      </w:r>
      <w:r w:rsidR="006000A8">
        <w:rPr>
          <w:rFonts w:ascii="Times New Roman" w:hAnsi="Times New Roman" w:cs="Times New Roman"/>
          <w:sz w:val="24"/>
          <w:szCs w:val="24"/>
        </w:rPr>
        <w:t xml:space="preserve"> educational</w:t>
      </w:r>
      <w:r w:rsidR="00E9440C" w:rsidRPr="00AE141E">
        <w:rPr>
          <w:rFonts w:ascii="Times New Roman" w:hAnsi="Times New Roman" w:cs="Times New Roman"/>
          <w:sz w:val="24"/>
          <w:szCs w:val="24"/>
        </w:rPr>
        <w:t xml:space="preserve"> settlement, </w:t>
      </w:r>
      <w:r w:rsidR="003B078D" w:rsidRPr="00AE141E">
        <w:rPr>
          <w:rFonts w:ascii="Times New Roman" w:hAnsi="Times New Roman" w:cs="Times New Roman"/>
          <w:sz w:val="24"/>
          <w:szCs w:val="24"/>
        </w:rPr>
        <w:t>was</w:t>
      </w:r>
      <w:r w:rsidR="00E9440C" w:rsidRPr="00AE141E">
        <w:rPr>
          <w:rFonts w:ascii="Times New Roman" w:hAnsi="Times New Roman" w:cs="Times New Roman"/>
          <w:sz w:val="24"/>
          <w:szCs w:val="24"/>
        </w:rPr>
        <w:t xml:space="preserve"> making a statement that</w:t>
      </w:r>
      <w:r w:rsidR="007D13D5" w:rsidRPr="00AE141E">
        <w:rPr>
          <w:rFonts w:ascii="Times New Roman" w:hAnsi="Times New Roman" w:cs="Times New Roman"/>
          <w:sz w:val="24"/>
          <w:szCs w:val="24"/>
        </w:rPr>
        <w:t xml:space="preserve"> the embrace of</w:t>
      </w:r>
      <w:r w:rsidR="00E9440C" w:rsidRPr="00AE141E">
        <w:rPr>
          <w:rFonts w:ascii="Times New Roman" w:hAnsi="Times New Roman" w:cs="Times New Roman"/>
          <w:sz w:val="24"/>
          <w:szCs w:val="24"/>
        </w:rPr>
        <w:t xml:space="preserve"> </w:t>
      </w:r>
      <w:r w:rsidR="007D13D5" w:rsidRPr="00AE141E">
        <w:rPr>
          <w:rFonts w:ascii="Times New Roman" w:hAnsi="Times New Roman" w:cs="Times New Roman"/>
          <w:sz w:val="24"/>
          <w:szCs w:val="24"/>
        </w:rPr>
        <w:t>alternatives on a whole-school level would no longer be tolerated.</w:t>
      </w:r>
      <w:r w:rsidR="00BF1807" w:rsidRPr="00AE141E">
        <w:rPr>
          <w:rFonts w:ascii="Times New Roman" w:hAnsi="Times New Roman" w:cs="Times New Roman"/>
          <w:sz w:val="24"/>
          <w:szCs w:val="24"/>
        </w:rPr>
        <w:t xml:space="preserve"> </w:t>
      </w:r>
      <w:r w:rsidR="00FD36D1">
        <w:rPr>
          <w:rFonts w:ascii="Times New Roman" w:hAnsi="Times New Roman" w:cs="Times New Roman"/>
          <w:sz w:val="24"/>
          <w:szCs w:val="24"/>
        </w:rPr>
        <w:t>Earl Marshal</w:t>
      </w:r>
      <w:r w:rsidR="00A1578E" w:rsidRPr="00AE141E">
        <w:rPr>
          <w:rFonts w:ascii="Times New Roman" w:hAnsi="Times New Roman" w:cs="Times New Roman"/>
          <w:sz w:val="24"/>
          <w:szCs w:val="24"/>
        </w:rPr>
        <w:t xml:space="preserve"> was placed in ‘special measures’</w:t>
      </w:r>
      <w:r w:rsidR="003A27AC" w:rsidRPr="00AE141E">
        <w:rPr>
          <w:rFonts w:ascii="Times New Roman" w:hAnsi="Times New Roman" w:cs="Times New Roman"/>
          <w:sz w:val="24"/>
          <w:szCs w:val="24"/>
        </w:rPr>
        <w:t>, which entailed ongoing monitoring and the abrogation of the powers of the headmaster and governing board.</w:t>
      </w:r>
      <w:r w:rsidR="007C22F3" w:rsidRPr="00AE141E">
        <w:rPr>
          <w:rStyle w:val="FootnoteReference"/>
          <w:rFonts w:ascii="Times New Roman" w:hAnsi="Times New Roman" w:cs="Times New Roman"/>
          <w:sz w:val="24"/>
          <w:szCs w:val="24"/>
        </w:rPr>
        <w:footnoteReference w:id="961"/>
      </w:r>
    </w:p>
    <w:p w14:paraId="1025F418" w14:textId="3644D826" w:rsidR="004A4CC3" w:rsidRPr="00AE141E" w:rsidRDefault="00E2477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Earl Marshal’s wider community rallied to defend Searle and </w:t>
      </w:r>
      <w:r w:rsidR="00F30E38" w:rsidRPr="00AE141E">
        <w:rPr>
          <w:rFonts w:ascii="Times New Roman" w:hAnsi="Times New Roman" w:cs="Times New Roman"/>
          <w:sz w:val="24"/>
          <w:szCs w:val="24"/>
        </w:rPr>
        <w:t xml:space="preserve">his educational philosophy. The governors argued </w:t>
      </w:r>
      <w:r w:rsidR="00A671A6" w:rsidRPr="00AE141E">
        <w:rPr>
          <w:rFonts w:ascii="Times New Roman" w:hAnsi="Times New Roman" w:cs="Times New Roman"/>
          <w:sz w:val="24"/>
          <w:szCs w:val="24"/>
        </w:rPr>
        <w:t>against the ass</w:t>
      </w:r>
      <w:r w:rsidR="00593E01" w:rsidRPr="00AE141E">
        <w:rPr>
          <w:rFonts w:ascii="Times New Roman" w:hAnsi="Times New Roman" w:cs="Times New Roman"/>
          <w:sz w:val="24"/>
          <w:szCs w:val="24"/>
        </w:rPr>
        <w:t>ess</w:t>
      </w:r>
      <w:r w:rsidR="00A671A6" w:rsidRPr="00AE141E">
        <w:rPr>
          <w:rFonts w:ascii="Times New Roman" w:hAnsi="Times New Roman" w:cs="Times New Roman"/>
          <w:sz w:val="24"/>
          <w:szCs w:val="24"/>
        </w:rPr>
        <w:t xml:space="preserve">ment of schools through the </w:t>
      </w:r>
      <w:r w:rsidR="00593E01" w:rsidRPr="00AE141E">
        <w:rPr>
          <w:rFonts w:ascii="Times New Roman" w:hAnsi="Times New Roman" w:cs="Times New Roman"/>
          <w:sz w:val="24"/>
          <w:szCs w:val="24"/>
        </w:rPr>
        <w:t>‘distorting mirror of league tables’</w:t>
      </w:r>
      <w:r w:rsidR="00E635E3" w:rsidRPr="00AE141E">
        <w:rPr>
          <w:rFonts w:ascii="Times New Roman" w:hAnsi="Times New Roman" w:cs="Times New Roman"/>
          <w:sz w:val="24"/>
          <w:szCs w:val="24"/>
        </w:rPr>
        <w:t>.</w:t>
      </w:r>
      <w:r w:rsidR="00A93460" w:rsidRPr="00AE141E">
        <w:rPr>
          <w:rStyle w:val="FootnoteReference"/>
          <w:rFonts w:ascii="Times New Roman" w:hAnsi="Times New Roman" w:cs="Times New Roman"/>
          <w:sz w:val="24"/>
          <w:szCs w:val="24"/>
        </w:rPr>
        <w:footnoteReference w:id="962"/>
      </w:r>
      <w:r w:rsidR="00E635E3" w:rsidRPr="00AE141E">
        <w:rPr>
          <w:rFonts w:ascii="Times New Roman" w:hAnsi="Times New Roman" w:cs="Times New Roman"/>
          <w:sz w:val="24"/>
          <w:szCs w:val="24"/>
        </w:rPr>
        <w:t xml:space="preserve"> </w:t>
      </w:r>
      <w:r w:rsidR="00082E81">
        <w:rPr>
          <w:rFonts w:ascii="Times New Roman" w:hAnsi="Times New Roman" w:cs="Times New Roman"/>
          <w:sz w:val="24"/>
          <w:szCs w:val="24"/>
        </w:rPr>
        <w:t>They asserted that s</w:t>
      </w:r>
      <w:r w:rsidR="00E635E3" w:rsidRPr="00AE141E">
        <w:rPr>
          <w:rFonts w:ascii="Times New Roman" w:hAnsi="Times New Roman" w:cs="Times New Roman"/>
          <w:sz w:val="24"/>
          <w:szCs w:val="24"/>
        </w:rPr>
        <w:t>tandardise</w:t>
      </w:r>
      <w:r w:rsidR="00CB4D95" w:rsidRPr="00AE141E">
        <w:rPr>
          <w:rFonts w:ascii="Times New Roman" w:hAnsi="Times New Roman" w:cs="Times New Roman"/>
          <w:sz w:val="24"/>
          <w:szCs w:val="24"/>
        </w:rPr>
        <w:t>d metrics of educational succes</w:t>
      </w:r>
      <w:r w:rsidR="00932019" w:rsidRPr="00AE141E">
        <w:rPr>
          <w:rFonts w:ascii="Times New Roman" w:hAnsi="Times New Roman" w:cs="Times New Roman"/>
          <w:sz w:val="24"/>
          <w:szCs w:val="24"/>
        </w:rPr>
        <w:t xml:space="preserve">s began from the unfair premise that all students </w:t>
      </w:r>
      <w:r w:rsidR="00224FB4" w:rsidRPr="00AE141E">
        <w:rPr>
          <w:rFonts w:ascii="Times New Roman" w:hAnsi="Times New Roman" w:cs="Times New Roman"/>
          <w:sz w:val="24"/>
          <w:szCs w:val="24"/>
        </w:rPr>
        <w:t>began with equal opportunities</w:t>
      </w:r>
      <w:r w:rsidR="00F61740">
        <w:rPr>
          <w:rFonts w:ascii="Times New Roman" w:hAnsi="Times New Roman" w:cs="Times New Roman"/>
          <w:sz w:val="24"/>
          <w:szCs w:val="24"/>
        </w:rPr>
        <w:t xml:space="preserve">; </w:t>
      </w:r>
      <w:r w:rsidR="00D85B22" w:rsidRPr="00AE141E">
        <w:rPr>
          <w:rFonts w:ascii="Times New Roman" w:hAnsi="Times New Roman" w:cs="Times New Roman"/>
          <w:sz w:val="24"/>
          <w:szCs w:val="24"/>
        </w:rPr>
        <w:t xml:space="preserve">Earl Marshal should instead be judged on its ability to </w:t>
      </w:r>
      <w:r w:rsidR="0031146A" w:rsidRPr="00AE141E">
        <w:rPr>
          <w:rFonts w:ascii="Times New Roman" w:hAnsi="Times New Roman" w:cs="Times New Roman"/>
          <w:sz w:val="24"/>
          <w:szCs w:val="24"/>
        </w:rPr>
        <w:t>serve the specific demands of its community.</w:t>
      </w:r>
      <w:r w:rsidR="00F61740">
        <w:rPr>
          <w:rFonts w:ascii="Times New Roman" w:hAnsi="Times New Roman" w:cs="Times New Roman"/>
          <w:sz w:val="24"/>
          <w:szCs w:val="24"/>
        </w:rPr>
        <w:t xml:space="preserve"> </w:t>
      </w:r>
      <w:r w:rsidR="004E7510" w:rsidRPr="00AE141E">
        <w:rPr>
          <w:rFonts w:ascii="Times New Roman" w:hAnsi="Times New Roman" w:cs="Times New Roman"/>
          <w:sz w:val="24"/>
          <w:szCs w:val="24"/>
        </w:rPr>
        <w:t xml:space="preserve">Increasingly, however, it </w:t>
      </w:r>
      <w:r w:rsidR="007E6651" w:rsidRPr="00AE141E">
        <w:rPr>
          <w:rFonts w:ascii="Times New Roman" w:hAnsi="Times New Roman" w:cs="Times New Roman"/>
          <w:sz w:val="24"/>
          <w:szCs w:val="24"/>
        </w:rPr>
        <w:t>appeared that parents and students were fighting a losing battle.</w:t>
      </w:r>
      <w:r w:rsidR="00C25405" w:rsidRPr="00AE141E">
        <w:rPr>
          <w:rFonts w:ascii="Times New Roman" w:hAnsi="Times New Roman" w:cs="Times New Roman"/>
          <w:sz w:val="24"/>
          <w:szCs w:val="24"/>
        </w:rPr>
        <w:t xml:space="preserve"> As Mark Whitehead wrote for TES, Searle’s pedagogy was quite simply ‘</w:t>
      </w:r>
      <w:r w:rsidR="00807C90" w:rsidRPr="00AE141E">
        <w:rPr>
          <w:rFonts w:ascii="Times New Roman" w:hAnsi="Times New Roman" w:cs="Times New Roman"/>
          <w:sz w:val="24"/>
          <w:szCs w:val="24"/>
        </w:rPr>
        <w:t xml:space="preserve">out of kilter with today’s </w:t>
      </w:r>
      <w:r w:rsidR="00807C90" w:rsidRPr="00AE141E">
        <w:rPr>
          <w:rFonts w:ascii="Times New Roman" w:hAnsi="Times New Roman" w:cs="Times New Roman"/>
          <w:sz w:val="24"/>
          <w:szCs w:val="24"/>
        </w:rPr>
        <w:lastRenderedPageBreak/>
        <w:t>results-orientated world</w:t>
      </w:r>
      <w:r w:rsidR="00C25405" w:rsidRPr="00AE141E">
        <w:rPr>
          <w:rFonts w:ascii="Times New Roman" w:hAnsi="Times New Roman" w:cs="Times New Roman"/>
          <w:sz w:val="24"/>
          <w:szCs w:val="24"/>
        </w:rPr>
        <w:t>’</w:t>
      </w:r>
      <w:r w:rsidR="001758F3" w:rsidRPr="00AE141E">
        <w:rPr>
          <w:rFonts w:ascii="Times New Roman" w:hAnsi="Times New Roman" w:cs="Times New Roman"/>
          <w:sz w:val="24"/>
          <w:szCs w:val="24"/>
        </w:rPr>
        <w:t xml:space="preserve"> and its disciplinary logic.</w:t>
      </w:r>
      <w:r w:rsidR="0080589A" w:rsidRPr="00AE141E">
        <w:rPr>
          <w:rStyle w:val="FootnoteReference"/>
          <w:rFonts w:ascii="Times New Roman" w:hAnsi="Times New Roman" w:cs="Times New Roman"/>
          <w:sz w:val="24"/>
          <w:szCs w:val="24"/>
        </w:rPr>
        <w:footnoteReference w:id="963"/>
      </w:r>
      <w:r w:rsidR="001758F3" w:rsidRPr="00AE141E">
        <w:rPr>
          <w:rFonts w:ascii="Times New Roman" w:hAnsi="Times New Roman" w:cs="Times New Roman"/>
          <w:sz w:val="24"/>
          <w:szCs w:val="24"/>
        </w:rPr>
        <w:t xml:space="preserve"> </w:t>
      </w:r>
      <w:r w:rsidR="00F61740">
        <w:rPr>
          <w:rFonts w:ascii="Times New Roman" w:hAnsi="Times New Roman" w:cs="Times New Roman"/>
          <w:sz w:val="24"/>
          <w:szCs w:val="24"/>
        </w:rPr>
        <w:t>The direction of s</w:t>
      </w:r>
      <w:r w:rsidR="001758F3" w:rsidRPr="00AE141E">
        <w:rPr>
          <w:rFonts w:ascii="Times New Roman" w:hAnsi="Times New Roman" w:cs="Times New Roman"/>
          <w:sz w:val="24"/>
          <w:szCs w:val="24"/>
        </w:rPr>
        <w:t>tudent anger against OFSTED inspectors l</w:t>
      </w:r>
      <w:r w:rsidR="009B2B62" w:rsidRPr="00AE141E">
        <w:rPr>
          <w:rFonts w:ascii="Times New Roman" w:hAnsi="Times New Roman" w:cs="Times New Roman"/>
          <w:sz w:val="24"/>
          <w:szCs w:val="24"/>
        </w:rPr>
        <w:t>ikely only confirmed their critical approach to</w:t>
      </w:r>
      <w:r w:rsidR="007756F2" w:rsidRPr="00AE141E">
        <w:rPr>
          <w:rFonts w:ascii="Times New Roman" w:hAnsi="Times New Roman" w:cs="Times New Roman"/>
          <w:sz w:val="24"/>
          <w:szCs w:val="24"/>
        </w:rPr>
        <w:t xml:space="preserve"> behaviour</w:t>
      </w:r>
      <w:r w:rsidR="00E75B1F" w:rsidRPr="00AE141E">
        <w:rPr>
          <w:rFonts w:ascii="Times New Roman" w:hAnsi="Times New Roman" w:cs="Times New Roman"/>
          <w:sz w:val="24"/>
          <w:szCs w:val="24"/>
        </w:rPr>
        <w:t>.</w:t>
      </w:r>
      <w:r w:rsidR="00736ACF" w:rsidRPr="00AE141E">
        <w:rPr>
          <w:rStyle w:val="FootnoteReference"/>
          <w:rFonts w:ascii="Times New Roman" w:hAnsi="Times New Roman" w:cs="Times New Roman"/>
          <w:sz w:val="24"/>
          <w:szCs w:val="24"/>
        </w:rPr>
        <w:footnoteReference w:id="964"/>
      </w:r>
      <w:r w:rsidR="00E75B1F" w:rsidRPr="00AE141E">
        <w:rPr>
          <w:rFonts w:ascii="Times New Roman" w:hAnsi="Times New Roman" w:cs="Times New Roman"/>
          <w:sz w:val="24"/>
          <w:szCs w:val="24"/>
        </w:rPr>
        <w:t xml:space="preserve"> Searle was never reinstated</w:t>
      </w:r>
      <w:r w:rsidR="00215610" w:rsidRPr="00AE141E">
        <w:rPr>
          <w:rFonts w:ascii="Times New Roman" w:hAnsi="Times New Roman" w:cs="Times New Roman"/>
          <w:sz w:val="24"/>
          <w:szCs w:val="24"/>
        </w:rPr>
        <w:t>. His replacement</w:t>
      </w:r>
      <w:r w:rsidR="00D216A9" w:rsidRPr="00AE141E">
        <w:rPr>
          <w:rFonts w:ascii="Times New Roman" w:hAnsi="Times New Roman" w:cs="Times New Roman"/>
          <w:sz w:val="24"/>
          <w:szCs w:val="24"/>
        </w:rPr>
        <w:t>s</w:t>
      </w:r>
      <w:r w:rsidR="00215610" w:rsidRPr="00AE141E">
        <w:rPr>
          <w:rFonts w:ascii="Times New Roman" w:hAnsi="Times New Roman" w:cs="Times New Roman"/>
          <w:sz w:val="24"/>
          <w:szCs w:val="24"/>
        </w:rPr>
        <w:t xml:space="preserve"> </w:t>
      </w:r>
      <w:r w:rsidR="003F11DF" w:rsidRPr="00AE141E">
        <w:rPr>
          <w:rFonts w:ascii="Times New Roman" w:hAnsi="Times New Roman" w:cs="Times New Roman"/>
          <w:sz w:val="24"/>
          <w:szCs w:val="24"/>
        </w:rPr>
        <w:t>gradually</w:t>
      </w:r>
      <w:r w:rsidR="00D216A9" w:rsidRPr="00AE141E">
        <w:rPr>
          <w:rFonts w:ascii="Times New Roman" w:hAnsi="Times New Roman" w:cs="Times New Roman"/>
          <w:sz w:val="24"/>
          <w:szCs w:val="24"/>
        </w:rPr>
        <w:t xml:space="preserve"> brought Earl Marshal into conformity with </w:t>
      </w:r>
      <w:r w:rsidR="00B40C2E" w:rsidRPr="00AE141E">
        <w:rPr>
          <w:rFonts w:ascii="Times New Roman" w:hAnsi="Times New Roman" w:cs="Times New Roman"/>
          <w:sz w:val="24"/>
          <w:szCs w:val="24"/>
        </w:rPr>
        <w:t>the structures created by ERA.</w:t>
      </w:r>
      <w:r w:rsidR="003F11DF" w:rsidRPr="00AE141E">
        <w:rPr>
          <w:rFonts w:ascii="Times New Roman" w:hAnsi="Times New Roman" w:cs="Times New Roman"/>
          <w:sz w:val="24"/>
          <w:szCs w:val="24"/>
        </w:rPr>
        <w:t xml:space="preserve"> </w:t>
      </w:r>
    </w:p>
    <w:p w14:paraId="25F014C8" w14:textId="79572344" w:rsidR="00E8463F" w:rsidRPr="00AE141E" w:rsidRDefault="003F11D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 1997</w:t>
      </w:r>
      <w:r w:rsidR="00712A57" w:rsidRPr="00AE141E">
        <w:rPr>
          <w:rFonts w:ascii="Times New Roman" w:hAnsi="Times New Roman" w:cs="Times New Roman"/>
          <w:sz w:val="24"/>
          <w:szCs w:val="24"/>
        </w:rPr>
        <w:t>, the</w:t>
      </w:r>
      <w:r w:rsidRPr="00AE141E">
        <w:rPr>
          <w:rFonts w:ascii="Times New Roman" w:hAnsi="Times New Roman" w:cs="Times New Roman"/>
          <w:sz w:val="24"/>
          <w:szCs w:val="24"/>
        </w:rPr>
        <w:t xml:space="preserve"> </w:t>
      </w:r>
      <w:r w:rsidR="00712A57" w:rsidRPr="00AE141E">
        <w:rPr>
          <w:rFonts w:ascii="Times New Roman" w:hAnsi="Times New Roman" w:cs="Times New Roman"/>
          <w:sz w:val="24"/>
          <w:szCs w:val="24"/>
        </w:rPr>
        <w:t>incoming Labour government would single Earl Marshal out for central intervention</w:t>
      </w:r>
      <w:r w:rsidR="008A2DAE" w:rsidRPr="00AE141E">
        <w:rPr>
          <w:rFonts w:ascii="Times New Roman" w:hAnsi="Times New Roman" w:cs="Times New Roman"/>
          <w:sz w:val="24"/>
          <w:szCs w:val="24"/>
        </w:rPr>
        <w:t xml:space="preserve">; it </w:t>
      </w:r>
      <w:r w:rsidR="00712A57" w:rsidRPr="00AE141E">
        <w:rPr>
          <w:rFonts w:ascii="Times New Roman" w:hAnsi="Times New Roman" w:cs="Times New Roman"/>
          <w:sz w:val="24"/>
          <w:szCs w:val="24"/>
        </w:rPr>
        <w:t xml:space="preserve">became </w:t>
      </w:r>
      <w:r w:rsidR="005A20D0" w:rsidRPr="00AE141E">
        <w:rPr>
          <w:rFonts w:ascii="Times New Roman" w:hAnsi="Times New Roman" w:cs="Times New Roman"/>
          <w:sz w:val="24"/>
          <w:szCs w:val="24"/>
        </w:rPr>
        <w:t>a noted</w:t>
      </w:r>
      <w:r w:rsidRPr="00AE141E">
        <w:rPr>
          <w:rFonts w:ascii="Times New Roman" w:hAnsi="Times New Roman" w:cs="Times New Roman"/>
          <w:sz w:val="24"/>
          <w:szCs w:val="24"/>
        </w:rPr>
        <w:t xml:space="preserve"> success</w:t>
      </w:r>
      <w:r w:rsidR="005A20D0" w:rsidRPr="00AE141E">
        <w:rPr>
          <w:rFonts w:ascii="Times New Roman" w:hAnsi="Times New Roman" w:cs="Times New Roman"/>
          <w:sz w:val="24"/>
          <w:szCs w:val="24"/>
        </w:rPr>
        <w:t xml:space="preserve">-story of </w:t>
      </w:r>
      <w:r w:rsidR="008A2DAE" w:rsidRPr="00AE141E">
        <w:rPr>
          <w:rFonts w:ascii="Times New Roman" w:hAnsi="Times New Roman" w:cs="Times New Roman"/>
          <w:sz w:val="24"/>
          <w:szCs w:val="24"/>
        </w:rPr>
        <w:t>Blunkett’s</w:t>
      </w:r>
      <w:r w:rsidR="005A20D0" w:rsidRPr="00AE141E">
        <w:rPr>
          <w:rFonts w:ascii="Times New Roman" w:hAnsi="Times New Roman" w:cs="Times New Roman"/>
          <w:sz w:val="24"/>
          <w:szCs w:val="24"/>
        </w:rPr>
        <w:t xml:space="preserve"> ‘fresh start’ scheme, which saw schools closed</w:t>
      </w:r>
      <w:r w:rsidRPr="00AE141E">
        <w:rPr>
          <w:rFonts w:ascii="Times New Roman" w:hAnsi="Times New Roman" w:cs="Times New Roman"/>
          <w:sz w:val="24"/>
          <w:szCs w:val="24"/>
        </w:rPr>
        <w:t xml:space="preserve"> and reopened on the same site with a </w:t>
      </w:r>
      <w:r w:rsidR="00000C1F" w:rsidRPr="00AE141E">
        <w:rPr>
          <w:rFonts w:ascii="Times New Roman" w:hAnsi="Times New Roman" w:cs="Times New Roman"/>
          <w:sz w:val="24"/>
          <w:szCs w:val="24"/>
        </w:rPr>
        <w:t>‘</w:t>
      </w:r>
      <w:r w:rsidRPr="00AE141E">
        <w:rPr>
          <w:rFonts w:ascii="Times New Roman" w:hAnsi="Times New Roman" w:cs="Times New Roman"/>
          <w:sz w:val="24"/>
          <w:szCs w:val="24"/>
        </w:rPr>
        <w:t>new name and new staff</w:t>
      </w:r>
      <w:r w:rsidR="00F61740">
        <w:rPr>
          <w:rFonts w:ascii="Times New Roman" w:hAnsi="Times New Roman" w:cs="Times New Roman"/>
          <w:sz w:val="24"/>
          <w:szCs w:val="24"/>
        </w:rPr>
        <w:t>’</w:t>
      </w:r>
      <w:r w:rsidR="00000C1F" w:rsidRPr="00AE141E">
        <w:rPr>
          <w:rFonts w:ascii="Times New Roman" w:hAnsi="Times New Roman" w:cs="Times New Roman"/>
          <w:sz w:val="24"/>
          <w:szCs w:val="24"/>
        </w:rPr>
        <w:t>.</w:t>
      </w:r>
      <w:r w:rsidR="00A1707F" w:rsidRPr="00AE141E">
        <w:rPr>
          <w:rStyle w:val="FootnoteReference"/>
          <w:rFonts w:ascii="Times New Roman" w:hAnsi="Times New Roman" w:cs="Times New Roman"/>
          <w:sz w:val="24"/>
          <w:szCs w:val="24"/>
        </w:rPr>
        <w:footnoteReference w:id="965"/>
      </w:r>
      <w:r w:rsidR="00000C1F" w:rsidRPr="00AE141E">
        <w:rPr>
          <w:rFonts w:ascii="Times New Roman" w:hAnsi="Times New Roman" w:cs="Times New Roman"/>
          <w:sz w:val="24"/>
          <w:szCs w:val="24"/>
        </w:rPr>
        <w:t xml:space="preserve"> Fir Va</w:t>
      </w:r>
      <w:r w:rsidR="003745AB" w:rsidRPr="00AE141E">
        <w:rPr>
          <w:rFonts w:ascii="Times New Roman" w:hAnsi="Times New Roman" w:cs="Times New Roman"/>
          <w:sz w:val="24"/>
          <w:szCs w:val="24"/>
        </w:rPr>
        <w:t>l</w:t>
      </w:r>
      <w:r w:rsidR="00000C1F" w:rsidRPr="00AE141E">
        <w:rPr>
          <w:rFonts w:ascii="Times New Roman" w:hAnsi="Times New Roman" w:cs="Times New Roman"/>
          <w:sz w:val="24"/>
          <w:szCs w:val="24"/>
        </w:rPr>
        <w:t xml:space="preserve">e School, </w:t>
      </w:r>
      <w:r w:rsidR="00EC266D" w:rsidRPr="00AE141E">
        <w:rPr>
          <w:rFonts w:ascii="Times New Roman" w:hAnsi="Times New Roman" w:cs="Times New Roman"/>
          <w:sz w:val="24"/>
          <w:szCs w:val="24"/>
        </w:rPr>
        <w:t>the</w:t>
      </w:r>
      <w:r w:rsidR="00000C1F" w:rsidRPr="00AE141E">
        <w:rPr>
          <w:rFonts w:ascii="Times New Roman" w:hAnsi="Times New Roman" w:cs="Times New Roman"/>
          <w:sz w:val="24"/>
          <w:szCs w:val="24"/>
        </w:rPr>
        <w:t xml:space="preserve"> successor institution, received an ‘Outstanding’ OFSTED rating (the highest possible ju</w:t>
      </w:r>
      <w:r w:rsidR="00845AD3" w:rsidRPr="00AE141E">
        <w:rPr>
          <w:rFonts w:ascii="Times New Roman" w:hAnsi="Times New Roman" w:cs="Times New Roman"/>
          <w:sz w:val="24"/>
          <w:szCs w:val="24"/>
        </w:rPr>
        <w:t xml:space="preserve">dgement) in </w:t>
      </w:r>
      <w:r w:rsidR="005E1E3C" w:rsidRPr="00AE141E">
        <w:rPr>
          <w:rFonts w:ascii="Times New Roman" w:hAnsi="Times New Roman" w:cs="Times New Roman"/>
          <w:sz w:val="24"/>
          <w:szCs w:val="24"/>
        </w:rPr>
        <w:t xml:space="preserve">2002. </w:t>
      </w:r>
      <w:r w:rsidR="004A4CC3" w:rsidRPr="00AE141E">
        <w:rPr>
          <w:rFonts w:ascii="Times New Roman" w:hAnsi="Times New Roman" w:cs="Times New Roman"/>
          <w:sz w:val="24"/>
          <w:szCs w:val="24"/>
        </w:rPr>
        <w:t xml:space="preserve">As Ahmed Gurnah notes, Earl Marshal was </w:t>
      </w:r>
      <w:r w:rsidR="00EA23BF" w:rsidRPr="00AE141E">
        <w:rPr>
          <w:rFonts w:ascii="Times New Roman" w:hAnsi="Times New Roman" w:cs="Times New Roman"/>
          <w:sz w:val="24"/>
          <w:szCs w:val="24"/>
        </w:rPr>
        <w:t>just one</w:t>
      </w:r>
      <w:r w:rsidR="004A4CC3" w:rsidRPr="00AE141E">
        <w:rPr>
          <w:rFonts w:ascii="Times New Roman" w:hAnsi="Times New Roman" w:cs="Times New Roman"/>
          <w:sz w:val="24"/>
          <w:szCs w:val="24"/>
        </w:rPr>
        <w:t xml:space="preserve"> ‘victim of the Conservative revolution in educational policy’, brought about by, but not restricted to, Thatcher’s government</w:t>
      </w:r>
      <w:r w:rsidR="00EC266D" w:rsidRPr="00AE141E">
        <w:rPr>
          <w:rFonts w:ascii="Times New Roman" w:hAnsi="Times New Roman" w:cs="Times New Roman"/>
          <w:sz w:val="24"/>
          <w:szCs w:val="24"/>
        </w:rPr>
        <w:t>.</w:t>
      </w:r>
      <w:r w:rsidR="007756F2" w:rsidRPr="00AE141E">
        <w:rPr>
          <w:rStyle w:val="FootnoteReference"/>
          <w:rFonts w:ascii="Times New Roman" w:hAnsi="Times New Roman" w:cs="Times New Roman"/>
          <w:sz w:val="24"/>
          <w:szCs w:val="24"/>
        </w:rPr>
        <w:footnoteReference w:id="966"/>
      </w:r>
      <w:r w:rsidR="008A2DAE" w:rsidRPr="00AE141E">
        <w:rPr>
          <w:rFonts w:ascii="Times New Roman" w:hAnsi="Times New Roman" w:cs="Times New Roman"/>
          <w:sz w:val="24"/>
          <w:szCs w:val="24"/>
        </w:rPr>
        <w:t xml:space="preserve"> </w:t>
      </w:r>
      <w:r w:rsidR="005E564B" w:rsidRPr="00AE141E">
        <w:rPr>
          <w:rFonts w:ascii="Times New Roman" w:hAnsi="Times New Roman" w:cs="Times New Roman"/>
          <w:sz w:val="24"/>
          <w:szCs w:val="24"/>
        </w:rPr>
        <w:t xml:space="preserve">Searle saw his own case as representative of </w:t>
      </w:r>
      <w:r w:rsidR="00154033" w:rsidRPr="00AE141E">
        <w:rPr>
          <w:rFonts w:ascii="Times New Roman" w:hAnsi="Times New Roman" w:cs="Times New Roman"/>
          <w:sz w:val="24"/>
          <w:szCs w:val="24"/>
        </w:rPr>
        <w:t>New Labour</w:t>
      </w:r>
      <w:r w:rsidR="00CD5164" w:rsidRPr="00AE141E">
        <w:rPr>
          <w:rFonts w:ascii="Times New Roman" w:hAnsi="Times New Roman" w:cs="Times New Roman"/>
          <w:sz w:val="24"/>
          <w:szCs w:val="24"/>
        </w:rPr>
        <w:t xml:space="preserve"> policy, which </w:t>
      </w:r>
      <w:r w:rsidR="00154033" w:rsidRPr="00AE141E">
        <w:rPr>
          <w:rFonts w:ascii="Times New Roman" w:hAnsi="Times New Roman" w:cs="Times New Roman"/>
          <w:sz w:val="24"/>
          <w:szCs w:val="24"/>
        </w:rPr>
        <w:t>p</w:t>
      </w:r>
      <w:r w:rsidR="00385BF3" w:rsidRPr="00AE141E">
        <w:rPr>
          <w:rFonts w:ascii="Times New Roman" w:hAnsi="Times New Roman" w:cs="Times New Roman"/>
          <w:sz w:val="24"/>
          <w:szCs w:val="24"/>
        </w:rPr>
        <w:t xml:space="preserve">laced the blame for the </w:t>
      </w:r>
      <w:r w:rsidR="00154033" w:rsidRPr="00AE141E">
        <w:rPr>
          <w:rFonts w:ascii="Times New Roman" w:hAnsi="Times New Roman" w:cs="Times New Roman"/>
          <w:sz w:val="24"/>
          <w:szCs w:val="24"/>
        </w:rPr>
        <w:t xml:space="preserve">supposed </w:t>
      </w:r>
      <w:r w:rsidR="00385BF3" w:rsidRPr="00AE141E">
        <w:rPr>
          <w:rFonts w:ascii="Times New Roman" w:hAnsi="Times New Roman" w:cs="Times New Roman"/>
          <w:sz w:val="24"/>
          <w:szCs w:val="24"/>
        </w:rPr>
        <w:t>failures of i</w:t>
      </w:r>
      <w:r w:rsidR="00154033" w:rsidRPr="00AE141E">
        <w:rPr>
          <w:rFonts w:ascii="Times New Roman" w:hAnsi="Times New Roman" w:cs="Times New Roman"/>
          <w:sz w:val="24"/>
          <w:szCs w:val="24"/>
        </w:rPr>
        <w:t>n</w:t>
      </w:r>
      <w:r w:rsidR="00385BF3" w:rsidRPr="00AE141E">
        <w:rPr>
          <w:rFonts w:ascii="Times New Roman" w:hAnsi="Times New Roman" w:cs="Times New Roman"/>
          <w:sz w:val="24"/>
          <w:szCs w:val="24"/>
        </w:rPr>
        <w:t xml:space="preserve">ner-city comprehensive schools firmly on the shoulders of the </w:t>
      </w:r>
      <w:r w:rsidR="00154033" w:rsidRPr="00AE141E">
        <w:rPr>
          <w:rFonts w:ascii="Times New Roman" w:hAnsi="Times New Roman" w:cs="Times New Roman"/>
          <w:sz w:val="24"/>
          <w:szCs w:val="24"/>
        </w:rPr>
        <w:t>‘</w:t>
      </w:r>
      <w:r w:rsidR="00385BF3" w:rsidRPr="00AE141E">
        <w:rPr>
          <w:rFonts w:ascii="Times New Roman" w:hAnsi="Times New Roman" w:cs="Times New Roman"/>
          <w:sz w:val="24"/>
          <w:szCs w:val="24"/>
        </w:rPr>
        <w:t>old Left</w:t>
      </w:r>
      <w:r w:rsidR="00154033" w:rsidRPr="00AE141E">
        <w:rPr>
          <w:rFonts w:ascii="Times New Roman" w:hAnsi="Times New Roman" w:cs="Times New Roman"/>
          <w:sz w:val="24"/>
          <w:szCs w:val="24"/>
        </w:rPr>
        <w:t>’</w:t>
      </w:r>
      <w:r w:rsidR="00385BF3" w:rsidRPr="00AE141E">
        <w:rPr>
          <w:rFonts w:ascii="Times New Roman" w:hAnsi="Times New Roman" w:cs="Times New Roman"/>
          <w:sz w:val="24"/>
          <w:szCs w:val="24"/>
        </w:rPr>
        <w:t>.</w:t>
      </w:r>
      <w:r w:rsidR="00CD5164" w:rsidRPr="00AE141E">
        <w:rPr>
          <w:rStyle w:val="FootnoteReference"/>
          <w:rFonts w:ascii="Times New Roman" w:hAnsi="Times New Roman" w:cs="Times New Roman"/>
          <w:sz w:val="24"/>
          <w:szCs w:val="24"/>
        </w:rPr>
        <w:footnoteReference w:id="967"/>
      </w:r>
      <w:r w:rsidR="00385BF3" w:rsidRPr="00AE141E">
        <w:rPr>
          <w:rFonts w:ascii="Times New Roman" w:hAnsi="Times New Roman" w:cs="Times New Roman"/>
          <w:sz w:val="24"/>
          <w:szCs w:val="24"/>
        </w:rPr>
        <w:t xml:space="preserve"> Tony Blair</w:t>
      </w:r>
      <w:r w:rsidR="00154033" w:rsidRPr="00AE141E">
        <w:rPr>
          <w:rFonts w:ascii="Times New Roman" w:hAnsi="Times New Roman" w:cs="Times New Roman"/>
          <w:sz w:val="24"/>
          <w:szCs w:val="24"/>
        </w:rPr>
        <w:t>’</w:t>
      </w:r>
      <w:r w:rsidR="00385BF3" w:rsidRPr="00AE141E">
        <w:rPr>
          <w:rFonts w:ascii="Times New Roman" w:hAnsi="Times New Roman" w:cs="Times New Roman"/>
          <w:sz w:val="24"/>
          <w:szCs w:val="24"/>
        </w:rPr>
        <w:t xml:space="preserve">s first years in </w:t>
      </w:r>
      <w:r w:rsidR="00566970" w:rsidRPr="00AE141E">
        <w:rPr>
          <w:rFonts w:ascii="Times New Roman" w:hAnsi="Times New Roman" w:cs="Times New Roman"/>
          <w:sz w:val="24"/>
          <w:szCs w:val="24"/>
        </w:rPr>
        <w:t>government</w:t>
      </w:r>
      <w:r w:rsidR="00385BF3" w:rsidRPr="00AE141E">
        <w:rPr>
          <w:rFonts w:ascii="Times New Roman" w:hAnsi="Times New Roman" w:cs="Times New Roman"/>
          <w:sz w:val="24"/>
          <w:szCs w:val="24"/>
        </w:rPr>
        <w:t xml:space="preserve"> were </w:t>
      </w:r>
      <w:r w:rsidR="00566970" w:rsidRPr="00AE141E">
        <w:rPr>
          <w:rFonts w:ascii="Times New Roman" w:hAnsi="Times New Roman" w:cs="Times New Roman"/>
          <w:sz w:val="24"/>
          <w:szCs w:val="24"/>
        </w:rPr>
        <w:t>marked</w:t>
      </w:r>
      <w:r w:rsidR="00385BF3" w:rsidRPr="00AE141E">
        <w:rPr>
          <w:rFonts w:ascii="Times New Roman" w:hAnsi="Times New Roman" w:cs="Times New Roman"/>
          <w:sz w:val="24"/>
          <w:szCs w:val="24"/>
        </w:rPr>
        <w:t xml:space="preserve"> by the </w:t>
      </w:r>
      <w:r w:rsidR="00566970" w:rsidRPr="00AE141E">
        <w:rPr>
          <w:rFonts w:ascii="Times New Roman" w:hAnsi="Times New Roman" w:cs="Times New Roman"/>
          <w:sz w:val="24"/>
          <w:szCs w:val="24"/>
        </w:rPr>
        <w:t>development</w:t>
      </w:r>
      <w:r w:rsidR="00385BF3" w:rsidRPr="00AE141E">
        <w:rPr>
          <w:rFonts w:ascii="Times New Roman" w:hAnsi="Times New Roman" w:cs="Times New Roman"/>
          <w:sz w:val="24"/>
          <w:szCs w:val="24"/>
        </w:rPr>
        <w:t xml:space="preserve"> of a </w:t>
      </w:r>
      <w:r w:rsidR="00915788">
        <w:rPr>
          <w:rFonts w:ascii="Times New Roman" w:hAnsi="Times New Roman" w:cs="Times New Roman"/>
          <w:sz w:val="24"/>
          <w:szCs w:val="24"/>
        </w:rPr>
        <w:t xml:space="preserve">new </w:t>
      </w:r>
      <w:r w:rsidR="00385BF3" w:rsidRPr="00AE141E">
        <w:rPr>
          <w:rFonts w:ascii="Times New Roman" w:hAnsi="Times New Roman" w:cs="Times New Roman"/>
          <w:sz w:val="24"/>
          <w:szCs w:val="24"/>
        </w:rPr>
        <w:t xml:space="preserve">disciplinary </w:t>
      </w:r>
      <w:r w:rsidR="00566970" w:rsidRPr="00AE141E">
        <w:rPr>
          <w:rFonts w:ascii="Times New Roman" w:hAnsi="Times New Roman" w:cs="Times New Roman"/>
          <w:sz w:val="24"/>
          <w:szCs w:val="24"/>
        </w:rPr>
        <w:t>apparatus with</w:t>
      </w:r>
      <w:r w:rsidR="00915788">
        <w:rPr>
          <w:rFonts w:ascii="Times New Roman" w:hAnsi="Times New Roman" w:cs="Times New Roman"/>
          <w:sz w:val="24"/>
          <w:szCs w:val="24"/>
        </w:rPr>
        <w:t>in</w:t>
      </w:r>
      <w:r w:rsidR="00566970" w:rsidRPr="00AE141E">
        <w:rPr>
          <w:rFonts w:ascii="Times New Roman" w:hAnsi="Times New Roman" w:cs="Times New Roman"/>
          <w:sz w:val="24"/>
          <w:szCs w:val="24"/>
        </w:rPr>
        <w:t xml:space="preserve"> the education system</w:t>
      </w:r>
      <w:r w:rsidR="00385BF3" w:rsidRPr="00AE141E">
        <w:rPr>
          <w:rFonts w:ascii="Times New Roman" w:hAnsi="Times New Roman" w:cs="Times New Roman"/>
          <w:sz w:val="24"/>
          <w:szCs w:val="24"/>
        </w:rPr>
        <w:t xml:space="preserve">, </w:t>
      </w:r>
      <w:r w:rsidR="00915788">
        <w:rPr>
          <w:rFonts w:ascii="Times New Roman" w:hAnsi="Times New Roman" w:cs="Times New Roman"/>
          <w:sz w:val="24"/>
          <w:szCs w:val="24"/>
        </w:rPr>
        <w:t>characterised by</w:t>
      </w:r>
      <w:r w:rsidR="00385BF3" w:rsidRPr="00AE141E">
        <w:rPr>
          <w:rFonts w:ascii="Times New Roman" w:hAnsi="Times New Roman" w:cs="Times New Roman"/>
          <w:sz w:val="24"/>
          <w:szCs w:val="24"/>
        </w:rPr>
        <w:t xml:space="preserve"> </w:t>
      </w:r>
      <w:r w:rsidR="00566970" w:rsidRPr="00AE141E">
        <w:rPr>
          <w:rFonts w:ascii="Times New Roman" w:hAnsi="Times New Roman" w:cs="Times New Roman"/>
          <w:sz w:val="24"/>
          <w:szCs w:val="24"/>
        </w:rPr>
        <w:t>‘</w:t>
      </w:r>
      <w:r w:rsidR="00385BF3" w:rsidRPr="00AE141E">
        <w:rPr>
          <w:rFonts w:ascii="Times New Roman" w:hAnsi="Times New Roman" w:cs="Times New Roman"/>
          <w:sz w:val="24"/>
          <w:szCs w:val="24"/>
        </w:rPr>
        <w:t>pupil referral units</w:t>
      </w:r>
      <w:r w:rsidR="00566970" w:rsidRPr="00AE141E">
        <w:rPr>
          <w:rFonts w:ascii="Times New Roman" w:hAnsi="Times New Roman" w:cs="Times New Roman"/>
          <w:sz w:val="24"/>
          <w:szCs w:val="24"/>
        </w:rPr>
        <w:t>’ (</w:t>
      </w:r>
      <w:r w:rsidR="00592F42" w:rsidRPr="00AE141E">
        <w:rPr>
          <w:rFonts w:ascii="Times New Roman" w:hAnsi="Times New Roman" w:cs="Times New Roman"/>
          <w:sz w:val="24"/>
          <w:szCs w:val="24"/>
        </w:rPr>
        <w:t>alternative provision designed to accommodate mass exclusion)</w:t>
      </w:r>
      <w:r w:rsidR="00385BF3" w:rsidRPr="00AE141E">
        <w:rPr>
          <w:rFonts w:ascii="Times New Roman" w:hAnsi="Times New Roman" w:cs="Times New Roman"/>
          <w:sz w:val="24"/>
          <w:szCs w:val="24"/>
        </w:rPr>
        <w:t xml:space="preserve">. </w:t>
      </w:r>
      <w:r w:rsidR="00915788" w:rsidRPr="00197375">
        <w:rPr>
          <w:rFonts w:ascii="Times New Roman" w:hAnsi="Times New Roman" w:cs="Times New Roman"/>
          <w:sz w:val="24"/>
          <w:szCs w:val="24"/>
        </w:rPr>
        <w:t>Once again, s</w:t>
      </w:r>
      <w:r w:rsidR="00385BF3" w:rsidRPr="00197375">
        <w:rPr>
          <w:rFonts w:ascii="Times New Roman" w:hAnsi="Times New Roman" w:cs="Times New Roman"/>
          <w:sz w:val="24"/>
          <w:szCs w:val="24"/>
        </w:rPr>
        <w:t>uch measure</w:t>
      </w:r>
      <w:r w:rsidR="00592F42" w:rsidRPr="00197375">
        <w:rPr>
          <w:rFonts w:ascii="Times New Roman" w:hAnsi="Times New Roman" w:cs="Times New Roman"/>
          <w:sz w:val="24"/>
          <w:szCs w:val="24"/>
        </w:rPr>
        <w:t xml:space="preserve">s </w:t>
      </w:r>
      <w:r w:rsidR="00385BF3" w:rsidRPr="00197375">
        <w:rPr>
          <w:rFonts w:ascii="Times New Roman" w:hAnsi="Times New Roman" w:cs="Times New Roman"/>
          <w:sz w:val="24"/>
          <w:szCs w:val="24"/>
        </w:rPr>
        <w:t xml:space="preserve">disproportionately impacted </w:t>
      </w:r>
      <w:r w:rsidR="00AD028B" w:rsidRPr="00197375">
        <w:rPr>
          <w:rFonts w:ascii="Times New Roman" w:hAnsi="Times New Roman" w:cs="Times New Roman"/>
          <w:sz w:val="24"/>
          <w:szCs w:val="24"/>
        </w:rPr>
        <w:t>downwardly racialised</w:t>
      </w:r>
      <w:r w:rsidR="00385BF3" w:rsidRPr="00197375">
        <w:rPr>
          <w:rFonts w:ascii="Times New Roman" w:hAnsi="Times New Roman" w:cs="Times New Roman"/>
          <w:sz w:val="24"/>
          <w:szCs w:val="24"/>
        </w:rPr>
        <w:t xml:space="preserve"> communities.</w:t>
      </w:r>
      <w:r w:rsidR="00847A4C" w:rsidRPr="00197375">
        <w:rPr>
          <w:rStyle w:val="FootnoteReference"/>
          <w:rFonts w:ascii="Times New Roman" w:hAnsi="Times New Roman" w:cs="Times New Roman"/>
          <w:sz w:val="24"/>
          <w:szCs w:val="24"/>
        </w:rPr>
        <w:footnoteReference w:id="968"/>
      </w:r>
    </w:p>
    <w:p w14:paraId="0B4DB27C" w14:textId="64F20B01" w:rsidR="007C4DF1" w:rsidRPr="00AE141E" w:rsidRDefault="007C4DF1"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John Fines, a medievalist and educator who served as President of the HA from 1994 to 1996, has been quoted as saying that the National Curriculum would ‘destroy brilliant history teaching’ but ‘improve the generality’.</w:t>
      </w:r>
      <w:r w:rsidRPr="00AE141E">
        <w:rPr>
          <w:rStyle w:val="FootnoteReference"/>
          <w:rFonts w:ascii="Times New Roman" w:hAnsi="Times New Roman" w:cs="Times New Roman"/>
          <w:sz w:val="24"/>
          <w:szCs w:val="24"/>
        </w:rPr>
        <w:footnoteReference w:id="969"/>
      </w:r>
      <w:r w:rsidRPr="00AE141E">
        <w:rPr>
          <w:rFonts w:ascii="Times New Roman" w:hAnsi="Times New Roman" w:cs="Times New Roman"/>
          <w:sz w:val="24"/>
          <w:szCs w:val="24"/>
        </w:rPr>
        <w:t xml:space="preserve"> This prophecy of destruction may have been exaggerated, but it holds a central truth.</w:t>
      </w:r>
      <w:r w:rsidR="002E1137" w:rsidRPr="00AE141E">
        <w:rPr>
          <w:rFonts w:ascii="Times New Roman" w:hAnsi="Times New Roman" w:cs="Times New Roman"/>
          <w:sz w:val="24"/>
          <w:szCs w:val="24"/>
        </w:rPr>
        <w:t xml:space="preserve"> A</w:t>
      </w:r>
      <w:r w:rsidR="00E3242A" w:rsidRPr="00AE141E">
        <w:rPr>
          <w:rFonts w:ascii="Times New Roman" w:hAnsi="Times New Roman" w:cs="Times New Roman"/>
          <w:sz w:val="24"/>
          <w:szCs w:val="24"/>
        </w:rPr>
        <w:t>s</w:t>
      </w:r>
      <w:r w:rsidR="002E1137" w:rsidRPr="00AE141E">
        <w:rPr>
          <w:rFonts w:ascii="Times New Roman" w:hAnsi="Times New Roman" w:cs="Times New Roman"/>
          <w:sz w:val="24"/>
          <w:szCs w:val="24"/>
        </w:rPr>
        <w:t xml:space="preserve"> the </w:t>
      </w:r>
      <w:r w:rsidR="00E3242A" w:rsidRPr="00AE141E">
        <w:rPr>
          <w:rFonts w:ascii="Times New Roman" w:hAnsi="Times New Roman" w:cs="Times New Roman"/>
          <w:sz w:val="24"/>
          <w:szCs w:val="24"/>
        </w:rPr>
        <w:t xml:space="preserve">former HWG member Chris Culpin </w:t>
      </w:r>
      <w:r w:rsidR="00E3242A" w:rsidRPr="00AE141E">
        <w:rPr>
          <w:rFonts w:ascii="Times New Roman" w:hAnsi="Times New Roman" w:cs="Times New Roman"/>
          <w:sz w:val="24"/>
          <w:szCs w:val="24"/>
        </w:rPr>
        <w:lastRenderedPageBreak/>
        <w:t>recognised, the introduction of compulsory elements of non-British history (both European and non-European) went ‘far beyond what most schools taught between eleven and fourteen at that time’.</w:t>
      </w:r>
      <w:r w:rsidR="00E3242A" w:rsidRPr="00AE141E">
        <w:rPr>
          <w:rStyle w:val="FootnoteReference"/>
          <w:rFonts w:ascii="Times New Roman" w:hAnsi="Times New Roman" w:cs="Times New Roman"/>
          <w:sz w:val="24"/>
          <w:szCs w:val="24"/>
        </w:rPr>
        <w:footnoteReference w:id="970"/>
      </w:r>
      <w:r w:rsidR="00E3242A" w:rsidRPr="00AE141E">
        <w:rPr>
          <w:rFonts w:ascii="Times New Roman" w:hAnsi="Times New Roman" w:cs="Times New Roman"/>
          <w:sz w:val="24"/>
          <w:szCs w:val="24"/>
        </w:rPr>
        <w:t xml:space="preserve"> </w:t>
      </w:r>
      <w:r w:rsidR="002E1137" w:rsidRPr="00AE141E">
        <w:rPr>
          <w:rFonts w:ascii="Times New Roman" w:hAnsi="Times New Roman" w:cs="Times New Roman"/>
          <w:sz w:val="24"/>
          <w:szCs w:val="24"/>
        </w:rPr>
        <w:t>However, t</w:t>
      </w:r>
      <w:r w:rsidRPr="00AE141E">
        <w:rPr>
          <w:rFonts w:ascii="Times New Roman" w:hAnsi="Times New Roman" w:cs="Times New Roman"/>
          <w:sz w:val="24"/>
          <w:szCs w:val="24"/>
        </w:rPr>
        <w:t>he National Curriculum was intended to curb (though not to abolish) teacher’s creative autonomy.</w:t>
      </w:r>
      <w:r w:rsidR="00032F4E" w:rsidRPr="00AE141E">
        <w:rPr>
          <w:rFonts w:ascii="Times New Roman" w:hAnsi="Times New Roman" w:cs="Times New Roman"/>
          <w:sz w:val="24"/>
          <w:szCs w:val="24"/>
        </w:rPr>
        <w:t xml:space="preserve"> It was embedded in the </w:t>
      </w:r>
      <w:r w:rsidR="00027F92" w:rsidRPr="00AE141E">
        <w:rPr>
          <w:rFonts w:ascii="Times New Roman" w:hAnsi="Times New Roman" w:cs="Times New Roman"/>
          <w:sz w:val="24"/>
          <w:szCs w:val="24"/>
        </w:rPr>
        <w:t>competitive, market-driven</w:t>
      </w:r>
      <w:r w:rsidR="00330A74" w:rsidRPr="00AE141E">
        <w:rPr>
          <w:rFonts w:ascii="Times New Roman" w:hAnsi="Times New Roman" w:cs="Times New Roman"/>
          <w:sz w:val="24"/>
          <w:szCs w:val="24"/>
        </w:rPr>
        <w:t>, and disciplinary</w:t>
      </w:r>
      <w:r w:rsidR="00032F4E" w:rsidRPr="00AE141E">
        <w:rPr>
          <w:rFonts w:ascii="Times New Roman" w:hAnsi="Times New Roman" w:cs="Times New Roman"/>
          <w:sz w:val="24"/>
          <w:szCs w:val="24"/>
        </w:rPr>
        <w:t xml:space="preserve"> framework of ERA</w:t>
      </w:r>
      <w:r w:rsidR="00330A74" w:rsidRPr="00AE141E">
        <w:rPr>
          <w:rFonts w:ascii="Times New Roman" w:hAnsi="Times New Roman" w:cs="Times New Roman"/>
          <w:sz w:val="24"/>
          <w:szCs w:val="24"/>
        </w:rPr>
        <w:t>.</w:t>
      </w:r>
      <w:r w:rsidR="00027F92"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 In</w:t>
      </w:r>
      <w:r w:rsidR="007A4CB4">
        <w:rPr>
          <w:rFonts w:ascii="Times New Roman" w:hAnsi="Times New Roman" w:cs="Times New Roman"/>
          <w:sz w:val="24"/>
          <w:szCs w:val="24"/>
        </w:rPr>
        <w:t xml:space="preserve"> the </w:t>
      </w:r>
      <w:r w:rsidRPr="00AE141E">
        <w:rPr>
          <w:rFonts w:ascii="Times New Roman" w:hAnsi="Times New Roman" w:cs="Times New Roman"/>
          <w:sz w:val="24"/>
          <w:szCs w:val="24"/>
        </w:rPr>
        <w:t>classrooms</w:t>
      </w:r>
      <w:r w:rsidR="007A4CB4">
        <w:rPr>
          <w:rFonts w:ascii="Times New Roman" w:hAnsi="Times New Roman" w:cs="Times New Roman"/>
          <w:sz w:val="24"/>
          <w:szCs w:val="24"/>
        </w:rPr>
        <w:t xml:space="preserve"> of the 1990s and early 2000s</w:t>
      </w:r>
      <w:r w:rsidRPr="00AE141E">
        <w:rPr>
          <w:rFonts w:ascii="Times New Roman" w:hAnsi="Times New Roman" w:cs="Times New Roman"/>
          <w:sz w:val="24"/>
          <w:szCs w:val="24"/>
        </w:rPr>
        <w:t>, there was simply less room for the radical experimentation of the kind which had featured in the previous decades</w:t>
      </w:r>
      <w:r w:rsidR="0011016C">
        <w:rPr>
          <w:rFonts w:ascii="Times New Roman" w:hAnsi="Times New Roman" w:cs="Times New Roman"/>
          <w:sz w:val="24"/>
          <w:szCs w:val="24"/>
        </w:rPr>
        <w:t xml:space="preserve">, </w:t>
      </w:r>
      <w:r w:rsidRPr="00AE141E">
        <w:rPr>
          <w:rFonts w:ascii="Times New Roman" w:hAnsi="Times New Roman" w:cs="Times New Roman"/>
          <w:sz w:val="24"/>
          <w:szCs w:val="24"/>
        </w:rPr>
        <w:t>in schools like Tulse Hill.</w:t>
      </w:r>
      <w:r w:rsidR="00736ACF" w:rsidRPr="00AE141E">
        <w:rPr>
          <w:rFonts w:ascii="Times New Roman" w:hAnsi="Times New Roman" w:cs="Times New Roman"/>
          <w:sz w:val="24"/>
          <w:szCs w:val="24"/>
        </w:rPr>
        <w:t xml:space="preserve"> </w:t>
      </w:r>
      <w:r w:rsidR="00330A74" w:rsidRPr="00AE141E">
        <w:rPr>
          <w:rFonts w:ascii="Times New Roman" w:hAnsi="Times New Roman" w:cs="Times New Roman"/>
          <w:sz w:val="24"/>
          <w:szCs w:val="24"/>
        </w:rPr>
        <w:t>Student</w:t>
      </w:r>
      <w:r w:rsidR="0011016C">
        <w:rPr>
          <w:rFonts w:ascii="Times New Roman" w:hAnsi="Times New Roman" w:cs="Times New Roman"/>
          <w:sz w:val="24"/>
          <w:szCs w:val="24"/>
        </w:rPr>
        <w:t>s</w:t>
      </w:r>
      <w:r w:rsidR="00330A74" w:rsidRPr="00AE141E">
        <w:rPr>
          <w:rFonts w:ascii="Times New Roman" w:hAnsi="Times New Roman" w:cs="Times New Roman"/>
          <w:sz w:val="24"/>
          <w:szCs w:val="24"/>
        </w:rPr>
        <w:t xml:space="preserve"> </w:t>
      </w:r>
      <w:r w:rsidR="006129F2" w:rsidRPr="00AE141E">
        <w:rPr>
          <w:rFonts w:ascii="Times New Roman" w:hAnsi="Times New Roman" w:cs="Times New Roman"/>
          <w:sz w:val="24"/>
          <w:szCs w:val="24"/>
        </w:rPr>
        <w:t>challenging the status quo were</w:t>
      </w:r>
      <w:r w:rsidR="00330A74" w:rsidRPr="00AE141E">
        <w:rPr>
          <w:rFonts w:ascii="Times New Roman" w:hAnsi="Times New Roman" w:cs="Times New Roman"/>
          <w:sz w:val="24"/>
          <w:szCs w:val="24"/>
        </w:rPr>
        <w:t xml:space="preserve"> more likely than ever to be </w:t>
      </w:r>
      <w:r w:rsidR="00847788" w:rsidRPr="00AE141E">
        <w:rPr>
          <w:rFonts w:ascii="Times New Roman" w:hAnsi="Times New Roman" w:cs="Times New Roman"/>
          <w:sz w:val="24"/>
          <w:szCs w:val="24"/>
        </w:rPr>
        <w:t>identified</w:t>
      </w:r>
      <w:r w:rsidR="00330A74" w:rsidRPr="00AE141E">
        <w:rPr>
          <w:rFonts w:ascii="Times New Roman" w:hAnsi="Times New Roman" w:cs="Times New Roman"/>
          <w:sz w:val="24"/>
          <w:szCs w:val="24"/>
        </w:rPr>
        <w:t xml:space="preserve"> as poor</w:t>
      </w:r>
      <w:r w:rsidR="006129F2" w:rsidRPr="00AE141E">
        <w:rPr>
          <w:rFonts w:ascii="Times New Roman" w:hAnsi="Times New Roman" w:cs="Times New Roman"/>
          <w:sz w:val="24"/>
          <w:szCs w:val="24"/>
        </w:rPr>
        <w:t xml:space="preserve">ly behaved, </w:t>
      </w:r>
      <w:r w:rsidR="00330A74" w:rsidRPr="00AE141E">
        <w:rPr>
          <w:rFonts w:ascii="Times New Roman" w:hAnsi="Times New Roman" w:cs="Times New Roman"/>
          <w:sz w:val="24"/>
          <w:szCs w:val="24"/>
        </w:rPr>
        <w:t>and</w:t>
      </w:r>
      <w:r w:rsidR="006129F2" w:rsidRPr="00AE141E">
        <w:rPr>
          <w:rFonts w:ascii="Times New Roman" w:hAnsi="Times New Roman" w:cs="Times New Roman"/>
          <w:sz w:val="24"/>
          <w:szCs w:val="24"/>
        </w:rPr>
        <w:t xml:space="preserve"> to be</w:t>
      </w:r>
      <w:r w:rsidR="00330A74" w:rsidRPr="00AE141E">
        <w:rPr>
          <w:rFonts w:ascii="Times New Roman" w:hAnsi="Times New Roman" w:cs="Times New Roman"/>
          <w:sz w:val="24"/>
          <w:szCs w:val="24"/>
        </w:rPr>
        <w:t xml:space="preserve"> p</w:t>
      </w:r>
      <w:r w:rsidR="00847788" w:rsidRPr="00AE141E">
        <w:rPr>
          <w:rFonts w:ascii="Times New Roman" w:hAnsi="Times New Roman" w:cs="Times New Roman"/>
          <w:sz w:val="24"/>
          <w:szCs w:val="24"/>
        </w:rPr>
        <w:t>unished accordingly</w:t>
      </w:r>
      <w:r w:rsidR="00A0015B" w:rsidRPr="00AE141E">
        <w:rPr>
          <w:rFonts w:ascii="Times New Roman" w:hAnsi="Times New Roman" w:cs="Times New Roman"/>
          <w:sz w:val="24"/>
          <w:szCs w:val="24"/>
        </w:rPr>
        <w:t xml:space="preserve">. </w:t>
      </w:r>
      <w:r w:rsidRPr="00AE141E">
        <w:rPr>
          <w:rFonts w:ascii="Times New Roman" w:hAnsi="Times New Roman" w:cs="Times New Roman"/>
          <w:sz w:val="24"/>
          <w:szCs w:val="24"/>
        </w:rPr>
        <w:t>When examined through th</w:t>
      </w:r>
      <w:r w:rsidR="00517496">
        <w:rPr>
          <w:rFonts w:ascii="Times New Roman" w:hAnsi="Times New Roman" w:cs="Times New Roman"/>
          <w:sz w:val="24"/>
          <w:szCs w:val="24"/>
        </w:rPr>
        <w:t>is</w:t>
      </w:r>
      <w:r w:rsidRPr="00AE141E">
        <w:rPr>
          <w:rFonts w:ascii="Times New Roman" w:hAnsi="Times New Roman" w:cs="Times New Roman"/>
          <w:sz w:val="24"/>
          <w:szCs w:val="24"/>
        </w:rPr>
        <w:t xml:space="preserve"> </w:t>
      </w:r>
      <w:r w:rsidR="00517496">
        <w:rPr>
          <w:rFonts w:ascii="Times New Roman" w:hAnsi="Times New Roman" w:cs="Times New Roman"/>
          <w:sz w:val="24"/>
          <w:szCs w:val="24"/>
        </w:rPr>
        <w:t>lens</w:t>
      </w:r>
      <w:r w:rsidRPr="00AE141E">
        <w:rPr>
          <w:rFonts w:ascii="Times New Roman" w:hAnsi="Times New Roman" w:cs="Times New Roman"/>
          <w:sz w:val="24"/>
          <w:szCs w:val="24"/>
        </w:rPr>
        <w:t>, the</w:t>
      </w:r>
      <w:r w:rsidR="00A04113" w:rsidRPr="00AE141E">
        <w:rPr>
          <w:rFonts w:ascii="Times New Roman" w:hAnsi="Times New Roman" w:cs="Times New Roman"/>
          <w:sz w:val="24"/>
          <w:szCs w:val="24"/>
        </w:rPr>
        <w:t xml:space="preserve"> taught content of the</w:t>
      </w:r>
      <w:r w:rsidRPr="00AE141E">
        <w:rPr>
          <w:rFonts w:ascii="Times New Roman" w:hAnsi="Times New Roman" w:cs="Times New Roman"/>
          <w:sz w:val="24"/>
          <w:szCs w:val="24"/>
        </w:rPr>
        <w:t xml:space="preserve"> National Curriculum truly seems to have raised the baseline while limiting the best</w:t>
      </w:r>
      <w:r w:rsidR="00E3242A" w:rsidRPr="00AE141E">
        <w:rPr>
          <w:rFonts w:ascii="Times New Roman" w:hAnsi="Times New Roman" w:cs="Times New Roman"/>
          <w:sz w:val="24"/>
          <w:szCs w:val="24"/>
        </w:rPr>
        <w:t>.</w:t>
      </w:r>
      <w:r w:rsidR="00A04113" w:rsidRPr="00AE141E">
        <w:rPr>
          <w:rFonts w:ascii="Times New Roman" w:hAnsi="Times New Roman" w:cs="Times New Roman"/>
          <w:sz w:val="24"/>
          <w:szCs w:val="24"/>
        </w:rPr>
        <w:t xml:space="preserve"> Its </w:t>
      </w:r>
      <w:r w:rsidR="0011016C">
        <w:rPr>
          <w:rFonts w:ascii="Times New Roman" w:hAnsi="Times New Roman" w:cs="Times New Roman"/>
          <w:sz w:val="24"/>
          <w:szCs w:val="24"/>
        </w:rPr>
        <w:t>most</w:t>
      </w:r>
      <w:r w:rsidR="00A04113" w:rsidRPr="00AE141E">
        <w:rPr>
          <w:rFonts w:ascii="Times New Roman" w:hAnsi="Times New Roman" w:cs="Times New Roman"/>
          <w:sz w:val="24"/>
          <w:szCs w:val="24"/>
        </w:rPr>
        <w:t xml:space="preserve"> devastating effects are likely to have been in the less visible realm of the informal </w:t>
      </w:r>
      <w:r w:rsidR="00E9169C" w:rsidRPr="00AE141E">
        <w:rPr>
          <w:rFonts w:ascii="Times New Roman" w:hAnsi="Times New Roman" w:cs="Times New Roman"/>
          <w:sz w:val="24"/>
          <w:szCs w:val="24"/>
        </w:rPr>
        <w:t xml:space="preserve">curriculum, by placing </w:t>
      </w:r>
      <w:r w:rsidR="007B5C91" w:rsidRPr="00AE141E">
        <w:rPr>
          <w:rFonts w:ascii="Times New Roman" w:hAnsi="Times New Roman" w:cs="Times New Roman"/>
          <w:sz w:val="24"/>
          <w:szCs w:val="24"/>
        </w:rPr>
        <w:t>restrictions</w:t>
      </w:r>
      <w:r w:rsidR="00E9169C" w:rsidRPr="00AE141E">
        <w:rPr>
          <w:rFonts w:ascii="Times New Roman" w:hAnsi="Times New Roman" w:cs="Times New Roman"/>
          <w:sz w:val="24"/>
          <w:szCs w:val="24"/>
        </w:rPr>
        <w:t xml:space="preserve"> on </w:t>
      </w:r>
      <w:r w:rsidR="007B5C91" w:rsidRPr="00AE141E">
        <w:rPr>
          <w:rFonts w:ascii="Times New Roman" w:hAnsi="Times New Roman" w:cs="Times New Roman"/>
          <w:sz w:val="24"/>
          <w:szCs w:val="24"/>
        </w:rPr>
        <w:t>student freedom to engage with learning – and to participate in peer-education – on their own terms.</w:t>
      </w:r>
      <w:r w:rsidR="00E9169C" w:rsidRPr="00AE141E">
        <w:rPr>
          <w:rFonts w:ascii="Times New Roman" w:hAnsi="Times New Roman" w:cs="Times New Roman"/>
          <w:sz w:val="24"/>
          <w:szCs w:val="24"/>
        </w:rPr>
        <w:t xml:space="preserve"> </w:t>
      </w:r>
    </w:p>
    <w:p w14:paraId="690DAFB1" w14:textId="77777777" w:rsidR="007B4181" w:rsidRPr="00AE141E" w:rsidRDefault="007B4181" w:rsidP="00AE141E">
      <w:pPr>
        <w:spacing w:line="360" w:lineRule="auto"/>
        <w:rPr>
          <w:rFonts w:ascii="Times New Roman" w:eastAsia="Times New Roman" w:hAnsi="Times New Roman" w:cs="Times New Roman"/>
          <w:b/>
          <w:bCs/>
          <w:color w:val="000000"/>
          <w:sz w:val="24"/>
          <w:szCs w:val="24"/>
          <w:lang w:eastAsia="en-GB"/>
        </w:rPr>
      </w:pPr>
      <w:r w:rsidRPr="00AE141E">
        <w:rPr>
          <w:rFonts w:ascii="Times New Roman" w:eastAsia="Times New Roman" w:hAnsi="Times New Roman" w:cs="Times New Roman"/>
          <w:b/>
          <w:bCs/>
          <w:color w:val="000000"/>
          <w:sz w:val="24"/>
          <w:szCs w:val="24"/>
          <w:lang w:eastAsia="en-GB"/>
        </w:rPr>
        <w:br w:type="page"/>
      </w:r>
    </w:p>
    <w:p w14:paraId="3CEEF0BF" w14:textId="21D44FFF" w:rsidR="0047312F" w:rsidRPr="00AE141E" w:rsidRDefault="0047312F" w:rsidP="008E72D5">
      <w:pPr>
        <w:pStyle w:val="Heading1"/>
        <w:rPr>
          <w:rFonts w:eastAsia="Times New Roman"/>
          <w:lang w:eastAsia="en-GB"/>
        </w:rPr>
      </w:pPr>
      <w:bookmarkStart w:id="20" w:name="_Toc193726232"/>
      <w:r w:rsidRPr="00AE141E">
        <w:rPr>
          <w:rFonts w:eastAsia="Times New Roman"/>
          <w:lang w:eastAsia="en-GB"/>
        </w:rPr>
        <w:lastRenderedPageBreak/>
        <w:t>Conclusion: The Imperial History Wars</w:t>
      </w:r>
      <w:bookmarkEnd w:id="20"/>
    </w:p>
    <w:p w14:paraId="2BDD32E7" w14:textId="77777777" w:rsidR="001E46CB" w:rsidRPr="00AE141E" w:rsidRDefault="001E46CB" w:rsidP="00AE141E">
      <w:pPr>
        <w:spacing w:line="360" w:lineRule="auto"/>
        <w:ind w:left="720"/>
        <w:rPr>
          <w:rFonts w:ascii="Times New Roman" w:hAnsi="Times New Roman" w:cs="Times New Roman"/>
          <w:sz w:val="24"/>
          <w:szCs w:val="24"/>
        </w:rPr>
      </w:pPr>
    </w:p>
    <w:p w14:paraId="3596AC39" w14:textId="2D6C3941" w:rsidR="0047312F" w:rsidRPr="00AE141E" w:rsidRDefault="0047312F" w:rsidP="00AE141E">
      <w:pPr>
        <w:spacing w:line="360" w:lineRule="auto"/>
        <w:ind w:left="720"/>
        <w:rPr>
          <w:rFonts w:ascii="Times New Roman" w:hAnsi="Times New Roman" w:cs="Times New Roman"/>
          <w:b/>
          <w:bCs/>
          <w:sz w:val="24"/>
          <w:szCs w:val="24"/>
        </w:rPr>
      </w:pPr>
      <w:r w:rsidRPr="00AE141E">
        <w:rPr>
          <w:rFonts w:ascii="Times New Roman" w:hAnsi="Times New Roman" w:cs="Times New Roman"/>
          <w:sz w:val="24"/>
          <w:szCs w:val="24"/>
        </w:rPr>
        <w:t>‘Uncertainties in the present necessarily destabilise our understanding of the past’</w:t>
      </w:r>
      <w:r w:rsidR="00FB4B58" w:rsidRPr="00AE141E">
        <w:rPr>
          <w:rFonts w:ascii="Times New Roman" w:hAnsi="Times New Roman" w:cs="Times New Roman"/>
          <w:sz w:val="24"/>
          <w:szCs w:val="24"/>
        </w:rPr>
        <w:t>.</w:t>
      </w:r>
      <w:r w:rsidR="00FB4B58" w:rsidRPr="00AE141E">
        <w:rPr>
          <w:rStyle w:val="FootnoteReference"/>
          <w:rFonts w:ascii="Times New Roman" w:hAnsi="Times New Roman" w:cs="Times New Roman"/>
          <w:sz w:val="24"/>
          <w:szCs w:val="24"/>
        </w:rPr>
        <w:footnoteReference w:id="971"/>
      </w:r>
      <w:r w:rsidR="00FB4B58" w:rsidRPr="00AE141E">
        <w:rPr>
          <w:rFonts w:ascii="Times New Roman" w:hAnsi="Times New Roman" w:cs="Times New Roman"/>
          <w:sz w:val="24"/>
          <w:szCs w:val="24"/>
        </w:rPr>
        <w:t xml:space="preserve"> </w:t>
      </w:r>
      <w:r w:rsidRPr="00AE141E">
        <w:rPr>
          <w:rFonts w:ascii="Times New Roman" w:hAnsi="Times New Roman" w:cs="Times New Roman"/>
          <w:b/>
          <w:bCs/>
          <w:sz w:val="24"/>
          <w:szCs w:val="24"/>
        </w:rPr>
        <w:t>Raphael Samuel, 1989</w:t>
      </w:r>
      <w:r w:rsidR="00FB4B58" w:rsidRPr="00AE141E">
        <w:rPr>
          <w:rFonts w:ascii="Times New Roman" w:hAnsi="Times New Roman" w:cs="Times New Roman"/>
          <w:b/>
          <w:bCs/>
          <w:sz w:val="24"/>
          <w:szCs w:val="24"/>
        </w:rPr>
        <w:t>.</w:t>
      </w:r>
    </w:p>
    <w:p w14:paraId="12C82B3D" w14:textId="77777777" w:rsidR="001E46CB" w:rsidRPr="00AE141E" w:rsidRDefault="001E46CB" w:rsidP="00AE141E">
      <w:pPr>
        <w:spacing w:line="360" w:lineRule="auto"/>
        <w:ind w:left="720"/>
        <w:rPr>
          <w:rFonts w:ascii="Times New Roman" w:hAnsi="Times New Roman" w:cs="Times New Roman"/>
          <w:b/>
          <w:bCs/>
          <w:sz w:val="24"/>
          <w:szCs w:val="24"/>
        </w:rPr>
      </w:pPr>
    </w:p>
    <w:p w14:paraId="7059E291" w14:textId="6DE934D3" w:rsidR="0047312F" w:rsidRPr="00AE141E" w:rsidRDefault="0047312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intense politicisation of school history teaching – of which the National Curriculum was a product, and to which it has contributed – is a consequence of long-term trends in British national culture. As Raphael Samuel has argued, the National Curriculum must be read as a ‘belated recognition’ of the ‘crisis of modernity’ which afflicted the UK in the final decades of the twentieth century.</w:t>
      </w:r>
      <w:r w:rsidRPr="00AE141E">
        <w:rPr>
          <w:rStyle w:val="FootnoteReference"/>
          <w:rFonts w:ascii="Times New Roman" w:hAnsi="Times New Roman" w:cs="Times New Roman"/>
          <w:sz w:val="24"/>
          <w:szCs w:val="24"/>
        </w:rPr>
        <w:footnoteReference w:id="972"/>
      </w:r>
      <w:r w:rsidRPr="00AE141E">
        <w:rPr>
          <w:rFonts w:ascii="Times New Roman" w:hAnsi="Times New Roman" w:cs="Times New Roman"/>
          <w:sz w:val="24"/>
          <w:szCs w:val="24"/>
        </w:rPr>
        <w:t xml:space="preserve"> This was a period marked by a decline in confidence in the future and a consonant shift to ideas of ‘conservation and preservation’, as demonstrated by the importance of notions of ‘heritage’. The turn to the past offered a comfortable, certain territory on which the nation could define itself – insulated from the dramatic economic and social changes wrought by decolonisation and deindustrialisation. The act of national self-definition was itself made more urgent by the rise of mass immigration and political devolution to the UK’s constituent nations. History shouldered the weight of such changes. As a school subject, it took on an </w:t>
      </w:r>
      <w:r w:rsidR="00F5363A">
        <w:rPr>
          <w:rFonts w:ascii="Times New Roman" w:hAnsi="Times New Roman" w:cs="Times New Roman"/>
          <w:sz w:val="24"/>
          <w:szCs w:val="24"/>
        </w:rPr>
        <w:t>a</w:t>
      </w:r>
      <w:r w:rsidRPr="00AE141E">
        <w:rPr>
          <w:rFonts w:ascii="Times New Roman" w:hAnsi="Times New Roman" w:cs="Times New Roman"/>
          <w:sz w:val="24"/>
          <w:szCs w:val="24"/>
        </w:rPr>
        <w:t>ffective significance which stretched far beyond the classroom. The emotion</w:t>
      </w:r>
      <w:r w:rsidR="00A64A8A">
        <w:rPr>
          <w:rFonts w:ascii="Times New Roman" w:hAnsi="Times New Roman" w:cs="Times New Roman"/>
          <w:sz w:val="24"/>
          <w:szCs w:val="24"/>
        </w:rPr>
        <w:t>al</w:t>
      </w:r>
      <w:r w:rsidRPr="00AE141E">
        <w:rPr>
          <w:rFonts w:ascii="Times New Roman" w:hAnsi="Times New Roman" w:cs="Times New Roman"/>
          <w:sz w:val="24"/>
          <w:szCs w:val="24"/>
        </w:rPr>
        <w:t xml:space="preserve"> </w:t>
      </w:r>
      <w:r w:rsidR="00A64A8A">
        <w:rPr>
          <w:rFonts w:ascii="Times New Roman" w:hAnsi="Times New Roman" w:cs="Times New Roman"/>
          <w:sz w:val="24"/>
          <w:szCs w:val="24"/>
        </w:rPr>
        <w:t>content of</w:t>
      </w:r>
      <w:r w:rsidRPr="00AE141E">
        <w:rPr>
          <w:rFonts w:ascii="Times New Roman" w:hAnsi="Times New Roman" w:cs="Times New Roman"/>
          <w:sz w:val="24"/>
          <w:szCs w:val="24"/>
        </w:rPr>
        <w:t xml:space="preserve"> narratives and representations of the national past </w:t>
      </w:r>
      <w:r w:rsidR="00A64A8A">
        <w:rPr>
          <w:rFonts w:ascii="Times New Roman" w:hAnsi="Times New Roman" w:cs="Times New Roman"/>
          <w:sz w:val="24"/>
          <w:szCs w:val="24"/>
        </w:rPr>
        <w:t>has</w:t>
      </w:r>
      <w:r w:rsidRPr="00AE141E">
        <w:rPr>
          <w:rFonts w:ascii="Times New Roman" w:hAnsi="Times New Roman" w:cs="Times New Roman"/>
          <w:sz w:val="24"/>
          <w:szCs w:val="24"/>
        </w:rPr>
        <w:t xml:space="preserve"> not </w:t>
      </w:r>
      <w:r w:rsidR="00A64A8A">
        <w:rPr>
          <w:rFonts w:ascii="Times New Roman" w:hAnsi="Times New Roman" w:cs="Times New Roman"/>
          <w:sz w:val="24"/>
          <w:szCs w:val="24"/>
        </w:rPr>
        <w:t>diminished</w:t>
      </w:r>
      <w:r w:rsidRPr="00AE141E">
        <w:rPr>
          <w:rFonts w:ascii="Times New Roman" w:hAnsi="Times New Roman" w:cs="Times New Roman"/>
          <w:sz w:val="24"/>
          <w:szCs w:val="24"/>
        </w:rPr>
        <w:t xml:space="preserve"> as we move past the first quarter of the twentieth century.</w:t>
      </w:r>
      <w:r w:rsidRPr="00AE141E">
        <w:rPr>
          <w:rStyle w:val="FootnoteReference"/>
          <w:rFonts w:ascii="Times New Roman" w:hAnsi="Times New Roman" w:cs="Times New Roman"/>
          <w:sz w:val="24"/>
          <w:szCs w:val="24"/>
        </w:rPr>
        <w:footnoteReference w:id="973"/>
      </w:r>
      <w:r w:rsidRPr="00AE141E">
        <w:rPr>
          <w:rFonts w:ascii="Times New Roman" w:hAnsi="Times New Roman" w:cs="Times New Roman"/>
          <w:sz w:val="24"/>
          <w:szCs w:val="24"/>
        </w:rPr>
        <w:t xml:space="preserve"> Post-colonial Britain is a country which remains ill at ease with itself, its role, and its identity. Historians cannot pretend that our subject is anything other than enmeshed in this search for meaning. It is our duty to take the task seriously, and to offer an account of the past which once again places us in a position to look to the future.</w:t>
      </w:r>
    </w:p>
    <w:p w14:paraId="4355C90A" w14:textId="1C643A45" w:rsidR="0047312F" w:rsidRPr="00AE141E" w:rsidRDefault="0047312F"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lastRenderedPageBreak/>
        <w:t xml:space="preserve">In the summer of 2020, the history of empire was raised to a prominent role in the English public consciousness. </w:t>
      </w:r>
      <w:r w:rsidR="0038474B" w:rsidRPr="00AE141E">
        <w:rPr>
          <w:rFonts w:ascii="Times New Roman" w:eastAsia="Times New Roman" w:hAnsi="Times New Roman" w:cs="Times New Roman"/>
          <w:color w:val="000000"/>
          <w:sz w:val="24"/>
          <w:szCs w:val="24"/>
          <w:lang w:eastAsia="en-GB"/>
        </w:rPr>
        <w:t>BLM</w:t>
      </w:r>
      <w:r w:rsidRPr="00AE141E">
        <w:rPr>
          <w:rFonts w:ascii="Times New Roman" w:eastAsia="Times New Roman" w:hAnsi="Times New Roman" w:cs="Times New Roman"/>
          <w:color w:val="000000"/>
          <w:sz w:val="24"/>
          <w:szCs w:val="24"/>
          <w:lang w:eastAsia="en-GB"/>
        </w:rPr>
        <w:t xml:space="preserve"> drew attention to the imperial legacies of structural racism and systematic inequality. A Bristol </w:t>
      </w:r>
      <w:r w:rsidR="00A64A8A">
        <w:rPr>
          <w:rFonts w:ascii="Times New Roman" w:eastAsia="Times New Roman" w:hAnsi="Times New Roman" w:cs="Times New Roman"/>
          <w:color w:val="000000"/>
          <w:sz w:val="24"/>
          <w:szCs w:val="24"/>
          <w:lang w:eastAsia="en-GB"/>
        </w:rPr>
        <w:t xml:space="preserve">protest </w:t>
      </w:r>
      <w:r w:rsidRPr="00AE141E">
        <w:rPr>
          <w:rFonts w:ascii="Times New Roman" w:eastAsia="Times New Roman" w:hAnsi="Times New Roman" w:cs="Times New Roman"/>
          <w:color w:val="000000"/>
          <w:sz w:val="24"/>
          <w:szCs w:val="24"/>
          <w:lang w:eastAsia="en-GB"/>
        </w:rPr>
        <w:t>toppled a statue celebrating the trans-Atlantic slave trader Edward Colston and cast his bronze effigy into the city’s docks. The backlash was swift and powerful.</w:t>
      </w:r>
      <w:r w:rsidRPr="00AE141E">
        <w:rPr>
          <w:rStyle w:val="FootnoteReference"/>
          <w:rFonts w:ascii="Times New Roman" w:eastAsia="Times New Roman" w:hAnsi="Times New Roman" w:cs="Times New Roman"/>
          <w:color w:val="000000"/>
          <w:sz w:val="24"/>
          <w:szCs w:val="24"/>
          <w:lang w:eastAsia="en-GB"/>
        </w:rPr>
        <w:footnoteReference w:id="974"/>
      </w:r>
      <w:r w:rsidR="004445AC">
        <w:rPr>
          <w:rFonts w:ascii="Times New Roman" w:eastAsia="Times New Roman" w:hAnsi="Times New Roman" w:cs="Times New Roman"/>
          <w:color w:val="000000"/>
          <w:sz w:val="24"/>
          <w:szCs w:val="24"/>
          <w:lang w:eastAsia="en-GB"/>
        </w:rPr>
        <w:t xml:space="preserve"> T</w:t>
      </w:r>
      <w:r w:rsidRPr="00AE141E">
        <w:rPr>
          <w:rFonts w:ascii="Times New Roman" w:eastAsia="Times New Roman" w:hAnsi="Times New Roman" w:cs="Times New Roman"/>
          <w:color w:val="000000"/>
          <w:sz w:val="24"/>
          <w:szCs w:val="24"/>
          <w:lang w:eastAsia="en-GB"/>
        </w:rPr>
        <w:t xml:space="preserve">hose attacking the protestors tended to stop short of a straightforward defence of Colston and the ideology of </w:t>
      </w:r>
      <w:r w:rsidR="004445AC">
        <w:rPr>
          <w:rFonts w:ascii="Times New Roman" w:eastAsia="Times New Roman" w:hAnsi="Times New Roman" w:cs="Times New Roman"/>
          <w:color w:val="000000"/>
          <w:sz w:val="24"/>
          <w:szCs w:val="24"/>
          <w:lang w:eastAsia="en-GB"/>
        </w:rPr>
        <w:t xml:space="preserve">racial hierarchy and </w:t>
      </w:r>
      <w:r w:rsidRPr="00AE141E">
        <w:rPr>
          <w:rFonts w:ascii="Times New Roman" w:eastAsia="Times New Roman" w:hAnsi="Times New Roman" w:cs="Times New Roman"/>
          <w:color w:val="000000"/>
          <w:sz w:val="24"/>
          <w:szCs w:val="24"/>
          <w:lang w:eastAsia="en-GB"/>
        </w:rPr>
        <w:t>domination</w:t>
      </w:r>
      <w:r w:rsidR="004445AC">
        <w:rPr>
          <w:rFonts w:ascii="Times New Roman" w:eastAsia="Times New Roman" w:hAnsi="Times New Roman" w:cs="Times New Roman"/>
          <w:color w:val="000000"/>
          <w:sz w:val="24"/>
          <w:szCs w:val="24"/>
          <w:lang w:eastAsia="en-GB"/>
        </w:rPr>
        <w:t xml:space="preserve"> </w:t>
      </w:r>
      <w:r w:rsidRPr="00AE141E">
        <w:rPr>
          <w:rFonts w:ascii="Times New Roman" w:eastAsia="Times New Roman" w:hAnsi="Times New Roman" w:cs="Times New Roman"/>
          <w:color w:val="000000"/>
          <w:sz w:val="24"/>
          <w:szCs w:val="24"/>
          <w:lang w:eastAsia="en-GB"/>
        </w:rPr>
        <w:t>with which he is associated. Instead, they pleaded for the statue’s retention on the grounds of historical memory. To erase physical traces of the imperial past was, they argued, to somehow censure the past itself. This discourse ignores the obvious distinction between remembrance and celebration. More cynically, it posits anti-racist and anti-colonial movements, especially those led by people of colour, as a threat to history – a claim which flies in the face of such movements’ desire for present-day restitution, based upon knowledge of the history and legacy of imperial violence. Responsibility for the (very real) process of imperial forgetting is shifted onto a group who are both the primary victims and the principal opponents of historical erasure. Ultimately, this represents an assertion of ownership of the imperial past: history is to be narrated when and how the ‘commonsense’ of the White majority (or at least those unimplicated in anti-racist solidarity) see fit. White ownership of the past opens the space both for sustained marginalisation or silencing of imperial histories and for their resurrection as a tool of national self-congratulation.</w:t>
      </w:r>
    </w:p>
    <w:p w14:paraId="4D0E61EB" w14:textId="085A9328" w:rsidR="0047312F" w:rsidRPr="00AE141E" w:rsidRDefault="0047312F"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In the same month as Colston was quite literally removed from his pedestal, a survey was launched to investigate the extent to which British imperial history is currently explored ‘in the curriculum of compulsory education’, across the United Kingdom.</w:t>
      </w:r>
      <w:r w:rsidRPr="00AE141E">
        <w:rPr>
          <w:rStyle w:val="FootnoteReference"/>
          <w:rFonts w:ascii="Times New Roman" w:eastAsia="Times New Roman" w:hAnsi="Times New Roman" w:cs="Times New Roman"/>
          <w:color w:val="000000"/>
          <w:sz w:val="24"/>
          <w:szCs w:val="24"/>
          <w:lang w:eastAsia="en-GB"/>
        </w:rPr>
        <w:footnoteReference w:id="975"/>
      </w:r>
      <w:r w:rsidRPr="00AE141E">
        <w:rPr>
          <w:rFonts w:ascii="Times New Roman" w:eastAsia="Times New Roman" w:hAnsi="Times New Roman" w:cs="Times New Roman"/>
          <w:color w:val="000000"/>
          <w:sz w:val="24"/>
          <w:szCs w:val="24"/>
          <w:lang w:eastAsia="en-GB"/>
        </w:rPr>
        <w:t xml:space="preserve"> The survey’s title, ‘The Impact of Omission’</w:t>
      </w:r>
      <w:r w:rsidR="001061C5">
        <w:rPr>
          <w:rFonts w:ascii="Times New Roman" w:eastAsia="Times New Roman" w:hAnsi="Times New Roman" w:cs="Times New Roman"/>
          <w:color w:val="000000"/>
          <w:sz w:val="24"/>
          <w:szCs w:val="24"/>
          <w:lang w:eastAsia="en-GB"/>
        </w:rPr>
        <w:t>,</w:t>
      </w:r>
      <w:r w:rsidRPr="00AE141E">
        <w:rPr>
          <w:rFonts w:ascii="Times New Roman" w:eastAsia="Times New Roman" w:hAnsi="Times New Roman" w:cs="Times New Roman"/>
          <w:color w:val="000000"/>
          <w:sz w:val="24"/>
          <w:szCs w:val="24"/>
          <w:lang w:eastAsia="en-GB"/>
        </w:rPr>
        <w:t xml:space="preserve"> accurately anticipated its results. It also noted the necessity of accurate understandings of imperial history in forging a path towards justice and reconciliation. Inevitably, framing a study in this manner will </w:t>
      </w:r>
      <w:r w:rsidR="003D316C">
        <w:rPr>
          <w:rFonts w:ascii="Times New Roman" w:eastAsia="Times New Roman" w:hAnsi="Times New Roman" w:cs="Times New Roman"/>
          <w:color w:val="000000"/>
          <w:sz w:val="24"/>
          <w:szCs w:val="24"/>
          <w:lang w:eastAsia="en-GB"/>
        </w:rPr>
        <w:t xml:space="preserve">both </w:t>
      </w:r>
      <w:r w:rsidRPr="00AE141E">
        <w:rPr>
          <w:rFonts w:ascii="Times New Roman" w:eastAsia="Times New Roman" w:hAnsi="Times New Roman" w:cs="Times New Roman"/>
          <w:color w:val="000000"/>
          <w:sz w:val="24"/>
          <w:szCs w:val="24"/>
          <w:lang w:eastAsia="en-GB"/>
        </w:rPr>
        <w:t xml:space="preserve">influence the types of respondents attracted and inflect their answers. Nevertheless, the overall picture is too overwhelming to be denied: of the survey’s 56,467 respondents, fewer than ten per cent remembered learning about the role of slavery in the British Industrial Revolution, or about the British colonisation of India. Fewer than eight per cent recalled being taught about the </w:t>
      </w:r>
      <w:r w:rsidRPr="00AE141E">
        <w:rPr>
          <w:rFonts w:ascii="Times New Roman" w:eastAsia="Times New Roman" w:hAnsi="Times New Roman" w:cs="Times New Roman"/>
          <w:color w:val="000000"/>
          <w:sz w:val="24"/>
          <w:szCs w:val="24"/>
          <w:lang w:eastAsia="en-GB"/>
        </w:rPr>
        <w:lastRenderedPageBreak/>
        <w:t>colonisation of Africa. By contrast, 86 per cent of respondents remembered learning about the Tudors.</w:t>
      </w:r>
    </w:p>
    <w:p w14:paraId="3BCF53AE" w14:textId="2CF79A3A" w:rsidR="0047312F" w:rsidRPr="00AE141E" w:rsidRDefault="0047312F" w:rsidP="00AE141E">
      <w:pPr>
        <w:spacing w:line="360" w:lineRule="auto"/>
        <w:rPr>
          <w:rFonts w:ascii="Times New Roman" w:hAnsi="Times New Roman" w:cs="Times New Roman"/>
          <w:sz w:val="24"/>
          <w:szCs w:val="24"/>
        </w:rPr>
      </w:pPr>
      <w:r w:rsidRPr="00AE141E">
        <w:rPr>
          <w:rFonts w:ascii="Times New Roman" w:eastAsia="Times New Roman" w:hAnsi="Times New Roman" w:cs="Times New Roman"/>
          <w:color w:val="000000"/>
          <w:sz w:val="24"/>
          <w:szCs w:val="24"/>
          <w:lang w:eastAsia="en-GB"/>
        </w:rPr>
        <w:t xml:space="preserve">The findings of ‘The Impact of Omission’ corroborate other studies which have shown that the history of the Tudors and the </w:t>
      </w:r>
      <w:r w:rsidRPr="00AE141E">
        <w:rPr>
          <w:rFonts w:ascii="Times New Roman" w:hAnsi="Times New Roman" w:cs="Times New Roman"/>
          <w:sz w:val="24"/>
          <w:szCs w:val="24"/>
        </w:rPr>
        <w:t>Second World War</w:t>
      </w:r>
      <w:r w:rsidR="00D16D7E">
        <w:rPr>
          <w:rFonts w:ascii="Times New Roman" w:hAnsi="Times New Roman" w:cs="Times New Roman"/>
          <w:sz w:val="24"/>
          <w:szCs w:val="24"/>
        </w:rPr>
        <w:t xml:space="preserve"> </w:t>
      </w:r>
      <w:r w:rsidRPr="00AE141E">
        <w:rPr>
          <w:rFonts w:ascii="Times New Roman" w:hAnsi="Times New Roman" w:cs="Times New Roman"/>
          <w:sz w:val="24"/>
          <w:szCs w:val="24"/>
        </w:rPr>
        <w:t>– what Peter Mandler has described as ‘Hitler and the Henr</w:t>
      </w:r>
      <w:r w:rsidR="003A6737">
        <w:rPr>
          <w:rFonts w:ascii="Times New Roman" w:hAnsi="Times New Roman" w:cs="Times New Roman"/>
          <w:sz w:val="24"/>
          <w:szCs w:val="24"/>
        </w:rPr>
        <w:t>ie</w:t>
      </w:r>
      <w:r w:rsidRPr="00AE141E">
        <w:rPr>
          <w:rFonts w:ascii="Times New Roman" w:hAnsi="Times New Roman" w:cs="Times New Roman"/>
          <w:sz w:val="24"/>
          <w:szCs w:val="24"/>
        </w:rPr>
        <w:t>s’ – exert a stranglehold on the secondary curriculum.</w:t>
      </w:r>
      <w:r w:rsidRPr="00AE141E">
        <w:rPr>
          <w:rStyle w:val="FootnoteReference"/>
          <w:rFonts w:ascii="Times New Roman" w:hAnsi="Times New Roman" w:cs="Times New Roman"/>
          <w:sz w:val="24"/>
          <w:szCs w:val="24"/>
        </w:rPr>
        <w:footnoteReference w:id="976"/>
      </w:r>
      <w:r w:rsidRPr="00AE141E">
        <w:rPr>
          <w:rFonts w:ascii="Times New Roman" w:hAnsi="Times New Roman" w:cs="Times New Roman"/>
          <w:sz w:val="24"/>
          <w:szCs w:val="24"/>
        </w:rPr>
        <w:t xml:space="preserve"> </w:t>
      </w:r>
      <w:r w:rsidRPr="00AE141E">
        <w:rPr>
          <w:rFonts w:ascii="Times New Roman" w:eastAsia="Times New Roman" w:hAnsi="Times New Roman" w:cs="Times New Roman"/>
          <w:color w:val="000000"/>
          <w:sz w:val="24"/>
          <w:szCs w:val="24"/>
          <w:lang w:eastAsia="en-GB"/>
        </w:rPr>
        <w:t xml:space="preserve"> </w:t>
      </w:r>
      <w:r w:rsidRPr="00AE141E">
        <w:rPr>
          <w:rFonts w:ascii="Times New Roman" w:hAnsi="Times New Roman" w:cs="Times New Roman"/>
          <w:sz w:val="24"/>
          <w:szCs w:val="24"/>
        </w:rPr>
        <w:t xml:space="preserve">In 2011, </w:t>
      </w:r>
      <w:r w:rsidR="000968C8" w:rsidRPr="00AE141E">
        <w:rPr>
          <w:rFonts w:ascii="Times New Roman" w:hAnsi="Times New Roman" w:cs="Times New Roman"/>
          <w:sz w:val="24"/>
          <w:szCs w:val="24"/>
        </w:rPr>
        <w:t>OFSTED</w:t>
      </w:r>
      <w:r w:rsidRPr="00AE141E">
        <w:rPr>
          <w:rFonts w:ascii="Times New Roman" w:hAnsi="Times New Roman" w:cs="Times New Roman"/>
          <w:sz w:val="24"/>
          <w:szCs w:val="24"/>
        </w:rPr>
        <w:t xml:space="preserve"> reported that ‘it is a popular and inaccurate myth that students at GCSE and A </w:t>
      </w:r>
      <w:r w:rsidR="005B58E6">
        <w:rPr>
          <w:rFonts w:ascii="Times New Roman" w:hAnsi="Times New Roman" w:cs="Times New Roman"/>
          <w:sz w:val="24"/>
          <w:szCs w:val="24"/>
        </w:rPr>
        <w:t>L</w:t>
      </w:r>
      <w:r w:rsidRPr="00AE141E">
        <w:rPr>
          <w:rFonts w:ascii="Times New Roman" w:hAnsi="Times New Roman" w:cs="Times New Roman"/>
          <w:sz w:val="24"/>
          <w:szCs w:val="24"/>
        </w:rPr>
        <w:t>evel only study Hitler’.</w:t>
      </w:r>
      <w:r w:rsidRPr="00AE141E">
        <w:rPr>
          <w:rStyle w:val="FootnoteReference"/>
          <w:rFonts w:ascii="Times New Roman" w:hAnsi="Times New Roman" w:cs="Times New Roman"/>
          <w:sz w:val="24"/>
          <w:szCs w:val="24"/>
        </w:rPr>
        <w:footnoteReference w:id="977"/>
      </w:r>
      <w:r w:rsidRPr="00AE141E">
        <w:rPr>
          <w:rFonts w:ascii="Times New Roman" w:hAnsi="Times New Roman" w:cs="Times New Roman"/>
          <w:sz w:val="24"/>
          <w:szCs w:val="24"/>
        </w:rPr>
        <w:t xml:space="preserve"> However, they </w:t>
      </w:r>
      <w:r w:rsidR="008A5B8F">
        <w:rPr>
          <w:rFonts w:ascii="Times New Roman" w:hAnsi="Times New Roman" w:cs="Times New Roman"/>
          <w:sz w:val="24"/>
          <w:szCs w:val="24"/>
        </w:rPr>
        <w:t>conceded</w:t>
      </w:r>
      <w:r w:rsidRPr="00AE141E">
        <w:rPr>
          <w:rFonts w:ascii="Times New Roman" w:hAnsi="Times New Roman" w:cs="Times New Roman"/>
          <w:sz w:val="24"/>
          <w:szCs w:val="24"/>
        </w:rPr>
        <w:t xml:space="preserve"> that ‘Modern World History’, which usually includes substantial study of the Second World War, dominated exam </w:t>
      </w:r>
      <w:r w:rsidR="00CE4BA5">
        <w:rPr>
          <w:rFonts w:ascii="Times New Roman" w:hAnsi="Times New Roman" w:cs="Times New Roman"/>
          <w:sz w:val="24"/>
          <w:szCs w:val="24"/>
        </w:rPr>
        <w:t>courses</w:t>
      </w:r>
      <w:r w:rsidRPr="00AE141E">
        <w:rPr>
          <w:rFonts w:ascii="Times New Roman" w:hAnsi="Times New Roman" w:cs="Times New Roman"/>
          <w:sz w:val="24"/>
          <w:szCs w:val="24"/>
        </w:rPr>
        <w:t xml:space="preserve">. </w:t>
      </w:r>
      <w:r w:rsidR="00FD611D">
        <w:rPr>
          <w:rFonts w:ascii="Times New Roman" w:hAnsi="Times New Roman" w:cs="Times New Roman"/>
          <w:sz w:val="24"/>
          <w:szCs w:val="24"/>
        </w:rPr>
        <w:t>In 2020</w:t>
      </w:r>
      <w:r w:rsidR="00DB7E58">
        <w:rPr>
          <w:rFonts w:ascii="Times New Roman" w:hAnsi="Times New Roman" w:cs="Times New Roman"/>
          <w:sz w:val="24"/>
          <w:szCs w:val="24"/>
        </w:rPr>
        <w:t>, nearly half of</w:t>
      </w:r>
      <w:r w:rsidR="00D56191" w:rsidRPr="00AE141E">
        <w:rPr>
          <w:rFonts w:ascii="Times New Roman" w:hAnsi="Times New Roman" w:cs="Times New Roman"/>
          <w:sz w:val="24"/>
          <w:szCs w:val="24"/>
        </w:rPr>
        <w:t xml:space="preserve"> </w:t>
      </w:r>
      <w:r w:rsidR="00DB7E58">
        <w:rPr>
          <w:rFonts w:ascii="Times New Roman" w:hAnsi="Times New Roman" w:cs="Times New Roman"/>
          <w:sz w:val="24"/>
          <w:szCs w:val="24"/>
        </w:rPr>
        <w:t>all</w:t>
      </w:r>
      <w:r w:rsidR="00D56191" w:rsidRPr="00AE141E">
        <w:rPr>
          <w:rFonts w:ascii="Times New Roman" w:hAnsi="Times New Roman" w:cs="Times New Roman"/>
          <w:sz w:val="24"/>
          <w:szCs w:val="24"/>
        </w:rPr>
        <w:t xml:space="preserve"> schools following the Edexcel </w:t>
      </w:r>
      <w:r w:rsidR="00DB7E58">
        <w:rPr>
          <w:rFonts w:ascii="Times New Roman" w:hAnsi="Times New Roman" w:cs="Times New Roman"/>
          <w:sz w:val="24"/>
          <w:szCs w:val="24"/>
        </w:rPr>
        <w:t xml:space="preserve">GCSE </w:t>
      </w:r>
      <w:r w:rsidR="00D56191" w:rsidRPr="00AE141E">
        <w:rPr>
          <w:rFonts w:ascii="Times New Roman" w:hAnsi="Times New Roman" w:cs="Times New Roman"/>
          <w:sz w:val="24"/>
          <w:szCs w:val="24"/>
        </w:rPr>
        <w:t>course chose its ‘Weimar and Nazi Germany’ unit.</w:t>
      </w:r>
      <w:r w:rsidR="00D56191" w:rsidRPr="00AE141E">
        <w:rPr>
          <w:rStyle w:val="FootnoteReference"/>
          <w:rFonts w:ascii="Times New Roman" w:hAnsi="Times New Roman" w:cs="Times New Roman"/>
          <w:sz w:val="24"/>
          <w:szCs w:val="24"/>
        </w:rPr>
        <w:footnoteReference w:id="978"/>
      </w:r>
      <w:r w:rsidR="00955D94">
        <w:rPr>
          <w:rFonts w:ascii="Times New Roman" w:hAnsi="Times New Roman" w:cs="Times New Roman"/>
          <w:sz w:val="24"/>
          <w:szCs w:val="24"/>
        </w:rPr>
        <w:t xml:space="preserve"> </w:t>
      </w:r>
      <w:r w:rsidR="00DB7E58">
        <w:rPr>
          <w:rFonts w:ascii="Times New Roman" w:hAnsi="Times New Roman" w:cs="Times New Roman"/>
          <w:sz w:val="24"/>
          <w:szCs w:val="24"/>
        </w:rPr>
        <w:t xml:space="preserve">At A </w:t>
      </w:r>
      <w:r w:rsidR="005B58E6">
        <w:rPr>
          <w:rFonts w:ascii="Times New Roman" w:hAnsi="Times New Roman" w:cs="Times New Roman"/>
          <w:sz w:val="24"/>
          <w:szCs w:val="24"/>
        </w:rPr>
        <w:t>L</w:t>
      </w:r>
      <w:r w:rsidR="00DB7E58">
        <w:rPr>
          <w:rFonts w:ascii="Times New Roman" w:hAnsi="Times New Roman" w:cs="Times New Roman"/>
          <w:sz w:val="24"/>
          <w:szCs w:val="24"/>
        </w:rPr>
        <w:t xml:space="preserve">evel, the proportion of </w:t>
      </w:r>
      <w:r w:rsidR="005214E3">
        <w:rPr>
          <w:rFonts w:ascii="Times New Roman" w:hAnsi="Times New Roman" w:cs="Times New Roman"/>
          <w:sz w:val="24"/>
          <w:szCs w:val="24"/>
        </w:rPr>
        <w:t xml:space="preserve">pupils studying Nazi Germany has been estimated </w:t>
      </w:r>
      <w:r w:rsidR="008C230C">
        <w:rPr>
          <w:rFonts w:ascii="Times New Roman" w:hAnsi="Times New Roman" w:cs="Times New Roman"/>
          <w:sz w:val="24"/>
          <w:szCs w:val="24"/>
        </w:rPr>
        <w:t xml:space="preserve">to be </w:t>
      </w:r>
      <w:r w:rsidR="005214E3">
        <w:rPr>
          <w:rFonts w:ascii="Times New Roman" w:hAnsi="Times New Roman" w:cs="Times New Roman"/>
          <w:sz w:val="24"/>
          <w:szCs w:val="24"/>
        </w:rPr>
        <w:t xml:space="preserve">as high as 80 per cent. </w:t>
      </w:r>
      <w:r w:rsidR="008C230C">
        <w:rPr>
          <w:rFonts w:ascii="Times New Roman" w:hAnsi="Times New Roman" w:cs="Times New Roman"/>
          <w:sz w:val="24"/>
          <w:szCs w:val="24"/>
        </w:rPr>
        <w:t xml:space="preserve">Meanwhile, a study in 2014 </w:t>
      </w:r>
      <w:r w:rsidR="00587D08">
        <w:rPr>
          <w:rFonts w:ascii="Times New Roman" w:hAnsi="Times New Roman" w:cs="Times New Roman"/>
          <w:sz w:val="24"/>
          <w:szCs w:val="24"/>
        </w:rPr>
        <w:t>ranked</w:t>
      </w:r>
      <w:r w:rsidR="008C230C">
        <w:rPr>
          <w:rFonts w:ascii="Times New Roman" w:hAnsi="Times New Roman" w:cs="Times New Roman"/>
          <w:sz w:val="24"/>
          <w:szCs w:val="24"/>
        </w:rPr>
        <w:t xml:space="preserve"> t</w:t>
      </w:r>
      <w:r w:rsidR="00955D94">
        <w:rPr>
          <w:rFonts w:ascii="Times New Roman" w:hAnsi="Times New Roman" w:cs="Times New Roman"/>
          <w:sz w:val="24"/>
          <w:szCs w:val="24"/>
        </w:rPr>
        <w:t xml:space="preserve">hree separate courses on Tudor history </w:t>
      </w:r>
      <w:r w:rsidR="008C230C">
        <w:rPr>
          <w:rFonts w:ascii="Times New Roman" w:hAnsi="Times New Roman" w:cs="Times New Roman"/>
          <w:sz w:val="24"/>
          <w:szCs w:val="24"/>
        </w:rPr>
        <w:t>amongst</w:t>
      </w:r>
      <w:r w:rsidR="00955D94">
        <w:rPr>
          <w:rFonts w:ascii="Times New Roman" w:hAnsi="Times New Roman" w:cs="Times New Roman"/>
          <w:sz w:val="24"/>
          <w:szCs w:val="24"/>
        </w:rPr>
        <w:t xml:space="preserve"> the top ten </w:t>
      </w:r>
      <w:r w:rsidR="008C230C">
        <w:rPr>
          <w:rFonts w:ascii="Times New Roman" w:hAnsi="Times New Roman" w:cs="Times New Roman"/>
          <w:sz w:val="24"/>
          <w:szCs w:val="24"/>
        </w:rPr>
        <w:t xml:space="preserve">most popular </w:t>
      </w:r>
      <w:r w:rsidR="002D50B9">
        <w:rPr>
          <w:rFonts w:ascii="Times New Roman" w:hAnsi="Times New Roman" w:cs="Times New Roman"/>
          <w:sz w:val="24"/>
          <w:szCs w:val="24"/>
        </w:rPr>
        <w:t xml:space="preserve">A </w:t>
      </w:r>
      <w:r w:rsidR="002D124F">
        <w:rPr>
          <w:rFonts w:ascii="Times New Roman" w:hAnsi="Times New Roman" w:cs="Times New Roman"/>
          <w:sz w:val="24"/>
          <w:szCs w:val="24"/>
        </w:rPr>
        <w:t>L</w:t>
      </w:r>
      <w:r w:rsidR="002D50B9">
        <w:rPr>
          <w:rFonts w:ascii="Times New Roman" w:hAnsi="Times New Roman" w:cs="Times New Roman"/>
          <w:sz w:val="24"/>
          <w:szCs w:val="24"/>
        </w:rPr>
        <w:t>evel history modules.</w:t>
      </w:r>
      <w:r w:rsidR="002D50B9">
        <w:rPr>
          <w:rStyle w:val="FootnoteReference"/>
          <w:rFonts w:ascii="Times New Roman" w:hAnsi="Times New Roman" w:cs="Times New Roman"/>
          <w:sz w:val="24"/>
          <w:szCs w:val="24"/>
        </w:rPr>
        <w:footnoteReference w:id="979"/>
      </w:r>
    </w:p>
    <w:p w14:paraId="11150D8C" w14:textId="672E80CB" w:rsidR="00D451DA" w:rsidRPr="00AE141E" w:rsidRDefault="0047312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These apparently separate trends – the silencing of imperial histories and the rise of ‘Hitler and the Henr</w:t>
      </w:r>
      <w:r w:rsidR="00D56191">
        <w:rPr>
          <w:rFonts w:ascii="Times New Roman" w:hAnsi="Times New Roman" w:cs="Times New Roman"/>
          <w:sz w:val="24"/>
          <w:szCs w:val="24"/>
        </w:rPr>
        <w:t>ie</w:t>
      </w:r>
      <w:r w:rsidRPr="00AE141E">
        <w:rPr>
          <w:rFonts w:ascii="Times New Roman" w:hAnsi="Times New Roman" w:cs="Times New Roman"/>
          <w:sz w:val="24"/>
          <w:szCs w:val="24"/>
        </w:rPr>
        <w:t>s’ – are of course interlinked. As we have seen, the imperial retreat of the 1960s engendered a crisis of national self-definition and self-esteem. In this context, concepts of nationhood became progressively narrower: the ‘Greater Britain’ of empire was replaced by an insular notion of ‘little England’. The Tudors factor into this vision as exemplars of a picturesque, self-contained national past (the imperial entanglements of Tudor rule are rarely, if ever, explored).</w:t>
      </w:r>
      <w:r w:rsidRPr="00AE141E">
        <w:rPr>
          <w:rStyle w:val="FootnoteReference"/>
          <w:rFonts w:ascii="Times New Roman" w:hAnsi="Times New Roman" w:cs="Times New Roman"/>
          <w:sz w:val="24"/>
          <w:szCs w:val="24"/>
        </w:rPr>
        <w:footnoteReference w:id="980"/>
      </w:r>
      <w:r w:rsidRPr="00AE141E">
        <w:rPr>
          <w:rFonts w:ascii="Times New Roman" w:hAnsi="Times New Roman" w:cs="Times New Roman"/>
          <w:sz w:val="24"/>
          <w:szCs w:val="24"/>
        </w:rPr>
        <w:t xml:space="preserve"> By contrast, the Second World War offers a</w:t>
      </w:r>
      <w:r w:rsidR="00587D08">
        <w:rPr>
          <w:rFonts w:ascii="Times New Roman" w:hAnsi="Times New Roman" w:cs="Times New Roman"/>
          <w:sz w:val="24"/>
          <w:szCs w:val="24"/>
        </w:rPr>
        <w:t xml:space="preserve"> safe</w:t>
      </w:r>
      <w:r w:rsidRPr="00AE141E">
        <w:rPr>
          <w:rFonts w:ascii="Times New Roman" w:hAnsi="Times New Roman" w:cs="Times New Roman"/>
          <w:sz w:val="24"/>
          <w:szCs w:val="24"/>
        </w:rPr>
        <w:t xml:space="preserve"> proxy for the imperial </w:t>
      </w:r>
      <w:r w:rsidRPr="00AE141E">
        <w:rPr>
          <w:rFonts w:ascii="Times New Roman" w:hAnsi="Times New Roman" w:cs="Times New Roman"/>
          <w:sz w:val="24"/>
          <w:szCs w:val="24"/>
        </w:rPr>
        <w:lastRenderedPageBreak/>
        <w:t xml:space="preserve">discourses of martial pride and heroic national adventure. Both </w:t>
      </w:r>
      <w:r w:rsidR="00587D08">
        <w:rPr>
          <w:rFonts w:ascii="Times New Roman" w:hAnsi="Times New Roman" w:cs="Times New Roman"/>
          <w:sz w:val="24"/>
          <w:szCs w:val="24"/>
        </w:rPr>
        <w:t>topics</w:t>
      </w:r>
      <w:r w:rsidRPr="00AE141E">
        <w:rPr>
          <w:rFonts w:ascii="Times New Roman" w:hAnsi="Times New Roman" w:cs="Times New Roman"/>
          <w:sz w:val="24"/>
          <w:szCs w:val="24"/>
        </w:rPr>
        <w:t xml:space="preserve"> </w:t>
      </w:r>
      <w:r w:rsidR="00FB7BC4">
        <w:rPr>
          <w:rFonts w:ascii="Times New Roman" w:hAnsi="Times New Roman" w:cs="Times New Roman"/>
          <w:sz w:val="24"/>
          <w:szCs w:val="24"/>
        </w:rPr>
        <w:t>present an image of</w:t>
      </w:r>
      <w:r w:rsidRPr="00AE141E">
        <w:rPr>
          <w:rFonts w:ascii="Times New Roman" w:hAnsi="Times New Roman" w:cs="Times New Roman"/>
          <w:sz w:val="24"/>
          <w:szCs w:val="24"/>
        </w:rPr>
        <w:t xml:space="preserve"> the nation </w:t>
      </w:r>
      <w:r w:rsidR="00FB7BC4">
        <w:rPr>
          <w:rFonts w:ascii="Times New Roman" w:hAnsi="Times New Roman" w:cs="Times New Roman"/>
          <w:sz w:val="24"/>
          <w:szCs w:val="24"/>
        </w:rPr>
        <w:t xml:space="preserve">shorn of </w:t>
      </w:r>
      <w:r w:rsidRPr="00AE141E">
        <w:rPr>
          <w:rFonts w:ascii="Times New Roman" w:hAnsi="Times New Roman" w:cs="Times New Roman"/>
          <w:sz w:val="24"/>
          <w:szCs w:val="24"/>
        </w:rPr>
        <w:t xml:space="preserve">the constitutive </w:t>
      </w:r>
      <w:r w:rsidR="00FB7BC4">
        <w:rPr>
          <w:rFonts w:ascii="Times New Roman" w:hAnsi="Times New Roman" w:cs="Times New Roman"/>
          <w:sz w:val="24"/>
          <w:szCs w:val="24"/>
        </w:rPr>
        <w:t>factor</w:t>
      </w:r>
      <w:r w:rsidRPr="00AE141E">
        <w:rPr>
          <w:rFonts w:ascii="Times New Roman" w:hAnsi="Times New Roman" w:cs="Times New Roman"/>
          <w:sz w:val="24"/>
          <w:szCs w:val="24"/>
        </w:rPr>
        <w:t xml:space="preserve"> of imperialism. </w:t>
      </w:r>
    </w:p>
    <w:p w14:paraId="32B5054B" w14:textId="6AE258F4" w:rsidR="0047312F" w:rsidRPr="00AE141E" w:rsidRDefault="0047312F"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hAnsi="Times New Roman" w:cs="Times New Roman"/>
          <w:sz w:val="24"/>
          <w:szCs w:val="24"/>
        </w:rPr>
        <w:t xml:space="preserve">It is my contention that school history teaching in the latter half of the twentieth century devoted only peripheral space to the history of imperialism. </w:t>
      </w:r>
      <w:r w:rsidR="00FA7C52">
        <w:rPr>
          <w:rFonts w:ascii="Times New Roman" w:hAnsi="Times New Roman" w:cs="Times New Roman"/>
          <w:sz w:val="24"/>
          <w:szCs w:val="24"/>
        </w:rPr>
        <w:t>T</w:t>
      </w:r>
      <w:r w:rsidRPr="00AE141E">
        <w:rPr>
          <w:rFonts w:ascii="Times New Roman" w:eastAsia="Times New Roman" w:hAnsi="Times New Roman" w:cs="Times New Roman"/>
          <w:color w:val="000000"/>
          <w:sz w:val="24"/>
          <w:szCs w:val="24"/>
          <w:lang w:eastAsia="en-GB"/>
        </w:rPr>
        <w:t xml:space="preserve">he erasure of imperial history has entailed a refusal to face up to the legacies of empire and colonisation. In the absence of a critical treatment of this subject, the ideological structure of empire has been allowed to survive unexamined. As we are seeing today, the national refusal to confront its history perpetuates imperial violence – both in the Global South, and ‘at home’, in the lives of the people of colour whose very presence in the UK is itself an imperial legacy. More generally, an inability to </w:t>
      </w:r>
      <w:r w:rsidR="000E6F7F">
        <w:rPr>
          <w:rFonts w:ascii="Times New Roman" w:eastAsia="Times New Roman" w:hAnsi="Times New Roman" w:cs="Times New Roman"/>
          <w:color w:val="000000"/>
          <w:sz w:val="24"/>
          <w:szCs w:val="24"/>
          <w:lang w:eastAsia="en-GB"/>
        </w:rPr>
        <w:t>address the</w:t>
      </w:r>
      <w:r w:rsidR="00B90B00">
        <w:rPr>
          <w:rFonts w:ascii="Times New Roman" w:eastAsia="Times New Roman" w:hAnsi="Times New Roman" w:cs="Times New Roman"/>
          <w:color w:val="000000"/>
          <w:sz w:val="24"/>
          <w:szCs w:val="24"/>
          <w:lang w:eastAsia="en-GB"/>
        </w:rPr>
        <w:t xml:space="preserve"> question of</w:t>
      </w:r>
      <w:r w:rsidRPr="00AE141E">
        <w:rPr>
          <w:rFonts w:ascii="Times New Roman" w:eastAsia="Times New Roman" w:hAnsi="Times New Roman" w:cs="Times New Roman"/>
          <w:color w:val="000000"/>
          <w:sz w:val="24"/>
          <w:szCs w:val="24"/>
          <w:lang w:eastAsia="en-GB"/>
        </w:rPr>
        <w:t xml:space="preserve"> imperial loss has created a society unable to move on or to define itself in other terms (hence, some have argued, the destructive bids for renewed supremacy which manifest in neo-colonial projects such as the Iraq War, or </w:t>
      </w:r>
      <w:r w:rsidR="00FB7BC4">
        <w:rPr>
          <w:rFonts w:ascii="Times New Roman" w:eastAsia="Times New Roman" w:hAnsi="Times New Roman" w:cs="Times New Roman"/>
          <w:color w:val="000000"/>
          <w:sz w:val="24"/>
          <w:szCs w:val="24"/>
          <w:lang w:eastAsia="en-GB"/>
        </w:rPr>
        <w:t xml:space="preserve">in </w:t>
      </w:r>
      <w:r w:rsidRPr="00AE141E">
        <w:rPr>
          <w:rFonts w:ascii="Times New Roman" w:eastAsia="Times New Roman" w:hAnsi="Times New Roman" w:cs="Times New Roman"/>
          <w:color w:val="000000"/>
          <w:sz w:val="24"/>
          <w:szCs w:val="24"/>
          <w:lang w:eastAsia="en-GB"/>
        </w:rPr>
        <w:t>the retreat from Europe).</w:t>
      </w:r>
      <w:r w:rsidRPr="00AE141E">
        <w:rPr>
          <w:rStyle w:val="FootnoteReference"/>
          <w:rFonts w:ascii="Times New Roman" w:eastAsia="Times New Roman" w:hAnsi="Times New Roman" w:cs="Times New Roman"/>
          <w:color w:val="000000"/>
          <w:sz w:val="24"/>
          <w:szCs w:val="24"/>
          <w:lang w:eastAsia="en-GB"/>
        </w:rPr>
        <w:footnoteReference w:id="981"/>
      </w:r>
      <w:r w:rsidRPr="00AE141E">
        <w:rPr>
          <w:rFonts w:ascii="Times New Roman" w:eastAsia="Times New Roman" w:hAnsi="Times New Roman" w:cs="Times New Roman"/>
          <w:color w:val="000000"/>
          <w:sz w:val="24"/>
          <w:szCs w:val="24"/>
          <w:lang w:eastAsia="en-GB"/>
        </w:rPr>
        <w:t xml:space="preserve"> It is no surprise, then, that communities of colour have been at the forefront of pushing the nation into a confrontation with its imperial past – both today, and in the period covered by this thesis. </w:t>
      </w:r>
    </w:p>
    <w:p w14:paraId="1666AAF7" w14:textId="085A2ADC" w:rsidR="00736431" w:rsidRDefault="00AE0B1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Throughout the latter half of the twentieth century, the broad outline of history curricula remained relatively consistent: most English secondary schools taught history as a chronological survey with a national </w:t>
      </w:r>
      <w:r w:rsidR="00EE781A">
        <w:rPr>
          <w:rFonts w:ascii="Times New Roman" w:hAnsi="Times New Roman" w:cs="Times New Roman"/>
          <w:sz w:val="24"/>
          <w:szCs w:val="24"/>
        </w:rPr>
        <w:t>core</w:t>
      </w:r>
      <w:r w:rsidRPr="00AE141E">
        <w:rPr>
          <w:rFonts w:ascii="Times New Roman" w:hAnsi="Times New Roman" w:cs="Times New Roman"/>
          <w:sz w:val="24"/>
          <w:szCs w:val="24"/>
        </w:rPr>
        <w:t xml:space="preserve">. Nevertheless, there were significant shifts in emphasis within this overarching framework. The changing role of empire within school curricula illuminates broader cultural trends, especially from the 1960s onwards. In the immediate post-war years, empire </w:t>
      </w:r>
      <w:r w:rsidR="00FA7C52">
        <w:rPr>
          <w:rFonts w:ascii="Times New Roman" w:hAnsi="Times New Roman" w:cs="Times New Roman"/>
          <w:sz w:val="24"/>
          <w:szCs w:val="24"/>
        </w:rPr>
        <w:t>was taught and celebrated – albeit as an occasional appendage to a domestic, in</w:t>
      </w:r>
      <w:r w:rsidR="001E6438">
        <w:rPr>
          <w:rFonts w:ascii="Times New Roman" w:hAnsi="Times New Roman" w:cs="Times New Roman"/>
          <w:sz w:val="24"/>
          <w:szCs w:val="24"/>
        </w:rPr>
        <w:t>sular national core.</w:t>
      </w:r>
      <w:r w:rsidRPr="00AE141E">
        <w:rPr>
          <w:rFonts w:ascii="Times New Roman" w:hAnsi="Times New Roman" w:cs="Times New Roman"/>
          <w:sz w:val="24"/>
          <w:szCs w:val="24"/>
        </w:rPr>
        <w:t xml:space="preserve"> In schools, as in the universities, an enduring and problematic connection was established between imperial and </w:t>
      </w:r>
      <w:r w:rsidRPr="00AE141E">
        <w:rPr>
          <w:rFonts w:ascii="Times New Roman" w:hAnsi="Times New Roman" w:cs="Times New Roman"/>
          <w:i/>
          <w:sz w:val="24"/>
          <w:szCs w:val="24"/>
        </w:rPr>
        <w:t>imperialist</w:t>
      </w:r>
      <w:r w:rsidRPr="00AE141E">
        <w:rPr>
          <w:rFonts w:ascii="Times New Roman" w:hAnsi="Times New Roman" w:cs="Times New Roman"/>
          <w:sz w:val="24"/>
          <w:szCs w:val="24"/>
        </w:rPr>
        <w:t xml:space="preserve"> history – a connection which would contribute to the sub-discipline’s decline as the popular mood turned away from empire. </w:t>
      </w:r>
    </w:p>
    <w:p w14:paraId="4BD2FBA1" w14:textId="3B843986" w:rsidR="000E7EAE" w:rsidRPr="00AE141E" w:rsidRDefault="00AE0B1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1960s witnessed a wave of decolonisation which made clear that the British empire was in terminal decline. The former metropole was forced to redefine itself in ‘postcolonial’ terms. National identity pivoted from grandiose visions of imperial destiny to an insular, domestic ‘little Englishness’. This cultural form</w:t>
      </w:r>
      <w:r w:rsidR="007E33EA" w:rsidRPr="00AE141E">
        <w:rPr>
          <w:rFonts w:ascii="Times New Roman" w:hAnsi="Times New Roman" w:cs="Times New Roman"/>
          <w:sz w:val="24"/>
          <w:szCs w:val="24"/>
        </w:rPr>
        <w:t>ation</w:t>
      </w:r>
      <w:r w:rsidRPr="00AE141E">
        <w:rPr>
          <w:rFonts w:ascii="Times New Roman" w:hAnsi="Times New Roman" w:cs="Times New Roman"/>
          <w:sz w:val="24"/>
          <w:szCs w:val="24"/>
        </w:rPr>
        <w:t xml:space="preserve"> was reflected in – and reinforced by – history teaching. Imperial history did not altogether disappear from school curricula. </w:t>
      </w:r>
      <w:r w:rsidR="00B90B00">
        <w:rPr>
          <w:rFonts w:ascii="Times New Roman" w:hAnsi="Times New Roman" w:cs="Times New Roman"/>
          <w:sz w:val="24"/>
          <w:szCs w:val="24"/>
        </w:rPr>
        <w:lastRenderedPageBreak/>
        <w:t xml:space="preserve">However, </w:t>
      </w:r>
      <w:r w:rsidRPr="00AE141E">
        <w:rPr>
          <w:rFonts w:ascii="Times New Roman" w:hAnsi="Times New Roman" w:cs="Times New Roman"/>
          <w:sz w:val="24"/>
          <w:szCs w:val="24"/>
        </w:rPr>
        <w:t>the history of the British empire was pushed further to the margins.</w:t>
      </w:r>
      <w:r w:rsidR="007E33EA" w:rsidRPr="00AE141E">
        <w:rPr>
          <w:rFonts w:ascii="Times New Roman" w:hAnsi="Times New Roman" w:cs="Times New Roman"/>
          <w:sz w:val="24"/>
          <w:szCs w:val="24"/>
        </w:rPr>
        <w:t xml:space="preserve"> </w:t>
      </w:r>
      <w:r w:rsidR="00521C95" w:rsidRPr="00AE141E">
        <w:rPr>
          <w:rFonts w:ascii="Times New Roman" w:hAnsi="Times New Roman" w:cs="Times New Roman"/>
          <w:sz w:val="24"/>
          <w:szCs w:val="24"/>
        </w:rPr>
        <w:t>I</w:t>
      </w:r>
      <w:r w:rsidR="006D680F" w:rsidRPr="00AE141E">
        <w:rPr>
          <w:rFonts w:ascii="Times New Roman" w:hAnsi="Times New Roman" w:cs="Times New Roman"/>
          <w:sz w:val="24"/>
          <w:szCs w:val="24"/>
        </w:rPr>
        <w:t xml:space="preserve">n late twentieth century English education, </w:t>
      </w:r>
      <w:r w:rsidR="00AC791B" w:rsidRPr="00AE141E">
        <w:rPr>
          <w:rFonts w:ascii="Times New Roman" w:hAnsi="Times New Roman" w:cs="Times New Roman"/>
          <w:sz w:val="24"/>
          <w:szCs w:val="24"/>
        </w:rPr>
        <w:t xml:space="preserve">the </w:t>
      </w:r>
      <w:r w:rsidR="006D680F" w:rsidRPr="00AE141E">
        <w:rPr>
          <w:rFonts w:ascii="Times New Roman" w:hAnsi="Times New Roman" w:cs="Times New Roman"/>
          <w:sz w:val="24"/>
          <w:szCs w:val="24"/>
        </w:rPr>
        <w:t xml:space="preserve">imperial </w:t>
      </w:r>
      <w:r w:rsidR="00AC791B" w:rsidRPr="00AE141E">
        <w:rPr>
          <w:rFonts w:ascii="Times New Roman" w:hAnsi="Times New Roman" w:cs="Times New Roman"/>
          <w:sz w:val="24"/>
          <w:szCs w:val="24"/>
        </w:rPr>
        <w:t>past</w:t>
      </w:r>
      <w:r w:rsidR="00E84DB1" w:rsidRPr="00AE141E">
        <w:rPr>
          <w:rFonts w:ascii="Times New Roman" w:hAnsi="Times New Roman" w:cs="Times New Roman"/>
          <w:sz w:val="24"/>
          <w:szCs w:val="24"/>
        </w:rPr>
        <w:t xml:space="preserve"> </w:t>
      </w:r>
      <w:r w:rsidR="00DF0C34" w:rsidRPr="00AE141E">
        <w:rPr>
          <w:rFonts w:ascii="Times New Roman" w:hAnsi="Times New Roman" w:cs="Times New Roman"/>
          <w:sz w:val="24"/>
          <w:szCs w:val="24"/>
        </w:rPr>
        <w:t>existed primarily as</w:t>
      </w:r>
      <w:r w:rsidR="00E84DB1" w:rsidRPr="00AE141E">
        <w:rPr>
          <w:rFonts w:ascii="Times New Roman" w:hAnsi="Times New Roman" w:cs="Times New Roman"/>
          <w:sz w:val="24"/>
          <w:szCs w:val="24"/>
        </w:rPr>
        <w:t xml:space="preserve"> a ‘p</w:t>
      </w:r>
      <w:r w:rsidR="000E7EAE" w:rsidRPr="00AE141E">
        <w:rPr>
          <w:rFonts w:ascii="Times New Roman" w:hAnsi="Times New Roman" w:cs="Times New Roman"/>
          <w:sz w:val="24"/>
          <w:szCs w:val="24"/>
        </w:rPr>
        <w:t>athology of presence</w:t>
      </w:r>
      <w:r w:rsidR="00E84DB1" w:rsidRPr="00AE141E">
        <w:rPr>
          <w:rFonts w:ascii="Times New Roman" w:hAnsi="Times New Roman" w:cs="Times New Roman"/>
          <w:sz w:val="24"/>
          <w:szCs w:val="24"/>
        </w:rPr>
        <w:t>’</w:t>
      </w:r>
      <w:r w:rsidR="00DF0C34" w:rsidRPr="00AE141E">
        <w:rPr>
          <w:rFonts w:ascii="Times New Roman" w:hAnsi="Times New Roman" w:cs="Times New Roman"/>
          <w:sz w:val="24"/>
          <w:szCs w:val="24"/>
        </w:rPr>
        <w:t xml:space="preserve">: a set of unnamed, unacknowledged, and unexamined </w:t>
      </w:r>
      <w:r w:rsidR="00AC791B" w:rsidRPr="00AE141E">
        <w:rPr>
          <w:rFonts w:ascii="Times New Roman" w:hAnsi="Times New Roman" w:cs="Times New Roman"/>
          <w:sz w:val="24"/>
          <w:szCs w:val="24"/>
        </w:rPr>
        <w:t xml:space="preserve">assumptions </w:t>
      </w:r>
      <w:r w:rsidR="00F96F8A" w:rsidRPr="00AE141E">
        <w:rPr>
          <w:rFonts w:ascii="Times New Roman" w:hAnsi="Times New Roman" w:cs="Times New Roman"/>
          <w:sz w:val="24"/>
          <w:szCs w:val="24"/>
        </w:rPr>
        <w:t xml:space="preserve">which were constantly reborn and only rarely </w:t>
      </w:r>
      <w:r w:rsidR="004A6C36" w:rsidRPr="00AE141E">
        <w:rPr>
          <w:rFonts w:ascii="Times New Roman" w:hAnsi="Times New Roman" w:cs="Times New Roman"/>
          <w:sz w:val="24"/>
          <w:szCs w:val="24"/>
        </w:rPr>
        <w:t>identified and contested.</w:t>
      </w:r>
    </w:p>
    <w:p w14:paraId="0BF78296" w14:textId="0CC241EB" w:rsidR="00F113F7" w:rsidRPr="00AE141E" w:rsidRDefault="002F407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history teachers of the 1960s experienced intense professional anxieties regarding the status and popularity of their subject. </w:t>
      </w:r>
      <w:r w:rsidR="0039037D" w:rsidRPr="00AE141E">
        <w:rPr>
          <w:rFonts w:ascii="Times New Roman" w:hAnsi="Times New Roman" w:cs="Times New Roman"/>
          <w:sz w:val="24"/>
          <w:szCs w:val="24"/>
        </w:rPr>
        <w:t>For</w:t>
      </w:r>
      <w:r w:rsidR="00952A25" w:rsidRPr="00AE141E">
        <w:rPr>
          <w:rFonts w:ascii="Times New Roman" w:hAnsi="Times New Roman" w:cs="Times New Roman"/>
          <w:sz w:val="24"/>
          <w:szCs w:val="24"/>
        </w:rPr>
        <w:t xml:space="preserve"> history</w:t>
      </w:r>
      <w:r w:rsidR="00AD5C9F" w:rsidRPr="00AE141E">
        <w:rPr>
          <w:rFonts w:ascii="Times New Roman" w:hAnsi="Times New Roman" w:cs="Times New Roman"/>
          <w:sz w:val="24"/>
          <w:szCs w:val="24"/>
        </w:rPr>
        <w:t xml:space="preserve"> to survive as a distinct discipline, </w:t>
      </w:r>
      <w:r w:rsidR="00603B44" w:rsidRPr="00AE141E">
        <w:rPr>
          <w:rFonts w:ascii="Times New Roman" w:hAnsi="Times New Roman" w:cs="Times New Roman"/>
          <w:sz w:val="24"/>
          <w:szCs w:val="24"/>
        </w:rPr>
        <w:t>they</w:t>
      </w:r>
      <w:r w:rsidR="00AD5C9F" w:rsidRPr="00AE141E">
        <w:rPr>
          <w:rFonts w:ascii="Times New Roman" w:hAnsi="Times New Roman" w:cs="Times New Roman"/>
          <w:sz w:val="24"/>
          <w:szCs w:val="24"/>
        </w:rPr>
        <w:t xml:space="preserve"> believed that </w:t>
      </w:r>
      <w:r w:rsidR="00952A25" w:rsidRPr="00AE141E">
        <w:rPr>
          <w:rFonts w:ascii="Times New Roman" w:hAnsi="Times New Roman" w:cs="Times New Roman"/>
          <w:sz w:val="24"/>
          <w:szCs w:val="24"/>
        </w:rPr>
        <w:t>pupils needed to recogni</w:t>
      </w:r>
      <w:r w:rsidR="00603B44" w:rsidRPr="00AE141E">
        <w:rPr>
          <w:rFonts w:ascii="Times New Roman" w:hAnsi="Times New Roman" w:cs="Times New Roman"/>
          <w:sz w:val="24"/>
          <w:szCs w:val="24"/>
        </w:rPr>
        <w:t xml:space="preserve">se its relevance to a fast-changing world. </w:t>
      </w:r>
      <w:r w:rsidR="00DF27A0" w:rsidRPr="00AE141E">
        <w:rPr>
          <w:rFonts w:ascii="Times New Roman" w:hAnsi="Times New Roman" w:cs="Times New Roman"/>
          <w:sz w:val="24"/>
          <w:szCs w:val="24"/>
        </w:rPr>
        <w:t>Adv</w:t>
      </w:r>
      <w:r w:rsidR="00DB244A" w:rsidRPr="00AE141E">
        <w:rPr>
          <w:rFonts w:ascii="Times New Roman" w:hAnsi="Times New Roman" w:cs="Times New Roman"/>
          <w:sz w:val="24"/>
          <w:szCs w:val="24"/>
        </w:rPr>
        <w:t xml:space="preserve">ocates of world history envisaged it </w:t>
      </w:r>
      <w:r w:rsidR="00C606D3" w:rsidRPr="00AE141E">
        <w:rPr>
          <w:rFonts w:ascii="Times New Roman" w:hAnsi="Times New Roman" w:cs="Times New Roman"/>
          <w:sz w:val="24"/>
          <w:szCs w:val="24"/>
        </w:rPr>
        <w:t>as a challenge to imperial(ist) histor</w:t>
      </w:r>
      <w:r w:rsidR="00265AEE" w:rsidRPr="00AE141E">
        <w:rPr>
          <w:rFonts w:ascii="Times New Roman" w:hAnsi="Times New Roman" w:cs="Times New Roman"/>
          <w:sz w:val="24"/>
          <w:szCs w:val="24"/>
        </w:rPr>
        <w:t xml:space="preserve">y, </w:t>
      </w:r>
      <w:r w:rsidR="00C606D3" w:rsidRPr="00AE141E">
        <w:rPr>
          <w:rFonts w:ascii="Times New Roman" w:hAnsi="Times New Roman" w:cs="Times New Roman"/>
          <w:sz w:val="24"/>
          <w:szCs w:val="24"/>
        </w:rPr>
        <w:t xml:space="preserve">which viewed </w:t>
      </w:r>
      <w:r w:rsidR="00425ECB" w:rsidRPr="00AE141E">
        <w:rPr>
          <w:rFonts w:ascii="Times New Roman" w:hAnsi="Times New Roman" w:cs="Times New Roman"/>
          <w:sz w:val="24"/>
          <w:szCs w:val="24"/>
        </w:rPr>
        <w:t>foreign peoples and cultures exclusively through British eyes</w:t>
      </w:r>
      <w:r w:rsidR="009325A1" w:rsidRPr="00AE141E">
        <w:rPr>
          <w:rFonts w:ascii="Times New Roman" w:hAnsi="Times New Roman" w:cs="Times New Roman"/>
          <w:sz w:val="24"/>
          <w:szCs w:val="24"/>
        </w:rPr>
        <w:t>.</w:t>
      </w:r>
      <w:r w:rsidR="00265AEE" w:rsidRPr="00AE141E">
        <w:rPr>
          <w:rFonts w:ascii="Times New Roman" w:hAnsi="Times New Roman" w:cs="Times New Roman"/>
          <w:sz w:val="24"/>
          <w:szCs w:val="24"/>
        </w:rPr>
        <w:t xml:space="preserve"> </w:t>
      </w:r>
      <w:r w:rsidR="002A6F82" w:rsidRPr="00AE141E">
        <w:rPr>
          <w:rFonts w:ascii="Times New Roman" w:hAnsi="Times New Roman" w:cs="Times New Roman"/>
          <w:sz w:val="24"/>
          <w:szCs w:val="24"/>
        </w:rPr>
        <w:t>World history</w:t>
      </w:r>
      <w:r w:rsidR="00AE47BC" w:rsidRPr="00AE141E">
        <w:rPr>
          <w:rFonts w:ascii="Times New Roman" w:hAnsi="Times New Roman" w:cs="Times New Roman"/>
          <w:sz w:val="24"/>
          <w:szCs w:val="24"/>
        </w:rPr>
        <w:t xml:space="preserve"> responded to </w:t>
      </w:r>
      <w:r w:rsidR="002B157E" w:rsidRPr="00AE141E">
        <w:rPr>
          <w:rFonts w:ascii="Times New Roman" w:hAnsi="Times New Roman" w:cs="Times New Roman"/>
          <w:sz w:val="24"/>
          <w:szCs w:val="24"/>
        </w:rPr>
        <w:t xml:space="preserve">Britain’s loss of global status by </w:t>
      </w:r>
      <w:r w:rsidR="00AE0B15" w:rsidRPr="00AE141E">
        <w:rPr>
          <w:rFonts w:ascii="Times New Roman" w:hAnsi="Times New Roman" w:cs="Times New Roman"/>
          <w:sz w:val="24"/>
          <w:szCs w:val="24"/>
        </w:rPr>
        <w:t>decentring the national past</w:t>
      </w:r>
      <w:r w:rsidR="00574856" w:rsidRPr="00AE141E">
        <w:rPr>
          <w:rFonts w:ascii="Times New Roman" w:hAnsi="Times New Roman" w:cs="Times New Roman"/>
          <w:sz w:val="24"/>
          <w:szCs w:val="24"/>
        </w:rPr>
        <w:t>. F</w:t>
      </w:r>
      <w:r w:rsidR="00237776" w:rsidRPr="00AE141E">
        <w:rPr>
          <w:rFonts w:ascii="Times New Roman" w:hAnsi="Times New Roman" w:cs="Times New Roman"/>
          <w:sz w:val="24"/>
          <w:szCs w:val="24"/>
        </w:rPr>
        <w:t>oreign cu</w:t>
      </w:r>
      <w:r w:rsidR="00574856" w:rsidRPr="00AE141E">
        <w:rPr>
          <w:rFonts w:ascii="Times New Roman" w:hAnsi="Times New Roman" w:cs="Times New Roman"/>
          <w:sz w:val="24"/>
          <w:szCs w:val="24"/>
        </w:rPr>
        <w:t>ltures were to be</w:t>
      </w:r>
      <w:r w:rsidR="002B157E" w:rsidRPr="00AE141E">
        <w:rPr>
          <w:rFonts w:ascii="Times New Roman" w:hAnsi="Times New Roman" w:cs="Times New Roman"/>
          <w:sz w:val="24"/>
          <w:szCs w:val="24"/>
        </w:rPr>
        <w:t xml:space="preserve"> viewed</w:t>
      </w:r>
      <w:r w:rsidR="00574194" w:rsidRPr="00AE141E">
        <w:rPr>
          <w:rFonts w:ascii="Times New Roman" w:hAnsi="Times New Roman" w:cs="Times New Roman"/>
          <w:sz w:val="24"/>
          <w:szCs w:val="24"/>
        </w:rPr>
        <w:t xml:space="preserve"> ‘</w:t>
      </w:r>
      <w:r w:rsidR="002B157E" w:rsidRPr="00AE141E">
        <w:rPr>
          <w:rFonts w:ascii="Times New Roman" w:hAnsi="Times New Roman" w:cs="Times New Roman"/>
          <w:sz w:val="24"/>
          <w:szCs w:val="24"/>
        </w:rPr>
        <w:t>on their own terms’.</w:t>
      </w:r>
      <w:r w:rsidR="00AE0B15" w:rsidRPr="00AE141E">
        <w:rPr>
          <w:rFonts w:ascii="Times New Roman" w:hAnsi="Times New Roman" w:cs="Times New Roman"/>
          <w:sz w:val="24"/>
          <w:szCs w:val="24"/>
        </w:rPr>
        <w:t xml:space="preserve"> </w:t>
      </w:r>
      <w:r w:rsidR="00FF4D35" w:rsidRPr="00AE141E">
        <w:rPr>
          <w:rFonts w:ascii="Times New Roman" w:hAnsi="Times New Roman" w:cs="Times New Roman"/>
          <w:sz w:val="24"/>
          <w:szCs w:val="24"/>
        </w:rPr>
        <w:t>Taken to its logical conclusion, the</w:t>
      </w:r>
      <w:r w:rsidR="00F66BD5" w:rsidRPr="00AE141E">
        <w:rPr>
          <w:rFonts w:ascii="Times New Roman" w:hAnsi="Times New Roman" w:cs="Times New Roman"/>
          <w:sz w:val="24"/>
          <w:szCs w:val="24"/>
        </w:rPr>
        <w:t xml:space="preserve"> sub-discipline’s</w:t>
      </w:r>
      <w:r w:rsidR="00FF4D35" w:rsidRPr="00AE141E">
        <w:rPr>
          <w:rFonts w:ascii="Times New Roman" w:hAnsi="Times New Roman" w:cs="Times New Roman"/>
          <w:sz w:val="24"/>
          <w:szCs w:val="24"/>
        </w:rPr>
        <w:t xml:space="preserve"> distinction between t</w:t>
      </w:r>
      <w:r w:rsidR="00F66BD5" w:rsidRPr="00AE141E">
        <w:rPr>
          <w:rFonts w:ascii="Times New Roman" w:hAnsi="Times New Roman" w:cs="Times New Roman"/>
          <w:sz w:val="24"/>
          <w:szCs w:val="24"/>
        </w:rPr>
        <w:t>he domestic and the foreign</w:t>
      </w:r>
      <w:r w:rsidR="00860FF1" w:rsidRPr="00AE141E">
        <w:rPr>
          <w:rFonts w:ascii="Times New Roman" w:hAnsi="Times New Roman" w:cs="Times New Roman"/>
          <w:sz w:val="24"/>
          <w:szCs w:val="24"/>
        </w:rPr>
        <w:t xml:space="preserve"> erected a false binary which obscur</w:t>
      </w:r>
      <w:r w:rsidR="00F66BD5" w:rsidRPr="00AE141E">
        <w:rPr>
          <w:rFonts w:ascii="Times New Roman" w:hAnsi="Times New Roman" w:cs="Times New Roman"/>
          <w:sz w:val="24"/>
          <w:szCs w:val="24"/>
        </w:rPr>
        <w:t xml:space="preserve">ed histories of colonisation, expansion, </w:t>
      </w:r>
      <w:r w:rsidR="00F91612" w:rsidRPr="00AE141E">
        <w:rPr>
          <w:rFonts w:ascii="Times New Roman" w:hAnsi="Times New Roman" w:cs="Times New Roman"/>
          <w:sz w:val="24"/>
          <w:szCs w:val="24"/>
        </w:rPr>
        <w:t xml:space="preserve">and migration. By erasing the imperial past, </w:t>
      </w:r>
      <w:r w:rsidR="005C7A7B" w:rsidRPr="00AE141E">
        <w:rPr>
          <w:rFonts w:ascii="Times New Roman" w:hAnsi="Times New Roman" w:cs="Times New Roman"/>
          <w:sz w:val="24"/>
          <w:szCs w:val="24"/>
        </w:rPr>
        <w:t xml:space="preserve">world history enabled its ideological legacies to survive unchecked. </w:t>
      </w:r>
      <w:r w:rsidR="00BE18EA" w:rsidRPr="00AE141E">
        <w:rPr>
          <w:rFonts w:ascii="Times New Roman" w:hAnsi="Times New Roman" w:cs="Times New Roman"/>
          <w:sz w:val="24"/>
          <w:szCs w:val="24"/>
        </w:rPr>
        <w:t xml:space="preserve"> </w:t>
      </w:r>
      <w:r w:rsidR="005C7A7B" w:rsidRPr="00AE141E">
        <w:rPr>
          <w:rFonts w:ascii="Times New Roman" w:hAnsi="Times New Roman" w:cs="Times New Roman"/>
          <w:sz w:val="24"/>
          <w:szCs w:val="24"/>
        </w:rPr>
        <w:t xml:space="preserve">The sub-discipline </w:t>
      </w:r>
      <w:r w:rsidR="00714C8D" w:rsidRPr="00AE141E">
        <w:rPr>
          <w:rFonts w:ascii="Times New Roman" w:hAnsi="Times New Roman" w:cs="Times New Roman"/>
          <w:sz w:val="24"/>
          <w:szCs w:val="24"/>
        </w:rPr>
        <w:t xml:space="preserve">reiterated </w:t>
      </w:r>
      <w:r w:rsidR="004C2C1D" w:rsidRPr="00AE141E">
        <w:rPr>
          <w:rFonts w:ascii="Times New Roman" w:hAnsi="Times New Roman" w:cs="Times New Roman"/>
          <w:sz w:val="24"/>
          <w:szCs w:val="24"/>
        </w:rPr>
        <w:t>a</w:t>
      </w:r>
      <w:r w:rsidR="00714C8D" w:rsidRPr="00AE141E">
        <w:rPr>
          <w:rFonts w:ascii="Times New Roman" w:hAnsi="Times New Roman" w:cs="Times New Roman"/>
          <w:sz w:val="24"/>
          <w:szCs w:val="24"/>
        </w:rPr>
        <w:t xml:space="preserve"> liberal imperialist </w:t>
      </w:r>
      <w:r w:rsidR="004C2C1D" w:rsidRPr="00AE141E">
        <w:rPr>
          <w:rFonts w:ascii="Times New Roman" w:hAnsi="Times New Roman" w:cs="Times New Roman"/>
          <w:sz w:val="24"/>
          <w:szCs w:val="24"/>
        </w:rPr>
        <w:t xml:space="preserve">framework </w:t>
      </w:r>
      <w:r w:rsidR="005C61B3" w:rsidRPr="00AE141E">
        <w:rPr>
          <w:rFonts w:ascii="Times New Roman" w:hAnsi="Times New Roman" w:cs="Times New Roman"/>
          <w:sz w:val="24"/>
          <w:szCs w:val="24"/>
        </w:rPr>
        <w:t>of historical analysis, in which the past was understood as a redemptive march towards a glorified</w:t>
      </w:r>
      <w:r w:rsidR="007E4679" w:rsidRPr="00AE141E">
        <w:rPr>
          <w:rFonts w:ascii="Times New Roman" w:hAnsi="Times New Roman" w:cs="Times New Roman"/>
          <w:sz w:val="24"/>
          <w:szCs w:val="24"/>
        </w:rPr>
        <w:t>, universalizable vision of western modernity.</w:t>
      </w:r>
      <w:r w:rsidR="00720104" w:rsidRPr="00AE141E">
        <w:rPr>
          <w:rFonts w:ascii="Times New Roman" w:hAnsi="Times New Roman" w:cs="Times New Roman"/>
          <w:sz w:val="24"/>
          <w:szCs w:val="24"/>
        </w:rPr>
        <w:t xml:space="preserve"> Teaching materials, especially those targeted at younger students, tended to stress the e</w:t>
      </w:r>
      <w:r w:rsidR="00EC31F6" w:rsidRPr="00AE141E">
        <w:rPr>
          <w:rFonts w:ascii="Times New Roman" w:hAnsi="Times New Roman" w:cs="Times New Roman"/>
          <w:sz w:val="24"/>
          <w:szCs w:val="24"/>
        </w:rPr>
        <w:t>xotic and the picturesque – at the cost of dehumanising and denying agency to non-European peoples</w:t>
      </w:r>
      <w:r w:rsidR="00F113F7" w:rsidRPr="00AE141E">
        <w:rPr>
          <w:rFonts w:ascii="Times New Roman" w:hAnsi="Times New Roman" w:cs="Times New Roman"/>
          <w:sz w:val="24"/>
          <w:szCs w:val="24"/>
        </w:rPr>
        <w:t>.</w:t>
      </w:r>
    </w:p>
    <w:p w14:paraId="5A05F917" w14:textId="440D891A" w:rsidR="00911A93" w:rsidRPr="00AE141E" w:rsidRDefault="006963E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1960s inaugurated changes in teaching style as well as taught content. </w:t>
      </w:r>
      <w:r w:rsidR="00E11973" w:rsidRPr="00AE141E">
        <w:rPr>
          <w:rFonts w:ascii="Times New Roman" w:hAnsi="Times New Roman" w:cs="Times New Roman"/>
          <w:sz w:val="24"/>
          <w:szCs w:val="24"/>
        </w:rPr>
        <w:t xml:space="preserve">The ‘new history’, emblematised by the SCHP, </w:t>
      </w:r>
      <w:r w:rsidR="00FD5219" w:rsidRPr="00AE141E">
        <w:rPr>
          <w:rFonts w:ascii="Times New Roman" w:hAnsi="Times New Roman" w:cs="Times New Roman"/>
          <w:sz w:val="24"/>
          <w:szCs w:val="24"/>
        </w:rPr>
        <w:t xml:space="preserve">valorised student-led historical investigation and independent analysis. </w:t>
      </w:r>
      <w:r w:rsidR="00F850C7" w:rsidRPr="00AE141E">
        <w:rPr>
          <w:rFonts w:ascii="Times New Roman" w:hAnsi="Times New Roman" w:cs="Times New Roman"/>
          <w:sz w:val="24"/>
          <w:szCs w:val="24"/>
        </w:rPr>
        <w:t>T</w:t>
      </w:r>
      <w:r w:rsidR="00FD5219" w:rsidRPr="00AE141E">
        <w:rPr>
          <w:rFonts w:ascii="Times New Roman" w:hAnsi="Times New Roman" w:cs="Times New Roman"/>
          <w:sz w:val="24"/>
          <w:szCs w:val="24"/>
        </w:rPr>
        <w:t>heoretically</w:t>
      </w:r>
      <w:r w:rsidR="00AC5B84" w:rsidRPr="00AE141E">
        <w:rPr>
          <w:rFonts w:ascii="Times New Roman" w:hAnsi="Times New Roman" w:cs="Times New Roman"/>
          <w:sz w:val="24"/>
          <w:szCs w:val="24"/>
        </w:rPr>
        <w:t xml:space="preserve"> at least</w:t>
      </w:r>
      <w:r w:rsidR="00FD5219" w:rsidRPr="00AE141E">
        <w:rPr>
          <w:rFonts w:ascii="Times New Roman" w:hAnsi="Times New Roman" w:cs="Times New Roman"/>
          <w:sz w:val="24"/>
          <w:szCs w:val="24"/>
        </w:rPr>
        <w:t xml:space="preserve">, this </w:t>
      </w:r>
      <w:r w:rsidR="00F850C7" w:rsidRPr="00AE141E">
        <w:rPr>
          <w:rFonts w:ascii="Times New Roman" w:hAnsi="Times New Roman" w:cs="Times New Roman"/>
          <w:sz w:val="24"/>
          <w:szCs w:val="24"/>
        </w:rPr>
        <w:t xml:space="preserve">had the potential to actively foster critical understandings of taught content. </w:t>
      </w:r>
      <w:r w:rsidR="00AC5B84" w:rsidRPr="00AE141E">
        <w:rPr>
          <w:rFonts w:ascii="Times New Roman" w:hAnsi="Times New Roman" w:cs="Times New Roman"/>
          <w:sz w:val="24"/>
          <w:szCs w:val="24"/>
        </w:rPr>
        <w:t xml:space="preserve">In practice, </w:t>
      </w:r>
      <w:r w:rsidR="00EB4E65" w:rsidRPr="00AE141E">
        <w:rPr>
          <w:rFonts w:ascii="Times New Roman" w:hAnsi="Times New Roman" w:cs="Times New Roman"/>
          <w:sz w:val="24"/>
          <w:szCs w:val="24"/>
        </w:rPr>
        <w:t xml:space="preserve">the pressures of </w:t>
      </w:r>
      <w:r w:rsidR="00E7139B" w:rsidRPr="00AE141E">
        <w:rPr>
          <w:rFonts w:ascii="Times New Roman" w:hAnsi="Times New Roman" w:cs="Times New Roman"/>
          <w:sz w:val="24"/>
          <w:szCs w:val="24"/>
        </w:rPr>
        <w:t xml:space="preserve">teaching for examination </w:t>
      </w:r>
      <w:r w:rsidR="003A541D" w:rsidRPr="00AE141E">
        <w:rPr>
          <w:rFonts w:ascii="Times New Roman" w:hAnsi="Times New Roman" w:cs="Times New Roman"/>
          <w:sz w:val="24"/>
          <w:szCs w:val="24"/>
        </w:rPr>
        <w:t>seem to have</w:t>
      </w:r>
      <w:r w:rsidR="002E25CA" w:rsidRPr="00AE141E">
        <w:rPr>
          <w:rFonts w:ascii="Times New Roman" w:hAnsi="Times New Roman" w:cs="Times New Roman"/>
          <w:sz w:val="24"/>
          <w:szCs w:val="24"/>
        </w:rPr>
        <w:t xml:space="preserve"> encouraged ‘talk and chalk’ style lessons</w:t>
      </w:r>
      <w:r w:rsidR="00D00B61" w:rsidRPr="00AE141E">
        <w:rPr>
          <w:rFonts w:ascii="Times New Roman" w:hAnsi="Times New Roman" w:cs="Times New Roman"/>
          <w:sz w:val="24"/>
          <w:szCs w:val="24"/>
        </w:rPr>
        <w:t xml:space="preserve"> with an emphasis on factual content delivered by a singular authority </w:t>
      </w:r>
      <w:r w:rsidR="00B862B7" w:rsidRPr="00AE141E">
        <w:rPr>
          <w:rFonts w:ascii="Times New Roman" w:hAnsi="Times New Roman" w:cs="Times New Roman"/>
          <w:sz w:val="24"/>
          <w:szCs w:val="24"/>
        </w:rPr>
        <w:t xml:space="preserve">embodied by </w:t>
      </w:r>
      <w:r w:rsidR="00D00B61" w:rsidRPr="00AE141E">
        <w:rPr>
          <w:rFonts w:ascii="Times New Roman" w:hAnsi="Times New Roman" w:cs="Times New Roman"/>
          <w:sz w:val="24"/>
          <w:szCs w:val="24"/>
        </w:rPr>
        <w:t xml:space="preserve">the teacher. </w:t>
      </w:r>
      <w:r w:rsidR="00CF410B" w:rsidRPr="00AE141E">
        <w:rPr>
          <w:rFonts w:ascii="Times New Roman" w:hAnsi="Times New Roman" w:cs="Times New Roman"/>
          <w:sz w:val="24"/>
          <w:szCs w:val="24"/>
        </w:rPr>
        <w:t xml:space="preserve">Nevertheless, the inclusion of a substantial coursework component may have opened space for </w:t>
      </w:r>
      <w:r w:rsidR="00D050E9" w:rsidRPr="00AE141E">
        <w:rPr>
          <w:rFonts w:ascii="Times New Roman" w:hAnsi="Times New Roman" w:cs="Times New Roman"/>
          <w:sz w:val="24"/>
          <w:szCs w:val="24"/>
        </w:rPr>
        <w:t>students to take a more reflexive approach to</w:t>
      </w:r>
      <w:r w:rsidR="005E7D53" w:rsidRPr="00AE141E">
        <w:rPr>
          <w:rFonts w:ascii="Times New Roman" w:hAnsi="Times New Roman" w:cs="Times New Roman"/>
          <w:sz w:val="24"/>
          <w:szCs w:val="24"/>
        </w:rPr>
        <w:t xml:space="preserve"> topics </w:t>
      </w:r>
      <w:r w:rsidR="00A42471" w:rsidRPr="00AE141E">
        <w:rPr>
          <w:rFonts w:ascii="Times New Roman" w:hAnsi="Times New Roman" w:cs="Times New Roman"/>
          <w:sz w:val="24"/>
          <w:szCs w:val="24"/>
        </w:rPr>
        <w:t>including</w:t>
      </w:r>
      <w:r w:rsidR="00045FE7" w:rsidRPr="00AE141E">
        <w:rPr>
          <w:rFonts w:ascii="Times New Roman" w:hAnsi="Times New Roman" w:cs="Times New Roman"/>
          <w:sz w:val="24"/>
          <w:szCs w:val="24"/>
        </w:rPr>
        <w:t xml:space="preserve"> the</w:t>
      </w:r>
      <w:r w:rsidR="00A42471" w:rsidRPr="00AE141E">
        <w:rPr>
          <w:rFonts w:ascii="Times New Roman" w:hAnsi="Times New Roman" w:cs="Times New Roman"/>
          <w:sz w:val="24"/>
          <w:szCs w:val="24"/>
        </w:rPr>
        <w:t xml:space="preserve"> </w:t>
      </w:r>
      <w:r w:rsidR="00045FE7" w:rsidRPr="00AE141E">
        <w:rPr>
          <w:rFonts w:ascii="Times New Roman" w:hAnsi="Times New Roman" w:cs="Times New Roman"/>
          <w:sz w:val="24"/>
          <w:szCs w:val="24"/>
        </w:rPr>
        <w:t>‘The Arab-Israeli Conflict’ and ‘The Irish Question’</w:t>
      </w:r>
      <w:r w:rsidR="00E46D89" w:rsidRPr="00AE141E">
        <w:rPr>
          <w:rFonts w:ascii="Times New Roman" w:hAnsi="Times New Roman" w:cs="Times New Roman"/>
          <w:sz w:val="24"/>
          <w:szCs w:val="24"/>
        </w:rPr>
        <w:t xml:space="preserve">, the imperial connections of which were largely ignored by official course materials. </w:t>
      </w:r>
    </w:p>
    <w:p w14:paraId="2B13C152" w14:textId="0F2115C4" w:rsidR="003F4A4C" w:rsidRPr="00AE141E" w:rsidRDefault="00F368C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Students</w:t>
      </w:r>
      <w:r w:rsidR="00A7608F" w:rsidRPr="00AE141E">
        <w:rPr>
          <w:rFonts w:ascii="Times New Roman" w:hAnsi="Times New Roman" w:cs="Times New Roman"/>
          <w:sz w:val="24"/>
          <w:szCs w:val="24"/>
        </w:rPr>
        <w:t xml:space="preserve"> were not simply </w:t>
      </w:r>
      <w:r w:rsidR="00A7608F" w:rsidRPr="00AE141E">
        <w:rPr>
          <w:rFonts w:ascii="Times New Roman" w:hAnsi="Times New Roman" w:cs="Times New Roman"/>
          <w:i/>
          <w:sz w:val="24"/>
          <w:szCs w:val="24"/>
        </w:rPr>
        <w:t>given</w:t>
      </w:r>
      <w:r w:rsidR="00A7608F" w:rsidRPr="00AE141E">
        <w:rPr>
          <w:rFonts w:ascii="Times New Roman" w:hAnsi="Times New Roman" w:cs="Times New Roman"/>
          <w:sz w:val="24"/>
          <w:szCs w:val="24"/>
        </w:rPr>
        <w:t xml:space="preserve"> sp</w:t>
      </w:r>
      <w:r w:rsidR="00126D58" w:rsidRPr="00AE141E">
        <w:rPr>
          <w:rFonts w:ascii="Times New Roman" w:hAnsi="Times New Roman" w:cs="Times New Roman"/>
          <w:sz w:val="24"/>
          <w:szCs w:val="24"/>
        </w:rPr>
        <w:t xml:space="preserve">ace </w:t>
      </w:r>
      <w:r w:rsidR="002C2D7D">
        <w:rPr>
          <w:rFonts w:ascii="Times New Roman" w:hAnsi="Times New Roman" w:cs="Times New Roman"/>
          <w:sz w:val="24"/>
          <w:szCs w:val="24"/>
        </w:rPr>
        <w:t>to express</w:t>
      </w:r>
      <w:r w:rsidR="00126D58" w:rsidRPr="00AE141E">
        <w:rPr>
          <w:rFonts w:ascii="Times New Roman" w:hAnsi="Times New Roman" w:cs="Times New Roman"/>
          <w:sz w:val="24"/>
          <w:szCs w:val="24"/>
        </w:rPr>
        <w:t xml:space="preserve"> autonomous or dissenting views in late twentieth century classrooms – they took it. </w:t>
      </w:r>
      <w:r w:rsidR="009D6BFC" w:rsidRPr="00AE141E">
        <w:rPr>
          <w:rFonts w:ascii="Times New Roman" w:hAnsi="Times New Roman" w:cs="Times New Roman"/>
          <w:sz w:val="24"/>
          <w:szCs w:val="24"/>
        </w:rPr>
        <w:t xml:space="preserve">The BEM </w:t>
      </w:r>
      <w:r w:rsidR="001B7A27" w:rsidRPr="00AE141E">
        <w:rPr>
          <w:rFonts w:ascii="Times New Roman" w:hAnsi="Times New Roman" w:cs="Times New Roman"/>
          <w:sz w:val="24"/>
          <w:szCs w:val="24"/>
        </w:rPr>
        <w:t>fostered</w:t>
      </w:r>
      <w:r w:rsidR="009D6BFC" w:rsidRPr="00AE141E">
        <w:rPr>
          <w:rFonts w:ascii="Times New Roman" w:hAnsi="Times New Roman" w:cs="Times New Roman"/>
          <w:sz w:val="24"/>
          <w:szCs w:val="24"/>
        </w:rPr>
        <w:t xml:space="preserve"> </w:t>
      </w:r>
      <w:r w:rsidR="001E1134" w:rsidRPr="00AE141E">
        <w:rPr>
          <w:rFonts w:ascii="Times New Roman" w:hAnsi="Times New Roman" w:cs="Times New Roman"/>
          <w:sz w:val="24"/>
          <w:szCs w:val="24"/>
        </w:rPr>
        <w:t>historical</w:t>
      </w:r>
      <w:r w:rsidR="001766C3" w:rsidRPr="00AE141E">
        <w:rPr>
          <w:rFonts w:ascii="Times New Roman" w:hAnsi="Times New Roman" w:cs="Times New Roman"/>
          <w:sz w:val="24"/>
          <w:szCs w:val="24"/>
        </w:rPr>
        <w:t xml:space="preserve"> </w:t>
      </w:r>
      <w:r w:rsidR="0029530C" w:rsidRPr="00AE141E">
        <w:rPr>
          <w:rFonts w:ascii="Times New Roman" w:hAnsi="Times New Roman" w:cs="Times New Roman"/>
          <w:sz w:val="24"/>
          <w:szCs w:val="24"/>
        </w:rPr>
        <w:t>education</w:t>
      </w:r>
      <w:r w:rsidR="001766C3" w:rsidRPr="00AE141E">
        <w:rPr>
          <w:rFonts w:ascii="Times New Roman" w:hAnsi="Times New Roman" w:cs="Times New Roman"/>
          <w:sz w:val="24"/>
          <w:szCs w:val="24"/>
        </w:rPr>
        <w:t xml:space="preserve"> </w:t>
      </w:r>
      <w:r w:rsidR="00717946" w:rsidRPr="00AE141E">
        <w:rPr>
          <w:rFonts w:ascii="Times New Roman" w:hAnsi="Times New Roman" w:cs="Times New Roman"/>
          <w:sz w:val="24"/>
          <w:szCs w:val="24"/>
        </w:rPr>
        <w:t xml:space="preserve">as </w:t>
      </w:r>
      <w:r w:rsidR="004C4979" w:rsidRPr="00AE141E">
        <w:rPr>
          <w:rFonts w:ascii="Times New Roman" w:hAnsi="Times New Roman" w:cs="Times New Roman"/>
          <w:sz w:val="24"/>
          <w:szCs w:val="24"/>
        </w:rPr>
        <w:t>a route to</w:t>
      </w:r>
      <w:r w:rsidR="001766C3" w:rsidRPr="00AE141E">
        <w:rPr>
          <w:rFonts w:ascii="Times New Roman" w:hAnsi="Times New Roman" w:cs="Times New Roman"/>
          <w:sz w:val="24"/>
          <w:szCs w:val="24"/>
        </w:rPr>
        <w:t xml:space="preserve"> </w:t>
      </w:r>
      <w:r w:rsidR="00954206" w:rsidRPr="00AE141E">
        <w:rPr>
          <w:rFonts w:ascii="Times New Roman" w:hAnsi="Times New Roman" w:cs="Times New Roman"/>
          <w:sz w:val="24"/>
          <w:szCs w:val="24"/>
        </w:rPr>
        <w:t>s</w:t>
      </w:r>
      <w:r w:rsidR="001766C3" w:rsidRPr="00AE141E">
        <w:rPr>
          <w:rFonts w:ascii="Times New Roman" w:hAnsi="Times New Roman" w:cs="Times New Roman"/>
          <w:sz w:val="24"/>
          <w:szCs w:val="24"/>
        </w:rPr>
        <w:t>elf-knowledge and Black political consciousness.</w:t>
      </w:r>
      <w:r w:rsidR="00612902" w:rsidRPr="00AE141E">
        <w:rPr>
          <w:rFonts w:ascii="Times New Roman" w:hAnsi="Times New Roman" w:cs="Times New Roman"/>
          <w:sz w:val="24"/>
          <w:szCs w:val="24"/>
        </w:rPr>
        <w:t xml:space="preserve"> Y</w:t>
      </w:r>
      <w:r w:rsidR="0029530C" w:rsidRPr="00AE141E">
        <w:rPr>
          <w:rFonts w:ascii="Times New Roman" w:hAnsi="Times New Roman" w:cs="Times New Roman"/>
          <w:sz w:val="24"/>
          <w:szCs w:val="24"/>
        </w:rPr>
        <w:t>oung people with</w:t>
      </w:r>
      <w:r w:rsidR="00841A71">
        <w:rPr>
          <w:rFonts w:ascii="Times New Roman" w:hAnsi="Times New Roman" w:cs="Times New Roman"/>
          <w:sz w:val="24"/>
          <w:szCs w:val="24"/>
        </w:rPr>
        <w:t>in</w:t>
      </w:r>
      <w:r w:rsidR="0029530C" w:rsidRPr="00AE141E">
        <w:rPr>
          <w:rFonts w:ascii="Times New Roman" w:hAnsi="Times New Roman" w:cs="Times New Roman"/>
          <w:sz w:val="24"/>
          <w:szCs w:val="24"/>
        </w:rPr>
        <w:t xml:space="preserve"> the movement </w:t>
      </w:r>
      <w:r w:rsidR="00612902" w:rsidRPr="00AE141E">
        <w:rPr>
          <w:rFonts w:ascii="Times New Roman" w:hAnsi="Times New Roman" w:cs="Times New Roman"/>
          <w:sz w:val="24"/>
          <w:szCs w:val="24"/>
        </w:rPr>
        <w:t>understood</w:t>
      </w:r>
      <w:r w:rsidR="0029530C" w:rsidRPr="00AE141E">
        <w:rPr>
          <w:rFonts w:ascii="Times New Roman" w:hAnsi="Times New Roman" w:cs="Times New Roman"/>
          <w:sz w:val="24"/>
          <w:szCs w:val="24"/>
        </w:rPr>
        <w:t xml:space="preserve"> history</w:t>
      </w:r>
      <w:r w:rsidR="00841A71">
        <w:rPr>
          <w:rFonts w:ascii="Times New Roman" w:hAnsi="Times New Roman" w:cs="Times New Roman"/>
          <w:sz w:val="24"/>
          <w:szCs w:val="24"/>
        </w:rPr>
        <w:t xml:space="preserve"> both</w:t>
      </w:r>
      <w:r w:rsidR="0029530C" w:rsidRPr="00AE141E">
        <w:rPr>
          <w:rFonts w:ascii="Times New Roman" w:hAnsi="Times New Roman" w:cs="Times New Roman"/>
          <w:sz w:val="24"/>
          <w:szCs w:val="24"/>
        </w:rPr>
        <w:t xml:space="preserve"> </w:t>
      </w:r>
      <w:r w:rsidR="007A1EA4" w:rsidRPr="00AE141E">
        <w:rPr>
          <w:rFonts w:ascii="Times New Roman" w:hAnsi="Times New Roman" w:cs="Times New Roman"/>
          <w:sz w:val="24"/>
          <w:szCs w:val="24"/>
        </w:rPr>
        <w:t>as a guide to their present realities</w:t>
      </w:r>
      <w:r w:rsidR="00841A71">
        <w:rPr>
          <w:rFonts w:ascii="Times New Roman" w:hAnsi="Times New Roman" w:cs="Times New Roman"/>
          <w:sz w:val="24"/>
          <w:szCs w:val="24"/>
        </w:rPr>
        <w:t>,</w:t>
      </w:r>
      <w:r w:rsidR="007A1EA4" w:rsidRPr="00AE141E">
        <w:rPr>
          <w:rFonts w:ascii="Times New Roman" w:hAnsi="Times New Roman" w:cs="Times New Roman"/>
          <w:sz w:val="24"/>
          <w:szCs w:val="24"/>
        </w:rPr>
        <w:t xml:space="preserve"> and as a </w:t>
      </w:r>
      <w:r w:rsidR="009B25E1" w:rsidRPr="00AE141E">
        <w:rPr>
          <w:rFonts w:ascii="Times New Roman" w:hAnsi="Times New Roman" w:cs="Times New Roman"/>
          <w:sz w:val="24"/>
          <w:szCs w:val="24"/>
        </w:rPr>
        <w:t xml:space="preserve">weapon by which these realities might be changed. </w:t>
      </w:r>
      <w:r w:rsidR="00B92179" w:rsidRPr="00AE141E">
        <w:rPr>
          <w:rFonts w:ascii="Times New Roman" w:hAnsi="Times New Roman" w:cs="Times New Roman"/>
          <w:sz w:val="24"/>
          <w:szCs w:val="24"/>
        </w:rPr>
        <w:t>Youth writing historicised systematic</w:t>
      </w:r>
      <w:r w:rsidR="00240AEE" w:rsidRPr="00AE141E">
        <w:rPr>
          <w:rFonts w:ascii="Times New Roman" w:hAnsi="Times New Roman" w:cs="Times New Roman"/>
          <w:sz w:val="24"/>
          <w:szCs w:val="24"/>
        </w:rPr>
        <w:t xml:space="preserve"> racism as a product of </w:t>
      </w:r>
      <w:r w:rsidR="00240AEE" w:rsidRPr="00AE141E">
        <w:rPr>
          <w:rFonts w:ascii="Times New Roman" w:hAnsi="Times New Roman" w:cs="Times New Roman"/>
          <w:sz w:val="24"/>
          <w:szCs w:val="24"/>
        </w:rPr>
        <w:lastRenderedPageBreak/>
        <w:t>Britain’s imperial past and contended with the reality of residing within – and in some sense belonging to – a nat</w:t>
      </w:r>
      <w:r w:rsidR="0090745B" w:rsidRPr="00AE141E">
        <w:rPr>
          <w:rFonts w:ascii="Times New Roman" w:hAnsi="Times New Roman" w:cs="Times New Roman"/>
          <w:sz w:val="24"/>
          <w:szCs w:val="24"/>
        </w:rPr>
        <w:t xml:space="preserve">ion founded on the profits of colonial exploitation. </w:t>
      </w:r>
      <w:r w:rsidR="00D86711" w:rsidRPr="00AE141E">
        <w:rPr>
          <w:rFonts w:ascii="Times New Roman" w:hAnsi="Times New Roman" w:cs="Times New Roman"/>
          <w:sz w:val="24"/>
          <w:szCs w:val="24"/>
        </w:rPr>
        <w:t>The histor</w:t>
      </w:r>
      <w:r w:rsidR="005257E4" w:rsidRPr="00AE141E">
        <w:rPr>
          <w:rFonts w:ascii="Times New Roman" w:hAnsi="Times New Roman" w:cs="Times New Roman"/>
          <w:sz w:val="24"/>
          <w:szCs w:val="24"/>
        </w:rPr>
        <w:t>ies</w:t>
      </w:r>
      <w:r w:rsidR="00D86711" w:rsidRPr="00AE141E">
        <w:rPr>
          <w:rFonts w:ascii="Times New Roman" w:hAnsi="Times New Roman" w:cs="Times New Roman"/>
          <w:sz w:val="24"/>
          <w:szCs w:val="24"/>
        </w:rPr>
        <w:t xml:space="preserve"> of anti-colonial </w:t>
      </w:r>
      <w:r w:rsidR="005257E4" w:rsidRPr="00AE141E">
        <w:rPr>
          <w:rFonts w:ascii="Times New Roman" w:hAnsi="Times New Roman" w:cs="Times New Roman"/>
          <w:sz w:val="24"/>
          <w:szCs w:val="24"/>
        </w:rPr>
        <w:t xml:space="preserve">and anti-racist </w:t>
      </w:r>
      <w:r w:rsidR="00D86711" w:rsidRPr="00AE141E">
        <w:rPr>
          <w:rFonts w:ascii="Times New Roman" w:hAnsi="Times New Roman" w:cs="Times New Roman"/>
          <w:sz w:val="24"/>
          <w:szCs w:val="24"/>
        </w:rPr>
        <w:t xml:space="preserve">resistance movements </w:t>
      </w:r>
      <w:r w:rsidR="005257E4" w:rsidRPr="00AE141E">
        <w:rPr>
          <w:rFonts w:ascii="Times New Roman" w:hAnsi="Times New Roman" w:cs="Times New Roman"/>
          <w:sz w:val="24"/>
          <w:szCs w:val="24"/>
        </w:rPr>
        <w:t>were</w:t>
      </w:r>
      <w:r w:rsidR="00D86711" w:rsidRPr="00AE141E">
        <w:rPr>
          <w:rFonts w:ascii="Times New Roman" w:hAnsi="Times New Roman" w:cs="Times New Roman"/>
          <w:sz w:val="24"/>
          <w:szCs w:val="24"/>
        </w:rPr>
        <w:t xml:space="preserve"> treated as a </w:t>
      </w:r>
      <w:r w:rsidR="00D727F6" w:rsidRPr="00AE141E">
        <w:rPr>
          <w:rFonts w:ascii="Times New Roman" w:hAnsi="Times New Roman" w:cs="Times New Roman"/>
          <w:sz w:val="24"/>
          <w:szCs w:val="24"/>
        </w:rPr>
        <w:t>repository of inspiration and example</w:t>
      </w:r>
      <w:r w:rsidR="0088490C" w:rsidRPr="00AE141E">
        <w:rPr>
          <w:rFonts w:ascii="Times New Roman" w:hAnsi="Times New Roman" w:cs="Times New Roman"/>
          <w:sz w:val="24"/>
          <w:szCs w:val="24"/>
        </w:rPr>
        <w:t xml:space="preserve">. Such movements supplied evidence of the historicity </w:t>
      </w:r>
      <w:r w:rsidR="004302F9" w:rsidRPr="00AE141E">
        <w:rPr>
          <w:rFonts w:ascii="Times New Roman" w:hAnsi="Times New Roman" w:cs="Times New Roman"/>
          <w:sz w:val="24"/>
          <w:szCs w:val="24"/>
        </w:rPr>
        <w:t xml:space="preserve">and historical agency of </w:t>
      </w:r>
      <w:r w:rsidR="00604F50" w:rsidRPr="00AE141E">
        <w:rPr>
          <w:rFonts w:ascii="Times New Roman" w:hAnsi="Times New Roman" w:cs="Times New Roman"/>
          <w:sz w:val="24"/>
          <w:szCs w:val="24"/>
        </w:rPr>
        <w:t>colonised peoples</w:t>
      </w:r>
      <w:r w:rsidR="00231044" w:rsidRPr="00AE141E">
        <w:rPr>
          <w:rFonts w:ascii="Times New Roman" w:hAnsi="Times New Roman" w:cs="Times New Roman"/>
          <w:sz w:val="24"/>
          <w:szCs w:val="24"/>
        </w:rPr>
        <w:t xml:space="preserve">. </w:t>
      </w:r>
      <w:r w:rsidR="004A7A74" w:rsidRPr="00AE141E">
        <w:rPr>
          <w:rFonts w:ascii="Times New Roman" w:hAnsi="Times New Roman" w:cs="Times New Roman"/>
          <w:sz w:val="24"/>
          <w:szCs w:val="24"/>
        </w:rPr>
        <w:t>Young people</w:t>
      </w:r>
      <w:r w:rsidR="00065527" w:rsidRPr="00AE141E">
        <w:rPr>
          <w:rFonts w:ascii="Times New Roman" w:hAnsi="Times New Roman" w:cs="Times New Roman"/>
          <w:sz w:val="24"/>
          <w:szCs w:val="24"/>
        </w:rPr>
        <w:t xml:space="preserve"> </w:t>
      </w:r>
      <w:r w:rsidR="0080521D" w:rsidRPr="00AE141E">
        <w:rPr>
          <w:rFonts w:ascii="Times New Roman" w:hAnsi="Times New Roman" w:cs="Times New Roman"/>
          <w:sz w:val="24"/>
          <w:szCs w:val="24"/>
        </w:rPr>
        <w:t xml:space="preserve">sought knowledge of themselves as history-makers in </w:t>
      </w:r>
      <w:r w:rsidR="006D6343" w:rsidRPr="00AE141E">
        <w:rPr>
          <w:rFonts w:ascii="Times New Roman" w:hAnsi="Times New Roman" w:cs="Times New Roman"/>
          <w:sz w:val="24"/>
          <w:szCs w:val="24"/>
        </w:rPr>
        <w:t xml:space="preserve">their role as historians of past struggles. </w:t>
      </w:r>
    </w:p>
    <w:p w14:paraId="4555ABE0" w14:textId="77777777" w:rsidR="002D4A60" w:rsidRDefault="00CD4563"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arrival of signific</w:t>
      </w:r>
      <w:r w:rsidR="00491370" w:rsidRPr="00AE141E">
        <w:rPr>
          <w:rFonts w:ascii="Times New Roman" w:hAnsi="Times New Roman" w:cs="Times New Roman"/>
          <w:sz w:val="24"/>
          <w:szCs w:val="24"/>
        </w:rPr>
        <w:t>ant numbers of young people of colour in English classrooms was at first met with a general policy of assimilation</w:t>
      </w:r>
      <w:r w:rsidR="00DB6871" w:rsidRPr="00AE141E">
        <w:rPr>
          <w:rFonts w:ascii="Times New Roman" w:hAnsi="Times New Roman" w:cs="Times New Roman"/>
          <w:sz w:val="24"/>
          <w:szCs w:val="24"/>
        </w:rPr>
        <w:t>.</w:t>
      </w:r>
      <w:r w:rsidR="00037593" w:rsidRPr="00AE141E">
        <w:rPr>
          <w:rFonts w:ascii="Times New Roman" w:hAnsi="Times New Roman" w:cs="Times New Roman"/>
          <w:sz w:val="24"/>
          <w:szCs w:val="24"/>
        </w:rPr>
        <w:t xml:space="preserve"> As a</w:t>
      </w:r>
      <w:r w:rsidR="0032524D" w:rsidRPr="00AE141E">
        <w:rPr>
          <w:rFonts w:ascii="Times New Roman" w:hAnsi="Times New Roman" w:cs="Times New Roman"/>
          <w:sz w:val="24"/>
          <w:szCs w:val="24"/>
        </w:rPr>
        <w:t>n important constitutive part of national identity, h</w:t>
      </w:r>
      <w:r w:rsidR="00C74E22" w:rsidRPr="00AE141E">
        <w:rPr>
          <w:rFonts w:ascii="Times New Roman" w:hAnsi="Times New Roman" w:cs="Times New Roman"/>
          <w:sz w:val="24"/>
          <w:szCs w:val="24"/>
        </w:rPr>
        <w:t xml:space="preserve">istory was a </w:t>
      </w:r>
      <w:r w:rsidR="00FB63B4" w:rsidRPr="00AE141E">
        <w:rPr>
          <w:rFonts w:ascii="Times New Roman" w:hAnsi="Times New Roman" w:cs="Times New Roman"/>
          <w:sz w:val="24"/>
          <w:szCs w:val="24"/>
        </w:rPr>
        <w:t>crucial weapon in the integrationist a</w:t>
      </w:r>
      <w:r w:rsidR="003208CD" w:rsidRPr="00AE141E">
        <w:rPr>
          <w:rFonts w:ascii="Times New Roman" w:hAnsi="Times New Roman" w:cs="Times New Roman"/>
          <w:sz w:val="24"/>
          <w:szCs w:val="24"/>
        </w:rPr>
        <w:t>rsenal.</w:t>
      </w:r>
      <w:r w:rsidR="00DB6871" w:rsidRPr="00AE141E">
        <w:rPr>
          <w:rFonts w:ascii="Times New Roman" w:hAnsi="Times New Roman" w:cs="Times New Roman"/>
          <w:sz w:val="24"/>
          <w:szCs w:val="24"/>
        </w:rPr>
        <w:t xml:space="preserve"> </w:t>
      </w:r>
      <w:r w:rsidR="002D4A60">
        <w:rPr>
          <w:rFonts w:ascii="Times New Roman" w:hAnsi="Times New Roman" w:cs="Times New Roman"/>
          <w:sz w:val="24"/>
          <w:szCs w:val="24"/>
        </w:rPr>
        <w:t>Nevertheless, p</w:t>
      </w:r>
      <w:r w:rsidR="00CC25F2" w:rsidRPr="00AE141E">
        <w:rPr>
          <w:rFonts w:ascii="Times New Roman" w:hAnsi="Times New Roman" w:cs="Times New Roman"/>
          <w:sz w:val="24"/>
          <w:szCs w:val="24"/>
        </w:rPr>
        <w:t xml:space="preserve">eople of colour </w:t>
      </w:r>
      <w:r w:rsidR="00B77333" w:rsidRPr="00AE141E">
        <w:rPr>
          <w:rFonts w:ascii="Times New Roman" w:hAnsi="Times New Roman" w:cs="Times New Roman"/>
          <w:sz w:val="24"/>
          <w:szCs w:val="24"/>
        </w:rPr>
        <w:t>demanded recognition of their own historical experienc</w:t>
      </w:r>
      <w:r w:rsidR="00D03B52" w:rsidRPr="00AE141E">
        <w:rPr>
          <w:rFonts w:ascii="Times New Roman" w:hAnsi="Times New Roman" w:cs="Times New Roman"/>
          <w:sz w:val="24"/>
          <w:szCs w:val="24"/>
        </w:rPr>
        <w:t xml:space="preserve">es. </w:t>
      </w:r>
      <w:r w:rsidR="00302E04" w:rsidRPr="00AE141E">
        <w:rPr>
          <w:rFonts w:ascii="Times New Roman" w:hAnsi="Times New Roman" w:cs="Times New Roman"/>
          <w:sz w:val="24"/>
          <w:szCs w:val="24"/>
        </w:rPr>
        <w:t xml:space="preserve">Pupils from colonised backgrounds </w:t>
      </w:r>
      <w:r w:rsidR="00DB081C" w:rsidRPr="00AE141E">
        <w:rPr>
          <w:rFonts w:ascii="Times New Roman" w:hAnsi="Times New Roman" w:cs="Times New Roman"/>
          <w:sz w:val="24"/>
          <w:szCs w:val="24"/>
        </w:rPr>
        <w:t xml:space="preserve">used </w:t>
      </w:r>
      <w:r w:rsidR="008941F3" w:rsidRPr="00AE141E">
        <w:rPr>
          <w:rFonts w:ascii="Times New Roman" w:hAnsi="Times New Roman" w:cs="Times New Roman"/>
          <w:sz w:val="24"/>
          <w:szCs w:val="24"/>
        </w:rPr>
        <w:t xml:space="preserve">historical knowledge informed by family and community to problematise the </w:t>
      </w:r>
      <w:r w:rsidR="00EE2BAC" w:rsidRPr="00AE141E">
        <w:rPr>
          <w:rFonts w:ascii="Times New Roman" w:hAnsi="Times New Roman" w:cs="Times New Roman"/>
          <w:sz w:val="24"/>
          <w:szCs w:val="24"/>
        </w:rPr>
        <w:t xml:space="preserve">narrative received in school classrooms. </w:t>
      </w:r>
      <w:r w:rsidR="002D4A60">
        <w:rPr>
          <w:rFonts w:ascii="Times New Roman" w:hAnsi="Times New Roman" w:cs="Times New Roman"/>
          <w:sz w:val="24"/>
          <w:szCs w:val="24"/>
        </w:rPr>
        <w:t>P</w:t>
      </w:r>
      <w:r w:rsidR="00CC5EC8" w:rsidRPr="00AE141E">
        <w:rPr>
          <w:rFonts w:ascii="Times New Roman" w:hAnsi="Times New Roman" w:cs="Times New Roman"/>
          <w:sz w:val="24"/>
          <w:szCs w:val="24"/>
        </w:rPr>
        <w:t>rofessional associations</w:t>
      </w:r>
      <w:r w:rsidR="00B85E7F" w:rsidRPr="00AE141E">
        <w:rPr>
          <w:rFonts w:ascii="Times New Roman" w:hAnsi="Times New Roman" w:cs="Times New Roman"/>
          <w:sz w:val="24"/>
          <w:szCs w:val="24"/>
        </w:rPr>
        <w:t xml:space="preserve"> </w:t>
      </w:r>
      <w:r w:rsidR="00CF5D22" w:rsidRPr="00AE141E">
        <w:rPr>
          <w:rFonts w:ascii="Times New Roman" w:hAnsi="Times New Roman" w:cs="Times New Roman"/>
          <w:sz w:val="24"/>
          <w:szCs w:val="24"/>
        </w:rPr>
        <w:t>with an emphasis on racial justice inv</w:t>
      </w:r>
      <w:r w:rsidR="007D71BE" w:rsidRPr="00AE141E">
        <w:rPr>
          <w:rFonts w:ascii="Times New Roman" w:hAnsi="Times New Roman" w:cs="Times New Roman"/>
          <w:sz w:val="24"/>
          <w:szCs w:val="24"/>
        </w:rPr>
        <w:t xml:space="preserve">estigated the gaps, silences, and </w:t>
      </w:r>
      <w:r w:rsidR="00A54E3A" w:rsidRPr="00AE141E">
        <w:rPr>
          <w:rFonts w:ascii="Times New Roman" w:hAnsi="Times New Roman" w:cs="Times New Roman"/>
          <w:sz w:val="24"/>
          <w:szCs w:val="24"/>
        </w:rPr>
        <w:t xml:space="preserve">prejudices enshrined in existing curricula. </w:t>
      </w:r>
    </w:p>
    <w:p w14:paraId="359C8297" w14:textId="4B1F5A11" w:rsidR="005F3201" w:rsidRPr="00AE141E" w:rsidRDefault="00A54E3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Many reached a similar conclusion to that outlined in Chapters 1 and 2 of this thesis</w:t>
      </w:r>
      <w:r w:rsidR="002D4A60">
        <w:rPr>
          <w:rFonts w:ascii="Times New Roman" w:hAnsi="Times New Roman" w:cs="Times New Roman"/>
          <w:sz w:val="24"/>
          <w:szCs w:val="24"/>
        </w:rPr>
        <w:t>:</w:t>
      </w:r>
      <w:r w:rsidRPr="00AE141E">
        <w:rPr>
          <w:rFonts w:ascii="Times New Roman" w:hAnsi="Times New Roman" w:cs="Times New Roman"/>
          <w:sz w:val="24"/>
          <w:szCs w:val="24"/>
        </w:rPr>
        <w:t xml:space="preserve"> </w:t>
      </w:r>
      <w:r w:rsidR="002D4A60">
        <w:rPr>
          <w:rFonts w:ascii="Times New Roman" w:hAnsi="Times New Roman" w:cs="Times New Roman"/>
          <w:sz w:val="24"/>
          <w:szCs w:val="24"/>
        </w:rPr>
        <w:t>t</w:t>
      </w:r>
      <w:r w:rsidR="00F363CB" w:rsidRPr="00AE141E">
        <w:rPr>
          <w:rFonts w:ascii="Times New Roman" w:hAnsi="Times New Roman" w:cs="Times New Roman"/>
          <w:sz w:val="24"/>
          <w:szCs w:val="24"/>
        </w:rPr>
        <w:t xml:space="preserve">eaching </w:t>
      </w:r>
      <w:r w:rsidR="00BF36F9" w:rsidRPr="00AE141E">
        <w:rPr>
          <w:rFonts w:ascii="Times New Roman" w:hAnsi="Times New Roman" w:cs="Times New Roman"/>
          <w:sz w:val="24"/>
          <w:szCs w:val="24"/>
        </w:rPr>
        <w:t>tended to maintain a national focus</w:t>
      </w:r>
      <w:r w:rsidR="00463310" w:rsidRPr="00AE141E">
        <w:rPr>
          <w:rFonts w:ascii="Times New Roman" w:hAnsi="Times New Roman" w:cs="Times New Roman"/>
          <w:sz w:val="24"/>
          <w:szCs w:val="24"/>
        </w:rPr>
        <w:t xml:space="preserve">, narrowly conceived as </w:t>
      </w:r>
      <w:r w:rsidR="00DB0401" w:rsidRPr="00AE141E">
        <w:rPr>
          <w:rFonts w:ascii="Times New Roman" w:hAnsi="Times New Roman" w:cs="Times New Roman"/>
          <w:sz w:val="24"/>
          <w:szCs w:val="24"/>
        </w:rPr>
        <w:t>a domesticated ‘island story’.</w:t>
      </w:r>
      <w:r w:rsidR="00463310" w:rsidRPr="00AE141E">
        <w:rPr>
          <w:rFonts w:ascii="Times New Roman" w:hAnsi="Times New Roman" w:cs="Times New Roman"/>
          <w:sz w:val="24"/>
          <w:szCs w:val="24"/>
        </w:rPr>
        <w:t xml:space="preserve"> </w:t>
      </w:r>
      <w:r w:rsidR="00DB0401" w:rsidRPr="00AE141E">
        <w:rPr>
          <w:rFonts w:ascii="Times New Roman" w:hAnsi="Times New Roman" w:cs="Times New Roman"/>
          <w:sz w:val="24"/>
          <w:szCs w:val="24"/>
        </w:rPr>
        <w:t xml:space="preserve">Where </w:t>
      </w:r>
      <w:r w:rsidR="00B209BF" w:rsidRPr="00AE141E">
        <w:rPr>
          <w:rFonts w:ascii="Times New Roman" w:hAnsi="Times New Roman" w:cs="Times New Roman"/>
          <w:sz w:val="24"/>
          <w:szCs w:val="24"/>
        </w:rPr>
        <w:t>included, the</w:t>
      </w:r>
      <w:r w:rsidR="00B64924" w:rsidRPr="00AE141E">
        <w:rPr>
          <w:rFonts w:ascii="Times New Roman" w:hAnsi="Times New Roman" w:cs="Times New Roman"/>
          <w:sz w:val="24"/>
          <w:szCs w:val="24"/>
        </w:rPr>
        <w:t xml:space="preserve"> non-European world</w:t>
      </w:r>
      <w:r w:rsidR="00B209BF" w:rsidRPr="00AE141E">
        <w:rPr>
          <w:rFonts w:ascii="Times New Roman" w:hAnsi="Times New Roman" w:cs="Times New Roman"/>
          <w:sz w:val="24"/>
          <w:szCs w:val="24"/>
        </w:rPr>
        <w:t xml:space="preserve"> was represented</w:t>
      </w:r>
      <w:r w:rsidR="00B64924" w:rsidRPr="00AE141E">
        <w:rPr>
          <w:rFonts w:ascii="Times New Roman" w:hAnsi="Times New Roman" w:cs="Times New Roman"/>
          <w:sz w:val="24"/>
          <w:szCs w:val="24"/>
        </w:rPr>
        <w:t xml:space="preserve"> as a blank canvas painted by White hands.</w:t>
      </w:r>
      <w:r w:rsidR="00B04152" w:rsidRPr="00AE141E">
        <w:rPr>
          <w:rFonts w:ascii="Times New Roman" w:hAnsi="Times New Roman" w:cs="Times New Roman"/>
          <w:sz w:val="24"/>
          <w:szCs w:val="24"/>
        </w:rPr>
        <w:t xml:space="preserve"> </w:t>
      </w:r>
      <w:r w:rsidR="003F596F" w:rsidRPr="00AE141E">
        <w:rPr>
          <w:rFonts w:ascii="Times New Roman" w:hAnsi="Times New Roman" w:cs="Times New Roman"/>
          <w:sz w:val="24"/>
          <w:szCs w:val="24"/>
        </w:rPr>
        <w:t>Themes of exploration</w:t>
      </w:r>
      <w:r w:rsidR="00B36722" w:rsidRPr="00AE141E">
        <w:rPr>
          <w:rFonts w:ascii="Times New Roman" w:hAnsi="Times New Roman" w:cs="Times New Roman"/>
          <w:sz w:val="24"/>
          <w:szCs w:val="24"/>
        </w:rPr>
        <w:t xml:space="preserve"> and discovery prevailed. </w:t>
      </w:r>
      <w:r w:rsidR="005D3885" w:rsidRPr="00AE141E">
        <w:rPr>
          <w:rFonts w:ascii="Times New Roman" w:hAnsi="Times New Roman" w:cs="Times New Roman"/>
          <w:sz w:val="24"/>
          <w:szCs w:val="24"/>
        </w:rPr>
        <w:t xml:space="preserve">Insofar as British actions were criticised, colonised peoples were reduced to </w:t>
      </w:r>
      <w:r w:rsidR="009015C2" w:rsidRPr="00AE141E">
        <w:rPr>
          <w:rFonts w:ascii="Times New Roman" w:hAnsi="Times New Roman" w:cs="Times New Roman"/>
          <w:sz w:val="24"/>
          <w:szCs w:val="24"/>
        </w:rPr>
        <w:t>victims</w:t>
      </w:r>
      <w:r w:rsidR="002D4A60">
        <w:rPr>
          <w:rFonts w:ascii="Times New Roman" w:hAnsi="Times New Roman" w:cs="Times New Roman"/>
          <w:sz w:val="24"/>
          <w:szCs w:val="24"/>
        </w:rPr>
        <w:t xml:space="preserve"> and</w:t>
      </w:r>
      <w:r w:rsidR="00807ADC" w:rsidRPr="00AE141E">
        <w:rPr>
          <w:rFonts w:ascii="Times New Roman" w:hAnsi="Times New Roman" w:cs="Times New Roman"/>
          <w:sz w:val="24"/>
          <w:szCs w:val="24"/>
        </w:rPr>
        <w:t xml:space="preserve"> denied agency, subjectivity, or the capacity to resist</w:t>
      </w:r>
      <w:r w:rsidR="009015C2" w:rsidRPr="00AE141E">
        <w:rPr>
          <w:rFonts w:ascii="Times New Roman" w:hAnsi="Times New Roman" w:cs="Times New Roman"/>
          <w:sz w:val="24"/>
          <w:szCs w:val="24"/>
        </w:rPr>
        <w:t xml:space="preserve">. History teaching thus reproduced the </w:t>
      </w:r>
      <w:r w:rsidR="005A76B5" w:rsidRPr="00AE141E">
        <w:rPr>
          <w:rFonts w:ascii="Times New Roman" w:hAnsi="Times New Roman" w:cs="Times New Roman"/>
          <w:sz w:val="24"/>
          <w:szCs w:val="24"/>
        </w:rPr>
        <w:t xml:space="preserve">silencing </w:t>
      </w:r>
      <w:r w:rsidR="00807ADC" w:rsidRPr="00AE141E">
        <w:rPr>
          <w:rFonts w:ascii="Times New Roman" w:hAnsi="Times New Roman" w:cs="Times New Roman"/>
          <w:sz w:val="24"/>
          <w:szCs w:val="24"/>
        </w:rPr>
        <w:t>mechanisms of imperial rule.</w:t>
      </w:r>
      <w:r w:rsidR="003A52ED" w:rsidRPr="00AE141E">
        <w:rPr>
          <w:rFonts w:ascii="Times New Roman" w:hAnsi="Times New Roman" w:cs="Times New Roman"/>
          <w:sz w:val="24"/>
          <w:szCs w:val="24"/>
        </w:rPr>
        <w:t xml:space="preserve"> </w:t>
      </w:r>
      <w:r w:rsidR="004F4CB9" w:rsidRPr="00AE141E">
        <w:rPr>
          <w:rFonts w:ascii="Times New Roman" w:hAnsi="Times New Roman" w:cs="Times New Roman"/>
          <w:sz w:val="24"/>
          <w:szCs w:val="24"/>
        </w:rPr>
        <w:t>Today, campaigners tend to call for imperial history to be placed on school syllabi. Our predecessors were more ambitiou</w:t>
      </w:r>
      <w:r w:rsidR="00DA0416" w:rsidRPr="00AE141E">
        <w:rPr>
          <w:rFonts w:ascii="Times New Roman" w:hAnsi="Times New Roman" w:cs="Times New Roman"/>
          <w:sz w:val="24"/>
          <w:szCs w:val="24"/>
        </w:rPr>
        <w:t xml:space="preserve">s in their aspiration </w:t>
      </w:r>
      <w:r w:rsidR="006E42C5" w:rsidRPr="00AE141E">
        <w:rPr>
          <w:rFonts w:ascii="Times New Roman" w:hAnsi="Times New Roman" w:cs="Times New Roman"/>
          <w:sz w:val="24"/>
          <w:szCs w:val="24"/>
        </w:rPr>
        <w:t>for</w:t>
      </w:r>
      <w:r w:rsidR="00E640E1" w:rsidRPr="00AE141E">
        <w:rPr>
          <w:rFonts w:ascii="Times New Roman" w:hAnsi="Times New Roman" w:cs="Times New Roman"/>
          <w:sz w:val="24"/>
          <w:szCs w:val="24"/>
        </w:rPr>
        <w:t xml:space="preserve"> students to engage with</w:t>
      </w:r>
      <w:r w:rsidR="006E42C5" w:rsidRPr="00AE141E">
        <w:rPr>
          <w:rFonts w:ascii="Times New Roman" w:hAnsi="Times New Roman" w:cs="Times New Roman"/>
          <w:sz w:val="24"/>
          <w:szCs w:val="24"/>
        </w:rPr>
        <w:t xml:space="preserve"> a specific </w:t>
      </w:r>
      <w:r w:rsidR="006E42C5" w:rsidRPr="00AE141E">
        <w:rPr>
          <w:rFonts w:ascii="Times New Roman" w:hAnsi="Times New Roman" w:cs="Times New Roman"/>
          <w:i/>
          <w:sz w:val="24"/>
          <w:szCs w:val="24"/>
        </w:rPr>
        <w:t>form</w:t>
      </w:r>
      <w:r w:rsidR="006E42C5" w:rsidRPr="00AE141E">
        <w:rPr>
          <w:rFonts w:ascii="Times New Roman" w:hAnsi="Times New Roman" w:cs="Times New Roman"/>
          <w:sz w:val="24"/>
          <w:szCs w:val="24"/>
        </w:rPr>
        <w:t xml:space="preserve"> of imperial history – that which acknowledged </w:t>
      </w:r>
      <w:r w:rsidR="00DE3010" w:rsidRPr="00AE141E">
        <w:rPr>
          <w:rFonts w:ascii="Times New Roman" w:hAnsi="Times New Roman" w:cs="Times New Roman"/>
          <w:sz w:val="24"/>
          <w:szCs w:val="24"/>
        </w:rPr>
        <w:t xml:space="preserve">the rich tradition of anti-imperial </w:t>
      </w:r>
      <w:r w:rsidR="00C6789A" w:rsidRPr="00AE141E">
        <w:rPr>
          <w:rFonts w:ascii="Times New Roman" w:hAnsi="Times New Roman" w:cs="Times New Roman"/>
          <w:sz w:val="24"/>
          <w:szCs w:val="24"/>
        </w:rPr>
        <w:t>critique and active resistance.</w:t>
      </w:r>
      <w:r w:rsidR="00DE3010" w:rsidRPr="00AE141E">
        <w:rPr>
          <w:rFonts w:ascii="Times New Roman" w:hAnsi="Times New Roman" w:cs="Times New Roman"/>
          <w:sz w:val="24"/>
          <w:szCs w:val="24"/>
        </w:rPr>
        <w:t xml:space="preserve"> </w:t>
      </w:r>
    </w:p>
    <w:p w14:paraId="06525B54" w14:textId="555293AD" w:rsidR="00C07E15" w:rsidRPr="00AE141E" w:rsidRDefault="00D812BA"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Unsurprisingly</w:t>
      </w:r>
      <w:r w:rsidR="003F0E4E"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it was </w:t>
      </w:r>
      <w:r w:rsidR="003F0E4E" w:rsidRPr="00AE141E">
        <w:rPr>
          <w:rFonts w:ascii="Times New Roman" w:hAnsi="Times New Roman" w:cs="Times New Roman"/>
          <w:sz w:val="24"/>
          <w:szCs w:val="24"/>
        </w:rPr>
        <w:t>downwardly racialised teachers</w:t>
      </w:r>
      <w:r w:rsidR="00E121CE" w:rsidRPr="00AE141E">
        <w:rPr>
          <w:rFonts w:ascii="Times New Roman" w:hAnsi="Times New Roman" w:cs="Times New Roman"/>
          <w:sz w:val="24"/>
          <w:szCs w:val="24"/>
        </w:rPr>
        <w:t xml:space="preserve">, </w:t>
      </w:r>
      <w:r w:rsidR="003F0E4E" w:rsidRPr="00AE141E">
        <w:rPr>
          <w:rFonts w:ascii="Times New Roman" w:hAnsi="Times New Roman" w:cs="Times New Roman"/>
          <w:sz w:val="24"/>
          <w:szCs w:val="24"/>
        </w:rPr>
        <w:t>and teachers based in areas with a high proportion of students of colour</w:t>
      </w:r>
      <w:r w:rsidR="00E121CE" w:rsidRPr="00AE141E">
        <w:rPr>
          <w:rFonts w:ascii="Times New Roman" w:hAnsi="Times New Roman" w:cs="Times New Roman"/>
          <w:sz w:val="24"/>
          <w:szCs w:val="24"/>
        </w:rPr>
        <w:t>,</w:t>
      </w:r>
      <w:r w:rsidR="003F0E4E"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who pioneered curriculum changes </w:t>
      </w:r>
      <w:r w:rsidR="00836F37" w:rsidRPr="00AE141E">
        <w:rPr>
          <w:rFonts w:ascii="Times New Roman" w:hAnsi="Times New Roman" w:cs="Times New Roman"/>
          <w:sz w:val="24"/>
          <w:szCs w:val="24"/>
        </w:rPr>
        <w:t xml:space="preserve">in response to the above criticisms. Interventions </w:t>
      </w:r>
      <w:r w:rsidR="00B93F13" w:rsidRPr="00AE141E">
        <w:rPr>
          <w:rFonts w:ascii="Times New Roman" w:hAnsi="Times New Roman" w:cs="Times New Roman"/>
          <w:sz w:val="24"/>
          <w:szCs w:val="24"/>
        </w:rPr>
        <w:t>can be grouped under th</w:t>
      </w:r>
      <w:r w:rsidR="00157F6B" w:rsidRPr="00AE141E">
        <w:rPr>
          <w:rFonts w:ascii="Times New Roman" w:hAnsi="Times New Roman" w:cs="Times New Roman"/>
          <w:sz w:val="24"/>
          <w:szCs w:val="24"/>
        </w:rPr>
        <w:t>ree broad categories:</w:t>
      </w:r>
      <w:r w:rsidR="00836F37" w:rsidRPr="00AE141E">
        <w:rPr>
          <w:rFonts w:ascii="Times New Roman" w:hAnsi="Times New Roman" w:cs="Times New Roman"/>
          <w:sz w:val="24"/>
          <w:szCs w:val="24"/>
        </w:rPr>
        <w:t xml:space="preserve"> Black Studies, multicultural</w:t>
      </w:r>
      <w:r w:rsidR="00DB09CB">
        <w:rPr>
          <w:rFonts w:ascii="Times New Roman" w:hAnsi="Times New Roman" w:cs="Times New Roman"/>
          <w:sz w:val="24"/>
          <w:szCs w:val="24"/>
        </w:rPr>
        <w:t xml:space="preserve"> education</w:t>
      </w:r>
      <w:r w:rsidR="00836F37" w:rsidRPr="00AE141E">
        <w:rPr>
          <w:rFonts w:ascii="Times New Roman" w:hAnsi="Times New Roman" w:cs="Times New Roman"/>
          <w:sz w:val="24"/>
          <w:szCs w:val="24"/>
        </w:rPr>
        <w:t>, and anti-racist education</w:t>
      </w:r>
      <w:r w:rsidR="00157F6B" w:rsidRPr="00AE141E">
        <w:rPr>
          <w:rFonts w:ascii="Times New Roman" w:hAnsi="Times New Roman" w:cs="Times New Roman"/>
          <w:sz w:val="24"/>
          <w:szCs w:val="24"/>
        </w:rPr>
        <w:t xml:space="preserve">. </w:t>
      </w:r>
      <w:r w:rsidR="003C1F11" w:rsidRPr="00AE141E">
        <w:rPr>
          <w:rFonts w:ascii="Times New Roman" w:hAnsi="Times New Roman" w:cs="Times New Roman"/>
          <w:sz w:val="24"/>
          <w:szCs w:val="24"/>
        </w:rPr>
        <w:t xml:space="preserve">Though </w:t>
      </w:r>
      <w:r w:rsidR="00B50925" w:rsidRPr="00AE141E">
        <w:rPr>
          <w:rFonts w:ascii="Times New Roman" w:hAnsi="Times New Roman" w:cs="Times New Roman"/>
          <w:sz w:val="24"/>
          <w:szCs w:val="24"/>
        </w:rPr>
        <w:t>varied</w:t>
      </w:r>
      <w:r w:rsidR="003C1F11" w:rsidRPr="00AE141E">
        <w:rPr>
          <w:rFonts w:ascii="Times New Roman" w:hAnsi="Times New Roman" w:cs="Times New Roman"/>
          <w:sz w:val="24"/>
          <w:szCs w:val="24"/>
        </w:rPr>
        <w:t xml:space="preserve"> in their aims</w:t>
      </w:r>
      <w:r w:rsidR="00996DB6" w:rsidRPr="00AE141E">
        <w:rPr>
          <w:rFonts w:ascii="Times New Roman" w:hAnsi="Times New Roman" w:cs="Times New Roman"/>
          <w:sz w:val="24"/>
          <w:szCs w:val="24"/>
        </w:rPr>
        <w:t xml:space="preserve"> </w:t>
      </w:r>
      <w:r w:rsidR="00B50925" w:rsidRPr="00AE141E">
        <w:rPr>
          <w:rFonts w:ascii="Times New Roman" w:hAnsi="Times New Roman" w:cs="Times New Roman"/>
          <w:sz w:val="24"/>
          <w:szCs w:val="24"/>
        </w:rPr>
        <w:t xml:space="preserve">and aspirations </w:t>
      </w:r>
      <w:r w:rsidR="00996DB6" w:rsidRPr="00AE141E">
        <w:rPr>
          <w:rFonts w:ascii="Times New Roman" w:hAnsi="Times New Roman" w:cs="Times New Roman"/>
          <w:sz w:val="24"/>
          <w:szCs w:val="24"/>
        </w:rPr>
        <w:t xml:space="preserve">(Black empowerment versus </w:t>
      </w:r>
      <w:r w:rsidR="00B50925" w:rsidRPr="00AE141E">
        <w:rPr>
          <w:rFonts w:ascii="Times New Roman" w:hAnsi="Times New Roman" w:cs="Times New Roman"/>
          <w:sz w:val="24"/>
          <w:szCs w:val="24"/>
        </w:rPr>
        <w:t xml:space="preserve">cross-cultural understanding; racial justice versus racial harmony) all three stressed the importance of </w:t>
      </w:r>
      <w:r w:rsidR="00083E0A" w:rsidRPr="00AE141E">
        <w:rPr>
          <w:rFonts w:ascii="Times New Roman" w:hAnsi="Times New Roman" w:cs="Times New Roman"/>
          <w:sz w:val="24"/>
          <w:szCs w:val="24"/>
        </w:rPr>
        <w:t>history in changing present realities.</w:t>
      </w:r>
      <w:r w:rsidR="00DE16BA" w:rsidRPr="00AE141E">
        <w:rPr>
          <w:rFonts w:ascii="Times New Roman" w:hAnsi="Times New Roman" w:cs="Times New Roman"/>
          <w:sz w:val="24"/>
          <w:szCs w:val="24"/>
        </w:rPr>
        <w:t xml:space="preserve"> This was a period of </w:t>
      </w:r>
      <w:r w:rsidR="005142E3" w:rsidRPr="00AE141E">
        <w:rPr>
          <w:rFonts w:ascii="Times New Roman" w:hAnsi="Times New Roman" w:cs="Times New Roman"/>
          <w:sz w:val="24"/>
          <w:szCs w:val="24"/>
        </w:rPr>
        <w:t>exciting</w:t>
      </w:r>
      <w:r w:rsidR="00766BAC" w:rsidRPr="00AE141E">
        <w:rPr>
          <w:rFonts w:ascii="Times New Roman" w:hAnsi="Times New Roman" w:cs="Times New Roman"/>
          <w:sz w:val="24"/>
          <w:szCs w:val="24"/>
        </w:rPr>
        <w:t xml:space="preserve">, </w:t>
      </w:r>
      <w:r w:rsidR="00DE16BA" w:rsidRPr="00AE141E">
        <w:rPr>
          <w:rFonts w:ascii="Times New Roman" w:hAnsi="Times New Roman" w:cs="Times New Roman"/>
          <w:sz w:val="24"/>
          <w:szCs w:val="24"/>
        </w:rPr>
        <w:t xml:space="preserve">radical experimentation in </w:t>
      </w:r>
      <w:r w:rsidR="005142E3" w:rsidRPr="00AE141E">
        <w:rPr>
          <w:rFonts w:ascii="Times New Roman" w:hAnsi="Times New Roman" w:cs="Times New Roman"/>
          <w:sz w:val="24"/>
          <w:szCs w:val="24"/>
        </w:rPr>
        <w:t xml:space="preserve">some schools. </w:t>
      </w:r>
      <w:r w:rsidR="00766BAC" w:rsidRPr="00AE141E">
        <w:rPr>
          <w:rFonts w:ascii="Times New Roman" w:hAnsi="Times New Roman" w:cs="Times New Roman"/>
          <w:sz w:val="24"/>
          <w:szCs w:val="24"/>
        </w:rPr>
        <w:t xml:space="preserve">History curricula such as that at Tulse Hill School, London, </w:t>
      </w:r>
      <w:r w:rsidR="00506302" w:rsidRPr="00AE141E">
        <w:rPr>
          <w:rFonts w:ascii="Times New Roman" w:hAnsi="Times New Roman" w:cs="Times New Roman"/>
          <w:sz w:val="24"/>
          <w:szCs w:val="24"/>
        </w:rPr>
        <w:t xml:space="preserve">placed empire back at the centre of the national story. </w:t>
      </w:r>
      <w:r w:rsidR="00AB0F4F" w:rsidRPr="00AE141E">
        <w:rPr>
          <w:rFonts w:ascii="Times New Roman" w:hAnsi="Times New Roman" w:cs="Times New Roman"/>
          <w:sz w:val="24"/>
          <w:szCs w:val="24"/>
        </w:rPr>
        <w:t>Both the English state and the En</w:t>
      </w:r>
      <w:r w:rsidR="00162A22" w:rsidRPr="00AE141E">
        <w:rPr>
          <w:rFonts w:ascii="Times New Roman" w:hAnsi="Times New Roman" w:cs="Times New Roman"/>
          <w:sz w:val="24"/>
          <w:szCs w:val="24"/>
        </w:rPr>
        <w:t>glish people</w:t>
      </w:r>
      <w:r w:rsidR="00506302" w:rsidRPr="00AE141E">
        <w:rPr>
          <w:rFonts w:ascii="Times New Roman" w:hAnsi="Times New Roman" w:cs="Times New Roman"/>
          <w:sz w:val="24"/>
          <w:szCs w:val="24"/>
        </w:rPr>
        <w:t xml:space="preserve"> w</w:t>
      </w:r>
      <w:r w:rsidR="00162A22" w:rsidRPr="00AE141E">
        <w:rPr>
          <w:rFonts w:ascii="Times New Roman" w:hAnsi="Times New Roman" w:cs="Times New Roman"/>
          <w:sz w:val="24"/>
          <w:szCs w:val="24"/>
        </w:rPr>
        <w:t>ere</w:t>
      </w:r>
      <w:r w:rsidR="00506302" w:rsidRPr="00AE141E">
        <w:rPr>
          <w:rFonts w:ascii="Times New Roman" w:hAnsi="Times New Roman" w:cs="Times New Roman"/>
          <w:sz w:val="24"/>
          <w:szCs w:val="24"/>
        </w:rPr>
        <w:t xml:space="preserve"> </w:t>
      </w:r>
      <w:r w:rsidR="00AB0F4F" w:rsidRPr="00AE141E">
        <w:rPr>
          <w:rFonts w:ascii="Times New Roman" w:hAnsi="Times New Roman" w:cs="Times New Roman"/>
          <w:sz w:val="24"/>
          <w:szCs w:val="24"/>
        </w:rPr>
        <w:t xml:space="preserve">conceptualised as </w:t>
      </w:r>
      <w:r w:rsidR="00162A22" w:rsidRPr="00AE141E">
        <w:rPr>
          <w:rFonts w:ascii="Times New Roman" w:hAnsi="Times New Roman" w:cs="Times New Roman"/>
          <w:sz w:val="24"/>
          <w:szCs w:val="24"/>
        </w:rPr>
        <w:t xml:space="preserve">products of imperial encounter </w:t>
      </w:r>
      <w:r w:rsidR="00162A22" w:rsidRPr="00AE141E">
        <w:rPr>
          <w:rFonts w:ascii="Times New Roman" w:hAnsi="Times New Roman" w:cs="Times New Roman"/>
          <w:sz w:val="24"/>
          <w:szCs w:val="24"/>
        </w:rPr>
        <w:lastRenderedPageBreak/>
        <w:t xml:space="preserve">and imperial violence. </w:t>
      </w:r>
      <w:r w:rsidR="00A1550A" w:rsidRPr="00AE141E">
        <w:rPr>
          <w:rFonts w:ascii="Times New Roman" w:hAnsi="Times New Roman" w:cs="Times New Roman"/>
          <w:sz w:val="24"/>
          <w:szCs w:val="24"/>
        </w:rPr>
        <w:t xml:space="preserve">Curricula recognised the historical agency of people of colour. Non-European histories were not reduced to </w:t>
      </w:r>
      <w:r w:rsidR="00F12BC5" w:rsidRPr="00AE141E">
        <w:rPr>
          <w:rFonts w:ascii="Times New Roman" w:hAnsi="Times New Roman" w:cs="Times New Roman"/>
          <w:sz w:val="24"/>
          <w:szCs w:val="24"/>
        </w:rPr>
        <w:t>colonisation and domination, nor were these processes ignored. Crucially, resistance was placed front and centre.</w:t>
      </w:r>
      <w:r w:rsidR="00C922C8" w:rsidRPr="00AE141E">
        <w:rPr>
          <w:rFonts w:ascii="Times New Roman" w:hAnsi="Times New Roman" w:cs="Times New Roman"/>
          <w:sz w:val="24"/>
          <w:szCs w:val="24"/>
        </w:rPr>
        <w:t xml:space="preserve"> </w:t>
      </w:r>
    </w:p>
    <w:p w14:paraId="272CA442" w14:textId="64C9ACBE" w:rsidR="009C0533" w:rsidRPr="00AE141E" w:rsidRDefault="00B70BF8"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Not all reforms were created equal. Nor was the reformist impulse universally admired or respected</w:t>
      </w:r>
      <w:r w:rsidR="0026509A" w:rsidRPr="00AE141E">
        <w:rPr>
          <w:rFonts w:ascii="Times New Roman" w:hAnsi="Times New Roman" w:cs="Times New Roman"/>
          <w:sz w:val="24"/>
          <w:szCs w:val="24"/>
        </w:rPr>
        <w:t>.</w:t>
      </w:r>
      <w:r w:rsidR="00F448B6" w:rsidRPr="00AE141E">
        <w:rPr>
          <w:rFonts w:ascii="Times New Roman" w:hAnsi="Times New Roman" w:cs="Times New Roman"/>
          <w:sz w:val="24"/>
          <w:szCs w:val="24"/>
        </w:rPr>
        <w:t xml:space="preserve"> Many cast </w:t>
      </w:r>
      <w:r w:rsidR="009C0533" w:rsidRPr="00AE141E">
        <w:rPr>
          <w:rFonts w:ascii="Times New Roman" w:hAnsi="Times New Roman" w:cs="Times New Roman"/>
          <w:sz w:val="24"/>
          <w:szCs w:val="24"/>
        </w:rPr>
        <w:t>doubt</w:t>
      </w:r>
      <w:r w:rsidR="00F448B6" w:rsidRPr="00AE141E">
        <w:rPr>
          <w:rFonts w:ascii="Times New Roman" w:hAnsi="Times New Roman" w:cs="Times New Roman"/>
          <w:sz w:val="24"/>
          <w:szCs w:val="24"/>
        </w:rPr>
        <w:t xml:space="preserve"> on the </w:t>
      </w:r>
      <w:r w:rsidR="00DB09CB">
        <w:rPr>
          <w:rFonts w:ascii="Times New Roman" w:hAnsi="Times New Roman" w:cs="Times New Roman"/>
          <w:sz w:val="24"/>
          <w:szCs w:val="24"/>
        </w:rPr>
        <w:t>ability</w:t>
      </w:r>
      <w:r w:rsidR="00F448B6" w:rsidRPr="00AE141E">
        <w:rPr>
          <w:rFonts w:ascii="Times New Roman" w:hAnsi="Times New Roman" w:cs="Times New Roman"/>
          <w:sz w:val="24"/>
          <w:szCs w:val="24"/>
        </w:rPr>
        <w:t xml:space="preserve"> of a </w:t>
      </w:r>
      <w:r w:rsidR="00E1661F" w:rsidRPr="00AE141E">
        <w:rPr>
          <w:rFonts w:ascii="Times New Roman" w:hAnsi="Times New Roman" w:cs="Times New Roman"/>
          <w:sz w:val="24"/>
          <w:szCs w:val="24"/>
        </w:rPr>
        <w:t>systematically racist educational system to reform itself</w:t>
      </w:r>
      <w:r w:rsidR="00881CDA" w:rsidRPr="00AE141E">
        <w:rPr>
          <w:rFonts w:ascii="Times New Roman" w:hAnsi="Times New Roman" w:cs="Times New Roman"/>
          <w:sz w:val="24"/>
          <w:szCs w:val="24"/>
        </w:rPr>
        <w:t xml:space="preserve">, </w:t>
      </w:r>
      <w:r w:rsidR="007724F5" w:rsidRPr="00AE141E">
        <w:rPr>
          <w:rFonts w:ascii="Times New Roman" w:hAnsi="Times New Roman" w:cs="Times New Roman"/>
          <w:sz w:val="24"/>
          <w:szCs w:val="24"/>
        </w:rPr>
        <w:t>and</w:t>
      </w:r>
      <w:r w:rsidR="00881CDA" w:rsidRPr="00AE141E">
        <w:rPr>
          <w:rFonts w:ascii="Times New Roman" w:hAnsi="Times New Roman" w:cs="Times New Roman"/>
          <w:sz w:val="24"/>
          <w:szCs w:val="24"/>
        </w:rPr>
        <w:t xml:space="preserve"> on the </w:t>
      </w:r>
      <w:r w:rsidR="00EB0610" w:rsidRPr="00AE141E">
        <w:rPr>
          <w:rFonts w:ascii="Times New Roman" w:hAnsi="Times New Roman" w:cs="Times New Roman"/>
          <w:sz w:val="24"/>
          <w:szCs w:val="24"/>
        </w:rPr>
        <w:t xml:space="preserve">capacity of simple attitudinal change to enact structural </w:t>
      </w:r>
      <w:r w:rsidR="00D47355" w:rsidRPr="00AE141E">
        <w:rPr>
          <w:rFonts w:ascii="Times New Roman" w:hAnsi="Times New Roman" w:cs="Times New Roman"/>
          <w:sz w:val="24"/>
          <w:szCs w:val="24"/>
        </w:rPr>
        <w:t>shifts.</w:t>
      </w:r>
      <w:r w:rsidR="0026509A" w:rsidRPr="00AE141E">
        <w:rPr>
          <w:rFonts w:ascii="Times New Roman" w:hAnsi="Times New Roman" w:cs="Times New Roman"/>
          <w:sz w:val="24"/>
          <w:szCs w:val="24"/>
        </w:rPr>
        <w:t xml:space="preserve"> </w:t>
      </w:r>
      <w:r w:rsidR="004C5CB4" w:rsidRPr="00AE141E">
        <w:rPr>
          <w:rFonts w:ascii="Times New Roman" w:hAnsi="Times New Roman" w:cs="Times New Roman"/>
          <w:sz w:val="24"/>
          <w:szCs w:val="24"/>
        </w:rPr>
        <w:t xml:space="preserve">Black Studies, multicultural education, and anti-racist education were all </w:t>
      </w:r>
      <w:r w:rsidR="00621006" w:rsidRPr="00AE141E">
        <w:rPr>
          <w:rFonts w:ascii="Times New Roman" w:hAnsi="Times New Roman" w:cs="Times New Roman"/>
          <w:sz w:val="24"/>
          <w:szCs w:val="24"/>
        </w:rPr>
        <w:t xml:space="preserve">subject to accusations of co-optation and </w:t>
      </w:r>
      <w:r w:rsidR="008F184B" w:rsidRPr="00AE141E">
        <w:rPr>
          <w:rFonts w:ascii="Times New Roman" w:hAnsi="Times New Roman" w:cs="Times New Roman"/>
          <w:sz w:val="24"/>
          <w:szCs w:val="24"/>
        </w:rPr>
        <w:t>pacification</w:t>
      </w:r>
      <w:r w:rsidR="00782354" w:rsidRPr="00AE141E">
        <w:rPr>
          <w:rFonts w:ascii="Times New Roman" w:hAnsi="Times New Roman" w:cs="Times New Roman"/>
          <w:sz w:val="24"/>
          <w:szCs w:val="24"/>
        </w:rPr>
        <w:t>. Schemes targeted at White students</w:t>
      </w:r>
      <w:r w:rsidR="00C7290A" w:rsidRPr="00AE141E">
        <w:rPr>
          <w:rFonts w:ascii="Times New Roman" w:hAnsi="Times New Roman" w:cs="Times New Roman"/>
          <w:sz w:val="24"/>
          <w:szCs w:val="24"/>
        </w:rPr>
        <w:t xml:space="preserve"> also had a tendency to </w:t>
      </w:r>
      <w:r w:rsidR="00F351CB" w:rsidRPr="00AE141E">
        <w:rPr>
          <w:rFonts w:ascii="Times New Roman" w:hAnsi="Times New Roman" w:cs="Times New Roman"/>
          <w:sz w:val="24"/>
          <w:szCs w:val="24"/>
        </w:rPr>
        <w:t>essentialise and flatten foreign cultures into a timeless, dehistoricised notion of the exotic and ‘Other’.</w:t>
      </w:r>
      <w:r w:rsidR="00782354" w:rsidRPr="00AE141E">
        <w:rPr>
          <w:rFonts w:ascii="Times New Roman" w:hAnsi="Times New Roman" w:cs="Times New Roman"/>
          <w:sz w:val="24"/>
          <w:szCs w:val="24"/>
        </w:rPr>
        <w:t xml:space="preserve"> </w:t>
      </w:r>
      <w:r w:rsidR="00BE2C29" w:rsidRPr="00AE141E">
        <w:rPr>
          <w:rFonts w:ascii="Times New Roman" w:hAnsi="Times New Roman" w:cs="Times New Roman"/>
          <w:sz w:val="24"/>
          <w:szCs w:val="24"/>
        </w:rPr>
        <w:t xml:space="preserve">The murder of Ahmed Iqbal Ullah in 1986 </w:t>
      </w:r>
      <w:r w:rsidR="007B141A" w:rsidRPr="00AE141E">
        <w:rPr>
          <w:rFonts w:ascii="Times New Roman" w:hAnsi="Times New Roman" w:cs="Times New Roman"/>
          <w:sz w:val="24"/>
          <w:szCs w:val="24"/>
        </w:rPr>
        <w:t>revealed</w:t>
      </w:r>
      <w:r w:rsidR="00B06346" w:rsidRPr="00AE141E">
        <w:rPr>
          <w:rFonts w:ascii="Times New Roman" w:hAnsi="Times New Roman" w:cs="Times New Roman"/>
          <w:sz w:val="24"/>
          <w:szCs w:val="24"/>
        </w:rPr>
        <w:t xml:space="preserve"> that </w:t>
      </w:r>
      <w:r w:rsidR="003859E1" w:rsidRPr="00AE141E">
        <w:rPr>
          <w:rFonts w:ascii="Times New Roman" w:hAnsi="Times New Roman" w:cs="Times New Roman"/>
          <w:sz w:val="24"/>
          <w:szCs w:val="24"/>
        </w:rPr>
        <w:t xml:space="preserve">acute </w:t>
      </w:r>
      <w:r w:rsidR="00B06346" w:rsidRPr="00AE141E">
        <w:rPr>
          <w:rFonts w:ascii="Times New Roman" w:hAnsi="Times New Roman" w:cs="Times New Roman"/>
          <w:sz w:val="24"/>
          <w:szCs w:val="24"/>
        </w:rPr>
        <w:t xml:space="preserve">racial violence </w:t>
      </w:r>
      <w:r w:rsidR="003859E1" w:rsidRPr="00AE141E">
        <w:rPr>
          <w:rFonts w:ascii="Times New Roman" w:hAnsi="Times New Roman" w:cs="Times New Roman"/>
          <w:sz w:val="24"/>
          <w:szCs w:val="24"/>
        </w:rPr>
        <w:t>could survive unchecked in an environment allegedly committed to multicultural and anti-racist education.</w:t>
      </w:r>
      <w:r w:rsidR="00EA04C1" w:rsidRPr="00AE141E">
        <w:rPr>
          <w:rFonts w:ascii="Times New Roman" w:hAnsi="Times New Roman" w:cs="Times New Roman"/>
          <w:sz w:val="24"/>
          <w:szCs w:val="24"/>
        </w:rPr>
        <w:t xml:space="preserve"> The press fur</w:t>
      </w:r>
      <w:r w:rsidR="00383040" w:rsidRPr="00AE141E">
        <w:rPr>
          <w:rFonts w:ascii="Times New Roman" w:hAnsi="Times New Roman" w:cs="Times New Roman"/>
          <w:sz w:val="24"/>
          <w:szCs w:val="24"/>
        </w:rPr>
        <w:t xml:space="preserve">ore which followed </w:t>
      </w:r>
      <w:r w:rsidR="00CA5F70" w:rsidRPr="00AE141E">
        <w:rPr>
          <w:rFonts w:ascii="Times New Roman" w:hAnsi="Times New Roman" w:cs="Times New Roman"/>
          <w:sz w:val="24"/>
          <w:szCs w:val="24"/>
        </w:rPr>
        <w:t xml:space="preserve">identified multiculturalism itself as the primary cause of interracial hostility. In this, it was symptomatic </w:t>
      </w:r>
      <w:r w:rsidR="0032742B" w:rsidRPr="00AE141E">
        <w:rPr>
          <w:rFonts w:ascii="Times New Roman" w:hAnsi="Times New Roman" w:cs="Times New Roman"/>
          <w:sz w:val="24"/>
          <w:szCs w:val="24"/>
        </w:rPr>
        <w:t>of a</w:t>
      </w:r>
      <w:r w:rsidR="000C731F" w:rsidRPr="00AE141E">
        <w:rPr>
          <w:rFonts w:ascii="Times New Roman" w:hAnsi="Times New Roman" w:cs="Times New Roman"/>
          <w:sz w:val="24"/>
          <w:szCs w:val="24"/>
        </w:rPr>
        <w:t xml:space="preserve"> cultural turn away from the open acknowledgement of </w:t>
      </w:r>
      <w:r w:rsidR="00F64747" w:rsidRPr="00AE141E">
        <w:rPr>
          <w:rFonts w:ascii="Times New Roman" w:hAnsi="Times New Roman" w:cs="Times New Roman"/>
          <w:sz w:val="24"/>
          <w:szCs w:val="24"/>
        </w:rPr>
        <w:t>racism and discrimination</w:t>
      </w:r>
      <w:r w:rsidR="006F31B9">
        <w:rPr>
          <w:rFonts w:ascii="Times New Roman" w:hAnsi="Times New Roman" w:cs="Times New Roman"/>
          <w:sz w:val="24"/>
          <w:szCs w:val="24"/>
        </w:rPr>
        <w:t>.</w:t>
      </w:r>
    </w:p>
    <w:p w14:paraId="3D4DB6BC" w14:textId="77777777" w:rsidR="006F31B9" w:rsidRDefault="001764F5"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1980s was marked by </w:t>
      </w:r>
      <w:r w:rsidR="009A652C" w:rsidRPr="00AE141E">
        <w:rPr>
          <w:rFonts w:ascii="Times New Roman" w:hAnsi="Times New Roman" w:cs="Times New Roman"/>
          <w:sz w:val="24"/>
          <w:szCs w:val="24"/>
        </w:rPr>
        <w:t xml:space="preserve">fierce </w:t>
      </w:r>
      <w:r w:rsidR="00B01835" w:rsidRPr="00AE141E">
        <w:rPr>
          <w:rFonts w:ascii="Times New Roman" w:hAnsi="Times New Roman" w:cs="Times New Roman"/>
          <w:sz w:val="24"/>
          <w:szCs w:val="24"/>
        </w:rPr>
        <w:t xml:space="preserve">conservative backlash </w:t>
      </w:r>
      <w:r w:rsidR="002928EE" w:rsidRPr="00AE141E">
        <w:rPr>
          <w:rFonts w:ascii="Times New Roman" w:hAnsi="Times New Roman" w:cs="Times New Roman"/>
          <w:sz w:val="24"/>
          <w:szCs w:val="24"/>
        </w:rPr>
        <w:t>a</w:t>
      </w:r>
      <w:r w:rsidR="001E4FCA" w:rsidRPr="00AE141E">
        <w:rPr>
          <w:rFonts w:ascii="Times New Roman" w:hAnsi="Times New Roman" w:cs="Times New Roman"/>
          <w:sz w:val="24"/>
          <w:szCs w:val="24"/>
        </w:rPr>
        <w:t xml:space="preserve">gainst </w:t>
      </w:r>
      <w:r w:rsidR="002928EE" w:rsidRPr="00AE141E">
        <w:rPr>
          <w:rFonts w:ascii="Times New Roman" w:hAnsi="Times New Roman" w:cs="Times New Roman"/>
          <w:sz w:val="24"/>
          <w:szCs w:val="24"/>
        </w:rPr>
        <w:t>revisions to historical understanding which had taken place in the preceding decades.</w:t>
      </w:r>
      <w:r w:rsidR="00B01835" w:rsidRPr="00AE141E">
        <w:rPr>
          <w:rFonts w:ascii="Times New Roman" w:hAnsi="Times New Roman" w:cs="Times New Roman"/>
          <w:sz w:val="24"/>
          <w:szCs w:val="24"/>
        </w:rPr>
        <w:t xml:space="preserve"> </w:t>
      </w:r>
      <w:r w:rsidR="00FD5F3E" w:rsidRPr="00AE141E">
        <w:rPr>
          <w:rFonts w:ascii="Times New Roman" w:hAnsi="Times New Roman" w:cs="Times New Roman"/>
          <w:sz w:val="24"/>
          <w:szCs w:val="24"/>
        </w:rPr>
        <w:t xml:space="preserve">The New Right sought </w:t>
      </w:r>
      <w:r w:rsidR="00F61226" w:rsidRPr="00AE141E">
        <w:rPr>
          <w:rFonts w:ascii="Times New Roman" w:hAnsi="Times New Roman" w:cs="Times New Roman"/>
          <w:sz w:val="24"/>
          <w:szCs w:val="24"/>
        </w:rPr>
        <w:t xml:space="preserve">reassuring certainties in a historical narrative which stressed </w:t>
      </w:r>
      <w:r w:rsidR="007C1D61" w:rsidRPr="00AE141E">
        <w:rPr>
          <w:rFonts w:ascii="Times New Roman" w:hAnsi="Times New Roman" w:cs="Times New Roman"/>
          <w:sz w:val="24"/>
          <w:szCs w:val="24"/>
        </w:rPr>
        <w:t>constitutional and cultural continuity</w:t>
      </w:r>
      <w:r w:rsidR="00310366" w:rsidRPr="00AE141E">
        <w:rPr>
          <w:rFonts w:ascii="Times New Roman" w:hAnsi="Times New Roman" w:cs="Times New Roman"/>
          <w:sz w:val="24"/>
          <w:szCs w:val="24"/>
        </w:rPr>
        <w:t>.</w:t>
      </w:r>
      <w:r w:rsidR="009A652C" w:rsidRPr="00AE141E">
        <w:rPr>
          <w:rFonts w:ascii="Times New Roman" w:hAnsi="Times New Roman" w:cs="Times New Roman"/>
          <w:sz w:val="24"/>
          <w:szCs w:val="24"/>
        </w:rPr>
        <w:t xml:space="preserve"> </w:t>
      </w:r>
      <w:r w:rsidR="0083713D" w:rsidRPr="00AE141E">
        <w:rPr>
          <w:rFonts w:ascii="Times New Roman" w:hAnsi="Times New Roman" w:cs="Times New Roman"/>
          <w:sz w:val="24"/>
          <w:szCs w:val="24"/>
        </w:rPr>
        <w:t xml:space="preserve">Empire and its domestic legacies were rehabilitated as part of a unifying </w:t>
      </w:r>
      <w:r w:rsidR="00650FD0" w:rsidRPr="00AE141E">
        <w:rPr>
          <w:rFonts w:ascii="Times New Roman" w:hAnsi="Times New Roman" w:cs="Times New Roman"/>
          <w:sz w:val="24"/>
          <w:szCs w:val="24"/>
        </w:rPr>
        <w:t>national heritage.</w:t>
      </w:r>
      <w:r w:rsidR="00F04D76" w:rsidRPr="00AE141E">
        <w:rPr>
          <w:rFonts w:ascii="Times New Roman" w:hAnsi="Times New Roman" w:cs="Times New Roman"/>
          <w:sz w:val="24"/>
          <w:szCs w:val="24"/>
        </w:rPr>
        <w:t xml:space="preserve"> These escapist fantasies fed on the popular ignorance of empire which had thrived </w:t>
      </w:r>
      <w:r w:rsidR="00015167" w:rsidRPr="00AE141E">
        <w:rPr>
          <w:rFonts w:ascii="Times New Roman" w:hAnsi="Times New Roman" w:cs="Times New Roman"/>
          <w:sz w:val="24"/>
          <w:szCs w:val="24"/>
        </w:rPr>
        <w:t xml:space="preserve">from mid-century onwards. </w:t>
      </w:r>
      <w:r w:rsidR="00E51527" w:rsidRPr="00AE141E">
        <w:rPr>
          <w:rFonts w:ascii="Times New Roman" w:hAnsi="Times New Roman" w:cs="Times New Roman"/>
          <w:sz w:val="24"/>
          <w:szCs w:val="24"/>
        </w:rPr>
        <w:t xml:space="preserve">The </w:t>
      </w:r>
      <w:r w:rsidR="003A6365" w:rsidRPr="00AE141E">
        <w:rPr>
          <w:rFonts w:ascii="Times New Roman" w:hAnsi="Times New Roman" w:cs="Times New Roman"/>
          <w:sz w:val="24"/>
          <w:szCs w:val="24"/>
        </w:rPr>
        <w:t>melancholic desire to resurrect a lapsed ‘golden age’ pertained</w:t>
      </w:r>
      <w:r w:rsidR="00E110AA" w:rsidRPr="00AE141E">
        <w:rPr>
          <w:rFonts w:ascii="Times New Roman" w:hAnsi="Times New Roman" w:cs="Times New Roman"/>
          <w:sz w:val="24"/>
          <w:szCs w:val="24"/>
        </w:rPr>
        <w:t xml:space="preserve"> equally</w:t>
      </w:r>
      <w:r w:rsidR="003A6365" w:rsidRPr="00AE141E">
        <w:rPr>
          <w:rFonts w:ascii="Times New Roman" w:hAnsi="Times New Roman" w:cs="Times New Roman"/>
          <w:sz w:val="24"/>
          <w:szCs w:val="24"/>
        </w:rPr>
        <w:t xml:space="preserve"> </w:t>
      </w:r>
      <w:r w:rsidR="00E110AA" w:rsidRPr="00AE141E">
        <w:rPr>
          <w:rFonts w:ascii="Times New Roman" w:hAnsi="Times New Roman" w:cs="Times New Roman"/>
          <w:sz w:val="24"/>
          <w:szCs w:val="24"/>
        </w:rPr>
        <w:t>to systems of education as to historical content.</w:t>
      </w:r>
      <w:r w:rsidR="00FC3B60" w:rsidRPr="00AE141E">
        <w:rPr>
          <w:rFonts w:ascii="Times New Roman" w:hAnsi="Times New Roman" w:cs="Times New Roman"/>
          <w:sz w:val="24"/>
          <w:szCs w:val="24"/>
        </w:rPr>
        <w:t xml:space="preserve"> </w:t>
      </w:r>
      <w:r w:rsidR="009C0603" w:rsidRPr="00AE141E">
        <w:rPr>
          <w:rFonts w:ascii="Times New Roman" w:hAnsi="Times New Roman" w:cs="Times New Roman"/>
          <w:sz w:val="24"/>
          <w:szCs w:val="24"/>
        </w:rPr>
        <w:t xml:space="preserve">In this context, </w:t>
      </w:r>
      <w:r w:rsidR="00CB0372" w:rsidRPr="00AE141E">
        <w:rPr>
          <w:rFonts w:ascii="Times New Roman" w:hAnsi="Times New Roman" w:cs="Times New Roman"/>
          <w:sz w:val="24"/>
          <w:szCs w:val="24"/>
        </w:rPr>
        <w:t>challenges</w:t>
      </w:r>
      <w:r w:rsidR="00F100A5" w:rsidRPr="00AE141E">
        <w:rPr>
          <w:rFonts w:ascii="Times New Roman" w:hAnsi="Times New Roman" w:cs="Times New Roman"/>
          <w:sz w:val="24"/>
          <w:szCs w:val="24"/>
        </w:rPr>
        <w:t xml:space="preserve"> to the ‘great tradition’ of </w:t>
      </w:r>
      <w:r w:rsidR="009C0603" w:rsidRPr="00AE141E">
        <w:rPr>
          <w:rFonts w:ascii="Times New Roman" w:hAnsi="Times New Roman" w:cs="Times New Roman"/>
          <w:sz w:val="24"/>
          <w:szCs w:val="24"/>
        </w:rPr>
        <w:t xml:space="preserve">history teaching were presented as symptomatic of </w:t>
      </w:r>
      <w:r w:rsidR="00637ADB" w:rsidRPr="00AE141E">
        <w:rPr>
          <w:rFonts w:ascii="Times New Roman" w:hAnsi="Times New Roman" w:cs="Times New Roman"/>
          <w:sz w:val="24"/>
          <w:szCs w:val="24"/>
        </w:rPr>
        <w:t>a permissive society willingly feeding national decline. The backlash took on the dimension of a moral panic.</w:t>
      </w:r>
      <w:r w:rsidR="00FC3B60" w:rsidRPr="00AE141E">
        <w:rPr>
          <w:rFonts w:ascii="Times New Roman" w:hAnsi="Times New Roman" w:cs="Times New Roman"/>
          <w:sz w:val="24"/>
          <w:szCs w:val="24"/>
        </w:rPr>
        <w:t xml:space="preserve"> </w:t>
      </w:r>
    </w:p>
    <w:p w14:paraId="62EA68E0" w14:textId="033CA35C" w:rsidR="00CF08EA" w:rsidRPr="00AE141E" w:rsidRDefault="00FB0DAF"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National Curriculum was intended to draw a line under educational experimentation and </w:t>
      </w:r>
      <w:r w:rsidR="005A67BD" w:rsidRPr="00AE141E">
        <w:rPr>
          <w:rFonts w:ascii="Times New Roman" w:hAnsi="Times New Roman" w:cs="Times New Roman"/>
          <w:sz w:val="24"/>
          <w:szCs w:val="24"/>
        </w:rPr>
        <w:t xml:space="preserve">to restore </w:t>
      </w:r>
      <w:r w:rsidR="00700023" w:rsidRPr="00AE141E">
        <w:rPr>
          <w:rFonts w:ascii="Times New Roman" w:hAnsi="Times New Roman" w:cs="Times New Roman"/>
          <w:sz w:val="24"/>
          <w:szCs w:val="24"/>
        </w:rPr>
        <w:t>a unitary, self-confident vision of the national past.</w:t>
      </w:r>
      <w:r w:rsidR="006E1E22" w:rsidRPr="00AE141E">
        <w:rPr>
          <w:rFonts w:ascii="Times New Roman" w:hAnsi="Times New Roman" w:cs="Times New Roman"/>
          <w:sz w:val="24"/>
          <w:szCs w:val="24"/>
        </w:rPr>
        <w:t xml:space="preserve"> </w:t>
      </w:r>
      <w:r w:rsidR="00FB39FC" w:rsidRPr="00AE141E">
        <w:rPr>
          <w:rFonts w:ascii="Times New Roman" w:hAnsi="Times New Roman" w:cs="Times New Roman"/>
          <w:sz w:val="24"/>
          <w:szCs w:val="24"/>
        </w:rPr>
        <w:t>In some senses, t</w:t>
      </w:r>
      <w:r w:rsidR="006E1E22" w:rsidRPr="00AE141E">
        <w:rPr>
          <w:rFonts w:ascii="Times New Roman" w:hAnsi="Times New Roman" w:cs="Times New Roman"/>
          <w:sz w:val="24"/>
          <w:szCs w:val="24"/>
        </w:rPr>
        <w:t>he curriculum which emerged</w:t>
      </w:r>
      <w:r w:rsidR="00FB39FC" w:rsidRPr="00AE141E">
        <w:rPr>
          <w:rFonts w:ascii="Times New Roman" w:hAnsi="Times New Roman" w:cs="Times New Roman"/>
          <w:sz w:val="24"/>
          <w:szCs w:val="24"/>
        </w:rPr>
        <w:t xml:space="preserve"> merely</w:t>
      </w:r>
      <w:r w:rsidR="006E1E22" w:rsidRPr="00AE141E">
        <w:rPr>
          <w:rFonts w:ascii="Times New Roman" w:hAnsi="Times New Roman" w:cs="Times New Roman"/>
          <w:sz w:val="24"/>
          <w:szCs w:val="24"/>
        </w:rPr>
        <w:t xml:space="preserve"> </w:t>
      </w:r>
      <w:r w:rsidR="00430B0E">
        <w:rPr>
          <w:rFonts w:ascii="Times New Roman" w:hAnsi="Times New Roman" w:cs="Times New Roman"/>
          <w:sz w:val="24"/>
          <w:szCs w:val="24"/>
        </w:rPr>
        <w:t xml:space="preserve">confirmed </w:t>
      </w:r>
      <w:r w:rsidR="00043F26">
        <w:rPr>
          <w:rFonts w:ascii="Times New Roman" w:hAnsi="Times New Roman" w:cs="Times New Roman"/>
          <w:sz w:val="24"/>
          <w:szCs w:val="24"/>
        </w:rPr>
        <w:t>existing practice</w:t>
      </w:r>
      <w:r w:rsidR="00FB39FC" w:rsidRPr="00AE141E">
        <w:rPr>
          <w:rFonts w:ascii="Times New Roman" w:hAnsi="Times New Roman" w:cs="Times New Roman"/>
          <w:sz w:val="24"/>
          <w:szCs w:val="24"/>
        </w:rPr>
        <w:t>. Students were to be taught</w:t>
      </w:r>
      <w:r w:rsidR="00626F28" w:rsidRPr="00AE141E">
        <w:rPr>
          <w:rFonts w:ascii="Times New Roman" w:hAnsi="Times New Roman" w:cs="Times New Roman"/>
          <w:sz w:val="24"/>
          <w:szCs w:val="24"/>
        </w:rPr>
        <w:t xml:space="preserve"> an evolutionary account of the national past, conceived in this instance as British, rather than English. </w:t>
      </w:r>
      <w:r w:rsidR="00E20E17" w:rsidRPr="00AE141E">
        <w:rPr>
          <w:rFonts w:ascii="Times New Roman" w:hAnsi="Times New Roman" w:cs="Times New Roman"/>
          <w:sz w:val="24"/>
          <w:szCs w:val="24"/>
        </w:rPr>
        <w:t xml:space="preserve">Alongside the British core, brief forays were to be made into </w:t>
      </w:r>
      <w:r w:rsidR="00496D0A" w:rsidRPr="00AE141E">
        <w:rPr>
          <w:rFonts w:ascii="Times New Roman" w:hAnsi="Times New Roman" w:cs="Times New Roman"/>
          <w:sz w:val="24"/>
          <w:szCs w:val="24"/>
        </w:rPr>
        <w:t xml:space="preserve">the history of other nations, viewed on their own terms. </w:t>
      </w:r>
      <w:r w:rsidR="00AD1409" w:rsidRPr="00AE141E">
        <w:rPr>
          <w:rFonts w:ascii="Times New Roman" w:hAnsi="Times New Roman" w:cs="Times New Roman"/>
          <w:sz w:val="24"/>
          <w:szCs w:val="24"/>
        </w:rPr>
        <w:t>The liberal-left feared that the inclusion of imperial history would lead to glorification and revival</w:t>
      </w:r>
      <w:r w:rsidR="00AD6C07" w:rsidRPr="00AE141E">
        <w:rPr>
          <w:rFonts w:ascii="Times New Roman" w:hAnsi="Times New Roman" w:cs="Times New Roman"/>
          <w:sz w:val="24"/>
          <w:szCs w:val="24"/>
        </w:rPr>
        <w:t>. As such, the debate over empire devolved into a contest between celebration and erasure. Erasure won the day.</w:t>
      </w:r>
      <w:r w:rsidR="00F27FA6" w:rsidRPr="00AE141E">
        <w:rPr>
          <w:rFonts w:ascii="Times New Roman" w:hAnsi="Times New Roman" w:cs="Times New Roman"/>
          <w:sz w:val="24"/>
          <w:szCs w:val="24"/>
        </w:rPr>
        <w:t xml:space="preserve"> </w:t>
      </w:r>
      <w:r w:rsidR="00FA2EB1" w:rsidRPr="00AE141E">
        <w:rPr>
          <w:rFonts w:ascii="Times New Roman" w:hAnsi="Times New Roman" w:cs="Times New Roman"/>
          <w:sz w:val="24"/>
          <w:szCs w:val="24"/>
        </w:rPr>
        <w:t xml:space="preserve">As the millennium </w:t>
      </w:r>
      <w:r w:rsidR="00FA2EB1" w:rsidRPr="00AE141E">
        <w:rPr>
          <w:rFonts w:ascii="Times New Roman" w:hAnsi="Times New Roman" w:cs="Times New Roman"/>
          <w:sz w:val="24"/>
          <w:szCs w:val="24"/>
        </w:rPr>
        <w:lastRenderedPageBreak/>
        <w:t>approached, the</w:t>
      </w:r>
      <w:r w:rsidR="00F27FA6" w:rsidRPr="00AE141E">
        <w:rPr>
          <w:rFonts w:ascii="Times New Roman" w:hAnsi="Times New Roman" w:cs="Times New Roman"/>
          <w:sz w:val="24"/>
          <w:szCs w:val="24"/>
        </w:rPr>
        <w:t xml:space="preserve"> imperial ‘pathology of presence’ was codified and given statutory basis</w:t>
      </w:r>
      <w:r w:rsidR="00FA2EB1" w:rsidRPr="00AE141E">
        <w:rPr>
          <w:rFonts w:ascii="Times New Roman" w:hAnsi="Times New Roman" w:cs="Times New Roman"/>
          <w:sz w:val="24"/>
          <w:szCs w:val="24"/>
        </w:rPr>
        <w:t>.</w:t>
      </w:r>
      <w:r w:rsidR="00F533F2" w:rsidRPr="00AE141E">
        <w:rPr>
          <w:rFonts w:ascii="Times New Roman" w:hAnsi="Times New Roman" w:cs="Times New Roman"/>
          <w:sz w:val="24"/>
          <w:szCs w:val="24"/>
        </w:rPr>
        <w:t xml:space="preserve"> My own school experience</w:t>
      </w:r>
      <w:r w:rsidR="009C284A" w:rsidRPr="00AE141E">
        <w:rPr>
          <w:rFonts w:ascii="Times New Roman" w:hAnsi="Times New Roman" w:cs="Times New Roman"/>
          <w:sz w:val="24"/>
          <w:szCs w:val="24"/>
        </w:rPr>
        <w:t xml:space="preserve">, which began </w:t>
      </w:r>
      <w:r w:rsidR="00B64263" w:rsidRPr="00AE141E">
        <w:rPr>
          <w:rFonts w:ascii="Times New Roman" w:hAnsi="Times New Roman" w:cs="Times New Roman"/>
          <w:sz w:val="24"/>
          <w:szCs w:val="24"/>
        </w:rPr>
        <w:t>at the start of the twenty first century,</w:t>
      </w:r>
      <w:r w:rsidR="002E5CAA" w:rsidRPr="00AE141E">
        <w:rPr>
          <w:rFonts w:ascii="Times New Roman" w:hAnsi="Times New Roman" w:cs="Times New Roman"/>
          <w:sz w:val="24"/>
          <w:szCs w:val="24"/>
        </w:rPr>
        <w:t xml:space="preserve"> implies that this pathology has inflected the lives of a new generation of students.</w:t>
      </w:r>
      <w:r w:rsidR="007A1C9C" w:rsidRPr="00AE141E">
        <w:rPr>
          <w:rFonts w:ascii="Times New Roman" w:hAnsi="Times New Roman" w:cs="Times New Roman"/>
          <w:sz w:val="24"/>
          <w:szCs w:val="24"/>
        </w:rPr>
        <w:t xml:space="preserve"> Our education occurs in a </w:t>
      </w:r>
      <w:r w:rsidR="00B20044" w:rsidRPr="00AE141E">
        <w:rPr>
          <w:rFonts w:ascii="Times New Roman" w:hAnsi="Times New Roman" w:cs="Times New Roman"/>
          <w:sz w:val="24"/>
          <w:szCs w:val="24"/>
        </w:rPr>
        <w:t xml:space="preserve">historically unprecedented disciplinary environment, in which </w:t>
      </w:r>
      <w:r w:rsidR="00104132" w:rsidRPr="00AE141E">
        <w:rPr>
          <w:rFonts w:ascii="Times New Roman" w:hAnsi="Times New Roman" w:cs="Times New Roman"/>
          <w:sz w:val="24"/>
          <w:szCs w:val="24"/>
        </w:rPr>
        <w:t>dissent attracts serious repercussions.</w:t>
      </w:r>
    </w:p>
    <w:p w14:paraId="4248FB0F" w14:textId="77777777" w:rsidR="00544EA7" w:rsidRDefault="0047312F"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Throughout much of the twentieth century, the primary impulse for educational change was located within society, not within the state. Teachers, students, families, and community organising all exerted considerable force on school curricula. Since the close of the 1980s, however, the space for such intervention has progressively narrowed. Teachers and students both report unprecedented pressure from an increasingly competitive system which prizes examination results above all else. Students’ racial and class backgrounds, often intertwined, remain key determinants of educational ‘success’ under this system.</w:t>
      </w:r>
      <w:r w:rsidR="00956602">
        <w:rPr>
          <w:rStyle w:val="FootnoteReference"/>
          <w:rFonts w:ascii="Times New Roman" w:eastAsia="Times New Roman" w:hAnsi="Times New Roman" w:cs="Times New Roman"/>
          <w:color w:val="000000"/>
          <w:sz w:val="24"/>
          <w:szCs w:val="24"/>
          <w:lang w:eastAsia="en-GB"/>
        </w:rPr>
        <w:footnoteReference w:id="982"/>
      </w:r>
      <w:r w:rsidRPr="00AE141E">
        <w:rPr>
          <w:rFonts w:ascii="Times New Roman" w:eastAsia="Times New Roman" w:hAnsi="Times New Roman" w:cs="Times New Roman"/>
          <w:color w:val="000000"/>
          <w:sz w:val="24"/>
          <w:szCs w:val="24"/>
          <w:lang w:eastAsia="en-GB"/>
        </w:rPr>
        <w:t xml:space="preserve"> There is vanishingly little space for education which defies or contests such assumptions. </w:t>
      </w:r>
    </w:p>
    <w:p w14:paraId="6598D174" w14:textId="2EB7923F" w:rsidR="0047312F" w:rsidRPr="00AE141E" w:rsidRDefault="0047312F"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The problem is compounded by a disciplinary structure which intensified in the years following 9/11 and the 7/7 bombings, when counter-terror policing was brought into classrooms.  ‘Prevent Duty’ </w:t>
      </w:r>
      <w:r w:rsidR="00544EA7">
        <w:rPr>
          <w:rFonts w:ascii="Times New Roman" w:eastAsia="Times New Roman" w:hAnsi="Times New Roman" w:cs="Times New Roman"/>
          <w:color w:val="000000"/>
          <w:sz w:val="24"/>
          <w:szCs w:val="24"/>
          <w:lang w:eastAsia="en-GB"/>
        </w:rPr>
        <w:t xml:space="preserve">now </w:t>
      </w:r>
      <w:r w:rsidRPr="00AE141E">
        <w:rPr>
          <w:rFonts w:ascii="Times New Roman" w:eastAsia="Times New Roman" w:hAnsi="Times New Roman" w:cs="Times New Roman"/>
          <w:color w:val="000000"/>
          <w:sz w:val="24"/>
          <w:szCs w:val="24"/>
          <w:lang w:eastAsia="en-GB"/>
        </w:rPr>
        <w:t>obliges schools to cooperate with law-enforcement agencies to identify children who may be vulnerable to radicalisation.</w:t>
      </w:r>
      <w:r w:rsidRPr="00AE141E">
        <w:rPr>
          <w:rStyle w:val="FootnoteReference"/>
          <w:rFonts w:ascii="Times New Roman" w:eastAsia="Times New Roman" w:hAnsi="Times New Roman" w:cs="Times New Roman"/>
          <w:color w:val="000000"/>
          <w:sz w:val="24"/>
          <w:szCs w:val="24"/>
          <w:lang w:eastAsia="en-GB"/>
        </w:rPr>
        <w:footnoteReference w:id="983"/>
      </w:r>
      <w:r w:rsidRPr="00AE141E">
        <w:rPr>
          <w:rFonts w:ascii="Times New Roman" w:eastAsia="Times New Roman" w:hAnsi="Times New Roman" w:cs="Times New Roman"/>
          <w:color w:val="000000"/>
          <w:sz w:val="24"/>
          <w:szCs w:val="24"/>
          <w:lang w:eastAsia="en-GB"/>
        </w:rPr>
        <w:t xml:space="preserve"> It raises worrying questions regarding freedom of speech in education – and has had a ‘chilling’ effect on students’ capacities of self-expression, including in the realm of anti-colonial critique (read, rightly or wrongly, as a threat to the British state). Prevent legislation also mandates that schools promote ‘fundamental British values’: the rule of law, individual liberty, and mutual respect and tolerance of those with different faiths and beliefs. In some ways, this seems the logical culmination of the traditional association of British nationhood with institutional continuity. </w:t>
      </w:r>
      <w:r w:rsidRPr="00AE141E">
        <w:rPr>
          <w:rFonts w:ascii="Times New Roman" w:eastAsia="Times New Roman" w:hAnsi="Times New Roman" w:cs="Times New Roman"/>
          <w:color w:val="000000"/>
          <w:sz w:val="24"/>
          <w:szCs w:val="24"/>
          <w:lang w:eastAsia="en-GB"/>
        </w:rPr>
        <w:lastRenderedPageBreak/>
        <w:t>Of course, it also claims such virtues as an incontestable – and uniquely British – historical legacy.</w:t>
      </w:r>
    </w:p>
    <w:p w14:paraId="32A84CB9" w14:textId="76670B32" w:rsidR="0047312F" w:rsidRPr="00AE141E" w:rsidRDefault="0047312F"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Despite the </w:t>
      </w:r>
      <w:r w:rsidR="007E7211">
        <w:rPr>
          <w:rFonts w:ascii="Times New Roman" w:eastAsia="Times New Roman" w:hAnsi="Times New Roman" w:cs="Times New Roman"/>
          <w:color w:val="000000"/>
          <w:sz w:val="24"/>
          <w:szCs w:val="24"/>
          <w:lang w:eastAsia="en-GB"/>
        </w:rPr>
        <w:t>seismic</w:t>
      </w:r>
      <w:r w:rsidRPr="00AE141E">
        <w:rPr>
          <w:rFonts w:ascii="Times New Roman" w:eastAsia="Times New Roman" w:hAnsi="Times New Roman" w:cs="Times New Roman"/>
          <w:color w:val="000000"/>
          <w:sz w:val="24"/>
          <w:szCs w:val="24"/>
          <w:lang w:eastAsia="en-GB"/>
        </w:rPr>
        <w:t xml:space="preserve"> educational shifts of the last three decades, those who seek a different future have much to learn from the past. We should be wary of any attempt to identify calls to ‘decolonise’ history as a novel idea. In the absence of the teaching of imperial history, imperial ideology has enjoyed a secure place in school curricula. For as long as it has done so, however, there has been a strong counter current which seeks to present an alternative vision of the past: one which stresses the agency and resistance of colonised peoples, which acknowledges the mutually influential nature of the colonial relationship on colony and metropole, and which situates our present, allegedly ‘post-colonial’, reality in this essential context. As Stuart Hall once noted,</w:t>
      </w:r>
    </w:p>
    <w:p w14:paraId="7D94192A" w14:textId="77777777" w:rsidR="0047312F" w:rsidRPr="00AE141E" w:rsidRDefault="0047312F" w:rsidP="00AE141E">
      <w:pPr>
        <w:spacing w:line="360" w:lineRule="auto"/>
        <w:ind w:left="720"/>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The development of an indigenous British racism in the post-war period </w:t>
      </w:r>
      <w:r w:rsidRPr="00AE141E">
        <w:rPr>
          <w:rFonts w:ascii="Times New Roman" w:eastAsia="Times New Roman" w:hAnsi="Times New Roman" w:cs="Times New Roman"/>
          <w:i/>
          <w:color w:val="000000"/>
          <w:sz w:val="24"/>
          <w:szCs w:val="24"/>
          <w:lang w:eastAsia="en-GB"/>
        </w:rPr>
        <w:t xml:space="preserve">begins </w:t>
      </w:r>
      <w:r w:rsidRPr="00AE141E">
        <w:rPr>
          <w:rFonts w:ascii="Times New Roman" w:eastAsia="Times New Roman" w:hAnsi="Times New Roman" w:cs="Times New Roman"/>
          <w:color w:val="000000"/>
          <w:sz w:val="24"/>
          <w:szCs w:val="24"/>
          <w:lang w:eastAsia="en-GB"/>
        </w:rPr>
        <w:t>with the profound historical forgetfulness – what I want to call the loss of historical memory, a kind of historical amnesia, a decisive mental repression – which has overtaken the British people about race and empire since the 1950s.</w:t>
      </w:r>
      <w:r w:rsidRPr="00AE141E">
        <w:rPr>
          <w:rStyle w:val="FootnoteReference"/>
          <w:rFonts w:ascii="Times New Roman" w:eastAsia="Times New Roman" w:hAnsi="Times New Roman" w:cs="Times New Roman"/>
          <w:color w:val="000000"/>
          <w:sz w:val="24"/>
          <w:szCs w:val="24"/>
          <w:lang w:eastAsia="en-GB"/>
        </w:rPr>
        <w:footnoteReference w:id="984"/>
      </w:r>
    </w:p>
    <w:p w14:paraId="457F713B" w14:textId="7E6A982A" w:rsidR="000733F9" w:rsidRPr="00AE141E" w:rsidRDefault="0047312F" w:rsidP="00AE141E">
      <w:pPr>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The repression of the imperial past allows its devastating legacies to be abstracted from the ‘internal dynamic’ of British society. To face up to these legacies is to guarantee the nation’s present and future, liberated from the nostalgic gaze of the ‘pathology of presence’.</w:t>
      </w:r>
      <w:r w:rsidRPr="00AE141E">
        <w:rPr>
          <w:rStyle w:val="FootnoteReference"/>
          <w:rFonts w:ascii="Times New Roman" w:eastAsia="Times New Roman" w:hAnsi="Times New Roman" w:cs="Times New Roman"/>
          <w:color w:val="000000"/>
          <w:sz w:val="24"/>
          <w:szCs w:val="24"/>
          <w:lang w:eastAsia="en-GB"/>
        </w:rPr>
        <w:footnoteReference w:id="985"/>
      </w:r>
      <w:r w:rsidRPr="00AE141E">
        <w:rPr>
          <w:rFonts w:ascii="Times New Roman" w:eastAsia="Times New Roman" w:hAnsi="Times New Roman" w:cs="Times New Roman"/>
          <w:color w:val="000000"/>
          <w:sz w:val="24"/>
          <w:szCs w:val="24"/>
          <w:lang w:eastAsia="en-GB"/>
        </w:rPr>
        <w:t xml:space="preserve"> Of course, full historical recognition – and restitution – would also entail a shift towards justice on a global scale. Those of us who consider ourselves teachers would do well to remember the distinction between ‘education’ and ‘schooling’ articulated by young people involved in the Manchester-based </w:t>
      </w:r>
      <w:r w:rsidRPr="00AE141E">
        <w:rPr>
          <w:rFonts w:ascii="Times New Roman" w:eastAsia="Times New Roman" w:hAnsi="Times New Roman" w:cs="Times New Roman"/>
          <w:i/>
          <w:color w:val="000000"/>
          <w:sz w:val="24"/>
          <w:szCs w:val="24"/>
          <w:lang w:eastAsia="en-GB"/>
        </w:rPr>
        <w:t xml:space="preserve">Triangular Minds </w:t>
      </w:r>
      <w:r w:rsidRPr="00AE141E">
        <w:rPr>
          <w:rFonts w:ascii="Times New Roman" w:eastAsia="Times New Roman" w:hAnsi="Times New Roman" w:cs="Times New Roman"/>
          <w:color w:val="000000"/>
          <w:sz w:val="24"/>
          <w:szCs w:val="24"/>
          <w:lang w:eastAsia="en-GB"/>
        </w:rPr>
        <w:t>project.</w:t>
      </w:r>
      <w:r w:rsidRPr="00AE141E">
        <w:rPr>
          <w:rStyle w:val="FootnoteReference"/>
          <w:rFonts w:ascii="Times New Roman" w:eastAsia="Times New Roman" w:hAnsi="Times New Roman" w:cs="Times New Roman"/>
          <w:color w:val="000000"/>
          <w:sz w:val="24"/>
          <w:szCs w:val="24"/>
          <w:lang w:eastAsia="en-GB"/>
        </w:rPr>
        <w:footnoteReference w:id="986"/>
      </w:r>
      <w:r w:rsidRPr="00AE141E">
        <w:rPr>
          <w:rFonts w:ascii="Times New Roman" w:eastAsia="Times New Roman" w:hAnsi="Times New Roman" w:cs="Times New Roman"/>
          <w:color w:val="000000"/>
          <w:sz w:val="24"/>
          <w:szCs w:val="24"/>
          <w:lang w:eastAsia="en-GB"/>
        </w:rPr>
        <w:t xml:space="preserve"> If the space for anti-colonial voices is narrowing in schools, then it may help to consider opportunities for education beyond their gates. Likewise, if we recognise the structures of formal education as systematically discriminatory, then it is incumbent upon us to conceptualise an anti-racist education which challenges and/or supersedes the present school system.</w:t>
      </w:r>
    </w:p>
    <w:p w14:paraId="3AFEA45E" w14:textId="77777777" w:rsidR="007B4181" w:rsidRPr="00AE141E" w:rsidRDefault="007B4181" w:rsidP="00AE141E">
      <w:pPr>
        <w:spacing w:line="360" w:lineRule="auto"/>
        <w:rPr>
          <w:rFonts w:ascii="Times New Roman" w:eastAsia="Times New Roman" w:hAnsi="Times New Roman" w:cs="Times New Roman"/>
          <w:b/>
          <w:bCs/>
          <w:color w:val="000000"/>
          <w:sz w:val="24"/>
          <w:szCs w:val="24"/>
          <w:lang w:eastAsia="en-GB"/>
        </w:rPr>
      </w:pPr>
      <w:r w:rsidRPr="00AE141E">
        <w:rPr>
          <w:rFonts w:ascii="Times New Roman" w:eastAsia="Times New Roman" w:hAnsi="Times New Roman" w:cs="Times New Roman"/>
          <w:b/>
          <w:bCs/>
          <w:color w:val="000000"/>
          <w:sz w:val="24"/>
          <w:szCs w:val="24"/>
          <w:lang w:eastAsia="en-GB"/>
        </w:rPr>
        <w:lastRenderedPageBreak/>
        <w:br w:type="page"/>
      </w:r>
    </w:p>
    <w:p w14:paraId="7C5CE686" w14:textId="2B92D4E8" w:rsidR="007B4181" w:rsidRDefault="007B4181" w:rsidP="008E72D5">
      <w:pPr>
        <w:pStyle w:val="Heading1"/>
        <w:rPr>
          <w:rFonts w:eastAsia="Times New Roman"/>
          <w:lang w:eastAsia="en-GB"/>
        </w:rPr>
      </w:pPr>
      <w:bookmarkStart w:id="21" w:name="_Toc193726233"/>
      <w:r w:rsidRPr="00AE141E">
        <w:rPr>
          <w:rFonts w:eastAsia="Times New Roman"/>
          <w:lang w:eastAsia="en-GB"/>
        </w:rPr>
        <w:lastRenderedPageBreak/>
        <w:t>Appendices</w:t>
      </w:r>
      <w:bookmarkEnd w:id="21"/>
    </w:p>
    <w:p w14:paraId="5D1F461F" w14:textId="77777777" w:rsidR="008E72D5" w:rsidRPr="008E72D5" w:rsidRDefault="008E72D5" w:rsidP="008E72D5">
      <w:pPr>
        <w:rPr>
          <w:lang w:eastAsia="en-GB"/>
        </w:rPr>
      </w:pPr>
    </w:p>
    <w:p w14:paraId="7D38DDC4" w14:textId="4BF6F917" w:rsidR="00F367C4" w:rsidRDefault="00F367C4" w:rsidP="008E72D5">
      <w:pPr>
        <w:pStyle w:val="Heading1"/>
      </w:pPr>
      <w:bookmarkStart w:id="22" w:name="_Toc193726234"/>
      <w:r w:rsidRPr="00AE141E">
        <w:t>A</w:t>
      </w:r>
      <w:r w:rsidR="008E72D5">
        <w:t>ppendix</w:t>
      </w:r>
      <w:r w:rsidRPr="00AE141E">
        <w:t xml:space="preserve"> A: T</w:t>
      </w:r>
      <w:r w:rsidR="008E72D5">
        <w:t>he</w:t>
      </w:r>
      <w:r w:rsidRPr="00AE141E">
        <w:t xml:space="preserve"> S</w:t>
      </w:r>
      <w:r w:rsidR="008E72D5">
        <w:t>chools</w:t>
      </w:r>
      <w:r w:rsidRPr="00AE141E">
        <w:t xml:space="preserve"> C</w:t>
      </w:r>
      <w:r w:rsidR="008E72D5">
        <w:t>ouncil</w:t>
      </w:r>
      <w:r w:rsidRPr="00AE141E">
        <w:t xml:space="preserve"> H</w:t>
      </w:r>
      <w:r w:rsidR="008E72D5">
        <w:t>istory</w:t>
      </w:r>
      <w:r w:rsidRPr="00AE141E">
        <w:t xml:space="preserve"> P</w:t>
      </w:r>
      <w:r w:rsidR="008E72D5">
        <w:t>roject</w:t>
      </w:r>
      <w:r w:rsidR="00A22792" w:rsidRPr="00AE141E">
        <w:t xml:space="preserve"> E</w:t>
      </w:r>
      <w:r w:rsidR="008E72D5">
        <w:t>xam</w:t>
      </w:r>
      <w:r w:rsidR="00A22792" w:rsidRPr="00AE141E">
        <w:t xml:space="preserve"> S</w:t>
      </w:r>
      <w:r w:rsidR="008E72D5">
        <w:t>yllabus</w:t>
      </w:r>
      <w:r w:rsidR="00A22792" w:rsidRPr="00AE141E">
        <w:t xml:space="preserve">, </w:t>
      </w:r>
      <w:r w:rsidR="008E72D5">
        <w:t>as</w:t>
      </w:r>
      <w:r w:rsidR="00A22792" w:rsidRPr="00AE141E">
        <w:t xml:space="preserve"> </w:t>
      </w:r>
      <w:r w:rsidR="008E72D5">
        <w:t>laid out</w:t>
      </w:r>
      <w:r w:rsidR="00A22792" w:rsidRPr="00AE141E">
        <w:t xml:space="preserve"> </w:t>
      </w:r>
      <w:r w:rsidR="008E72D5">
        <w:t>in</w:t>
      </w:r>
      <w:r w:rsidR="00A22792" w:rsidRPr="00AE141E">
        <w:t xml:space="preserve"> </w:t>
      </w:r>
      <w:r w:rsidR="00A22792" w:rsidRPr="00AE141E">
        <w:rPr>
          <w:i/>
        </w:rPr>
        <w:t>A N</w:t>
      </w:r>
      <w:r w:rsidR="008E72D5">
        <w:rPr>
          <w:i/>
        </w:rPr>
        <w:t>ew</w:t>
      </w:r>
      <w:r w:rsidR="00A22792" w:rsidRPr="00AE141E">
        <w:rPr>
          <w:i/>
        </w:rPr>
        <w:t xml:space="preserve"> L</w:t>
      </w:r>
      <w:r w:rsidR="008E72D5">
        <w:rPr>
          <w:i/>
        </w:rPr>
        <w:t>ook</w:t>
      </w:r>
      <w:r w:rsidR="00A22792" w:rsidRPr="00AE141E">
        <w:rPr>
          <w:i/>
        </w:rPr>
        <w:t xml:space="preserve"> </w:t>
      </w:r>
      <w:r w:rsidR="008E72D5">
        <w:rPr>
          <w:i/>
        </w:rPr>
        <w:t>at</w:t>
      </w:r>
      <w:r w:rsidR="00A22792" w:rsidRPr="00AE141E">
        <w:rPr>
          <w:i/>
        </w:rPr>
        <w:t xml:space="preserve"> H</w:t>
      </w:r>
      <w:r w:rsidR="008E72D5">
        <w:rPr>
          <w:i/>
        </w:rPr>
        <w:t>istory</w:t>
      </w:r>
      <w:r w:rsidR="00A22792" w:rsidRPr="00AE141E">
        <w:rPr>
          <w:i/>
        </w:rPr>
        <w:t xml:space="preserve"> </w:t>
      </w:r>
      <w:r w:rsidR="00A22792" w:rsidRPr="00AE141E">
        <w:t>(1976)</w:t>
      </w:r>
      <w:bookmarkEnd w:id="22"/>
    </w:p>
    <w:p w14:paraId="656CC852" w14:textId="77777777" w:rsidR="008E72D5" w:rsidRPr="008E72D5" w:rsidRDefault="008E72D5" w:rsidP="008E72D5"/>
    <w:tbl>
      <w:tblPr>
        <w:tblStyle w:val="TableGrid"/>
        <w:tblW w:w="0" w:type="auto"/>
        <w:tblLook w:val="04A0" w:firstRow="1" w:lastRow="0" w:firstColumn="1" w:lastColumn="0" w:noHBand="0" w:noVBand="1"/>
      </w:tblPr>
      <w:tblGrid>
        <w:gridCol w:w="3170"/>
        <w:gridCol w:w="3225"/>
        <w:gridCol w:w="2621"/>
      </w:tblGrid>
      <w:tr w:rsidR="00A22792" w:rsidRPr="00AE141E" w14:paraId="500000FA" w14:textId="77777777" w:rsidTr="00363A4A">
        <w:tc>
          <w:tcPr>
            <w:tcW w:w="3170" w:type="dxa"/>
          </w:tcPr>
          <w:p w14:paraId="1A2C7477" w14:textId="77777777" w:rsidR="00A22792" w:rsidRPr="00AE141E" w:rsidRDefault="00A22792"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Topic</w:t>
            </w:r>
          </w:p>
        </w:tc>
        <w:tc>
          <w:tcPr>
            <w:tcW w:w="3225" w:type="dxa"/>
          </w:tcPr>
          <w:p w14:paraId="367CB5A0" w14:textId="732437F8" w:rsidR="00A22792" w:rsidRPr="00AE141E" w:rsidRDefault="00624B1C" w:rsidP="00AE141E">
            <w:pPr>
              <w:spacing w:line="360" w:lineRule="auto"/>
              <w:rPr>
                <w:rFonts w:ascii="Times New Roman" w:hAnsi="Times New Roman" w:cs="Times New Roman"/>
                <w:b/>
                <w:bCs/>
                <w:sz w:val="24"/>
                <w:szCs w:val="24"/>
              </w:rPr>
            </w:pPr>
            <w:r>
              <w:rPr>
                <w:rFonts w:ascii="Times New Roman" w:hAnsi="Times New Roman" w:cs="Times New Roman"/>
                <w:b/>
                <w:bCs/>
                <w:sz w:val="24"/>
                <w:szCs w:val="24"/>
              </w:rPr>
              <w:t>Rationale</w:t>
            </w:r>
          </w:p>
        </w:tc>
        <w:tc>
          <w:tcPr>
            <w:tcW w:w="2621" w:type="dxa"/>
          </w:tcPr>
          <w:p w14:paraId="69507E09" w14:textId="77777777" w:rsidR="00A22792" w:rsidRPr="00AE141E" w:rsidRDefault="00A22792"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Content (as initially proposed)</w:t>
            </w:r>
          </w:p>
        </w:tc>
      </w:tr>
      <w:tr w:rsidR="00A22792" w:rsidRPr="00AE141E" w14:paraId="3B400D80" w14:textId="77777777" w:rsidTr="00363A4A">
        <w:tc>
          <w:tcPr>
            <w:tcW w:w="3170" w:type="dxa"/>
          </w:tcPr>
          <w:p w14:paraId="2B324B44"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1. ‘Studies in Modern World History’</w:t>
            </w:r>
          </w:p>
        </w:tc>
        <w:tc>
          <w:tcPr>
            <w:tcW w:w="3225" w:type="dxa"/>
          </w:tcPr>
          <w:p w14:paraId="437E3E61"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‘It helps to explain their present’.</w:t>
            </w:r>
          </w:p>
        </w:tc>
        <w:tc>
          <w:tcPr>
            <w:tcW w:w="2621" w:type="dxa"/>
          </w:tcPr>
          <w:p w14:paraId="5D2BDE70" w14:textId="7B524629"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Rise of Communist China</w:t>
            </w:r>
            <w:r w:rsidR="00973EEB" w:rsidRPr="00AE141E">
              <w:rPr>
                <w:rFonts w:ascii="Times New Roman" w:hAnsi="Times New Roman" w:cs="Times New Roman"/>
                <w:sz w:val="24"/>
                <w:szCs w:val="24"/>
              </w:rPr>
              <w:t>;</w:t>
            </w:r>
          </w:p>
          <w:p w14:paraId="7701484C"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Move to European Unity; </w:t>
            </w:r>
          </w:p>
          <w:p w14:paraId="073F951B"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Arab-Israeli Conflict;</w:t>
            </w:r>
          </w:p>
          <w:p w14:paraId="2D47EC46"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Irish Question</w:t>
            </w:r>
          </w:p>
        </w:tc>
      </w:tr>
      <w:tr w:rsidR="00A22792" w:rsidRPr="00AE141E" w14:paraId="7E582E16" w14:textId="77777777" w:rsidTr="00363A4A">
        <w:tc>
          <w:tcPr>
            <w:tcW w:w="3170" w:type="dxa"/>
          </w:tcPr>
          <w:p w14:paraId="2352B9B3"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2. ‘Depth study of some past period’</w:t>
            </w:r>
          </w:p>
        </w:tc>
        <w:tc>
          <w:tcPr>
            <w:tcW w:w="3225" w:type="dxa"/>
          </w:tcPr>
          <w:p w14:paraId="37AAC578"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‘It helps them to understand people of a different time and place, and this is a widening and therefore valuable social and educational experience’.</w:t>
            </w:r>
          </w:p>
        </w:tc>
        <w:tc>
          <w:tcPr>
            <w:tcW w:w="2621" w:type="dxa"/>
          </w:tcPr>
          <w:p w14:paraId="2D666456" w14:textId="7EF993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Elizabethan England</w:t>
            </w:r>
            <w:r w:rsidR="00973EEB" w:rsidRPr="00AE141E">
              <w:rPr>
                <w:rFonts w:ascii="Times New Roman" w:hAnsi="Times New Roman" w:cs="Times New Roman"/>
                <w:sz w:val="24"/>
                <w:szCs w:val="24"/>
              </w:rPr>
              <w:t>, 1</w:t>
            </w:r>
            <w:r w:rsidRPr="00AE141E">
              <w:rPr>
                <w:rFonts w:ascii="Times New Roman" w:hAnsi="Times New Roman" w:cs="Times New Roman"/>
                <w:sz w:val="24"/>
                <w:szCs w:val="24"/>
              </w:rPr>
              <w:t xml:space="preserve">558-1603; </w:t>
            </w:r>
          </w:p>
          <w:p w14:paraId="4C24059E" w14:textId="667426B4"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Britain</w:t>
            </w:r>
            <w:r w:rsidR="00973EEB" w:rsidRPr="00AE141E">
              <w:rPr>
                <w:rFonts w:ascii="Times New Roman" w:hAnsi="Times New Roman" w:cs="Times New Roman"/>
                <w:sz w:val="24"/>
                <w:szCs w:val="24"/>
              </w:rPr>
              <w:t xml:space="preserve">, </w:t>
            </w:r>
            <w:r w:rsidRPr="00AE141E">
              <w:rPr>
                <w:rFonts w:ascii="Times New Roman" w:hAnsi="Times New Roman" w:cs="Times New Roman"/>
                <w:sz w:val="24"/>
                <w:szCs w:val="24"/>
              </w:rPr>
              <w:t>1815-1851;</w:t>
            </w:r>
          </w:p>
          <w:p w14:paraId="1CF85817" w14:textId="6663093D"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American West</w:t>
            </w:r>
            <w:r w:rsidR="00973EEB" w:rsidRPr="00AE141E">
              <w:rPr>
                <w:rFonts w:ascii="Times New Roman" w:hAnsi="Times New Roman" w:cs="Times New Roman"/>
                <w:sz w:val="24"/>
                <w:szCs w:val="24"/>
              </w:rPr>
              <w:t xml:space="preserve">, </w:t>
            </w:r>
            <w:r w:rsidRPr="00AE141E">
              <w:rPr>
                <w:rFonts w:ascii="Times New Roman" w:hAnsi="Times New Roman" w:cs="Times New Roman"/>
                <w:sz w:val="24"/>
                <w:szCs w:val="24"/>
              </w:rPr>
              <w:t>1840-1890</w:t>
            </w:r>
          </w:p>
        </w:tc>
      </w:tr>
      <w:tr w:rsidR="00A22792" w:rsidRPr="00AE141E" w14:paraId="640255B4" w14:textId="77777777" w:rsidTr="00363A4A">
        <w:tc>
          <w:tcPr>
            <w:tcW w:w="3170" w:type="dxa"/>
          </w:tcPr>
          <w:p w14:paraId="17ED09FD"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3. ‘A study in development of some topic’</w:t>
            </w:r>
          </w:p>
        </w:tc>
        <w:tc>
          <w:tcPr>
            <w:tcW w:w="3225" w:type="dxa"/>
          </w:tcPr>
          <w:p w14:paraId="7BA4FC75"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‘It provides material for the understanding of human development and change in the perspective of time and also of the complexity of causation in human affairs’.</w:t>
            </w:r>
          </w:p>
        </w:tc>
        <w:tc>
          <w:tcPr>
            <w:tcW w:w="2621" w:type="dxa"/>
          </w:tcPr>
          <w:p w14:paraId="037614A3"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History of Medicine</w:t>
            </w:r>
          </w:p>
        </w:tc>
      </w:tr>
      <w:tr w:rsidR="00A22792" w:rsidRPr="00AE141E" w14:paraId="15C37868" w14:textId="77777777" w:rsidTr="00363A4A">
        <w:tc>
          <w:tcPr>
            <w:tcW w:w="3170" w:type="dxa"/>
          </w:tcPr>
          <w:p w14:paraId="489EC5D6"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4. ‘History Around Us’ (Fieldwork)</w:t>
            </w:r>
          </w:p>
        </w:tc>
        <w:tc>
          <w:tcPr>
            <w:tcW w:w="3225" w:type="dxa"/>
          </w:tcPr>
          <w:p w14:paraId="0E188EB8" w14:textId="7777777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It contributes to leisure interests.</w:t>
            </w:r>
          </w:p>
        </w:tc>
        <w:tc>
          <w:tcPr>
            <w:tcW w:w="2621" w:type="dxa"/>
          </w:tcPr>
          <w:p w14:paraId="5F27D281" w14:textId="370E0B87" w:rsidR="00A22792" w:rsidRPr="00AE141E" w:rsidRDefault="00A22792"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Prehistoric Britain; Roman Britain; Castles and </w:t>
            </w:r>
            <w:r w:rsidR="00571197" w:rsidRPr="00AE141E">
              <w:rPr>
                <w:rFonts w:ascii="Times New Roman" w:hAnsi="Times New Roman" w:cs="Times New Roman"/>
                <w:sz w:val="24"/>
                <w:szCs w:val="24"/>
              </w:rPr>
              <w:t>F</w:t>
            </w:r>
            <w:r w:rsidRPr="00AE141E">
              <w:rPr>
                <w:rFonts w:ascii="Times New Roman" w:hAnsi="Times New Roman" w:cs="Times New Roman"/>
                <w:sz w:val="24"/>
                <w:szCs w:val="24"/>
              </w:rPr>
              <w:t xml:space="preserve">ortified </w:t>
            </w:r>
            <w:r w:rsidR="00571197" w:rsidRPr="00AE141E">
              <w:rPr>
                <w:rFonts w:ascii="Times New Roman" w:hAnsi="Times New Roman" w:cs="Times New Roman"/>
                <w:sz w:val="24"/>
                <w:szCs w:val="24"/>
              </w:rPr>
              <w:t>H</w:t>
            </w:r>
            <w:r w:rsidRPr="00AE141E">
              <w:rPr>
                <w:rFonts w:ascii="Times New Roman" w:hAnsi="Times New Roman" w:cs="Times New Roman"/>
                <w:sz w:val="24"/>
                <w:szCs w:val="24"/>
              </w:rPr>
              <w:t>ouses</w:t>
            </w:r>
            <w:r w:rsidR="00571197" w:rsidRPr="00AE141E">
              <w:rPr>
                <w:rFonts w:ascii="Times New Roman" w:hAnsi="Times New Roman" w:cs="Times New Roman"/>
                <w:sz w:val="24"/>
                <w:szCs w:val="24"/>
              </w:rPr>
              <w:t xml:space="preserve">, </w:t>
            </w:r>
            <w:r w:rsidRPr="00AE141E">
              <w:rPr>
                <w:rFonts w:ascii="Times New Roman" w:hAnsi="Times New Roman" w:cs="Times New Roman"/>
                <w:sz w:val="24"/>
                <w:szCs w:val="24"/>
              </w:rPr>
              <w:t xml:space="preserve">1066-1550; Country </w:t>
            </w:r>
            <w:r w:rsidR="00571197" w:rsidRPr="00AE141E">
              <w:rPr>
                <w:rFonts w:ascii="Times New Roman" w:hAnsi="Times New Roman" w:cs="Times New Roman"/>
                <w:sz w:val="24"/>
                <w:szCs w:val="24"/>
              </w:rPr>
              <w:t>H</w:t>
            </w:r>
            <w:r w:rsidRPr="00AE141E">
              <w:rPr>
                <w:rFonts w:ascii="Times New Roman" w:hAnsi="Times New Roman" w:cs="Times New Roman"/>
                <w:sz w:val="24"/>
                <w:szCs w:val="24"/>
              </w:rPr>
              <w:t xml:space="preserve">ouses 1550- 1800; Church </w:t>
            </w:r>
            <w:r w:rsidR="00571197" w:rsidRPr="00AE141E">
              <w:rPr>
                <w:rFonts w:ascii="Times New Roman" w:hAnsi="Times New Roman" w:cs="Times New Roman"/>
                <w:sz w:val="24"/>
                <w:szCs w:val="24"/>
              </w:rPr>
              <w:t>B</w:t>
            </w:r>
            <w:r w:rsidRPr="00AE141E">
              <w:rPr>
                <w:rFonts w:ascii="Times New Roman" w:hAnsi="Times New Roman" w:cs="Times New Roman"/>
                <w:sz w:val="24"/>
                <w:szCs w:val="24"/>
              </w:rPr>
              <w:t xml:space="preserve">uildings and </w:t>
            </w:r>
            <w:r w:rsidR="00571197" w:rsidRPr="00AE141E">
              <w:rPr>
                <w:rFonts w:ascii="Times New Roman" w:hAnsi="Times New Roman" w:cs="Times New Roman"/>
                <w:sz w:val="24"/>
                <w:szCs w:val="24"/>
              </w:rPr>
              <w:t>F</w:t>
            </w:r>
            <w:r w:rsidRPr="00AE141E">
              <w:rPr>
                <w:rFonts w:ascii="Times New Roman" w:hAnsi="Times New Roman" w:cs="Times New Roman"/>
                <w:sz w:val="24"/>
                <w:szCs w:val="24"/>
              </w:rPr>
              <w:t xml:space="preserve">urnishings 1066-1900; Studies in the </w:t>
            </w:r>
            <w:r w:rsidR="00571197" w:rsidRPr="00AE141E">
              <w:rPr>
                <w:rFonts w:ascii="Times New Roman" w:hAnsi="Times New Roman" w:cs="Times New Roman"/>
                <w:sz w:val="24"/>
                <w:szCs w:val="24"/>
              </w:rPr>
              <w:t>M</w:t>
            </w:r>
            <w:r w:rsidRPr="00AE141E">
              <w:rPr>
                <w:rFonts w:ascii="Times New Roman" w:hAnsi="Times New Roman" w:cs="Times New Roman"/>
                <w:sz w:val="24"/>
                <w:szCs w:val="24"/>
              </w:rPr>
              <w:t xml:space="preserve">aking of the </w:t>
            </w:r>
            <w:r w:rsidR="00571197" w:rsidRPr="00AE141E">
              <w:rPr>
                <w:rFonts w:ascii="Times New Roman" w:hAnsi="Times New Roman" w:cs="Times New Roman"/>
                <w:sz w:val="24"/>
                <w:szCs w:val="24"/>
              </w:rPr>
              <w:t>R</w:t>
            </w:r>
            <w:r w:rsidRPr="00AE141E">
              <w:rPr>
                <w:rFonts w:ascii="Times New Roman" w:hAnsi="Times New Roman" w:cs="Times New Roman"/>
                <w:sz w:val="24"/>
                <w:szCs w:val="24"/>
              </w:rPr>
              <w:t xml:space="preserve">ural </w:t>
            </w:r>
            <w:r w:rsidR="00571197" w:rsidRPr="00AE141E">
              <w:rPr>
                <w:rFonts w:ascii="Times New Roman" w:hAnsi="Times New Roman" w:cs="Times New Roman"/>
                <w:sz w:val="24"/>
                <w:szCs w:val="24"/>
              </w:rPr>
              <w:t>L</w:t>
            </w:r>
            <w:r w:rsidRPr="00AE141E">
              <w:rPr>
                <w:rFonts w:ascii="Times New Roman" w:hAnsi="Times New Roman" w:cs="Times New Roman"/>
                <w:sz w:val="24"/>
                <w:szCs w:val="24"/>
              </w:rPr>
              <w:t xml:space="preserve">andscape; </w:t>
            </w:r>
            <w:r w:rsidRPr="00AE141E">
              <w:rPr>
                <w:rFonts w:ascii="Times New Roman" w:hAnsi="Times New Roman" w:cs="Times New Roman"/>
                <w:sz w:val="24"/>
                <w:szCs w:val="24"/>
              </w:rPr>
              <w:lastRenderedPageBreak/>
              <w:t xml:space="preserve">Town </w:t>
            </w:r>
            <w:r w:rsidR="00571197" w:rsidRPr="00AE141E">
              <w:rPr>
                <w:rFonts w:ascii="Times New Roman" w:hAnsi="Times New Roman" w:cs="Times New Roman"/>
                <w:sz w:val="24"/>
                <w:szCs w:val="24"/>
              </w:rPr>
              <w:t>D</w:t>
            </w:r>
            <w:r w:rsidRPr="00AE141E">
              <w:rPr>
                <w:rFonts w:ascii="Times New Roman" w:hAnsi="Times New Roman" w:cs="Times New Roman"/>
                <w:sz w:val="24"/>
                <w:szCs w:val="24"/>
              </w:rPr>
              <w:t xml:space="preserve">evelopment and </w:t>
            </w:r>
            <w:r w:rsidR="00571197" w:rsidRPr="00AE141E">
              <w:rPr>
                <w:rFonts w:ascii="Times New Roman" w:hAnsi="Times New Roman" w:cs="Times New Roman"/>
                <w:sz w:val="24"/>
                <w:szCs w:val="24"/>
              </w:rPr>
              <w:t>D</w:t>
            </w:r>
            <w:r w:rsidRPr="00AE141E">
              <w:rPr>
                <w:rFonts w:ascii="Times New Roman" w:hAnsi="Times New Roman" w:cs="Times New Roman"/>
                <w:sz w:val="24"/>
                <w:szCs w:val="24"/>
              </w:rPr>
              <w:t xml:space="preserve">omestic </w:t>
            </w:r>
            <w:r w:rsidR="00571197" w:rsidRPr="00AE141E">
              <w:rPr>
                <w:rFonts w:ascii="Times New Roman" w:hAnsi="Times New Roman" w:cs="Times New Roman"/>
                <w:sz w:val="24"/>
                <w:szCs w:val="24"/>
              </w:rPr>
              <w:t>A</w:t>
            </w:r>
            <w:r w:rsidRPr="00AE141E">
              <w:rPr>
                <w:rFonts w:ascii="Times New Roman" w:hAnsi="Times New Roman" w:cs="Times New Roman"/>
                <w:sz w:val="24"/>
                <w:szCs w:val="24"/>
              </w:rPr>
              <w:t xml:space="preserve">rchitecture 1700 to the present; Industrial Archaeology; Aspects of the </w:t>
            </w:r>
            <w:r w:rsidR="00571197" w:rsidRPr="00AE141E">
              <w:rPr>
                <w:rFonts w:ascii="Times New Roman" w:hAnsi="Times New Roman" w:cs="Times New Roman"/>
                <w:sz w:val="24"/>
                <w:szCs w:val="24"/>
              </w:rPr>
              <w:t>H</w:t>
            </w:r>
            <w:r w:rsidRPr="00AE141E">
              <w:rPr>
                <w:rFonts w:ascii="Times New Roman" w:hAnsi="Times New Roman" w:cs="Times New Roman"/>
                <w:sz w:val="24"/>
                <w:szCs w:val="24"/>
              </w:rPr>
              <w:t xml:space="preserve">istorical </w:t>
            </w:r>
            <w:r w:rsidR="00571197" w:rsidRPr="00AE141E">
              <w:rPr>
                <w:rFonts w:ascii="Times New Roman" w:hAnsi="Times New Roman" w:cs="Times New Roman"/>
                <w:sz w:val="24"/>
                <w:szCs w:val="24"/>
              </w:rPr>
              <w:t>D</w:t>
            </w:r>
            <w:r w:rsidRPr="00AE141E">
              <w:rPr>
                <w:rFonts w:ascii="Times New Roman" w:hAnsi="Times New Roman" w:cs="Times New Roman"/>
                <w:sz w:val="24"/>
                <w:szCs w:val="24"/>
              </w:rPr>
              <w:t xml:space="preserve">evelopment of the </w:t>
            </w:r>
            <w:r w:rsidR="00571197" w:rsidRPr="00AE141E">
              <w:rPr>
                <w:rFonts w:ascii="Times New Roman" w:hAnsi="Times New Roman" w:cs="Times New Roman"/>
                <w:sz w:val="24"/>
                <w:szCs w:val="24"/>
              </w:rPr>
              <w:t>L</w:t>
            </w:r>
            <w:r w:rsidRPr="00AE141E">
              <w:rPr>
                <w:rFonts w:ascii="Times New Roman" w:hAnsi="Times New Roman" w:cs="Times New Roman"/>
                <w:sz w:val="24"/>
                <w:szCs w:val="24"/>
              </w:rPr>
              <w:t>ocality</w:t>
            </w:r>
          </w:p>
        </w:tc>
      </w:tr>
    </w:tbl>
    <w:p w14:paraId="35D3D202" w14:textId="77777777" w:rsidR="00A22792" w:rsidRPr="00AE141E" w:rsidRDefault="00A22792" w:rsidP="00AE141E">
      <w:pPr>
        <w:spacing w:line="360" w:lineRule="auto"/>
        <w:rPr>
          <w:rFonts w:ascii="Times New Roman" w:hAnsi="Times New Roman" w:cs="Times New Roman"/>
          <w:b/>
          <w:bCs/>
          <w:sz w:val="24"/>
          <w:szCs w:val="24"/>
        </w:rPr>
      </w:pPr>
    </w:p>
    <w:p w14:paraId="21D422F0" w14:textId="77777777" w:rsidR="007B4181" w:rsidRPr="00AE141E" w:rsidRDefault="007B4181"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br w:type="page"/>
      </w:r>
    </w:p>
    <w:p w14:paraId="2C6E91E5" w14:textId="54A805A0" w:rsidR="000733F9" w:rsidRDefault="000733F9" w:rsidP="008E72D5">
      <w:pPr>
        <w:pStyle w:val="Heading1"/>
        <w:jc w:val="center"/>
      </w:pPr>
      <w:bookmarkStart w:id="23" w:name="_Toc193726235"/>
      <w:r w:rsidRPr="00AE141E">
        <w:lastRenderedPageBreak/>
        <w:t>A</w:t>
      </w:r>
      <w:r w:rsidR="008E72D5">
        <w:t>ppendix</w:t>
      </w:r>
      <w:r w:rsidRPr="00AE141E">
        <w:t xml:space="preserve"> </w:t>
      </w:r>
      <w:r w:rsidR="00F367C4" w:rsidRPr="00AE141E">
        <w:t>B</w:t>
      </w:r>
      <w:r w:rsidRPr="00AE141E">
        <w:t>: M</w:t>
      </w:r>
      <w:r w:rsidR="008E72D5">
        <w:t>embers</w:t>
      </w:r>
      <w:r w:rsidRPr="00AE141E">
        <w:t xml:space="preserve"> </w:t>
      </w:r>
      <w:r w:rsidR="008E72D5">
        <w:t>of</w:t>
      </w:r>
      <w:r w:rsidRPr="00AE141E">
        <w:t xml:space="preserve"> </w:t>
      </w:r>
      <w:r w:rsidR="008E72D5">
        <w:t>the</w:t>
      </w:r>
      <w:r w:rsidRPr="00AE141E">
        <w:t xml:space="preserve"> N</w:t>
      </w:r>
      <w:r w:rsidR="008E72D5">
        <w:t>ational</w:t>
      </w:r>
      <w:r w:rsidRPr="00AE141E">
        <w:t xml:space="preserve"> C</w:t>
      </w:r>
      <w:r w:rsidR="008E72D5">
        <w:t>urriculum</w:t>
      </w:r>
      <w:r w:rsidRPr="00AE141E">
        <w:t xml:space="preserve"> H</w:t>
      </w:r>
      <w:r w:rsidR="008E72D5">
        <w:t>istory</w:t>
      </w:r>
      <w:r w:rsidRPr="00AE141E">
        <w:t xml:space="preserve"> W</w:t>
      </w:r>
      <w:r w:rsidR="008E72D5">
        <w:t>orking</w:t>
      </w:r>
      <w:r w:rsidRPr="00AE141E">
        <w:t xml:space="preserve"> G</w:t>
      </w:r>
      <w:r w:rsidR="008E72D5">
        <w:t>roup</w:t>
      </w:r>
      <w:bookmarkEnd w:id="23"/>
    </w:p>
    <w:p w14:paraId="5F5351F4" w14:textId="77777777" w:rsidR="008E72D5" w:rsidRPr="008E72D5" w:rsidRDefault="008E72D5" w:rsidP="008E72D5"/>
    <w:p w14:paraId="28DFD051"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 xml:space="preserve">Chairman </w:t>
      </w:r>
      <w:r w:rsidRPr="00AE141E">
        <w:rPr>
          <w:rFonts w:ascii="Times New Roman" w:hAnsi="Times New Roman" w:cs="Times New Roman"/>
          <w:sz w:val="24"/>
          <w:szCs w:val="24"/>
        </w:rPr>
        <w:t>Commander Michael Saunders Watson DL</w:t>
      </w:r>
    </w:p>
    <w:p w14:paraId="2D4769E6"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Members</w:t>
      </w:r>
    </w:p>
    <w:p w14:paraId="27B6786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Robert Guyver (Teacher, Wembury Primary School, Plymouth)</w:t>
      </w:r>
    </w:p>
    <w:p w14:paraId="1E366EE0"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Jim Hendy (Director of Education, Stockport)</w:t>
      </w:r>
    </w:p>
    <w:p w14:paraId="29483E39"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Henry Hobhouse (Author, Chairman of Somerset County Council)</w:t>
      </w:r>
    </w:p>
    <w:p w14:paraId="5387E90C"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Dr Gareth Elwyn Jones (Reader in Education, University College of Wales, Swansea)</w:t>
      </w:r>
    </w:p>
    <w:p w14:paraId="2004511F"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Peter Livsey (Adviser for history and geography for County Durham. From 1 February 1989, Senior Education Adviser)</w:t>
      </w:r>
    </w:p>
    <w:p w14:paraId="60A8CAF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Mrs Ann Low-Beer (Lecturer in the Department of Education, University of Bristol)</w:t>
      </w:r>
    </w:p>
    <w:p w14:paraId="467FEC47"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Professor Peter Marshall, from 1 July 1989 (Rhodes Professor, Kings College, London)</w:t>
      </w:r>
    </w:p>
    <w:p w14:paraId="34984B9E"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Dr Alice Prochaska (Secretary and Librarian of the Institute of Historical Research, University of London)</w:t>
      </w:r>
    </w:p>
    <w:p w14:paraId="5199AE7C"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Dr John Roberts, until 30 June 1989 (Warden, Merton College, Oxford)</w:t>
      </w:r>
    </w:p>
    <w:p w14:paraId="0FC7ACD5" w14:textId="14040D3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Mrs Carol White (Head of history, Garth Hill School, Bracknell, Berkshire. From 1 January 1990, General Adviser for </w:t>
      </w:r>
      <w:r w:rsidR="00E53C17">
        <w:rPr>
          <w:rFonts w:ascii="Times New Roman" w:hAnsi="Times New Roman" w:cs="Times New Roman"/>
          <w:sz w:val="24"/>
          <w:szCs w:val="24"/>
        </w:rPr>
        <w:t>H</w:t>
      </w:r>
      <w:r w:rsidRPr="00AE141E">
        <w:rPr>
          <w:rFonts w:ascii="Times New Roman" w:hAnsi="Times New Roman" w:cs="Times New Roman"/>
          <w:sz w:val="24"/>
          <w:szCs w:val="24"/>
        </w:rPr>
        <w:t xml:space="preserve">istory and </w:t>
      </w:r>
      <w:r w:rsidR="00E53C17">
        <w:rPr>
          <w:rFonts w:ascii="Times New Roman" w:hAnsi="Times New Roman" w:cs="Times New Roman"/>
          <w:sz w:val="24"/>
          <w:szCs w:val="24"/>
        </w:rPr>
        <w:t>S</w:t>
      </w:r>
      <w:r w:rsidRPr="00AE141E">
        <w:rPr>
          <w:rFonts w:ascii="Times New Roman" w:hAnsi="Times New Roman" w:cs="Times New Roman"/>
          <w:sz w:val="24"/>
          <w:szCs w:val="24"/>
        </w:rPr>
        <w:t xml:space="preserve">ocial </w:t>
      </w:r>
      <w:r w:rsidR="00E53C17">
        <w:rPr>
          <w:rFonts w:ascii="Times New Roman" w:hAnsi="Times New Roman" w:cs="Times New Roman"/>
          <w:sz w:val="24"/>
          <w:szCs w:val="24"/>
        </w:rPr>
        <w:t>S</w:t>
      </w:r>
      <w:r w:rsidRPr="00AE141E">
        <w:rPr>
          <w:rFonts w:ascii="Times New Roman" w:hAnsi="Times New Roman" w:cs="Times New Roman"/>
          <w:sz w:val="24"/>
          <w:szCs w:val="24"/>
        </w:rPr>
        <w:t>tudies for Humberside)</w:t>
      </w:r>
    </w:p>
    <w:p w14:paraId="7A3E1C6D"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Co-opted</w:t>
      </w:r>
    </w:p>
    <w:p w14:paraId="3BD57284"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Dr Tim Lomas, from 10 July 1989 (Education Inspector, History, Lincolnshire LEA)</w:t>
      </w:r>
    </w:p>
    <w:p w14:paraId="0697019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Chris Culpin, from 23 October 1989 (Consultant, Author)</w:t>
      </w:r>
    </w:p>
    <w:p w14:paraId="6A254E01"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Observer</w:t>
      </w:r>
    </w:p>
    <w:p w14:paraId="342E6D22"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Roger Hennessey (Her Majesty’s Inspectorate)</w:t>
      </w:r>
    </w:p>
    <w:p w14:paraId="741D72FC"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Secretariat</w:t>
      </w:r>
    </w:p>
    <w:p w14:paraId="28D1323F"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Miss Jenny Worsfold (Secretary)</w:t>
      </w:r>
    </w:p>
    <w:p w14:paraId="7C8168BC"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Miss Cheryl Bailey</w:t>
      </w:r>
    </w:p>
    <w:p w14:paraId="0B9BE9F0"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Ms Lesley Storey</w:t>
      </w:r>
    </w:p>
    <w:p w14:paraId="776A568E"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Miss Susan Webb</w:t>
      </w:r>
    </w:p>
    <w:p w14:paraId="45877288"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Miss Emma John</w:t>
      </w:r>
    </w:p>
    <w:p w14:paraId="7841A970"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Phil Snell</w:t>
      </w:r>
    </w:p>
    <w:p w14:paraId="0A0E2C52"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John Goodwin</w:t>
      </w:r>
    </w:p>
    <w:p w14:paraId="5CC6F85D"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In attendance</w:t>
      </w:r>
    </w:p>
    <w:p w14:paraId="5832F8ED"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Anthony Chamier</w:t>
      </w:r>
    </w:p>
    <w:p w14:paraId="36848094"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Barnie Baker</w:t>
      </w:r>
    </w:p>
    <w:p w14:paraId="14457780"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Miss Jenny Baker</w:t>
      </w:r>
    </w:p>
    <w:p w14:paraId="480612C9"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Mr Michael Phipps</w:t>
      </w:r>
    </w:p>
    <w:p w14:paraId="3FAA6014" w14:textId="77777777" w:rsidR="007B4181" w:rsidRPr="00AE141E" w:rsidRDefault="007B4181"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br w:type="page"/>
      </w:r>
    </w:p>
    <w:p w14:paraId="2C0B8615" w14:textId="4B33EDB4" w:rsidR="000733F9" w:rsidRDefault="000733F9" w:rsidP="008E72D5">
      <w:pPr>
        <w:pStyle w:val="Heading1"/>
        <w:jc w:val="center"/>
      </w:pPr>
      <w:bookmarkStart w:id="24" w:name="_Toc193726236"/>
      <w:r w:rsidRPr="00AE141E">
        <w:lastRenderedPageBreak/>
        <w:t>A</w:t>
      </w:r>
      <w:r w:rsidR="008E72D5">
        <w:t>ppendix</w:t>
      </w:r>
      <w:r w:rsidRPr="00AE141E">
        <w:t xml:space="preserve"> </w:t>
      </w:r>
      <w:r w:rsidR="00F1649F" w:rsidRPr="00AE141E">
        <w:t>C</w:t>
      </w:r>
      <w:r w:rsidRPr="00AE141E">
        <w:t>: C</w:t>
      </w:r>
      <w:r w:rsidR="008E72D5">
        <w:t>ontents</w:t>
      </w:r>
      <w:r w:rsidRPr="00AE141E">
        <w:t xml:space="preserve"> </w:t>
      </w:r>
      <w:r w:rsidR="008E72D5">
        <w:t>of the</w:t>
      </w:r>
      <w:r w:rsidRPr="00AE141E">
        <w:t xml:space="preserve"> N</w:t>
      </w:r>
      <w:r w:rsidR="008E72D5">
        <w:t>ational</w:t>
      </w:r>
      <w:r w:rsidRPr="00AE141E">
        <w:t xml:space="preserve"> </w:t>
      </w:r>
      <w:r w:rsidR="008E72D5">
        <w:t>Curriculum</w:t>
      </w:r>
      <w:r w:rsidRPr="00AE141E">
        <w:t xml:space="preserve"> (P</w:t>
      </w:r>
      <w:r w:rsidR="008E72D5">
        <w:t>rospective</w:t>
      </w:r>
      <w:r w:rsidRPr="00AE141E">
        <w:t xml:space="preserve"> </w:t>
      </w:r>
      <w:r w:rsidR="008E72D5">
        <w:t>or</w:t>
      </w:r>
      <w:r w:rsidRPr="00AE141E">
        <w:t xml:space="preserve"> C</w:t>
      </w:r>
      <w:r w:rsidR="008E72D5">
        <w:t>onfirmed</w:t>
      </w:r>
      <w:r w:rsidRPr="00AE141E">
        <w:t>), 1989-1995</w:t>
      </w:r>
      <w:bookmarkEnd w:id="24"/>
    </w:p>
    <w:p w14:paraId="52A4DC62" w14:textId="77777777" w:rsidR="008E72D5" w:rsidRPr="008E72D5" w:rsidRDefault="008E72D5" w:rsidP="008E72D5"/>
    <w:p w14:paraId="51239E08" w14:textId="77777777" w:rsidR="000733F9" w:rsidRPr="00AE141E" w:rsidRDefault="000733F9" w:rsidP="00AE141E">
      <w:pPr>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Interim Report of the HWG</w:t>
      </w:r>
    </w:p>
    <w:p w14:paraId="5E7280E8"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Key Stage 3</w:t>
      </w:r>
    </w:p>
    <w:p w14:paraId="69C8229D"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British History Study Units:</w:t>
      </w:r>
      <w:r w:rsidRPr="00AE141E">
        <w:rPr>
          <w:rFonts w:ascii="Times New Roman" w:hAnsi="Times New Roman" w:cs="Times New Roman"/>
          <w:sz w:val="24"/>
          <w:szCs w:val="24"/>
        </w:rPr>
        <w:t xml:space="preserve"> </w:t>
      </w:r>
    </w:p>
    <w:p w14:paraId="3DE4D52D" w14:textId="77777777" w:rsidR="000733F9" w:rsidRPr="00AE141E" w:rsidRDefault="000733F9" w:rsidP="00AE141E">
      <w:pPr>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Assigned one term each: total three terms</w:t>
      </w:r>
    </w:p>
    <w:p w14:paraId="0ED2E7A8"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Medieval Realm: c150-1500</w:t>
      </w:r>
    </w:p>
    <w:p w14:paraId="4C0DD65F"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Making of the United Kingdom: Crowns, Parliaments and Peoples 1536-1870</w:t>
      </w:r>
    </w:p>
    <w:p w14:paraId="49E5D925" w14:textId="40769BF0"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Expansion, </w:t>
      </w:r>
      <w:r w:rsidR="00944067" w:rsidRPr="00AE141E">
        <w:rPr>
          <w:rFonts w:ascii="Times New Roman" w:hAnsi="Times New Roman" w:cs="Times New Roman"/>
          <w:sz w:val="24"/>
          <w:szCs w:val="24"/>
        </w:rPr>
        <w:t>T</w:t>
      </w:r>
      <w:r w:rsidRPr="00AE141E">
        <w:rPr>
          <w:rFonts w:ascii="Times New Roman" w:hAnsi="Times New Roman" w:cs="Times New Roman"/>
          <w:sz w:val="24"/>
          <w:szCs w:val="24"/>
        </w:rPr>
        <w:t xml:space="preserve">rade and </w:t>
      </w:r>
      <w:r w:rsidR="00944067" w:rsidRPr="00AE141E">
        <w:rPr>
          <w:rFonts w:ascii="Times New Roman" w:hAnsi="Times New Roman" w:cs="Times New Roman"/>
          <w:sz w:val="24"/>
          <w:szCs w:val="24"/>
        </w:rPr>
        <w:t>I</w:t>
      </w:r>
      <w:r w:rsidRPr="00AE141E">
        <w:rPr>
          <w:rFonts w:ascii="Times New Roman" w:hAnsi="Times New Roman" w:cs="Times New Roman"/>
          <w:sz w:val="24"/>
          <w:szCs w:val="24"/>
        </w:rPr>
        <w:t>ndustry: c1700-1860</w:t>
      </w:r>
    </w:p>
    <w:p w14:paraId="11C84A18"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European and World History Study Units:</w:t>
      </w:r>
      <w:r w:rsidRPr="00AE141E">
        <w:rPr>
          <w:rFonts w:ascii="Times New Roman" w:hAnsi="Times New Roman" w:cs="Times New Roman"/>
          <w:sz w:val="24"/>
          <w:szCs w:val="24"/>
        </w:rPr>
        <w:t xml:space="preserve"> </w:t>
      </w:r>
    </w:p>
    <w:p w14:paraId="4BCF328A" w14:textId="77777777" w:rsidR="000733F9" w:rsidRPr="00AE141E" w:rsidRDefault="000733F9" w:rsidP="00AE141E">
      <w:pPr>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Assigned half a term each: total two terms</w:t>
      </w:r>
    </w:p>
    <w:p w14:paraId="66D2BE55" w14:textId="77777777" w:rsidR="000733F9" w:rsidRPr="00AE141E" w:rsidRDefault="000733F9" w:rsidP="00AE141E">
      <w:pPr>
        <w:spacing w:line="360" w:lineRule="auto"/>
        <w:rPr>
          <w:rFonts w:ascii="Times New Roman" w:hAnsi="Times New Roman" w:cs="Times New Roman"/>
          <w:sz w:val="24"/>
          <w:szCs w:val="24"/>
          <w:highlight w:val="yellow"/>
        </w:rPr>
      </w:pPr>
      <w:r w:rsidRPr="00AE141E">
        <w:rPr>
          <w:rFonts w:ascii="Times New Roman" w:hAnsi="Times New Roman" w:cs="Times New Roman"/>
          <w:sz w:val="24"/>
          <w:szCs w:val="24"/>
        </w:rPr>
        <w:t>The Roman Empire</w:t>
      </w:r>
    </w:p>
    <w:p w14:paraId="3DDCB9CA"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Islam and the Arabs: C7th-C15th</w:t>
      </w:r>
    </w:p>
    <w:p w14:paraId="57D05E56"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American Revolution</w:t>
      </w:r>
    </w:p>
    <w:p w14:paraId="6FBFEEE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Russia and the USSR: 1917-1945. </w:t>
      </w:r>
    </w:p>
    <w:p w14:paraId="313D99DE"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Thematic History Study Units:</w:t>
      </w:r>
    </w:p>
    <w:p w14:paraId="2344B417" w14:textId="77777777" w:rsidR="000733F9" w:rsidRPr="00AE141E" w:rsidRDefault="000733F9" w:rsidP="00AE141E">
      <w:pPr>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A choice of three from the following list, assigned half a term each: total one and a half terms</w:t>
      </w:r>
    </w:p>
    <w:p w14:paraId="1DBD930D"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Castles and Cathedrals: 1066-c1500</w:t>
      </w:r>
    </w:p>
    <w:p w14:paraId="0CBF1226" w14:textId="77777777" w:rsidR="000733F9" w:rsidRPr="00AE141E" w:rsidRDefault="000733F9" w:rsidP="00AE141E">
      <w:pPr>
        <w:spacing w:line="360" w:lineRule="auto"/>
        <w:rPr>
          <w:rFonts w:ascii="Times New Roman" w:hAnsi="Times New Roman" w:cs="Times New Roman"/>
          <w:sz w:val="24"/>
          <w:szCs w:val="24"/>
          <w:highlight w:val="yellow"/>
        </w:rPr>
      </w:pPr>
      <w:r w:rsidRPr="00AE141E">
        <w:rPr>
          <w:rFonts w:ascii="Times New Roman" w:hAnsi="Times New Roman" w:cs="Times New Roman"/>
          <w:sz w:val="24"/>
          <w:szCs w:val="24"/>
        </w:rPr>
        <w:t>The French Revolution and the Napoleonic era</w:t>
      </w:r>
    </w:p>
    <w:p w14:paraId="1927E6A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Classical China: from the Han Dynasty to the Mongol Conquest</w:t>
      </w:r>
    </w:p>
    <w:p w14:paraId="2AC8DDB4"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Japan: Shogunate to the present day</w:t>
      </w:r>
    </w:p>
    <w:p w14:paraId="76EE02FA" w14:textId="77777777" w:rsidR="000733F9" w:rsidRPr="00AE141E" w:rsidRDefault="000733F9" w:rsidP="00AE141E">
      <w:pPr>
        <w:spacing w:line="360" w:lineRule="auto"/>
        <w:rPr>
          <w:rFonts w:ascii="Times New Roman" w:hAnsi="Times New Roman" w:cs="Times New Roman"/>
          <w:sz w:val="24"/>
          <w:szCs w:val="24"/>
          <w:highlight w:val="yellow"/>
        </w:rPr>
      </w:pPr>
      <w:r w:rsidRPr="00AE141E">
        <w:rPr>
          <w:rFonts w:ascii="Times New Roman" w:hAnsi="Times New Roman" w:cs="Times New Roman"/>
          <w:sz w:val="24"/>
          <w:szCs w:val="24"/>
        </w:rPr>
        <w:t>The Italian Renaissance: C14th-C15th</w:t>
      </w:r>
    </w:p>
    <w:p w14:paraId="23F520B1"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India: C16th to mid-C19th: the Moghul Empire to the East India Company</w:t>
      </w:r>
    </w:p>
    <w:p w14:paraId="0DF3E11F"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Longer-term Thematic History Study Units:</w:t>
      </w:r>
      <w:r w:rsidRPr="00AE141E">
        <w:rPr>
          <w:rFonts w:ascii="Times New Roman" w:hAnsi="Times New Roman" w:cs="Times New Roman"/>
          <w:sz w:val="24"/>
          <w:szCs w:val="24"/>
        </w:rPr>
        <w:t xml:space="preserve"> </w:t>
      </w:r>
    </w:p>
    <w:p w14:paraId="60102C4A" w14:textId="77777777" w:rsidR="000733F9" w:rsidRPr="00AE141E" w:rsidRDefault="000733F9" w:rsidP="00AE141E">
      <w:pPr>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lastRenderedPageBreak/>
        <w:t xml:space="preserve">A choice of one from the following list, assigned one term: </w:t>
      </w:r>
    </w:p>
    <w:p w14:paraId="677FFE67"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Sport and Society</w:t>
      </w:r>
    </w:p>
    <w:p w14:paraId="344FA85C"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Entertainment and Society</w:t>
      </w:r>
    </w:p>
    <w:p w14:paraId="6EFA9D52"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School Designed Themes:</w:t>
      </w:r>
      <w:r w:rsidRPr="00AE141E">
        <w:rPr>
          <w:rFonts w:ascii="Times New Roman" w:hAnsi="Times New Roman" w:cs="Times New Roman"/>
          <w:sz w:val="24"/>
          <w:szCs w:val="24"/>
        </w:rPr>
        <w:t xml:space="preserve"> </w:t>
      </w:r>
    </w:p>
    <w:p w14:paraId="1F725312" w14:textId="77777777" w:rsidR="000733F9" w:rsidRPr="00AE141E" w:rsidRDefault="000733F9" w:rsidP="00AE141E">
      <w:pPr>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Three, assigned half a term each: total one and a half terms</w:t>
      </w:r>
    </w:p>
    <w:p w14:paraId="7FE98BD0" w14:textId="13C14DE0"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One </w:t>
      </w:r>
      <w:r w:rsidR="00944067" w:rsidRPr="00AE141E">
        <w:rPr>
          <w:rFonts w:ascii="Times New Roman" w:hAnsi="Times New Roman" w:cs="Times New Roman"/>
          <w:sz w:val="24"/>
          <w:szCs w:val="24"/>
        </w:rPr>
        <w:t>Theme</w:t>
      </w:r>
      <w:r w:rsidRPr="00AE141E">
        <w:rPr>
          <w:rFonts w:ascii="Times New Roman" w:hAnsi="Times New Roman" w:cs="Times New Roman"/>
          <w:sz w:val="24"/>
          <w:szCs w:val="24"/>
        </w:rPr>
        <w:t xml:space="preserve"> had to be based on local history. A school not wishing to take up the offer of the remaining School Designed Themes could make a selection from the list of Thematic Study Units set out above.</w:t>
      </w:r>
    </w:p>
    <w:p w14:paraId="3DA5A632"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Key Stage 4</w:t>
      </w:r>
    </w:p>
    <w:p w14:paraId="16E59AEB"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 xml:space="preserve">British History Study Unit: </w:t>
      </w:r>
    </w:p>
    <w:p w14:paraId="0174D92E" w14:textId="77777777" w:rsidR="000733F9" w:rsidRPr="00AE141E" w:rsidRDefault="000733F9" w:rsidP="00AE141E">
      <w:pPr>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Two terms assigned for the single unit</w:t>
      </w:r>
    </w:p>
    <w:p w14:paraId="7ABC68D6" w14:textId="5EFD8784"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Modern Britain: </w:t>
      </w:r>
      <w:r w:rsidR="00944067" w:rsidRPr="00AE141E">
        <w:rPr>
          <w:rFonts w:ascii="Times New Roman" w:hAnsi="Times New Roman" w:cs="Times New Roman"/>
          <w:sz w:val="24"/>
          <w:szCs w:val="24"/>
        </w:rPr>
        <w:t>P</w:t>
      </w:r>
      <w:r w:rsidRPr="00AE141E">
        <w:rPr>
          <w:rFonts w:ascii="Times New Roman" w:hAnsi="Times New Roman" w:cs="Times New Roman"/>
          <w:sz w:val="24"/>
          <w:szCs w:val="24"/>
        </w:rPr>
        <w:t xml:space="preserve">olitics, </w:t>
      </w:r>
      <w:r w:rsidR="00944067" w:rsidRPr="00AE141E">
        <w:rPr>
          <w:rFonts w:ascii="Times New Roman" w:hAnsi="Times New Roman" w:cs="Times New Roman"/>
          <w:sz w:val="24"/>
          <w:szCs w:val="24"/>
        </w:rPr>
        <w:t>W</w:t>
      </w:r>
      <w:r w:rsidRPr="00AE141E">
        <w:rPr>
          <w:rFonts w:ascii="Times New Roman" w:hAnsi="Times New Roman" w:cs="Times New Roman"/>
          <w:sz w:val="24"/>
          <w:szCs w:val="24"/>
        </w:rPr>
        <w:t xml:space="preserve">arfare and </w:t>
      </w:r>
      <w:r w:rsidR="00944067" w:rsidRPr="00AE141E">
        <w:rPr>
          <w:rFonts w:ascii="Times New Roman" w:hAnsi="Times New Roman" w:cs="Times New Roman"/>
          <w:sz w:val="24"/>
          <w:szCs w:val="24"/>
        </w:rPr>
        <w:t>S</w:t>
      </w:r>
      <w:r w:rsidRPr="00AE141E">
        <w:rPr>
          <w:rFonts w:ascii="Times New Roman" w:hAnsi="Times New Roman" w:cs="Times New Roman"/>
          <w:sz w:val="24"/>
          <w:szCs w:val="24"/>
        </w:rPr>
        <w:t xml:space="preserve">ocial </w:t>
      </w:r>
      <w:r w:rsidR="00944067" w:rsidRPr="00AE141E">
        <w:rPr>
          <w:rFonts w:ascii="Times New Roman" w:hAnsi="Times New Roman" w:cs="Times New Roman"/>
          <w:sz w:val="24"/>
          <w:szCs w:val="24"/>
        </w:rPr>
        <w:t>C</w:t>
      </w:r>
      <w:r w:rsidRPr="00AE141E">
        <w:rPr>
          <w:rFonts w:ascii="Times New Roman" w:hAnsi="Times New Roman" w:cs="Times New Roman"/>
          <w:sz w:val="24"/>
          <w:szCs w:val="24"/>
        </w:rPr>
        <w:t>hange</w:t>
      </w:r>
    </w:p>
    <w:p w14:paraId="290EE39D"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European and World History Study Units:</w:t>
      </w:r>
      <w:r w:rsidRPr="00AE141E">
        <w:rPr>
          <w:rFonts w:ascii="Times New Roman" w:hAnsi="Times New Roman" w:cs="Times New Roman"/>
          <w:sz w:val="24"/>
          <w:szCs w:val="24"/>
        </w:rPr>
        <w:t xml:space="preserve"> </w:t>
      </w:r>
    </w:p>
    <w:p w14:paraId="3B3EC571" w14:textId="77777777" w:rsidR="000733F9" w:rsidRPr="00AE141E" w:rsidRDefault="000733F9" w:rsidP="00AE141E">
      <w:pPr>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Two terms assigned, to be shared across the three units</w:t>
      </w:r>
    </w:p>
    <w:p w14:paraId="72295DDC" w14:textId="2264C2CC"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USA: </w:t>
      </w:r>
      <w:r w:rsidR="00944067" w:rsidRPr="00AE141E">
        <w:rPr>
          <w:rFonts w:ascii="Times New Roman" w:hAnsi="Times New Roman" w:cs="Times New Roman"/>
          <w:sz w:val="24"/>
          <w:szCs w:val="24"/>
        </w:rPr>
        <w:t>A</w:t>
      </w:r>
      <w:r w:rsidRPr="00AE141E">
        <w:rPr>
          <w:rFonts w:ascii="Times New Roman" w:hAnsi="Times New Roman" w:cs="Times New Roman"/>
          <w:sz w:val="24"/>
          <w:szCs w:val="24"/>
        </w:rPr>
        <w:t xml:space="preserve"> </w:t>
      </w:r>
      <w:r w:rsidR="00944067" w:rsidRPr="00AE141E">
        <w:rPr>
          <w:rFonts w:ascii="Times New Roman" w:hAnsi="Times New Roman" w:cs="Times New Roman"/>
          <w:sz w:val="24"/>
          <w:szCs w:val="24"/>
        </w:rPr>
        <w:t>W</w:t>
      </w:r>
      <w:r w:rsidRPr="00AE141E">
        <w:rPr>
          <w:rFonts w:ascii="Times New Roman" w:hAnsi="Times New Roman" w:cs="Times New Roman"/>
          <w:sz w:val="24"/>
          <w:szCs w:val="24"/>
        </w:rPr>
        <w:t xml:space="preserve">orld </w:t>
      </w:r>
      <w:r w:rsidR="00944067" w:rsidRPr="00AE141E">
        <w:rPr>
          <w:rFonts w:ascii="Times New Roman" w:hAnsi="Times New Roman" w:cs="Times New Roman"/>
          <w:sz w:val="24"/>
          <w:szCs w:val="24"/>
        </w:rPr>
        <w:t>P</w:t>
      </w:r>
      <w:r w:rsidRPr="00AE141E">
        <w:rPr>
          <w:rFonts w:ascii="Times New Roman" w:hAnsi="Times New Roman" w:cs="Times New Roman"/>
          <w:sz w:val="24"/>
          <w:szCs w:val="24"/>
        </w:rPr>
        <w:t>ower</w:t>
      </w:r>
    </w:p>
    <w:p w14:paraId="3802AAA6" w14:textId="7D2E88A5"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Europe: East </w:t>
      </w:r>
      <w:r w:rsidR="00944067" w:rsidRPr="00AE141E">
        <w:rPr>
          <w:rFonts w:ascii="Times New Roman" w:hAnsi="Times New Roman" w:cs="Times New Roman"/>
          <w:sz w:val="24"/>
          <w:szCs w:val="24"/>
        </w:rPr>
        <w:t>M</w:t>
      </w:r>
      <w:r w:rsidRPr="00AE141E">
        <w:rPr>
          <w:rFonts w:ascii="Times New Roman" w:hAnsi="Times New Roman" w:cs="Times New Roman"/>
          <w:sz w:val="24"/>
          <w:szCs w:val="24"/>
        </w:rPr>
        <w:t xml:space="preserve">eets West: 1945 to the </w:t>
      </w:r>
      <w:r w:rsidR="00944067" w:rsidRPr="00AE141E">
        <w:rPr>
          <w:rFonts w:ascii="Times New Roman" w:hAnsi="Times New Roman" w:cs="Times New Roman"/>
          <w:sz w:val="24"/>
          <w:szCs w:val="24"/>
        </w:rPr>
        <w:t>P</w:t>
      </w:r>
      <w:r w:rsidRPr="00AE141E">
        <w:rPr>
          <w:rFonts w:ascii="Times New Roman" w:hAnsi="Times New Roman" w:cs="Times New Roman"/>
          <w:sz w:val="24"/>
          <w:szCs w:val="24"/>
        </w:rPr>
        <w:t xml:space="preserve">resent </w:t>
      </w:r>
      <w:r w:rsidR="00944067" w:rsidRPr="00AE141E">
        <w:rPr>
          <w:rFonts w:ascii="Times New Roman" w:hAnsi="Times New Roman" w:cs="Times New Roman"/>
          <w:sz w:val="24"/>
          <w:szCs w:val="24"/>
        </w:rPr>
        <w:t>D</w:t>
      </w:r>
      <w:r w:rsidRPr="00AE141E">
        <w:rPr>
          <w:rFonts w:ascii="Times New Roman" w:hAnsi="Times New Roman" w:cs="Times New Roman"/>
          <w:sz w:val="24"/>
          <w:szCs w:val="24"/>
        </w:rPr>
        <w:t>ay</w:t>
      </w:r>
    </w:p>
    <w:p w14:paraId="5959612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Modernisation, post 1945, of Africa, India, or China</w:t>
      </w:r>
    </w:p>
    <w:p w14:paraId="54F197A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Thematic History Study Unit:</w:t>
      </w:r>
      <w:r w:rsidRPr="00AE141E">
        <w:rPr>
          <w:rFonts w:ascii="Times New Roman" w:hAnsi="Times New Roman" w:cs="Times New Roman"/>
          <w:sz w:val="24"/>
          <w:szCs w:val="24"/>
        </w:rPr>
        <w:t xml:space="preserve"> </w:t>
      </w:r>
    </w:p>
    <w:p w14:paraId="53546E49"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i/>
          <w:sz w:val="24"/>
          <w:szCs w:val="24"/>
        </w:rPr>
        <w:t>One term assigned, a choice of one from the following:</w:t>
      </w:r>
      <w:r w:rsidRPr="00AE141E">
        <w:rPr>
          <w:rFonts w:ascii="Times New Roman" w:hAnsi="Times New Roman" w:cs="Times New Roman"/>
          <w:sz w:val="24"/>
          <w:szCs w:val="24"/>
        </w:rPr>
        <w:t xml:space="preserve"> </w:t>
      </w:r>
    </w:p>
    <w:p w14:paraId="6917C753" w14:textId="0BAC6F8C"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The Greek Achievement: </w:t>
      </w:r>
      <w:r w:rsidR="00944067" w:rsidRPr="00AE141E">
        <w:rPr>
          <w:rFonts w:ascii="Times New Roman" w:hAnsi="Times New Roman" w:cs="Times New Roman"/>
          <w:sz w:val="24"/>
          <w:szCs w:val="24"/>
        </w:rPr>
        <w:t>T</w:t>
      </w:r>
      <w:r w:rsidRPr="00AE141E">
        <w:rPr>
          <w:rFonts w:ascii="Times New Roman" w:hAnsi="Times New Roman" w:cs="Times New Roman"/>
          <w:sz w:val="24"/>
          <w:szCs w:val="24"/>
        </w:rPr>
        <w:t xml:space="preserve">he </w:t>
      </w:r>
      <w:r w:rsidR="00944067" w:rsidRPr="00AE141E">
        <w:rPr>
          <w:rFonts w:ascii="Times New Roman" w:hAnsi="Times New Roman" w:cs="Times New Roman"/>
          <w:sz w:val="24"/>
          <w:szCs w:val="24"/>
        </w:rPr>
        <w:t>O</w:t>
      </w:r>
      <w:r w:rsidRPr="00AE141E">
        <w:rPr>
          <w:rFonts w:ascii="Times New Roman" w:hAnsi="Times New Roman" w:cs="Times New Roman"/>
          <w:sz w:val="24"/>
          <w:szCs w:val="24"/>
        </w:rPr>
        <w:t xml:space="preserve">rigins, </w:t>
      </w:r>
      <w:r w:rsidR="00944067" w:rsidRPr="00AE141E">
        <w:rPr>
          <w:rFonts w:ascii="Times New Roman" w:hAnsi="Times New Roman" w:cs="Times New Roman"/>
          <w:sz w:val="24"/>
          <w:szCs w:val="24"/>
        </w:rPr>
        <w:t>I</w:t>
      </w:r>
      <w:r w:rsidRPr="00AE141E">
        <w:rPr>
          <w:rFonts w:ascii="Times New Roman" w:hAnsi="Times New Roman" w:cs="Times New Roman"/>
          <w:sz w:val="24"/>
          <w:szCs w:val="24"/>
        </w:rPr>
        <w:t xml:space="preserve">mpact and </w:t>
      </w:r>
      <w:r w:rsidR="00944067" w:rsidRPr="00AE141E">
        <w:rPr>
          <w:rFonts w:ascii="Times New Roman" w:hAnsi="Times New Roman" w:cs="Times New Roman"/>
          <w:sz w:val="24"/>
          <w:szCs w:val="24"/>
        </w:rPr>
        <w:t>I</w:t>
      </w:r>
      <w:r w:rsidRPr="00AE141E">
        <w:rPr>
          <w:rFonts w:ascii="Times New Roman" w:hAnsi="Times New Roman" w:cs="Times New Roman"/>
          <w:sz w:val="24"/>
          <w:szCs w:val="24"/>
        </w:rPr>
        <w:t xml:space="preserve">nfluence of Greek </w:t>
      </w:r>
      <w:r w:rsidR="00944067" w:rsidRPr="00AE141E">
        <w:rPr>
          <w:rFonts w:ascii="Times New Roman" w:hAnsi="Times New Roman" w:cs="Times New Roman"/>
          <w:sz w:val="24"/>
          <w:szCs w:val="24"/>
        </w:rPr>
        <w:t>C</w:t>
      </w:r>
      <w:r w:rsidRPr="00AE141E">
        <w:rPr>
          <w:rFonts w:ascii="Times New Roman" w:hAnsi="Times New Roman" w:cs="Times New Roman"/>
          <w:sz w:val="24"/>
          <w:szCs w:val="24"/>
        </w:rPr>
        <w:t xml:space="preserve">ulture through the </w:t>
      </w:r>
      <w:r w:rsidR="00944067" w:rsidRPr="00AE141E">
        <w:rPr>
          <w:rFonts w:ascii="Times New Roman" w:hAnsi="Times New Roman" w:cs="Times New Roman"/>
          <w:sz w:val="24"/>
          <w:szCs w:val="24"/>
        </w:rPr>
        <w:t>A</w:t>
      </w:r>
      <w:r w:rsidRPr="00AE141E">
        <w:rPr>
          <w:rFonts w:ascii="Times New Roman" w:hAnsi="Times New Roman" w:cs="Times New Roman"/>
          <w:sz w:val="24"/>
          <w:szCs w:val="24"/>
        </w:rPr>
        <w:t>ges</w:t>
      </w:r>
    </w:p>
    <w:p w14:paraId="5046AF11" w14:textId="5B11205B" w:rsidR="000733F9" w:rsidRPr="00AE141E" w:rsidRDefault="000733F9" w:rsidP="00AE141E">
      <w:pPr>
        <w:spacing w:line="360" w:lineRule="auto"/>
        <w:rPr>
          <w:rFonts w:ascii="Times New Roman" w:hAnsi="Times New Roman" w:cs="Times New Roman"/>
          <w:i/>
          <w:iCs/>
          <w:sz w:val="24"/>
          <w:szCs w:val="24"/>
        </w:rPr>
      </w:pPr>
      <w:r w:rsidRPr="00AE141E">
        <w:rPr>
          <w:rFonts w:ascii="Times New Roman" w:hAnsi="Times New Roman" w:cs="Times New Roman"/>
          <w:sz w:val="24"/>
          <w:szCs w:val="24"/>
        </w:rPr>
        <w:t xml:space="preserve"> Energy: </w:t>
      </w:r>
      <w:r w:rsidR="00944067" w:rsidRPr="00AE141E">
        <w:rPr>
          <w:rFonts w:ascii="Times New Roman" w:hAnsi="Times New Roman" w:cs="Times New Roman"/>
          <w:sz w:val="24"/>
          <w:szCs w:val="24"/>
        </w:rPr>
        <w:t>T</w:t>
      </w:r>
      <w:r w:rsidRPr="00AE141E">
        <w:rPr>
          <w:rFonts w:ascii="Times New Roman" w:hAnsi="Times New Roman" w:cs="Times New Roman"/>
          <w:sz w:val="24"/>
          <w:szCs w:val="24"/>
        </w:rPr>
        <w:t xml:space="preserve">he </w:t>
      </w:r>
      <w:r w:rsidR="00944067" w:rsidRPr="00AE141E">
        <w:rPr>
          <w:rFonts w:ascii="Times New Roman" w:hAnsi="Times New Roman" w:cs="Times New Roman"/>
          <w:sz w:val="24"/>
          <w:szCs w:val="24"/>
        </w:rPr>
        <w:t>H</w:t>
      </w:r>
      <w:r w:rsidRPr="00AE141E">
        <w:rPr>
          <w:rFonts w:ascii="Times New Roman" w:hAnsi="Times New Roman" w:cs="Times New Roman"/>
          <w:sz w:val="24"/>
          <w:szCs w:val="24"/>
        </w:rPr>
        <w:t xml:space="preserve">arnessing of </w:t>
      </w:r>
      <w:r w:rsidR="00944067" w:rsidRPr="00AE141E">
        <w:rPr>
          <w:rFonts w:ascii="Times New Roman" w:hAnsi="Times New Roman" w:cs="Times New Roman"/>
          <w:sz w:val="24"/>
          <w:szCs w:val="24"/>
        </w:rPr>
        <w:t>E</w:t>
      </w:r>
      <w:r w:rsidRPr="00AE141E">
        <w:rPr>
          <w:rFonts w:ascii="Times New Roman" w:hAnsi="Times New Roman" w:cs="Times New Roman"/>
          <w:sz w:val="24"/>
          <w:szCs w:val="24"/>
        </w:rPr>
        <w:t xml:space="preserve">nergy and its </w:t>
      </w:r>
      <w:r w:rsidR="00944067" w:rsidRPr="00AE141E">
        <w:rPr>
          <w:rFonts w:ascii="Times New Roman" w:hAnsi="Times New Roman" w:cs="Times New Roman"/>
          <w:sz w:val="24"/>
          <w:szCs w:val="24"/>
        </w:rPr>
        <w:t>S</w:t>
      </w:r>
      <w:r w:rsidRPr="00AE141E">
        <w:rPr>
          <w:rFonts w:ascii="Times New Roman" w:hAnsi="Times New Roman" w:cs="Times New Roman"/>
          <w:sz w:val="24"/>
          <w:szCs w:val="24"/>
        </w:rPr>
        <w:t xml:space="preserve">ocial and </w:t>
      </w:r>
      <w:r w:rsidR="00944067" w:rsidRPr="00AE141E">
        <w:rPr>
          <w:rFonts w:ascii="Times New Roman" w:hAnsi="Times New Roman" w:cs="Times New Roman"/>
          <w:sz w:val="24"/>
          <w:szCs w:val="24"/>
        </w:rPr>
        <w:t>E</w:t>
      </w:r>
      <w:r w:rsidRPr="00AE141E">
        <w:rPr>
          <w:rFonts w:ascii="Times New Roman" w:hAnsi="Times New Roman" w:cs="Times New Roman"/>
          <w:sz w:val="24"/>
          <w:szCs w:val="24"/>
        </w:rPr>
        <w:t xml:space="preserve">conomic </w:t>
      </w:r>
      <w:r w:rsidR="00944067" w:rsidRPr="00AE141E">
        <w:rPr>
          <w:rFonts w:ascii="Times New Roman" w:hAnsi="Times New Roman" w:cs="Times New Roman"/>
          <w:sz w:val="24"/>
          <w:szCs w:val="24"/>
        </w:rPr>
        <w:t>E</w:t>
      </w:r>
      <w:r w:rsidRPr="00AE141E">
        <w:rPr>
          <w:rFonts w:ascii="Times New Roman" w:hAnsi="Times New Roman" w:cs="Times New Roman"/>
          <w:sz w:val="24"/>
          <w:szCs w:val="24"/>
        </w:rPr>
        <w:t>ffects</w:t>
      </w:r>
    </w:p>
    <w:p w14:paraId="42B6F8F1" w14:textId="77777777" w:rsidR="000733F9" w:rsidRPr="00AE141E" w:rsidRDefault="000733F9" w:rsidP="00AE141E">
      <w:pPr>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Final Report of the HWG</w:t>
      </w:r>
    </w:p>
    <w:p w14:paraId="00790042"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 xml:space="preserve">KS3 </w:t>
      </w:r>
      <w:r w:rsidRPr="00AE141E">
        <w:rPr>
          <w:rFonts w:ascii="Times New Roman" w:hAnsi="Times New Roman" w:cs="Times New Roman"/>
          <w:sz w:val="24"/>
          <w:szCs w:val="24"/>
        </w:rPr>
        <w:t>(three years, nine terms)</w:t>
      </w:r>
    </w:p>
    <w:p w14:paraId="3D0B9B20"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lastRenderedPageBreak/>
        <w:t xml:space="preserve">Core Units </w:t>
      </w:r>
      <w:r w:rsidRPr="00AE141E">
        <w:rPr>
          <w:rFonts w:ascii="Times New Roman" w:hAnsi="Times New Roman" w:cs="Times New Roman"/>
          <w:sz w:val="24"/>
          <w:szCs w:val="24"/>
        </w:rPr>
        <w:t>(British elements, indicated by *, recommended to be taught chronologically, one per year)</w:t>
      </w:r>
    </w:p>
    <w:p w14:paraId="014AE87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*Medieval Realms: c1066 to c1300</w:t>
      </w:r>
    </w:p>
    <w:p w14:paraId="31C56B0F"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Making of the United Kingdom: c1500 to c1750</w:t>
      </w:r>
    </w:p>
    <w:p w14:paraId="7DA8F703"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*Expansion, Trade and Industry: Britain c1750 to c1900</w:t>
      </w:r>
    </w:p>
    <w:p w14:paraId="56192E41"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Roman Empire</w:t>
      </w:r>
    </w:p>
    <w:p w14:paraId="1F105519"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Options</w:t>
      </w:r>
    </w:p>
    <w:p w14:paraId="509D5F9F"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 choice of one from each of the following lists but not more than two School Designed History Study Units (SDHSU) to be selected from Lists A to D.</w:t>
      </w:r>
    </w:p>
    <w:p w14:paraId="406A31CD" w14:textId="77777777" w:rsidR="000733F9" w:rsidRPr="00AE141E" w:rsidRDefault="000733F9" w:rsidP="00AE141E">
      <w:pPr>
        <w:spacing w:line="360" w:lineRule="auto"/>
        <w:rPr>
          <w:rFonts w:ascii="Times New Roman" w:hAnsi="Times New Roman" w:cs="Times New Roman"/>
          <w:sz w:val="24"/>
          <w:szCs w:val="24"/>
          <w:u w:val="single"/>
        </w:rPr>
      </w:pPr>
      <w:r w:rsidRPr="00AE141E">
        <w:rPr>
          <w:rFonts w:ascii="Times New Roman" w:hAnsi="Times New Roman" w:cs="Times New Roman"/>
          <w:sz w:val="24"/>
          <w:szCs w:val="24"/>
          <w:u w:val="single"/>
        </w:rPr>
        <w:t>List A:</w:t>
      </w:r>
    </w:p>
    <w:p w14:paraId="4505538C"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Castles and Cathedrals: c1066 to c1500</w:t>
      </w:r>
    </w:p>
    <w:p w14:paraId="78630609"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Culture and Society in Ireland up to early C20th </w:t>
      </w:r>
    </w:p>
    <w:p w14:paraId="09EB81D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British Empire at its Zenith: 1877 to 1905</w:t>
      </w:r>
    </w:p>
    <w:p w14:paraId="2AE16854"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Britain and the Great War: 1914 to 1918</w:t>
      </w:r>
    </w:p>
    <w:p w14:paraId="246C3A14"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SDHSU which informs and extends the study of the British core HSUs</w:t>
      </w:r>
    </w:p>
    <w:p w14:paraId="66FCE9C1" w14:textId="77777777" w:rsidR="000733F9" w:rsidRPr="00AE141E" w:rsidRDefault="000733F9" w:rsidP="00AE141E">
      <w:pPr>
        <w:spacing w:line="360" w:lineRule="auto"/>
        <w:rPr>
          <w:rFonts w:ascii="Times New Roman" w:hAnsi="Times New Roman" w:cs="Times New Roman"/>
          <w:sz w:val="24"/>
          <w:szCs w:val="24"/>
          <w:u w:val="single"/>
        </w:rPr>
      </w:pPr>
      <w:r w:rsidRPr="00AE141E">
        <w:rPr>
          <w:rFonts w:ascii="Times New Roman" w:hAnsi="Times New Roman" w:cs="Times New Roman"/>
          <w:sz w:val="24"/>
          <w:szCs w:val="24"/>
          <w:u w:val="single"/>
        </w:rPr>
        <w:t>List B:</w:t>
      </w:r>
    </w:p>
    <w:p w14:paraId="0FA07ED0"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Reformation and Religious Diversity in Western Europe in C16th </w:t>
      </w:r>
    </w:p>
    <w:p w14:paraId="1B2DA20B"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Italian Renaissance</w:t>
      </w:r>
    </w:p>
    <w:p w14:paraId="40AE477A"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French Revolution and the Napoleonic Era</w:t>
      </w:r>
    </w:p>
    <w:p w14:paraId="78F8F819"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SDHSU involving the study of a major European turning point before 1914</w:t>
      </w:r>
    </w:p>
    <w:p w14:paraId="0252BCB0" w14:textId="77777777" w:rsidR="000733F9" w:rsidRPr="00AE141E" w:rsidRDefault="000733F9" w:rsidP="00AE141E">
      <w:pPr>
        <w:spacing w:line="360" w:lineRule="auto"/>
        <w:rPr>
          <w:rFonts w:ascii="Times New Roman" w:hAnsi="Times New Roman" w:cs="Times New Roman"/>
          <w:sz w:val="24"/>
          <w:szCs w:val="24"/>
          <w:u w:val="single"/>
        </w:rPr>
      </w:pPr>
      <w:r w:rsidRPr="00AE141E">
        <w:rPr>
          <w:rFonts w:ascii="Times New Roman" w:hAnsi="Times New Roman" w:cs="Times New Roman"/>
          <w:sz w:val="24"/>
          <w:szCs w:val="24"/>
          <w:u w:val="single"/>
        </w:rPr>
        <w:t>List C:</w:t>
      </w:r>
    </w:p>
    <w:p w14:paraId="3B1D6B1A"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Islamic Civilisation up to early C16th</w:t>
      </w:r>
    </w:p>
    <w:p w14:paraId="72A2A301"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Imperial China: 221BC to the Mongol Conquest 1279AD</w:t>
      </w:r>
    </w:p>
    <w:p w14:paraId="6454570C"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India from the Mughal Empire to the Coming of the British: 1526 to 1805</w:t>
      </w:r>
    </w:p>
    <w:p w14:paraId="129C409A"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SDHSU involving the study of a non-Western culture from its own perspective.</w:t>
      </w:r>
    </w:p>
    <w:p w14:paraId="0F67143D" w14:textId="77777777" w:rsidR="000733F9" w:rsidRPr="00AE141E" w:rsidRDefault="000733F9" w:rsidP="00AE141E">
      <w:pPr>
        <w:spacing w:line="360" w:lineRule="auto"/>
        <w:rPr>
          <w:rFonts w:ascii="Times New Roman" w:hAnsi="Times New Roman" w:cs="Times New Roman"/>
          <w:sz w:val="24"/>
          <w:szCs w:val="24"/>
          <w:u w:val="single"/>
        </w:rPr>
      </w:pPr>
      <w:r w:rsidRPr="00AE141E">
        <w:rPr>
          <w:rFonts w:ascii="Times New Roman" w:hAnsi="Times New Roman" w:cs="Times New Roman"/>
          <w:sz w:val="24"/>
          <w:szCs w:val="24"/>
          <w:u w:val="single"/>
        </w:rPr>
        <w:lastRenderedPageBreak/>
        <w:t>List D:</w:t>
      </w:r>
    </w:p>
    <w:p w14:paraId="008015CC"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Native Peoples of the Americas</w:t>
      </w:r>
    </w:p>
    <w:p w14:paraId="4CD0D7F9"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Black Peoples of the Americas: C16th to Early C20th</w:t>
      </w:r>
    </w:p>
    <w:p w14:paraId="02FA5363"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American Revolution</w:t>
      </w:r>
    </w:p>
    <w:p w14:paraId="585DB96E"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American Frontier: c1650 to c1900</w:t>
      </w:r>
    </w:p>
    <w:p w14:paraId="1E9FA135"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SDHSU involving the study of the Americas</w:t>
      </w:r>
    </w:p>
    <w:p w14:paraId="6CF83C7A"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 xml:space="preserve">School Designed History Study Unit </w:t>
      </w:r>
    </w:p>
    <w:p w14:paraId="0A350671"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One, long-term in nature, based on British social history</w:t>
      </w:r>
    </w:p>
    <w:p w14:paraId="2F44C2BE"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b/>
          <w:bCs/>
          <w:sz w:val="24"/>
          <w:szCs w:val="24"/>
        </w:rPr>
        <w:t xml:space="preserve">KS4 </w:t>
      </w:r>
      <w:r w:rsidRPr="00AE141E">
        <w:rPr>
          <w:rFonts w:ascii="Times New Roman" w:hAnsi="Times New Roman" w:cs="Times New Roman"/>
          <w:sz w:val="24"/>
          <w:szCs w:val="24"/>
        </w:rPr>
        <w:t>(two years, five terms with the expectation that one further term will be spent on exams)</w:t>
      </w:r>
    </w:p>
    <w:p w14:paraId="7BEFB482"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Core</w:t>
      </w:r>
    </w:p>
    <w:p w14:paraId="35ECD5FD"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Britain in the Twentieth Century</w:t>
      </w:r>
    </w:p>
    <w:p w14:paraId="59DA2100"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Era of the Second World War: 1933-1948</w:t>
      </w:r>
    </w:p>
    <w:p w14:paraId="2030F1E4"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Options</w:t>
      </w:r>
    </w:p>
    <w:p w14:paraId="10BC7918"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 choice of one from List A and one from List B</w:t>
      </w:r>
    </w:p>
    <w:p w14:paraId="297E4937" w14:textId="77777777" w:rsidR="000733F9" w:rsidRPr="00AE141E" w:rsidRDefault="000733F9" w:rsidP="00AE141E">
      <w:pPr>
        <w:spacing w:line="360" w:lineRule="auto"/>
        <w:rPr>
          <w:rFonts w:ascii="Times New Roman" w:hAnsi="Times New Roman" w:cs="Times New Roman"/>
          <w:sz w:val="24"/>
          <w:szCs w:val="24"/>
          <w:u w:val="single"/>
        </w:rPr>
      </w:pPr>
      <w:r w:rsidRPr="00AE141E">
        <w:rPr>
          <w:rFonts w:ascii="Times New Roman" w:hAnsi="Times New Roman" w:cs="Times New Roman"/>
          <w:sz w:val="24"/>
          <w:szCs w:val="24"/>
          <w:u w:val="single"/>
        </w:rPr>
        <w:t>List A:</w:t>
      </w:r>
    </w:p>
    <w:p w14:paraId="6CCB7EFF"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East and West: Europe 1948 to the Present Day</w:t>
      </w:r>
    </w:p>
    <w:p w14:paraId="55D3E96E"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Russia and the USSR: 1905 to the Present Day</w:t>
      </w:r>
    </w:p>
    <w:p w14:paraId="3DAF1746"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United States of America: 1917 to the Present Day</w:t>
      </w:r>
    </w:p>
    <w:p w14:paraId="011CAB01" w14:textId="77777777" w:rsidR="000733F9" w:rsidRPr="00AE141E" w:rsidRDefault="000733F9" w:rsidP="00AE141E">
      <w:pPr>
        <w:spacing w:line="360" w:lineRule="auto"/>
        <w:rPr>
          <w:rFonts w:ascii="Times New Roman" w:hAnsi="Times New Roman" w:cs="Times New Roman"/>
          <w:sz w:val="24"/>
          <w:szCs w:val="24"/>
          <w:u w:val="single"/>
        </w:rPr>
      </w:pPr>
      <w:r w:rsidRPr="00AE141E">
        <w:rPr>
          <w:rFonts w:ascii="Times New Roman" w:hAnsi="Times New Roman" w:cs="Times New Roman"/>
          <w:sz w:val="24"/>
          <w:szCs w:val="24"/>
          <w:u w:val="single"/>
        </w:rPr>
        <w:t>List B:</w:t>
      </w:r>
    </w:p>
    <w:p w14:paraId="43D8FF48"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India and Pakistan: 1930 to 1964</w:t>
      </w:r>
    </w:p>
    <w:p w14:paraId="76C656A7"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Africa South of the Sahara since 1945</w:t>
      </w:r>
    </w:p>
    <w:p w14:paraId="31F746BF"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Japan: 1868 to the Present Day</w:t>
      </w:r>
    </w:p>
    <w:p w14:paraId="7661CD73"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China: 1937 to the Present Day</w:t>
      </w:r>
    </w:p>
    <w:p w14:paraId="21139A3C"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 xml:space="preserve">School Designed History Study Unit </w:t>
      </w:r>
    </w:p>
    <w:p w14:paraId="0810A12E"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One, based on revisiting British history, studied over a long time-span (starting at least before 1500 and reaching up to the present day)</w:t>
      </w:r>
    </w:p>
    <w:p w14:paraId="010409BA" w14:textId="77777777" w:rsidR="000733F9" w:rsidRPr="00AE141E" w:rsidRDefault="000733F9" w:rsidP="00AE141E">
      <w:pPr>
        <w:spacing w:line="360" w:lineRule="auto"/>
        <w:rPr>
          <w:rFonts w:ascii="Times New Roman" w:hAnsi="Times New Roman" w:cs="Times New Roman"/>
          <w:b/>
          <w:bCs/>
          <w:sz w:val="24"/>
          <w:szCs w:val="24"/>
          <w:u w:val="single"/>
        </w:rPr>
      </w:pPr>
      <w:r w:rsidRPr="00AE141E">
        <w:rPr>
          <w:rFonts w:ascii="Times New Roman" w:hAnsi="Times New Roman" w:cs="Times New Roman"/>
          <w:b/>
          <w:bCs/>
          <w:i/>
          <w:sz w:val="24"/>
          <w:szCs w:val="24"/>
          <w:u w:val="single"/>
        </w:rPr>
        <w:t>History in the National Curriculum: England</w:t>
      </w:r>
      <w:r w:rsidRPr="00AE141E">
        <w:rPr>
          <w:rFonts w:ascii="Times New Roman" w:hAnsi="Times New Roman" w:cs="Times New Roman"/>
          <w:b/>
          <w:bCs/>
          <w:sz w:val="24"/>
          <w:szCs w:val="24"/>
          <w:u w:val="single"/>
        </w:rPr>
        <w:t xml:space="preserve"> (HMSO, 1991)</w:t>
      </w:r>
    </w:p>
    <w:p w14:paraId="12F5D7E6"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KS3</w:t>
      </w:r>
    </w:p>
    <w:p w14:paraId="7C68564A"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Core</w:t>
      </w:r>
    </w:p>
    <w:p w14:paraId="49C34204"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Roman Empire</w:t>
      </w:r>
    </w:p>
    <w:p w14:paraId="62C86FB0"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Medieval Realms: Britain 1066 to 1500</w:t>
      </w:r>
    </w:p>
    <w:p w14:paraId="3E71A3C8"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Making of the United Kingdom: Crowns, Parliaments and Peoples 1500 to 1750</w:t>
      </w:r>
    </w:p>
    <w:p w14:paraId="28A4F843"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Expansion, Trade and Industry: Britain 1750 to 1900</w:t>
      </w:r>
    </w:p>
    <w:p w14:paraId="5BD4FC8D"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The Era of the Second World War</w:t>
      </w:r>
    </w:p>
    <w:p w14:paraId="14E9A1BD"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 xml:space="preserve">Supplementary </w:t>
      </w:r>
    </w:p>
    <w:p w14:paraId="61EE9471"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Three units, one from each of the three categories A, B, and C, to ‘complement or extend the core study units’. </w:t>
      </w:r>
    </w:p>
    <w:p w14:paraId="18C1A984"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A.) This unit should ‘extend the study of the core British study units for this key stage’. It must relate to the history of the British Isles before 1920 and involve either a ‘study in depth or the study of a theme over a long period of time'.</w:t>
      </w:r>
    </w:p>
    <w:p w14:paraId="5890E719"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B.) This unit should involve the study of ‘an episode or turning point in European history before 1914’. It should be based on an episode or turning point of ‘major historical significance’; ‘illustrate links between developments in different parts of Europe’; and examine its short- and long-term implications.</w:t>
      </w:r>
    </w:p>
    <w:p w14:paraId="49FE821F" w14:textId="77777777" w:rsidR="000733F9" w:rsidRPr="00AE141E" w:rsidRDefault="000733F9"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 This unit should involve the ‘study of a past non-European society’. It should ‘focus on the key historical issues concerning people of non-European background in a past society in Asia, Africa, America or Australasia’; ‘involve study from a variety of perspectives: political; economic, technological and scientific; religious; cultural and aesthetic’; involve a long-term perspective; and be based on a society or societies different from those studied in KS2.</w:t>
      </w:r>
    </w:p>
    <w:p w14:paraId="43D2C983"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KS4</w:t>
      </w:r>
    </w:p>
    <w:p w14:paraId="08896FCC" w14:textId="77777777" w:rsidR="000733F9" w:rsidRPr="00AE141E" w:rsidRDefault="000733F9" w:rsidP="00AE141E">
      <w:pPr>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Core</w:t>
      </w:r>
    </w:p>
    <w:p w14:paraId="1B92AA58"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The Development of British Democracy 1900 to circa 20 Years Ago</w:t>
      </w:r>
    </w:p>
    <w:p w14:paraId="649DC583"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International Conflict and Co-operation circa 1945 to circa 20 Years Ago</w:t>
      </w:r>
    </w:p>
    <w:p w14:paraId="13AF20BD"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Economic, Social and Cultural Change in Britain, Europe and the World</w:t>
      </w:r>
    </w:p>
    <w:p w14:paraId="4087A696" w14:textId="77777777" w:rsidR="000733F9" w:rsidRPr="00AE141E" w:rsidRDefault="000733F9" w:rsidP="00AE141E">
      <w:pPr>
        <w:tabs>
          <w:tab w:val="left" w:pos="2835"/>
        </w:tabs>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Supplementary</w:t>
      </w:r>
    </w:p>
    <w:p w14:paraId="2F0E9D9D"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One thematic unit designed to ‘deepen pupils’ understanding of chronology and build on historical studies in earlier key stages’. To be drawn from British history, involve a long time span, pay explicit attention to chronology, compare developments across different periods, and to be based on a key historical theme.</w:t>
      </w:r>
    </w:p>
    <w:p w14:paraId="5EC150B2"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One unit involving a detailed study of the twentieth-century history of a country or region of the world other than Britain, chosen from:</w:t>
      </w:r>
    </w:p>
    <w:p w14:paraId="3941B380" w14:textId="77777777" w:rsidR="000733F9" w:rsidRPr="00AE141E" w:rsidRDefault="000733F9" w:rsidP="00AE141E">
      <w:pPr>
        <w:pStyle w:val="ListParagraph"/>
        <w:numPr>
          <w:ilvl w:val="0"/>
          <w:numId w:val="4"/>
        </w:num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Russia and the USSR 1905 to 1964 (from the 1905 Revolution to the fall of Khrushchev)</w:t>
      </w:r>
    </w:p>
    <w:p w14:paraId="2890127D" w14:textId="77777777" w:rsidR="000733F9" w:rsidRPr="00AE141E" w:rsidRDefault="000733F9" w:rsidP="00AE141E">
      <w:pPr>
        <w:pStyle w:val="ListParagraph"/>
        <w:numPr>
          <w:ilvl w:val="0"/>
          <w:numId w:val="4"/>
        </w:num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The United States of America 1917 to 1963 (from the entry of the USA into the First World War to the assassination of President Kennedy)</w:t>
      </w:r>
    </w:p>
    <w:p w14:paraId="3A2208D9" w14:textId="77777777" w:rsidR="000733F9" w:rsidRPr="00AE141E" w:rsidRDefault="000733F9" w:rsidP="00AE141E">
      <w:pPr>
        <w:pStyle w:val="ListParagraph"/>
        <w:numPr>
          <w:ilvl w:val="0"/>
          <w:numId w:val="4"/>
        </w:num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The Indian Sub-continent 1914 to 1964 (from the First World War to the death of Nehru)</w:t>
      </w:r>
    </w:p>
    <w:p w14:paraId="46BA3297" w14:textId="77777777" w:rsidR="000733F9" w:rsidRPr="00AE141E" w:rsidRDefault="000733F9" w:rsidP="00AE141E">
      <w:pPr>
        <w:pStyle w:val="ListParagraph"/>
        <w:numPr>
          <w:ilvl w:val="0"/>
          <w:numId w:val="4"/>
        </w:num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Africa South of the Sahara 1900 to 1963 (from the time of the Boer War to the independence of Kenya)</w:t>
      </w:r>
    </w:p>
    <w:p w14:paraId="7033A8D0" w14:textId="77777777" w:rsidR="000733F9" w:rsidRPr="00AE141E" w:rsidRDefault="000733F9" w:rsidP="00AE141E">
      <w:pPr>
        <w:pStyle w:val="ListParagraph"/>
        <w:numPr>
          <w:ilvl w:val="0"/>
          <w:numId w:val="4"/>
        </w:num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The Middle East 1914 to 1967 (from the First World War to the Six Day Arab-Israeli War)</w:t>
      </w:r>
    </w:p>
    <w:p w14:paraId="08E02B3A" w14:textId="77777777" w:rsidR="000733F9" w:rsidRPr="00AE141E" w:rsidRDefault="000733F9" w:rsidP="00AE141E">
      <w:pPr>
        <w:pStyle w:val="ListParagraph"/>
        <w:numPr>
          <w:ilvl w:val="0"/>
          <w:numId w:val="4"/>
        </w:num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Latin America 1910 to 1962 (from the Mexican Revolution to the Cuba Crisis)</w:t>
      </w:r>
    </w:p>
    <w:p w14:paraId="1AE706B2" w14:textId="77777777" w:rsidR="000733F9" w:rsidRPr="00AE141E" w:rsidRDefault="000733F9" w:rsidP="00AE141E">
      <w:pPr>
        <w:pStyle w:val="ListParagraph"/>
        <w:numPr>
          <w:ilvl w:val="0"/>
          <w:numId w:val="4"/>
        </w:num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Japan 1904 to mid 1960s (from the Russo-Japanese War to the emergence of Japan as a major economic power)</w:t>
      </w:r>
    </w:p>
    <w:p w14:paraId="2BF89E1A" w14:textId="77777777" w:rsidR="000733F9" w:rsidRPr="00AE141E" w:rsidRDefault="000733F9" w:rsidP="00AE141E">
      <w:pPr>
        <w:pStyle w:val="ListParagraph"/>
        <w:numPr>
          <w:ilvl w:val="0"/>
          <w:numId w:val="4"/>
        </w:num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China 1911 to 1966 (from the Chinese Revolution to the 'Cultural revolution')</w:t>
      </w:r>
    </w:p>
    <w:p w14:paraId="7BD61133" w14:textId="77777777" w:rsidR="000733F9" w:rsidRPr="00AE141E" w:rsidRDefault="000733F9" w:rsidP="00AE141E">
      <w:pPr>
        <w:tabs>
          <w:tab w:val="left" w:pos="2835"/>
        </w:tabs>
        <w:spacing w:line="360" w:lineRule="auto"/>
        <w:rPr>
          <w:rFonts w:ascii="Times New Roman" w:hAnsi="Times New Roman" w:cs="Times New Roman"/>
          <w:b/>
          <w:bCs/>
          <w:sz w:val="24"/>
          <w:szCs w:val="24"/>
          <w:u w:val="single"/>
        </w:rPr>
      </w:pPr>
      <w:r w:rsidRPr="00AE141E">
        <w:rPr>
          <w:rFonts w:ascii="Times New Roman" w:hAnsi="Times New Roman" w:cs="Times New Roman"/>
          <w:b/>
          <w:bCs/>
          <w:i/>
          <w:sz w:val="24"/>
          <w:szCs w:val="24"/>
          <w:u w:val="single"/>
        </w:rPr>
        <w:t>History in the National Curriculum: England</w:t>
      </w:r>
      <w:r w:rsidRPr="00AE141E">
        <w:rPr>
          <w:rFonts w:ascii="Times New Roman" w:hAnsi="Times New Roman" w:cs="Times New Roman"/>
          <w:b/>
          <w:bCs/>
          <w:sz w:val="24"/>
          <w:szCs w:val="24"/>
          <w:u w:val="single"/>
        </w:rPr>
        <w:t xml:space="preserve"> (HMSO, 1995) i.e. Dearing Review history</w:t>
      </w:r>
    </w:p>
    <w:p w14:paraId="5E5ED5D9"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Pupils should be taught all six study units. Units 1, 2, 3 and 4 should be taught in that sequence:</w:t>
      </w:r>
    </w:p>
    <w:p w14:paraId="773EDDA4"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1. Medieval Realms: Britain 1066-1500</w:t>
      </w:r>
    </w:p>
    <w:p w14:paraId="41C9C76D"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2. The Making of the United Kingdom: Crowns, Parliaments and Peoples, 1500-1750 </w:t>
      </w:r>
    </w:p>
    <w:p w14:paraId="74F47B55"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3. Britain 1750- circa 1900</w:t>
      </w:r>
    </w:p>
    <w:p w14:paraId="622C6ACE"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4. The Twentieth Century World</w:t>
      </w:r>
    </w:p>
    <w:p w14:paraId="5D0A55A6" w14:textId="77777777" w:rsidR="000733F9"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5. An Era or Turning Point in European History Before 1914</w:t>
      </w:r>
    </w:p>
    <w:p w14:paraId="691AE1C4" w14:textId="77777777" w:rsidR="0014542A" w:rsidRPr="00AE141E" w:rsidRDefault="000733F9" w:rsidP="00AE141E">
      <w:pPr>
        <w:tabs>
          <w:tab w:val="left" w:pos="2835"/>
        </w:tabs>
        <w:spacing w:line="360" w:lineRule="auto"/>
        <w:rPr>
          <w:rFonts w:ascii="Times New Roman" w:hAnsi="Times New Roman" w:cs="Times New Roman"/>
          <w:sz w:val="24"/>
          <w:szCs w:val="24"/>
        </w:rPr>
      </w:pPr>
      <w:r w:rsidRPr="00AE141E">
        <w:rPr>
          <w:rFonts w:ascii="Times New Roman" w:hAnsi="Times New Roman" w:cs="Times New Roman"/>
          <w:sz w:val="24"/>
          <w:szCs w:val="24"/>
        </w:rPr>
        <w:t>6. A Past Non-European Society</w:t>
      </w:r>
    </w:p>
    <w:p w14:paraId="36992FC9" w14:textId="48026C2D" w:rsidR="004C09DC" w:rsidRPr="00AE141E" w:rsidRDefault="0014542A" w:rsidP="008E72D5">
      <w:pPr>
        <w:pStyle w:val="Heading1"/>
      </w:pPr>
      <w:r w:rsidRPr="00AE141E">
        <w:br w:type="page"/>
      </w:r>
      <w:bookmarkStart w:id="25" w:name="_Toc193726237"/>
      <w:r w:rsidR="004C09DC" w:rsidRPr="00AE141E">
        <w:lastRenderedPageBreak/>
        <w:t>Bibliography</w:t>
      </w:r>
      <w:bookmarkEnd w:id="25"/>
    </w:p>
    <w:p w14:paraId="2DCAF2E9" w14:textId="77777777" w:rsidR="004C09DC" w:rsidRPr="00AE141E" w:rsidRDefault="004C09DC" w:rsidP="00AE141E">
      <w:pPr>
        <w:pStyle w:val="FootnoteText"/>
        <w:spacing w:line="360" w:lineRule="auto"/>
        <w:rPr>
          <w:rFonts w:ascii="Times New Roman" w:hAnsi="Times New Roman" w:cs="Times New Roman"/>
          <w:b/>
          <w:bCs/>
          <w:i/>
          <w:iCs/>
          <w:sz w:val="24"/>
          <w:szCs w:val="24"/>
        </w:rPr>
      </w:pPr>
    </w:p>
    <w:p w14:paraId="5DD593A8" w14:textId="77777777" w:rsidR="004C09DC" w:rsidRPr="00AE141E" w:rsidRDefault="004C09DC" w:rsidP="00AE141E">
      <w:pPr>
        <w:pStyle w:val="FootnoteText"/>
        <w:spacing w:line="360" w:lineRule="auto"/>
        <w:rPr>
          <w:rFonts w:ascii="Times New Roman" w:hAnsi="Times New Roman" w:cs="Times New Roman"/>
          <w:b/>
          <w:bCs/>
          <w:i/>
          <w:iCs/>
          <w:sz w:val="24"/>
          <w:szCs w:val="24"/>
        </w:rPr>
      </w:pPr>
      <w:r w:rsidRPr="00AE141E">
        <w:rPr>
          <w:rFonts w:ascii="Times New Roman" w:hAnsi="Times New Roman" w:cs="Times New Roman"/>
          <w:b/>
          <w:bCs/>
          <w:i/>
          <w:sz w:val="24"/>
          <w:szCs w:val="24"/>
        </w:rPr>
        <w:t>I. Primary Sources</w:t>
      </w:r>
    </w:p>
    <w:p w14:paraId="658E8B04"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28780361"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Manuscript Sources</w:t>
      </w:r>
    </w:p>
    <w:p w14:paraId="1F265B6F"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p>
    <w:p w14:paraId="1D8E77D6" w14:textId="77777777" w:rsidR="004C09DC" w:rsidRPr="00AE141E" w:rsidRDefault="004C09DC" w:rsidP="00AE141E">
      <w:pPr>
        <w:pStyle w:val="FootnoteText"/>
        <w:spacing w:line="360" w:lineRule="auto"/>
        <w:rPr>
          <w:rFonts w:ascii="Times New Roman" w:hAnsi="Times New Roman" w:cs="Times New Roman"/>
          <w:b/>
          <w:bCs/>
          <w:i/>
          <w:iCs/>
          <w:sz w:val="24"/>
          <w:szCs w:val="24"/>
        </w:rPr>
      </w:pPr>
      <w:r w:rsidRPr="00AE141E">
        <w:rPr>
          <w:rFonts w:ascii="Times New Roman" w:hAnsi="Times New Roman" w:cs="Times New Roman"/>
          <w:b/>
          <w:bCs/>
          <w:i/>
          <w:sz w:val="24"/>
          <w:szCs w:val="24"/>
        </w:rPr>
        <w:t>The George Padmore Institute (GPI)</w:t>
      </w:r>
    </w:p>
    <w:p w14:paraId="7D97FD4B" w14:textId="77777777" w:rsidR="004C09DC" w:rsidRPr="00AE141E" w:rsidRDefault="004C09DC" w:rsidP="00AE141E">
      <w:pPr>
        <w:pStyle w:val="FootnoteText"/>
        <w:spacing w:line="360" w:lineRule="auto"/>
        <w:rPr>
          <w:rFonts w:ascii="Times New Roman" w:hAnsi="Times New Roman" w:cs="Times New Roman"/>
          <w:i/>
          <w:iCs/>
          <w:sz w:val="24"/>
          <w:szCs w:val="24"/>
        </w:rPr>
      </w:pPr>
    </w:p>
    <w:p w14:paraId="4ADD1B0F" w14:textId="2220B704"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The Black Education Movement (Early Period), 1965-1988 (BEM)</w:t>
      </w:r>
      <w:r w:rsidR="002B2850" w:rsidRPr="00AE141E">
        <w:rPr>
          <w:rFonts w:ascii="Times New Roman" w:hAnsi="Times New Roman" w:cs="Times New Roman"/>
          <w:sz w:val="24"/>
          <w:szCs w:val="24"/>
        </w:rPr>
        <w:t>.</w:t>
      </w:r>
    </w:p>
    <w:p w14:paraId="1F63EF2F" w14:textId="77777777" w:rsidR="004C09DC" w:rsidRPr="00AE141E" w:rsidRDefault="004C09DC" w:rsidP="00AE141E">
      <w:pPr>
        <w:pStyle w:val="FootnoteText"/>
        <w:spacing w:line="360" w:lineRule="auto"/>
        <w:rPr>
          <w:rFonts w:ascii="Times New Roman" w:hAnsi="Times New Roman" w:cs="Times New Roman"/>
          <w:sz w:val="24"/>
          <w:szCs w:val="24"/>
        </w:rPr>
      </w:pPr>
    </w:p>
    <w:p w14:paraId="57DBA4A8" w14:textId="77777777" w:rsidR="004C09DC" w:rsidRPr="00AE141E" w:rsidRDefault="004C09DC" w:rsidP="00AE141E">
      <w:pPr>
        <w:pStyle w:val="FootnoteText"/>
        <w:spacing w:line="360" w:lineRule="auto"/>
        <w:rPr>
          <w:rFonts w:ascii="Times New Roman" w:hAnsi="Times New Roman" w:cs="Times New Roman"/>
          <w:b/>
          <w:bCs/>
          <w:i/>
          <w:iCs/>
          <w:sz w:val="24"/>
          <w:szCs w:val="24"/>
        </w:rPr>
      </w:pPr>
      <w:r w:rsidRPr="00AE141E">
        <w:rPr>
          <w:rFonts w:ascii="Times New Roman" w:hAnsi="Times New Roman" w:cs="Times New Roman"/>
          <w:b/>
          <w:bCs/>
          <w:i/>
          <w:sz w:val="24"/>
          <w:szCs w:val="24"/>
        </w:rPr>
        <w:t>London Metropolitan Archives (LMA)</w:t>
      </w:r>
    </w:p>
    <w:p w14:paraId="20489EEB" w14:textId="77777777" w:rsidR="004C09DC" w:rsidRPr="00AE141E" w:rsidRDefault="004C09DC" w:rsidP="00AE141E">
      <w:pPr>
        <w:pStyle w:val="FootnoteText"/>
        <w:spacing w:line="360" w:lineRule="auto"/>
        <w:rPr>
          <w:rFonts w:ascii="Times New Roman" w:hAnsi="Times New Roman" w:cs="Times New Roman"/>
          <w:sz w:val="24"/>
          <w:szCs w:val="24"/>
        </w:rPr>
      </w:pPr>
    </w:p>
    <w:p w14:paraId="51F160BD" w14:textId="76AD48AC" w:rsidR="00D125AB"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Inner London Education Authority</w:t>
      </w:r>
      <w:r w:rsidR="00606530" w:rsidRPr="00AE141E">
        <w:rPr>
          <w:rFonts w:ascii="Times New Roman" w:hAnsi="Times New Roman" w:cs="Times New Roman"/>
          <w:sz w:val="24"/>
          <w:szCs w:val="24"/>
        </w:rPr>
        <w:t>, Schools Department: Centre for Learning Resources: Published Primary, Secondary and Tertiary Sources</w:t>
      </w:r>
      <w:r w:rsidRPr="00AE141E">
        <w:rPr>
          <w:rFonts w:ascii="Times New Roman" w:hAnsi="Times New Roman" w:cs="Times New Roman"/>
          <w:sz w:val="24"/>
          <w:szCs w:val="24"/>
        </w:rPr>
        <w:t xml:space="preserve"> (</w:t>
      </w:r>
      <w:r w:rsidR="00606530" w:rsidRPr="00AE141E">
        <w:rPr>
          <w:rFonts w:ascii="Times New Roman" w:hAnsi="Times New Roman" w:cs="Times New Roman"/>
          <w:sz w:val="24"/>
          <w:szCs w:val="24"/>
        </w:rPr>
        <w:t>ILEA/S/LR/10</w:t>
      </w:r>
      <w:r w:rsidRPr="00AE141E">
        <w:rPr>
          <w:rFonts w:ascii="Times New Roman" w:hAnsi="Times New Roman" w:cs="Times New Roman"/>
          <w:sz w:val="24"/>
          <w:szCs w:val="24"/>
        </w:rPr>
        <w:t>)</w:t>
      </w:r>
      <w:r w:rsidR="002B2850" w:rsidRPr="00AE141E">
        <w:rPr>
          <w:rFonts w:ascii="Times New Roman" w:hAnsi="Times New Roman" w:cs="Times New Roman"/>
          <w:sz w:val="24"/>
          <w:szCs w:val="24"/>
        </w:rPr>
        <w:t>.</w:t>
      </w:r>
    </w:p>
    <w:p w14:paraId="387E91B4" w14:textId="77777777" w:rsidR="00606530" w:rsidRPr="00AE141E" w:rsidRDefault="00606530" w:rsidP="00AE141E">
      <w:pPr>
        <w:pStyle w:val="FootnoteText"/>
        <w:spacing w:line="360" w:lineRule="auto"/>
        <w:rPr>
          <w:rFonts w:ascii="Times New Roman" w:hAnsi="Times New Roman" w:cs="Times New Roman"/>
          <w:sz w:val="24"/>
          <w:szCs w:val="24"/>
        </w:rPr>
      </w:pPr>
    </w:p>
    <w:p w14:paraId="73681F0F" w14:textId="70C9F846"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Papers of Eric and Jessica Huntley (LMA/4463)</w:t>
      </w:r>
      <w:r w:rsidR="002B2850" w:rsidRPr="00AE141E">
        <w:rPr>
          <w:rFonts w:ascii="Times New Roman" w:hAnsi="Times New Roman" w:cs="Times New Roman"/>
          <w:sz w:val="24"/>
          <w:szCs w:val="24"/>
        </w:rPr>
        <w:t>.</w:t>
      </w:r>
    </w:p>
    <w:p w14:paraId="415A4CA7" w14:textId="77777777" w:rsidR="00D125AB" w:rsidRPr="00AE141E" w:rsidRDefault="00D125AB" w:rsidP="00AE141E">
      <w:pPr>
        <w:pStyle w:val="FootnoteText"/>
        <w:spacing w:line="360" w:lineRule="auto"/>
        <w:rPr>
          <w:rFonts w:ascii="Times New Roman" w:hAnsi="Times New Roman" w:cs="Times New Roman"/>
          <w:sz w:val="24"/>
          <w:szCs w:val="24"/>
        </w:rPr>
      </w:pPr>
    </w:p>
    <w:p w14:paraId="7C7C64E7" w14:textId="0F469722"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Papers of Mollie Hunte (LMA/4774)</w:t>
      </w:r>
      <w:r w:rsidR="002B2850" w:rsidRPr="00AE141E">
        <w:rPr>
          <w:rFonts w:ascii="Times New Roman" w:hAnsi="Times New Roman" w:cs="Times New Roman"/>
          <w:sz w:val="24"/>
          <w:szCs w:val="24"/>
        </w:rPr>
        <w:t>.</w:t>
      </w:r>
    </w:p>
    <w:p w14:paraId="4B37E5D5" w14:textId="77777777" w:rsidR="004C09DC" w:rsidRPr="00AE141E" w:rsidRDefault="004C09DC" w:rsidP="00AE141E">
      <w:pPr>
        <w:pStyle w:val="FootnoteText"/>
        <w:spacing w:line="360" w:lineRule="auto"/>
        <w:rPr>
          <w:rFonts w:ascii="Times New Roman" w:hAnsi="Times New Roman" w:cs="Times New Roman"/>
          <w:sz w:val="24"/>
          <w:szCs w:val="24"/>
        </w:rPr>
      </w:pPr>
    </w:p>
    <w:p w14:paraId="3A78F638" w14:textId="77777777" w:rsidR="004C09DC" w:rsidRPr="00AE141E" w:rsidRDefault="004C09DC" w:rsidP="00AE141E">
      <w:pPr>
        <w:pStyle w:val="FootnoteText"/>
        <w:spacing w:line="360" w:lineRule="auto"/>
        <w:rPr>
          <w:rFonts w:ascii="Times New Roman" w:hAnsi="Times New Roman" w:cs="Times New Roman"/>
          <w:b/>
          <w:bCs/>
          <w:i/>
          <w:iCs/>
          <w:sz w:val="24"/>
          <w:szCs w:val="24"/>
        </w:rPr>
      </w:pPr>
      <w:r w:rsidRPr="00AE141E">
        <w:rPr>
          <w:rFonts w:ascii="Times New Roman" w:hAnsi="Times New Roman" w:cs="Times New Roman"/>
          <w:b/>
          <w:bCs/>
          <w:i/>
          <w:sz w:val="24"/>
          <w:szCs w:val="24"/>
        </w:rPr>
        <w:t>The National Archives, London (NAL)</w:t>
      </w:r>
    </w:p>
    <w:p w14:paraId="4D8A9404"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6F921171" w14:textId="684F1677" w:rsidR="00D125AB"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Department of Education and Science</w:t>
      </w:r>
      <w:r w:rsidR="0000211E" w:rsidRPr="00AE141E">
        <w:rPr>
          <w:rFonts w:ascii="Times New Roman" w:hAnsi="Times New Roman" w:cs="Times New Roman"/>
          <w:sz w:val="24"/>
          <w:szCs w:val="24"/>
        </w:rPr>
        <w:t>: Schools Branch, Registered Files</w:t>
      </w:r>
      <w:r w:rsidRPr="00AE141E">
        <w:rPr>
          <w:rFonts w:ascii="Times New Roman" w:hAnsi="Times New Roman" w:cs="Times New Roman"/>
          <w:sz w:val="24"/>
          <w:szCs w:val="24"/>
        </w:rPr>
        <w:t xml:space="preserve"> (ED</w:t>
      </w:r>
      <w:r w:rsidR="0000211E" w:rsidRPr="00AE141E">
        <w:rPr>
          <w:rFonts w:ascii="Times New Roman" w:hAnsi="Times New Roman" w:cs="Times New Roman"/>
          <w:sz w:val="24"/>
          <w:szCs w:val="24"/>
        </w:rPr>
        <w:t xml:space="preserve"> 183</w:t>
      </w:r>
      <w:r w:rsidRPr="00AE141E">
        <w:rPr>
          <w:rFonts w:ascii="Times New Roman" w:hAnsi="Times New Roman" w:cs="Times New Roman"/>
          <w:sz w:val="24"/>
          <w:szCs w:val="24"/>
        </w:rPr>
        <w:t>)</w:t>
      </w:r>
      <w:r w:rsidR="00D16477" w:rsidRPr="00AE141E">
        <w:rPr>
          <w:rFonts w:ascii="Times New Roman" w:hAnsi="Times New Roman" w:cs="Times New Roman"/>
          <w:sz w:val="24"/>
          <w:szCs w:val="24"/>
        </w:rPr>
        <w:t xml:space="preserve">. Date range accessed: </w:t>
      </w:r>
      <w:r w:rsidR="003218DD" w:rsidRPr="00AE141E">
        <w:rPr>
          <w:rFonts w:ascii="Times New Roman" w:hAnsi="Times New Roman" w:cs="Times New Roman"/>
          <w:sz w:val="24"/>
          <w:szCs w:val="24"/>
        </w:rPr>
        <w:t>1989-1995</w:t>
      </w:r>
      <w:r w:rsidR="00D16477" w:rsidRPr="00AE141E">
        <w:rPr>
          <w:rFonts w:ascii="Times New Roman" w:hAnsi="Times New Roman" w:cs="Times New Roman"/>
          <w:sz w:val="24"/>
          <w:szCs w:val="24"/>
        </w:rPr>
        <w:t>.</w:t>
      </w:r>
    </w:p>
    <w:p w14:paraId="3F52D578" w14:textId="77777777" w:rsidR="00D125AB" w:rsidRPr="00AE141E" w:rsidRDefault="00D125AB" w:rsidP="00AE141E">
      <w:pPr>
        <w:pStyle w:val="FootnoteText"/>
        <w:spacing w:line="360" w:lineRule="auto"/>
        <w:rPr>
          <w:rFonts w:ascii="Times New Roman" w:hAnsi="Times New Roman" w:cs="Times New Roman"/>
          <w:sz w:val="24"/>
          <w:szCs w:val="24"/>
        </w:rPr>
      </w:pPr>
    </w:p>
    <w:p w14:paraId="0B0DCAB3" w14:textId="61A1E5E3" w:rsidR="004C09DC" w:rsidRPr="00AE141E" w:rsidRDefault="00BD51A3"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Records of the Prime Minister's Office: Correspondence and Papers, 1979-1997 </w:t>
      </w:r>
      <w:r w:rsidR="004C09DC" w:rsidRPr="00AE141E">
        <w:rPr>
          <w:rFonts w:ascii="Times New Roman" w:hAnsi="Times New Roman" w:cs="Times New Roman"/>
          <w:sz w:val="24"/>
          <w:szCs w:val="24"/>
        </w:rPr>
        <w:t>(PREM</w:t>
      </w:r>
      <w:r w:rsidRPr="00AE141E">
        <w:rPr>
          <w:rFonts w:ascii="Times New Roman" w:hAnsi="Times New Roman" w:cs="Times New Roman"/>
          <w:sz w:val="24"/>
          <w:szCs w:val="24"/>
        </w:rPr>
        <w:t xml:space="preserve"> 19</w:t>
      </w:r>
      <w:r w:rsidR="004C09DC" w:rsidRPr="00AE141E">
        <w:rPr>
          <w:rFonts w:ascii="Times New Roman" w:hAnsi="Times New Roman" w:cs="Times New Roman"/>
          <w:sz w:val="24"/>
          <w:szCs w:val="24"/>
        </w:rPr>
        <w:t>)</w:t>
      </w:r>
      <w:r w:rsidRPr="00AE141E">
        <w:rPr>
          <w:rFonts w:ascii="Times New Roman" w:hAnsi="Times New Roman" w:cs="Times New Roman"/>
          <w:sz w:val="24"/>
          <w:szCs w:val="24"/>
        </w:rPr>
        <w:t>.</w:t>
      </w:r>
      <w:r w:rsidR="001616B1" w:rsidRPr="00AE141E">
        <w:rPr>
          <w:rFonts w:ascii="Times New Roman" w:hAnsi="Times New Roman" w:cs="Times New Roman"/>
          <w:sz w:val="24"/>
          <w:szCs w:val="24"/>
        </w:rPr>
        <w:t xml:space="preserve"> </w:t>
      </w:r>
      <w:r w:rsidR="00D315B3" w:rsidRPr="00AE141E">
        <w:rPr>
          <w:rFonts w:ascii="Times New Roman" w:hAnsi="Times New Roman" w:cs="Times New Roman"/>
          <w:sz w:val="24"/>
          <w:szCs w:val="24"/>
        </w:rPr>
        <w:t>Date range</w:t>
      </w:r>
      <w:r w:rsidR="001616B1" w:rsidRPr="00AE141E">
        <w:rPr>
          <w:rFonts w:ascii="Times New Roman" w:hAnsi="Times New Roman" w:cs="Times New Roman"/>
          <w:sz w:val="24"/>
          <w:szCs w:val="24"/>
        </w:rPr>
        <w:t xml:space="preserve"> accessed: </w:t>
      </w:r>
      <w:r w:rsidR="007B2EE5" w:rsidRPr="00AE141E">
        <w:rPr>
          <w:rFonts w:ascii="Times New Roman" w:hAnsi="Times New Roman" w:cs="Times New Roman"/>
          <w:sz w:val="24"/>
          <w:szCs w:val="24"/>
        </w:rPr>
        <w:t>1988-1995</w:t>
      </w:r>
      <w:r w:rsidR="001616B1" w:rsidRPr="00AE141E">
        <w:rPr>
          <w:rFonts w:ascii="Times New Roman" w:hAnsi="Times New Roman" w:cs="Times New Roman"/>
          <w:sz w:val="24"/>
          <w:szCs w:val="24"/>
        </w:rPr>
        <w:t>.</w:t>
      </w:r>
    </w:p>
    <w:p w14:paraId="2B25DA6B" w14:textId="77777777" w:rsidR="004C09DC" w:rsidRPr="00AE141E" w:rsidRDefault="004C09DC" w:rsidP="00AE141E">
      <w:pPr>
        <w:pStyle w:val="FootnoteText"/>
        <w:spacing w:line="360" w:lineRule="auto"/>
        <w:rPr>
          <w:rFonts w:ascii="Times New Roman" w:hAnsi="Times New Roman" w:cs="Times New Roman"/>
          <w:sz w:val="24"/>
          <w:szCs w:val="24"/>
        </w:rPr>
      </w:pPr>
    </w:p>
    <w:p w14:paraId="663906D9" w14:textId="77777777" w:rsidR="004C09DC" w:rsidRPr="00AE141E" w:rsidRDefault="004C09DC" w:rsidP="00AE141E">
      <w:pPr>
        <w:pStyle w:val="FootnoteText"/>
        <w:spacing w:line="360" w:lineRule="auto"/>
        <w:rPr>
          <w:rFonts w:ascii="Times New Roman" w:hAnsi="Times New Roman" w:cs="Times New Roman"/>
          <w:b/>
          <w:bCs/>
          <w:i/>
          <w:iCs/>
          <w:sz w:val="24"/>
          <w:szCs w:val="24"/>
        </w:rPr>
      </w:pPr>
      <w:r w:rsidRPr="00AE141E">
        <w:rPr>
          <w:rFonts w:ascii="Times New Roman" w:hAnsi="Times New Roman" w:cs="Times New Roman"/>
          <w:b/>
          <w:bCs/>
          <w:i/>
          <w:sz w:val="24"/>
          <w:szCs w:val="24"/>
        </w:rPr>
        <w:t>University College London, Institute of Education (IoE)</w:t>
      </w:r>
    </w:p>
    <w:p w14:paraId="34C893B7" w14:textId="77777777" w:rsidR="004C09DC" w:rsidRPr="00AE141E" w:rsidRDefault="004C09DC" w:rsidP="00AE141E">
      <w:pPr>
        <w:pStyle w:val="FootnoteText"/>
        <w:spacing w:line="360" w:lineRule="auto"/>
        <w:rPr>
          <w:rFonts w:ascii="Times New Roman" w:hAnsi="Times New Roman" w:cs="Times New Roman"/>
          <w:b/>
          <w:bCs/>
          <w:i/>
          <w:iCs/>
          <w:sz w:val="24"/>
          <w:szCs w:val="24"/>
        </w:rPr>
      </w:pPr>
    </w:p>
    <w:p w14:paraId="0DD7A801" w14:textId="5C19C8C0"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London History Teachers' Association (LHT)</w:t>
      </w:r>
      <w:r w:rsidR="002B2850" w:rsidRPr="00AE141E">
        <w:rPr>
          <w:rFonts w:ascii="Times New Roman" w:hAnsi="Times New Roman" w:cs="Times New Roman"/>
          <w:sz w:val="24"/>
          <w:szCs w:val="24"/>
        </w:rPr>
        <w:t>.</w:t>
      </w:r>
    </w:p>
    <w:p w14:paraId="36FE17C8" w14:textId="77777777" w:rsidR="00D125AB" w:rsidRPr="00AE141E" w:rsidRDefault="00D125AB" w:rsidP="00AE141E">
      <w:pPr>
        <w:pStyle w:val="FootnoteText"/>
        <w:spacing w:line="360" w:lineRule="auto"/>
        <w:rPr>
          <w:rFonts w:ascii="Times New Roman" w:hAnsi="Times New Roman" w:cs="Times New Roman"/>
          <w:sz w:val="24"/>
          <w:szCs w:val="24"/>
        </w:rPr>
      </w:pPr>
    </w:p>
    <w:p w14:paraId="2554DDA5" w14:textId="643765B5"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Papers of Marina Foster (MF)</w:t>
      </w:r>
      <w:r w:rsidR="002B2850" w:rsidRPr="00AE141E">
        <w:rPr>
          <w:rFonts w:ascii="Times New Roman" w:hAnsi="Times New Roman" w:cs="Times New Roman"/>
          <w:sz w:val="24"/>
          <w:szCs w:val="24"/>
        </w:rPr>
        <w:t>.</w:t>
      </w:r>
    </w:p>
    <w:p w14:paraId="43C7CE05" w14:textId="77777777" w:rsidR="004C09DC" w:rsidRPr="00AE141E" w:rsidRDefault="004C09DC" w:rsidP="00AE141E">
      <w:pPr>
        <w:pStyle w:val="FootnoteText"/>
        <w:spacing w:line="360" w:lineRule="auto"/>
        <w:rPr>
          <w:rFonts w:ascii="Times New Roman" w:hAnsi="Times New Roman" w:cs="Times New Roman"/>
          <w:sz w:val="24"/>
          <w:szCs w:val="24"/>
        </w:rPr>
      </w:pPr>
    </w:p>
    <w:p w14:paraId="63376FCE"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 xml:space="preserve">Hansard </w:t>
      </w:r>
    </w:p>
    <w:p w14:paraId="60C91171" w14:textId="77777777" w:rsidR="004C09DC" w:rsidRPr="00AE141E" w:rsidRDefault="004C09DC" w:rsidP="00AE141E">
      <w:pPr>
        <w:pStyle w:val="FootnoteText"/>
        <w:spacing w:line="360" w:lineRule="auto"/>
        <w:rPr>
          <w:rFonts w:ascii="Times New Roman" w:hAnsi="Times New Roman" w:cs="Times New Roman"/>
          <w:sz w:val="24"/>
          <w:szCs w:val="24"/>
        </w:rPr>
      </w:pPr>
    </w:p>
    <w:p w14:paraId="1CAF1390" w14:textId="3C45C98A"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Parliamentary Debates (Commons)</w:t>
      </w:r>
      <w:r w:rsidR="002B2850" w:rsidRPr="00AE141E">
        <w:rPr>
          <w:rFonts w:ascii="Times New Roman" w:hAnsi="Times New Roman" w:cs="Times New Roman"/>
          <w:sz w:val="24"/>
          <w:szCs w:val="24"/>
        </w:rPr>
        <w:t>.</w:t>
      </w:r>
    </w:p>
    <w:p w14:paraId="038E4A4A" w14:textId="77777777" w:rsidR="004C09DC" w:rsidRPr="00AE141E" w:rsidRDefault="004C09DC" w:rsidP="00AE141E">
      <w:pPr>
        <w:pStyle w:val="FootnoteText"/>
        <w:spacing w:line="360" w:lineRule="auto"/>
        <w:rPr>
          <w:rFonts w:ascii="Times New Roman" w:hAnsi="Times New Roman" w:cs="Times New Roman"/>
          <w:sz w:val="24"/>
          <w:szCs w:val="24"/>
        </w:rPr>
      </w:pPr>
    </w:p>
    <w:p w14:paraId="04C4BD99" w14:textId="5C51857A"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Parliamentary Debates (Lords)</w:t>
      </w:r>
      <w:r w:rsidR="002B2850" w:rsidRPr="00AE141E">
        <w:rPr>
          <w:rFonts w:ascii="Times New Roman" w:hAnsi="Times New Roman" w:cs="Times New Roman"/>
          <w:sz w:val="24"/>
          <w:szCs w:val="24"/>
        </w:rPr>
        <w:t>.</w:t>
      </w:r>
    </w:p>
    <w:p w14:paraId="0AAA395A" w14:textId="77777777" w:rsidR="004C09DC" w:rsidRPr="00AE141E" w:rsidRDefault="004C09DC" w:rsidP="00AE141E">
      <w:pPr>
        <w:pStyle w:val="FootnoteText"/>
        <w:spacing w:line="360" w:lineRule="auto"/>
        <w:rPr>
          <w:rFonts w:ascii="Times New Roman" w:hAnsi="Times New Roman" w:cs="Times New Roman"/>
          <w:sz w:val="24"/>
          <w:szCs w:val="24"/>
        </w:rPr>
      </w:pPr>
    </w:p>
    <w:p w14:paraId="3F66EFF6" w14:textId="77777777" w:rsidR="004C09DC" w:rsidRPr="00AE141E" w:rsidRDefault="004C09DC" w:rsidP="00AE141E">
      <w:pPr>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Oral History Interviews</w:t>
      </w:r>
    </w:p>
    <w:p w14:paraId="6B108808" w14:textId="3A2B73E7" w:rsidR="004C09DC" w:rsidRPr="00AE141E" w:rsidRDefault="004C09DC" w:rsidP="00AE141E">
      <w:pPr>
        <w:pStyle w:val="FootnoteText"/>
        <w:spacing w:line="360" w:lineRule="auto"/>
        <w:rPr>
          <w:rFonts w:ascii="Times New Roman" w:hAnsi="Times New Roman" w:cs="Times New Roman"/>
          <w:i/>
          <w:kern w:val="2"/>
          <w:sz w:val="24"/>
          <w:szCs w:val="24"/>
          <w14:ligatures w14:val="standardContextual"/>
        </w:rPr>
      </w:pPr>
      <w:r w:rsidRPr="00AE141E">
        <w:rPr>
          <w:rFonts w:ascii="Times New Roman" w:hAnsi="Times New Roman" w:cs="Times New Roman"/>
          <w:i/>
          <w:kern w:val="2"/>
          <w:sz w:val="24"/>
          <w:szCs w:val="24"/>
          <w14:ligatures w14:val="standardContextual"/>
        </w:rPr>
        <w:t>Institute of Historical Research: History in Education Project (IHR: HiEP)</w:t>
      </w:r>
      <w:r w:rsidR="007B2EE5" w:rsidRPr="00AE141E">
        <w:rPr>
          <w:rFonts w:ascii="Times New Roman" w:hAnsi="Times New Roman" w:cs="Times New Roman"/>
          <w:i/>
          <w:kern w:val="2"/>
          <w:sz w:val="24"/>
          <w:szCs w:val="24"/>
          <w14:ligatures w14:val="standardContextual"/>
        </w:rPr>
        <w:t>:</w:t>
      </w:r>
    </w:p>
    <w:p w14:paraId="743F88AC" w14:textId="77777777" w:rsidR="004C09DC" w:rsidRPr="00AE141E" w:rsidRDefault="004C09DC" w:rsidP="00AE141E">
      <w:pPr>
        <w:pStyle w:val="FootnoteText"/>
        <w:spacing w:line="360" w:lineRule="auto"/>
        <w:rPr>
          <w:rFonts w:ascii="Times New Roman" w:hAnsi="Times New Roman" w:cs="Times New Roman"/>
          <w:i/>
          <w:kern w:val="2"/>
          <w:sz w:val="24"/>
          <w:szCs w:val="24"/>
          <w14:ligatures w14:val="standardContextual"/>
        </w:rPr>
      </w:pPr>
    </w:p>
    <w:p w14:paraId="446B32B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Simon Bishop</w:t>
      </w:r>
    </w:p>
    <w:p w14:paraId="5F8620B3" w14:textId="77777777" w:rsidR="004C09DC" w:rsidRPr="00AE141E" w:rsidRDefault="004C09DC" w:rsidP="00AE141E">
      <w:pPr>
        <w:pStyle w:val="FootnoteText"/>
        <w:spacing w:line="360" w:lineRule="auto"/>
        <w:rPr>
          <w:rFonts w:ascii="Times New Roman" w:hAnsi="Times New Roman" w:cs="Times New Roman"/>
          <w:sz w:val="24"/>
          <w:szCs w:val="24"/>
        </w:rPr>
      </w:pPr>
    </w:p>
    <w:p w14:paraId="37A15B0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John D. Clare</w:t>
      </w:r>
    </w:p>
    <w:p w14:paraId="442DF9E1" w14:textId="77777777" w:rsidR="004C09DC" w:rsidRPr="00AE141E" w:rsidRDefault="004C09DC" w:rsidP="00AE141E">
      <w:pPr>
        <w:pStyle w:val="FootnoteText"/>
        <w:spacing w:line="360" w:lineRule="auto"/>
        <w:rPr>
          <w:rFonts w:ascii="Times New Roman" w:hAnsi="Times New Roman" w:cs="Times New Roman"/>
          <w:sz w:val="24"/>
          <w:szCs w:val="24"/>
        </w:rPr>
      </w:pPr>
    </w:p>
    <w:p w14:paraId="32D7FA8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Kenneth Clarke, QC, MP</w:t>
      </w:r>
    </w:p>
    <w:p w14:paraId="22B26243" w14:textId="77777777" w:rsidR="004C09DC" w:rsidRPr="00AE141E" w:rsidRDefault="004C09DC" w:rsidP="00AE141E">
      <w:pPr>
        <w:pStyle w:val="FootnoteText"/>
        <w:spacing w:line="360" w:lineRule="auto"/>
        <w:rPr>
          <w:rFonts w:ascii="Times New Roman" w:hAnsi="Times New Roman" w:cs="Times New Roman"/>
          <w:sz w:val="24"/>
          <w:szCs w:val="24"/>
        </w:rPr>
      </w:pPr>
    </w:p>
    <w:p w14:paraId="307062A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Chris Culpin</w:t>
      </w:r>
    </w:p>
    <w:p w14:paraId="62868BD8" w14:textId="77777777" w:rsidR="004C09DC" w:rsidRPr="00AE141E" w:rsidRDefault="004C09DC" w:rsidP="00AE141E">
      <w:pPr>
        <w:pStyle w:val="FootnoteText"/>
        <w:spacing w:line="360" w:lineRule="auto"/>
        <w:rPr>
          <w:rFonts w:ascii="Times New Roman" w:hAnsi="Times New Roman" w:cs="Times New Roman"/>
          <w:sz w:val="24"/>
          <w:szCs w:val="24"/>
        </w:rPr>
      </w:pPr>
    </w:p>
    <w:p w14:paraId="5EAFC71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Patricia Anne Dawson</w:t>
      </w:r>
    </w:p>
    <w:p w14:paraId="1876A816" w14:textId="77777777" w:rsidR="004C09DC" w:rsidRPr="00AE141E" w:rsidRDefault="004C09DC" w:rsidP="00AE141E">
      <w:pPr>
        <w:pStyle w:val="FootnoteText"/>
        <w:spacing w:line="360" w:lineRule="auto"/>
        <w:rPr>
          <w:rFonts w:ascii="Times New Roman" w:hAnsi="Times New Roman" w:cs="Times New Roman"/>
          <w:sz w:val="24"/>
          <w:szCs w:val="24"/>
        </w:rPr>
      </w:pPr>
    </w:p>
    <w:p w14:paraId="1B1B13D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Roger Hennessey</w:t>
      </w:r>
    </w:p>
    <w:p w14:paraId="78D4A2EC" w14:textId="77777777" w:rsidR="004C09DC" w:rsidRPr="00AE141E" w:rsidRDefault="004C09DC" w:rsidP="00AE141E">
      <w:pPr>
        <w:pStyle w:val="FootnoteText"/>
        <w:spacing w:line="360" w:lineRule="auto"/>
        <w:rPr>
          <w:rFonts w:ascii="Times New Roman" w:hAnsi="Times New Roman" w:cs="Times New Roman"/>
          <w:sz w:val="24"/>
          <w:szCs w:val="24"/>
        </w:rPr>
      </w:pPr>
    </w:p>
    <w:p w14:paraId="107B420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Peter Marshall</w:t>
      </w:r>
    </w:p>
    <w:p w14:paraId="63A1D28C" w14:textId="77777777" w:rsidR="004C09DC" w:rsidRPr="00AE141E" w:rsidRDefault="004C09DC" w:rsidP="00AE141E">
      <w:pPr>
        <w:pStyle w:val="FootnoteText"/>
        <w:spacing w:line="360" w:lineRule="auto"/>
        <w:rPr>
          <w:rFonts w:ascii="Times New Roman" w:hAnsi="Times New Roman" w:cs="Times New Roman"/>
          <w:sz w:val="24"/>
          <w:szCs w:val="24"/>
        </w:rPr>
      </w:pPr>
    </w:p>
    <w:p w14:paraId="52173F4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Chris McGovern</w:t>
      </w:r>
    </w:p>
    <w:p w14:paraId="60E3F271" w14:textId="77777777" w:rsidR="004C09DC" w:rsidRPr="00AE141E" w:rsidRDefault="004C09DC" w:rsidP="00AE141E">
      <w:pPr>
        <w:pStyle w:val="FootnoteText"/>
        <w:spacing w:line="360" w:lineRule="auto"/>
        <w:rPr>
          <w:rFonts w:ascii="Times New Roman" w:hAnsi="Times New Roman" w:cs="Times New Roman"/>
          <w:sz w:val="24"/>
          <w:szCs w:val="24"/>
        </w:rPr>
      </w:pPr>
    </w:p>
    <w:p w14:paraId="23D8BCD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Andy Reid</w:t>
      </w:r>
    </w:p>
    <w:p w14:paraId="4CD1F54D" w14:textId="77777777" w:rsidR="004C09DC" w:rsidRPr="00AE141E" w:rsidRDefault="004C09DC" w:rsidP="00AE141E">
      <w:pPr>
        <w:pStyle w:val="FootnoteText"/>
        <w:spacing w:line="360" w:lineRule="auto"/>
        <w:rPr>
          <w:rFonts w:ascii="Times New Roman" w:hAnsi="Times New Roman" w:cs="Times New Roman"/>
          <w:sz w:val="24"/>
          <w:szCs w:val="24"/>
        </w:rPr>
      </w:pPr>
    </w:p>
    <w:p w14:paraId="2DBC595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David Sylvester</w:t>
      </w:r>
    </w:p>
    <w:p w14:paraId="2DBC8506" w14:textId="77777777" w:rsidR="004C09DC" w:rsidRPr="00AE141E" w:rsidRDefault="004C09DC" w:rsidP="00AE141E">
      <w:pPr>
        <w:pStyle w:val="FootnoteText"/>
        <w:spacing w:line="360" w:lineRule="auto"/>
        <w:rPr>
          <w:rFonts w:ascii="Times New Roman" w:hAnsi="Times New Roman" w:cs="Times New Roman"/>
          <w:sz w:val="24"/>
          <w:szCs w:val="24"/>
        </w:rPr>
      </w:pPr>
    </w:p>
    <w:p w14:paraId="3447FAE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Linda Turner and Rob Snow</w:t>
      </w:r>
    </w:p>
    <w:p w14:paraId="4871C4A4"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4F91950E"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Printed Sources</w:t>
      </w:r>
    </w:p>
    <w:p w14:paraId="1F100CE2"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p>
    <w:p w14:paraId="45CB08E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Afro-Caribbean Education Resource Project (ACER), </w:t>
      </w:r>
      <w:r w:rsidRPr="00AE141E">
        <w:rPr>
          <w:rFonts w:ascii="Times New Roman" w:hAnsi="Times New Roman" w:cs="Times New Roman"/>
          <w:i/>
          <w:sz w:val="24"/>
          <w:szCs w:val="24"/>
        </w:rPr>
        <w:t xml:space="preserve">Images and Reflections: Education and the Afro-Caribbean Child </w:t>
      </w:r>
      <w:r w:rsidRPr="00AE141E">
        <w:rPr>
          <w:rFonts w:ascii="Times New Roman" w:hAnsi="Times New Roman" w:cs="Times New Roman"/>
          <w:sz w:val="24"/>
          <w:szCs w:val="24"/>
        </w:rPr>
        <w:t>(London: ACER, 1984).</w:t>
      </w:r>
    </w:p>
    <w:p w14:paraId="1922493C" w14:textId="77777777" w:rsidR="004C09DC" w:rsidRPr="00AE141E" w:rsidRDefault="004C09DC" w:rsidP="00AE141E">
      <w:pPr>
        <w:pStyle w:val="FootnoteText"/>
        <w:spacing w:line="360" w:lineRule="auto"/>
        <w:rPr>
          <w:rFonts w:ascii="Times New Roman" w:hAnsi="Times New Roman" w:cs="Times New Roman"/>
          <w:sz w:val="24"/>
          <w:szCs w:val="24"/>
        </w:rPr>
      </w:pPr>
    </w:p>
    <w:p w14:paraId="5360542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ACER</w:t>
      </w:r>
      <w:r w:rsidRPr="00AE141E">
        <w:rPr>
          <w:rFonts w:ascii="Times New Roman" w:hAnsi="Times New Roman" w:cs="Times New Roman"/>
          <w:i/>
          <w:sz w:val="24"/>
          <w:szCs w:val="24"/>
        </w:rPr>
        <w:t>, National Curriculum 5-16: A Consultative Document: Responses Submitted by the Afro-Caribbean Education Resource Centre</w:t>
      </w:r>
      <w:r w:rsidRPr="00AE141E">
        <w:rPr>
          <w:rFonts w:ascii="Times New Roman" w:hAnsi="Times New Roman" w:cs="Times New Roman"/>
          <w:sz w:val="24"/>
          <w:szCs w:val="24"/>
        </w:rPr>
        <w:t xml:space="preserve"> (London: ACER, 1987).</w:t>
      </w:r>
    </w:p>
    <w:p w14:paraId="3189D980" w14:textId="77777777" w:rsidR="004C09DC" w:rsidRPr="00AE141E" w:rsidRDefault="004C09DC" w:rsidP="00AE141E">
      <w:pPr>
        <w:pStyle w:val="FootnoteText"/>
        <w:spacing w:line="360" w:lineRule="auto"/>
        <w:rPr>
          <w:rFonts w:ascii="Times New Roman" w:hAnsi="Times New Roman" w:cs="Times New Roman"/>
          <w:sz w:val="24"/>
          <w:szCs w:val="24"/>
        </w:rPr>
      </w:pPr>
    </w:p>
    <w:p w14:paraId="1069E23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i/>
          <w:sz w:val="24"/>
          <w:szCs w:val="24"/>
        </w:rPr>
        <w:t>The Age of Discovery and Exploration</w:t>
      </w:r>
      <w:r w:rsidRPr="00AE141E">
        <w:rPr>
          <w:rFonts w:ascii="Times New Roman" w:hAnsi="Times New Roman" w:cs="Times New Roman"/>
          <w:sz w:val="24"/>
          <w:szCs w:val="24"/>
        </w:rPr>
        <w:t xml:space="preserve"> (York/London: Longman/ Common Ground, Then and There Filmstrips, 1980).</w:t>
      </w:r>
    </w:p>
    <w:p w14:paraId="4917FBDF" w14:textId="77777777" w:rsidR="004C09DC" w:rsidRPr="00AE141E" w:rsidRDefault="004C09DC" w:rsidP="00AE141E">
      <w:pPr>
        <w:pStyle w:val="FootnoteText"/>
        <w:spacing w:line="360" w:lineRule="auto"/>
        <w:rPr>
          <w:rFonts w:ascii="Times New Roman" w:hAnsi="Times New Roman" w:cs="Times New Roman"/>
          <w:sz w:val="24"/>
          <w:szCs w:val="24"/>
        </w:rPr>
      </w:pPr>
    </w:p>
    <w:p w14:paraId="3826741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Allen, L.T. (ed.), </w:t>
      </w:r>
      <w:r w:rsidRPr="00AE141E">
        <w:rPr>
          <w:rFonts w:ascii="Times New Roman" w:hAnsi="Times New Roman" w:cs="Times New Roman"/>
          <w:i/>
          <w:sz w:val="24"/>
          <w:szCs w:val="24"/>
        </w:rPr>
        <w:t>World History Outlines: The Caribbean</w:t>
      </w:r>
      <w:r w:rsidRPr="00AE141E">
        <w:rPr>
          <w:rFonts w:ascii="Times New Roman" w:hAnsi="Times New Roman" w:cs="Times New Roman"/>
          <w:sz w:val="24"/>
          <w:szCs w:val="24"/>
        </w:rPr>
        <w:t xml:space="preserve"> (London: Inner London Education Authority [ILEA] Learning Materials Service, 1977).</w:t>
      </w:r>
    </w:p>
    <w:p w14:paraId="363FE37B" w14:textId="77777777" w:rsidR="004C09DC" w:rsidRPr="00AE141E" w:rsidRDefault="004C09DC" w:rsidP="00AE141E">
      <w:pPr>
        <w:pStyle w:val="FootnoteText"/>
        <w:spacing w:line="360" w:lineRule="auto"/>
        <w:rPr>
          <w:rFonts w:ascii="Times New Roman" w:hAnsi="Times New Roman" w:cs="Times New Roman"/>
          <w:sz w:val="24"/>
          <w:szCs w:val="24"/>
        </w:rPr>
      </w:pPr>
    </w:p>
    <w:p w14:paraId="4C06B2B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Amey, P., </w:t>
      </w:r>
      <w:r w:rsidRPr="00AE141E">
        <w:rPr>
          <w:rFonts w:ascii="Times New Roman" w:hAnsi="Times New Roman" w:cs="Times New Roman"/>
          <w:i/>
          <w:sz w:val="24"/>
          <w:szCs w:val="24"/>
        </w:rPr>
        <w:t>et al</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 xml:space="preserve">World History: Secondary School Syllabuses </w:t>
      </w:r>
      <w:r w:rsidRPr="00AE141E">
        <w:rPr>
          <w:rFonts w:ascii="Times New Roman" w:hAnsi="Times New Roman" w:cs="Times New Roman"/>
          <w:sz w:val="24"/>
          <w:szCs w:val="24"/>
        </w:rPr>
        <w:t>(London: School of Oriental and African Studies, 1971).</w:t>
      </w:r>
    </w:p>
    <w:p w14:paraId="3802BF78" w14:textId="77777777" w:rsidR="004C09DC" w:rsidRPr="00AE141E" w:rsidRDefault="004C09DC" w:rsidP="00AE141E">
      <w:pPr>
        <w:pStyle w:val="FootnoteText"/>
        <w:spacing w:line="360" w:lineRule="auto"/>
        <w:rPr>
          <w:rFonts w:ascii="Times New Roman" w:hAnsi="Times New Roman" w:cs="Times New Roman"/>
          <w:sz w:val="24"/>
          <w:szCs w:val="24"/>
        </w:rPr>
      </w:pPr>
    </w:p>
    <w:p w14:paraId="5C781FC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Anyaoku, E., </w:t>
      </w:r>
      <w:r w:rsidRPr="00AE141E">
        <w:rPr>
          <w:rFonts w:ascii="Times New Roman" w:hAnsi="Times New Roman" w:cs="Times New Roman"/>
          <w:i/>
          <w:sz w:val="24"/>
          <w:szCs w:val="24"/>
        </w:rPr>
        <w:t>The Missing Headlines: Selected Speeches</w:t>
      </w:r>
      <w:r w:rsidRPr="00AE141E">
        <w:rPr>
          <w:rFonts w:ascii="Times New Roman" w:hAnsi="Times New Roman" w:cs="Times New Roman"/>
          <w:sz w:val="24"/>
          <w:szCs w:val="24"/>
        </w:rPr>
        <w:t> (Liverpool: Liverpool University Press, 1997).</w:t>
      </w:r>
    </w:p>
    <w:p w14:paraId="0768168C" w14:textId="77777777" w:rsidR="004C09DC" w:rsidRPr="00AE141E" w:rsidRDefault="004C09DC" w:rsidP="00AE141E">
      <w:pPr>
        <w:pStyle w:val="FootnoteText"/>
        <w:spacing w:line="360" w:lineRule="auto"/>
        <w:rPr>
          <w:rFonts w:ascii="Times New Roman" w:hAnsi="Times New Roman" w:cs="Times New Roman"/>
          <w:sz w:val="24"/>
          <w:szCs w:val="24"/>
        </w:rPr>
      </w:pPr>
    </w:p>
    <w:p w14:paraId="3F35B900" w14:textId="6D834522"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Assistant Masters Association, </w:t>
      </w:r>
      <w:r w:rsidRPr="00AE141E">
        <w:rPr>
          <w:rFonts w:ascii="Times New Roman" w:hAnsi="Times New Roman" w:cs="Times New Roman"/>
          <w:i/>
          <w:sz w:val="24"/>
          <w:szCs w:val="24"/>
        </w:rPr>
        <w:t xml:space="preserve">The Teaching of History in Secondary Schools, </w:t>
      </w:r>
      <w:r w:rsidRPr="00AE141E">
        <w:rPr>
          <w:rFonts w:ascii="Times New Roman" w:hAnsi="Times New Roman" w:cs="Times New Roman"/>
          <w:sz w:val="24"/>
          <w:szCs w:val="24"/>
        </w:rPr>
        <w:t>4</w:t>
      </w:r>
      <w:r w:rsidRPr="00AE141E">
        <w:rPr>
          <w:rFonts w:ascii="Times New Roman" w:hAnsi="Times New Roman" w:cs="Times New Roman"/>
          <w:sz w:val="24"/>
          <w:szCs w:val="24"/>
          <w:vertAlign w:val="superscript"/>
        </w:rPr>
        <w:t>th</w:t>
      </w:r>
      <w:r w:rsidRPr="00AE141E">
        <w:rPr>
          <w:rFonts w:ascii="Times New Roman" w:hAnsi="Times New Roman" w:cs="Times New Roman"/>
          <w:sz w:val="24"/>
          <w:szCs w:val="24"/>
        </w:rPr>
        <w:t xml:space="preserve"> edn (Cambridge: </w:t>
      </w:r>
      <w:r w:rsidR="00527D8C" w:rsidRPr="00AE141E">
        <w:rPr>
          <w:rFonts w:ascii="Times New Roman" w:hAnsi="Times New Roman" w:cs="Times New Roman"/>
          <w:sz w:val="24"/>
          <w:szCs w:val="24"/>
        </w:rPr>
        <w:t>Cambridge University Press [</w:t>
      </w:r>
      <w:r w:rsidRPr="00AE141E">
        <w:rPr>
          <w:rFonts w:ascii="Times New Roman" w:hAnsi="Times New Roman" w:cs="Times New Roman"/>
          <w:sz w:val="24"/>
          <w:szCs w:val="24"/>
        </w:rPr>
        <w:t>CUP</w:t>
      </w:r>
      <w:r w:rsidR="00527D8C" w:rsidRPr="00AE141E">
        <w:rPr>
          <w:rFonts w:ascii="Times New Roman" w:hAnsi="Times New Roman" w:cs="Times New Roman"/>
          <w:sz w:val="24"/>
          <w:szCs w:val="24"/>
        </w:rPr>
        <w:t>]</w:t>
      </w:r>
      <w:r w:rsidRPr="00AE141E">
        <w:rPr>
          <w:rFonts w:ascii="Times New Roman" w:hAnsi="Times New Roman" w:cs="Times New Roman"/>
          <w:sz w:val="24"/>
          <w:szCs w:val="24"/>
        </w:rPr>
        <w:t>, 1975).</w:t>
      </w:r>
    </w:p>
    <w:p w14:paraId="0B06FB10" w14:textId="77777777" w:rsidR="004C09DC" w:rsidRPr="00AE141E" w:rsidRDefault="004C09DC" w:rsidP="00AE141E">
      <w:pPr>
        <w:pStyle w:val="FootnoteText"/>
        <w:spacing w:line="360" w:lineRule="auto"/>
        <w:rPr>
          <w:rFonts w:ascii="Times New Roman" w:hAnsi="Times New Roman" w:cs="Times New Roman"/>
          <w:sz w:val="24"/>
          <w:szCs w:val="24"/>
        </w:rPr>
      </w:pPr>
    </w:p>
    <w:p w14:paraId="25DA41E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Association for Curriculum Development (ACD), </w:t>
      </w:r>
      <w:r w:rsidRPr="00AE141E">
        <w:rPr>
          <w:rFonts w:ascii="Times New Roman" w:hAnsi="Times New Roman" w:cs="Times New Roman"/>
          <w:i/>
          <w:sz w:val="24"/>
          <w:szCs w:val="24"/>
        </w:rPr>
        <w:t xml:space="preserve">A History of Racism </w:t>
      </w:r>
      <w:r w:rsidRPr="00AE141E">
        <w:rPr>
          <w:rFonts w:ascii="Times New Roman" w:hAnsi="Times New Roman" w:cs="Times New Roman"/>
          <w:sz w:val="24"/>
          <w:szCs w:val="24"/>
        </w:rPr>
        <w:t>(London: ACD, 1992).</w:t>
      </w:r>
    </w:p>
    <w:p w14:paraId="411FBB8C" w14:textId="77777777" w:rsidR="004C09DC" w:rsidRPr="00AE141E" w:rsidRDefault="004C09DC" w:rsidP="00AE141E">
      <w:pPr>
        <w:pStyle w:val="FootnoteText"/>
        <w:spacing w:line="360" w:lineRule="auto"/>
        <w:rPr>
          <w:rFonts w:ascii="Times New Roman" w:hAnsi="Times New Roman" w:cs="Times New Roman"/>
          <w:sz w:val="24"/>
          <w:szCs w:val="24"/>
        </w:rPr>
      </w:pPr>
    </w:p>
    <w:p w14:paraId="796AC84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Ballard, M. (ed.), </w:t>
      </w:r>
      <w:r w:rsidRPr="00AE141E">
        <w:rPr>
          <w:rFonts w:ascii="Times New Roman" w:hAnsi="Times New Roman" w:cs="Times New Roman"/>
          <w:i/>
          <w:sz w:val="24"/>
          <w:szCs w:val="24"/>
        </w:rPr>
        <w:t>New Movements in the Study and Teaching of History</w:t>
      </w:r>
      <w:r w:rsidRPr="00AE141E">
        <w:rPr>
          <w:rFonts w:ascii="Times New Roman" w:hAnsi="Times New Roman" w:cs="Times New Roman"/>
          <w:sz w:val="24"/>
          <w:szCs w:val="24"/>
        </w:rPr>
        <w:t xml:space="preserve"> (London: Maurice Temple Smith Ltd, 1970).</w:t>
      </w:r>
    </w:p>
    <w:p w14:paraId="1091D3D0" w14:textId="77777777" w:rsidR="004C09DC" w:rsidRPr="00AE141E" w:rsidRDefault="004C09DC" w:rsidP="00AE141E">
      <w:pPr>
        <w:pStyle w:val="FootnoteText"/>
        <w:spacing w:line="360" w:lineRule="auto"/>
        <w:rPr>
          <w:rFonts w:ascii="Times New Roman" w:hAnsi="Times New Roman" w:cs="Times New Roman"/>
          <w:sz w:val="24"/>
          <w:szCs w:val="24"/>
        </w:rPr>
      </w:pPr>
    </w:p>
    <w:p w14:paraId="457796D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Barraclough, G., </w:t>
      </w:r>
      <w:r w:rsidRPr="00AE141E">
        <w:rPr>
          <w:rFonts w:ascii="Times New Roman" w:hAnsi="Times New Roman" w:cs="Times New Roman"/>
          <w:i/>
          <w:sz w:val="24"/>
          <w:szCs w:val="24"/>
        </w:rPr>
        <w:t xml:space="preserve">History and the Common Man </w:t>
      </w:r>
      <w:r w:rsidRPr="00AE141E">
        <w:rPr>
          <w:rFonts w:ascii="Times New Roman" w:hAnsi="Times New Roman" w:cs="Times New Roman"/>
          <w:sz w:val="24"/>
          <w:szCs w:val="24"/>
        </w:rPr>
        <w:t>(London: Historical Association [HA], 1967).</w:t>
      </w:r>
    </w:p>
    <w:p w14:paraId="17E1E257" w14:textId="77777777" w:rsidR="004C09DC" w:rsidRPr="00AE141E" w:rsidRDefault="004C09DC" w:rsidP="00AE141E">
      <w:pPr>
        <w:pStyle w:val="FootnoteText"/>
        <w:spacing w:line="360" w:lineRule="auto"/>
        <w:rPr>
          <w:rFonts w:ascii="Times New Roman" w:hAnsi="Times New Roman" w:cs="Times New Roman"/>
          <w:sz w:val="24"/>
          <w:szCs w:val="24"/>
        </w:rPr>
      </w:pPr>
    </w:p>
    <w:p w14:paraId="4FB4D43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Beattie, A., </w:t>
      </w:r>
      <w:r w:rsidRPr="00AE141E">
        <w:rPr>
          <w:rFonts w:ascii="Times New Roman" w:hAnsi="Times New Roman" w:cs="Times New Roman"/>
          <w:i/>
          <w:sz w:val="24"/>
          <w:szCs w:val="24"/>
        </w:rPr>
        <w:t xml:space="preserve">History in Peril: May Parents Preserve it </w:t>
      </w:r>
      <w:r w:rsidRPr="00AE141E">
        <w:rPr>
          <w:rFonts w:ascii="Times New Roman" w:hAnsi="Times New Roman" w:cs="Times New Roman"/>
          <w:sz w:val="24"/>
          <w:szCs w:val="24"/>
        </w:rPr>
        <w:t>(London: Centre for Policy Studies, 1987).</w:t>
      </w:r>
    </w:p>
    <w:p w14:paraId="673ED737" w14:textId="77777777" w:rsidR="004C09DC" w:rsidRPr="00AE141E" w:rsidRDefault="004C09DC" w:rsidP="00AE141E">
      <w:pPr>
        <w:pStyle w:val="FootnoteText"/>
        <w:spacing w:line="360" w:lineRule="auto"/>
        <w:rPr>
          <w:rFonts w:ascii="Times New Roman" w:hAnsi="Times New Roman" w:cs="Times New Roman"/>
          <w:sz w:val="24"/>
          <w:szCs w:val="24"/>
        </w:rPr>
      </w:pPr>
    </w:p>
    <w:p w14:paraId="70D3358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Big Flame, </w:t>
      </w:r>
      <w:r w:rsidRPr="00AE141E">
        <w:rPr>
          <w:rFonts w:ascii="Times New Roman" w:hAnsi="Times New Roman" w:cs="Times New Roman"/>
          <w:i/>
          <w:sz w:val="24"/>
          <w:szCs w:val="24"/>
        </w:rPr>
        <w:t>The Past Against Our Future: Fighting Racism and Fascism</w:t>
      </w:r>
      <w:r w:rsidRPr="00AE141E">
        <w:rPr>
          <w:rFonts w:ascii="Times New Roman" w:hAnsi="Times New Roman" w:cs="Times New Roman"/>
          <w:sz w:val="24"/>
          <w:szCs w:val="24"/>
        </w:rPr>
        <w:t xml:space="preserve"> (Liverpool: Big Flame, 1979).</w:t>
      </w:r>
    </w:p>
    <w:p w14:paraId="71B8EF4D" w14:textId="77777777" w:rsidR="004C09DC" w:rsidRPr="00AE141E" w:rsidRDefault="004C09DC" w:rsidP="00AE141E">
      <w:pPr>
        <w:pStyle w:val="FootnoteText"/>
        <w:spacing w:line="360" w:lineRule="auto"/>
        <w:rPr>
          <w:rFonts w:ascii="Times New Roman" w:hAnsi="Times New Roman" w:cs="Times New Roman"/>
          <w:sz w:val="24"/>
          <w:szCs w:val="24"/>
        </w:rPr>
      </w:pPr>
    </w:p>
    <w:p w14:paraId="5EC161F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Brittan, E.M., </w:t>
      </w:r>
      <w:r w:rsidRPr="00AE141E">
        <w:rPr>
          <w:rFonts w:ascii="Times New Roman" w:hAnsi="Times New Roman" w:cs="Times New Roman"/>
          <w:i/>
          <w:sz w:val="24"/>
          <w:szCs w:val="24"/>
        </w:rPr>
        <w:t>Education for a Multiracial Society: An Evaluation of the Project</w:t>
      </w:r>
      <w:r w:rsidRPr="00AE141E">
        <w:rPr>
          <w:rFonts w:ascii="Times New Roman" w:hAnsi="Times New Roman" w:cs="Times New Roman"/>
          <w:sz w:val="24"/>
          <w:szCs w:val="24"/>
        </w:rPr>
        <w:t xml:space="preserve"> (Schools Council [SC], 1983).</w:t>
      </w:r>
    </w:p>
    <w:p w14:paraId="3BD850D1" w14:textId="77777777" w:rsidR="004C09DC" w:rsidRPr="00AE141E" w:rsidRDefault="004C09DC" w:rsidP="00AE141E">
      <w:pPr>
        <w:pStyle w:val="FootnoteText"/>
        <w:spacing w:line="360" w:lineRule="auto"/>
        <w:rPr>
          <w:rFonts w:ascii="Times New Roman" w:hAnsi="Times New Roman" w:cs="Times New Roman"/>
          <w:sz w:val="24"/>
          <w:szCs w:val="24"/>
        </w:rPr>
      </w:pPr>
    </w:p>
    <w:p w14:paraId="74A1471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Bryan, B., Dadzie, S., and Scafe, S., </w:t>
      </w:r>
      <w:r w:rsidRPr="00AE141E">
        <w:rPr>
          <w:rFonts w:ascii="Times New Roman" w:hAnsi="Times New Roman" w:cs="Times New Roman"/>
          <w:i/>
          <w:sz w:val="24"/>
          <w:szCs w:val="24"/>
        </w:rPr>
        <w:t xml:space="preserve">The Heart of the Race: Black Women's Lives in Britain, </w:t>
      </w:r>
      <w:r w:rsidRPr="00AE141E">
        <w:rPr>
          <w:rFonts w:ascii="Times New Roman" w:hAnsi="Times New Roman" w:cs="Times New Roman"/>
          <w:sz w:val="24"/>
          <w:szCs w:val="24"/>
        </w:rPr>
        <w:t>2</w:t>
      </w:r>
      <w:r w:rsidRPr="00AE141E">
        <w:rPr>
          <w:rFonts w:ascii="Times New Roman" w:hAnsi="Times New Roman" w:cs="Times New Roman"/>
          <w:sz w:val="24"/>
          <w:szCs w:val="24"/>
          <w:vertAlign w:val="superscript"/>
        </w:rPr>
        <w:t>nd</w:t>
      </w:r>
      <w:r w:rsidRPr="00AE141E">
        <w:rPr>
          <w:rFonts w:ascii="Times New Roman" w:hAnsi="Times New Roman" w:cs="Times New Roman"/>
          <w:sz w:val="24"/>
          <w:szCs w:val="24"/>
        </w:rPr>
        <w:t xml:space="preserve"> edn, (London: Verso, 2018).</w:t>
      </w:r>
    </w:p>
    <w:p w14:paraId="6A30AC58" w14:textId="77777777" w:rsidR="004C09DC" w:rsidRPr="00AE141E" w:rsidRDefault="004C09DC" w:rsidP="00AE141E">
      <w:pPr>
        <w:pStyle w:val="FootnoteText"/>
        <w:spacing w:line="360" w:lineRule="auto"/>
        <w:rPr>
          <w:rFonts w:ascii="Times New Roman" w:hAnsi="Times New Roman" w:cs="Times New Roman"/>
          <w:sz w:val="24"/>
          <w:szCs w:val="24"/>
        </w:rPr>
      </w:pPr>
    </w:p>
    <w:p w14:paraId="6850A35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Bryant, M., and Ecclestone, G., </w:t>
      </w:r>
      <w:r w:rsidRPr="00AE141E">
        <w:rPr>
          <w:rFonts w:ascii="Times New Roman" w:hAnsi="Times New Roman" w:cs="Times New Roman"/>
          <w:i/>
          <w:sz w:val="24"/>
          <w:szCs w:val="24"/>
        </w:rPr>
        <w:t xml:space="preserve">World Outlook 1900-1965: A Study Series: Class Work Book </w:t>
      </w:r>
      <w:r w:rsidRPr="00AE141E">
        <w:rPr>
          <w:rFonts w:ascii="Times New Roman" w:hAnsi="Times New Roman" w:cs="Times New Roman"/>
          <w:sz w:val="24"/>
          <w:szCs w:val="24"/>
        </w:rPr>
        <w:t>(London: Faber and Faber, 1968).</w:t>
      </w:r>
    </w:p>
    <w:p w14:paraId="7896B4EA" w14:textId="77777777" w:rsidR="004C09DC" w:rsidRPr="00AE141E" w:rsidRDefault="004C09DC" w:rsidP="00AE141E">
      <w:pPr>
        <w:pStyle w:val="FootnoteText"/>
        <w:spacing w:line="360" w:lineRule="auto"/>
        <w:rPr>
          <w:rFonts w:ascii="Times New Roman" w:hAnsi="Times New Roman" w:cs="Times New Roman"/>
          <w:sz w:val="24"/>
          <w:szCs w:val="24"/>
        </w:rPr>
      </w:pPr>
    </w:p>
    <w:p w14:paraId="48A7685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Burston, W.H. (ed.), </w:t>
      </w:r>
      <w:r w:rsidRPr="00AE141E">
        <w:rPr>
          <w:rFonts w:ascii="Times New Roman" w:hAnsi="Times New Roman" w:cs="Times New Roman"/>
          <w:i/>
          <w:sz w:val="24"/>
          <w:szCs w:val="24"/>
        </w:rPr>
        <w:t>Handbook for History Teachers</w:t>
      </w:r>
      <w:r w:rsidRPr="00AE141E">
        <w:rPr>
          <w:rFonts w:ascii="Times New Roman" w:hAnsi="Times New Roman" w:cs="Times New Roman"/>
          <w:sz w:val="24"/>
          <w:szCs w:val="24"/>
        </w:rPr>
        <w:t>, 2</w:t>
      </w:r>
      <w:r w:rsidRPr="00AE141E">
        <w:rPr>
          <w:rFonts w:ascii="Times New Roman" w:hAnsi="Times New Roman" w:cs="Times New Roman"/>
          <w:sz w:val="24"/>
          <w:szCs w:val="24"/>
          <w:vertAlign w:val="superscript"/>
        </w:rPr>
        <w:t>nd</w:t>
      </w:r>
      <w:r w:rsidRPr="00AE141E">
        <w:rPr>
          <w:rFonts w:ascii="Times New Roman" w:hAnsi="Times New Roman" w:cs="Times New Roman"/>
          <w:sz w:val="24"/>
          <w:szCs w:val="24"/>
        </w:rPr>
        <w:t xml:space="preserve"> edn, (London: Methuen, 1972).</w:t>
      </w:r>
    </w:p>
    <w:p w14:paraId="595A009B" w14:textId="77777777" w:rsidR="004C09DC" w:rsidRPr="00AE141E" w:rsidRDefault="004C09DC" w:rsidP="00AE141E">
      <w:pPr>
        <w:pStyle w:val="FootnoteText"/>
        <w:spacing w:line="360" w:lineRule="auto"/>
        <w:rPr>
          <w:rFonts w:ascii="Times New Roman" w:hAnsi="Times New Roman" w:cs="Times New Roman"/>
          <w:sz w:val="24"/>
          <w:szCs w:val="24"/>
        </w:rPr>
      </w:pPr>
    </w:p>
    <w:p w14:paraId="6CD62CF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Bush, J., ‘Moving On - and Looking Back’, </w:t>
      </w:r>
      <w:r w:rsidRPr="00AE141E">
        <w:rPr>
          <w:rFonts w:ascii="Times New Roman" w:hAnsi="Times New Roman" w:cs="Times New Roman"/>
          <w:i/>
          <w:sz w:val="24"/>
          <w:szCs w:val="24"/>
        </w:rPr>
        <w:t>History Workshop</w:t>
      </w:r>
      <w:r w:rsidRPr="00AE141E">
        <w:rPr>
          <w:rFonts w:ascii="Times New Roman" w:hAnsi="Times New Roman" w:cs="Times New Roman"/>
          <w:sz w:val="24"/>
          <w:szCs w:val="24"/>
        </w:rPr>
        <w:t xml:space="preserve"> 36 (1993), 183-94.</w:t>
      </w:r>
    </w:p>
    <w:p w14:paraId="6F873CAB" w14:textId="77777777" w:rsidR="004C09DC" w:rsidRPr="00AE141E" w:rsidRDefault="004C09DC" w:rsidP="00AE141E">
      <w:pPr>
        <w:pStyle w:val="FootnoteText"/>
        <w:spacing w:line="360" w:lineRule="auto"/>
        <w:rPr>
          <w:rFonts w:ascii="Times New Roman" w:hAnsi="Times New Roman" w:cs="Times New Roman"/>
          <w:sz w:val="24"/>
          <w:szCs w:val="24"/>
        </w:rPr>
      </w:pPr>
    </w:p>
    <w:p w14:paraId="322F569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Cambridge History Teaching Today Group, </w:t>
      </w:r>
      <w:r w:rsidRPr="00AE141E">
        <w:rPr>
          <w:rFonts w:ascii="Times New Roman" w:hAnsi="Times New Roman" w:cs="Times New Roman"/>
          <w:i/>
          <w:sz w:val="24"/>
          <w:szCs w:val="24"/>
        </w:rPr>
        <w:t>The Teaching of History to the 11-14 Age Group: The Report of an Enquiry</w:t>
      </w:r>
      <w:r w:rsidRPr="00AE141E">
        <w:rPr>
          <w:rFonts w:ascii="Times New Roman" w:hAnsi="Times New Roman" w:cs="Times New Roman"/>
          <w:sz w:val="24"/>
          <w:szCs w:val="24"/>
        </w:rPr>
        <w:t xml:space="preserve"> (Cambridge: Cambridge Institute of Education, 1970).</w:t>
      </w:r>
    </w:p>
    <w:p w14:paraId="5D19E367" w14:textId="77777777" w:rsidR="004C09DC" w:rsidRPr="00AE141E" w:rsidRDefault="004C09DC" w:rsidP="00AE141E">
      <w:pPr>
        <w:pStyle w:val="FootnoteText"/>
        <w:spacing w:line="360" w:lineRule="auto"/>
        <w:rPr>
          <w:rFonts w:ascii="Times New Roman" w:hAnsi="Times New Roman" w:cs="Times New Roman"/>
          <w:sz w:val="24"/>
          <w:szCs w:val="24"/>
        </w:rPr>
      </w:pPr>
    </w:p>
    <w:p w14:paraId="4535CC9F"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Central Manchester Caribbean English Project</w:t>
      </w:r>
      <w:r w:rsidRPr="00AE141E">
        <w:rPr>
          <w:rFonts w:ascii="Times New Roman" w:hAnsi="Times New Roman" w:cs="Times New Roman"/>
          <w:i/>
          <w:sz w:val="24"/>
          <w:szCs w:val="24"/>
        </w:rPr>
        <w:t>, Triangular Minds: Black Youth on Identity</w:t>
      </w:r>
      <w:r w:rsidRPr="00AE141E">
        <w:rPr>
          <w:rFonts w:ascii="Times New Roman" w:hAnsi="Times New Roman" w:cs="Times New Roman"/>
          <w:sz w:val="24"/>
          <w:szCs w:val="24"/>
        </w:rPr>
        <w:t xml:space="preserve"> (Manchester: Manchester Education Committee, 1986).</w:t>
      </w:r>
    </w:p>
    <w:p w14:paraId="3BF7C04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Collicott, S.L., </w:t>
      </w:r>
      <w:r w:rsidRPr="00AE141E">
        <w:rPr>
          <w:rFonts w:ascii="Times New Roman" w:hAnsi="Times New Roman" w:cs="Times New Roman"/>
          <w:i/>
          <w:sz w:val="24"/>
          <w:szCs w:val="24"/>
        </w:rPr>
        <w:t>Connections: Local-National-World Links</w:t>
      </w:r>
      <w:r w:rsidRPr="00AE141E">
        <w:rPr>
          <w:rFonts w:ascii="Times New Roman" w:hAnsi="Times New Roman" w:cs="Times New Roman"/>
          <w:sz w:val="24"/>
          <w:szCs w:val="24"/>
        </w:rPr>
        <w:t xml:space="preserve"> (Haringey Community Information Service and the Multi-Cultural Curriculum Support Group: London, 1986).</w:t>
      </w:r>
    </w:p>
    <w:p w14:paraId="2A997AA8" w14:textId="77777777" w:rsidR="004C09DC" w:rsidRPr="00AE141E" w:rsidRDefault="004C09DC" w:rsidP="00AE141E">
      <w:pPr>
        <w:pStyle w:val="FootnoteText"/>
        <w:spacing w:line="360" w:lineRule="auto"/>
        <w:rPr>
          <w:rFonts w:ascii="Times New Roman" w:hAnsi="Times New Roman" w:cs="Times New Roman"/>
          <w:sz w:val="24"/>
          <w:szCs w:val="24"/>
        </w:rPr>
      </w:pPr>
    </w:p>
    <w:p w14:paraId="5D033E5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Cox, C., and Scruton, R., </w:t>
      </w:r>
      <w:r w:rsidRPr="00AE141E">
        <w:rPr>
          <w:rFonts w:ascii="Times New Roman" w:hAnsi="Times New Roman" w:cs="Times New Roman"/>
          <w:i/>
          <w:sz w:val="24"/>
          <w:szCs w:val="24"/>
        </w:rPr>
        <w:t>Peace Studies: A Critical Survey</w:t>
      </w:r>
      <w:r w:rsidRPr="00AE141E">
        <w:rPr>
          <w:rFonts w:ascii="Times New Roman" w:hAnsi="Times New Roman" w:cs="Times New Roman"/>
          <w:sz w:val="24"/>
          <w:szCs w:val="24"/>
        </w:rPr>
        <w:t xml:space="preserve"> (London: Institute for European Defence &amp; Strategic Studies, 1984).</w:t>
      </w:r>
    </w:p>
    <w:p w14:paraId="607BA277" w14:textId="77777777" w:rsidR="004C09DC" w:rsidRPr="00AE141E" w:rsidRDefault="004C09DC" w:rsidP="00AE141E">
      <w:pPr>
        <w:pStyle w:val="FootnoteText"/>
        <w:spacing w:line="360" w:lineRule="auto"/>
        <w:rPr>
          <w:rFonts w:ascii="Times New Roman" w:hAnsi="Times New Roman" w:cs="Times New Roman"/>
          <w:sz w:val="24"/>
          <w:szCs w:val="24"/>
        </w:rPr>
      </w:pPr>
    </w:p>
    <w:p w14:paraId="021489A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Cox, C.B., and Dyson, A.E. (eds), </w:t>
      </w:r>
      <w:r w:rsidRPr="00AE141E">
        <w:rPr>
          <w:rFonts w:ascii="Times New Roman" w:hAnsi="Times New Roman" w:cs="Times New Roman"/>
          <w:i/>
          <w:sz w:val="24"/>
          <w:szCs w:val="24"/>
        </w:rPr>
        <w:t>The Black Papers on Education</w:t>
      </w:r>
      <w:r w:rsidRPr="00AE141E">
        <w:rPr>
          <w:rFonts w:ascii="Times New Roman" w:hAnsi="Times New Roman" w:cs="Times New Roman"/>
          <w:sz w:val="24"/>
          <w:szCs w:val="24"/>
        </w:rPr>
        <w:t xml:space="preserve"> (London: Davis-Poynter, 1971).</w:t>
      </w:r>
    </w:p>
    <w:p w14:paraId="68F2482D" w14:textId="77777777" w:rsidR="004C09DC" w:rsidRPr="00AE141E" w:rsidRDefault="004C09DC" w:rsidP="00AE141E">
      <w:pPr>
        <w:pStyle w:val="FootnoteText"/>
        <w:spacing w:line="360" w:lineRule="auto"/>
        <w:rPr>
          <w:rFonts w:ascii="Times New Roman" w:hAnsi="Times New Roman" w:cs="Times New Roman"/>
          <w:sz w:val="24"/>
          <w:szCs w:val="24"/>
        </w:rPr>
      </w:pPr>
    </w:p>
    <w:p w14:paraId="31C7C52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Craft, A., and Klein, G., </w:t>
      </w:r>
      <w:r w:rsidRPr="00AE141E">
        <w:rPr>
          <w:rFonts w:ascii="Times New Roman" w:hAnsi="Times New Roman" w:cs="Times New Roman"/>
          <w:i/>
          <w:sz w:val="24"/>
          <w:szCs w:val="24"/>
        </w:rPr>
        <w:t>Agenda for Multicultural Teaching</w:t>
      </w:r>
      <w:r w:rsidRPr="00AE141E">
        <w:rPr>
          <w:rFonts w:ascii="Times New Roman" w:hAnsi="Times New Roman" w:cs="Times New Roman"/>
          <w:sz w:val="24"/>
          <w:szCs w:val="24"/>
        </w:rPr>
        <w:t xml:space="preserve"> (York: Longman, 1986).</w:t>
      </w:r>
    </w:p>
    <w:p w14:paraId="57E29193" w14:textId="77777777" w:rsidR="004C09DC" w:rsidRPr="00AE141E" w:rsidRDefault="004C09DC" w:rsidP="00AE141E">
      <w:pPr>
        <w:pStyle w:val="FootnoteText"/>
        <w:spacing w:line="360" w:lineRule="auto"/>
        <w:rPr>
          <w:rFonts w:ascii="Times New Roman" w:hAnsi="Times New Roman" w:cs="Times New Roman"/>
          <w:sz w:val="24"/>
          <w:szCs w:val="24"/>
        </w:rPr>
      </w:pPr>
    </w:p>
    <w:p w14:paraId="29F7A7A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Davies</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F.,</w:t>
      </w:r>
      <w:r w:rsidRPr="00AE141E">
        <w:rPr>
          <w:rFonts w:ascii="Times New Roman" w:hAnsi="Times New Roman" w:cs="Times New Roman"/>
          <w:i/>
          <w:sz w:val="24"/>
          <w:szCs w:val="24"/>
        </w:rPr>
        <w:t xml:space="preserve"> Books in the School Curriculum: A Compilation and Review of Research Relating to Voluntary and Intensive Reading, A Report for the National Book League</w:t>
      </w:r>
      <w:r w:rsidRPr="00AE141E">
        <w:rPr>
          <w:rFonts w:ascii="Times New Roman" w:hAnsi="Times New Roman" w:cs="Times New Roman"/>
          <w:sz w:val="24"/>
          <w:szCs w:val="24"/>
        </w:rPr>
        <w:t xml:space="preserve"> (London: Publishers Association, 1986).</w:t>
      </w:r>
    </w:p>
    <w:p w14:paraId="1CE7265B" w14:textId="77777777" w:rsidR="004C09DC" w:rsidRPr="00AE141E" w:rsidRDefault="004C09DC" w:rsidP="00AE141E">
      <w:pPr>
        <w:pStyle w:val="FootnoteText"/>
        <w:spacing w:line="360" w:lineRule="auto"/>
        <w:rPr>
          <w:rFonts w:ascii="Times New Roman" w:hAnsi="Times New Roman" w:cs="Times New Roman"/>
          <w:sz w:val="24"/>
          <w:szCs w:val="24"/>
        </w:rPr>
      </w:pPr>
    </w:p>
    <w:p w14:paraId="6AB73A7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Dhondy, F., Beese, B., and Hassan, L. (eds), </w:t>
      </w:r>
      <w:r w:rsidRPr="00AE141E">
        <w:rPr>
          <w:rFonts w:ascii="Times New Roman" w:hAnsi="Times New Roman" w:cs="Times New Roman"/>
          <w:i/>
          <w:sz w:val="24"/>
          <w:szCs w:val="24"/>
        </w:rPr>
        <w:t xml:space="preserve">The Black Explosion in British </w:t>
      </w:r>
      <w:r w:rsidRPr="00AE141E">
        <w:rPr>
          <w:rFonts w:ascii="Times New Roman" w:hAnsi="Times New Roman" w:cs="Times New Roman"/>
          <w:sz w:val="24"/>
          <w:szCs w:val="24"/>
        </w:rPr>
        <w:t>Schools, 2</w:t>
      </w:r>
      <w:r w:rsidRPr="00AE141E">
        <w:rPr>
          <w:rFonts w:ascii="Times New Roman" w:hAnsi="Times New Roman" w:cs="Times New Roman"/>
          <w:sz w:val="24"/>
          <w:szCs w:val="24"/>
          <w:vertAlign w:val="superscript"/>
        </w:rPr>
        <w:t>nd</w:t>
      </w:r>
      <w:r w:rsidRPr="00AE141E">
        <w:rPr>
          <w:rFonts w:ascii="Times New Roman" w:hAnsi="Times New Roman" w:cs="Times New Roman"/>
          <w:sz w:val="24"/>
          <w:szCs w:val="24"/>
        </w:rPr>
        <w:t xml:space="preserve"> edn (London: Race Today, 1985).</w:t>
      </w:r>
    </w:p>
    <w:p w14:paraId="124BA78D" w14:textId="77777777" w:rsidR="004C09DC" w:rsidRPr="00AE141E" w:rsidRDefault="004C09DC" w:rsidP="00AE141E">
      <w:pPr>
        <w:pStyle w:val="FootnoteText"/>
        <w:spacing w:line="360" w:lineRule="auto"/>
        <w:rPr>
          <w:rFonts w:ascii="Times New Roman" w:hAnsi="Times New Roman" w:cs="Times New Roman"/>
          <w:sz w:val="24"/>
          <w:szCs w:val="24"/>
        </w:rPr>
      </w:pPr>
    </w:p>
    <w:p w14:paraId="7B679367" w14:textId="0C5A6C58"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Dodgson, E., ‘From Oral History to Drama’, </w:t>
      </w:r>
      <w:r w:rsidRPr="00AE141E">
        <w:rPr>
          <w:rFonts w:ascii="Times New Roman" w:hAnsi="Times New Roman" w:cs="Times New Roman"/>
          <w:i/>
          <w:sz w:val="24"/>
          <w:szCs w:val="24"/>
        </w:rPr>
        <w:t>Oral History</w:t>
      </w:r>
      <w:r w:rsidRPr="00AE141E">
        <w:rPr>
          <w:rFonts w:ascii="Times New Roman" w:hAnsi="Times New Roman" w:cs="Times New Roman"/>
          <w:sz w:val="24"/>
          <w:szCs w:val="24"/>
        </w:rPr>
        <w:t xml:space="preserve"> 12.2 (Autumn 1984), 47-53.</w:t>
      </w:r>
    </w:p>
    <w:p w14:paraId="4F8EC5B0" w14:textId="77777777" w:rsidR="004C09DC" w:rsidRPr="00AE141E" w:rsidRDefault="004C09DC" w:rsidP="00AE141E">
      <w:pPr>
        <w:pStyle w:val="FootnoteText"/>
        <w:spacing w:line="360" w:lineRule="auto"/>
        <w:rPr>
          <w:rFonts w:ascii="Times New Roman" w:hAnsi="Times New Roman" w:cs="Times New Roman"/>
          <w:sz w:val="24"/>
          <w:szCs w:val="24"/>
        </w:rPr>
      </w:pPr>
    </w:p>
    <w:p w14:paraId="3342C0B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Dodgson, E., </w:t>
      </w:r>
      <w:r w:rsidRPr="00AE141E">
        <w:rPr>
          <w:rFonts w:ascii="Times New Roman" w:hAnsi="Times New Roman" w:cs="Times New Roman"/>
          <w:i/>
          <w:sz w:val="24"/>
          <w:szCs w:val="24"/>
        </w:rPr>
        <w:t xml:space="preserve">Motherland: West Indian women to Britain in the 1950s </w:t>
      </w:r>
      <w:r w:rsidRPr="00AE141E">
        <w:rPr>
          <w:rFonts w:ascii="Times New Roman" w:hAnsi="Times New Roman" w:cs="Times New Roman"/>
          <w:sz w:val="24"/>
          <w:szCs w:val="24"/>
        </w:rPr>
        <w:t>(Oxford: Heinemann Educational, 1984).</w:t>
      </w:r>
    </w:p>
    <w:p w14:paraId="22E8D74C" w14:textId="77777777" w:rsidR="004C09DC" w:rsidRPr="00AE141E" w:rsidRDefault="004C09DC" w:rsidP="00AE141E">
      <w:pPr>
        <w:pStyle w:val="FootnoteText"/>
        <w:spacing w:line="360" w:lineRule="auto"/>
        <w:rPr>
          <w:rFonts w:ascii="Times New Roman" w:hAnsi="Times New Roman" w:cs="Times New Roman"/>
          <w:sz w:val="24"/>
          <w:szCs w:val="24"/>
        </w:rPr>
      </w:pPr>
    </w:p>
    <w:p w14:paraId="599840C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Dyer, A.M., </w:t>
      </w:r>
      <w:r w:rsidRPr="00AE141E">
        <w:rPr>
          <w:rFonts w:ascii="Times New Roman" w:hAnsi="Times New Roman" w:cs="Times New Roman"/>
          <w:i/>
          <w:sz w:val="24"/>
          <w:szCs w:val="24"/>
        </w:rPr>
        <w:t xml:space="preserve">History in a Multi-Cultural Society: Teaching of History Discussion Paper 2 </w:t>
      </w:r>
      <w:r w:rsidRPr="00AE141E">
        <w:rPr>
          <w:rFonts w:ascii="Times New Roman" w:hAnsi="Times New Roman" w:cs="Times New Roman"/>
          <w:sz w:val="24"/>
          <w:szCs w:val="24"/>
        </w:rPr>
        <w:t>(London: HA, 1982).</w:t>
      </w:r>
    </w:p>
    <w:p w14:paraId="40F9AE51" w14:textId="77777777" w:rsidR="004C09DC" w:rsidRPr="00AE141E" w:rsidRDefault="004C09DC" w:rsidP="00AE141E">
      <w:pPr>
        <w:pStyle w:val="FootnoteText"/>
        <w:spacing w:line="360" w:lineRule="auto"/>
        <w:rPr>
          <w:rFonts w:ascii="Times New Roman" w:hAnsi="Times New Roman" w:cs="Times New Roman"/>
          <w:sz w:val="24"/>
          <w:szCs w:val="24"/>
        </w:rPr>
      </w:pPr>
    </w:p>
    <w:p w14:paraId="45A130B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Edgington, D., </w:t>
      </w:r>
      <w:r w:rsidRPr="00AE141E">
        <w:rPr>
          <w:rFonts w:ascii="Times New Roman" w:hAnsi="Times New Roman" w:cs="Times New Roman"/>
          <w:i/>
          <w:sz w:val="24"/>
          <w:szCs w:val="24"/>
        </w:rPr>
        <w:t>The Role of History in Multicultural Education</w:t>
      </w:r>
      <w:r w:rsidRPr="00AE141E">
        <w:rPr>
          <w:rFonts w:ascii="Times New Roman" w:hAnsi="Times New Roman" w:cs="Times New Roman"/>
          <w:sz w:val="24"/>
          <w:szCs w:val="24"/>
        </w:rPr>
        <w:t xml:space="preserve"> (London: Extramural Division, School of Oriental and African Studies, 1982).</w:t>
      </w:r>
    </w:p>
    <w:p w14:paraId="53D6CDC5" w14:textId="77777777" w:rsidR="004C09DC" w:rsidRPr="00AE141E" w:rsidRDefault="004C09DC" w:rsidP="00AE141E">
      <w:pPr>
        <w:pStyle w:val="FootnoteText"/>
        <w:spacing w:line="360" w:lineRule="auto"/>
        <w:rPr>
          <w:rFonts w:ascii="Times New Roman" w:hAnsi="Times New Roman" w:cs="Times New Roman"/>
          <w:sz w:val="24"/>
          <w:szCs w:val="24"/>
        </w:rPr>
      </w:pPr>
    </w:p>
    <w:p w14:paraId="72A0F0F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File, N., and Power, C., </w:t>
      </w:r>
      <w:r w:rsidRPr="00AE141E">
        <w:rPr>
          <w:rFonts w:ascii="Times New Roman" w:hAnsi="Times New Roman" w:cs="Times New Roman"/>
          <w:i/>
          <w:sz w:val="24"/>
          <w:szCs w:val="24"/>
        </w:rPr>
        <w:t xml:space="preserve">Black Settlers in Britain, 1555-1958 </w:t>
      </w:r>
      <w:r w:rsidRPr="00AE141E">
        <w:rPr>
          <w:rFonts w:ascii="Times New Roman" w:hAnsi="Times New Roman" w:cs="Times New Roman"/>
          <w:sz w:val="24"/>
          <w:szCs w:val="24"/>
        </w:rPr>
        <w:t>(London: Heinemann Educational, 1981).</w:t>
      </w:r>
    </w:p>
    <w:p w14:paraId="2349B509" w14:textId="77777777" w:rsidR="004C09DC" w:rsidRPr="00AE141E" w:rsidRDefault="004C09DC" w:rsidP="00AE141E">
      <w:pPr>
        <w:pStyle w:val="FootnoteText"/>
        <w:spacing w:line="360" w:lineRule="auto"/>
        <w:rPr>
          <w:rFonts w:ascii="Times New Roman" w:hAnsi="Times New Roman" w:cs="Times New Roman"/>
          <w:sz w:val="24"/>
          <w:szCs w:val="24"/>
        </w:rPr>
      </w:pPr>
    </w:p>
    <w:p w14:paraId="5DB2EAD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File, N., </w:t>
      </w:r>
      <w:r w:rsidRPr="00AE141E">
        <w:rPr>
          <w:rFonts w:ascii="Times New Roman" w:hAnsi="Times New Roman" w:cs="Times New Roman"/>
          <w:i/>
          <w:sz w:val="24"/>
          <w:szCs w:val="24"/>
        </w:rPr>
        <w:t xml:space="preserve">Assessment in a Multicultural Society: History at 16, a Discussion Document </w:t>
      </w:r>
      <w:r w:rsidRPr="00AE141E">
        <w:rPr>
          <w:rFonts w:ascii="Times New Roman" w:hAnsi="Times New Roman" w:cs="Times New Roman"/>
          <w:sz w:val="24"/>
          <w:szCs w:val="24"/>
        </w:rPr>
        <w:t>(York: Longman for SC, 1983).</w:t>
      </w:r>
    </w:p>
    <w:p w14:paraId="33E737E2" w14:textId="77777777" w:rsidR="004C09DC" w:rsidRPr="00AE141E" w:rsidRDefault="004C09DC" w:rsidP="00AE141E">
      <w:pPr>
        <w:pStyle w:val="FootnoteText"/>
        <w:spacing w:line="360" w:lineRule="auto"/>
        <w:rPr>
          <w:rFonts w:ascii="Times New Roman" w:hAnsi="Times New Roman" w:cs="Times New Roman"/>
          <w:sz w:val="24"/>
          <w:szCs w:val="24"/>
        </w:rPr>
      </w:pPr>
    </w:p>
    <w:p w14:paraId="4857986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File, N., ‘History’, in Craft, A., and Bardell, G. (eds), </w:t>
      </w:r>
      <w:r w:rsidRPr="00AE141E">
        <w:rPr>
          <w:rFonts w:ascii="Times New Roman" w:hAnsi="Times New Roman" w:cs="Times New Roman"/>
          <w:i/>
          <w:sz w:val="24"/>
          <w:szCs w:val="24"/>
        </w:rPr>
        <w:t>Curriculum Opportunities in a Multicultural Society</w:t>
      </w:r>
      <w:r w:rsidRPr="00AE141E">
        <w:rPr>
          <w:rFonts w:ascii="Times New Roman" w:hAnsi="Times New Roman" w:cs="Times New Roman"/>
          <w:sz w:val="24"/>
          <w:szCs w:val="24"/>
        </w:rPr>
        <w:t>, (London: Harper and Row, 1984), 3-19.</w:t>
      </w:r>
    </w:p>
    <w:p w14:paraId="637F0701" w14:textId="77777777" w:rsidR="004C09DC" w:rsidRPr="00AE141E" w:rsidRDefault="004C09DC" w:rsidP="00AE141E">
      <w:pPr>
        <w:pStyle w:val="FootnoteText"/>
        <w:spacing w:line="360" w:lineRule="auto"/>
        <w:rPr>
          <w:rFonts w:ascii="Times New Roman" w:hAnsi="Times New Roman" w:cs="Times New Roman"/>
          <w:sz w:val="24"/>
          <w:szCs w:val="24"/>
        </w:rPr>
      </w:pPr>
    </w:p>
    <w:p w14:paraId="1B3C8BC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Finberg, H.P.R. (ed.), </w:t>
      </w:r>
      <w:r w:rsidRPr="00AE141E">
        <w:rPr>
          <w:rFonts w:ascii="Times New Roman" w:hAnsi="Times New Roman" w:cs="Times New Roman"/>
          <w:i/>
          <w:sz w:val="24"/>
          <w:szCs w:val="24"/>
        </w:rPr>
        <w:t>Approaches to History: A Symposium</w:t>
      </w:r>
      <w:r w:rsidRPr="00AE141E">
        <w:rPr>
          <w:rFonts w:ascii="Times New Roman" w:hAnsi="Times New Roman" w:cs="Times New Roman"/>
          <w:sz w:val="24"/>
          <w:szCs w:val="24"/>
        </w:rPr>
        <w:t>, (London: Routledge &amp; Kegan Paul, 1962).</w:t>
      </w:r>
    </w:p>
    <w:p w14:paraId="7CCC1A86" w14:textId="77777777" w:rsidR="004C09DC" w:rsidRPr="00AE141E" w:rsidRDefault="004C09DC" w:rsidP="00AE141E">
      <w:pPr>
        <w:pStyle w:val="FootnoteText"/>
        <w:spacing w:line="360" w:lineRule="auto"/>
        <w:rPr>
          <w:rFonts w:ascii="Times New Roman" w:hAnsi="Times New Roman" w:cs="Times New Roman"/>
          <w:sz w:val="24"/>
          <w:szCs w:val="24"/>
        </w:rPr>
      </w:pPr>
    </w:p>
    <w:p w14:paraId="3D228BD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Flew, A., </w:t>
      </w:r>
      <w:r w:rsidRPr="00AE141E">
        <w:rPr>
          <w:rFonts w:ascii="Times New Roman" w:hAnsi="Times New Roman" w:cs="Times New Roman"/>
          <w:i/>
          <w:sz w:val="24"/>
          <w:szCs w:val="24"/>
        </w:rPr>
        <w:t>Education, Race and Revolution</w:t>
      </w:r>
      <w:r w:rsidRPr="00AE141E">
        <w:rPr>
          <w:rFonts w:ascii="Times New Roman" w:hAnsi="Times New Roman" w:cs="Times New Roman"/>
          <w:sz w:val="24"/>
          <w:szCs w:val="24"/>
        </w:rPr>
        <w:t xml:space="preserve"> (London: Centre for Policy Studies, 1984).</w:t>
      </w:r>
    </w:p>
    <w:p w14:paraId="715B154F" w14:textId="77777777" w:rsidR="004C09DC" w:rsidRPr="00AE141E" w:rsidRDefault="004C09DC" w:rsidP="00AE141E">
      <w:pPr>
        <w:pStyle w:val="FootnoteText"/>
        <w:spacing w:line="360" w:lineRule="auto"/>
        <w:rPr>
          <w:rFonts w:ascii="Times New Roman" w:hAnsi="Times New Roman" w:cs="Times New Roman"/>
          <w:sz w:val="24"/>
          <w:szCs w:val="24"/>
        </w:rPr>
      </w:pPr>
    </w:p>
    <w:p w14:paraId="4E4D7AF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Garrison</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L.,</w:t>
      </w:r>
      <w:r w:rsidRPr="00AE141E">
        <w:rPr>
          <w:rFonts w:ascii="Times New Roman" w:hAnsi="Times New Roman" w:cs="Times New Roman"/>
          <w:i/>
          <w:sz w:val="24"/>
          <w:szCs w:val="24"/>
        </w:rPr>
        <w:t xml:space="preserve"> Black Youth, Rastafarianism, and the Identity Crisis in Britain</w:t>
      </w:r>
      <w:r w:rsidRPr="00AE141E">
        <w:rPr>
          <w:rFonts w:ascii="Times New Roman" w:hAnsi="Times New Roman" w:cs="Times New Roman"/>
          <w:sz w:val="24"/>
          <w:szCs w:val="24"/>
        </w:rPr>
        <w:t xml:space="preserve"> (London: ACER, 1979).</w:t>
      </w:r>
    </w:p>
    <w:p w14:paraId="0D73854A" w14:textId="77777777" w:rsidR="004C09DC" w:rsidRPr="00AE141E" w:rsidRDefault="004C09DC" w:rsidP="00AE141E">
      <w:pPr>
        <w:pStyle w:val="FootnoteText"/>
        <w:spacing w:line="360" w:lineRule="auto"/>
        <w:rPr>
          <w:rFonts w:ascii="Times New Roman" w:hAnsi="Times New Roman" w:cs="Times New Roman"/>
          <w:sz w:val="24"/>
          <w:szCs w:val="24"/>
        </w:rPr>
      </w:pPr>
    </w:p>
    <w:p w14:paraId="23CD31C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Gibson, M., </w:t>
      </w:r>
      <w:r w:rsidRPr="00AE141E">
        <w:rPr>
          <w:rFonts w:ascii="Times New Roman" w:hAnsi="Times New Roman" w:cs="Times New Roman"/>
          <w:i/>
          <w:sz w:val="24"/>
          <w:szCs w:val="24"/>
        </w:rPr>
        <w:t>Voyages of Discovery</w:t>
      </w:r>
      <w:r w:rsidRPr="00AE141E">
        <w:rPr>
          <w:rFonts w:ascii="Times New Roman" w:hAnsi="Times New Roman" w:cs="Times New Roman"/>
          <w:sz w:val="24"/>
          <w:szCs w:val="24"/>
        </w:rPr>
        <w:t xml:space="preserve"> (Oxford: Oxford History Workshop Series, OUP, 1971). </w:t>
      </w:r>
    </w:p>
    <w:p w14:paraId="11FAE36E" w14:textId="77777777" w:rsidR="004C09DC" w:rsidRPr="00AE141E" w:rsidRDefault="004C09DC" w:rsidP="00AE141E">
      <w:pPr>
        <w:pStyle w:val="FootnoteText"/>
        <w:spacing w:line="360" w:lineRule="auto"/>
        <w:rPr>
          <w:rFonts w:ascii="Times New Roman" w:hAnsi="Times New Roman" w:cs="Times New Roman"/>
          <w:sz w:val="24"/>
          <w:szCs w:val="24"/>
        </w:rPr>
      </w:pPr>
    </w:p>
    <w:p w14:paraId="60F3A16A" w14:textId="24C303B5"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Guyver, R.M., ‘History’s Domesday Book’, </w:t>
      </w:r>
      <w:r w:rsidRPr="00AE141E">
        <w:rPr>
          <w:rFonts w:ascii="Times New Roman" w:hAnsi="Times New Roman" w:cs="Times New Roman"/>
          <w:i/>
          <w:sz w:val="24"/>
          <w:szCs w:val="24"/>
        </w:rPr>
        <w:t>History Workshop Journal</w:t>
      </w:r>
      <w:r w:rsidRPr="00AE141E">
        <w:rPr>
          <w:rFonts w:ascii="Times New Roman" w:hAnsi="Times New Roman" w:cs="Times New Roman"/>
          <w:sz w:val="24"/>
          <w:szCs w:val="24"/>
        </w:rPr>
        <w:t xml:space="preserve"> 30 (Autumn</w:t>
      </w:r>
      <w:r w:rsidR="004F0071">
        <w:rPr>
          <w:rFonts w:ascii="Times New Roman" w:hAnsi="Times New Roman" w:cs="Times New Roman"/>
          <w:sz w:val="24"/>
          <w:szCs w:val="24"/>
        </w:rPr>
        <w:t xml:space="preserve"> </w:t>
      </w:r>
      <w:r w:rsidRPr="00AE141E">
        <w:rPr>
          <w:rFonts w:ascii="Times New Roman" w:hAnsi="Times New Roman" w:cs="Times New Roman"/>
          <w:sz w:val="24"/>
          <w:szCs w:val="24"/>
        </w:rPr>
        <w:t>1990), 100-108.</w:t>
      </w:r>
    </w:p>
    <w:p w14:paraId="7D845105" w14:textId="77777777" w:rsidR="004C09DC" w:rsidRPr="00AE141E" w:rsidRDefault="004C09DC" w:rsidP="00AE141E">
      <w:pPr>
        <w:pStyle w:val="FootnoteText"/>
        <w:spacing w:line="360" w:lineRule="auto"/>
        <w:rPr>
          <w:rFonts w:ascii="Times New Roman" w:hAnsi="Times New Roman" w:cs="Times New Roman"/>
          <w:sz w:val="24"/>
          <w:szCs w:val="24"/>
        </w:rPr>
      </w:pPr>
    </w:p>
    <w:p w14:paraId="5825342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Hanna, A.J., </w:t>
      </w:r>
      <w:r w:rsidRPr="00AE141E">
        <w:rPr>
          <w:rFonts w:ascii="Times New Roman" w:hAnsi="Times New Roman" w:cs="Times New Roman"/>
          <w:i/>
          <w:sz w:val="24"/>
          <w:szCs w:val="24"/>
        </w:rPr>
        <w:t xml:space="preserve">European Rule in Africa </w:t>
      </w:r>
      <w:r w:rsidRPr="00AE141E">
        <w:rPr>
          <w:rFonts w:ascii="Times New Roman" w:hAnsi="Times New Roman" w:cs="Times New Roman"/>
          <w:sz w:val="24"/>
          <w:szCs w:val="24"/>
        </w:rPr>
        <w:t>(London: HA, 1961).</w:t>
      </w:r>
    </w:p>
    <w:p w14:paraId="264DFE5B" w14:textId="77777777" w:rsidR="004C09DC" w:rsidRPr="00AE141E" w:rsidRDefault="004C09DC" w:rsidP="00AE141E">
      <w:pPr>
        <w:pStyle w:val="FootnoteText"/>
        <w:spacing w:line="360" w:lineRule="auto"/>
        <w:rPr>
          <w:rFonts w:ascii="Times New Roman" w:hAnsi="Times New Roman" w:cs="Times New Roman"/>
          <w:sz w:val="24"/>
          <w:szCs w:val="24"/>
        </w:rPr>
      </w:pPr>
    </w:p>
    <w:p w14:paraId="1923A22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Hanna, A.J., </w:t>
      </w:r>
      <w:r w:rsidRPr="00AE141E">
        <w:rPr>
          <w:rFonts w:ascii="Times New Roman" w:hAnsi="Times New Roman" w:cs="Times New Roman"/>
          <w:i/>
          <w:sz w:val="24"/>
          <w:szCs w:val="24"/>
        </w:rPr>
        <w:t xml:space="preserve">European Rule in Africa </w:t>
      </w:r>
      <w:r w:rsidRPr="00AE141E">
        <w:rPr>
          <w:rFonts w:ascii="Times New Roman" w:hAnsi="Times New Roman" w:cs="Times New Roman"/>
          <w:sz w:val="24"/>
          <w:szCs w:val="24"/>
        </w:rPr>
        <w:t>(London: HA, 1965).</w:t>
      </w:r>
    </w:p>
    <w:p w14:paraId="07109BBF" w14:textId="77777777" w:rsidR="004C09DC" w:rsidRPr="00AE141E" w:rsidRDefault="004C09DC" w:rsidP="00AE141E">
      <w:pPr>
        <w:pStyle w:val="FootnoteText"/>
        <w:spacing w:line="360" w:lineRule="auto"/>
        <w:rPr>
          <w:rFonts w:ascii="Times New Roman" w:hAnsi="Times New Roman" w:cs="Times New Roman"/>
          <w:sz w:val="24"/>
          <w:szCs w:val="24"/>
        </w:rPr>
      </w:pPr>
    </w:p>
    <w:p w14:paraId="23339F3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Hemmings, S. (ed.),</w:t>
      </w:r>
      <w:r w:rsidRPr="00AE141E">
        <w:rPr>
          <w:rFonts w:ascii="Times New Roman" w:hAnsi="Times New Roman" w:cs="Times New Roman"/>
          <w:i/>
          <w:sz w:val="24"/>
          <w:szCs w:val="24"/>
        </w:rPr>
        <w:t xml:space="preserve"> Girls are Powerful: Young Women’s Writings from Spare Rib</w:t>
      </w:r>
      <w:r w:rsidRPr="00AE141E">
        <w:rPr>
          <w:rFonts w:ascii="Times New Roman" w:hAnsi="Times New Roman" w:cs="Times New Roman"/>
          <w:sz w:val="24"/>
          <w:szCs w:val="24"/>
        </w:rPr>
        <w:t xml:space="preserve"> (London: Sheba, 1982).</w:t>
      </w:r>
    </w:p>
    <w:p w14:paraId="0E70D17D" w14:textId="77777777" w:rsidR="004C09DC" w:rsidRPr="00AE141E" w:rsidRDefault="004C09DC" w:rsidP="00AE141E">
      <w:pPr>
        <w:pStyle w:val="FootnoteText"/>
        <w:spacing w:line="360" w:lineRule="auto"/>
        <w:rPr>
          <w:rFonts w:ascii="Times New Roman" w:hAnsi="Times New Roman" w:cs="Times New Roman"/>
          <w:sz w:val="24"/>
          <w:szCs w:val="24"/>
        </w:rPr>
      </w:pPr>
    </w:p>
    <w:p w14:paraId="1921523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Hicks, D., </w:t>
      </w:r>
      <w:r w:rsidRPr="00AE141E">
        <w:rPr>
          <w:rFonts w:ascii="Times New Roman" w:hAnsi="Times New Roman" w:cs="Times New Roman"/>
          <w:i/>
          <w:sz w:val="24"/>
          <w:szCs w:val="24"/>
        </w:rPr>
        <w:t>Images of the World: An Introduction to Bias in Teaching Materials</w:t>
      </w:r>
      <w:r w:rsidRPr="00AE141E">
        <w:rPr>
          <w:rFonts w:ascii="Times New Roman" w:hAnsi="Times New Roman" w:cs="Times New Roman"/>
          <w:sz w:val="24"/>
          <w:szCs w:val="24"/>
        </w:rPr>
        <w:t xml:space="preserve"> (London: University of London Institute of Education, 1980).</w:t>
      </w:r>
    </w:p>
    <w:p w14:paraId="2E5C15D2" w14:textId="77777777" w:rsidR="004C09DC" w:rsidRPr="00AE141E" w:rsidRDefault="004C09DC" w:rsidP="00AE141E">
      <w:pPr>
        <w:pStyle w:val="FootnoteText"/>
        <w:spacing w:line="360" w:lineRule="auto"/>
        <w:rPr>
          <w:rFonts w:ascii="Times New Roman" w:hAnsi="Times New Roman" w:cs="Times New Roman"/>
          <w:sz w:val="24"/>
          <w:szCs w:val="24"/>
        </w:rPr>
      </w:pPr>
    </w:p>
    <w:p w14:paraId="1DBDED3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Hicks, D.W., </w:t>
      </w:r>
      <w:r w:rsidRPr="00AE141E">
        <w:rPr>
          <w:rFonts w:ascii="Times New Roman" w:hAnsi="Times New Roman" w:cs="Times New Roman"/>
          <w:i/>
          <w:sz w:val="24"/>
          <w:szCs w:val="24"/>
        </w:rPr>
        <w:t>Minorities: A Teacher’s Resource Book for the Multi-Ethnic Curriculum</w:t>
      </w:r>
      <w:r w:rsidRPr="00AE141E">
        <w:rPr>
          <w:rFonts w:ascii="Times New Roman" w:hAnsi="Times New Roman" w:cs="Times New Roman"/>
          <w:sz w:val="24"/>
          <w:szCs w:val="24"/>
        </w:rPr>
        <w:t xml:space="preserve"> (London: Heinemann, 1981).</w:t>
      </w:r>
    </w:p>
    <w:p w14:paraId="1A41F4E1" w14:textId="77777777" w:rsidR="004C09DC" w:rsidRPr="00AE141E" w:rsidRDefault="004C09DC" w:rsidP="00AE141E">
      <w:pPr>
        <w:pStyle w:val="FootnoteText"/>
        <w:spacing w:line="360" w:lineRule="auto"/>
        <w:rPr>
          <w:rFonts w:ascii="Times New Roman" w:hAnsi="Times New Roman" w:cs="Times New Roman"/>
          <w:sz w:val="24"/>
          <w:szCs w:val="24"/>
        </w:rPr>
      </w:pPr>
    </w:p>
    <w:p w14:paraId="6F5C216B" w14:textId="0128288E"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Hill, J. (ed.), </w:t>
      </w:r>
      <w:r w:rsidRPr="00AE141E">
        <w:rPr>
          <w:rFonts w:ascii="Times New Roman" w:hAnsi="Times New Roman" w:cs="Times New Roman"/>
          <w:i/>
          <w:sz w:val="24"/>
          <w:szCs w:val="24"/>
        </w:rPr>
        <w:t xml:space="preserve">Books for Children: The Homelands of Immigrants in Britain </w:t>
      </w:r>
      <w:r w:rsidRPr="00AE141E">
        <w:rPr>
          <w:rFonts w:ascii="Times New Roman" w:hAnsi="Times New Roman" w:cs="Times New Roman"/>
          <w:sz w:val="24"/>
          <w:szCs w:val="24"/>
        </w:rPr>
        <w:t>(London, Institute of Race Relations, 1971).</w:t>
      </w:r>
    </w:p>
    <w:p w14:paraId="3C7B033A" w14:textId="77777777" w:rsidR="004C09DC" w:rsidRPr="00AE141E" w:rsidRDefault="004C09DC" w:rsidP="00AE141E">
      <w:pPr>
        <w:pStyle w:val="FootnoteText"/>
        <w:spacing w:line="360" w:lineRule="auto"/>
        <w:rPr>
          <w:rFonts w:ascii="Times New Roman" w:hAnsi="Times New Roman" w:cs="Times New Roman"/>
          <w:sz w:val="24"/>
          <w:szCs w:val="24"/>
        </w:rPr>
      </w:pPr>
    </w:p>
    <w:p w14:paraId="56379D90" w14:textId="7AC109FE"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Hillgate Group, </w:t>
      </w:r>
      <w:r w:rsidRPr="00AE141E">
        <w:rPr>
          <w:rFonts w:ascii="Times New Roman" w:hAnsi="Times New Roman" w:cs="Times New Roman"/>
          <w:i/>
          <w:sz w:val="24"/>
          <w:szCs w:val="24"/>
        </w:rPr>
        <w:t xml:space="preserve">The Reform of British Education: From Principles to Practice </w:t>
      </w:r>
      <w:r w:rsidRPr="00AE141E">
        <w:rPr>
          <w:rFonts w:ascii="Times New Roman" w:hAnsi="Times New Roman" w:cs="Times New Roman"/>
          <w:sz w:val="24"/>
          <w:szCs w:val="24"/>
        </w:rPr>
        <w:t>(</w:t>
      </w:r>
      <w:r w:rsidR="00BE13FF">
        <w:rPr>
          <w:rFonts w:ascii="Times New Roman" w:hAnsi="Times New Roman" w:cs="Times New Roman"/>
          <w:sz w:val="24"/>
          <w:szCs w:val="24"/>
        </w:rPr>
        <w:t xml:space="preserve">London: </w:t>
      </w:r>
      <w:r w:rsidRPr="00AE141E">
        <w:rPr>
          <w:rFonts w:ascii="Times New Roman" w:hAnsi="Times New Roman" w:cs="Times New Roman"/>
          <w:sz w:val="24"/>
          <w:szCs w:val="24"/>
        </w:rPr>
        <w:t>Claridge, 1987).</w:t>
      </w:r>
    </w:p>
    <w:p w14:paraId="2EA480D2" w14:textId="77777777" w:rsidR="004C09DC" w:rsidRPr="00AE141E" w:rsidRDefault="004C09DC" w:rsidP="00AE141E">
      <w:pPr>
        <w:pStyle w:val="FootnoteText"/>
        <w:spacing w:line="360" w:lineRule="auto"/>
        <w:rPr>
          <w:rFonts w:ascii="Times New Roman" w:hAnsi="Times New Roman" w:cs="Times New Roman"/>
          <w:sz w:val="24"/>
          <w:szCs w:val="24"/>
        </w:rPr>
      </w:pPr>
    </w:p>
    <w:p w14:paraId="77EEB42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Hillgate Group, </w:t>
      </w:r>
      <w:r w:rsidRPr="00AE141E">
        <w:rPr>
          <w:rFonts w:ascii="Times New Roman" w:hAnsi="Times New Roman" w:cs="Times New Roman"/>
          <w:i/>
          <w:sz w:val="24"/>
          <w:szCs w:val="24"/>
        </w:rPr>
        <w:t>Whose Schools? A Radical Manifesto</w:t>
      </w:r>
      <w:r w:rsidRPr="00AE141E">
        <w:rPr>
          <w:rFonts w:ascii="Times New Roman" w:hAnsi="Times New Roman" w:cs="Times New Roman"/>
          <w:sz w:val="24"/>
          <w:szCs w:val="24"/>
        </w:rPr>
        <w:t xml:space="preserve"> (London: The Hillgate Group, 1968).</w:t>
      </w:r>
    </w:p>
    <w:p w14:paraId="1B824165" w14:textId="77777777" w:rsidR="004C09DC" w:rsidRPr="00AE141E" w:rsidRDefault="004C09DC" w:rsidP="00AE141E">
      <w:pPr>
        <w:pStyle w:val="FootnoteText"/>
        <w:spacing w:line="360" w:lineRule="auto"/>
        <w:rPr>
          <w:rFonts w:ascii="Times New Roman" w:hAnsi="Times New Roman" w:cs="Times New Roman"/>
          <w:sz w:val="24"/>
          <w:szCs w:val="24"/>
        </w:rPr>
      </w:pPr>
    </w:p>
    <w:p w14:paraId="6F1371A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HA, </w:t>
      </w:r>
      <w:r w:rsidRPr="00AE141E">
        <w:rPr>
          <w:rFonts w:ascii="Times New Roman" w:hAnsi="Times New Roman" w:cs="Times New Roman"/>
          <w:i/>
          <w:sz w:val="24"/>
          <w:szCs w:val="24"/>
        </w:rPr>
        <w:t xml:space="preserve">The Historical Association, 1906-1956 </w:t>
      </w:r>
      <w:r w:rsidRPr="00AE141E">
        <w:rPr>
          <w:rFonts w:ascii="Times New Roman" w:hAnsi="Times New Roman" w:cs="Times New Roman"/>
          <w:sz w:val="24"/>
          <w:szCs w:val="24"/>
        </w:rPr>
        <w:t>(London: published for the HA by George Philip and Son, 1955).</w:t>
      </w:r>
    </w:p>
    <w:p w14:paraId="57FC8CE1" w14:textId="77777777" w:rsidR="004C09DC" w:rsidRPr="00AE141E" w:rsidRDefault="004C09DC" w:rsidP="00AE141E">
      <w:pPr>
        <w:pStyle w:val="FootnoteText"/>
        <w:spacing w:line="360" w:lineRule="auto"/>
        <w:rPr>
          <w:rFonts w:ascii="Times New Roman" w:hAnsi="Times New Roman" w:cs="Times New Roman"/>
          <w:sz w:val="24"/>
          <w:szCs w:val="24"/>
        </w:rPr>
      </w:pPr>
    </w:p>
    <w:p w14:paraId="0EB572FA" w14:textId="10763E9A"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HA, </w:t>
      </w:r>
      <w:r w:rsidRPr="00AE141E">
        <w:rPr>
          <w:rFonts w:ascii="Times New Roman" w:hAnsi="Times New Roman" w:cs="Times New Roman"/>
          <w:i/>
          <w:sz w:val="24"/>
          <w:szCs w:val="24"/>
        </w:rPr>
        <w:t>History in the National Curriculum: A Submission to the History Working Group, February 1989</w:t>
      </w:r>
      <w:r w:rsidR="00EE4414">
        <w:rPr>
          <w:rFonts w:ascii="Times New Roman" w:hAnsi="Times New Roman" w:cs="Times New Roman"/>
          <w:sz w:val="24"/>
          <w:szCs w:val="24"/>
        </w:rPr>
        <w:t xml:space="preserve"> </w:t>
      </w:r>
      <w:r w:rsidRPr="00AE141E">
        <w:rPr>
          <w:rFonts w:ascii="Times New Roman" w:hAnsi="Times New Roman" w:cs="Times New Roman"/>
          <w:sz w:val="24"/>
          <w:szCs w:val="24"/>
        </w:rPr>
        <w:t>(London: HA, 1989).</w:t>
      </w:r>
    </w:p>
    <w:p w14:paraId="62088F20" w14:textId="77777777" w:rsidR="004C09DC" w:rsidRPr="00AE141E" w:rsidRDefault="004C09DC" w:rsidP="00AE141E">
      <w:pPr>
        <w:pStyle w:val="FootnoteText"/>
        <w:spacing w:line="360" w:lineRule="auto"/>
        <w:rPr>
          <w:rFonts w:ascii="Times New Roman" w:hAnsi="Times New Roman" w:cs="Times New Roman"/>
          <w:sz w:val="24"/>
          <w:szCs w:val="24"/>
        </w:rPr>
      </w:pPr>
    </w:p>
    <w:p w14:paraId="7D67A234" w14:textId="77777777" w:rsidR="004C09DC"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Honeyford, R., </w:t>
      </w:r>
      <w:r w:rsidRPr="00AE141E">
        <w:rPr>
          <w:rFonts w:ascii="Times New Roman" w:hAnsi="Times New Roman" w:cs="Times New Roman"/>
          <w:i/>
          <w:sz w:val="24"/>
          <w:szCs w:val="24"/>
        </w:rPr>
        <w:t>Multi-Ethnic Education: The Burnage High School Lesson</w:t>
      </w:r>
      <w:r w:rsidRPr="00AE141E">
        <w:rPr>
          <w:rFonts w:ascii="Times New Roman" w:hAnsi="Times New Roman" w:cs="Times New Roman"/>
          <w:sz w:val="24"/>
          <w:szCs w:val="24"/>
        </w:rPr>
        <w:t xml:space="preserve"> (York: Campaign for Real Education, n.d.).</w:t>
      </w:r>
    </w:p>
    <w:p w14:paraId="722F9859" w14:textId="0DFEBBAD" w:rsidR="001725B9" w:rsidRDefault="001725B9" w:rsidP="00AE141E">
      <w:pPr>
        <w:pStyle w:val="FootnoteText"/>
        <w:spacing w:line="360" w:lineRule="auto"/>
        <w:rPr>
          <w:rFonts w:ascii="Times New Roman" w:hAnsi="Times New Roman" w:cs="Times New Roman"/>
          <w:sz w:val="24"/>
          <w:szCs w:val="24"/>
        </w:rPr>
      </w:pPr>
    </w:p>
    <w:p w14:paraId="477B031B" w14:textId="7276540A" w:rsidR="001725B9" w:rsidRPr="00B20F9E" w:rsidRDefault="001725B9" w:rsidP="00AE141E">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 xml:space="preserve">Howat, G.M.D., </w:t>
      </w:r>
      <w:r w:rsidR="00B20F9E">
        <w:rPr>
          <w:rFonts w:ascii="Times New Roman" w:hAnsi="Times New Roman" w:cs="Times New Roman"/>
          <w:i/>
          <w:iCs/>
          <w:sz w:val="24"/>
          <w:szCs w:val="24"/>
        </w:rPr>
        <w:t xml:space="preserve">Notes on Teaching Empire and Commonwealth History </w:t>
      </w:r>
      <w:r w:rsidR="00B20F9E">
        <w:rPr>
          <w:rFonts w:ascii="Times New Roman" w:hAnsi="Times New Roman" w:cs="Times New Roman"/>
          <w:sz w:val="24"/>
          <w:szCs w:val="24"/>
        </w:rPr>
        <w:t>(</w:t>
      </w:r>
      <w:r w:rsidR="00605BBD">
        <w:rPr>
          <w:rFonts w:ascii="Times New Roman" w:hAnsi="Times New Roman" w:cs="Times New Roman"/>
          <w:sz w:val="24"/>
          <w:szCs w:val="24"/>
        </w:rPr>
        <w:t>London: HA, 1967).</w:t>
      </w:r>
    </w:p>
    <w:p w14:paraId="0BC68E18" w14:textId="77777777" w:rsidR="004C09DC" w:rsidRPr="00AE141E" w:rsidRDefault="004C09DC" w:rsidP="00AE141E">
      <w:pPr>
        <w:pStyle w:val="FootnoteText"/>
        <w:spacing w:line="360" w:lineRule="auto"/>
        <w:rPr>
          <w:rFonts w:ascii="Times New Roman" w:hAnsi="Times New Roman" w:cs="Times New Roman"/>
          <w:sz w:val="24"/>
          <w:szCs w:val="24"/>
        </w:rPr>
      </w:pPr>
    </w:p>
    <w:p w14:paraId="5B45E31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ILEA, Race, </w:t>
      </w:r>
      <w:r w:rsidRPr="00AE141E">
        <w:rPr>
          <w:rFonts w:ascii="Times New Roman" w:hAnsi="Times New Roman" w:cs="Times New Roman"/>
          <w:i/>
          <w:sz w:val="24"/>
          <w:szCs w:val="24"/>
        </w:rPr>
        <w:t>Sex and Class: 2. Multi-Ethnic Education in Schools</w:t>
      </w:r>
      <w:r w:rsidRPr="00AE141E">
        <w:rPr>
          <w:rFonts w:ascii="Times New Roman" w:hAnsi="Times New Roman" w:cs="Times New Roman"/>
          <w:sz w:val="24"/>
          <w:szCs w:val="24"/>
        </w:rPr>
        <w:t xml:space="preserve"> (London: ILEA, 1983).</w:t>
      </w:r>
    </w:p>
    <w:p w14:paraId="2325E849" w14:textId="77777777" w:rsidR="004C09DC" w:rsidRPr="00AE141E" w:rsidRDefault="004C09DC" w:rsidP="00AE141E">
      <w:pPr>
        <w:pStyle w:val="FootnoteText"/>
        <w:spacing w:line="360" w:lineRule="auto"/>
        <w:rPr>
          <w:rFonts w:ascii="Times New Roman" w:hAnsi="Times New Roman" w:cs="Times New Roman"/>
          <w:sz w:val="24"/>
          <w:szCs w:val="24"/>
        </w:rPr>
      </w:pPr>
    </w:p>
    <w:p w14:paraId="004D06D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ILEA, </w:t>
      </w:r>
      <w:r w:rsidRPr="00AE141E">
        <w:rPr>
          <w:rFonts w:ascii="Times New Roman" w:hAnsi="Times New Roman" w:cs="Times New Roman"/>
          <w:i/>
          <w:sz w:val="24"/>
          <w:szCs w:val="24"/>
        </w:rPr>
        <w:t>Race, Sex and Class: 3. A Policy for Equality: Race</w:t>
      </w:r>
      <w:r w:rsidRPr="00AE141E">
        <w:rPr>
          <w:rFonts w:ascii="Times New Roman" w:hAnsi="Times New Roman" w:cs="Times New Roman"/>
          <w:sz w:val="24"/>
          <w:szCs w:val="24"/>
        </w:rPr>
        <w:t xml:space="preserve"> (London: ILEA, 1983).</w:t>
      </w:r>
    </w:p>
    <w:p w14:paraId="260B7903" w14:textId="77777777" w:rsidR="004C09DC" w:rsidRPr="00AE141E" w:rsidRDefault="004C09DC" w:rsidP="00AE141E">
      <w:pPr>
        <w:pStyle w:val="FootnoteText"/>
        <w:spacing w:line="360" w:lineRule="auto"/>
        <w:rPr>
          <w:rFonts w:ascii="Times New Roman" w:hAnsi="Times New Roman" w:cs="Times New Roman"/>
          <w:sz w:val="24"/>
          <w:szCs w:val="24"/>
        </w:rPr>
      </w:pPr>
    </w:p>
    <w:p w14:paraId="212E2FF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ILEA, Race, </w:t>
      </w:r>
      <w:r w:rsidRPr="00AE141E">
        <w:rPr>
          <w:rFonts w:ascii="Times New Roman" w:hAnsi="Times New Roman" w:cs="Times New Roman"/>
          <w:i/>
          <w:sz w:val="24"/>
          <w:szCs w:val="24"/>
        </w:rPr>
        <w:t>Sex and Class: 4. Anti-Racist Statement and Guidelines</w:t>
      </w:r>
      <w:r w:rsidRPr="00AE141E">
        <w:rPr>
          <w:rFonts w:ascii="Times New Roman" w:hAnsi="Times New Roman" w:cs="Times New Roman"/>
          <w:sz w:val="24"/>
          <w:szCs w:val="24"/>
        </w:rPr>
        <w:t xml:space="preserve"> (London: ILEA, 1983).</w:t>
      </w:r>
    </w:p>
    <w:p w14:paraId="03F24690" w14:textId="77777777" w:rsidR="004C09DC" w:rsidRPr="00AE141E" w:rsidRDefault="004C09DC" w:rsidP="00AE141E">
      <w:pPr>
        <w:pStyle w:val="FootnoteText"/>
        <w:spacing w:line="360" w:lineRule="auto"/>
        <w:rPr>
          <w:rFonts w:ascii="Times New Roman" w:hAnsi="Times New Roman" w:cs="Times New Roman"/>
          <w:sz w:val="24"/>
          <w:szCs w:val="24"/>
        </w:rPr>
      </w:pPr>
    </w:p>
    <w:p w14:paraId="0089A82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ILEA, </w:t>
      </w:r>
      <w:r w:rsidRPr="00AE141E">
        <w:rPr>
          <w:rFonts w:ascii="Times New Roman" w:hAnsi="Times New Roman" w:cs="Times New Roman"/>
          <w:i/>
          <w:sz w:val="24"/>
          <w:szCs w:val="24"/>
        </w:rPr>
        <w:t>The Teaching of Controversial Issues in Schools: Advice from the Inspectorate</w:t>
      </w:r>
      <w:r w:rsidRPr="00AE141E">
        <w:rPr>
          <w:rFonts w:ascii="Times New Roman" w:hAnsi="Times New Roman" w:cs="Times New Roman"/>
          <w:sz w:val="24"/>
          <w:szCs w:val="24"/>
        </w:rPr>
        <w:t xml:space="preserve"> (London: ILEA, 1986).</w:t>
      </w:r>
    </w:p>
    <w:p w14:paraId="3C04AF98" w14:textId="77777777" w:rsidR="004C09DC" w:rsidRPr="00AE141E" w:rsidRDefault="004C09DC" w:rsidP="00AE141E">
      <w:pPr>
        <w:pStyle w:val="FootnoteText"/>
        <w:spacing w:line="360" w:lineRule="auto"/>
        <w:rPr>
          <w:rFonts w:ascii="Times New Roman" w:hAnsi="Times New Roman" w:cs="Times New Roman"/>
          <w:sz w:val="24"/>
          <w:szCs w:val="24"/>
        </w:rPr>
      </w:pPr>
    </w:p>
    <w:p w14:paraId="1AD1226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Institute of Race Relations (IRR), </w:t>
      </w:r>
      <w:r w:rsidRPr="00AE141E">
        <w:rPr>
          <w:rFonts w:ascii="Times New Roman" w:hAnsi="Times New Roman" w:cs="Times New Roman"/>
          <w:i/>
          <w:sz w:val="24"/>
          <w:szCs w:val="24"/>
        </w:rPr>
        <w:t xml:space="preserve">How Racism Came to Britain: Book Three </w:t>
      </w:r>
      <w:r w:rsidRPr="00AE141E">
        <w:rPr>
          <w:rFonts w:ascii="Times New Roman" w:hAnsi="Times New Roman" w:cs="Times New Roman"/>
          <w:sz w:val="24"/>
          <w:szCs w:val="24"/>
        </w:rPr>
        <w:t>(London: IRR, 1985).</w:t>
      </w:r>
    </w:p>
    <w:p w14:paraId="64209F1B" w14:textId="77777777" w:rsidR="004C09DC" w:rsidRPr="00AE141E" w:rsidRDefault="004C09DC" w:rsidP="00AE141E">
      <w:pPr>
        <w:pStyle w:val="FootnoteText"/>
        <w:spacing w:line="360" w:lineRule="auto"/>
        <w:rPr>
          <w:rFonts w:ascii="Times New Roman" w:hAnsi="Times New Roman" w:cs="Times New Roman"/>
          <w:sz w:val="24"/>
          <w:szCs w:val="24"/>
        </w:rPr>
      </w:pPr>
    </w:p>
    <w:p w14:paraId="5284ADA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IRR, </w:t>
      </w:r>
      <w:r w:rsidRPr="00AE141E">
        <w:rPr>
          <w:rFonts w:ascii="Times New Roman" w:hAnsi="Times New Roman" w:cs="Times New Roman"/>
          <w:i/>
          <w:sz w:val="24"/>
          <w:szCs w:val="24"/>
        </w:rPr>
        <w:t xml:space="preserve">Patterns of Racism: Book Two </w:t>
      </w:r>
      <w:r w:rsidRPr="00AE141E">
        <w:rPr>
          <w:rFonts w:ascii="Times New Roman" w:hAnsi="Times New Roman" w:cs="Times New Roman"/>
          <w:sz w:val="24"/>
          <w:szCs w:val="24"/>
        </w:rPr>
        <w:t>(London: IRR, 1982).</w:t>
      </w:r>
    </w:p>
    <w:p w14:paraId="47075150" w14:textId="77777777" w:rsidR="004C09DC" w:rsidRPr="00AE141E" w:rsidRDefault="004C09DC" w:rsidP="00AE141E">
      <w:pPr>
        <w:pStyle w:val="FootnoteText"/>
        <w:spacing w:line="360" w:lineRule="auto"/>
        <w:rPr>
          <w:rFonts w:ascii="Times New Roman" w:hAnsi="Times New Roman" w:cs="Times New Roman"/>
          <w:sz w:val="24"/>
          <w:szCs w:val="24"/>
        </w:rPr>
      </w:pPr>
    </w:p>
    <w:p w14:paraId="7EC73BE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IRR, </w:t>
      </w:r>
      <w:r w:rsidRPr="00AE141E">
        <w:rPr>
          <w:rFonts w:ascii="Times New Roman" w:hAnsi="Times New Roman" w:cs="Times New Roman"/>
          <w:i/>
          <w:sz w:val="24"/>
          <w:szCs w:val="24"/>
        </w:rPr>
        <w:t>Roots of Racism</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 xml:space="preserve">Book One </w:t>
      </w:r>
      <w:r w:rsidRPr="00AE141E">
        <w:rPr>
          <w:rFonts w:ascii="Times New Roman" w:hAnsi="Times New Roman" w:cs="Times New Roman"/>
          <w:sz w:val="24"/>
          <w:szCs w:val="24"/>
        </w:rPr>
        <w:t>(London: IRR, 1982).</w:t>
      </w:r>
    </w:p>
    <w:p w14:paraId="3C51346E" w14:textId="77777777" w:rsidR="004C09DC" w:rsidRPr="00AE141E" w:rsidRDefault="004C09DC" w:rsidP="00AE141E">
      <w:pPr>
        <w:pStyle w:val="FootnoteText"/>
        <w:spacing w:line="360" w:lineRule="auto"/>
        <w:rPr>
          <w:rFonts w:ascii="Times New Roman" w:hAnsi="Times New Roman" w:cs="Times New Roman"/>
          <w:sz w:val="24"/>
          <w:szCs w:val="24"/>
        </w:rPr>
      </w:pPr>
    </w:p>
    <w:p w14:paraId="1255260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Israel, W.H., </w:t>
      </w:r>
      <w:r w:rsidRPr="00AE141E">
        <w:rPr>
          <w:rFonts w:ascii="Times New Roman" w:hAnsi="Times New Roman" w:cs="Times New Roman"/>
          <w:i/>
          <w:sz w:val="24"/>
          <w:szCs w:val="24"/>
        </w:rPr>
        <w:t xml:space="preserve">Colour and Community: A Study of Coloured Immigrants and Race Relations in an Industrial Town </w:t>
      </w:r>
      <w:r w:rsidRPr="00AE141E">
        <w:rPr>
          <w:rFonts w:ascii="Times New Roman" w:hAnsi="Times New Roman" w:cs="Times New Roman"/>
          <w:sz w:val="24"/>
          <w:szCs w:val="24"/>
        </w:rPr>
        <w:t>(Slough: Slough Council of Social Service, 1964).</w:t>
      </w:r>
    </w:p>
    <w:p w14:paraId="67A06149" w14:textId="77777777" w:rsidR="004C09DC" w:rsidRPr="00AE141E" w:rsidRDefault="004C09DC" w:rsidP="00AE141E">
      <w:pPr>
        <w:pStyle w:val="FootnoteText"/>
        <w:spacing w:line="360" w:lineRule="auto"/>
        <w:rPr>
          <w:rFonts w:ascii="Times New Roman" w:hAnsi="Times New Roman" w:cs="Times New Roman"/>
          <w:sz w:val="24"/>
          <w:szCs w:val="24"/>
        </w:rPr>
      </w:pPr>
    </w:p>
    <w:p w14:paraId="0EC114B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Jamdagni, L., Phillips-Bell, M., and Ward, J., </w:t>
      </w:r>
      <w:r w:rsidRPr="00AE141E">
        <w:rPr>
          <w:rFonts w:ascii="Times New Roman" w:hAnsi="Times New Roman" w:cs="Times New Roman"/>
          <w:i/>
          <w:sz w:val="24"/>
          <w:szCs w:val="24"/>
        </w:rPr>
        <w:t>Talking Chalk: Black Pupils, Parents and Teachers Speak About Education</w:t>
      </w:r>
      <w:r w:rsidRPr="00AE141E">
        <w:rPr>
          <w:rFonts w:ascii="Times New Roman" w:hAnsi="Times New Roman" w:cs="Times New Roman"/>
          <w:sz w:val="24"/>
          <w:szCs w:val="24"/>
        </w:rPr>
        <w:t xml:space="preserve"> (Birmingham: AFFOR, 1982).</w:t>
      </w:r>
    </w:p>
    <w:p w14:paraId="2043CF13" w14:textId="77777777" w:rsidR="004C09DC" w:rsidRPr="00AE141E" w:rsidRDefault="004C09DC" w:rsidP="00AE141E">
      <w:pPr>
        <w:pStyle w:val="FootnoteText"/>
        <w:spacing w:line="360" w:lineRule="auto"/>
        <w:rPr>
          <w:rFonts w:ascii="Times New Roman" w:hAnsi="Times New Roman" w:cs="Times New Roman"/>
          <w:sz w:val="24"/>
          <w:szCs w:val="24"/>
        </w:rPr>
      </w:pPr>
    </w:p>
    <w:p w14:paraId="646BE0A5" w14:textId="77777777" w:rsidR="004C09DC"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Johns, W.E., </w:t>
      </w:r>
      <w:r w:rsidRPr="00AE141E">
        <w:rPr>
          <w:rFonts w:ascii="Times New Roman" w:hAnsi="Times New Roman" w:cs="Times New Roman"/>
          <w:i/>
          <w:sz w:val="24"/>
          <w:szCs w:val="24"/>
        </w:rPr>
        <w:t>Biggles and the Black Raider</w:t>
      </w:r>
      <w:r w:rsidRPr="00AE141E">
        <w:rPr>
          <w:rFonts w:ascii="Times New Roman" w:hAnsi="Times New Roman" w:cs="Times New Roman"/>
          <w:sz w:val="24"/>
          <w:szCs w:val="24"/>
        </w:rPr>
        <w:t xml:space="preserve"> (London: Hodder and Stoughton, 1953).</w:t>
      </w:r>
    </w:p>
    <w:p w14:paraId="480FEEFA" w14:textId="77777777" w:rsidR="00A22850" w:rsidRDefault="00A22850" w:rsidP="00AE141E">
      <w:pPr>
        <w:pStyle w:val="FootnoteText"/>
        <w:spacing w:line="360" w:lineRule="auto"/>
        <w:rPr>
          <w:rFonts w:ascii="Times New Roman" w:hAnsi="Times New Roman" w:cs="Times New Roman"/>
          <w:sz w:val="24"/>
          <w:szCs w:val="24"/>
        </w:rPr>
      </w:pPr>
    </w:p>
    <w:p w14:paraId="5F28C02F" w14:textId="441EB17C" w:rsidR="00A22850" w:rsidRPr="00AE141E" w:rsidRDefault="00A22850" w:rsidP="00AE141E">
      <w:pPr>
        <w:pStyle w:val="FootnoteText"/>
        <w:spacing w:line="360" w:lineRule="auto"/>
        <w:rPr>
          <w:rFonts w:ascii="Times New Roman" w:hAnsi="Times New Roman" w:cs="Times New Roman"/>
          <w:sz w:val="24"/>
          <w:szCs w:val="24"/>
        </w:rPr>
      </w:pPr>
      <w:r w:rsidRPr="00A22850">
        <w:rPr>
          <w:rFonts w:ascii="Times New Roman" w:hAnsi="Times New Roman" w:cs="Times New Roman"/>
          <w:sz w:val="24"/>
          <w:szCs w:val="24"/>
        </w:rPr>
        <w:t>Kedourie,</w:t>
      </w:r>
      <w:r w:rsidR="00091466">
        <w:rPr>
          <w:rFonts w:ascii="Times New Roman" w:hAnsi="Times New Roman" w:cs="Times New Roman"/>
          <w:sz w:val="24"/>
          <w:szCs w:val="24"/>
        </w:rPr>
        <w:t xml:space="preserve"> H.,</w:t>
      </w:r>
      <w:r w:rsidRPr="00A22850">
        <w:rPr>
          <w:rFonts w:ascii="Times New Roman" w:hAnsi="Times New Roman" w:cs="Times New Roman"/>
          <w:sz w:val="24"/>
          <w:szCs w:val="24"/>
        </w:rPr>
        <w:t xml:space="preserve"> </w:t>
      </w:r>
      <w:r w:rsidRPr="00091466">
        <w:rPr>
          <w:rFonts w:ascii="Times New Roman" w:hAnsi="Times New Roman" w:cs="Times New Roman"/>
          <w:i/>
          <w:iCs/>
          <w:sz w:val="24"/>
          <w:szCs w:val="24"/>
        </w:rPr>
        <w:t>Errors and Evils of the New History</w:t>
      </w:r>
      <w:r w:rsidRPr="00A22850">
        <w:rPr>
          <w:rFonts w:ascii="Times New Roman" w:hAnsi="Times New Roman" w:cs="Times New Roman"/>
          <w:sz w:val="24"/>
          <w:szCs w:val="24"/>
        </w:rPr>
        <w:t xml:space="preserve"> (London: Centre for Policy Studies, 1988).</w:t>
      </w:r>
    </w:p>
    <w:p w14:paraId="1996047E" w14:textId="77777777" w:rsidR="004C09DC" w:rsidRPr="00AE141E" w:rsidRDefault="004C09DC" w:rsidP="00AE141E">
      <w:pPr>
        <w:pStyle w:val="FootnoteText"/>
        <w:spacing w:line="360" w:lineRule="auto"/>
        <w:rPr>
          <w:rFonts w:ascii="Times New Roman" w:hAnsi="Times New Roman" w:cs="Times New Roman"/>
          <w:sz w:val="24"/>
          <w:szCs w:val="24"/>
        </w:rPr>
      </w:pPr>
    </w:p>
    <w:p w14:paraId="2B37147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Khan,R., </w:t>
      </w:r>
      <w:r w:rsidRPr="00AE141E">
        <w:rPr>
          <w:rFonts w:ascii="Times New Roman" w:hAnsi="Times New Roman" w:cs="Times New Roman"/>
          <w:i/>
          <w:sz w:val="24"/>
          <w:szCs w:val="24"/>
        </w:rPr>
        <w:t xml:space="preserve">My Hair is Pink Under This Veil </w:t>
      </w:r>
      <w:r w:rsidRPr="00AE141E">
        <w:rPr>
          <w:rFonts w:ascii="Times New Roman" w:hAnsi="Times New Roman" w:cs="Times New Roman"/>
          <w:sz w:val="24"/>
          <w:szCs w:val="24"/>
        </w:rPr>
        <w:t>(Hull: Biteback, 2021).</w:t>
      </w:r>
    </w:p>
    <w:p w14:paraId="7B19DA85" w14:textId="77777777" w:rsidR="004C09DC" w:rsidRPr="00AE141E" w:rsidRDefault="004C09DC" w:rsidP="00AE141E">
      <w:pPr>
        <w:pStyle w:val="FootnoteText"/>
        <w:spacing w:line="360" w:lineRule="auto"/>
        <w:rPr>
          <w:rFonts w:ascii="Times New Roman" w:hAnsi="Times New Roman" w:cs="Times New Roman"/>
          <w:sz w:val="24"/>
          <w:szCs w:val="24"/>
        </w:rPr>
      </w:pPr>
    </w:p>
    <w:p w14:paraId="29E11BB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Langdon-Davies, J., </w:t>
      </w:r>
      <w:r w:rsidRPr="00AE141E">
        <w:rPr>
          <w:rFonts w:ascii="Times New Roman" w:hAnsi="Times New Roman" w:cs="Times New Roman"/>
          <w:i/>
          <w:sz w:val="24"/>
          <w:szCs w:val="24"/>
        </w:rPr>
        <w:t xml:space="preserve">The Indian Mutiny: Jackdaw No. 22, a Collection of Contemporary Documents </w:t>
      </w:r>
      <w:r w:rsidRPr="00AE141E">
        <w:rPr>
          <w:rFonts w:ascii="Times New Roman" w:hAnsi="Times New Roman" w:cs="Times New Roman"/>
          <w:sz w:val="24"/>
          <w:szCs w:val="24"/>
        </w:rPr>
        <w:t>(London: Jackdaw, Jonathan Cape, 1966).</w:t>
      </w:r>
    </w:p>
    <w:p w14:paraId="3BF16857" w14:textId="77777777" w:rsidR="004C09DC" w:rsidRPr="00AE141E" w:rsidRDefault="004C09DC" w:rsidP="00AE141E">
      <w:pPr>
        <w:pStyle w:val="FootnoteText"/>
        <w:spacing w:line="360" w:lineRule="auto"/>
        <w:rPr>
          <w:rFonts w:ascii="Times New Roman" w:hAnsi="Times New Roman" w:cs="Times New Roman"/>
          <w:sz w:val="24"/>
          <w:szCs w:val="24"/>
        </w:rPr>
      </w:pPr>
    </w:p>
    <w:p w14:paraId="373CAD2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‘London Declaration’, in </w:t>
      </w:r>
      <w:r w:rsidRPr="00AE141E">
        <w:rPr>
          <w:rFonts w:ascii="Times New Roman" w:hAnsi="Times New Roman" w:cs="Times New Roman"/>
          <w:i/>
          <w:sz w:val="24"/>
          <w:szCs w:val="24"/>
        </w:rPr>
        <w:t xml:space="preserve">Commonwealth Declarations </w:t>
      </w:r>
      <w:r w:rsidRPr="00AE141E">
        <w:rPr>
          <w:rFonts w:ascii="Times New Roman" w:hAnsi="Times New Roman" w:cs="Times New Roman"/>
          <w:sz w:val="24"/>
          <w:szCs w:val="24"/>
        </w:rPr>
        <w:t>(London: Commonwealth Secretariat, 2019), 3-4.</w:t>
      </w:r>
    </w:p>
    <w:p w14:paraId="2DCC231D" w14:textId="77777777" w:rsidR="004C09DC" w:rsidRPr="00AE141E" w:rsidRDefault="004C09DC" w:rsidP="00AE141E">
      <w:pPr>
        <w:pStyle w:val="FootnoteText"/>
        <w:spacing w:line="360" w:lineRule="auto"/>
        <w:rPr>
          <w:rFonts w:ascii="Times New Roman" w:hAnsi="Times New Roman" w:cs="Times New Roman"/>
          <w:sz w:val="24"/>
          <w:szCs w:val="24"/>
        </w:rPr>
      </w:pPr>
    </w:p>
    <w:p w14:paraId="0B6BD6D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Lyall, A. (ed.), </w:t>
      </w:r>
      <w:r w:rsidRPr="00AE141E">
        <w:rPr>
          <w:rFonts w:ascii="Times New Roman" w:hAnsi="Times New Roman" w:cs="Times New Roman"/>
          <w:i/>
          <w:sz w:val="24"/>
          <w:szCs w:val="24"/>
        </w:rPr>
        <w:t>History Syllabuses and a World Perspective: A Comparative Survey of Examination Syllabuses in Britain and Overseas</w:t>
      </w:r>
      <w:r w:rsidRPr="00AE141E">
        <w:rPr>
          <w:rFonts w:ascii="Times New Roman" w:hAnsi="Times New Roman" w:cs="Times New Roman"/>
          <w:sz w:val="24"/>
          <w:szCs w:val="24"/>
        </w:rPr>
        <w:t>, 2</w:t>
      </w:r>
      <w:r w:rsidRPr="00AE141E">
        <w:rPr>
          <w:rFonts w:ascii="Times New Roman" w:hAnsi="Times New Roman" w:cs="Times New Roman"/>
          <w:sz w:val="24"/>
          <w:szCs w:val="24"/>
          <w:vertAlign w:val="superscript"/>
        </w:rPr>
        <w:t>nd</w:t>
      </w:r>
      <w:r w:rsidRPr="00AE141E">
        <w:rPr>
          <w:rFonts w:ascii="Times New Roman" w:hAnsi="Times New Roman" w:cs="Times New Roman"/>
          <w:sz w:val="24"/>
          <w:szCs w:val="24"/>
        </w:rPr>
        <w:t xml:space="preserve"> rev. ed. (London: Longmans and Parliamentary Group for World Government, 1967).</w:t>
      </w:r>
    </w:p>
    <w:p w14:paraId="431ED97E" w14:textId="77777777" w:rsidR="004C09DC" w:rsidRPr="00AE141E" w:rsidRDefault="004C09DC" w:rsidP="00AE141E">
      <w:pPr>
        <w:pStyle w:val="FootnoteText"/>
        <w:spacing w:line="360" w:lineRule="auto"/>
        <w:rPr>
          <w:rFonts w:ascii="Times New Roman" w:hAnsi="Times New Roman" w:cs="Times New Roman"/>
          <w:sz w:val="24"/>
          <w:szCs w:val="24"/>
        </w:rPr>
      </w:pPr>
    </w:p>
    <w:p w14:paraId="118A7E4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Macdonald, I., </w:t>
      </w:r>
      <w:r w:rsidRPr="00AE141E">
        <w:rPr>
          <w:rFonts w:ascii="Times New Roman" w:hAnsi="Times New Roman" w:cs="Times New Roman"/>
          <w:i/>
          <w:sz w:val="24"/>
          <w:szCs w:val="24"/>
        </w:rPr>
        <w:t>et al.,</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Murder in the Playground: The Burnage Report</w:t>
      </w:r>
      <w:r w:rsidRPr="00AE141E">
        <w:rPr>
          <w:rFonts w:ascii="Times New Roman" w:hAnsi="Times New Roman" w:cs="Times New Roman"/>
          <w:sz w:val="24"/>
          <w:szCs w:val="24"/>
        </w:rPr>
        <w:t xml:space="preserve"> (London: Longsight, 1989).</w:t>
      </w:r>
    </w:p>
    <w:p w14:paraId="091A6865" w14:textId="77777777" w:rsidR="004C09DC" w:rsidRPr="00AE141E" w:rsidRDefault="004C09DC" w:rsidP="00AE141E">
      <w:pPr>
        <w:pStyle w:val="FootnoteText"/>
        <w:spacing w:line="360" w:lineRule="auto"/>
        <w:rPr>
          <w:rFonts w:ascii="Times New Roman" w:hAnsi="Times New Roman" w:cs="Times New Roman"/>
          <w:sz w:val="24"/>
          <w:szCs w:val="24"/>
        </w:rPr>
      </w:pPr>
    </w:p>
    <w:p w14:paraId="5523A9E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Malim, F.B., ‘Empire Education in British Schools’, </w:t>
      </w:r>
      <w:r w:rsidRPr="00AE141E">
        <w:rPr>
          <w:rFonts w:ascii="Times New Roman" w:hAnsi="Times New Roman" w:cs="Times New Roman"/>
          <w:i/>
          <w:sz w:val="24"/>
          <w:szCs w:val="24"/>
        </w:rPr>
        <w:t>Journal of the Royal Society of Arts</w:t>
      </w:r>
      <w:r w:rsidRPr="00AE141E">
        <w:rPr>
          <w:rFonts w:ascii="Times New Roman" w:hAnsi="Times New Roman" w:cs="Times New Roman"/>
          <w:sz w:val="24"/>
          <w:szCs w:val="24"/>
        </w:rPr>
        <w:t xml:space="preserve"> 92.4662 (1944), 214–22.</w:t>
      </w:r>
    </w:p>
    <w:p w14:paraId="543AF4FD" w14:textId="77777777" w:rsidR="004C09DC" w:rsidRPr="00AE141E" w:rsidRDefault="004C09DC" w:rsidP="00AE141E">
      <w:pPr>
        <w:pStyle w:val="FootnoteText"/>
        <w:spacing w:line="360" w:lineRule="auto"/>
        <w:rPr>
          <w:rFonts w:ascii="Times New Roman" w:hAnsi="Times New Roman" w:cs="Times New Roman"/>
          <w:sz w:val="24"/>
          <w:szCs w:val="24"/>
        </w:rPr>
      </w:pPr>
    </w:p>
    <w:p w14:paraId="74D56C7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Marsh, Z., and Collister, P., </w:t>
      </w:r>
      <w:r w:rsidRPr="00AE141E">
        <w:rPr>
          <w:rFonts w:ascii="Times New Roman" w:hAnsi="Times New Roman" w:cs="Times New Roman"/>
          <w:i/>
          <w:sz w:val="24"/>
          <w:szCs w:val="24"/>
        </w:rPr>
        <w:t xml:space="preserve">The Teaching of African History </w:t>
      </w:r>
      <w:r w:rsidRPr="00AE141E">
        <w:rPr>
          <w:rFonts w:ascii="Times New Roman" w:hAnsi="Times New Roman" w:cs="Times New Roman"/>
          <w:sz w:val="24"/>
          <w:szCs w:val="24"/>
        </w:rPr>
        <w:t>(London: HA, 1968).</w:t>
      </w:r>
    </w:p>
    <w:p w14:paraId="3AAF1A46" w14:textId="77777777" w:rsidR="004C09DC" w:rsidRPr="00AE141E" w:rsidRDefault="004C09DC" w:rsidP="00AE141E">
      <w:pPr>
        <w:pStyle w:val="FootnoteText"/>
        <w:spacing w:line="360" w:lineRule="auto"/>
        <w:rPr>
          <w:rFonts w:ascii="Times New Roman" w:hAnsi="Times New Roman" w:cs="Times New Roman"/>
          <w:sz w:val="24"/>
          <w:szCs w:val="24"/>
        </w:rPr>
      </w:pPr>
    </w:p>
    <w:p w14:paraId="6A8FD1CF" w14:textId="10F8F4C3"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Maurette, M., </w:t>
      </w:r>
      <w:r w:rsidRPr="00AE141E">
        <w:rPr>
          <w:rFonts w:ascii="Times New Roman" w:hAnsi="Times New Roman" w:cs="Times New Roman"/>
          <w:i/>
          <w:sz w:val="24"/>
          <w:szCs w:val="24"/>
        </w:rPr>
        <w:t>Some Suggestions on the Teaching of History</w:t>
      </w:r>
      <w:r w:rsidRPr="00AE141E">
        <w:rPr>
          <w:rFonts w:ascii="Times New Roman" w:hAnsi="Times New Roman" w:cs="Times New Roman"/>
          <w:sz w:val="24"/>
          <w:szCs w:val="24"/>
        </w:rPr>
        <w:t xml:space="preserve"> (Paris: </w:t>
      </w:r>
      <w:r w:rsidR="0032392A" w:rsidRPr="0032392A">
        <w:rPr>
          <w:rFonts w:ascii="Times New Roman" w:hAnsi="Times New Roman" w:cs="Times New Roman"/>
          <w:sz w:val="24"/>
          <w:szCs w:val="24"/>
        </w:rPr>
        <w:t>United Nations Educational, Scientific and Cultural Organization</w:t>
      </w:r>
      <w:r w:rsidR="0032392A">
        <w:rPr>
          <w:rFonts w:ascii="Times New Roman" w:hAnsi="Times New Roman" w:cs="Times New Roman"/>
          <w:sz w:val="24"/>
          <w:szCs w:val="24"/>
        </w:rPr>
        <w:t xml:space="preserve"> [‘UNESCO’]</w:t>
      </w:r>
      <w:r w:rsidRPr="00AE141E">
        <w:rPr>
          <w:rFonts w:ascii="Times New Roman" w:hAnsi="Times New Roman" w:cs="Times New Roman"/>
          <w:sz w:val="24"/>
          <w:szCs w:val="24"/>
        </w:rPr>
        <w:t>, 1950).</w:t>
      </w:r>
    </w:p>
    <w:p w14:paraId="2A70DEFF" w14:textId="77777777" w:rsidR="004C09DC" w:rsidRPr="00AE141E" w:rsidRDefault="004C09DC" w:rsidP="00AE141E">
      <w:pPr>
        <w:pStyle w:val="FootnoteText"/>
        <w:spacing w:line="360" w:lineRule="auto"/>
        <w:rPr>
          <w:rFonts w:ascii="Times New Roman" w:hAnsi="Times New Roman" w:cs="Times New Roman"/>
          <w:sz w:val="24"/>
          <w:szCs w:val="24"/>
        </w:rPr>
      </w:pPr>
    </w:p>
    <w:p w14:paraId="4727AC9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McGilchrist, P. (ed.), </w:t>
      </w:r>
      <w:r w:rsidRPr="00AE141E">
        <w:rPr>
          <w:rFonts w:ascii="Times New Roman" w:hAnsi="Times New Roman" w:cs="Times New Roman"/>
          <w:i/>
          <w:sz w:val="24"/>
          <w:szCs w:val="24"/>
        </w:rPr>
        <w:t>Black Voices: An Anthology of ACER's Black Young Writers Competition</w:t>
      </w:r>
      <w:r w:rsidRPr="00AE141E">
        <w:rPr>
          <w:rFonts w:ascii="Times New Roman" w:hAnsi="Times New Roman" w:cs="Times New Roman"/>
          <w:sz w:val="24"/>
          <w:szCs w:val="24"/>
        </w:rPr>
        <w:t xml:space="preserve"> (London: ACER, 1987).</w:t>
      </w:r>
    </w:p>
    <w:p w14:paraId="5814C910" w14:textId="77777777" w:rsidR="004C09DC" w:rsidRPr="00AE141E" w:rsidRDefault="004C09DC" w:rsidP="00AE141E">
      <w:pPr>
        <w:pStyle w:val="FootnoteText"/>
        <w:spacing w:line="360" w:lineRule="auto"/>
        <w:rPr>
          <w:rFonts w:ascii="Times New Roman" w:hAnsi="Times New Roman" w:cs="Times New Roman"/>
          <w:sz w:val="24"/>
          <w:szCs w:val="24"/>
        </w:rPr>
      </w:pPr>
    </w:p>
    <w:p w14:paraId="30724B1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Merrill, D., </w:t>
      </w:r>
      <w:r w:rsidRPr="00AE141E">
        <w:rPr>
          <w:rFonts w:ascii="Times New Roman" w:hAnsi="Times New Roman" w:cs="Times New Roman"/>
          <w:i/>
          <w:sz w:val="24"/>
          <w:szCs w:val="24"/>
        </w:rPr>
        <w:t>et al</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Amritsar 1919</w:t>
      </w:r>
      <w:r w:rsidRPr="00AE141E">
        <w:rPr>
          <w:rFonts w:ascii="Times New Roman" w:hAnsi="Times New Roman" w:cs="Times New Roman"/>
          <w:sz w:val="24"/>
          <w:szCs w:val="24"/>
        </w:rPr>
        <w:t xml:space="preserve"> (Brighton: Spartacus Educational, 1987).</w:t>
      </w:r>
    </w:p>
    <w:p w14:paraId="2BB7C138" w14:textId="77777777" w:rsidR="004C09DC" w:rsidRPr="00AE141E" w:rsidRDefault="004C09DC" w:rsidP="00AE141E">
      <w:pPr>
        <w:pStyle w:val="FootnoteText"/>
        <w:spacing w:line="360" w:lineRule="auto"/>
        <w:rPr>
          <w:rFonts w:ascii="Times New Roman" w:hAnsi="Times New Roman" w:cs="Times New Roman"/>
          <w:sz w:val="24"/>
          <w:szCs w:val="24"/>
        </w:rPr>
      </w:pPr>
    </w:p>
    <w:p w14:paraId="437C519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National Union of Teachers (NUT), </w:t>
      </w:r>
      <w:r w:rsidRPr="00AE141E">
        <w:rPr>
          <w:rFonts w:ascii="Times New Roman" w:hAnsi="Times New Roman" w:cs="Times New Roman"/>
          <w:i/>
          <w:sz w:val="24"/>
          <w:szCs w:val="24"/>
        </w:rPr>
        <w:t>In Black and White: Guidelines for Teachers on Racial Stereotyping in Textbooks and Learning Materials</w:t>
      </w:r>
      <w:r w:rsidRPr="00AE141E">
        <w:rPr>
          <w:rFonts w:ascii="Times New Roman" w:hAnsi="Times New Roman" w:cs="Times New Roman"/>
          <w:sz w:val="24"/>
          <w:szCs w:val="24"/>
        </w:rPr>
        <w:t>, rev. edn (London: NUT, 1982).</w:t>
      </w:r>
    </w:p>
    <w:p w14:paraId="1352FC4E" w14:textId="77777777" w:rsidR="004C09DC" w:rsidRPr="00AE141E" w:rsidRDefault="004C09DC" w:rsidP="00AE141E">
      <w:pPr>
        <w:pStyle w:val="FootnoteText"/>
        <w:spacing w:line="360" w:lineRule="auto"/>
        <w:rPr>
          <w:rFonts w:ascii="Times New Roman" w:hAnsi="Times New Roman" w:cs="Times New Roman"/>
          <w:sz w:val="24"/>
          <w:szCs w:val="24"/>
        </w:rPr>
      </w:pPr>
    </w:p>
    <w:p w14:paraId="71A5E5C5" w14:textId="2B3B9259"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Naylor, F., </w:t>
      </w:r>
      <w:r w:rsidRPr="00AE141E">
        <w:rPr>
          <w:rFonts w:ascii="Times New Roman" w:hAnsi="Times New Roman" w:cs="Times New Roman"/>
          <w:i/>
          <w:sz w:val="24"/>
          <w:szCs w:val="24"/>
        </w:rPr>
        <w:t>Dewsbury: The School Above the Pub, A Case-Study in Multicultural Education</w:t>
      </w:r>
      <w:r w:rsidRPr="00AE141E">
        <w:rPr>
          <w:rFonts w:ascii="Times New Roman" w:hAnsi="Times New Roman" w:cs="Times New Roman"/>
          <w:sz w:val="24"/>
          <w:szCs w:val="24"/>
        </w:rPr>
        <w:t xml:space="preserve"> (London: Claridge, 1989).</w:t>
      </w:r>
    </w:p>
    <w:p w14:paraId="046CA191" w14:textId="77777777" w:rsidR="004C09DC" w:rsidRPr="00AE141E" w:rsidRDefault="004C09DC" w:rsidP="00AE141E">
      <w:pPr>
        <w:pStyle w:val="FootnoteText"/>
        <w:spacing w:line="360" w:lineRule="auto"/>
        <w:rPr>
          <w:rFonts w:ascii="Times New Roman" w:hAnsi="Times New Roman" w:cs="Times New Roman"/>
          <w:sz w:val="24"/>
          <w:szCs w:val="24"/>
        </w:rPr>
      </w:pPr>
    </w:p>
    <w:p w14:paraId="567EF9D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Orr, B., ‘The British Parliamentary Group for World Government’, </w:t>
      </w:r>
      <w:r w:rsidRPr="00AE141E">
        <w:rPr>
          <w:rFonts w:ascii="Times New Roman" w:hAnsi="Times New Roman" w:cs="Times New Roman"/>
          <w:i/>
          <w:sz w:val="24"/>
          <w:szCs w:val="24"/>
        </w:rPr>
        <w:t>Bulletin of the Atomic Scientists</w:t>
      </w:r>
      <w:r w:rsidRPr="00AE141E">
        <w:rPr>
          <w:rFonts w:ascii="Times New Roman" w:hAnsi="Times New Roman" w:cs="Times New Roman"/>
          <w:sz w:val="24"/>
          <w:szCs w:val="24"/>
        </w:rPr>
        <w:t xml:space="preserve"> 12.1 (1956), 21-22.</w:t>
      </w:r>
    </w:p>
    <w:p w14:paraId="60436F7E" w14:textId="77777777" w:rsidR="004C09DC" w:rsidRPr="00AE141E" w:rsidRDefault="004C09DC" w:rsidP="00AE141E">
      <w:pPr>
        <w:pStyle w:val="FootnoteText"/>
        <w:spacing w:line="360" w:lineRule="auto"/>
        <w:rPr>
          <w:rFonts w:ascii="Times New Roman" w:hAnsi="Times New Roman" w:cs="Times New Roman"/>
          <w:sz w:val="24"/>
          <w:szCs w:val="24"/>
        </w:rPr>
      </w:pPr>
    </w:p>
    <w:p w14:paraId="16190C11"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Osler, A., </w:t>
      </w:r>
      <w:r w:rsidRPr="00AE141E">
        <w:rPr>
          <w:rFonts w:ascii="Times New Roman" w:hAnsi="Times New Roman" w:cs="Times New Roman"/>
          <w:i/>
          <w:sz w:val="24"/>
          <w:szCs w:val="24"/>
        </w:rPr>
        <w:t>Speaking Out: Black Girls in Britain</w:t>
      </w:r>
      <w:r w:rsidRPr="00AE141E">
        <w:rPr>
          <w:rFonts w:ascii="Times New Roman" w:hAnsi="Times New Roman" w:cs="Times New Roman"/>
          <w:sz w:val="24"/>
          <w:szCs w:val="24"/>
        </w:rPr>
        <w:t xml:space="preserve"> (London: Virago, 1989).</w:t>
      </w:r>
    </w:p>
    <w:p w14:paraId="59F0B31A" w14:textId="489F60E2"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Palmer, F. (ed.), </w:t>
      </w:r>
      <w:r w:rsidRPr="00AE141E">
        <w:rPr>
          <w:rFonts w:ascii="Times New Roman" w:hAnsi="Times New Roman" w:cs="Times New Roman"/>
          <w:i/>
          <w:sz w:val="24"/>
          <w:szCs w:val="24"/>
        </w:rPr>
        <w:t>Anti-</w:t>
      </w:r>
      <w:r w:rsidR="001156AC">
        <w:rPr>
          <w:rFonts w:ascii="Times New Roman" w:hAnsi="Times New Roman" w:cs="Times New Roman"/>
          <w:i/>
          <w:sz w:val="24"/>
          <w:szCs w:val="24"/>
        </w:rPr>
        <w:t>r</w:t>
      </w:r>
      <w:r w:rsidRPr="00AE141E">
        <w:rPr>
          <w:rFonts w:ascii="Times New Roman" w:hAnsi="Times New Roman" w:cs="Times New Roman"/>
          <w:i/>
          <w:sz w:val="24"/>
          <w:szCs w:val="24"/>
        </w:rPr>
        <w:t>acism</w:t>
      </w:r>
      <w:r w:rsidR="00DA3191">
        <w:rPr>
          <w:rFonts w:ascii="Times New Roman" w:hAnsi="Times New Roman" w:cs="Times New Roman"/>
          <w:i/>
          <w:sz w:val="24"/>
          <w:szCs w:val="24"/>
        </w:rPr>
        <w:t>:</w:t>
      </w:r>
      <w:r w:rsidRPr="00AE141E">
        <w:rPr>
          <w:rFonts w:ascii="Times New Roman" w:hAnsi="Times New Roman" w:cs="Times New Roman"/>
          <w:i/>
          <w:sz w:val="24"/>
          <w:szCs w:val="24"/>
        </w:rPr>
        <w:t xml:space="preserve"> An Assault on Education and Value</w:t>
      </w:r>
      <w:r w:rsidRPr="00AE141E">
        <w:rPr>
          <w:rFonts w:ascii="Times New Roman" w:hAnsi="Times New Roman" w:cs="Times New Roman"/>
          <w:sz w:val="24"/>
          <w:szCs w:val="24"/>
        </w:rPr>
        <w:t xml:space="preserve"> (London: Sherwood Press, 1986).</w:t>
      </w:r>
    </w:p>
    <w:p w14:paraId="0213DEDD" w14:textId="77777777" w:rsidR="004C09DC" w:rsidRPr="00AE141E" w:rsidRDefault="004C09DC" w:rsidP="00AE141E">
      <w:pPr>
        <w:pStyle w:val="FootnoteText"/>
        <w:spacing w:line="360" w:lineRule="auto"/>
        <w:rPr>
          <w:rFonts w:ascii="Times New Roman" w:hAnsi="Times New Roman" w:cs="Times New Roman"/>
          <w:sz w:val="24"/>
          <w:szCs w:val="24"/>
        </w:rPr>
      </w:pPr>
    </w:p>
    <w:p w14:paraId="4F5985C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Patrick, H., </w:t>
      </w:r>
      <w:r w:rsidRPr="00AE141E">
        <w:rPr>
          <w:rFonts w:ascii="Times New Roman" w:hAnsi="Times New Roman" w:cs="Times New Roman"/>
          <w:i/>
          <w:sz w:val="24"/>
          <w:szCs w:val="24"/>
        </w:rPr>
        <w:t xml:space="preserve">The Aims of Teaching History in Secondary Schools: Report of a Research Project Funded by the Economic and Social Research Council </w:t>
      </w:r>
      <w:r w:rsidRPr="00AE141E">
        <w:rPr>
          <w:rFonts w:ascii="Times New Roman" w:hAnsi="Times New Roman" w:cs="Times New Roman"/>
          <w:sz w:val="24"/>
          <w:szCs w:val="24"/>
        </w:rPr>
        <w:t>(Leicester: University of Leicester School of Education, 1987).</w:t>
      </w:r>
    </w:p>
    <w:p w14:paraId="386DCD55" w14:textId="77777777" w:rsidR="004C09DC" w:rsidRPr="00AE141E" w:rsidRDefault="004C09DC" w:rsidP="00AE141E">
      <w:pPr>
        <w:pStyle w:val="FootnoteText"/>
        <w:spacing w:line="360" w:lineRule="auto"/>
        <w:rPr>
          <w:rFonts w:ascii="Times New Roman" w:hAnsi="Times New Roman" w:cs="Times New Roman"/>
          <w:sz w:val="24"/>
          <w:szCs w:val="24"/>
        </w:rPr>
      </w:pPr>
    </w:p>
    <w:p w14:paraId="676AFC8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Pearn, J., and Roy, M., </w:t>
      </w:r>
      <w:r w:rsidRPr="00AE141E">
        <w:rPr>
          <w:rFonts w:ascii="Times New Roman" w:hAnsi="Times New Roman" w:cs="Times New Roman"/>
          <w:i/>
          <w:sz w:val="24"/>
          <w:szCs w:val="24"/>
        </w:rPr>
        <w:t xml:space="preserve">E.R.A. and the Black Child in Secondary School </w:t>
      </w:r>
      <w:r w:rsidRPr="00AE141E">
        <w:rPr>
          <w:rFonts w:ascii="Times New Roman" w:hAnsi="Times New Roman" w:cs="Times New Roman"/>
          <w:sz w:val="24"/>
          <w:szCs w:val="24"/>
        </w:rPr>
        <w:t>(Sheffield: Sheffield Unified Multicultural Education Service, 1991).</w:t>
      </w:r>
    </w:p>
    <w:p w14:paraId="13DD0DD0" w14:textId="77777777" w:rsidR="00BF2BB5" w:rsidRPr="00AE141E" w:rsidRDefault="00BF2BB5" w:rsidP="00AE141E">
      <w:pPr>
        <w:pStyle w:val="FootnoteText"/>
        <w:spacing w:line="360" w:lineRule="auto"/>
        <w:rPr>
          <w:rFonts w:ascii="Times New Roman" w:hAnsi="Times New Roman" w:cs="Times New Roman"/>
          <w:sz w:val="24"/>
          <w:szCs w:val="24"/>
        </w:rPr>
      </w:pPr>
    </w:p>
    <w:p w14:paraId="0E66F8A0" w14:textId="53703CE5"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Prochaska, A., ‘The History Working Group: Reflections and Diary’, </w:t>
      </w:r>
      <w:r w:rsidRPr="00AE141E">
        <w:rPr>
          <w:rFonts w:ascii="Times New Roman" w:hAnsi="Times New Roman" w:cs="Times New Roman"/>
          <w:i/>
          <w:sz w:val="24"/>
          <w:szCs w:val="24"/>
        </w:rPr>
        <w:t>History Workshop Journal</w:t>
      </w:r>
      <w:r w:rsidRPr="00AE141E">
        <w:rPr>
          <w:rFonts w:ascii="Times New Roman" w:hAnsi="Times New Roman" w:cs="Times New Roman"/>
          <w:sz w:val="24"/>
          <w:szCs w:val="24"/>
        </w:rPr>
        <w:t xml:space="preserve"> 30.1 (Autumn 1990), 80–90.</w:t>
      </w:r>
    </w:p>
    <w:p w14:paraId="1F5CD856" w14:textId="77777777" w:rsidR="004C09DC" w:rsidRPr="00AE141E" w:rsidRDefault="004C09DC" w:rsidP="00AE141E">
      <w:pPr>
        <w:pStyle w:val="FootnoteText"/>
        <w:spacing w:line="360" w:lineRule="auto"/>
        <w:rPr>
          <w:rFonts w:ascii="Times New Roman" w:hAnsi="Times New Roman" w:cs="Times New Roman"/>
          <w:sz w:val="24"/>
          <w:szCs w:val="24"/>
        </w:rPr>
      </w:pPr>
    </w:p>
    <w:p w14:paraId="47E4164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Proctor, C., </w:t>
      </w:r>
      <w:r w:rsidRPr="00AE141E">
        <w:rPr>
          <w:rFonts w:ascii="Times New Roman" w:hAnsi="Times New Roman" w:cs="Times New Roman"/>
          <w:i/>
          <w:sz w:val="24"/>
          <w:szCs w:val="24"/>
        </w:rPr>
        <w:t>Racist Textbooks</w:t>
      </w:r>
      <w:r w:rsidRPr="00AE141E">
        <w:rPr>
          <w:rFonts w:ascii="Times New Roman" w:hAnsi="Times New Roman" w:cs="Times New Roman"/>
          <w:sz w:val="24"/>
          <w:szCs w:val="24"/>
        </w:rPr>
        <w:t xml:space="preserve"> (London: National Union of Students, 1975).</w:t>
      </w:r>
    </w:p>
    <w:p w14:paraId="1437CD75" w14:textId="77777777" w:rsidR="004C09DC" w:rsidRPr="00AE141E" w:rsidRDefault="004C09DC" w:rsidP="00AE141E">
      <w:pPr>
        <w:pStyle w:val="FootnoteText"/>
        <w:spacing w:line="360" w:lineRule="auto"/>
        <w:rPr>
          <w:rFonts w:ascii="Times New Roman" w:hAnsi="Times New Roman" w:cs="Times New Roman"/>
          <w:sz w:val="24"/>
          <w:szCs w:val="24"/>
        </w:rPr>
      </w:pPr>
    </w:p>
    <w:p w14:paraId="3BD1BA4D"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Ramamurthy, A. (ed.), </w:t>
      </w:r>
      <w:r w:rsidRPr="00AE141E">
        <w:rPr>
          <w:rFonts w:ascii="Times New Roman" w:hAnsi="Times New Roman" w:cs="Times New Roman"/>
          <w:i/>
          <w:sz w:val="24"/>
          <w:szCs w:val="24"/>
        </w:rPr>
        <w:t>Kala Tara: A History of the Asian Youth Movements in the 1970s and 1980s</w:t>
      </w:r>
      <w:r w:rsidRPr="00AE141E">
        <w:rPr>
          <w:rFonts w:ascii="Times New Roman" w:hAnsi="Times New Roman" w:cs="Times New Roman"/>
          <w:sz w:val="24"/>
          <w:szCs w:val="24"/>
        </w:rPr>
        <w:t xml:space="preserve"> (University of Central Lancashire: Second Generation Asians Resisting Racism Project, 2007).</w:t>
      </w:r>
    </w:p>
    <w:p w14:paraId="77E4E9A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Reeves, M., </w:t>
      </w:r>
      <w:r w:rsidRPr="00AE141E">
        <w:rPr>
          <w:rFonts w:ascii="Times New Roman" w:hAnsi="Times New Roman" w:cs="Times New Roman"/>
          <w:i/>
          <w:sz w:val="24"/>
          <w:szCs w:val="24"/>
        </w:rPr>
        <w:t>Explorers of the Elizabethan Age</w:t>
      </w:r>
      <w:r w:rsidRPr="00AE141E">
        <w:rPr>
          <w:rFonts w:ascii="Times New Roman" w:hAnsi="Times New Roman" w:cs="Times New Roman"/>
          <w:sz w:val="24"/>
          <w:szCs w:val="24"/>
        </w:rPr>
        <w:t xml:space="preserve"> (York: Longman, 1977). </w:t>
      </w:r>
    </w:p>
    <w:p w14:paraId="23E55330" w14:textId="77777777" w:rsidR="004C09DC" w:rsidRPr="00AE141E" w:rsidRDefault="004C09DC" w:rsidP="00AE141E">
      <w:pPr>
        <w:pStyle w:val="FootnoteText"/>
        <w:spacing w:line="360" w:lineRule="auto"/>
        <w:rPr>
          <w:rFonts w:ascii="Times New Roman" w:hAnsi="Times New Roman" w:cs="Times New Roman"/>
          <w:sz w:val="24"/>
          <w:szCs w:val="24"/>
        </w:rPr>
      </w:pPr>
    </w:p>
    <w:p w14:paraId="2FB51AE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Reid, V., </w:t>
      </w:r>
      <w:r w:rsidRPr="00AE141E">
        <w:rPr>
          <w:rFonts w:ascii="Times New Roman" w:hAnsi="Times New Roman" w:cs="Times New Roman"/>
          <w:i/>
          <w:sz w:val="24"/>
          <w:szCs w:val="24"/>
        </w:rPr>
        <w:t>The Young Warriors</w:t>
      </w:r>
      <w:r w:rsidRPr="00AE141E">
        <w:rPr>
          <w:rFonts w:ascii="Times New Roman" w:hAnsi="Times New Roman" w:cs="Times New Roman"/>
          <w:sz w:val="24"/>
          <w:szCs w:val="24"/>
        </w:rPr>
        <w:t>, abr. ed. (London: Longman, 1967).</w:t>
      </w:r>
    </w:p>
    <w:p w14:paraId="51D5C7D0" w14:textId="77777777" w:rsidR="004C09DC" w:rsidRPr="00AE141E" w:rsidRDefault="004C09DC" w:rsidP="00AE141E">
      <w:pPr>
        <w:pStyle w:val="FootnoteText"/>
        <w:spacing w:line="360" w:lineRule="auto"/>
        <w:rPr>
          <w:rFonts w:ascii="Times New Roman" w:hAnsi="Times New Roman" w:cs="Times New Roman"/>
          <w:sz w:val="24"/>
          <w:szCs w:val="24"/>
        </w:rPr>
      </w:pPr>
    </w:p>
    <w:p w14:paraId="115F63BC" w14:textId="77777777" w:rsidR="004C09DC"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Routh, C.R.N., </w:t>
      </w:r>
      <w:r w:rsidRPr="00AE141E">
        <w:rPr>
          <w:rFonts w:ascii="Times New Roman" w:hAnsi="Times New Roman" w:cs="Times New Roman"/>
          <w:i/>
          <w:sz w:val="24"/>
          <w:szCs w:val="24"/>
        </w:rPr>
        <w:t>Notes on the Teaching of British Imperial History (For Age Groups 15-18): The Historical Association Teaching of History Leaflet No.12</w:t>
      </w:r>
      <w:r w:rsidRPr="00AE141E">
        <w:rPr>
          <w:rFonts w:ascii="Times New Roman" w:hAnsi="Times New Roman" w:cs="Times New Roman"/>
          <w:sz w:val="24"/>
          <w:szCs w:val="24"/>
        </w:rPr>
        <w:t>, rev. ed., (London: HA, 1954).</w:t>
      </w:r>
    </w:p>
    <w:p w14:paraId="69FF03F3" w14:textId="77777777" w:rsidR="00666AC5" w:rsidRDefault="00666AC5" w:rsidP="00AE141E">
      <w:pPr>
        <w:pStyle w:val="FootnoteText"/>
        <w:spacing w:line="360" w:lineRule="auto"/>
        <w:rPr>
          <w:rFonts w:ascii="Times New Roman" w:hAnsi="Times New Roman" w:cs="Times New Roman"/>
          <w:sz w:val="24"/>
          <w:szCs w:val="24"/>
        </w:rPr>
      </w:pPr>
    </w:p>
    <w:p w14:paraId="083FF6E9" w14:textId="3F23209A" w:rsidR="00666AC5" w:rsidRPr="00666AC5" w:rsidRDefault="00666AC5" w:rsidP="00AE141E">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 xml:space="preserve">Searle, C., </w:t>
      </w:r>
      <w:r>
        <w:rPr>
          <w:rFonts w:ascii="Times New Roman" w:hAnsi="Times New Roman" w:cs="Times New Roman"/>
          <w:i/>
          <w:iCs/>
          <w:sz w:val="24"/>
          <w:szCs w:val="24"/>
        </w:rPr>
        <w:t xml:space="preserve">The World in a Classroom </w:t>
      </w:r>
      <w:r>
        <w:rPr>
          <w:rFonts w:ascii="Times New Roman" w:hAnsi="Times New Roman" w:cs="Times New Roman"/>
          <w:sz w:val="24"/>
          <w:szCs w:val="24"/>
        </w:rPr>
        <w:t>(</w:t>
      </w:r>
      <w:r w:rsidR="00032650">
        <w:rPr>
          <w:rFonts w:ascii="Times New Roman" w:hAnsi="Times New Roman" w:cs="Times New Roman"/>
          <w:sz w:val="24"/>
          <w:szCs w:val="24"/>
        </w:rPr>
        <w:t>London: Readers and Writers Publishing Cooperative, 1977).</w:t>
      </w:r>
    </w:p>
    <w:p w14:paraId="1381EFBA" w14:textId="77777777" w:rsidR="004C09DC" w:rsidRPr="00AE141E" w:rsidRDefault="004C09DC" w:rsidP="00AE141E">
      <w:pPr>
        <w:pStyle w:val="FootnoteText"/>
        <w:spacing w:line="360" w:lineRule="auto"/>
        <w:rPr>
          <w:rFonts w:ascii="Times New Roman" w:hAnsi="Times New Roman" w:cs="Times New Roman"/>
          <w:sz w:val="24"/>
          <w:szCs w:val="24"/>
        </w:rPr>
      </w:pPr>
    </w:p>
    <w:p w14:paraId="7AD67088" w14:textId="654C1965"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Schools Council</w:t>
      </w:r>
      <w:r w:rsidRPr="00AE141E">
        <w:rPr>
          <w:rFonts w:ascii="Times New Roman" w:hAnsi="Times New Roman" w:cs="Times New Roman"/>
          <w:i/>
          <w:sz w:val="24"/>
          <w:szCs w:val="24"/>
        </w:rPr>
        <w:t>, Arab-Israeli Conflict</w:t>
      </w:r>
      <w:r w:rsidRPr="00AE141E">
        <w:rPr>
          <w:rFonts w:ascii="Times New Roman" w:hAnsi="Times New Roman" w:cs="Times New Roman"/>
          <w:sz w:val="24"/>
          <w:szCs w:val="24"/>
        </w:rPr>
        <w:t xml:space="preserve"> (Edinburgh: Holmes McDougall, 1979).</w:t>
      </w:r>
    </w:p>
    <w:p w14:paraId="0FA819EE" w14:textId="77777777" w:rsidR="004C09DC" w:rsidRPr="00AE141E" w:rsidRDefault="004C09DC" w:rsidP="00AE141E">
      <w:pPr>
        <w:pStyle w:val="FootnoteText"/>
        <w:spacing w:line="360" w:lineRule="auto"/>
        <w:rPr>
          <w:rFonts w:ascii="Times New Roman" w:hAnsi="Times New Roman" w:cs="Times New Roman"/>
          <w:sz w:val="24"/>
          <w:szCs w:val="24"/>
        </w:rPr>
      </w:pPr>
    </w:p>
    <w:p w14:paraId="3EF77124" w14:textId="31600A7C" w:rsidR="004C09DC" w:rsidRPr="00AE141E" w:rsidRDefault="00527D8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Schools Council</w:t>
      </w:r>
      <w:r w:rsidR="004C09DC" w:rsidRPr="00AE141E">
        <w:rPr>
          <w:rFonts w:ascii="Times New Roman" w:hAnsi="Times New Roman" w:cs="Times New Roman"/>
          <w:sz w:val="24"/>
          <w:szCs w:val="24"/>
        </w:rPr>
        <w:t xml:space="preserve">, </w:t>
      </w:r>
      <w:r w:rsidR="004C09DC" w:rsidRPr="00AE141E">
        <w:rPr>
          <w:rFonts w:ascii="Times New Roman" w:hAnsi="Times New Roman" w:cs="Times New Roman"/>
          <w:i/>
          <w:sz w:val="24"/>
          <w:szCs w:val="24"/>
        </w:rPr>
        <w:t>Children’s Reading Interests, Schools Council Working Paper 52: An Interim Report from the Schools Council Research Project into Children’s Reading Habits, 10-15</w:t>
      </w:r>
      <w:r w:rsidR="004C09DC" w:rsidRPr="00AE141E">
        <w:rPr>
          <w:rFonts w:ascii="Times New Roman" w:hAnsi="Times New Roman" w:cs="Times New Roman"/>
          <w:sz w:val="24"/>
          <w:szCs w:val="24"/>
        </w:rPr>
        <w:t xml:space="preserve"> (London: Evans/Methuen Educational, 1975).</w:t>
      </w:r>
    </w:p>
    <w:p w14:paraId="35BC35F7" w14:textId="77777777" w:rsidR="004C09DC" w:rsidRPr="00AE141E" w:rsidRDefault="004C09DC" w:rsidP="00AE141E">
      <w:pPr>
        <w:pStyle w:val="FootnoteText"/>
        <w:spacing w:line="360" w:lineRule="auto"/>
        <w:rPr>
          <w:rFonts w:ascii="Times New Roman" w:hAnsi="Times New Roman" w:cs="Times New Roman"/>
          <w:sz w:val="24"/>
          <w:szCs w:val="24"/>
        </w:rPr>
      </w:pPr>
    </w:p>
    <w:p w14:paraId="106F0DF0" w14:textId="7F6DF9C6" w:rsidR="004C09DC" w:rsidRPr="00AE141E" w:rsidRDefault="00527D8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Schools Council</w:t>
      </w:r>
      <w:r w:rsidR="004C09DC" w:rsidRPr="00AE141E">
        <w:rPr>
          <w:rFonts w:ascii="Times New Roman" w:hAnsi="Times New Roman" w:cs="Times New Roman"/>
          <w:sz w:val="24"/>
          <w:szCs w:val="24"/>
        </w:rPr>
        <w:t xml:space="preserve">, </w:t>
      </w:r>
      <w:r w:rsidR="004C09DC" w:rsidRPr="00AE141E">
        <w:rPr>
          <w:rFonts w:ascii="Times New Roman" w:hAnsi="Times New Roman" w:cs="Times New Roman"/>
          <w:i/>
          <w:sz w:val="24"/>
          <w:szCs w:val="24"/>
        </w:rPr>
        <w:t>Education for a Multiracial Society: Curriculum and Context 5-13</w:t>
      </w:r>
      <w:r w:rsidR="004C09DC" w:rsidRPr="00AE141E">
        <w:rPr>
          <w:rFonts w:ascii="Times New Roman" w:hAnsi="Times New Roman" w:cs="Times New Roman"/>
          <w:sz w:val="24"/>
          <w:szCs w:val="24"/>
        </w:rPr>
        <w:t xml:space="preserve"> (London: SC, 1981).</w:t>
      </w:r>
    </w:p>
    <w:p w14:paraId="0F76756D" w14:textId="77777777" w:rsidR="004C09DC" w:rsidRPr="00AE141E" w:rsidRDefault="004C09DC" w:rsidP="00AE141E">
      <w:pPr>
        <w:pStyle w:val="FootnoteText"/>
        <w:spacing w:line="360" w:lineRule="auto"/>
        <w:rPr>
          <w:rFonts w:ascii="Times New Roman" w:hAnsi="Times New Roman" w:cs="Times New Roman"/>
          <w:sz w:val="24"/>
          <w:szCs w:val="24"/>
        </w:rPr>
      </w:pPr>
    </w:p>
    <w:p w14:paraId="4E8383C7" w14:textId="2DF25556" w:rsidR="004C09DC" w:rsidRPr="00AE141E" w:rsidRDefault="00527D8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Schools Council</w:t>
      </w:r>
      <w:r w:rsidR="004C09DC" w:rsidRPr="00AE141E">
        <w:rPr>
          <w:rFonts w:ascii="Times New Roman" w:hAnsi="Times New Roman" w:cs="Times New Roman"/>
          <w:sz w:val="24"/>
          <w:szCs w:val="24"/>
        </w:rPr>
        <w:t xml:space="preserve">, </w:t>
      </w:r>
      <w:r w:rsidR="004C09DC" w:rsidRPr="00AE141E">
        <w:rPr>
          <w:rFonts w:ascii="Times New Roman" w:hAnsi="Times New Roman" w:cs="Times New Roman"/>
          <w:i/>
          <w:sz w:val="24"/>
          <w:szCs w:val="24"/>
        </w:rPr>
        <w:t xml:space="preserve">The Irish Question </w:t>
      </w:r>
      <w:r w:rsidR="004C09DC" w:rsidRPr="00AE141E">
        <w:rPr>
          <w:rFonts w:ascii="Times New Roman" w:hAnsi="Times New Roman" w:cs="Times New Roman"/>
          <w:sz w:val="24"/>
          <w:szCs w:val="24"/>
        </w:rPr>
        <w:t>(Edinburgh: Holmes McDougall, 1977).</w:t>
      </w:r>
    </w:p>
    <w:p w14:paraId="26635770" w14:textId="77777777" w:rsidR="004C09DC" w:rsidRPr="00AE141E" w:rsidRDefault="004C09DC" w:rsidP="00AE141E">
      <w:pPr>
        <w:pStyle w:val="FootnoteText"/>
        <w:spacing w:line="360" w:lineRule="auto"/>
        <w:rPr>
          <w:rFonts w:ascii="Times New Roman" w:hAnsi="Times New Roman" w:cs="Times New Roman"/>
          <w:sz w:val="24"/>
          <w:szCs w:val="24"/>
        </w:rPr>
      </w:pPr>
    </w:p>
    <w:p w14:paraId="4C1E3DFA" w14:textId="1BDCA1C5" w:rsidR="004C09DC" w:rsidRPr="00AE141E" w:rsidRDefault="00527D8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Schools Council</w:t>
      </w:r>
      <w:r w:rsidR="004C09DC" w:rsidRPr="00AE141E">
        <w:rPr>
          <w:rFonts w:ascii="Times New Roman" w:hAnsi="Times New Roman" w:cs="Times New Roman"/>
          <w:sz w:val="24"/>
          <w:szCs w:val="24"/>
        </w:rPr>
        <w:t xml:space="preserve">, </w:t>
      </w:r>
      <w:r w:rsidR="004C09DC" w:rsidRPr="00AE141E">
        <w:rPr>
          <w:rFonts w:ascii="Times New Roman" w:hAnsi="Times New Roman" w:cs="Times New Roman"/>
          <w:i/>
          <w:sz w:val="24"/>
          <w:szCs w:val="24"/>
        </w:rPr>
        <w:t>The Irish Question: Teachers’ Guide</w:t>
      </w:r>
      <w:r w:rsidR="004C09DC" w:rsidRPr="00AE141E">
        <w:rPr>
          <w:rFonts w:ascii="Times New Roman" w:hAnsi="Times New Roman" w:cs="Times New Roman"/>
          <w:sz w:val="24"/>
          <w:szCs w:val="24"/>
        </w:rPr>
        <w:t xml:space="preserve"> (Edinburgh: Holmes McDougall, 1977).</w:t>
      </w:r>
    </w:p>
    <w:p w14:paraId="3F3C74F0" w14:textId="77777777" w:rsidR="004C09DC" w:rsidRPr="00AE141E" w:rsidRDefault="004C09DC" w:rsidP="00AE141E">
      <w:pPr>
        <w:pStyle w:val="FootnoteText"/>
        <w:spacing w:line="360" w:lineRule="auto"/>
        <w:rPr>
          <w:rFonts w:ascii="Times New Roman" w:hAnsi="Times New Roman" w:cs="Times New Roman"/>
          <w:sz w:val="24"/>
          <w:szCs w:val="24"/>
        </w:rPr>
      </w:pPr>
    </w:p>
    <w:p w14:paraId="0D5F0238" w14:textId="37966161" w:rsidR="004C09DC" w:rsidRPr="00AE141E" w:rsidRDefault="00527D8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Schools Council</w:t>
      </w:r>
      <w:r w:rsidR="004C09DC" w:rsidRPr="00AE141E">
        <w:rPr>
          <w:rFonts w:ascii="Times New Roman" w:hAnsi="Times New Roman" w:cs="Times New Roman"/>
          <w:sz w:val="24"/>
          <w:szCs w:val="24"/>
        </w:rPr>
        <w:t xml:space="preserve">, </w:t>
      </w:r>
      <w:r w:rsidR="004C09DC" w:rsidRPr="00AE141E">
        <w:rPr>
          <w:rFonts w:ascii="Times New Roman" w:hAnsi="Times New Roman" w:cs="Times New Roman"/>
          <w:i/>
          <w:sz w:val="24"/>
          <w:szCs w:val="24"/>
        </w:rPr>
        <w:t>The Move to European Unity</w:t>
      </w:r>
      <w:r w:rsidR="004C09DC" w:rsidRPr="00AE141E">
        <w:rPr>
          <w:rFonts w:ascii="Times New Roman" w:hAnsi="Times New Roman" w:cs="Times New Roman"/>
          <w:sz w:val="24"/>
          <w:szCs w:val="24"/>
        </w:rPr>
        <w:t xml:space="preserve"> (Edinburgh: Holmes McDougall, 1978).</w:t>
      </w:r>
    </w:p>
    <w:p w14:paraId="10E4C875" w14:textId="77777777" w:rsidR="004C09DC" w:rsidRPr="00AE141E" w:rsidRDefault="004C09DC" w:rsidP="00AE141E">
      <w:pPr>
        <w:pStyle w:val="FootnoteText"/>
        <w:spacing w:line="360" w:lineRule="auto"/>
        <w:rPr>
          <w:rFonts w:ascii="Times New Roman" w:hAnsi="Times New Roman" w:cs="Times New Roman"/>
          <w:sz w:val="24"/>
          <w:szCs w:val="24"/>
        </w:rPr>
      </w:pPr>
    </w:p>
    <w:p w14:paraId="33EAE721" w14:textId="4228F2CF" w:rsidR="004C09DC" w:rsidRPr="00AE141E" w:rsidRDefault="00527D8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Schools Council</w:t>
      </w:r>
      <w:r w:rsidR="004C09DC" w:rsidRPr="00AE141E">
        <w:rPr>
          <w:rFonts w:ascii="Times New Roman" w:hAnsi="Times New Roman" w:cs="Times New Roman"/>
          <w:sz w:val="24"/>
          <w:szCs w:val="24"/>
        </w:rPr>
        <w:t xml:space="preserve">, </w:t>
      </w:r>
      <w:r w:rsidR="004C09DC" w:rsidRPr="00AE141E">
        <w:rPr>
          <w:rFonts w:ascii="Times New Roman" w:hAnsi="Times New Roman" w:cs="Times New Roman"/>
          <w:i/>
          <w:sz w:val="24"/>
          <w:szCs w:val="24"/>
        </w:rPr>
        <w:t xml:space="preserve">The Move to European Unity: Teachers’ Guide </w:t>
      </w:r>
      <w:r w:rsidR="004C09DC" w:rsidRPr="00AE141E">
        <w:rPr>
          <w:rFonts w:ascii="Times New Roman" w:hAnsi="Times New Roman" w:cs="Times New Roman"/>
          <w:sz w:val="24"/>
          <w:szCs w:val="24"/>
        </w:rPr>
        <w:t>(Edinburgh: Holmes McDougall, 1977).</w:t>
      </w:r>
    </w:p>
    <w:p w14:paraId="55B1A06C" w14:textId="77777777" w:rsidR="004C09DC" w:rsidRPr="00AE141E" w:rsidRDefault="004C09DC" w:rsidP="00AE141E">
      <w:pPr>
        <w:pStyle w:val="FootnoteText"/>
        <w:spacing w:line="360" w:lineRule="auto"/>
        <w:rPr>
          <w:rFonts w:ascii="Times New Roman" w:hAnsi="Times New Roman" w:cs="Times New Roman"/>
          <w:sz w:val="24"/>
          <w:szCs w:val="24"/>
        </w:rPr>
      </w:pPr>
    </w:p>
    <w:p w14:paraId="1A643B5C"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Scruton, R., Ellis-Jones, A., and O’Keeffe, D., </w:t>
      </w:r>
      <w:r w:rsidRPr="00AE141E">
        <w:rPr>
          <w:rFonts w:ascii="Times New Roman" w:hAnsi="Times New Roman" w:cs="Times New Roman"/>
          <w:i/>
          <w:sz w:val="24"/>
          <w:szCs w:val="24"/>
        </w:rPr>
        <w:t xml:space="preserve">Education and Indoctrination: An Attempt at Definition and a Review of Social and Political Implications </w:t>
      </w:r>
      <w:r w:rsidRPr="00AE141E">
        <w:rPr>
          <w:rFonts w:ascii="Times New Roman" w:hAnsi="Times New Roman" w:cs="Times New Roman"/>
          <w:sz w:val="24"/>
          <w:szCs w:val="24"/>
        </w:rPr>
        <w:t>(Harrow: Education Research Centre, 1985).</w:t>
      </w:r>
    </w:p>
    <w:p w14:paraId="1245F00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Scruton, R., </w:t>
      </w:r>
      <w:r w:rsidRPr="00AE141E">
        <w:rPr>
          <w:rFonts w:ascii="Times New Roman" w:hAnsi="Times New Roman" w:cs="Times New Roman"/>
          <w:i/>
          <w:sz w:val="24"/>
          <w:szCs w:val="24"/>
        </w:rPr>
        <w:t>World Studies: Education or Indoctrination?</w:t>
      </w:r>
      <w:r w:rsidRPr="00AE141E">
        <w:rPr>
          <w:rFonts w:ascii="Times New Roman" w:hAnsi="Times New Roman" w:cs="Times New Roman"/>
          <w:sz w:val="24"/>
          <w:szCs w:val="24"/>
        </w:rPr>
        <w:t xml:space="preserve"> (London: Alliance Publishers for Institute for European Defence and Strategic Studies, 1985). </w:t>
      </w:r>
    </w:p>
    <w:p w14:paraId="2015C11E" w14:textId="77777777" w:rsidR="004C09DC" w:rsidRPr="00AE141E" w:rsidRDefault="004C09DC" w:rsidP="00AE141E">
      <w:pPr>
        <w:pStyle w:val="FootnoteText"/>
        <w:spacing w:line="360" w:lineRule="auto"/>
        <w:rPr>
          <w:rFonts w:ascii="Times New Roman" w:hAnsi="Times New Roman" w:cs="Times New Roman"/>
          <w:sz w:val="24"/>
          <w:szCs w:val="24"/>
        </w:rPr>
      </w:pPr>
    </w:p>
    <w:p w14:paraId="7D9E527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Searle, C. (ed.), </w:t>
      </w:r>
      <w:r w:rsidRPr="00AE141E">
        <w:rPr>
          <w:rFonts w:ascii="Times New Roman" w:hAnsi="Times New Roman" w:cs="Times New Roman"/>
          <w:i/>
          <w:sz w:val="24"/>
          <w:szCs w:val="24"/>
        </w:rPr>
        <w:t>Lives of Love and Hope: a Sheffield Herstory</w:t>
      </w:r>
      <w:r w:rsidRPr="00AE141E">
        <w:rPr>
          <w:rFonts w:ascii="Times New Roman" w:hAnsi="Times New Roman" w:cs="Times New Roman"/>
          <w:sz w:val="24"/>
          <w:szCs w:val="24"/>
        </w:rPr>
        <w:t xml:space="preserve"> (Sheffield: Earl Marshal School, 1994).</w:t>
      </w:r>
    </w:p>
    <w:p w14:paraId="3DCDC23F" w14:textId="77777777" w:rsidR="004C09DC" w:rsidRPr="00AE141E" w:rsidRDefault="004C09DC" w:rsidP="00AE141E">
      <w:pPr>
        <w:pStyle w:val="FootnoteText"/>
        <w:spacing w:line="360" w:lineRule="auto"/>
        <w:rPr>
          <w:rFonts w:ascii="Times New Roman" w:hAnsi="Times New Roman" w:cs="Times New Roman"/>
          <w:sz w:val="24"/>
          <w:szCs w:val="24"/>
        </w:rPr>
      </w:pPr>
    </w:p>
    <w:p w14:paraId="19A1B4D8" w14:textId="336B96A2"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Searle, C., ‘OFSTEDed, Blunketted and Permanently Excluded: An Experience of English Education’, </w:t>
      </w:r>
      <w:r w:rsidRPr="00AE141E">
        <w:rPr>
          <w:rFonts w:ascii="Times New Roman" w:hAnsi="Times New Roman" w:cs="Times New Roman"/>
          <w:i/>
          <w:sz w:val="24"/>
          <w:szCs w:val="24"/>
        </w:rPr>
        <w:t>Race &amp; Class</w:t>
      </w:r>
      <w:r w:rsidR="001F5FFD">
        <w:rPr>
          <w:rFonts w:ascii="Times New Roman" w:hAnsi="Times New Roman" w:cs="Times New Roman"/>
          <w:sz w:val="24"/>
          <w:szCs w:val="24"/>
        </w:rPr>
        <w:t xml:space="preserve"> </w:t>
      </w:r>
      <w:r w:rsidRPr="00AE141E">
        <w:rPr>
          <w:rFonts w:ascii="Times New Roman" w:hAnsi="Times New Roman" w:cs="Times New Roman"/>
          <w:i/>
          <w:sz w:val="24"/>
          <w:szCs w:val="24"/>
        </w:rPr>
        <w:t>38</w:t>
      </w:r>
      <w:r w:rsidRPr="00AE141E">
        <w:rPr>
          <w:rFonts w:ascii="Times New Roman" w:hAnsi="Times New Roman" w:cs="Times New Roman"/>
          <w:sz w:val="24"/>
          <w:szCs w:val="24"/>
        </w:rPr>
        <w:t>.1 (1996), 21-38.</w:t>
      </w:r>
    </w:p>
    <w:p w14:paraId="6BA380A8" w14:textId="77777777" w:rsidR="004C09DC" w:rsidRPr="00AE141E" w:rsidRDefault="004C09DC" w:rsidP="00AE141E">
      <w:pPr>
        <w:pStyle w:val="FootnoteText"/>
        <w:spacing w:line="360" w:lineRule="auto"/>
        <w:rPr>
          <w:rFonts w:ascii="Times New Roman" w:hAnsi="Times New Roman" w:cs="Times New Roman"/>
          <w:sz w:val="24"/>
          <w:szCs w:val="24"/>
        </w:rPr>
      </w:pPr>
    </w:p>
    <w:p w14:paraId="7A8BA41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Seeley, J.R., </w:t>
      </w:r>
      <w:r w:rsidRPr="00AE141E">
        <w:rPr>
          <w:rFonts w:ascii="Times New Roman" w:hAnsi="Times New Roman" w:cs="Times New Roman"/>
          <w:i/>
          <w:sz w:val="24"/>
          <w:szCs w:val="24"/>
        </w:rPr>
        <w:t xml:space="preserve">The Expansion of England: Two Courses of Lectures </w:t>
      </w:r>
      <w:r w:rsidRPr="00AE141E">
        <w:rPr>
          <w:rFonts w:ascii="Times New Roman" w:hAnsi="Times New Roman" w:cs="Times New Roman"/>
          <w:sz w:val="24"/>
          <w:szCs w:val="24"/>
        </w:rPr>
        <w:t>(London: Macmillan, 1886).</w:t>
      </w:r>
    </w:p>
    <w:p w14:paraId="5A22F852" w14:textId="77777777" w:rsidR="004C09DC" w:rsidRPr="00AE141E" w:rsidRDefault="004C09DC" w:rsidP="00AE141E">
      <w:pPr>
        <w:pStyle w:val="FootnoteText"/>
        <w:spacing w:line="360" w:lineRule="auto"/>
        <w:rPr>
          <w:rFonts w:ascii="Times New Roman" w:hAnsi="Times New Roman" w:cs="Times New Roman"/>
          <w:sz w:val="24"/>
          <w:szCs w:val="24"/>
        </w:rPr>
      </w:pPr>
    </w:p>
    <w:p w14:paraId="0A9D464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Sellar, W.C., and Yeatman, R.J., </w:t>
      </w:r>
      <w:r w:rsidRPr="00AE141E">
        <w:rPr>
          <w:rFonts w:ascii="Times New Roman" w:hAnsi="Times New Roman" w:cs="Times New Roman"/>
          <w:i/>
          <w:sz w:val="24"/>
          <w:szCs w:val="24"/>
        </w:rPr>
        <w:t>1066 And All That: A Memorable History of England, Comprising All the Parts You Can Remember, Including 103 Good Things, 5 Bad Kings and 2 Genuine Dates</w:t>
      </w:r>
      <w:r w:rsidRPr="00AE141E">
        <w:rPr>
          <w:rFonts w:ascii="Times New Roman" w:hAnsi="Times New Roman" w:cs="Times New Roman"/>
          <w:sz w:val="24"/>
          <w:szCs w:val="24"/>
        </w:rPr>
        <w:t xml:space="preserve"> (London: Methuen, 1930).</w:t>
      </w:r>
    </w:p>
    <w:p w14:paraId="4E9D8ECC" w14:textId="77777777" w:rsidR="004C09DC" w:rsidRPr="00AE141E" w:rsidRDefault="004C09DC" w:rsidP="00AE141E">
      <w:pPr>
        <w:pStyle w:val="FootnoteText"/>
        <w:spacing w:line="360" w:lineRule="auto"/>
        <w:rPr>
          <w:rFonts w:ascii="Times New Roman" w:hAnsi="Times New Roman" w:cs="Times New Roman"/>
          <w:sz w:val="24"/>
          <w:szCs w:val="24"/>
        </w:rPr>
      </w:pPr>
    </w:p>
    <w:p w14:paraId="0D7BF7C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Shemilt, D., </w:t>
      </w:r>
      <w:r w:rsidRPr="00AE141E">
        <w:rPr>
          <w:rFonts w:ascii="Times New Roman" w:hAnsi="Times New Roman" w:cs="Times New Roman"/>
          <w:i/>
          <w:sz w:val="24"/>
          <w:szCs w:val="24"/>
        </w:rPr>
        <w:t>History 13-16: Evaluation Study</w:t>
      </w:r>
      <w:r w:rsidRPr="00AE141E">
        <w:rPr>
          <w:rFonts w:ascii="Times New Roman" w:hAnsi="Times New Roman" w:cs="Times New Roman"/>
          <w:sz w:val="24"/>
          <w:szCs w:val="24"/>
        </w:rPr>
        <w:t xml:space="preserve"> (Glasgow: Holmes McDougall, 1980).</w:t>
      </w:r>
    </w:p>
    <w:p w14:paraId="67DCAA89" w14:textId="77777777" w:rsidR="004C09DC" w:rsidRPr="00AE141E" w:rsidRDefault="004C09DC" w:rsidP="00AE141E">
      <w:pPr>
        <w:pStyle w:val="FootnoteText"/>
        <w:spacing w:line="360" w:lineRule="auto"/>
        <w:rPr>
          <w:rFonts w:ascii="Times New Roman" w:hAnsi="Times New Roman" w:cs="Times New Roman"/>
          <w:sz w:val="24"/>
          <w:szCs w:val="24"/>
        </w:rPr>
      </w:pPr>
    </w:p>
    <w:p w14:paraId="17873A8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Stone,</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 xml:space="preserve">M., </w:t>
      </w:r>
      <w:r w:rsidRPr="00AE141E">
        <w:rPr>
          <w:rFonts w:ascii="Times New Roman" w:hAnsi="Times New Roman" w:cs="Times New Roman"/>
          <w:i/>
          <w:sz w:val="24"/>
          <w:szCs w:val="24"/>
        </w:rPr>
        <w:t>The Education of the Black Child in Britain: The Myth of Multiracial Education</w:t>
      </w:r>
      <w:r w:rsidRPr="00AE141E">
        <w:rPr>
          <w:rFonts w:ascii="Times New Roman" w:hAnsi="Times New Roman" w:cs="Times New Roman"/>
          <w:sz w:val="24"/>
          <w:szCs w:val="24"/>
        </w:rPr>
        <w:t>, (London: Fontana, 1981).</w:t>
      </w:r>
    </w:p>
    <w:p w14:paraId="39DD81C5" w14:textId="77777777" w:rsidR="004C09DC" w:rsidRPr="00AE141E" w:rsidRDefault="004C09DC" w:rsidP="00AE141E">
      <w:pPr>
        <w:pStyle w:val="FootnoteText"/>
        <w:spacing w:line="360" w:lineRule="auto"/>
        <w:rPr>
          <w:rFonts w:ascii="Times New Roman" w:hAnsi="Times New Roman" w:cs="Times New Roman"/>
          <w:sz w:val="24"/>
          <w:szCs w:val="24"/>
        </w:rPr>
      </w:pPr>
    </w:p>
    <w:p w14:paraId="01C840E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Straker-Welds, M. (ed.), </w:t>
      </w:r>
      <w:r w:rsidRPr="00AE141E">
        <w:rPr>
          <w:rFonts w:ascii="Times New Roman" w:hAnsi="Times New Roman" w:cs="Times New Roman"/>
          <w:i/>
          <w:sz w:val="24"/>
          <w:szCs w:val="24"/>
        </w:rPr>
        <w:t>Education for a Multicultural Society: Case Studies in ILEA Schools</w:t>
      </w:r>
      <w:r w:rsidRPr="00AE141E">
        <w:rPr>
          <w:rFonts w:ascii="Times New Roman" w:hAnsi="Times New Roman" w:cs="Times New Roman"/>
          <w:sz w:val="24"/>
          <w:szCs w:val="24"/>
        </w:rPr>
        <w:t xml:space="preserve"> (London: Bell &amp; Hyman, 1984).</w:t>
      </w:r>
    </w:p>
    <w:p w14:paraId="7A6EABB1" w14:textId="77777777" w:rsidR="004C09DC" w:rsidRPr="00AE141E" w:rsidRDefault="004C09DC" w:rsidP="00AE141E">
      <w:pPr>
        <w:pStyle w:val="FootnoteText"/>
        <w:spacing w:line="360" w:lineRule="auto"/>
        <w:rPr>
          <w:rFonts w:ascii="Times New Roman" w:hAnsi="Times New Roman" w:cs="Times New Roman"/>
          <w:sz w:val="24"/>
          <w:szCs w:val="24"/>
        </w:rPr>
      </w:pPr>
    </w:p>
    <w:p w14:paraId="02BD93F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Tames, R., </w:t>
      </w:r>
      <w:r w:rsidRPr="00AE141E">
        <w:rPr>
          <w:rFonts w:ascii="Times New Roman" w:hAnsi="Times New Roman" w:cs="Times New Roman"/>
          <w:i/>
          <w:sz w:val="24"/>
          <w:szCs w:val="24"/>
        </w:rPr>
        <w:t>Cecil Rhodes</w:t>
      </w:r>
      <w:r w:rsidRPr="00AE141E">
        <w:rPr>
          <w:rFonts w:ascii="Times New Roman" w:hAnsi="Times New Roman" w:cs="Times New Roman"/>
          <w:sz w:val="24"/>
          <w:szCs w:val="24"/>
        </w:rPr>
        <w:t xml:space="preserve"> (Princes Risborough: Lifelines, Shire Publications Ltd., 1973).</w:t>
      </w:r>
    </w:p>
    <w:p w14:paraId="3DE28CCD" w14:textId="77777777" w:rsidR="004C09DC" w:rsidRPr="00AE141E" w:rsidRDefault="004C09DC" w:rsidP="00AE141E">
      <w:pPr>
        <w:pStyle w:val="FootnoteText"/>
        <w:spacing w:line="360" w:lineRule="auto"/>
        <w:rPr>
          <w:rFonts w:ascii="Times New Roman" w:hAnsi="Times New Roman" w:cs="Times New Roman"/>
          <w:sz w:val="24"/>
          <w:szCs w:val="24"/>
        </w:rPr>
      </w:pPr>
    </w:p>
    <w:p w14:paraId="37406A0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Tames, R., </w:t>
      </w:r>
      <w:r w:rsidRPr="00AE141E">
        <w:rPr>
          <w:rFonts w:ascii="Times New Roman" w:hAnsi="Times New Roman" w:cs="Times New Roman"/>
          <w:i/>
          <w:sz w:val="24"/>
          <w:szCs w:val="24"/>
        </w:rPr>
        <w:t>Mungo Park</w:t>
      </w:r>
      <w:r w:rsidRPr="00AE141E">
        <w:rPr>
          <w:rFonts w:ascii="Times New Roman" w:hAnsi="Times New Roman" w:cs="Times New Roman"/>
          <w:sz w:val="24"/>
          <w:szCs w:val="24"/>
        </w:rPr>
        <w:t xml:space="preserve"> (Princes Risborough: Lifelines, Shire Publications Ltd., 1973).</w:t>
      </w:r>
    </w:p>
    <w:p w14:paraId="3D31031C" w14:textId="77777777" w:rsidR="004C09DC" w:rsidRPr="00AE141E" w:rsidRDefault="004C09DC" w:rsidP="00AE141E">
      <w:pPr>
        <w:pStyle w:val="FootnoteText"/>
        <w:spacing w:line="360" w:lineRule="auto"/>
        <w:rPr>
          <w:rFonts w:ascii="Times New Roman" w:hAnsi="Times New Roman" w:cs="Times New Roman"/>
          <w:sz w:val="24"/>
          <w:szCs w:val="24"/>
        </w:rPr>
      </w:pPr>
    </w:p>
    <w:p w14:paraId="1C511E3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Thomas, H., </w:t>
      </w:r>
      <w:r w:rsidRPr="00AE141E">
        <w:rPr>
          <w:rFonts w:ascii="Times New Roman" w:hAnsi="Times New Roman" w:cs="Times New Roman"/>
          <w:i/>
          <w:sz w:val="24"/>
          <w:szCs w:val="24"/>
        </w:rPr>
        <w:t xml:space="preserve">History, Capitalism and Freedom </w:t>
      </w:r>
      <w:r w:rsidRPr="00AE141E">
        <w:rPr>
          <w:rFonts w:ascii="Times New Roman" w:hAnsi="Times New Roman" w:cs="Times New Roman"/>
          <w:sz w:val="24"/>
          <w:szCs w:val="24"/>
        </w:rPr>
        <w:t>(London: Centre for Policy Studies, 1979).</w:t>
      </w:r>
    </w:p>
    <w:p w14:paraId="6F010409" w14:textId="77777777" w:rsidR="004C09DC" w:rsidRPr="00AE141E" w:rsidRDefault="004C09DC" w:rsidP="00AE141E">
      <w:pPr>
        <w:pStyle w:val="FootnoteText"/>
        <w:spacing w:line="360" w:lineRule="auto"/>
        <w:rPr>
          <w:rFonts w:ascii="Times New Roman" w:hAnsi="Times New Roman" w:cs="Times New Roman"/>
          <w:sz w:val="24"/>
          <w:szCs w:val="24"/>
        </w:rPr>
      </w:pPr>
    </w:p>
    <w:p w14:paraId="1504C83B"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Trevor-Roper, H., ‘The Past and Present: History and Sociology’, </w:t>
      </w:r>
      <w:r w:rsidRPr="00AE141E">
        <w:rPr>
          <w:rFonts w:ascii="Times New Roman" w:hAnsi="Times New Roman" w:cs="Times New Roman"/>
          <w:i/>
          <w:sz w:val="24"/>
          <w:szCs w:val="24"/>
        </w:rPr>
        <w:t>Past and Present</w:t>
      </w:r>
      <w:r w:rsidRPr="00AE141E">
        <w:rPr>
          <w:rFonts w:ascii="Times New Roman" w:hAnsi="Times New Roman" w:cs="Times New Roman"/>
          <w:sz w:val="24"/>
          <w:szCs w:val="24"/>
        </w:rPr>
        <w:t xml:space="preserve"> 42 (1969), 3-17.</w:t>
      </w:r>
    </w:p>
    <w:p w14:paraId="738235C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Trevor-Roper, H., </w:t>
      </w:r>
      <w:r w:rsidRPr="00AE141E">
        <w:rPr>
          <w:rFonts w:ascii="Times New Roman" w:hAnsi="Times New Roman" w:cs="Times New Roman"/>
          <w:i/>
          <w:sz w:val="24"/>
          <w:szCs w:val="24"/>
        </w:rPr>
        <w:t xml:space="preserve">The Rise of Christian Europe </w:t>
      </w:r>
      <w:r w:rsidRPr="00AE141E">
        <w:rPr>
          <w:rFonts w:ascii="Times New Roman" w:hAnsi="Times New Roman" w:cs="Times New Roman"/>
          <w:sz w:val="24"/>
          <w:szCs w:val="24"/>
        </w:rPr>
        <w:t>(London: Thames and Hudson, 1965).</w:t>
      </w:r>
    </w:p>
    <w:p w14:paraId="65552166" w14:textId="77777777" w:rsidR="004C09DC" w:rsidRPr="00AE141E" w:rsidRDefault="004C09DC" w:rsidP="00AE141E">
      <w:pPr>
        <w:pStyle w:val="FootnoteText"/>
        <w:spacing w:line="360" w:lineRule="auto"/>
        <w:rPr>
          <w:rFonts w:ascii="Times New Roman" w:hAnsi="Times New Roman" w:cs="Times New Roman"/>
          <w:sz w:val="24"/>
          <w:szCs w:val="24"/>
        </w:rPr>
      </w:pPr>
    </w:p>
    <w:p w14:paraId="0DEF42A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Troyna, B., ‘Beyond Multiculturalism: Towards the Enactment of Anti-Racist Education in Policy, Provision and Pedagogy’</w:t>
      </w:r>
      <w:r w:rsidRPr="00AE141E">
        <w:rPr>
          <w:rFonts w:ascii="Times New Roman" w:hAnsi="Times New Roman" w:cs="Times New Roman"/>
          <w:i/>
          <w:sz w:val="24"/>
          <w:szCs w:val="24"/>
        </w:rPr>
        <w:t>, Oxford Review of Education</w:t>
      </w:r>
      <w:r w:rsidRPr="00AE141E">
        <w:rPr>
          <w:rFonts w:ascii="Times New Roman" w:hAnsi="Times New Roman" w:cs="Times New Roman"/>
          <w:sz w:val="24"/>
          <w:szCs w:val="24"/>
        </w:rPr>
        <w:t xml:space="preserve"> 13.3 (1987), 307-320.</w:t>
      </w:r>
    </w:p>
    <w:p w14:paraId="2EDD29DB" w14:textId="77777777" w:rsidR="004C09DC" w:rsidRPr="00AE141E" w:rsidRDefault="004C09DC" w:rsidP="00AE141E">
      <w:pPr>
        <w:pStyle w:val="FootnoteText"/>
        <w:spacing w:line="360" w:lineRule="auto"/>
        <w:rPr>
          <w:rFonts w:ascii="Times New Roman" w:hAnsi="Times New Roman" w:cs="Times New Roman"/>
          <w:sz w:val="24"/>
          <w:szCs w:val="24"/>
        </w:rPr>
      </w:pPr>
    </w:p>
    <w:p w14:paraId="759B95F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Twells, A., Unwin, R., and Smith, C., </w:t>
      </w:r>
      <w:r w:rsidRPr="00AE141E">
        <w:rPr>
          <w:rFonts w:ascii="Times New Roman" w:hAnsi="Times New Roman" w:cs="Times New Roman"/>
          <w:i/>
          <w:sz w:val="24"/>
          <w:szCs w:val="24"/>
        </w:rPr>
        <w:t>Colonialism, Slavery and the Industrial Revolution 1700-1860, A Case Study: The Empire in South Yorkshire</w:t>
      </w:r>
      <w:r w:rsidRPr="00AE141E">
        <w:rPr>
          <w:rFonts w:ascii="Times New Roman" w:hAnsi="Times New Roman" w:cs="Times New Roman"/>
          <w:sz w:val="24"/>
          <w:szCs w:val="24"/>
        </w:rPr>
        <w:t xml:space="preserve"> (Sheffield: Development Education Centre [South Yorkshire], 1992).</w:t>
      </w:r>
    </w:p>
    <w:p w14:paraId="6CD42127" w14:textId="77777777" w:rsidR="004C09DC" w:rsidRPr="00AE141E" w:rsidRDefault="004C09DC" w:rsidP="00AE141E">
      <w:pPr>
        <w:pStyle w:val="FootnoteText"/>
        <w:spacing w:line="360" w:lineRule="auto"/>
        <w:rPr>
          <w:rFonts w:ascii="Times New Roman" w:hAnsi="Times New Roman" w:cs="Times New Roman"/>
          <w:sz w:val="24"/>
          <w:szCs w:val="24"/>
        </w:rPr>
      </w:pPr>
    </w:p>
    <w:p w14:paraId="2108D6D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Twitchin, J., and Demuth, C., </w:t>
      </w:r>
      <w:r w:rsidRPr="00AE141E">
        <w:rPr>
          <w:rFonts w:ascii="Times New Roman" w:hAnsi="Times New Roman" w:cs="Times New Roman"/>
          <w:i/>
          <w:sz w:val="24"/>
          <w:szCs w:val="24"/>
        </w:rPr>
        <w:t>Multicultural Education: Extended Edition</w:t>
      </w:r>
      <w:r w:rsidRPr="00AE141E">
        <w:rPr>
          <w:rFonts w:ascii="Times New Roman" w:hAnsi="Times New Roman" w:cs="Times New Roman"/>
          <w:sz w:val="24"/>
          <w:szCs w:val="24"/>
        </w:rPr>
        <w:t xml:space="preserve"> (London: BBC, 1981).</w:t>
      </w:r>
    </w:p>
    <w:p w14:paraId="6B27ECAB" w14:textId="77777777" w:rsidR="004C09DC" w:rsidRDefault="004C09DC" w:rsidP="00AE141E">
      <w:pPr>
        <w:pStyle w:val="FootnoteText"/>
        <w:spacing w:line="360" w:lineRule="auto"/>
        <w:rPr>
          <w:rFonts w:ascii="Times New Roman" w:hAnsi="Times New Roman" w:cs="Times New Roman"/>
          <w:sz w:val="24"/>
          <w:szCs w:val="24"/>
        </w:rPr>
      </w:pPr>
    </w:p>
    <w:p w14:paraId="5D001038" w14:textId="27046857" w:rsidR="0032392A" w:rsidRDefault="0032392A" w:rsidP="00AE141E">
      <w:pPr>
        <w:pStyle w:val="FootnoteText"/>
        <w:spacing w:line="360" w:lineRule="auto"/>
        <w:rPr>
          <w:rFonts w:ascii="Times New Roman" w:hAnsi="Times New Roman" w:cs="Times New Roman"/>
          <w:sz w:val="24"/>
          <w:szCs w:val="24"/>
        </w:rPr>
      </w:pPr>
      <w:r w:rsidRPr="0032392A">
        <w:rPr>
          <w:rFonts w:ascii="Times New Roman" w:hAnsi="Times New Roman" w:cs="Times New Roman"/>
          <w:sz w:val="24"/>
          <w:szCs w:val="24"/>
        </w:rPr>
        <w:lastRenderedPageBreak/>
        <w:t xml:space="preserve">UNESCO, </w:t>
      </w:r>
      <w:r w:rsidRPr="0032392A">
        <w:rPr>
          <w:rFonts w:ascii="Times New Roman" w:hAnsi="Times New Roman" w:cs="Times New Roman"/>
          <w:i/>
          <w:iCs/>
          <w:sz w:val="24"/>
          <w:szCs w:val="24"/>
        </w:rPr>
        <w:t>UNESCO and its Programme VI: Better History Textbooks</w:t>
      </w:r>
      <w:r w:rsidRPr="0032392A">
        <w:rPr>
          <w:rFonts w:ascii="Times New Roman" w:hAnsi="Times New Roman" w:cs="Times New Roman"/>
          <w:sz w:val="24"/>
          <w:szCs w:val="24"/>
        </w:rPr>
        <w:t xml:space="preserve"> (Paris: UNESCO, 1951)</w:t>
      </w:r>
      <w:r>
        <w:rPr>
          <w:rFonts w:ascii="Times New Roman" w:hAnsi="Times New Roman" w:cs="Times New Roman"/>
          <w:sz w:val="24"/>
          <w:szCs w:val="24"/>
        </w:rPr>
        <w:t>.</w:t>
      </w:r>
    </w:p>
    <w:p w14:paraId="45FC4B84" w14:textId="77777777" w:rsidR="0032392A" w:rsidRPr="00AE141E" w:rsidRDefault="0032392A" w:rsidP="00AE141E">
      <w:pPr>
        <w:pStyle w:val="FootnoteText"/>
        <w:spacing w:line="360" w:lineRule="auto"/>
        <w:rPr>
          <w:rFonts w:ascii="Times New Roman" w:hAnsi="Times New Roman" w:cs="Times New Roman"/>
          <w:sz w:val="24"/>
          <w:szCs w:val="24"/>
        </w:rPr>
      </w:pPr>
    </w:p>
    <w:p w14:paraId="75AF5D2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White, L., </w:t>
      </w:r>
      <w:r w:rsidRPr="00AE141E">
        <w:rPr>
          <w:rFonts w:ascii="Times New Roman" w:hAnsi="Times New Roman" w:cs="Times New Roman"/>
          <w:i/>
          <w:sz w:val="24"/>
          <w:szCs w:val="24"/>
        </w:rPr>
        <w:t>Impact: World Development in British Education</w:t>
      </w:r>
      <w:r w:rsidRPr="00AE141E">
        <w:rPr>
          <w:rFonts w:ascii="Times New Roman" w:hAnsi="Times New Roman" w:cs="Times New Roman"/>
          <w:sz w:val="24"/>
          <w:szCs w:val="24"/>
        </w:rPr>
        <w:t xml:space="preserve"> (London: Voluntary Committee on Overseas Aid and Development Education Unit, 1971).</w:t>
      </w:r>
    </w:p>
    <w:p w14:paraId="63954C8D" w14:textId="77777777" w:rsidR="004C09DC" w:rsidRPr="00AE141E" w:rsidRDefault="004C09DC" w:rsidP="00AE141E">
      <w:pPr>
        <w:pStyle w:val="FootnoteText"/>
        <w:spacing w:line="360" w:lineRule="auto"/>
        <w:rPr>
          <w:rFonts w:ascii="Times New Roman" w:hAnsi="Times New Roman" w:cs="Times New Roman"/>
          <w:sz w:val="24"/>
          <w:szCs w:val="24"/>
        </w:rPr>
      </w:pPr>
    </w:p>
    <w:p w14:paraId="71A69DA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b/>
          <w:bCs/>
          <w:sz w:val="24"/>
          <w:szCs w:val="24"/>
        </w:rPr>
        <w:t>Newspapers, Magazines, and Periodicals</w:t>
      </w:r>
    </w:p>
    <w:p w14:paraId="1FFB071B" w14:textId="77777777" w:rsidR="004C09DC" w:rsidRPr="00AE141E" w:rsidRDefault="004C09DC" w:rsidP="00AE141E">
      <w:pPr>
        <w:pStyle w:val="FootnoteText"/>
        <w:spacing w:line="360" w:lineRule="auto"/>
        <w:rPr>
          <w:rFonts w:ascii="Times New Roman" w:hAnsi="Times New Roman" w:cs="Times New Roman"/>
          <w:sz w:val="24"/>
          <w:szCs w:val="24"/>
        </w:rPr>
      </w:pPr>
    </w:p>
    <w:p w14:paraId="7C4C5EF6"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Ambit</w:t>
      </w:r>
    </w:p>
    <w:p w14:paraId="18E40080"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 xml:space="preserve">Briefing: An Independent Review of Social and Political Trends </w:t>
      </w:r>
    </w:p>
    <w:p w14:paraId="7DF3EF29"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 xml:space="preserve">Clio: The Newsletter of the History and Social Sciences Teachers’ Centre </w:t>
      </w:r>
    </w:p>
    <w:p w14:paraId="122AEEBC"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Multicultural Teaching</w:t>
      </w:r>
    </w:p>
    <w:p w14:paraId="14155913"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Perspectives</w:t>
      </w:r>
    </w:p>
    <w:p w14:paraId="1206D8EA"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Teacher’s World</w:t>
      </w:r>
    </w:p>
    <w:p w14:paraId="2BBC4687"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Teaching History</w:t>
      </w:r>
    </w:p>
    <w:p w14:paraId="70EA6163"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Daily Express</w:t>
      </w:r>
    </w:p>
    <w:p w14:paraId="6AA70394"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Daily Mail</w:t>
      </w:r>
    </w:p>
    <w:p w14:paraId="24414545"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Guardian</w:t>
      </w:r>
    </w:p>
    <w:p w14:paraId="770B2F3F"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Historian</w:t>
      </w:r>
    </w:p>
    <w:p w14:paraId="03207329"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History Teacher</w:t>
      </w:r>
    </w:p>
    <w:p w14:paraId="0EEE9555"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Independent</w:t>
      </w:r>
    </w:p>
    <w:p w14:paraId="71E3A283"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Salisbury Review</w:t>
      </w:r>
    </w:p>
    <w:p w14:paraId="44DE7B1E"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Spectator</w:t>
      </w:r>
    </w:p>
    <w:p w14:paraId="26260DBC"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Sunday Express</w:t>
      </w:r>
    </w:p>
    <w:p w14:paraId="1CE9A4FD"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Sunday Telegraph</w:t>
      </w:r>
    </w:p>
    <w:p w14:paraId="4A6B4085"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Times</w:t>
      </w:r>
    </w:p>
    <w:p w14:paraId="0F971A84" w14:textId="77777777" w:rsidR="004C09DC" w:rsidRPr="00AE141E" w:rsidRDefault="004C09DC" w:rsidP="00AE141E">
      <w:pPr>
        <w:pStyle w:val="FootnoteText"/>
        <w:spacing w:line="360" w:lineRule="auto"/>
        <w:rPr>
          <w:rFonts w:ascii="Times New Roman" w:hAnsi="Times New Roman" w:cs="Times New Roman"/>
          <w:sz w:val="24"/>
          <w:szCs w:val="24"/>
        </w:rPr>
      </w:pPr>
    </w:p>
    <w:p w14:paraId="32E0F885" w14:textId="77777777" w:rsidR="004C09DC" w:rsidRPr="00AE141E" w:rsidRDefault="004C09DC" w:rsidP="00AE141E">
      <w:pPr>
        <w:pStyle w:val="FootnoteText"/>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Government Reports, Circulars, and Official Publications</w:t>
      </w:r>
    </w:p>
    <w:p w14:paraId="7BAAD37D" w14:textId="77777777" w:rsidR="004C09DC" w:rsidRPr="00AE141E" w:rsidRDefault="004C09DC" w:rsidP="00AE141E">
      <w:pPr>
        <w:pStyle w:val="FootnoteText"/>
        <w:spacing w:line="360" w:lineRule="auto"/>
        <w:rPr>
          <w:rFonts w:ascii="Times New Roman" w:hAnsi="Times New Roman" w:cs="Times New Roman"/>
          <w:sz w:val="24"/>
          <w:szCs w:val="24"/>
        </w:rPr>
      </w:pPr>
    </w:p>
    <w:p w14:paraId="6380660F" w14:textId="6453954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Central Advisory Council for Education (England), </w:t>
      </w:r>
      <w:r w:rsidRPr="00AE141E">
        <w:rPr>
          <w:rFonts w:ascii="Times New Roman" w:hAnsi="Times New Roman" w:cs="Times New Roman"/>
          <w:i/>
          <w:sz w:val="24"/>
          <w:szCs w:val="24"/>
        </w:rPr>
        <w:t xml:space="preserve">Half Our Future </w:t>
      </w:r>
      <w:r w:rsidRPr="00AE141E">
        <w:rPr>
          <w:rFonts w:ascii="Times New Roman" w:hAnsi="Times New Roman" w:cs="Times New Roman"/>
          <w:sz w:val="24"/>
          <w:szCs w:val="24"/>
        </w:rPr>
        <w:t>(the ‘Newsom Report’), (London: Her Majesty’s Station</w:t>
      </w:r>
      <w:r w:rsidR="00A321AF">
        <w:rPr>
          <w:rFonts w:ascii="Times New Roman" w:hAnsi="Times New Roman" w:cs="Times New Roman"/>
          <w:sz w:val="24"/>
          <w:szCs w:val="24"/>
        </w:rPr>
        <w:t>e</w:t>
      </w:r>
      <w:r w:rsidRPr="00AE141E">
        <w:rPr>
          <w:rFonts w:ascii="Times New Roman" w:hAnsi="Times New Roman" w:cs="Times New Roman"/>
          <w:sz w:val="24"/>
          <w:szCs w:val="24"/>
        </w:rPr>
        <w:t>ry Office [HMSO], 1963).</w:t>
      </w:r>
    </w:p>
    <w:p w14:paraId="4FD82CD5" w14:textId="77777777" w:rsidR="004C09DC" w:rsidRPr="00AE141E" w:rsidRDefault="004C09DC" w:rsidP="00AE141E">
      <w:pPr>
        <w:pStyle w:val="FootnoteText"/>
        <w:spacing w:line="360" w:lineRule="auto"/>
        <w:rPr>
          <w:rFonts w:ascii="Times New Roman" w:hAnsi="Times New Roman" w:cs="Times New Roman"/>
          <w:sz w:val="24"/>
          <w:szCs w:val="24"/>
        </w:rPr>
      </w:pPr>
    </w:p>
    <w:p w14:paraId="333CC9F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Department of Education and Science (DES) and the Welsh Office</w:t>
      </w:r>
      <w:r w:rsidRPr="00AE141E">
        <w:rPr>
          <w:rFonts w:ascii="Times New Roman" w:hAnsi="Times New Roman" w:cs="Times New Roman"/>
          <w:i/>
          <w:sz w:val="24"/>
          <w:szCs w:val="24"/>
        </w:rPr>
        <w:t xml:space="preserve">, National Curriculum History Working Group: Final Report </w:t>
      </w:r>
      <w:r w:rsidRPr="00AE141E">
        <w:rPr>
          <w:rFonts w:ascii="Times New Roman" w:hAnsi="Times New Roman" w:cs="Times New Roman"/>
          <w:sz w:val="24"/>
          <w:szCs w:val="24"/>
        </w:rPr>
        <w:t>(London: HMSO, 1990).</w:t>
      </w:r>
    </w:p>
    <w:p w14:paraId="3E1DA3E3" w14:textId="77777777" w:rsidR="004C09DC" w:rsidRPr="00AE141E" w:rsidRDefault="004C09DC" w:rsidP="00AE141E">
      <w:pPr>
        <w:pStyle w:val="FootnoteText"/>
        <w:spacing w:line="360" w:lineRule="auto"/>
        <w:rPr>
          <w:rFonts w:ascii="Times New Roman" w:hAnsi="Times New Roman" w:cs="Times New Roman"/>
          <w:sz w:val="24"/>
          <w:szCs w:val="24"/>
        </w:rPr>
      </w:pPr>
    </w:p>
    <w:p w14:paraId="1224FF0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DES and the Welsh Office</w:t>
      </w:r>
      <w:r w:rsidRPr="00AE141E">
        <w:rPr>
          <w:rFonts w:ascii="Times New Roman" w:hAnsi="Times New Roman" w:cs="Times New Roman"/>
          <w:i/>
          <w:sz w:val="24"/>
          <w:szCs w:val="24"/>
        </w:rPr>
        <w:t>, National Curriculum History Working Group: Interim Report</w:t>
      </w:r>
      <w:r w:rsidRPr="00AE141E">
        <w:rPr>
          <w:rFonts w:ascii="Times New Roman" w:hAnsi="Times New Roman" w:cs="Times New Roman"/>
          <w:sz w:val="24"/>
          <w:szCs w:val="24"/>
        </w:rPr>
        <w:t xml:space="preserve"> (London: DES and the Welsh Office, 1989).</w:t>
      </w:r>
    </w:p>
    <w:p w14:paraId="3059696B" w14:textId="77777777" w:rsidR="004C09DC" w:rsidRPr="00AE141E" w:rsidRDefault="004C09DC" w:rsidP="00AE141E">
      <w:pPr>
        <w:pStyle w:val="FootnoteText"/>
        <w:spacing w:line="360" w:lineRule="auto"/>
        <w:rPr>
          <w:rFonts w:ascii="Times New Roman" w:hAnsi="Times New Roman" w:cs="Times New Roman"/>
          <w:sz w:val="24"/>
          <w:szCs w:val="24"/>
        </w:rPr>
      </w:pPr>
    </w:p>
    <w:p w14:paraId="712E039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Aspects of Primary Education: The Teaching and Learning of History and Geography</w:t>
      </w:r>
      <w:r w:rsidRPr="00AE141E">
        <w:rPr>
          <w:rFonts w:ascii="Times New Roman" w:hAnsi="Times New Roman" w:cs="Times New Roman"/>
          <w:sz w:val="24"/>
          <w:szCs w:val="24"/>
        </w:rPr>
        <w:t xml:space="preserve">, (HMSO, 1989). </w:t>
      </w:r>
    </w:p>
    <w:p w14:paraId="0D4C89E8" w14:textId="77777777" w:rsidR="004C09DC" w:rsidRPr="00AE141E" w:rsidRDefault="004C09DC" w:rsidP="00AE141E">
      <w:pPr>
        <w:pStyle w:val="FootnoteText"/>
        <w:spacing w:line="360" w:lineRule="auto"/>
        <w:rPr>
          <w:rFonts w:ascii="Times New Roman" w:hAnsi="Times New Roman" w:cs="Times New Roman"/>
          <w:sz w:val="24"/>
          <w:szCs w:val="24"/>
        </w:rPr>
      </w:pPr>
    </w:p>
    <w:p w14:paraId="4C5338D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Children and their Primary Schools</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A Report of the Central Advisory Council for Education (England)</w:t>
      </w:r>
      <w:r w:rsidRPr="00AE141E">
        <w:rPr>
          <w:rFonts w:ascii="Times New Roman" w:hAnsi="Times New Roman" w:cs="Times New Roman"/>
          <w:sz w:val="24"/>
          <w:szCs w:val="24"/>
        </w:rPr>
        <w:t xml:space="preserve"> (the ‘Plowden Report’), (London: HMSO, 1967).</w:t>
      </w:r>
    </w:p>
    <w:p w14:paraId="2FB936E0" w14:textId="77777777" w:rsidR="004C09DC" w:rsidRPr="00AE141E" w:rsidRDefault="004C09DC" w:rsidP="00AE141E">
      <w:pPr>
        <w:pStyle w:val="FootnoteText"/>
        <w:spacing w:line="360" w:lineRule="auto"/>
        <w:rPr>
          <w:rFonts w:ascii="Times New Roman" w:hAnsi="Times New Roman" w:cs="Times New Roman"/>
          <w:sz w:val="24"/>
          <w:szCs w:val="24"/>
        </w:rPr>
      </w:pPr>
    </w:p>
    <w:p w14:paraId="6F7AF8E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Circular 7/65</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 xml:space="preserve">The Education of Immigrants </w:t>
      </w:r>
      <w:r w:rsidRPr="00AE141E">
        <w:rPr>
          <w:rFonts w:ascii="Times New Roman" w:hAnsi="Times New Roman" w:cs="Times New Roman"/>
          <w:sz w:val="24"/>
          <w:szCs w:val="24"/>
        </w:rPr>
        <w:t>(London: HMSO</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1965).</w:t>
      </w:r>
    </w:p>
    <w:p w14:paraId="5BAAB0D8" w14:textId="77777777" w:rsidR="004C09DC" w:rsidRPr="00AE141E" w:rsidRDefault="004C09DC" w:rsidP="00AE141E">
      <w:pPr>
        <w:pStyle w:val="FootnoteText"/>
        <w:spacing w:line="360" w:lineRule="auto"/>
        <w:rPr>
          <w:rFonts w:ascii="Times New Roman" w:hAnsi="Times New Roman" w:cs="Times New Roman"/>
          <w:sz w:val="24"/>
          <w:szCs w:val="24"/>
        </w:rPr>
      </w:pPr>
    </w:p>
    <w:p w14:paraId="3E4F37E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Circular 10/65: The Organisation of Secondary Education</w:t>
      </w:r>
      <w:r w:rsidRPr="00AE141E">
        <w:rPr>
          <w:rFonts w:ascii="Times New Roman" w:hAnsi="Times New Roman" w:cs="Times New Roman"/>
          <w:sz w:val="24"/>
          <w:szCs w:val="24"/>
        </w:rPr>
        <w:t xml:space="preserve"> (London: HMSO, 1965).</w:t>
      </w:r>
    </w:p>
    <w:p w14:paraId="0020157A" w14:textId="77777777" w:rsidR="004C09DC" w:rsidRPr="00AE141E" w:rsidRDefault="004C09DC" w:rsidP="00AE141E">
      <w:pPr>
        <w:pStyle w:val="FootnoteText"/>
        <w:spacing w:line="360" w:lineRule="auto"/>
        <w:rPr>
          <w:rFonts w:ascii="Times New Roman" w:hAnsi="Times New Roman" w:cs="Times New Roman"/>
          <w:sz w:val="24"/>
          <w:szCs w:val="24"/>
        </w:rPr>
      </w:pPr>
    </w:p>
    <w:p w14:paraId="69E48F2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The Commonwealth in Education: Department of Education and Science</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 xml:space="preserve">Pamphlet No.51 </w:t>
      </w:r>
      <w:r w:rsidRPr="00AE141E">
        <w:rPr>
          <w:rFonts w:ascii="Times New Roman" w:hAnsi="Times New Roman" w:cs="Times New Roman"/>
          <w:sz w:val="24"/>
          <w:szCs w:val="24"/>
        </w:rPr>
        <w:t>(London: HMSO, 1966).</w:t>
      </w:r>
    </w:p>
    <w:p w14:paraId="0054E753" w14:textId="77777777" w:rsidR="004C09DC" w:rsidRPr="00AE141E" w:rsidRDefault="004C09DC" w:rsidP="00AE141E">
      <w:pPr>
        <w:pStyle w:val="FootnoteText"/>
        <w:spacing w:line="360" w:lineRule="auto"/>
        <w:rPr>
          <w:rFonts w:ascii="Times New Roman" w:hAnsi="Times New Roman" w:cs="Times New Roman"/>
          <w:sz w:val="24"/>
          <w:szCs w:val="24"/>
        </w:rPr>
      </w:pPr>
    </w:p>
    <w:p w14:paraId="543B0B5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Education for All: Report of the Committee of Enquiry into the Education of Children from Ethnic Minority Groups</w:t>
      </w:r>
      <w:r w:rsidRPr="00AE141E">
        <w:rPr>
          <w:rFonts w:ascii="Times New Roman" w:hAnsi="Times New Roman" w:cs="Times New Roman"/>
          <w:sz w:val="24"/>
          <w:szCs w:val="24"/>
        </w:rPr>
        <w:t xml:space="preserve"> (the ‘Swann Report’) (London: HMSO, 1985).</w:t>
      </w:r>
    </w:p>
    <w:p w14:paraId="782E8DD9" w14:textId="77777777" w:rsidR="004C09DC" w:rsidRPr="00AE141E" w:rsidRDefault="004C09DC" w:rsidP="00AE141E">
      <w:pPr>
        <w:pStyle w:val="FootnoteText"/>
        <w:spacing w:line="360" w:lineRule="auto"/>
        <w:rPr>
          <w:rFonts w:ascii="Times New Roman" w:hAnsi="Times New Roman" w:cs="Times New Roman"/>
          <w:sz w:val="24"/>
          <w:szCs w:val="24"/>
        </w:rPr>
      </w:pPr>
    </w:p>
    <w:p w14:paraId="2D04C17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 xml:space="preserve">Education in Schools: A Consultative Document </w:t>
      </w:r>
      <w:r w:rsidRPr="00AE141E">
        <w:rPr>
          <w:rFonts w:ascii="Times New Roman" w:hAnsi="Times New Roman" w:cs="Times New Roman"/>
          <w:sz w:val="24"/>
          <w:szCs w:val="24"/>
        </w:rPr>
        <w:t>(London: HMSO, 1977).</w:t>
      </w:r>
    </w:p>
    <w:p w14:paraId="2A7F6B12" w14:textId="77777777" w:rsidR="004C09DC" w:rsidRPr="00AE141E" w:rsidRDefault="004C09DC" w:rsidP="00AE141E">
      <w:pPr>
        <w:pStyle w:val="FootnoteText"/>
        <w:spacing w:line="360" w:lineRule="auto"/>
        <w:rPr>
          <w:rFonts w:ascii="Times New Roman" w:hAnsi="Times New Roman" w:cs="Times New Roman"/>
          <w:sz w:val="24"/>
          <w:szCs w:val="24"/>
        </w:rPr>
      </w:pPr>
    </w:p>
    <w:p w14:paraId="753B4DC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History in the National Curriculum (England)</w:t>
      </w:r>
      <w:r w:rsidRPr="00AE141E">
        <w:rPr>
          <w:rFonts w:ascii="Times New Roman" w:hAnsi="Times New Roman" w:cs="Times New Roman"/>
          <w:sz w:val="24"/>
          <w:szCs w:val="24"/>
        </w:rPr>
        <w:t>, (London: DES, HMSO, 1991).</w:t>
      </w:r>
    </w:p>
    <w:p w14:paraId="7F23CCFE" w14:textId="77777777" w:rsidR="004C09DC" w:rsidRPr="00AE141E" w:rsidRDefault="004C09DC" w:rsidP="00AE141E">
      <w:pPr>
        <w:pStyle w:val="FootnoteText"/>
        <w:spacing w:line="360" w:lineRule="auto"/>
        <w:rPr>
          <w:rFonts w:ascii="Times New Roman" w:hAnsi="Times New Roman" w:cs="Times New Roman"/>
          <w:sz w:val="24"/>
          <w:szCs w:val="24"/>
        </w:rPr>
      </w:pPr>
    </w:p>
    <w:p w14:paraId="1B7C164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 xml:space="preserve">Towards World History: Education Pamphlet Number 52 </w:t>
      </w:r>
      <w:r w:rsidRPr="00AE141E">
        <w:rPr>
          <w:rFonts w:ascii="Times New Roman" w:hAnsi="Times New Roman" w:cs="Times New Roman"/>
          <w:sz w:val="24"/>
          <w:szCs w:val="24"/>
        </w:rPr>
        <w:t>(London: HMSO, 1967).</w:t>
      </w:r>
    </w:p>
    <w:p w14:paraId="02703C5A" w14:textId="77777777" w:rsidR="004C09DC" w:rsidRPr="00AE141E" w:rsidRDefault="004C09DC" w:rsidP="00AE141E">
      <w:pPr>
        <w:pStyle w:val="FootnoteText"/>
        <w:spacing w:line="360" w:lineRule="auto"/>
        <w:rPr>
          <w:rFonts w:ascii="Times New Roman" w:hAnsi="Times New Roman" w:cs="Times New Roman"/>
          <w:sz w:val="24"/>
          <w:szCs w:val="24"/>
        </w:rPr>
      </w:pPr>
    </w:p>
    <w:p w14:paraId="26C7FAE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DES, </w:t>
      </w:r>
      <w:r w:rsidRPr="00AE141E">
        <w:rPr>
          <w:rFonts w:ascii="Times New Roman" w:hAnsi="Times New Roman" w:cs="Times New Roman"/>
          <w:i/>
          <w:sz w:val="24"/>
          <w:szCs w:val="24"/>
        </w:rPr>
        <w:t>West Indian Children in our Schools: Interim report of the Committee of Inquiry into the Education of Children from Ethnic Minority Groups</w:t>
      </w:r>
      <w:r w:rsidRPr="00AE141E">
        <w:rPr>
          <w:rFonts w:ascii="Times New Roman" w:hAnsi="Times New Roman" w:cs="Times New Roman"/>
          <w:sz w:val="24"/>
          <w:szCs w:val="24"/>
        </w:rPr>
        <w:t xml:space="preserve"> (the ‘Rampton Report’) (London: HMSO, 1981).</w:t>
      </w:r>
    </w:p>
    <w:p w14:paraId="60F117DB" w14:textId="77777777" w:rsidR="004C09DC" w:rsidRPr="00AE141E" w:rsidRDefault="004C09DC" w:rsidP="00AE141E">
      <w:pPr>
        <w:pStyle w:val="FootnoteText"/>
        <w:spacing w:line="360" w:lineRule="auto"/>
        <w:rPr>
          <w:rFonts w:ascii="Times New Roman" w:hAnsi="Times New Roman" w:cs="Times New Roman"/>
          <w:sz w:val="24"/>
          <w:szCs w:val="24"/>
        </w:rPr>
      </w:pPr>
    </w:p>
    <w:p w14:paraId="1C2D164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Home Office, </w:t>
      </w:r>
      <w:r w:rsidRPr="00AE141E">
        <w:rPr>
          <w:rFonts w:ascii="Times New Roman" w:hAnsi="Times New Roman" w:cs="Times New Roman"/>
          <w:i/>
          <w:sz w:val="24"/>
          <w:szCs w:val="24"/>
        </w:rPr>
        <w:t>The Stephen Lawrence Inquiry: Report of an Inquiry by Sir William Macpherson of Cluny</w:t>
      </w:r>
      <w:r w:rsidRPr="00AE141E">
        <w:rPr>
          <w:rFonts w:ascii="Times New Roman" w:hAnsi="Times New Roman" w:cs="Times New Roman"/>
          <w:sz w:val="24"/>
          <w:szCs w:val="24"/>
        </w:rPr>
        <w:t>, Cm 4262-I, February 1999, recommendations 12 and 14.</w:t>
      </w:r>
    </w:p>
    <w:p w14:paraId="08BCAD50" w14:textId="77777777" w:rsidR="004C09DC" w:rsidRPr="00AE141E" w:rsidRDefault="004C09DC" w:rsidP="00AE141E">
      <w:pPr>
        <w:pStyle w:val="FootnoteText"/>
        <w:spacing w:line="360" w:lineRule="auto"/>
        <w:rPr>
          <w:rFonts w:ascii="Times New Roman" w:hAnsi="Times New Roman" w:cs="Times New Roman"/>
          <w:sz w:val="24"/>
          <w:szCs w:val="24"/>
        </w:rPr>
      </w:pPr>
    </w:p>
    <w:p w14:paraId="495191C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Ministry of Education (MoE), </w:t>
      </w:r>
      <w:r w:rsidRPr="00AE141E">
        <w:rPr>
          <w:rFonts w:ascii="Times New Roman" w:hAnsi="Times New Roman" w:cs="Times New Roman"/>
          <w:i/>
          <w:sz w:val="24"/>
          <w:szCs w:val="24"/>
        </w:rPr>
        <w:t>Teaching History</w:t>
      </w:r>
      <w:r w:rsidRPr="00AE141E">
        <w:rPr>
          <w:rFonts w:ascii="Times New Roman" w:hAnsi="Times New Roman" w:cs="Times New Roman"/>
          <w:sz w:val="24"/>
          <w:szCs w:val="24"/>
        </w:rPr>
        <w:t>, Fifth Impression, (London: HMSO, 1962).</w:t>
      </w:r>
    </w:p>
    <w:p w14:paraId="59527694" w14:textId="77777777" w:rsidR="004C09DC" w:rsidRPr="00AE141E" w:rsidRDefault="004C09DC" w:rsidP="00AE141E">
      <w:pPr>
        <w:pStyle w:val="FootnoteText"/>
        <w:spacing w:line="360" w:lineRule="auto"/>
        <w:rPr>
          <w:rFonts w:ascii="Times New Roman" w:hAnsi="Times New Roman" w:cs="Times New Roman"/>
          <w:sz w:val="24"/>
          <w:szCs w:val="24"/>
        </w:rPr>
      </w:pPr>
    </w:p>
    <w:p w14:paraId="4B9BEC3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MoE, </w:t>
      </w:r>
      <w:r w:rsidRPr="00AE141E">
        <w:rPr>
          <w:rFonts w:ascii="Times New Roman" w:hAnsi="Times New Roman" w:cs="Times New Roman"/>
          <w:i/>
          <w:sz w:val="24"/>
          <w:szCs w:val="24"/>
        </w:rPr>
        <w:t xml:space="preserve">Schools and the Commonwealth: Ministry of Education Pamphlet No. 40 </w:t>
      </w:r>
      <w:r w:rsidRPr="00AE141E">
        <w:rPr>
          <w:rFonts w:ascii="Times New Roman" w:hAnsi="Times New Roman" w:cs="Times New Roman"/>
          <w:sz w:val="24"/>
          <w:szCs w:val="24"/>
        </w:rPr>
        <w:t>(London: HMSO, 1961).</w:t>
      </w:r>
    </w:p>
    <w:p w14:paraId="37C1319A" w14:textId="77777777" w:rsidR="004C09DC" w:rsidRPr="00AE141E" w:rsidRDefault="004C09DC" w:rsidP="00AE141E">
      <w:pPr>
        <w:pStyle w:val="FootnoteText"/>
        <w:spacing w:line="360" w:lineRule="auto"/>
        <w:rPr>
          <w:rFonts w:ascii="Times New Roman" w:hAnsi="Times New Roman" w:cs="Times New Roman"/>
          <w:sz w:val="24"/>
          <w:szCs w:val="24"/>
        </w:rPr>
      </w:pPr>
    </w:p>
    <w:p w14:paraId="0998A8F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Morton-Williams, R., and Finch, S., </w:t>
      </w:r>
      <w:r w:rsidRPr="00AE141E">
        <w:rPr>
          <w:rFonts w:ascii="Times New Roman" w:hAnsi="Times New Roman" w:cs="Times New Roman"/>
          <w:i/>
          <w:sz w:val="24"/>
          <w:szCs w:val="24"/>
        </w:rPr>
        <w:t>Young School Leavers: Report of a Survey Among Young People, Parents and Teachers</w:t>
      </w:r>
      <w:r w:rsidRPr="00AE141E">
        <w:rPr>
          <w:rFonts w:ascii="Times New Roman" w:hAnsi="Times New Roman" w:cs="Times New Roman"/>
          <w:sz w:val="24"/>
          <w:szCs w:val="24"/>
        </w:rPr>
        <w:t>, Schools Council Enquiry 1 (London: HMSO, 1968).</w:t>
      </w:r>
    </w:p>
    <w:p w14:paraId="40966179" w14:textId="77777777" w:rsidR="004C09DC" w:rsidRPr="00AE141E" w:rsidRDefault="004C09DC" w:rsidP="00AE141E">
      <w:pPr>
        <w:pStyle w:val="FootnoteText"/>
        <w:spacing w:line="360" w:lineRule="auto"/>
        <w:rPr>
          <w:rFonts w:ascii="Times New Roman" w:hAnsi="Times New Roman" w:cs="Times New Roman"/>
          <w:sz w:val="24"/>
          <w:szCs w:val="24"/>
        </w:rPr>
      </w:pPr>
    </w:p>
    <w:p w14:paraId="642627B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Office for Standards in Education, Children’s Services and Skills (‘Ofsted’), </w:t>
      </w:r>
      <w:r w:rsidRPr="00AE141E">
        <w:rPr>
          <w:rFonts w:ascii="Times New Roman" w:hAnsi="Times New Roman" w:cs="Times New Roman"/>
          <w:i/>
          <w:sz w:val="24"/>
          <w:szCs w:val="24"/>
        </w:rPr>
        <w:t xml:space="preserve">History for All: History in English schools 2007/10, </w:t>
      </w:r>
      <w:r w:rsidRPr="00AE141E">
        <w:rPr>
          <w:rFonts w:ascii="Times New Roman" w:hAnsi="Times New Roman" w:cs="Times New Roman"/>
          <w:sz w:val="24"/>
          <w:szCs w:val="24"/>
        </w:rPr>
        <w:t>Reference No. 090223 (Manchester: Ofsted, 2011).</w:t>
      </w:r>
    </w:p>
    <w:p w14:paraId="26CE5945" w14:textId="77777777" w:rsidR="004C09DC" w:rsidRPr="00AE141E" w:rsidRDefault="004C09DC" w:rsidP="00AE141E">
      <w:pPr>
        <w:pStyle w:val="FootnoteText"/>
        <w:spacing w:line="360" w:lineRule="auto"/>
        <w:rPr>
          <w:rFonts w:ascii="Times New Roman" w:hAnsi="Times New Roman" w:cs="Times New Roman"/>
          <w:sz w:val="24"/>
          <w:szCs w:val="24"/>
        </w:rPr>
      </w:pPr>
    </w:p>
    <w:p w14:paraId="554371F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i/>
          <w:sz w:val="24"/>
          <w:szCs w:val="24"/>
        </w:rPr>
        <w:t>The Scarman Report: The Brixton Disorders 10-12 April 1981. Report of an Inquiry by the Right Honourable the Lord Scarman, OBE, Presented to Parliament by the Secretary of State for the Home Department by Command of her Majesty November 1981</w:t>
      </w:r>
      <w:r w:rsidRPr="00AE141E">
        <w:rPr>
          <w:rFonts w:ascii="Times New Roman" w:hAnsi="Times New Roman" w:cs="Times New Roman"/>
          <w:sz w:val="24"/>
          <w:szCs w:val="24"/>
        </w:rPr>
        <w:t>, 2</w:t>
      </w:r>
      <w:r w:rsidRPr="00AE141E">
        <w:rPr>
          <w:rFonts w:ascii="Times New Roman" w:hAnsi="Times New Roman" w:cs="Times New Roman"/>
          <w:sz w:val="24"/>
          <w:szCs w:val="24"/>
          <w:vertAlign w:val="superscript"/>
        </w:rPr>
        <w:t>nd</w:t>
      </w:r>
      <w:r w:rsidRPr="00AE141E">
        <w:rPr>
          <w:rFonts w:ascii="Times New Roman" w:hAnsi="Times New Roman" w:cs="Times New Roman"/>
          <w:sz w:val="24"/>
          <w:szCs w:val="24"/>
        </w:rPr>
        <w:t xml:space="preserve"> edn, (Harmondsworth: Penguin, 1986).</w:t>
      </w:r>
    </w:p>
    <w:p w14:paraId="1778495B" w14:textId="77777777" w:rsidR="004C09DC" w:rsidRPr="00AE141E" w:rsidRDefault="004C09DC" w:rsidP="00AE141E">
      <w:pPr>
        <w:pStyle w:val="FootnoteText"/>
        <w:spacing w:line="360" w:lineRule="auto"/>
        <w:rPr>
          <w:rFonts w:ascii="Times New Roman" w:hAnsi="Times New Roman" w:cs="Times New Roman"/>
          <w:sz w:val="24"/>
          <w:szCs w:val="24"/>
        </w:rPr>
      </w:pPr>
    </w:p>
    <w:p w14:paraId="7CA2F11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School Curriculum and Assessment Authority</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 xml:space="preserve">(SCAA), </w:t>
      </w:r>
      <w:r w:rsidRPr="00AE141E">
        <w:rPr>
          <w:rFonts w:ascii="Times New Roman" w:hAnsi="Times New Roman" w:cs="Times New Roman"/>
          <w:i/>
          <w:sz w:val="24"/>
          <w:szCs w:val="24"/>
        </w:rPr>
        <w:t>The National Curriculum and its Assessment: Final Report</w:t>
      </w:r>
      <w:r w:rsidRPr="00AE141E">
        <w:rPr>
          <w:rFonts w:ascii="Times New Roman" w:hAnsi="Times New Roman" w:cs="Times New Roman"/>
          <w:sz w:val="24"/>
          <w:szCs w:val="24"/>
        </w:rPr>
        <w:t xml:space="preserve"> (the ‘Dearing Review’), (London: SCAA, 1994).</w:t>
      </w:r>
    </w:p>
    <w:p w14:paraId="1208C333"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75353119" w14:textId="77777777" w:rsidR="004C09DC" w:rsidRPr="00AE141E" w:rsidRDefault="004C09DC" w:rsidP="00AE141E">
      <w:pPr>
        <w:pStyle w:val="FootnoteText"/>
        <w:spacing w:line="360" w:lineRule="auto"/>
        <w:rPr>
          <w:rFonts w:ascii="Times New Roman" w:hAnsi="Times New Roman" w:cs="Times New Roman"/>
          <w:b/>
          <w:bCs/>
          <w:sz w:val="24"/>
          <w:szCs w:val="24"/>
        </w:rPr>
      </w:pPr>
      <w:r w:rsidRPr="00AE141E">
        <w:rPr>
          <w:rFonts w:ascii="Times New Roman" w:hAnsi="Times New Roman" w:cs="Times New Roman"/>
          <w:b/>
          <w:bCs/>
          <w:sz w:val="24"/>
          <w:szCs w:val="24"/>
        </w:rPr>
        <w:t>Legislation and Statutory Instruments</w:t>
      </w:r>
    </w:p>
    <w:p w14:paraId="14A9876B"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46BCC6B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i/>
          <w:sz w:val="24"/>
          <w:szCs w:val="24"/>
        </w:rPr>
        <w:t>The Education Act 1944</w:t>
      </w:r>
      <w:r w:rsidRPr="00AE141E">
        <w:rPr>
          <w:rFonts w:ascii="Times New Roman" w:hAnsi="Times New Roman" w:cs="Times New Roman"/>
          <w:sz w:val="24"/>
          <w:szCs w:val="24"/>
        </w:rPr>
        <w:t xml:space="preserve"> (7 &amp; 8 Geo. 6. c. 31) &lt;https://www.legislation.gov.uk/ukpga/Geo6/7-8/31/enacted&gt; [last accessed 14 January 2025]. </w:t>
      </w:r>
    </w:p>
    <w:p w14:paraId="5321740A" w14:textId="77777777" w:rsidR="004C09DC" w:rsidRPr="00AE141E" w:rsidRDefault="004C09DC" w:rsidP="00AE141E">
      <w:pPr>
        <w:pStyle w:val="FootnoteText"/>
        <w:spacing w:line="360" w:lineRule="auto"/>
        <w:rPr>
          <w:rFonts w:ascii="Times New Roman" w:hAnsi="Times New Roman" w:cs="Times New Roman"/>
          <w:sz w:val="24"/>
          <w:szCs w:val="24"/>
        </w:rPr>
      </w:pPr>
    </w:p>
    <w:p w14:paraId="456D77A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‘Education, England and Wales: The Education (Middle Schools) Regulations 1980 No.918’, Statutory Instruments, 3073-74 &lt;https://www.legislation.gov.uk/uksi/1980/918/made&gt; [last accessed 18 January 2025].</w:t>
      </w:r>
    </w:p>
    <w:p w14:paraId="139326B8" w14:textId="77777777" w:rsidR="004C09DC" w:rsidRPr="00AE141E" w:rsidRDefault="004C09DC" w:rsidP="00AE141E">
      <w:pPr>
        <w:pStyle w:val="FootnoteText"/>
        <w:spacing w:line="360" w:lineRule="auto"/>
        <w:rPr>
          <w:rFonts w:ascii="Times New Roman" w:hAnsi="Times New Roman" w:cs="Times New Roman"/>
          <w:sz w:val="24"/>
          <w:szCs w:val="24"/>
        </w:rPr>
      </w:pPr>
    </w:p>
    <w:p w14:paraId="0F41226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i/>
          <w:sz w:val="24"/>
          <w:szCs w:val="24"/>
        </w:rPr>
        <w:t>Local Government Act 196</w:t>
      </w:r>
      <w:r w:rsidRPr="00AE141E">
        <w:rPr>
          <w:rFonts w:ascii="Times New Roman" w:hAnsi="Times New Roman" w:cs="Times New Roman"/>
          <w:sz w:val="24"/>
          <w:szCs w:val="24"/>
        </w:rPr>
        <w:t>6 (London: HMSO, 1966) &lt;http://www.educationengland.org.uk/documents/acts/1966-local-government-act.html&gt; [accessed 14 July 2023].</w:t>
      </w:r>
    </w:p>
    <w:p w14:paraId="50D1C726" w14:textId="77777777" w:rsidR="004C09DC" w:rsidRPr="00AE141E" w:rsidRDefault="004C09DC" w:rsidP="00AE141E">
      <w:pPr>
        <w:pStyle w:val="FootnoteText"/>
        <w:spacing w:line="360" w:lineRule="auto"/>
        <w:rPr>
          <w:rFonts w:ascii="Times New Roman" w:hAnsi="Times New Roman" w:cs="Times New Roman"/>
          <w:sz w:val="24"/>
          <w:szCs w:val="24"/>
        </w:rPr>
      </w:pPr>
    </w:p>
    <w:p w14:paraId="1AD1CEB4"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Digital Sources</w:t>
      </w:r>
    </w:p>
    <w:p w14:paraId="7DF39751" w14:textId="77777777" w:rsidR="004C09DC" w:rsidRPr="00AE141E" w:rsidRDefault="004C09DC" w:rsidP="00AE141E">
      <w:pPr>
        <w:pStyle w:val="FootnoteText"/>
        <w:spacing w:line="360" w:lineRule="auto"/>
        <w:rPr>
          <w:rFonts w:ascii="Times New Roman" w:hAnsi="Times New Roman" w:cs="Times New Roman"/>
          <w:sz w:val="24"/>
          <w:szCs w:val="24"/>
        </w:rPr>
      </w:pPr>
    </w:p>
    <w:p w14:paraId="05010D0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Bolton, P., ‘Education: Historical Statistics’, 28 November 2012, Research Briefing for the House of Commons Library, Standard Note: SN/SG/4252 &lt;https://researchbriefings.files.parliament.uk/documents/SN04252/SN04252.pdf&gt; [last accessed 19 February 2025].</w:t>
      </w:r>
    </w:p>
    <w:p w14:paraId="145D1F68" w14:textId="77777777" w:rsidR="004C09DC" w:rsidRPr="00AE141E" w:rsidRDefault="004C09DC" w:rsidP="00AE141E">
      <w:pPr>
        <w:pStyle w:val="FootnoteText"/>
        <w:spacing w:line="360" w:lineRule="auto"/>
        <w:rPr>
          <w:rFonts w:ascii="Times New Roman" w:hAnsi="Times New Roman" w:cs="Times New Roman"/>
          <w:sz w:val="24"/>
          <w:szCs w:val="24"/>
        </w:rPr>
      </w:pPr>
    </w:p>
    <w:p w14:paraId="538AA12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Burn, K., and Harris, R., </w:t>
      </w:r>
      <w:r w:rsidRPr="00AE141E">
        <w:rPr>
          <w:rFonts w:ascii="Times New Roman" w:hAnsi="Times New Roman" w:cs="Times New Roman"/>
          <w:i/>
          <w:sz w:val="24"/>
          <w:szCs w:val="24"/>
        </w:rPr>
        <w:t>Historical Association Secondary Survey 2021</w:t>
      </w:r>
      <w:r w:rsidRPr="00AE141E">
        <w:rPr>
          <w:rFonts w:ascii="Times New Roman" w:hAnsi="Times New Roman" w:cs="Times New Roman"/>
          <w:sz w:val="24"/>
          <w:szCs w:val="24"/>
        </w:rPr>
        <w:t xml:space="preserve">, downloaded from ‘Historical Association Secondary Survey 2021: Annual Survey Report on History in Secondary Schools’, </w:t>
      </w:r>
      <w:r w:rsidRPr="00AE141E">
        <w:rPr>
          <w:rFonts w:ascii="Times New Roman" w:hAnsi="Times New Roman" w:cs="Times New Roman"/>
          <w:i/>
          <w:sz w:val="24"/>
          <w:szCs w:val="24"/>
        </w:rPr>
        <w:t>Historical Association</w:t>
      </w:r>
      <w:r w:rsidRPr="00AE141E">
        <w:rPr>
          <w:rFonts w:ascii="Times New Roman" w:hAnsi="Times New Roman" w:cs="Times New Roman"/>
          <w:sz w:val="24"/>
          <w:szCs w:val="24"/>
        </w:rPr>
        <w:t>, 22 October 2021 &lt;https://www.history.org.uk/secondary/categories/409/news/4014/historical-association-secondary-survey-2021&gt; [accessed 14 January 2024].</w:t>
      </w:r>
    </w:p>
    <w:p w14:paraId="08558D92" w14:textId="77777777" w:rsidR="004C09DC" w:rsidRPr="00AE141E" w:rsidRDefault="004C09DC" w:rsidP="00AE141E">
      <w:pPr>
        <w:pStyle w:val="FootnoteText"/>
        <w:spacing w:line="360" w:lineRule="auto"/>
        <w:rPr>
          <w:rFonts w:ascii="Times New Roman" w:hAnsi="Times New Roman" w:cs="Times New Roman"/>
          <w:sz w:val="24"/>
          <w:szCs w:val="24"/>
        </w:rPr>
      </w:pPr>
    </w:p>
    <w:p w14:paraId="5524CE3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Callaghan, J., ‘A Rational Debate Based on the Facts’ (the ‘Ruskin Speech’), 18 October 1976 &lt;https://www.education-uk.org/documents/speeches/1976ruskin.html&gt; [accessed 18 September 2024].</w:t>
      </w:r>
    </w:p>
    <w:p w14:paraId="0006F177" w14:textId="77777777" w:rsidR="004C09DC" w:rsidRPr="00AE141E" w:rsidRDefault="004C09DC" w:rsidP="00AE141E">
      <w:pPr>
        <w:pStyle w:val="FootnoteText"/>
        <w:spacing w:line="360" w:lineRule="auto"/>
        <w:rPr>
          <w:rFonts w:ascii="Times New Roman" w:hAnsi="Times New Roman" w:cs="Times New Roman"/>
          <w:sz w:val="24"/>
          <w:szCs w:val="24"/>
        </w:rPr>
      </w:pPr>
    </w:p>
    <w:p w14:paraId="256A168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‘Christmas Broadcast 1953’ (Transcript) &lt;https://www.royal.uk/christmas-broadcast-1953&gt; [accessed 26 January 2025].</w:t>
      </w:r>
    </w:p>
    <w:p w14:paraId="71EF3100" w14:textId="77777777" w:rsidR="004C09DC" w:rsidRPr="00AE141E" w:rsidRDefault="004C09DC" w:rsidP="00AE141E">
      <w:pPr>
        <w:pStyle w:val="FootnoteText"/>
        <w:spacing w:line="360" w:lineRule="auto"/>
        <w:rPr>
          <w:rFonts w:ascii="Times New Roman" w:hAnsi="Times New Roman" w:cs="Times New Roman"/>
          <w:sz w:val="24"/>
          <w:szCs w:val="24"/>
        </w:rPr>
      </w:pPr>
    </w:p>
    <w:p w14:paraId="0037D36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Colville, B., and Marson, D., </w:t>
      </w:r>
      <w:r w:rsidRPr="00AE141E">
        <w:rPr>
          <w:rFonts w:ascii="Times New Roman" w:hAnsi="Times New Roman" w:cs="Times New Roman"/>
          <w:i/>
          <w:sz w:val="24"/>
          <w:szCs w:val="24"/>
        </w:rPr>
        <w:t>Fall in and Follow Me: A Play about the Children’s Strike of 1911 as Performed at the Half Moon Theatre, Whitechapel, 10th-27th July 1973</w:t>
      </w:r>
      <w:r w:rsidRPr="00AE141E">
        <w:rPr>
          <w:rFonts w:ascii="Times New Roman" w:hAnsi="Times New Roman" w:cs="Times New Roman"/>
          <w:sz w:val="24"/>
          <w:szCs w:val="24"/>
        </w:rPr>
        <w:t>, History Workshop Pamphlet Number Thirteen, 1973 &lt;https://www.stagesofhalfmoon.org.uk/wp-content/uploads/2016/05/Fall-In-and-Follow-Me-Script.pdf&gt; [accessed 26 June 2023].</w:t>
      </w:r>
    </w:p>
    <w:p w14:paraId="78B6AAFA" w14:textId="77777777" w:rsidR="004C09DC" w:rsidRPr="00AE141E" w:rsidRDefault="004C09DC" w:rsidP="00AE141E">
      <w:pPr>
        <w:pStyle w:val="FootnoteText"/>
        <w:spacing w:line="360" w:lineRule="auto"/>
        <w:rPr>
          <w:rFonts w:ascii="Times New Roman" w:hAnsi="Times New Roman" w:cs="Times New Roman"/>
          <w:sz w:val="24"/>
          <w:szCs w:val="24"/>
        </w:rPr>
      </w:pPr>
    </w:p>
    <w:p w14:paraId="12CA235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Commission on Race and Ethnic Disparities, </w:t>
      </w:r>
      <w:r w:rsidRPr="00AE141E">
        <w:rPr>
          <w:rFonts w:ascii="Times New Roman" w:hAnsi="Times New Roman" w:cs="Times New Roman"/>
          <w:i/>
          <w:sz w:val="24"/>
          <w:szCs w:val="24"/>
        </w:rPr>
        <w:t>Commission on Race and Ethnic Disparities: The Report</w:t>
      </w:r>
      <w:r w:rsidRPr="00AE141E">
        <w:rPr>
          <w:rFonts w:ascii="Times New Roman" w:hAnsi="Times New Roman" w:cs="Times New Roman"/>
          <w:sz w:val="24"/>
          <w:szCs w:val="24"/>
        </w:rPr>
        <w:t>, Government Study CCS0221976844-001 (Palace of Westminster, London: Commission on Race and Ethnic Disparities, 2021) &lt;https://assets.publishing.service.gov.uk/government/uploads/system/uploads/attachment_data/file/974507/20210331_-_CRED_Report_-_FINAL_-_Web_Accessible.pdf &gt; [accessed 24 May 2022].</w:t>
      </w:r>
    </w:p>
    <w:p w14:paraId="6FBBC09C" w14:textId="77777777" w:rsidR="004C09DC" w:rsidRPr="00AE141E" w:rsidRDefault="004C09DC" w:rsidP="00AE141E">
      <w:pPr>
        <w:pStyle w:val="FootnoteText"/>
        <w:spacing w:line="360" w:lineRule="auto"/>
        <w:rPr>
          <w:rFonts w:ascii="Times New Roman" w:hAnsi="Times New Roman" w:cs="Times New Roman"/>
          <w:sz w:val="24"/>
          <w:szCs w:val="24"/>
        </w:rPr>
      </w:pPr>
    </w:p>
    <w:p w14:paraId="10D91D5B"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Edmeades, A., Vasey, V., and Infante, V., </w:t>
      </w:r>
      <w:r w:rsidRPr="00AE141E">
        <w:rPr>
          <w:rFonts w:ascii="Times New Roman" w:hAnsi="Times New Roman" w:cs="Times New Roman"/>
          <w:i/>
          <w:sz w:val="24"/>
          <w:szCs w:val="24"/>
        </w:rPr>
        <w:t xml:space="preserve">Preventing Education: Human Rights and UK Counter-Terrorism Policy in Schools </w:t>
      </w:r>
      <w:r w:rsidRPr="00AE141E">
        <w:rPr>
          <w:rFonts w:ascii="Times New Roman" w:hAnsi="Times New Roman" w:cs="Times New Roman"/>
          <w:sz w:val="24"/>
          <w:szCs w:val="24"/>
        </w:rPr>
        <w:t>(London: Rights Watch (UK), 2016) &lt;https://www.rightsandsecurity.org/action/research/entry/prevent-publication&gt; [last accessed 9 March 2025].</w:t>
      </w:r>
    </w:p>
    <w:p w14:paraId="7447E91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Halsall, C., ‘Whose World is the World’, </w:t>
      </w:r>
      <w:r w:rsidRPr="00AE141E">
        <w:rPr>
          <w:rFonts w:ascii="Times New Roman" w:hAnsi="Times New Roman" w:cs="Times New Roman"/>
          <w:i/>
          <w:sz w:val="24"/>
          <w:szCs w:val="24"/>
        </w:rPr>
        <w:t>The Poster-Film Collective</w:t>
      </w:r>
      <w:r w:rsidRPr="00AE141E">
        <w:rPr>
          <w:rFonts w:ascii="Times New Roman" w:hAnsi="Times New Roman" w:cs="Times New Roman"/>
          <w:sz w:val="24"/>
          <w:szCs w:val="24"/>
        </w:rPr>
        <w:t xml:space="preserve"> &lt;https://www.poster-collective.org/team-3-1&gt; [accessed 12 January 2024].</w:t>
      </w:r>
    </w:p>
    <w:p w14:paraId="05C74BE4" w14:textId="77777777" w:rsidR="004C09DC" w:rsidRPr="00AE141E" w:rsidRDefault="004C09DC" w:rsidP="00AE141E">
      <w:pPr>
        <w:pStyle w:val="FootnoteText"/>
        <w:spacing w:line="360" w:lineRule="auto"/>
        <w:rPr>
          <w:rFonts w:ascii="Times New Roman" w:hAnsi="Times New Roman" w:cs="Times New Roman"/>
          <w:sz w:val="24"/>
          <w:szCs w:val="24"/>
        </w:rPr>
      </w:pPr>
    </w:p>
    <w:p w14:paraId="49B7269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Impact of Omission, ‘Survey’, 1 March 2021 &lt;https://impactofomission.squarespace.com/survey&gt; [accessed 14 January 2024].</w:t>
      </w:r>
    </w:p>
    <w:p w14:paraId="12507AF9" w14:textId="77777777" w:rsidR="004C09DC" w:rsidRPr="00AE141E" w:rsidRDefault="004C09DC" w:rsidP="00AE141E">
      <w:pPr>
        <w:pStyle w:val="FootnoteText"/>
        <w:spacing w:line="360" w:lineRule="auto"/>
        <w:rPr>
          <w:rFonts w:ascii="Times New Roman" w:hAnsi="Times New Roman" w:cs="Times New Roman"/>
          <w:sz w:val="24"/>
          <w:szCs w:val="24"/>
        </w:rPr>
      </w:pPr>
    </w:p>
    <w:p w14:paraId="348A6F8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‘Majority of Teachers Considered Leaving Over Ofsted’, National Education Union, 16 June 2024, accessed &lt;https://neu.org.uk/latest/press-releases/majority-teachers-considered-leaving-over-ofsted&gt; [last accessed 18 January 2025.</w:t>
      </w:r>
    </w:p>
    <w:p w14:paraId="3DE69744" w14:textId="77777777" w:rsidR="004C09DC" w:rsidRPr="00AE141E" w:rsidRDefault="004C09DC" w:rsidP="00AE141E">
      <w:pPr>
        <w:pStyle w:val="FootnoteText"/>
        <w:spacing w:line="360" w:lineRule="auto"/>
        <w:rPr>
          <w:rFonts w:ascii="Times New Roman" w:hAnsi="Times New Roman" w:cs="Times New Roman"/>
          <w:sz w:val="24"/>
          <w:szCs w:val="24"/>
        </w:rPr>
      </w:pPr>
    </w:p>
    <w:p w14:paraId="5245EF2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McGovern, C. </w:t>
      </w:r>
      <w:r w:rsidRPr="00AE141E">
        <w:rPr>
          <w:rFonts w:ascii="Times New Roman" w:hAnsi="Times New Roman" w:cs="Times New Roman"/>
          <w:i/>
          <w:sz w:val="24"/>
          <w:szCs w:val="24"/>
        </w:rPr>
        <w:t>et al</w:t>
      </w:r>
      <w:r w:rsidRPr="00AE141E">
        <w:rPr>
          <w:rFonts w:ascii="Times New Roman" w:hAnsi="Times New Roman" w:cs="Times New Roman"/>
          <w:sz w:val="24"/>
          <w:szCs w:val="24"/>
        </w:rPr>
        <w:t>., ‘GCSE History: An Alternative Approach’, 18 March 1990. Transcribed to digital May 2020 by the Campaign for Real Education &lt;https://cre.org.uk/docs/CRE-GCSE-History-An-Alternative-Approach.pdf &gt; [last accessed 16 January 2025].</w:t>
      </w:r>
    </w:p>
    <w:p w14:paraId="5FF3C69D" w14:textId="77777777" w:rsidR="004C09DC" w:rsidRPr="00AE141E" w:rsidRDefault="004C09DC" w:rsidP="00AE141E">
      <w:pPr>
        <w:pStyle w:val="FootnoteText"/>
        <w:spacing w:line="360" w:lineRule="auto"/>
        <w:rPr>
          <w:rFonts w:ascii="Times New Roman" w:hAnsi="Times New Roman" w:cs="Times New Roman"/>
          <w:sz w:val="24"/>
          <w:szCs w:val="24"/>
        </w:rPr>
      </w:pPr>
    </w:p>
    <w:p w14:paraId="2617580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i/>
          <w:sz w:val="24"/>
          <w:szCs w:val="24"/>
        </w:rPr>
        <w:t xml:space="preserve">The Next Moves Forward: The Conservative Manifesto 1987 </w:t>
      </w:r>
      <w:r w:rsidRPr="00AE141E">
        <w:rPr>
          <w:rFonts w:ascii="Times New Roman" w:hAnsi="Times New Roman" w:cs="Times New Roman"/>
          <w:sz w:val="24"/>
          <w:szCs w:val="24"/>
        </w:rPr>
        <w:t>(London: Conservative Central Office, 1987). Transcribed by Political Speech Archive &lt;https://www.ukpol.co.uk/general-election-manifestos-1987-conservative-party/&gt; [last accessed 16 January 2025].</w:t>
      </w:r>
    </w:p>
    <w:p w14:paraId="68986944" w14:textId="77777777" w:rsidR="004C09DC" w:rsidRPr="00AE141E" w:rsidRDefault="004C09DC" w:rsidP="00AE141E">
      <w:pPr>
        <w:pStyle w:val="FootnoteText"/>
        <w:spacing w:line="360" w:lineRule="auto"/>
        <w:rPr>
          <w:rFonts w:ascii="Times New Roman" w:hAnsi="Times New Roman" w:cs="Times New Roman"/>
          <w:sz w:val="24"/>
          <w:szCs w:val="24"/>
        </w:rPr>
      </w:pPr>
    </w:p>
    <w:p w14:paraId="3A0B516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Thatcher, M., Interview for </w:t>
      </w:r>
      <w:r w:rsidRPr="00AE141E">
        <w:rPr>
          <w:rFonts w:ascii="Times New Roman" w:hAnsi="Times New Roman" w:cs="Times New Roman"/>
          <w:i/>
          <w:sz w:val="24"/>
          <w:szCs w:val="24"/>
        </w:rPr>
        <w:t>Sunday Telegraph</w:t>
      </w:r>
      <w:r w:rsidRPr="00AE141E">
        <w:rPr>
          <w:rFonts w:ascii="Times New Roman" w:hAnsi="Times New Roman" w:cs="Times New Roman"/>
          <w:sz w:val="24"/>
          <w:szCs w:val="24"/>
        </w:rPr>
        <w:t>. Interviewed by Trevor Grove, 4 April 1990. Thatcher Archive: COI transcript &lt;https://www.margaretthatcher.org/document/107906&gt; [last accessed 17 January 2023].</w:t>
      </w:r>
    </w:p>
    <w:p w14:paraId="5F3EFEB6" w14:textId="77777777" w:rsidR="004C09DC" w:rsidRPr="00AE141E" w:rsidRDefault="004C09DC" w:rsidP="00AE141E">
      <w:pPr>
        <w:pStyle w:val="FootnoteText"/>
        <w:spacing w:line="360" w:lineRule="auto"/>
        <w:rPr>
          <w:rFonts w:ascii="Times New Roman" w:hAnsi="Times New Roman" w:cs="Times New Roman"/>
          <w:sz w:val="24"/>
          <w:szCs w:val="24"/>
        </w:rPr>
      </w:pPr>
    </w:p>
    <w:p w14:paraId="0EBE769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Thatcher, M., Speech to Conservative Party Conference, 9 October 1987. Thatcher Archive: CCOPR 664/87 &lt;https://www.margaretthatcher.org/document/106941&gt; [accessed 19 September 2024].</w:t>
      </w:r>
    </w:p>
    <w:p w14:paraId="3BD85CF7" w14:textId="77777777" w:rsidR="004C09DC" w:rsidRPr="00AE141E" w:rsidRDefault="004C09DC" w:rsidP="00AE141E">
      <w:pPr>
        <w:pStyle w:val="FootnoteText"/>
        <w:spacing w:line="360" w:lineRule="auto"/>
        <w:rPr>
          <w:rFonts w:ascii="Times New Roman" w:hAnsi="Times New Roman" w:cs="Times New Roman"/>
          <w:sz w:val="24"/>
          <w:szCs w:val="24"/>
        </w:rPr>
      </w:pPr>
    </w:p>
    <w:p w14:paraId="76734EF6" w14:textId="77777777" w:rsidR="004C09DC" w:rsidRPr="00AE141E" w:rsidRDefault="004C09DC" w:rsidP="00AE141E">
      <w:pPr>
        <w:spacing w:line="360" w:lineRule="auto"/>
        <w:rPr>
          <w:rFonts w:ascii="Times New Roman" w:hAnsi="Times New Roman" w:cs="Times New Roman"/>
          <w:iCs/>
          <w:sz w:val="24"/>
          <w:szCs w:val="24"/>
        </w:rPr>
      </w:pPr>
      <w:r w:rsidRPr="00AE141E">
        <w:rPr>
          <w:rFonts w:ascii="Times New Roman" w:hAnsi="Times New Roman" w:cs="Times New Roman"/>
          <w:sz w:val="24"/>
          <w:szCs w:val="24"/>
        </w:rPr>
        <w:t>Thatcher, M., ‘Speech to Conservative Rally at Cheltenham’, 3 July 1982. Thatcher Archive: CCOPR486/82 &lt; https://www.margaretthatcher.org/document/104989&gt; [accessed 9 March 2025].</w:t>
      </w:r>
    </w:p>
    <w:p w14:paraId="40A92E66" w14:textId="77777777" w:rsidR="004C09DC" w:rsidRPr="00AE141E" w:rsidRDefault="004C09DC" w:rsidP="00AE141E">
      <w:pPr>
        <w:pStyle w:val="FootnoteText"/>
        <w:spacing w:line="360" w:lineRule="auto"/>
        <w:rPr>
          <w:rFonts w:ascii="Times New Roman" w:hAnsi="Times New Roman" w:cs="Times New Roman"/>
          <w:sz w:val="24"/>
          <w:szCs w:val="24"/>
        </w:rPr>
      </w:pPr>
    </w:p>
    <w:p w14:paraId="3565E2C9"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Thatcher, M., ‘TV Interview for Granada World in Action (“rather swamped”)’, 27 January 1978. Thatcher Archive: Granada Transcript &lt;https://www.margaretthatcher.org/document/103485&gt; [accessed 16 January 2024].</w:t>
      </w:r>
    </w:p>
    <w:p w14:paraId="20BA09CB" w14:textId="77777777" w:rsidR="004C09DC" w:rsidRPr="00AE141E" w:rsidRDefault="004C09DC" w:rsidP="00AE141E">
      <w:pPr>
        <w:pStyle w:val="FootnoteText"/>
        <w:spacing w:line="360" w:lineRule="auto"/>
        <w:rPr>
          <w:rFonts w:ascii="Times New Roman" w:hAnsi="Times New Roman" w:cs="Times New Roman"/>
          <w:sz w:val="24"/>
          <w:szCs w:val="24"/>
        </w:rPr>
      </w:pPr>
    </w:p>
    <w:p w14:paraId="1C16833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University of Cambridge Local Examinations Syndicate (UCLES) Digital Archive &lt;https://www.cambridgeassessment.org.uk/our-research/archives-and-heritage/sample-exam-material/history/&gt;.</w:t>
      </w:r>
    </w:p>
    <w:p w14:paraId="26B5BAD7" w14:textId="77777777" w:rsidR="004C09DC" w:rsidRPr="00AE141E" w:rsidRDefault="004C09DC" w:rsidP="00AE141E">
      <w:pPr>
        <w:pStyle w:val="FootnoteText"/>
        <w:spacing w:line="360" w:lineRule="auto"/>
        <w:rPr>
          <w:rFonts w:ascii="Times New Roman" w:hAnsi="Times New Roman" w:cs="Times New Roman"/>
          <w:sz w:val="24"/>
          <w:szCs w:val="24"/>
        </w:rPr>
      </w:pPr>
    </w:p>
    <w:p w14:paraId="24CD915D" w14:textId="77777777" w:rsidR="004C09DC" w:rsidRPr="00AE141E" w:rsidRDefault="004C09DC" w:rsidP="00AE141E">
      <w:pPr>
        <w:pStyle w:val="FootnoteText"/>
        <w:spacing w:line="360" w:lineRule="auto"/>
        <w:rPr>
          <w:rFonts w:ascii="Times New Roman" w:hAnsi="Times New Roman" w:cs="Times New Roman"/>
          <w:b/>
          <w:bCs/>
          <w:i/>
          <w:iCs/>
          <w:sz w:val="24"/>
          <w:szCs w:val="24"/>
        </w:rPr>
      </w:pPr>
      <w:r w:rsidRPr="00AE141E">
        <w:rPr>
          <w:rFonts w:ascii="Times New Roman" w:hAnsi="Times New Roman" w:cs="Times New Roman"/>
          <w:b/>
          <w:bCs/>
          <w:i/>
          <w:sz w:val="24"/>
          <w:szCs w:val="24"/>
        </w:rPr>
        <w:t>II. Secondary Literature</w:t>
      </w:r>
    </w:p>
    <w:p w14:paraId="7D4E6CA8"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44AB5AFF"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Books and Monographs</w:t>
      </w:r>
    </w:p>
    <w:p w14:paraId="7CCECD1D" w14:textId="77777777" w:rsidR="004C09DC" w:rsidRPr="00AE141E" w:rsidRDefault="004C09DC" w:rsidP="00AE141E">
      <w:pPr>
        <w:pStyle w:val="FootnoteText"/>
        <w:spacing w:line="360" w:lineRule="auto"/>
        <w:rPr>
          <w:rFonts w:ascii="Times New Roman" w:hAnsi="Times New Roman" w:cs="Times New Roman"/>
          <w:sz w:val="24"/>
          <w:szCs w:val="24"/>
        </w:rPr>
      </w:pPr>
    </w:p>
    <w:p w14:paraId="399EA713" w14:textId="2914A2A4" w:rsidR="00CF4EA4" w:rsidRDefault="004C09DC" w:rsidP="00CF4EA4">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Anderson, B., </w:t>
      </w:r>
      <w:r w:rsidRPr="00AE141E">
        <w:rPr>
          <w:rFonts w:ascii="Times New Roman" w:hAnsi="Times New Roman" w:cs="Times New Roman"/>
          <w:i/>
          <w:sz w:val="24"/>
          <w:szCs w:val="24"/>
        </w:rPr>
        <w:t>Imagined Communities. Reflections on the Origins and Spread of Nationalism</w:t>
      </w:r>
      <w:r w:rsidRPr="00AE141E">
        <w:rPr>
          <w:rFonts w:ascii="Times New Roman" w:hAnsi="Times New Roman" w:cs="Times New Roman"/>
          <w:sz w:val="24"/>
          <w:szCs w:val="24"/>
        </w:rPr>
        <w:t>, rev. edn (London: Verso, 1991).</w:t>
      </w:r>
    </w:p>
    <w:p w14:paraId="0FE5BC2F" w14:textId="77777777" w:rsidR="00CF4EA4" w:rsidRPr="00AE141E" w:rsidRDefault="00CF4EA4" w:rsidP="00CF4EA4">
      <w:pPr>
        <w:spacing w:line="360" w:lineRule="auto"/>
        <w:rPr>
          <w:rFonts w:ascii="Times New Roman" w:hAnsi="Times New Roman" w:cs="Times New Roman"/>
          <w:sz w:val="24"/>
          <w:szCs w:val="24"/>
        </w:rPr>
      </w:pPr>
    </w:p>
    <w:p w14:paraId="2508D4C7" w14:textId="4B011DCC" w:rsidR="004C09DC" w:rsidRDefault="004C09DC" w:rsidP="00CF4EA4">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Andrews, K., </w:t>
      </w:r>
      <w:r w:rsidRPr="00AE141E">
        <w:rPr>
          <w:rFonts w:ascii="Times New Roman" w:hAnsi="Times New Roman" w:cs="Times New Roman"/>
          <w:i/>
          <w:sz w:val="24"/>
          <w:szCs w:val="24"/>
        </w:rPr>
        <w:t>The New Age of Empire: How Racism and Colonialism Still Rule the World</w:t>
      </w:r>
      <w:r w:rsidRPr="00AE141E">
        <w:rPr>
          <w:rFonts w:ascii="Times New Roman" w:hAnsi="Times New Roman" w:cs="Times New Roman"/>
          <w:sz w:val="24"/>
          <w:szCs w:val="24"/>
        </w:rPr>
        <w:t xml:space="preserve"> (London: Allen Lane, 2021).</w:t>
      </w:r>
    </w:p>
    <w:p w14:paraId="5EA71ACE" w14:textId="77777777" w:rsidR="00CF4EA4" w:rsidRPr="00AE141E" w:rsidRDefault="00CF4EA4" w:rsidP="00CF4EA4">
      <w:pPr>
        <w:pStyle w:val="FootnoteText"/>
        <w:spacing w:line="360" w:lineRule="auto"/>
        <w:rPr>
          <w:rFonts w:ascii="Times New Roman" w:hAnsi="Times New Roman" w:cs="Times New Roman"/>
          <w:sz w:val="24"/>
          <w:szCs w:val="24"/>
        </w:rPr>
      </w:pPr>
    </w:p>
    <w:p w14:paraId="5ED7A0B2" w14:textId="77777777" w:rsidR="004C09DC" w:rsidRPr="00AE141E" w:rsidRDefault="004C09DC" w:rsidP="00CF4EA4">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Andrews, K., </w:t>
      </w:r>
      <w:r w:rsidRPr="00AE141E">
        <w:rPr>
          <w:rFonts w:ascii="Times New Roman" w:hAnsi="Times New Roman" w:cs="Times New Roman"/>
          <w:i/>
          <w:sz w:val="24"/>
          <w:szCs w:val="24"/>
        </w:rPr>
        <w:t>Resisting Racism: Race, Inequality, and the Black Supplementary School Movement</w:t>
      </w:r>
      <w:r w:rsidRPr="00AE141E">
        <w:rPr>
          <w:rFonts w:ascii="Times New Roman" w:hAnsi="Times New Roman" w:cs="Times New Roman"/>
          <w:sz w:val="24"/>
          <w:szCs w:val="24"/>
        </w:rPr>
        <w:t xml:space="preserve"> (London: Institute of Education Press, 2013).</w:t>
      </w:r>
    </w:p>
    <w:p w14:paraId="113CB4AB" w14:textId="77777777" w:rsidR="004C09DC" w:rsidRPr="00AE141E" w:rsidRDefault="004C09DC" w:rsidP="00CF4EA4">
      <w:pPr>
        <w:pStyle w:val="FootnoteText"/>
        <w:spacing w:line="360" w:lineRule="auto"/>
        <w:rPr>
          <w:rFonts w:ascii="Times New Roman" w:hAnsi="Times New Roman" w:cs="Times New Roman"/>
          <w:sz w:val="24"/>
          <w:szCs w:val="24"/>
        </w:rPr>
      </w:pPr>
    </w:p>
    <w:p w14:paraId="60EBBC17" w14:textId="77777777" w:rsidR="004C09DC" w:rsidRPr="00AE141E" w:rsidRDefault="004C09DC" w:rsidP="00CF4EA4">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Baldi, G., </w:t>
      </w:r>
      <w:r w:rsidRPr="00AE141E">
        <w:rPr>
          <w:rFonts w:ascii="Times New Roman" w:hAnsi="Times New Roman" w:cs="Times New Roman"/>
          <w:i/>
          <w:sz w:val="24"/>
          <w:szCs w:val="24"/>
        </w:rPr>
        <w:t>Ideas, Institutions, and the Politics of Schools in Postwar Britain and Germany</w:t>
      </w:r>
      <w:r w:rsidRPr="00AE141E">
        <w:rPr>
          <w:rFonts w:ascii="Times New Roman" w:hAnsi="Times New Roman" w:cs="Times New Roman"/>
          <w:sz w:val="24"/>
          <w:szCs w:val="24"/>
        </w:rPr>
        <w:t xml:space="preserve"> (Cham: Springer International Publishing, 2022).</w:t>
      </w:r>
    </w:p>
    <w:p w14:paraId="4E9BB27E" w14:textId="77777777" w:rsidR="004C09DC" w:rsidRPr="00AE141E" w:rsidRDefault="004C09DC" w:rsidP="00AE141E">
      <w:pPr>
        <w:pStyle w:val="FootnoteText"/>
        <w:spacing w:line="360" w:lineRule="auto"/>
        <w:rPr>
          <w:rFonts w:ascii="Times New Roman" w:hAnsi="Times New Roman" w:cs="Times New Roman"/>
          <w:sz w:val="24"/>
          <w:szCs w:val="24"/>
        </w:rPr>
      </w:pPr>
    </w:p>
    <w:p w14:paraId="461B7A7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Barker, M., </w:t>
      </w:r>
      <w:r w:rsidRPr="00AE141E">
        <w:rPr>
          <w:rFonts w:ascii="Times New Roman" w:hAnsi="Times New Roman" w:cs="Times New Roman"/>
          <w:i/>
          <w:sz w:val="24"/>
          <w:szCs w:val="24"/>
        </w:rPr>
        <w:t>The New Racism: Conservatives and the Ideology of the Tribe</w:t>
      </w:r>
      <w:r w:rsidRPr="00AE141E">
        <w:rPr>
          <w:rFonts w:ascii="Times New Roman" w:hAnsi="Times New Roman" w:cs="Times New Roman"/>
          <w:sz w:val="24"/>
          <w:szCs w:val="24"/>
        </w:rPr>
        <w:t xml:space="preserve"> (London: Junction Books, 1981).</w:t>
      </w:r>
    </w:p>
    <w:p w14:paraId="273525C2" w14:textId="77777777" w:rsidR="004C09DC" w:rsidRPr="00AE141E" w:rsidRDefault="004C09DC" w:rsidP="00CF4EA4">
      <w:pPr>
        <w:pStyle w:val="FootnoteText"/>
        <w:spacing w:line="360" w:lineRule="auto"/>
        <w:rPr>
          <w:rFonts w:ascii="Times New Roman" w:hAnsi="Times New Roman" w:cs="Times New Roman"/>
          <w:sz w:val="24"/>
          <w:szCs w:val="24"/>
        </w:rPr>
      </w:pPr>
    </w:p>
    <w:p w14:paraId="336520CC" w14:textId="5993749F" w:rsidR="00995D5A" w:rsidRDefault="004C09DC" w:rsidP="00CF4EA4">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Baucom, I., </w:t>
      </w:r>
      <w:r w:rsidRPr="00AE141E">
        <w:rPr>
          <w:rFonts w:ascii="Times New Roman" w:hAnsi="Times New Roman" w:cs="Times New Roman"/>
          <w:i/>
          <w:sz w:val="24"/>
          <w:szCs w:val="24"/>
        </w:rPr>
        <w:t>Out of Place: Englishness, Empire and the Locations of Identity</w:t>
      </w:r>
      <w:r w:rsidRPr="00AE141E">
        <w:rPr>
          <w:rFonts w:ascii="Times New Roman" w:hAnsi="Times New Roman" w:cs="Times New Roman"/>
          <w:sz w:val="24"/>
          <w:szCs w:val="24"/>
        </w:rPr>
        <w:t xml:space="preserve"> (Princeton: Princeton University Press, 1999).</w:t>
      </w:r>
    </w:p>
    <w:p w14:paraId="29F00BB1" w14:textId="77777777" w:rsidR="00CF4EA4" w:rsidRPr="00AE141E" w:rsidRDefault="00CF4EA4" w:rsidP="00CF4EA4">
      <w:pPr>
        <w:pStyle w:val="FootnoteText"/>
        <w:spacing w:line="360" w:lineRule="auto"/>
        <w:rPr>
          <w:rFonts w:ascii="Times New Roman" w:hAnsi="Times New Roman" w:cs="Times New Roman"/>
          <w:sz w:val="24"/>
          <w:szCs w:val="24"/>
        </w:rPr>
      </w:pPr>
    </w:p>
    <w:p w14:paraId="404107FD" w14:textId="57CD8E23" w:rsidR="00F15AC7" w:rsidRDefault="004C09DC" w:rsidP="00CF4EA4">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Baudrillard, J., </w:t>
      </w:r>
      <w:r w:rsidRPr="00AE141E">
        <w:rPr>
          <w:rFonts w:ascii="Times New Roman" w:hAnsi="Times New Roman" w:cs="Times New Roman"/>
          <w:i/>
          <w:sz w:val="24"/>
          <w:szCs w:val="24"/>
        </w:rPr>
        <w:t>The Illusion of the End</w:t>
      </w:r>
      <w:r w:rsidRPr="00AE141E">
        <w:rPr>
          <w:rFonts w:ascii="Times New Roman" w:hAnsi="Times New Roman" w:cs="Times New Roman"/>
          <w:sz w:val="24"/>
          <w:szCs w:val="24"/>
        </w:rPr>
        <w:t xml:space="preserve"> (Stanford: Stanford University Press, 1994).</w:t>
      </w:r>
    </w:p>
    <w:p w14:paraId="47F1C78E" w14:textId="77777777" w:rsidR="00F15AC7" w:rsidRDefault="00F15AC7" w:rsidP="00CF4EA4">
      <w:pPr>
        <w:spacing w:line="360" w:lineRule="auto"/>
        <w:rPr>
          <w:rFonts w:ascii="Times New Roman" w:hAnsi="Times New Roman" w:cs="Times New Roman"/>
          <w:sz w:val="24"/>
          <w:szCs w:val="24"/>
        </w:rPr>
      </w:pPr>
    </w:p>
    <w:p w14:paraId="64DD6EA9" w14:textId="0C06768D" w:rsidR="00CF4EA4" w:rsidRDefault="00F15AC7" w:rsidP="00CF4EA4">
      <w:pPr>
        <w:spacing w:line="360" w:lineRule="auto"/>
        <w:rPr>
          <w:rFonts w:ascii="Times New Roman" w:hAnsi="Times New Roman" w:cs="Times New Roman"/>
          <w:sz w:val="24"/>
          <w:szCs w:val="24"/>
        </w:rPr>
      </w:pPr>
      <w:r w:rsidRPr="00F15AC7">
        <w:rPr>
          <w:rFonts w:ascii="Times New Roman" w:hAnsi="Times New Roman" w:cs="Times New Roman"/>
          <w:sz w:val="24"/>
          <w:szCs w:val="24"/>
        </w:rPr>
        <w:t>Bhopal, K., </w:t>
      </w:r>
      <w:r w:rsidRPr="00F15AC7">
        <w:rPr>
          <w:rFonts w:ascii="Times New Roman" w:hAnsi="Times New Roman" w:cs="Times New Roman"/>
          <w:i/>
          <w:iCs/>
          <w:sz w:val="24"/>
          <w:szCs w:val="24"/>
        </w:rPr>
        <w:t>Race and Education: Reproducing White Supremacy in Britain</w:t>
      </w:r>
      <w:r w:rsidRPr="00F15AC7">
        <w:rPr>
          <w:rFonts w:ascii="Times New Roman" w:hAnsi="Times New Roman" w:cs="Times New Roman"/>
          <w:sz w:val="24"/>
          <w:szCs w:val="24"/>
        </w:rPr>
        <w:t xml:space="preserve"> (London: Penguin, 2024).</w:t>
      </w:r>
    </w:p>
    <w:p w14:paraId="7D37C29F" w14:textId="77777777" w:rsidR="00F15AC7" w:rsidRPr="00AE141E" w:rsidRDefault="00F15AC7" w:rsidP="00CF4EA4">
      <w:pPr>
        <w:spacing w:line="360" w:lineRule="auto"/>
        <w:rPr>
          <w:rFonts w:ascii="Times New Roman" w:hAnsi="Times New Roman" w:cs="Times New Roman"/>
          <w:sz w:val="24"/>
          <w:szCs w:val="24"/>
        </w:rPr>
      </w:pPr>
    </w:p>
    <w:p w14:paraId="701AFB57" w14:textId="77777777" w:rsidR="004C09DC" w:rsidRDefault="004C09DC" w:rsidP="00CF4EA4">
      <w:pPr>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Boorman, J., </w:t>
      </w:r>
      <w:r w:rsidRPr="00AE141E">
        <w:rPr>
          <w:rFonts w:ascii="Times New Roman" w:hAnsi="Times New Roman" w:cs="Times New Roman"/>
          <w:i/>
          <w:sz w:val="24"/>
          <w:szCs w:val="24"/>
        </w:rPr>
        <w:t>Hope and Glory</w:t>
      </w:r>
      <w:r w:rsidRPr="00AE141E">
        <w:rPr>
          <w:rFonts w:ascii="Times New Roman" w:hAnsi="Times New Roman" w:cs="Times New Roman"/>
          <w:sz w:val="24"/>
          <w:szCs w:val="24"/>
        </w:rPr>
        <w:t xml:space="preserve"> (London: Faber and Faber, 1987).</w:t>
      </w:r>
    </w:p>
    <w:p w14:paraId="63542834" w14:textId="77777777" w:rsidR="00CF4EA4" w:rsidRPr="00AE141E" w:rsidRDefault="00CF4EA4" w:rsidP="00CF4EA4">
      <w:pPr>
        <w:spacing w:line="360" w:lineRule="auto"/>
        <w:rPr>
          <w:rFonts w:ascii="Times New Roman" w:hAnsi="Times New Roman" w:cs="Times New Roman"/>
          <w:sz w:val="24"/>
          <w:szCs w:val="24"/>
        </w:rPr>
      </w:pPr>
    </w:p>
    <w:p w14:paraId="56292F84" w14:textId="2CD83CAC" w:rsidR="004C09DC" w:rsidRPr="00AE141E" w:rsidRDefault="004C09DC" w:rsidP="00CF4EA4">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Bowen, H.V., </w:t>
      </w:r>
      <w:r w:rsidRPr="00AE141E">
        <w:rPr>
          <w:rFonts w:ascii="Times New Roman" w:hAnsi="Times New Roman" w:cs="Times New Roman"/>
          <w:i/>
          <w:sz w:val="24"/>
          <w:szCs w:val="24"/>
        </w:rPr>
        <w:t>Wales and the British Overseas Empire: Interactions and Influences, 1650-1830</w:t>
      </w:r>
      <w:r w:rsidRPr="00AE141E">
        <w:rPr>
          <w:rFonts w:ascii="Times New Roman" w:hAnsi="Times New Roman" w:cs="Times New Roman"/>
          <w:sz w:val="24"/>
          <w:szCs w:val="24"/>
        </w:rPr>
        <w:t xml:space="preserve"> (Manchester: M</w:t>
      </w:r>
      <w:r w:rsidR="005604AC" w:rsidRPr="00AE141E">
        <w:rPr>
          <w:rFonts w:ascii="Times New Roman" w:hAnsi="Times New Roman" w:cs="Times New Roman"/>
          <w:sz w:val="24"/>
          <w:szCs w:val="24"/>
        </w:rPr>
        <w:t xml:space="preserve">anchester </w:t>
      </w:r>
      <w:r w:rsidRPr="00AE141E">
        <w:rPr>
          <w:rFonts w:ascii="Times New Roman" w:hAnsi="Times New Roman" w:cs="Times New Roman"/>
          <w:sz w:val="24"/>
          <w:szCs w:val="24"/>
        </w:rPr>
        <w:t>U</w:t>
      </w:r>
      <w:r w:rsidR="005604AC" w:rsidRPr="00AE141E">
        <w:rPr>
          <w:rFonts w:ascii="Times New Roman" w:hAnsi="Times New Roman" w:cs="Times New Roman"/>
          <w:sz w:val="24"/>
          <w:szCs w:val="24"/>
        </w:rPr>
        <w:t xml:space="preserve">niversity </w:t>
      </w:r>
      <w:r w:rsidRPr="00AE141E">
        <w:rPr>
          <w:rFonts w:ascii="Times New Roman" w:hAnsi="Times New Roman" w:cs="Times New Roman"/>
          <w:sz w:val="24"/>
          <w:szCs w:val="24"/>
        </w:rPr>
        <w:t>P</w:t>
      </w:r>
      <w:r w:rsidR="005604AC" w:rsidRPr="00AE141E">
        <w:rPr>
          <w:rFonts w:ascii="Times New Roman" w:hAnsi="Times New Roman" w:cs="Times New Roman"/>
          <w:sz w:val="24"/>
          <w:szCs w:val="24"/>
        </w:rPr>
        <w:t>ress [MUP]</w:t>
      </w:r>
      <w:r w:rsidRPr="00AE141E">
        <w:rPr>
          <w:rFonts w:ascii="Times New Roman" w:hAnsi="Times New Roman" w:cs="Times New Roman"/>
          <w:sz w:val="24"/>
          <w:szCs w:val="24"/>
        </w:rPr>
        <w:t>, 2017).</w:t>
      </w:r>
    </w:p>
    <w:p w14:paraId="0510BEFC" w14:textId="77777777" w:rsidR="004C09DC" w:rsidRPr="00AE141E" w:rsidRDefault="004C09DC" w:rsidP="00CF4EA4">
      <w:pPr>
        <w:pStyle w:val="FootnoteText"/>
        <w:spacing w:line="360" w:lineRule="auto"/>
        <w:rPr>
          <w:rFonts w:ascii="Times New Roman" w:hAnsi="Times New Roman" w:cs="Times New Roman"/>
          <w:sz w:val="24"/>
          <w:szCs w:val="24"/>
        </w:rPr>
      </w:pPr>
    </w:p>
    <w:p w14:paraId="6E7B8FD4" w14:textId="77777777" w:rsidR="004C09DC" w:rsidRPr="00AE141E" w:rsidRDefault="004C09DC" w:rsidP="00CF4EA4">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Bowles, S., and Gintis</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H.,</w:t>
      </w:r>
      <w:r w:rsidRPr="00AE141E">
        <w:rPr>
          <w:rFonts w:ascii="Times New Roman" w:hAnsi="Times New Roman" w:cs="Times New Roman"/>
          <w:i/>
          <w:sz w:val="24"/>
          <w:szCs w:val="24"/>
        </w:rPr>
        <w:t xml:space="preserve"> Schooling in Capitalist America: Educational Reform and the Contradictions of Economic Life</w:t>
      </w:r>
      <w:r w:rsidRPr="00AE141E">
        <w:rPr>
          <w:rFonts w:ascii="Times New Roman" w:hAnsi="Times New Roman" w:cs="Times New Roman"/>
          <w:sz w:val="24"/>
          <w:szCs w:val="24"/>
        </w:rPr>
        <w:t xml:space="preserve"> (New York: Basic Books, 1976).</w:t>
      </w:r>
    </w:p>
    <w:p w14:paraId="1549A065" w14:textId="77777777" w:rsidR="004C09DC" w:rsidRPr="00AE141E" w:rsidRDefault="004C09DC" w:rsidP="00AE141E">
      <w:pPr>
        <w:pStyle w:val="FootnoteText"/>
        <w:spacing w:line="360" w:lineRule="auto"/>
        <w:rPr>
          <w:rFonts w:ascii="Times New Roman" w:hAnsi="Times New Roman" w:cs="Times New Roman"/>
          <w:sz w:val="24"/>
          <w:szCs w:val="24"/>
        </w:rPr>
      </w:pPr>
    </w:p>
    <w:p w14:paraId="449AF737" w14:textId="750B5974"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Bradley, M. (ed.), </w:t>
      </w:r>
      <w:r w:rsidRPr="00AE141E">
        <w:rPr>
          <w:rFonts w:ascii="Times New Roman" w:hAnsi="Times New Roman" w:cs="Times New Roman"/>
          <w:i/>
          <w:sz w:val="24"/>
          <w:szCs w:val="24"/>
        </w:rPr>
        <w:t>Classics and Imperialism in the British Empire</w:t>
      </w:r>
      <w:r w:rsidRPr="00AE141E">
        <w:rPr>
          <w:rFonts w:ascii="Times New Roman" w:hAnsi="Times New Roman" w:cs="Times New Roman"/>
          <w:sz w:val="24"/>
          <w:szCs w:val="24"/>
        </w:rPr>
        <w:t xml:space="preserve"> (Oxford: O</w:t>
      </w:r>
      <w:r w:rsidR="00995D5A" w:rsidRPr="00AE141E">
        <w:rPr>
          <w:rFonts w:ascii="Times New Roman" w:hAnsi="Times New Roman" w:cs="Times New Roman"/>
          <w:sz w:val="24"/>
          <w:szCs w:val="24"/>
        </w:rPr>
        <w:t xml:space="preserve">xford </w:t>
      </w:r>
      <w:r w:rsidRPr="00AE141E">
        <w:rPr>
          <w:rFonts w:ascii="Times New Roman" w:hAnsi="Times New Roman" w:cs="Times New Roman"/>
          <w:sz w:val="24"/>
          <w:szCs w:val="24"/>
        </w:rPr>
        <w:t>U</w:t>
      </w:r>
      <w:r w:rsidR="00995D5A" w:rsidRPr="00AE141E">
        <w:rPr>
          <w:rFonts w:ascii="Times New Roman" w:hAnsi="Times New Roman" w:cs="Times New Roman"/>
          <w:sz w:val="24"/>
          <w:szCs w:val="24"/>
        </w:rPr>
        <w:t xml:space="preserve">niversity </w:t>
      </w:r>
      <w:r w:rsidRPr="00AE141E">
        <w:rPr>
          <w:rFonts w:ascii="Times New Roman" w:hAnsi="Times New Roman" w:cs="Times New Roman"/>
          <w:sz w:val="24"/>
          <w:szCs w:val="24"/>
        </w:rPr>
        <w:t>P</w:t>
      </w:r>
      <w:r w:rsidR="00995D5A" w:rsidRPr="00AE141E">
        <w:rPr>
          <w:rFonts w:ascii="Times New Roman" w:hAnsi="Times New Roman" w:cs="Times New Roman"/>
          <w:sz w:val="24"/>
          <w:szCs w:val="24"/>
        </w:rPr>
        <w:t>ress [OUP]</w:t>
      </w:r>
      <w:r w:rsidRPr="00AE141E">
        <w:rPr>
          <w:rFonts w:ascii="Times New Roman" w:hAnsi="Times New Roman" w:cs="Times New Roman"/>
          <w:sz w:val="24"/>
          <w:szCs w:val="24"/>
        </w:rPr>
        <w:t>, 2010).</w:t>
      </w:r>
    </w:p>
    <w:p w14:paraId="080ADF7C" w14:textId="77777777" w:rsidR="004C09DC" w:rsidRPr="00AE141E" w:rsidRDefault="004C09DC" w:rsidP="00AE141E">
      <w:pPr>
        <w:pStyle w:val="FootnoteText"/>
        <w:spacing w:line="360" w:lineRule="auto"/>
        <w:rPr>
          <w:rFonts w:ascii="Times New Roman" w:hAnsi="Times New Roman" w:cs="Times New Roman"/>
          <w:sz w:val="24"/>
          <w:szCs w:val="24"/>
        </w:rPr>
      </w:pPr>
    </w:p>
    <w:p w14:paraId="242C5E1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Braster, S., Grosvenor, I., and del Mar del Pozo Andrés M., </w:t>
      </w:r>
      <w:r w:rsidRPr="00AE141E">
        <w:rPr>
          <w:rFonts w:ascii="Times New Roman" w:hAnsi="Times New Roman" w:cs="Times New Roman"/>
          <w:i/>
          <w:sz w:val="24"/>
          <w:szCs w:val="24"/>
        </w:rPr>
        <w:t>Black Box of Schooling: A Cultural History of the Classroom</w:t>
      </w:r>
      <w:r w:rsidRPr="00AE141E">
        <w:rPr>
          <w:rFonts w:ascii="Times New Roman" w:hAnsi="Times New Roman" w:cs="Times New Roman"/>
          <w:sz w:val="24"/>
          <w:szCs w:val="24"/>
        </w:rPr>
        <w:t xml:space="preserve"> (Brussels: P.I.E. Peter Lang, 2011).</w:t>
      </w:r>
    </w:p>
    <w:p w14:paraId="55230547" w14:textId="77777777" w:rsidR="004C09DC" w:rsidRPr="00AE141E" w:rsidRDefault="004C09DC" w:rsidP="00AE141E">
      <w:pPr>
        <w:pStyle w:val="FootnoteText"/>
        <w:spacing w:line="360" w:lineRule="auto"/>
        <w:rPr>
          <w:rFonts w:ascii="Times New Roman" w:hAnsi="Times New Roman" w:cs="Times New Roman"/>
          <w:sz w:val="24"/>
          <w:szCs w:val="24"/>
        </w:rPr>
      </w:pPr>
    </w:p>
    <w:p w14:paraId="3B8E5BF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Buettner, E., </w:t>
      </w:r>
      <w:r w:rsidRPr="00AE141E">
        <w:rPr>
          <w:rFonts w:ascii="Times New Roman" w:hAnsi="Times New Roman" w:cs="Times New Roman"/>
          <w:i/>
          <w:sz w:val="24"/>
          <w:szCs w:val="24"/>
        </w:rPr>
        <w:t>Empire Families: Britons and Late Imperial India</w:t>
      </w:r>
      <w:r w:rsidRPr="00AE141E">
        <w:rPr>
          <w:rFonts w:ascii="Times New Roman" w:hAnsi="Times New Roman" w:cs="Times New Roman"/>
          <w:sz w:val="24"/>
          <w:szCs w:val="24"/>
        </w:rPr>
        <w:t xml:space="preserve"> (Oxford: OUP, 2004).</w:t>
      </w:r>
    </w:p>
    <w:p w14:paraId="5F6B1780" w14:textId="77777777" w:rsidR="004C09DC" w:rsidRPr="00AE141E" w:rsidRDefault="004C09DC" w:rsidP="00AE141E">
      <w:pPr>
        <w:pStyle w:val="FootnoteText"/>
        <w:spacing w:line="360" w:lineRule="auto"/>
        <w:rPr>
          <w:rFonts w:ascii="Times New Roman" w:eastAsia="Times New Roman" w:hAnsi="Times New Roman" w:cs="Times New Roman"/>
          <w:color w:val="000000"/>
          <w:sz w:val="24"/>
          <w:szCs w:val="24"/>
          <w:lang w:eastAsia="en-GB"/>
        </w:rPr>
      </w:pPr>
    </w:p>
    <w:p w14:paraId="2A71849C" w14:textId="77777777" w:rsidR="004C09DC" w:rsidRPr="00AE141E" w:rsidRDefault="004C09DC" w:rsidP="00AE141E">
      <w:pPr>
        <w:pStyle w:val="FootnoteText"/>
        <w:spacing w:line="360" w:lineRule="auto"/>
        <w:rPr>
          <w:rFonts w:ascii="Times New Roman" w:eastAsia="Times New Roman" w:hAnsi="Times New Roman" w:cs="Times New Roman"/>
          <w:color w:val="000000"/>
          <w:sz w:val="24"/>
          <w:szCs w:val="24"/>
          <w:lang w:eastAsia="en-GB"/>
        </w:rPr>
      </w:pPr>
      <w:r w:rsidRPr="00AE141E">
        <w:rPr>
          <w:rFonts w:ascii="Times New Roman" w:eastAsia="Times New Roman" w:hAnsi="Times New Roman" w:cs="Times New Roman"/>
          <w:color w:val="000000"/>
          <w:sz w:val="24"/>
          <w:szCs w:val="24"/>
          <w:lang w:eastAsia="en-GB"/>
        </w:rPr>
        <w:t xml:space="preserve">Butler, L.J., </w:t>
      </w:r>
      <w:r w:rsidRPr="00AE141E">
        <w:rPr>
          <w:rFonts w:ascii="Times New Roman" w:eastAsia="Times New Roman" w:hAnsi="Times New Roman" w:cs="Times New Roman"/>
          <w:i/>
          <w:color w:val="000000"/>
          <w:sz w:val="24"/>
          <w:szCs w:val="24"/>
          <w:lang w:eastAsia="en-GB"/>
        </w:rPr>
        <w:t>Britain and Empire: Adjusting to a Post-imperial World</w:t>
      </w:r>
      <w:r w:rsidRPr="00AE141E">
        <w:rPr>
          <w:rFonts w:ascii="Times New Roman" w:eastAsia="Times New Roman" w:hAnsi="Times New Roman" w:cs="Times New Roman"/>
          <w:color w:val="000000"/>
          <w:sz w:val="24"/>
          <w:szCs w:val="24"/>
          <w:lang w:eastAsia="en-GB"/>
        </w:rPr>
        <w:t xml:space="preserve"> (London: I.B. Tauris, 2002).</w:t>
      </w:r>
    </w:p>
    <w:p w14:paraId="5FF918DB" w14:textId="77777777" w:rsidR="004C09DC" w:rsidRPr="00AE141E" w:rsidRDefault="004C09DC" w:rsidP="00AE141E">
      <w:pPr>
        <w:pStyle w:val="FootnoteText"/>
        <w:spacing w:line="360" w:lineRule="auto"/>
        <w:rPr>
          <w:rFonts w:ascii="Times New Roman" w:hAnsi="Times New Roman" w:cs="Times New Roman"/>
          <w:sz w:val="24"/>
          <w:szCs w:val="24"/>
        </w:rPr>
      </w:pPr>
    </w:p>
    <w:p w14:paraId="723B6EA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Cannadine, D., </w:t>
      </w:r>
      <w:r w:rsidRPr="00AE141E">
        <w:rPr>
          <w:rFonts w:ascii="Times New Roman" w:hAnsi="Times New Roman" w:cs="Times New Roman"/>
          <w:i/>
          <w:sz w:val="24"/>
          <w:szCs w:val="24"/>
        </w:rPr>
        <w:t xml:space="preserve">Ornamentalism: How the British Saw their Empire </w:t>
      </w:r>
      <w:r w:rsidRPr="00AE141E">
        <w:rPr>
          <w:rFonts w:ascii="Times New Roman" w:hAnsi="Times New Roman" w:cs="Times New Roman"/>
          <w:sz w:val="24"/>
          <w:szCs w:val="24"/>
        </w:rPr>
        <w:t>(Oxford: OUP, 2001).</w:t>
      </w:r>
    </w:p>
    <w:p w14:paraId="6D103E53" w14:textId="77777777" w:rsidR="004C09DC" w:rsidRPr="00AE141E" w:rsidRDefault="004C09DC" w:rsidP="00AE141E">
      <w:pPr>
        <w:pStyle w:val="FootnoteText"/>
        <w:spacing w:line="360" w:lineRule="auto"/>
        <w:rPr>
          <w:rFonts w:ascii="Times New Roman" w:hAnsi="Times New Roman" w:cs="Times New Roman"/>
          <w:sz w:val="24"/>
          <w:szCs w:val="24"/>
        </w:rPr>
      </w:pPr>
    </w:p>
    <w:p w14:paraId="2333F19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Cannadine, D., Keating, J., and Sheldon, N., </w:t>
      </w:r>
      <w:r w:rsidRPr="00AE141E">
        <w:rPr>
          <w:rFonts w:ascii="Times New Roman" w:hAnsi="Times New Roman" w:cs="Times New Roman"/>
          <w:i/>
          <w:sz w:val="24"/>
          <w:szCs w:val="24"/>
        </w:rPr>
        <w:t xml:space="preserve">The Right Kind of History: Teaching the Past in Twentieth-Century England </w:t>
      </w:r>
      <w:r w:rsidRPr="00AE141E">
        <w:rPr>
          <w:rFonts w:ascii="Times New Roman" w:hAnsi="Times New Roman" w:cs="Times New Roman"/>
          <w:sz w:val="24"/>
          <w:szCs w:val="24"/>
        </w:rPr>
        <w:t>(Basingstoke: Palgrave Macmillan, 2011).</w:t>
      </w:r>
    </w:p>
    <w:p w14:paraId="1AC6DB16" w14:textId="77777777" w:rsidR="004C09DC" w:rsidRPr="00AE141E" w:rsidRDefault="004C09DC" w:rsidP="00AE141E">
      <w:pPr>
        <w:pStyle w:val="FootnoteText"/>
        <w:spacing w:line="360" w:lineRule="auto"/>
        <w:rPr>
          <w:rFonts w:ascii="Times New Roman" w:hAnsi="Times New Roman" w:cs="Times New Roman"/>
          <w:sz w:val="24"/>
          <w:szCs w:val="24"/>
        </w:rPr>
      </w:pPr>
    </w:p>
    <w:p w14:paraId="59CF903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Carter, C., and Grosvenor, I., </w:t>
      </w:r>
      <w:r w:rsidRPr="00AE141E">
        <w:rPr>
          <w:rFonts w:ascii="Times New Roman" w:hAnsi="Times New Roman" w:cs="Times New Roman"/>
          <w:i/>
          <w:sz w:val="24"/>
          <w:szCs w:val="24"/>
        </w:rPr>
        <w:t xml:space="preserve">The Apostles of Purity: Black Immigration and Education Policy in Post-War Britain </w:t>
      </w:r>
      <w:r w:rsidRPr="00AE141E">
        <w:rPr>
          <w:rFonts w:ascii="Times New Roman" w:hAnsi="Times New Roman" w:cs="Times New Roman"/>
          <w:sz w:val="24"/>
          <w:szCs w:val="24"/>
        </w:rPr>
        <w:t>(Birmingham, AFFOR, 1992).</w:t>
      </w:r>
    </w:p>
    <w:p w14:paraId="0ADB804B" w14:textId="77777777" w:rsidR="004C09DC" w:rsidRPr="00AE141E" w:rsidRDefault="004C09DC" w:rsidP="00AE141E">
      <w:pPr>
        <w:pStyle w:val="FootnoteText"/>
        <w:spacing w:line="360" w:lineRule="auto"/>
        <w:rPr>
          <w:rFonts w:ascii="Times New Roman" w:hAnsi="Times New Roman" w:cs="Times New Roman"/>
          <w:sz w:val="24"/>
          <w:szCs w:val="24"/>
        </w:rPr>
      </w:pPr>
    </w:p>
    <w:p w14:paraId="21D5849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Carter, C., </w:t>
      </w:r>
      <w:r w:rsidRPr="00AE141E">
        <w:rPr>
          <w:rFonts w:ascii="Times New Roman" w:hAnsi="Times New Roman" w:cs="Times New Roman"/>
          <w:i/>
          <w:sz w:val="24"/>
          <w:szCs w:val="24"/>
        </w:rPr>
        <w:t>Histories of Everyday Life: The Making of Popular Social History in Britain, 1918–1979</w:t>
      </w:r>
      <w:r w:rsidRPr="00AE141E">
        <w:rPr>
          <w:rFonts w:ascii="Times New Roman" w:hAnsi="Times New Roman" w:cs="Times New Roman"/>
          <w:sz w:val="24"/>
          <w:szCs w:val="24"/>
        </w:rPr>
        <w:t>, (Oxford: OUP, 2021).</w:t>
      </w:r>
    </w:p>
    <w:p w14:paraId="174BF89C" w14:textId="77777777" w:rsidR="004C09DC" w:rsidRPr="00AE141E" w:rsidRDefault="004C09DC" w:rsidP="00AE141E">
      <w:pPr>
        <w:pStyle w:val="FootnoteText"/>
        <w:spacing w:line="360" w:lineRule="auto"/>
        <w:rPr>
          <w:rFonts w:ascii="Times New Roman" w:hAnsi="Times New Roman" w:cs="Times New Roman"/>
          <w:sz w:val="24"/>
          <w:szCs w:val="24"/>
        </w:rPr>
      </w:pPr>
    </w:p>
    <w:p w14:paraId="588D402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Centre for Contemporary Cultural Studies (CCCS), </w:t>
      </w:r>
      <w:r w:rsidRPr="00AE141E">
        <w:rPr>
          <w:rFonts w:ascii="Times New Roman" w:hAnsi="Times New Roman" w:cs="Times New Roman"/>
          <w:i/>
          <w:sz w:val="24"/>
          <w:szCs w:val="24"/>
        </w:rPr>
        <w:t xml:space="preserve">The Empire Strikes Back: Race and Racism in 70s Britain </w:t>
      </w:r>
      <w:r w:rsidRPr="00AE141E">
        <w:rPr>
          <w:rFonts w:ascii="Times New Roman" w:hAnsi="Times New Roman" w:cs="Times New Roman"/>
          <w:sz w:val="24"/>
          <w:szCs w:val="24"/>
        </w:rPr>
        <w:t>(London: Hutchinson, 1982).</w:t>
      </w:r>
      <w:r w:rsidRPr="00AE141E">
        <w:rPr>
          <w:rFonts w:ascii="Times New Roman" w:hAnsi="Times New Roman" w:cs="Times New Roman"/>
          <w:i/>
          <w:sz w:val="24"/>
          <w:szCs w:val="24"/>
        </w:rPr>
        <w:t xml:space="preserve"> </w:t>
      </w:r>
    </w:p>
    <w:p w14:paraId="3DE2FCF2" w14:textId="77777777" w:rsidR="004C09DC" w:rsidRPr="00AE141E" w:rsidRDefault="004C09DC" w:rsidP="00AE141E">
      <w:pPr>
        <w:pStyle w:val="FootnoteText"/>
        <w:spacing w:line="360" w:lineRule="auto"/>
        <w:rPr>
          <w:rFonts w:ascii="Times New Roman" w:hAnsi="Times New Roman" w:cs="Times New Roman"/>
          <w:sz w:val="24"/>
          <w:szCs w:val="24"/>
        </w:rPr>
      </w:pPr>
    </w:p>
    <w:p w14:paraId="480EB58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Chancellor, V., </w:t>
      </w:r>
      <w:r w:rsidRPr="00AE141E">
        <w:rPr>
          <w:rFonts w:ascii="Times New Roman" w:hAnsi="Times New Roman" w:cs="Times New Roman"/>
          <w:i/>
          <w:sz w:val="24"/>
          <w:szCs w:val="24"/>
        </w:rPr>
        <w:t>History for Their Masters: Opinion in the English History Textbook, 1800-1914</w:t>
      </w:r>
      <w:r w:rsidRPr="00AE141E">
        <w:rPr>
          <w:rFonts w:ascii="Times New Roman" w:hAnsi="Times New Roman" w:cs="Times New Roman"/>
          <w:sz w:val="24"/>
          <w:szCs w:val="24"/>
        </w:rPr>
        <w:t xml:space="preserve"> (Bath: Adams &amp; Dart, 1970).</w:t>
      </w:r>
    </w:p>
    <w:p w14:paraId="77566E7A" w14:textId="77777777" w:rsidR="004C09DC" w:rsidRPr="00AE141E" w:rsidRDefault="004C09DC" w:rsidP="00AE141E">
      <w:pPr>
        <w:pStyle w:val="FootnoteText"/>
        <w:spacing w:line="360" w:lineRule="auto"/>
        <w:rPr>
          <w:rFonts w:ascii="Times New Roman" w:hAnsi="Times New Roman" w:cs="Times New Roman"/>
          <w:sz w:val="24"/>
          <w:szCs w:val="24"/>
        </w:rPr>
      </w:pPr>
    </w:p>
    <w:p w14:paraId="49D9433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Coard, B., </w:t>
      </w:r>
      <w:r w:rsidRPr="00AE141E">
        <w:rPr>
          <w:rFonts w:ascii="Times New Roman" w:hAnsi="Times New Roman" w:cs="Times New Roman"/>
          <w:i/>
          <w:sz w:val="24"/>
          <w:szCs w:val="24"/>
        </w:rPr>
        <w:t xml:space="preserve">How the West Indian Child is Made Educationally Subnormal in the British School System: The Scandal of the Black Child in Schools in Britain </w:t>
      </w:r>
      <w:r w:rsidRPr="00AE141E">
        <w:rPr>
          <w:rFonts w:ascii="Times New Roman" w:hAnsi="Times New Roman" w:cs="Times New Roman"/>
          <w:sz w:val="24"/>
          <w:szCs w:val="24"/>
        </w:rPr>
        <w:t>(London: New Beacon, 1971).</w:t>
      </w:r>
    </w:p>
    <w:p w14:paraId="2EF5845B" w14:textId="77777777" w:rsidR="004C09DC" w:rsidRPr="00AE141E" w:rsidRDefault="004C09DC" w:rsidP="00AE141E">
      <w:pPr>
        <w:pStyle w:val="FootnoteText"/>
        <w:spacing w:line="360" w:lineRule="auto"/>
        <w:rPr>
          <w:rFonts w:ascii="Times New Roman" w:hAnsi="Times New Roman" w:cs="Times New Roman"/>
          <w:sz w:val="24"/>
          <w:szCs w:val="24"/>
        </w:rPr>
      </w:pPr>
    </w:p>
    <w:p w14:paraId="1BE360F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Darwin, J., </w:t>
      </w:r>
      <w:r w:rsidRPr="00AE141E">
        <w:rPr>
          <w:rFonts w:ascii="Times New Roman" w:hAnsi="Times New Roman" w:cs="Times New Roman"/>
          <w:i/>
          <w:sz w:val="24"/>
          <w:szCs w:val="24"/>
        </w:rPr>
        <w:t xml:space="preserve">The End of the British Empire: The Historical Debate </w:t>
      </w:r>
      <w:r w:rsidRPr="00AE141E">
        <w:rPr>
          <w:rFonts w:ascii="Times New Roman" w:hAnsi="Times New Roman" w:cs="Times New Roman"/>
          <w:sz w:val="24"/>
          <w:szCs w:val="24"/>
        </w:rPr>
        <w:t>(Oxford: Blackwell, 1991).</w:t>
      </w:r>
    </w:p>
    <w:p w14:paraId="7D0AB4C5" w14:textId="77777777" w:rsidR="004C09DC" w:rsidRPr="00AE141E" w:rsidRDefault="004C09DC" w:rsidP="00AE141E">
      <w:pPr>
        <w:pStyle w:val="FootnoteText"/>
        <w:spacing w:line="360" w:lineRule="auto"/>
        <w:rPr>
          <w:rFonts w:ascii="Times New Roman" w:hAnsi="Times New Roman" w:cs="Times New Roman"/>
          <w:sz w:val="24"/>
          <w:szCs w:val="24"/>
        </w:rPr>
      </w:pPr>
    </w:p>
    <w:p w14:paraId="1EC5E4C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Davis</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M.,</w:t>
      </w:r>
      <w:r w:rsidRPr="00AE141E">
        <w:rPr>
          <w:rFonts w:ascii="Times New Roman" w:hAnsi="Times New Roman" w:cs="Times New Roman"/>
          <w:i/>
          <w:sz w:val="24"/>
          <w:szCs w:val="24"/>
        </w:rPr>
        <w:t xml:space="preserve"> Late Victorian Holocausts: El Niño Famines and the Making of the Third World</w:t>
      </w:r>
      <w:r w:rsidRPr="00AE141E">
        <w:rPr>
          <w:rFonts w:ascii="Times New Roman" w:hAnsi="Times New Roman" w:cs="Times New Roman"/>
          <w:sz w:val="24"/>
          <w:szCs w:val="24"/>
        </w:rPr>
        <w:t xml:space="preserve"> (London: Verso, 2001).</w:t>
      </w:r>
    </w:p>
    <w:p w14:paraId="28E564E8" w14:textId="77777777" w:rsidR="004C09DC" w:rsidRPr="00AE141E" w:rsidRDefault="004C09DC" w:rsidP="00AE141E">
      <w:pPr>
        <w:pStyle w:val="FootnoteText"/>
        <w:spacing w:line="360" w:lineRule="auto"/>
        <w:rPr>
          <w:rFonts w:ascii="Times New Roman" w:hAnsi="Times New Roman" w:cs="Times New Roman"/>
          <w:sz w:val="24"/>
          <w:szCs w:val="24"/>
        </w:rPr>
      </w:pPr>
    </w:p>
    <w:p w14:paraId="035CD2E1" w14:textId="142C318C" w:rsidR="004C09DC" w:rsidRPr="00AE141E" w:rsidRDefault="004C09DC" w:rsidP="00AE141E">
      <w:pPr>
        <w:pStyle w:val="FootnoteText"/>
        <w:spacing w:line="360" w:lineRule="auto"/>
        <w:rPr>
          <w:rFonts w:ascii="Times New Roman" w:hAnsi="Times New Roman" w:cs="Times New Roman"/>
          <w:iCs/>
          <w:sz w:val="24"/>
          <w:szCs w:val="24"/>
        </w:rPr>
      </w:pPr>
      <w:r w:rsidRPr="00AE141E">
        <w:rPr>
          <w:rFonts w:ascii="Times New Roman" w:hAnsi="Times New Roman" w:cs="Times New Roman"/>
          <w:sz w:val="24"/>
          <w:szCs w:val="24"/>
        </w:rPr>
        <w:t xml:space="preserve">Davison, S., </w:t>
      </w:r>
      <w:r w:rsidRPr="00AE141E">
        <w:rPr>
          <w:rFonts w:ascii="Times New Roman" w:hAnsi="Times New Roman" w:cs="Times New Roman"/>
          <w:i/>
          <w:sz w:val="24"/>
          <w:szCs w:val="24"/>
        </w:rPr>
        <w:t>et al.</w:t>
      </w:r>
      <w:r w:rsidRPr="00AE141E">
        <w:rPr>
          <w:rFonts w:ascii="Times New Roman" w:hAnsi="Times New Roman" w:cs="Times New Roman"/>
          <w:sz w:val="24"/>
          <w:szCs w:val="24"/>
        </w:rPr>
        <w:t xml:space="preserve"> (eds),</w:t>
      </w:r>
      <w:r w:rsidRPr="00AE141E">
        <w:rPr>
          <w:rFonts w:ascii="Times New Roman" w:hAnsi="Times New Roman" w:cs="Times New Roman"/>
          <w:i/>
          <w:sz w:val="24"/>
          <w:szCs w:val="24"/>
        </w:rPr>
        <w:t xml:space="preserve"> Selected Political Writings: The Great Moving Right Show and Other Essays, </w:t>
      </w:r>
      <w:r w:rsidRPr="00AE141E">
        <w:rPr>
          <w:rFonts w:ascii="Times New Roman" w:hAnsi="Times New Roman" w:cs="Times New Roman"/>
          <w:sz w:val="24"/>
          <w:szCs w:val="24"/>
        </w:rPr>
        <w:t>(New York, USA: Duke University Press, 2017).</w:t>
      </w:r>
    </w:p>
    <w:p w14:paraId="1B12B6DD" w14:textId="77777777" w:rsidR="004C09DC" w:rsidRPr="00AE141E" w:rsidRDefault="004C09DC" w:rsidP="00AE141E">
      <w:pPr>
        <w:pStyle w:val="FootnoteText"/>
        <w:spacing w:line="360" w:lineRule="auto"/>
        <w:rPr>
          <w:rFonts w:ascii="Times New Roman" w:hAnsi="Times New Roman" w:cs="Times New Roman"/>
          <w:sz w:val="24"/>
          <w:szCs w:val="24"/>
        </w:rPr>
      </w:pPr>
    </w:p>
    <w:p w14:paraId="37FE0DC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Devine, T.M., </w:t>
      </w:r>
      <w:r w:rsidRPr="00AE141E">
        <w:rPr>
          <w:rFonts w:ascii="Times New Roman" w:hAnsi="Times New Roman" w:cs="Times New Roman"/>
          <w:i/>
          <w:sz w:val="24"/>
          <w:szCs w:val="24"/>
        </w:rPr>
        <w:t>Scotland's Empire, 1600-1815</w:t>
      </w:r>
      <w:r w:rsidRPr="00AE141E">
        <w:rPr>
          <w:rFonts w:ascii="Times New Roman" w:hAnsi="Times New Roman" w:cs="Times New Roman"/>
          <w:sz w:val="24"/>
          <w:szCs w:val="24"/>
        </w:rPr>
        <w:t xml:space="preserve"> (London: Penguin, 2003). </w:t>
      </w:r>
    </w:p>
    <w:p w14:paraId="286489A7" w14:textId="77777777" w:rsidR="004C09DC" w:rsidRPr="00AE141E" w:rsidRDefault="004C09DC" w:rsidP="00AE141E">
      <w:pPr>
        <w:pStyle w:val="FootnoteText"/>
        <w:spacing w:line="360" w:lineRule="auto"/>
        <w:rPr>
          <w:rFonts w:ascii="Times New Roman" w:hAnsi="Times New Roman" w:cs="Times New Roman"/>
          <w:sz w:val="24"/>
          <w:szCs w:val="24"/>
        </w:rPr>
      </w:pPr>
    </w:p>
    <w:p w14:paraId="3401A22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Dorling, D., and Tomlinson, S., </w:t>
      </w:r>
      <w:r w:rsidRPr="00AE141E">
        <w:rPr>
          <w:rFonts w:ascii="Times New Roman" w:hAnsi="Times New Roman" w:cs="Times New Roman"/>
          <w:i/>
          <w:sz w:val="24"/>
          <w:szCs w:val="24"/>
        </w:rPr>
        <w:t>Rule Britannia: Brexit and the End of Empire</w:t>
      </w:r>
      <w:r w:rsidRPr="00AE141E">
        <w:rPr>
          <w:rFonts w:ascii="Times New Roman" w:hAnsi="Times New Roman" w:cs="Times New Roman"/>
          <w:sz w:val="24"/>
          <w:szCs w:val="24"/>
        </w:rPr>
        <w:t xml:space="preserve"> (London: Biteback Publishing, 2019).</w:t>
      </w:r>
    </w:p>
    <w:p w14:paraId="3DB5E3B8" w14:textId="77777777" w:rsidR="004C09DC" w:rsidRPr="00AE141E" w:rsidRDefault="004C09DC" w:rsidP="00AE141E">
      <w:pPr>
        <w:pStyle w:val="FootnoteText"/>
        <w:spacing w:line="360" w:lineRule="auto"/>
        <w:rPr>
          <w:rFonts w:ascii="Times New Roman" w:hAnsi="Times New Roman" w:cs="Times New Roman"/>
          <w:sz w:val="24"/>
          <w:szCs w:val="24"/>
        </w:rPr>
      </w:pPr>
    </w:p>
    <w:p w14:paraId="05EDDCD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Dixon, B., </w:t>
      </w:r>
      <w:r w:rsidRPr="00AE141E">
        <w:rPr>
          <w:rFonts w:ascii="Times New Roman" w:hAnsi="Times New Roman" w:cs="Times New Roman"/>
          <w:i/>
          <w:sz w:val="24"/>
          <w:szCs w:val="24"/>
        </w:rPr>
        <w:t>Catching Them Young 2: Political Ideas in Children’s Fiction</w:t>
      </w:r>
      <w:r w:rsidRPr="00AE141E">
        <w:rPr>
          <w:rFonts w:ascii="Times New Roman" w:hAnsi="Times New Roman" w:cs="Times New Roman"/>
          <w:sz w:val="24"/>
          <w:szCs w:val="24"/>
        </w:rPr>
        <w:t xml:space="preserve"> (London: Pluto, 1977).</w:t>
      </w:r>
    </w:p>
    <w:p w14:paraId="113EEE05" w14:textId="77777777" w:rsidR="004C09DC" w:rsidRPr="00AE141E" w:rsidRDefault="004C09DC" w:rsidP="00AE141E">
      <w:pPr>
        <w:pStyle w:val="FootnoteText"/>
        <w:spacing w:line="360" w:lineRule="auto"/>
        <w:rPr>
          <w:rFonts w:ascii="Times New Roman" w:hAnsi="Times New Roman" w:cs="Times New Roman"/>
          <w:sz w:val="24"/>
          <w:szCs w:val="24"/>
        </w:rPr>
      </w:pPr>
    </w:p>
    <w:p w14:paraId="363DE03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eastAsia="Calibri" w:hAnsi="Times New Roman" w:cs="Times New Roman"/>
          <w:sz w:val="24"/>
          <w:szCs w:val="24"/>
        </w:rPr>
        <w:t xml:space="preserve">Dummett, A., </w:t>
      </w:r>
      <w:r w:rsidRPr="00AE141E">
        <w:rPr>
          <w:rFonts w:ascii="Times New Roman" w:eastAsia="Calibri" w:hAnsi="Times New Roman" w:cs="Times New Roman"/>
          <w:i/>
          <w:sz w:val="24"/>
          <w:szCs w:val="24"/>
        </w:rPr>
        <w:t xml:space="preserve">A Portrait of English Racism </w:t>
      </w:r>
      <w:r w:rsidRPr="00AE141E">
        <w:rPr>
          <w:rFonts w:ascii="Times New Roman" w:eastAsia="Calibri" w:hAnsi="Times New Roman" w:cs="Times New Roman"/>
          <w:sz w:val="24"/>
          <w:szCs w:val="24"/>
        </w:rPr>
        <w:t>(Harmondsworth: Penguin, 1973</w:t>
      </w:r>
      <w:r w:rsidRPr="00AE141E">
        <w:rPr>
          <w:rFonts w:ascii="Times New Roman" w:hAnsi="Times New Roman" w:cs="Times New Roman"/>
          <w:sz w:val="24"/>
          <w:szCs w:val="24"/>
        </w:rPr>
        <w:t>).</w:t>
      </w:r>
    </w:p>
    <w:p w14:paraId="7ECFE390" w14:textId="77777777" w:rsidR="004C09DC" w:rsidRPr="00AE141E" w:rsidRDefault="004C09DC" w:rsidP="00AE141E">
      <w:pPr>
        <w:pStyle w:val="FootnoteText"/>
        <w:spacing w:line="360" w:lineRule="auto"/>
        <w:rPr>
          <w:rFonts w:ascii="Times New Roman" w:hAnsi="Times New Roman" w:cs="Times New Roman"/>
          <w:sz w:val="24"/>
          <w:szCs w:val="24"/>
        </w:rPr>
      </w:pPr>
    </w:p>
    <w:p w14:paraId="085A0AF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Dyson, T., </w:t>
      </w:r>
      <w:r w:rsidRPr="00AE141E">
        <w:rPr>
          <w:rFonts w:ascii="Times New Roman" w:hAnsi="Times New Roman" w:cs="Times New Roman"/>
          <w:i/>
          <w:sz w:val="24"/>
          <w:szCs w:val="24"/>
        </w:rPr>
        <w:t>A Population History of India: From the First Modern People to the Present Day</w:t>
      </w:r>
      <w:r w:rsidRPr="00AE141E">
        <w:rPr>
          <w:rFonts w:ascii="Times New Roman" w:hAnsi="Times New Roman" w:cs="Times New Roman"/>
          <w:sz w:val="24"/>
          <w:szCs w:val="24"/>
        </w:rPr>
        <w:t xml:space="preserve"> (Oxford: OUP, 2018).</w:t>
      </w:r>
    </w:p>
    <w:p w14:paraId="01647989" w14:textId="77777777" w:rsidR="004C09DC" w:rsidRPr="00AE141E" w:rsidRDefault="004C09DC" w:rsidP="00AE141E">
      <w:pPr>
        <w:pStyle w:val="FootnoteText"/>
        <w:spacing w:line="360" w:lineRule="auto"/>
        <w:rPr>
          <w:rFonts w:ascii="Times New Roman" w:hAnsi="Times New Roman" w:cs="Times New Roman"/>
          <w:sz w:val="24"/>
          <w:szCs w:val="24"/>
        </w:rPr>
      </w:pPr>
    </w:p>
    <w:p w14:paraId="0697264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Eddo-Lodge, R., </w:t>
      </w:r>
      <w:r w:rsidRPr="00AE141E">
        <w:rPr>
          <w:rFonts w:ascii="Times New Roman" w:hAnsi="Times New Roman" w:cs="Times New Roman"/>
          <w:i/>
          <w:sz w:val="24"/>
          <w:szCs w:val="24"/>
        </w:rPr>
        <w:t xml:space="preserve">Why I'm No Longer Talking to White People about Race </w:t>
      </w:r>
      <w:r w:rsidRPr="00AE141E">
        <w:rPr>
          <w:rFonts w:ascii="Times New Roman" w:hAnsi="Times New Roman" w:cs="Times New Roman"/>
          <w:sz w:val="24"/>
          <w:szCs w:val="24"/>
        </w:rPr>
        <w:t>(London: Bloomsbury Circus, 2017).</w:t>
      </w:r>
    </w:p>
    <w:p w14:paraId="6FA463C2" w14:textId="77777777" w:rsidR="004C09DC" w:rsidRPr="00AE141E" w:rsidRDefault="004C09DC" w:rsidP="00AE141E">
      <w:pPr>
        <w:pStyle w:val="FootnoteText"/>
        <w:spacing w:line="360" w:lineRule="auto"/>
        <w:rPr>
          <w:rFonts w:ascii="Times New Roman" w:hAnsi="Times New Roman" w:cs="Times New Roman"/>
          <w:sz w:val="24"/>
          <w:szCs w:val="24"/>
        </w:rPr>
      </w:pPr>
    </w:p>
    <w:p w14:paraId="1093F96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Esteves, O., </w:t>
      </w:r>
      <w:r w:rsidRPr="00AE141E">
        <w:rPr>
          <w:rFonts w:ascii="Times New Roman" w:hAnsi="Times New Roman" w:cs="Times New Roman"/>
          <w:i/>
          <w:sz w:val="24"/>
          <w:szCs w:val="24"/>
        </w:rPr>
        <w:t>The “Desegregation” of English Schools: Bussing, Race and Urban Space, 1960s–80s</w:t>
      </w:r>
      <w:r w:rsidRPr="00AE141E">
        <w:rPr>
          <w:rFonts w:ascii="Times New Roman" w:hAnsi="Times New Roman" w:cs="Times New Roman"/>
          <w:sz w:val="24"/>
          <w:szCs w:val="24"/>
        </w:rPr>
        <w:t xml:space="preserve"> (Manchester: MUP, 2018).</w:t>
      </w:r>
    </w:p>
    <w:p w14:paraId="17D2C80C" w14:textId="77777777" w:rsidR="004C09DC" w:rsidRPr="00AE141E" w:rsidRDefault="004C09DC" w:rsidP="00AE141E">
      <w:pPr>
        <w:pStyle w:val="FootnoteText"/>
        <w:spacing w:line="360" w:lineRule="auto"/>
        <w:rPr>
          <w:rFonts w:ascii="Times New Roman" w:hAnsi="Times New Roman" w:cs="Times New Roman"/>
          <w:sz w:val="24"/>
          <w:szCs w:val="24"/>
        </w:rPr>
      </w:pPr>
    </w:p>
    <w:p w14:paraId="0C51249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Faloyin</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D.,</w:t>
      </w:r>
      <w:r w:rsidRPr="00AE141E">
        <w:rPr>
          <w:rFonts w:ascii="Times New Roman" w:hAnsi="Times New Roman" w:cs="Times New Roman"/>
          <w:i/>
          <w:sz w:val="24"/>
          <w:szCs w:val="24"/>
        </w:rPr>
        <w:t xml:space="preserve"> Africa is Not a Country: Breaking Stereotypes of Modern Africa</w:t>
      </w:r>
      <w:r w:rsidRPr="00AE141E">
        <w:rPr>
          <w:rFonts w:ascii="Times New Roman" w:hAnsi="Times New Roman" w:cs="Times New Roman"/>
          <w:sz w:val="24"/>
          <w:szCs w:val="24"/>
        </w:rPr>
        <w:t xml:space="preserve"> (London: Vintage, 2023).</w:t>
      </w:r>
    </w:p>
    <w:p w14:paraId="1FF673FA" w14:textId="77777777" w:rsidR="004C09DC" w:rsidRPr="00AE141E" w:rsidRDefault="004C09DC" w:rsidP="00AE141E">
      <w:pPr>
        <w:pStyle w:val="FootnoteText"/>
        <w:spacing w:line="360" w:lineRule="auto"/>
        <w:rPr>
          <w:rFonts w:ascii="Times New Roman" w:hAnsi="Times New Roman" w:cs="Times New Roman"/>
          <w:sz w:val="24"/>
          <w:szCs w:val="24"/>
        </w:rPr>
      </w:pPr>
    </w:p>
    <w:p w14:paraId="4CCC089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Fazan, S.H., </w:t>
      </w:r>
      <w:r w:rsidRPr="00AE141E">
        <w:rPr>
          <w:rFonts w:ascii="Times New Roman" w:hAnsi="Times New Roman" w:cs="Times New Roman"/>
          <w:i/>
          <w:sz w:val="24"/>
          <w:szCs w:val="24"/>
        </w:rPr>
        <w:t>Colonial Kenya Observed: British Rule, Mau Mau and the Wind of Change</w:t>
      </w:r>
      <w:r w:rsidRPr="00AE141E">
        <w:rPr>
          <w:rFonts w:ascii="Times New Roman" w:hAnsi="Times New Roman" w:cs="Times New Roman"/>
          <w:sz w:val="24"/>
          <w:szCs w:val="24"/>
        </w:rPr>
        <w:t xml:space="preserve"> (London: I.B. Tauris, 2015).</w:t>
      </w:r>
    </w:p>
    <w:p w14:paraId="4A72BA10" w14:textId="77777777" w:rsidR="004C09DC" w:rsidRPr="00AE141E" w:rsidRDefault="004C09DC" w:rsidP="00AE141E">
      <w:pPr>
        <w:pStyle w:val="FootnoteText"/>
        <w:spacing w:line="360" w:lineRule="auto"/>
        <w:rPr>
          <w:rFonts w:ascii="Times New Roman" w:hAnsi="Times New Roman" w:cs="Times New Roman"/>
          <w:sz w:val="24"/>
          <w:szCs w:val="24"/>
        </w:rPr>
      </w:pPr>
    </w:p>
    <w:p w14:paraId="2E58C18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Ferro, M., </w:t>
      </w:r>
      <w:r w:rsidRPr="00AE141E">
        <w:rPr>
          <w:rFonts w:ascii="Times New Roman" w:hAnsi="Times New Roman" w:cs="Times New Roman"/>
          <w:i/>
          <w:sz w:val="24"/>
          <w:szCs w:val="24"/>
        </w:rPr>
        <w:t>The Use and Abuse of History</w:t>
      </w:r>
      <w:r w:rsidRPr="00AE141E">
        <w:rPr>
          <w:rFonts w:ascii="Times New Roman" w:hAnsi="Times New Roman" w:cs="Times New Roman"/>
          <w:sz w:val="24"/>
          <w:szCs w:val="24"/>
        </w:rPr>
        <w:t xml:space="preserve"> (London: Routledge Classics, 2003).</w:t>
      </w:r>
    </w:p>
    <w:p w14:paraId="1E05C126" w14:textId="77777777" w:rsidR="004C09DC" w:rsidRPr="00AE141E" w:rsidRDefault="004C09DC" w:rsidP="00AE141E">
      <w:pPr>
        <w:pStyle w:val="FootnoteText"/>
        <w:spacing w:line="360" w:lineRule="auto"/>
        <w:rPr>
          <w:rFonts w:ascii="Times New Roman" w:hAnsi="Times New Roman" w:cs="Times New Roman"/>
          <w:sz w:val="24"/>
          <w:szCs w:val="24"/>
        </w:rPr>
      </w:pPr>
    </w:p>
    <w:p w14:paraId="5DCF858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Freire, P., </w:t>
      </w:r>
      <w:r w:rsidRPr="00AE141E">
        <w:rPr>
          <w:rFonts w:ascii="Times New Roman" w:hAnsi="Times New Roman" w:cs="Times New Roman"/>
          <w:i/>
          <w:sz w:val="24"/>
          <w:szCs w:val="24"/>
        </w:rPr>
        <w:t>Pedagogy of the Oppressed</w:t>
      </w:r>
      <w:r w:rsidRPr="00AE141E">
        <w:rPr>
          <w:rFonts w:ascii="Times New Roman" w:hAnsi="Times New Roman" w:cs="Times New Roman"/>
          <w:sz w:val="24"/>
          <w:szCs w:val="24"/>
        </w:rPr>
        <w:t>, 3</w:t>
      </w:r>
      <w:r w:rsidRPr="00AE141E">
        <w:rPr>
          <w:rFonts w:ascii="Times New Roman" w:hAnsi="Times New Roman" w:cs="Times New Roman"/>
          <w:sz w:val="24"/>
          <w:szCs w:val="24"/>
          <w:vertAlign w:val="superscript"/>
        </w:rPr>
        <w:t>rd</w:t>
      </w:r>
      <w:r w:rsidRPr="00AE141E">
        <w:rPr>
          <w:rFonts w:ascii="Times New Roman" w:hAnsi="Times New Roman" w:cs="Times New Roman"/>
          <w:sz w:val="24"/>
          <w:szCs w:val="24"/>
        </w:rPr>
        <w:t xml:space="preserve"> edn (London: Penguin, 2017).</w:t>
      </w:r>
    </w:p>
    <w:p w14:paraId="7D417043" w14:textId="77777777" w:rsidR="004C09DC" w:rsidRPr="00AE141E" w:rsidRDefault="004C09DC" w:rsidP="00AE141E">
      <w:pPr>
        <w:pStyle w:val="FootnoteText"/>
        <w:spacing w:line="360" w:lineRule="auto"/>
        <w:rPr>
          <w:rFonts w:ascii="Times New Roman" w:hAnsi="Times New Roman" w:cs="Times New Roman"/>
          <w:sz w:val="24"/>
          <w:szCs w:val="24"/>
        </w:rPr>
      </w:pPr>
    </w:p>
    <w:p w14:paraId="527CC8B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Fry, P., </w:t>
      </w:r>
      <w:r w:rsidRPr="00AE141E">
        <w:rPr>
          <w:rFonts w:ascii="Times New Roman" w:hAnsi="Times New Roman" w:cs="Times New Roman"/>
          <w:i/>
          <w:sz w:val="24"/>
          <w:szCs w:val="24"/>
        </w:rPr>
        <w:t xml:space="preserve">Staying Power: The History of Black People in Britain </w:t>
      </w:r>
      <w:r w:rsidRPr="00AE141E">
        <w:rPr>
          <w:rFonts w:ascii="Times New Roman" w:hAnsi="Times New Roman" w:cs="Times New Roman"/>
          <w:sz w:val="24"/>
          <w:szCs w:val="24"/>
        </w:rPr>
        <w:t>(London: Pluto, 1984).</w:t>
      </w:r>
    </w:p>
    <w:p w14:paraId="182C7FBA" w14:textId="77777777" w:rsidR="004C09DC" w:rsidRPr="00AE141E" w:rsidRDefault="004C09DC" w:rsidP="00AE141E">
      <w:pPr>
        <w:pStyle w:val="FootnoteText"/>
        <w:spacing w:line="360" w:lineRule="auto"/>
        <w:rPr>
          <w:rFonts w:ascii="Times New Roman" w:hAnsi="Times New Roman" w:cs="Times New Roman"/>
          <w:sz w:val="24"/>
          <w:szCs w:val="24"/>
        </w:rPr>
      </w:pPr>
    </w:p>
    <w:p w14:paraId="7E2CD05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Gaine, C., </w:t>
      </w:r>
      <w:r w:rsidRPr="00AE141E">
        <w:rPr>
          <w:rFonts w:ascii="Times New Roman" w:hAnsi="Times New Roman" w:cs="Times New Roman"/>
          <w:i/>
          <w:sz w:val="24"/>
          <w:szCs w:val="24"/>
        </w:rPr>
        <w:t>No Problem Here: A Practical Approach to Education and “Race” in White Schools</w:t>
      </w:r>
      <w:r w:rsidRPr="00AE141E">
        <w:rPr>
          <w:rFonts w:ascii="Times New Roman" w:hAnsi="Times New Roman" w:cs="Times New Roman"/>
          <w:sz w:val="24"/>
          <w:szCs w:val="24"/>
        </w:rPr>
        <w:t xml:space="preserve"> (London: Hutchinson Education, 1987).</w:t>
      </w:r>
    </w:p>
    <w:p w14:paraId="1841AEA4" w14:textId="77777777" w:rsidR="004C09DC" w:rsidRPr="00AE141E" w:rsidRDefault="004C09DC" w:rsidP="00AE141E">
      <w:pPr>
        <w:pStyle w:val="FootnoteText"/>
        <w:spacing w:line="360" w:lineRule="auto"/>
        <w:rPr>
          <w:rFonts w:ascii="Times New Roman" w:hAnsi="Times New Roman" w:cs="Times New Roman"/>
          <w:sz w:val="24"/>
          <w:szCs w:val="24"/>
        </w:rPr>
      </w:pPr>
    </w:p>
    <w:p w14:paraId="2AD587F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Gopal, P., </w:t>
      </w:r>
      <w:r w:rsidRPr="00AE141E">
        <w:rPr>
          <w:rFonts w:ascii="Times New Roman" w:hAnsi="Times New Roman" w:cs="Times New Roman"/>
          <w:i/>
          <w:sz w:val="24"/>
          <w:szCs w:val="24"/>
        </w:rPr>
        <w:t>Insurgent Empire: Anticolonial Resistance and British Dissent</w:t>
      </w:r>
      <w:r w:rsidRPr="00AE141E">
        <w:rPr>
          <w:rFonts w:ascii="Times New Roman" w:hAnsi="Times New Roman" w:cs="Times New Roman"/>
          <w:sz w:val="24"/>
          <w:szCs w:val="24"/>
        </w:rPr>
        <w:t xml:space="preserve"> (London: Verso, 2019).</w:t>
      </w:r>
    </w:p>
    <w:p w14:paraId="5CCF00E0" w14:textId="77777777" w:rsidR="004C09DC" w:rsidRPr="00AE141E" w:rsidRDefault="004C09DC" w:rsidP="00AE141E">
      <w:pPr>
        <w:pStyle w:val="FootnoteText"/>
        <w:spacing w:line="360" w:lineRule="auto"/>
        <w:rPr>
          <w:rFonts w:ascii="Times New Roman" w:hAnsi="Times New Roman" w:cs="Times New Roman"/>
          <w:sz w:val="24"/>
          <w:szCs w:val="24"/>
        </w:rPr>
      </w:pPr>
    </w:p>
    <w:p w14:paraId="0C6176E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Gordon, P., and Klug, F., </w:t>
      </w:r>
      <w:r w:rsidRPr="00AE141E">
        <w:rPr>
          <w:rFonts w:ascii="Times New Roman" w:hAnsi="Times New Roman" w:cs="Times New Roman"/>
          <w:i/>
          <w:sz w:val="24"/>
          <w:szCs w:val="24"/>
        </w:rPr>
        <w:t xml:space="preserve">New Right, New Racism </w:t>
      </w:r>
      <w:r w:rsidRPr="00AE141E">
        <w:rPr>
          <w:rFonts w:ascii="Times New Roman" w:hAnsi="Times New Roman" w:cs="Times New Roman"/>
          <w:sz w:val="24"/>
          <w:szCs w:val="24"/>
        </w:rPr>
        <w:t>(London: Searchlight Publications, 1986).</w:t>
      </w:r>
    </w:p>
    <w:p w14:paraId="121B5A7B" w14:textId="77777777" w:rsidR="004C09DC" w:rsidRPr="00AE141E" w:rsidRDefault="004C09DC" w:rsidP="00AE141E">
      <w:pPr>
        <w:pStyle w:val="FootnoteText"/>
        <w:spacing w:line="360" w:lineRule="auto"/>
        <w:rPr>
          <w:rFonts w:ascii="Times New Roman" w:hAnsi="Times New Roman" w:cs="Times New Roman"/>
          <w:sz w:val="24"/>
          <w:szCs w:val="24"/>
        </w:rPr>
      </w:pPr>
    </w:p>
    <w:p w14:paraId="3E6ADD00" w14:textId="77777777" w:rsidR="004C09DC" w:rsidRPr="00AE141E" w:rsidRDefault="004C09DC" w:rsidP="00AE141E">
      <w:pPr>
        <w:pStyle w:val="FootnoteText"/>
        <w:spacing w:line="360" w:lineRule="auto"/>
        <w:rPr>
          <w:rFonts w:ascii="Times New Roman" w:hAnsi="Times New Roman" w:cs="Times New Roman"/>
          <w:iCs/>
          <w:sz w:val="24"/>
          <w:szCs w:val="24"/>
        </w:rPr>
      </w:pPr>
      <w:r w:rsidRPr="00AE141E">
        <w:rPr>
          <w:rFonts w:ascii="Times New Roman" w:hAnsi="Times New Roman" w:cs="Times New Roman"/>
          <w:sz w:val="24"/>
          <w:szCs w:val="24"/>
        </w:rPr>
        <w:t>Gilroy</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P.,</w:t>
      </w:r>
      <w:r w:rsidRPr="00AE141E">
        <w:rPr>
          <w:rFonts w:ascii="Times New Roman" w:hAnsi="Times New Roman" w:cs="Times New Roman"/>
          <w:i/>
          <w:sz w:val="24"/>
          <w:szCs w:val="24"/>
        </w:rPr>
        <w:t xml:space="preserve"> After Empire: Melancholia or Convivial Culture?</w:t>
      </w:r>
      <w:r w:rsidRPr="00AE141E">
        <w:rPr>
          <w:rFonts w:ascii="Times New Roman" w:hAnsi="Times New Roman" w:cs="Times New Roman"/>
          <w:sz w:val="24"/>
          <w:szCs w:val="24"/>
        </w:rPr>
        <w:t xml:space="preserve"> (London: Routledge, 2004).</w:t>
      </w:r>
    </w:p>
    <w:p w14:paraId="24AD2B4F" w14:textId="77777777" w:rsidR="004C09DC" w:rsidRPr="00AE141E" w:rsidRDefault="004C09DC" w:rsidP="00AE141E">
      <w:pPr>
        <w:pStyle w:val="FootnoteText"/>
        <w:spacing w:line="360" w:lineRule="auto"/>
        <w:rPr>
          <w:rFonts w:ascii="Times New Roman" w:hAnsi="Times New Roman" w:cs="Times New Roman"/>
          <w:iCs/>
          <w:sz w:val="24"/>
          <w:szCs w:val="24"/>
        </w:rPr>
      </w:pPr>
    </w:p>
    <w:p w14:paraId="2263352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Gilroy, P., </w:t>
      </w:r>
      <w:r w:rsidRPr="00AE141E">
        <w:rPr>
          <w:rFonts w:ascii="Times New Roman" w:hAnsi="Times New Roman" w:cs="Times New Roman"/>
          <w:i/>
          <w:sz w:val="24"/>
          <w:szCs w:val="24"/>
        </w:rPr>
        <w:t>Postcolonial Melancholia</w:t>
      </w:r>
      <w:r w:rsidRPr="00AE141E">
        <w:rPr>
          <w:rFonts w:ascii="Times New Roman" w:hAnsi="Times New Roman" w:cs="Times New Roman"/>
          <w:sz w:val="24"/>
          <w:szCs w:val="24"/>
        </w:rPr>
        <w:t xml:space="preserve"> (New York: Columbia University Press, 2005).</w:t>
      </w:r>
    </w:p>
    <w:p w14:paraId="52FB6054" w14:textId="77777777" w:rsidR="004C09DC" w:rsidRPr="00AE141E" w:rsidRDefault="004C09DC" w:rsidP="00AE141E">
      <w:pPr>
        <w:pStyle w:val="FootnoteText"/>
        <w:spacing w:line="360" w:lineRule="auto"/>
        <w:rPr>
          <w:rFonts w:ascii="Times New Roman" w:hAnsi="Times New Roman" w:cs="Times New Roman"/>
          <w:sz w:val="24"/>
          <w:szCs w:val="24"/>
        </w:rPr>
      </w:pPr>
    </w:p>
    <w:p w14:paraId="10AB48B7" w14:textId="77777777" w:rsidR="004C09DC" w:rsidRPr="00AE141E" w:rsidRDefault="004C09DC" w:rsidP="00AE141E">
      <w:pPr>
        <w:spacing w:line="360" w:lineRule="auto"/>
        <w:rPr>
          <w:rFonts w:ascii="Times New Roman" w:hAnsi="Times New Roman" w:cs="Times New Roman"/>
          <w:iCs/>
          <w:sz w:val="24"/>
          <w:szCs w:val="24"/>
        </w:rPr>
      </w:pPr>
      <w:r w:rsidRPr="00AE141E">
        <w:rPr>
          <w:rFonts w:ascii="Times New Roman" w:hAnsi="Times New Roman" w:cs="Times New Roman"/>
          <w:sz w:val="24"/>
          <w:szCs w:val="24"/>
        </w:rPr>
        <w:t xml:space="preserve">Gilroy, P., </w:t>
      </w:r>
      <w:r w:rsidRPr="00AE141E">
        <w:rPr>
          <w:rFonts w:ascii="Times New Roman" w:hAnsi="Times New Roman" w:cs="Times New Roman"/>
          <w:i/>
          <w:sz w:val="24"/>
          <w:szCs w:val="24"/>
        </w:rPr>
        <w:t xml:space="preserve">Small Acts: Thoughts on the Politics of Black Cultures </w:t>
      </w:r>
      <w:r w:rsidRPr="00AE141E">
        <w:rPr>
          <w:rFonts w:ascii="Times New Roman" w:hAnsi="Times New Roman" w:cs="Times New Roman"/>
          <w:sz w:val="24"/>
          <w:szCs w:val="24"/>
        </w:rPr>
        <w:t>(London: Serpent’s Tail, 1993).</w:t>
      </w:r>
    </w:p>
    <w:p w14:paraId="161151ED" w14:textId="77777777" w:rsidR="004C09DC" w:rsidRPr="00AE141E" w:rsidRDefault="004C09DC" w:rsidP="00AE141E">
      <w:pPr>
        <w:pStyle w:val="FootnoteText"/>
        <w:spacing w:line="360" w:lineRule="auto"/>
        <w:rPr>
          <w:rFonts w:ascii="Times New Roman" w:hAnsi="Times New Roman" w:cs="Times New Roman"/>
          <w:iCs/>
          <w:sz w:val="24"/>
          <w:szCs w:val="24"/>
        </w:rPr>
      </w:pPr>
      <w:r w:rsidRPr="00AE141E">
        <w:rPr>
          <w:rFonts w:ascii="Times New Roman" w:hAnsi="Times New Roman" w:cs="Times New Roman"/>
          <w:sz w:val="24"/>
          <w:szCs w:val="24"/>
        </w:rPr>
        <w:t xml:space="preserve">Gilroy, P., </w:t>
      </w:r>
      <w:r w:rsidRPr="00AE141E">
        <w:rPr>
          <w:rFonts w:ascii="Times New Roman" w:hAnsi="Times New Roman" w:cs="Times New Roman"/>
          <w:i/>
          <w:sz w:val="24"/>
          <w:szCs w:val="24"/>
        </w:rPr>
        <w:t xml:space="preserve">There Ain’t No Black in the Union Jack: The Cultural Politics of Race and Nation, </w:t>
      </w:r>
      <w:r w:rsidRPr="00AE141E">
        <w:rPr>
          <w:rFonts w:ascii="Times New Roman" w:hAnsi="Times New Roman" w:cs="Times New Roman"/>
          <w:sz w:val="24"/>
          <w:szCs w:val="24"/>
        </w:rPr>
        <w:t>revised [hereafter ‘rev.’] ed., (London: Routledge, 2002).</w:t>
      </w:r>
    </w:p>
    <w:p w14:paraId="3180A27A" w14:textId="77777777" w:rsidR="004C09DC" w:rsidRPr="00AE141E" w:rsidRDefault="004C09DC" w:rsidP="00AE141E">
      <w:pPr>
        <w:pStyle w:val="FootnoteText"/>
        <w:spacing w:line="360" w:lineRule="auto"/>
        <w:rPr>
          <w:rFonts w:ascii="Times New Roman" w:hAnsi="Times New Roman" w:cs="Times New Roman"/>
          <w:iCs/>
          <w:sz w:val="24"/>
          <w:szCs w:val="24"/>
        </w:rPr>
      </w:pPr>
    </w:p>
    <w:p w14:paraId="2EE5F0B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Graves</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N.,</w:t>
      </w:r>
      <w:r w:rsidRPr="00AE141E">
        <w:rPr>
          <w:rFonts w:ascii="Times New Roman" w:hAnsi="Times New Roman" w:cs="Times New Roman"/>
          <w:i/>
          <w:sz w:val="24"/>
          <w:szCs w:val="24"/>
        </w:rPr>
        <w:t xml:space="preserve"> School Textbook Research: The Case of Geography 1800–2000</w:t>
      </w:r>
      <w:r w:rsidRPr="00AE141E">
        <w:rPr>
          <w:rFonts w:ascii="Times New Roman" w:hAnsi="Times New Roman" w:cs="Times New Roman"/>
          <w:sz w:val="24"/>
          <w:szCs w:val="24"/>
        </w:rPr>
        <w:t xml:space="preserve"> (London: University of London Press, 2001).</w:t>
      </w:r>
    </w:p>
    <w:p w14:paraId="464FB65A" w14:textId="77777777" w:rsidR="004C09DC" w:rsidRPr="00AE141E" w:rsidRDefault="004C09DC" w:rsidP="00AE141E">
      <w:pPr>
        <w:pStyle w:val="FootnoteText"/>
        <w:spacing w:line="360" w:lineRule="auto"/>
        <w:rPr>
          <w:rFonts w:ascii="Times New Roman" w:hAnsi="Times New Roman" w:cs="Times New Roman"/>
          <w:sz w:val="24"/>
          <w:szCs w:val="24"/>
        </w:rPr>
      </w:pPr>
    </w:p>
    <w:p w14:paraId="7B1384C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Halstead, M., </w:t>
      </w:r>
      <w:r w:rsidRPr="00AE141E">
        <w:rPr>
          <w:rFonts w:ascii="Times New Roman" w:hAnsi="Times New Roman" w:cs="Times New Roman"/>
          <w:i/>
          <w:sz w:val="24"/>
          <w:szCs w:val="24"/>
        </w:rPr>
        <w:t>Education, Justice and Cultural Diversity: An Examination of the Honeyford Affair, 1984-85</w:t>
      </w:r>
      <w:r w:rsidRPr="00AE141E">
        <w:rPr>
          <w:rFonts w:ascii="Times New Roman" w:hAnsi="Times New Roman" w:cs="Times New Roman"/>
          <w:sz w:val="24"/>
          <w:szCs w:val="24"/>
        </w:rPr>
        <w:t>, (London: Falmer Press, 1988).</w:t>
      </w:r>
    </w:p>
    <w:p w14:paraId="36DA4161" w14:textId="77777777" w:rsidR="004C09DC" w:rsidRPr="00AE141E" w:rsidRDefault="004C09DC" w:rsidP="00AE141E">
      <w:pPr>
        <w:pStyle w:val="FootnoteText"/>
        <w:spacing w:line="360" w:lineRule="auto"/>
        <w:rPr>
          <w:rFonts w:ascii="Times New Roman" w:hAnsi="Times New Roman" w:cs="Times New Roman"/>
          <w:iCs/>
          <w:sz w:val="24"/>
          <w:szCs w:val="24"/>
        </w:rPr>
      </w:pPr>
    </w:p>
    <w:p w14:paraId="6E0AF3C9" w14:textId="4C17D96C"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H</w:t>
      </w:r>
      <w:r w:rsidR="00C5251D">
        <w:rPr>
          <w:rFonts w:ascii="Times New Roman" w:hAnsi="Times New Roman" w:cs="Times New Roman"/>
          <w:sz w:val="24"/>
          <w:szCs w:val="24"/>
        </w:rPr>
        <w:t>ea</w:t>
      </w:r>
      <w:r w:rsidRPr="00AE141E">
        <w:rPr>
          <w:rFonts w:ascii="Times New Roman" w:hAnsi="Times New Roman" w:cs="Times New Roman"/>
          <w:sz w:val="24"/>
          <w:szCs w:val="24"/>
        </w:rPr>
        <w:t xml:space="preserve">thorn, S., </w:t>
      </w:r>
      <w:r w:rsidRPr="00AE141E">
        <w:rPr>
          <w:rFonts w:ascii="Times New Roman" w:hAnsi="Times New Roman" w:cs="Times New Roman"/>
          <w:i/>
          <w:sz w:val="24"/>
          <w:szCs w:val="24"/>
        </w:rPr>
        <w:t xml:space="preserve">For Home, Country and Race: Constructing Gender, Class, and Englishness in the Elementary School, 1880-1914 </w:t>
      </w:r>
      <w:r w:rsidRPr="00AE141E">
        <w:rPr>
          <w:rFonts w:ascii="Times New Roman" w:hAnsi="Times New Roman" w:cs="Times New Roman"/>
          <w:sz w:val="24"/>
          <w:szCs w:val="24"/>
        </w:rPr>
        <w:t>(Toronto: University of Toronto Press, 2000).</w:t>
      </w:r>
    </w:p>
    <w:p w14:paraId="35376626" w14:textId="77777777" w:rsidR="004C09DC" w:rsidRPr="00AE141E" w:rsidRDefault="004C09DC" w:rsidP="00AE141E">
      <w:pPr>
        <w:pStyle w:val="FootnoteText"/>
        <w:spacing w:line="360" w:lineRule="auto"/>
        <w:rPr>
          <w:rFonts w:ascii="Times New Roman" w:hAnsi="Times New Roman" w:cs="Times New Roman"/>
          <w:iCs/>
          <w:sz w:val="24"/>
          <w:szCs w:val="24"/>
        </w:rPr>
      </w:pPr>
    </w:p>
    <w:p w14:paraId="29568AA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Hechter, M., </w:t>
      </w:r>
      <w:r w:rsidRPr="00AE141E">
        <w:rPr>
          <w:rFonts w:ascii="Times New Roman" w:hAnsi="Times New Roman" w:cs="Times New Roman"/>
          <w:i/>
          <w:sz w:val="24"/>
          <w:szCs w:val="24"/>
        </w:rPr>
        <w:t>Internal Colonialism: The Celtic Fringe in British National Development, 1536-1966</w:t>
      </w:r>
      <w:r w:rsidRPr="00AE141E">
        <w:rPr>
          <w:rFonts w:ascii="Times New Roman" w:hAnsi="Times New Roman" w:cs="Times New Roman"/>
          <w:sz w:val="24"/>
          <w:szCs w:val="24"/>
        </w:rPr>
        <w:t xml:space="preserve"> (London: Routledge and Kegan Paul, 1975). </w:t>
      </w:r>
    </w:p>
    <w:p w14:paraId="78123A7A" w14:textId="77777777" w:rsidR="004C09DC" w:rsidRPr="00AE141E" w:rsidRDefault="004C09DC" w:rsidP="00AE141E">
      <w:pPr>
        <w:pStyle w:val="FootnoteText"/>
        <w:spacing w:line="360" w:lineRule="auto"/>
        <w:rPr>
          <w:rFonts w:ascii="Times New Roman" w:hAnsi="Times New Roman" w:cs="Times New Roman"/>
          <w:sz w:val="24"/>
          <w:szCs w:val="24"/>
        </w:rPr>
      </w:pPr>
    </w:p>
    <w:p w14:paraId="6E5A464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Hewison, R., </w:t>
      </w:r>
      <w:r w:rsidRPr="00AE141E">
        <w:rPr>
          <w:rFonts w:ascii="Times New Roman" w:hAnsi="Times New Roman" w:cs="Times New Roman"/>
          <w:i/>
          <w:sz w:val="24"/>
          <w:szCs w:val="24"/>
        </w:rPr>
        <w:t>The Heritage Industry: Britain in a Climate of Decline</w:t>
      </w:r>
      <w:r w:rsidRPr="00AE141E">
        <w:rPr>
          <w:rFonts w:ascii="Times New Roman" w:hAnsi="Times New Roman" w:cs="Times New Roman"/>
          <w:sz w:val="24"/>
          <w:szCs w:val="24"/>
        </w:rPr>
        <w:t xml:space="preserve"> (London: Methuen, 1987).</w:t>
      </w:r>
    </w:p>
    <w:p w14:paraId="18477B59" w14:textId="77777777" w:rsidR="004C09DC" w:rsidRPr="00AE141E" w:rsidRDefault="004C09DC" w:rsidP="00AE141E">
      <w:pPr>
        <w:pStyle w:val="FootnoteText"/>
        <w:spacing w:line="360" w:lineRule="auto"/>
        <w:rPr>
          <w:rFonts w:ascii="Times New Roman" w:hAnsi="Times New Roman" w:cs="Times New Roman"/>
          <w:sz w:val="24"/>
          <w:szCs w:val="24"/>
        </w:rPr>
      </w:pPr>
    </w:p>
    <w:p w14:paraId="0953BF8E"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Hobsbawm, E., and Ranger, T. (eds), </w:t>
      </w:r>
      <w:r w:rsidRPr="00AE141E">
        <w:rPr>
          <w:rFonts w:ascii="Times New Roman" w:hAnsi="Times New Roman" w:cs="Times New Roman"/>
          <w:i/>
          <w:sz w:val="24"/>
          <w:szCs w:val="24"/>
        </w:rPr>
        <w:t>The Invention of Tradition</w:t>
      </w:r>
      <w:r w:rsidRPr="00AE141E">
        <w:rPr>
          <w:rFonts w:ascii="Times New Roman" w:hAnsi="Times New Roman" w:cs="Times New Roman"/>
          <w:sz w:val="24"/>
          <w:szCs w:val="24"/>
        </w:rPr>
        <w:t xml:space="preserve"> (Cambridge: CUP, 1983).</w:t>
      </w:r>
    </w:p>
    <w:p w14:paraId="6CE8633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Howe, S., </w:t>
      </w:r>
      <w:r w:rsidRPr="00AE141E">
        <w:rPr>
          <w:rFonts w:ascii="Times New Roman" w:hAnsi="Times New Roman" w:cs="Times New Roman"/>
          <w:i/>
          <w:sz w:val="24"/>
          <w:szCs w:val="24"/>
        </w:rPr>
        <w:t>Ireland and Empire: Colonial Legacies in Irish History and Culture</w:t>
      </w:r>
      <w:r w:rsidRPr="00AE141E">
        <w:rPr>
          <w:rFonts w:ascii="Times New Roman" w:hAnsi="Times New Roman" w:cs="Times New Roman"/>
          <w:sz w:val="24"/>
          <w:szCs w:val="24"/>
        </w:rPr>
        <w:t xml:space="preserve"> (Oxford: OUP, 2000). </w:t>
      </w:r>
    </w:p>
    <w:p w14:paraId="2A33B490" w14:textId="77777777" w:rsidR="004C09DC" w:rsidRPr="00AE141E" w:rsidRDefault="004C09DC" w:rsidP="00AE141E">
      <w:pPr>
        <w:pStyle w:val="FootnoteText"/>
        <w:spacing w:line="360" w:lineRule="auto"/>
        <w:rPr>
          <w:rFonts w:ascii="Times New Roman" w:hAnsi="Times New Roman" w:cs="Times New Roman"/>
          <w:sz w:val="24"/>
          <w:szCs w:val="24"/>
        </w:rPr>
      </w:pPr>
    </w:p>
    <w:p w14:paraId="1CA2C1F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Hyam, R., </w:t>
      </w:r>
      <w:r w:rsidRPr="00AE141E">
        <w:rPr>
          <w:rFonts w:ascii="Times New Roman" w:hAnsi="Times New Roman" w:cs="Times New Roman"/>
          <w:i/>
          <w:sz w:val="24"/>
          <w:szCs w:val="24"/>
        </w:rPr>
        <w:t>Britain’s Declining Empire: The Road to Decolonisation, 1918-1968</w:t>
      </w:r>
      <w:r w:rsidRPr="00AE141E">
        <w:rPr>
          <w:rFonts w:ascii="Times New Roman" w:hAnsi="Times New Roman" w:cs="Times New Roman"/>
          <w:sz w:val="24"/>
          <w:szCs w:val="24"/>
        </w:rPr>
        <w:t> (Cambridge: CUP, 2006).</w:t>
      </w:r>
    </w:p>
    <w:p w14:paraId="2AF80FC7" w14:textId="77777777" w:rsidR="004C09DC" w:rsidRPr="00AE141E" w:rsidRDefault="004C09DC" w:rsidP="00AE141E">
      <w:pPr>
        <w:pStyle w:val="FootnoteText"/>
        <w:spacing w:line="360" w:lineRule="auto"/>
        <w:rPr>
          <w:rFonts w:ascii="Times New Roman" w:hAnsi="Times New Roman" w:cs="Times New Roman"/>
          <w:sz w:val="24"/>
          <w:szCs w:val="24"/>
        </w:rPr>
      </w:pPr>
    </w:p>
    <w:p w14:paraId="0982001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Ironside, M., and Seifert, R., </w:t>
      </w:r>
      <w:r w:rsidRPr="00AE141E">
        <w:rPr>
          <w:rFonts w:ascii="Times New Roman" w:hAnsi="Times New Roman" w:cs="Times New Roman"/>
          <w:i/>
          <w:sz w:val="24"/>
          <w:szCs w:val="24"/>
        </w:rPr>
        <w:t>Industrial Relations in Schools</w:t>
      </w:r>
      <w:r w:rsidRPr="00AE141E">
        <w:rPr>
          <w:rFonts w:ascii="Times New Roman" w:hAnsi="Times New Roman" w:cs="Times New Roman"/>
          <w:sz w:val="24"/>
          <w:szCs w:val="24"/>
        </w:rPr>
        <w:t xml:space="preserve"> (Abingdon: Routledge, 2017).</w:t>
      </w:r>
    </w:p>
    <w:p w14:paraId="5B4B2290" w14:textId="77777777" w:rsidR="004C09DC" w:rsidRPr="00AE141E" w:rsidRDefault="004C09DC" w:rsidP="00AE141E">
      <w:pPr>
        <w:pStyle w:val="FootnoteText"/>
        <w:spacing w:line="360" w:lineRule="auto"/>
        <w:rPr>
          <w:rFonts w:ascii="Times New Roman" w:hAnsi="Times New Roman" w:cs="Times New Roman"/>
          <w:sz w:val="24"/>
          <w:szCs w:val="24"/>
        </w:rPr>
      </w:pPr>
    </w:p>
    <w:p w14:paraId="6C79D9D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Jackson, B., and Marsden, D., </w:t>
      </w:r>
      <w:r w:rsidRPr="00AE141E">
        <w:rPr>
          <w:rFonts w:ascii="Times New Roman" w:hAnsi="Times New Roman" w:cs="Times New Roman"/>
          <w:i/>
          <w:sz w:val="24"/>
          <w:szCs w:val="24"/>
        </w:rPr>
        <w:t xml:space="preserve">Education and the Working Class, </w:t>
      </w:r>
      <w:r w:rsidRPr="00AE141E">
        <w:rPr>
          <w:rFonts w:ascii="Times New Roman" w:hAnsi="Times New Roman" w:cs="Times New Roman"/>
          <w:sz w:val="24"/>
          <w:szCs w:val="24"/>
        </w:rPr>
        <w:t>2</w:t>
      </w:r>
      <w:r w:rsidRPr="00AE141E">
        <w:rPr>
          <w:rFonts w:ascii="Times New Roman" w:hAnsi="Times New Roman" w:cs="Times New Roman"/>
          <w:sz w:val="24"/>
          <w:szCs w:val="24"/>
          <w:vertAlign w:val="superscript"/>
        </w:rPr>
        <w:t>nd</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rev. edn (London: ARK, 1986; repr. Abingdon, Oxon: Routledge, 2012).</w:t>
      </w:r>
    </w:p>
    <w:p w14:paraId="19A6B352" w14:textId="77777777" w:rsidR="004C09DC" w:rsidRPr="00AE141E" w:rsidRDefault="004C09DC" w:rsidP="00AE141E">
      <w:pPr>
        <w:pStyle w:val="FootnoteText"/>
        <w:spacing w:line="360" w:lineRule="auto"/>
        <w:rPr>
          <w:rFonts w:ascii="Times New Roman" w:hAnsi="Times New Roman" w:cs="Times New Roman"/>
          <w:iCs/>
          <w:sz w:val="24"/>
          <w:szCs w:val="24"/>
        </w:rPr>
      </w:pPr>
    </w:p>
    <w:p w14:paraId="2B3A1CD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Johnson, M., and Majewska, D., </w:t>
      </w:r>
      <w:r w:rsidRPr="00AE141E">
        <w:rPr>
          <w:rFonts w:ascii="Times New Roman" w:hAnsi="Times New Roman" w:cs="Times New Roman"/>
          <w:i/>
          <w:sz w:val="24"/>
          <w:szCs w:val="24"/>
        </w:rPr>
        <w:t>Formal, Non-formal, and Informal Learning: What are They, and How can We Research Them?</w:t>
      </w:r>
      <w:r w:rsidRPr="00AE141E">
        <w:rPr>
          <w:rFonts w:ascii="Times New Roman" w:hAnsi="Times New Roman" w:cs="Times New Roman"/>
          <w:sz w:val="24"/>
          <w:szCs w:val="24"/>
        </w:rPr>
        <w:t xml:space="preserve"> (Cambridge: CUP Research Report, 2022).</w:t>
      </w:r>
    </w:p>
    <w:p w14:paraId="6F714BF4" w14:textId="77777777" w:rsidR="004C09DC" w:rsidRPr="00AE141E" w:rsidRDefault="004C09DC" w:rsidP="00AE141E">
      <w:pPr>
        <w:pStyle w:val="FootnoteText"/>
        <w:spacing w:line="360" w:lineRule="auto"/>
        <w:rPr>
          <w:rFonts w:ascii="Times New Roman" w:hAnsi="Times New Roman" w:cs="Times New Roman"/>
          <w:sz w:val="24"/>
          <w:szCs w:val="24"/>
        </w:rPr>
      </w:pPr>
    </w:p>
    <w:p w14:paraId="687BC66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Jones, K., </w:t>
      </w:r>
      <w:r w:rsidRPr="00AE141E">
        <w:rPr>
          <w:rFonts w:ascii="Times New Roman" w:hAnsi="Times New Roman" w:cs="Times New Roman"/>
          <w:i/>
          <w:sz w:val="24"/>
          <w:szCs w:val="24"/>
        </w:rPr>
        <w:t>Education in Britain: 1944 to the present</w:t>
      </w:r>
      <w:r w:rsidRPr="00AE141E">
        <w:rPr>
          <w:rFonts w:ascii="Times New Roman" w:hAnsi="Times New Roman" w:cs="Times New Roman"/>
          <w:sz w:val="24"/>
          <w:szCs w:val="24"/>
        </w:rPr>
        <w:t xml:space="preserve"> (Oxford: Polity, 2003).</w:t>
      </w:r>
    </w:p>
    <w:p w14:paraId="6F773382" w14:textId="77777777" w:rsidR="004C09DC" w:rsidRPr="00AE141E" w:rsidRDefault="004C09DC" w:rsidP="00AE141E">
      <w:pPr>
        <w:pStyle w:val="FootnoteText"/>
        <w:spacing w:line="360" w:lineRule="auto"/>
        <w:rPr>
          <w:rFonts w:ascii="Times New Roman" w:hAnsi="Times New Roman" w:cs="Times New Roman"/>
          <w:sz w:val="24"/>
          <w:szCs w:val="24"/>
        </w:rPr>
      </w:pPr>
    </w:p>
    <w:p w14:paraId="4AFFF71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Kettle, M., and Hodges, L., </w:t>
      </w:r>
      <w:r w:rsidRPr="00AE141E">
        <w:rPr>
          <w:rFonts w:ascii="Times New Roman" w:hAnsi="Times New Roman" w:cs="Times New Roman"/>
          <w:i/>
          <w:sz w:val="24"/>
          <w:szCs w:val="24"/>
        </w:rPr>
        <w:t>Uprising! Police, the People and the Riots in Britain's Cities</w:t>
      </w:r>
      <w:r w:rsidRPr="00AE141E">
        <w:rPr>
          <w:rFonts w:ascii="Times New Roman" w:hAnsi="Times New Roman" w:cs="Times New Roman"/>
          <w:sz w:val="24"/>
          <w:szCs w:val="24"/>
        </w:rPr>
        <w:t xml:space="preserve"> (London: Pan, 1982).</w:t>
      </w:r>
    </w:p>
    <w:p w14:paraId="58B7FB29" w14:textId="77777777" w:rsidR="004C09DC" w:rsidRPr="00AE141E" w:rsidRDefault="004C09DC" w:rsidP="00AE141E">
      <w:pPr>
        <w:pStyle w:val="FootnoteText"/>
        <w:spacing w:line="360" w:lineRule="auto"/>
        <w:rPr>
          <w:rFonts w:ascii="Times New Roman" w:eastAsia="Times New Roman" w:hAnsi="Times New Roman" w:cs="Times New Roman"/>
          <w:color w:val="000000"/>
          <w:sz w:val="24"/>
          <w:szCs w:val="24"/>
          <w:lang w:eastAsia="en-GB"/>
        </w:rPr>
      </w:pPr>
    </w:p>
    <w:p w14:paraId="252B35C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Koram, K., </w:t>
      </w:r>
      <w:r w:rsidRPr="00AE141E">
        <w:rPr>
          <w:rFonts w:ascii="Times New Roman" w:hAnsi="Times New Roman" w:cs="Times New Roman"/>
          <w:i/>
          <w:sz w:val="24"/>
          <w:szCs w:val="24"/>
        </w:rPr>
        <w:t>Uncommon Wealth: Britain and the Aftermath of Empire</w:t>
      </w:r>
      <w:r w:rsidRPr="00AE141E">
        <w:rPr>
          <w:rFonts w:ascii="Times New Roman" w:hAnsi="Times New Roman" w:cs="Times New Roman"/>
          <w:sz w:val="24"/>
          <w:szCs w:val="24"/>
        </w:rPr>
        <w:t xml:space="preserve"> (London: John Murray, 2022).</w:t>
      </w:r>
    </w:p>
    <w:p w14:paraId="05B9E922" w14:textId="77777777" w:rsidR="004C09DC" w:rsidRPr="00AE141E" w:rsidRDefault="004C09DC" w:rsidP="00AE141E">
      <w:pPr>
        <w:pStyle w:val="FootnoteText"/>
        <w:spacing w:line="360" w:lineRule="auto"/>
        <w:rPr>
          <w:rFonts w:ascii="Times New Roman" w:hAnsi="Times New Roman" w:cs="Times New Roman"/>
          <w:sz w:val="24"/>
          <w:szCs w:val="24"/>
        </w:rPr>
      </w:pPr>
    </w:p>
    <w:p w14:paraId="483183C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Lawson, J., and Silver, H., </w:t>
      </w:r>
      <w:r w:rsidRPr="00AE141E">
        <w:rPr>
          <w:rFonts w:ascii="Times New Roman" w:hAnsi="Times New Roman" w:cs="Times New Roman"/>
          <w:i/>
          <w:sz w:val="24"/>
          <w:szCs w:val="24"/>
        </w:rPr>
        <w:t xml:space="preserve">A Social History of Education in England, </w:t>
      </w:r>
      <w:r w:rsidRPr="00AE141E">
        <w:rPr>
          <w:rFonts w:ascii="Times New Roman" w:hAnsi="Times New Roman" w:cs="Times New Roman"/>
          <w:sz w:val="24"/>
          <w:szCs w:val="24"/>
        </w:rPr>
        <w:t xml:space="preserve">(London: Methuen, 1973). </w:t>
      </w:r>
    </w:p>
    <w:p w14:paraId="2E9985F8" w14:textId="77777777" w:rsidR="004C09DC" w:rsidRPr="00AE141E" w:rsidRDefault="004C09DC" w:rsidP="00AE141E">
      <w:pPr>
        <w:pStyle w:val="FootnoteText"/>
        <w:spacing w:line="360" w:lineRule="auto"/>
        <w:rPr>
          <w:rFonts w:ascii="Times New Roman" w:hAnsi="Times New Roman" w:cs="Times New Roman"/>
          <w:sz w:val="24"/>
          <w:szCs w:val="24"/>
        </w:rPr>
      </w:pPr>
    </w:p>
    <w:p w14:paraId="52B54DA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Leech, K., </w:t>
      </w:r>
      <w:r w:rsidRPr="00AE141E">
        <w:rPr>
          <w:rFonts w:ascii="Times New Roman" w:hAnsi="Times New Roman" w:cs="Times New Roman"/>
          <w:i/>
          <w:sz w:val="24"/>
          <w:szCs w:val="24"/>
        </w:rPr>
        <w:t>Struggle in Babylon</w:t>
      </w:r>
      <w:r w:rsidRPr="00AE141E">
        <w:rPr>
          <w:rFonts w:ascii="Times New Roman" w:hAnsi="Times New Roman" w:cs="Times New Roman"/>
          <w:sz w:val="24"/>
          <w:szCs w:val="24"/>
        </w:rPr>
        <w:t xml:space="preserve"> (London: Sheldon Press, 1988).</w:t>
      </w:r>
    </w:p>
    <w:p w14:paraId="1071530B" w14:textId="77777777" w:rsidR="004C09DC" w:rsidRPr="00AE141E" w:rsidRDefault="004C09DC" w:rsidP="00AE141E">
      <w:pPr>
        <w:pStyle w:val="FootnoteText"/>
        <w:spacing w:line="360" w:lineRule="auto"/>
        <w:rPr>
          <w:rFonts w:ascii="Times New Roman" w:hAnsi="Times New Roman" w:cs="Times New Roman"/>
          <w:sz w:val="24"/>
          <w:szCs w:val="24"/>
        </w:rPr>
      </w:pPr>
    </w:p>
    <w:p w14:paraId="668B902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Lowenthal, D., </w:t>
      </w:r>
      <w:r w:rsidRPr="00AE141E">
        <w:rPr>
          <w:rFonts w:ascii="Times New Roman" w:hAnsi="Times New Roman" w:cs="Times New Roman"/>
          <w:i/>
          <w:sz w:val="24"/>
          <w:szCs w:val="24"/>
        </w:rPr>
        <w:t>The Past Is a Foreign Country - Revisited</w:t>
      </w:r>
      <w:r w:rsidRPr="00AE141E">
        <w:rPr>
          <w:rFonts w:ascii="Times New Roman" w:hAnsi="Times New Roman" w:cs="Times New Roman"/>
          <w:sz w:val="24"/>
          <w:szCs w:val="24"/>
        </w:rPr>
        <w:t xml:space="preserve"> (Cambridge: CUP, 2015).</w:t>
      </w:r>
    </w:p>
    <w:p w14:paraId="1325389A" w14:textId="77777777" w:rsidR="004C09DC" w:rsidRPr="00AE141E" w:rsidRDefault="004C09DC" w:rsidP="00AE141E">
      <w:pPr>
        <w:pStyle w:val="FootnoteText"/>
        <w:spacing w:line="360" w:lineRule="auto"/>
        <w:rPr>
          <w:rFonts w:ascii="Times New Roman" w:hAnsi="Times New Roman" w:cs="Times New Roman"/>
          <w:sz w:val="24"/>
          <w:szCs w:val="24"/>
        </w:rPr>
      </w:pPr>
    </w:p>
    <w:p w14:paraId="15F93407"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MacLure, S., </w:t>
      </w:r>
      <w:r w:rsidRPr="00AE141E">
        <w:rPr>
          <w:rFonts w:ascii="Times New Roman" w:hAnsi="Times New Roman" w:cs="Times New Roman"/>
          <w:i/>
          <w:sz w:val="24"/>
          <w:szCs w:val="24"/>
        </w:rPr>
        <w:t>Education Re-formed</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A Guide to the Education Reform Act</w:t>
      </w:r>
      <w:r w:rsidRPr="00AE141E">
        <w:rPr>
          <w:rFonts w:ascii="Times New Roman" w:hAnsi="Times New Roman" w:cs="Times New Roman"/>
          <w:sz w:val="24"/>
          <w:szCs w:val="24"/>
        </w:rPr>
        <w:t xml:space="preserve"> (London: Hodder &amp; Stoughton,1989).</w:t>
      </w:r>
    </w:p>
    <w:p w14:paraId="144DC058" w14:textId="77777777" w:rsidR="004C09DC" w:rsidRPr="00AE141E" w:rsidRDefault="004C09DC" w:rsidP="00AE141E">
      <w:pPr>
        <w:pStyle w:val="FootnoteText"/>
        <w:spacing w:line="360" w:lineRule="auto"/>
        <w:rPr>
          <w:rFonts w:ascii="Times New Roman" w:hAnsi="Times New Roman" w:cs="Times New Roman"/>
          <w:iCs/>
          <w:sz w:val="24"/>
          <w:szCs w:val="24"/>
        </w:rPr>
      </w:pPr>
      <w:r w:rsidRPr="00AE141E">
        <w:rPr>
          <w:rFonts w:ascii="Times New Roman" w:hAnsi="Times New Roman" w:cs="Times New Roman"/>
          <w:sz w:val="24"/>
          <w:szCs w:val="24"/>
        </w:rPr>
        <w:t xml:space="preserve">Mangan, J.A., </w:t>
      </w:r>
      <w:r w:rsidRPr="00AE141E">
        <w:rPr>
          <w:rFonts w:ascii="Times New Roman" w:hAnsi="Times New Roman" w:cs="Times New Roman"/>
          <w:i/>
          <w:sz w:val="24"/>
          <w:szCs w:val="24"/>
        </w:rPr>
        <w:t xml:space="preserve">Athleticism in the Victorian and Edwardian Public School: The Emergence and Consolidation of an Educational Ideology </w:t>
      </w:r>
      <w:r w:rsidRPr="00AE141E">
        <w:rPr>
          <w:rFonts w:ascii="Times New Roman" w:hAnsi="Times New Roman" w:cs="Times New Roman"/>
          <w:sz w:val="24"/>
          <w:szCs w:val="24"/>
        </w:rPr>
        <w:t>(Cambridge: CUP, 1981).</w:t>
      </w:r>
    </w:p>
    <w:p w14:paraId="05D8B49B" w14:textId="77777777" w:rsidR="004C09DC" w:rsidRPr="00AE141E" w:rsidRDefault="004C09DC" w:rsidP="00AE141E">
      <w:pPr>
        <w:pStyle w:val="FootnoteText"/>
        <w:spacing w:line="360" w:lineRule="auto"/>
        <w:rPr>
          <w:rFonts w:ascii="Times New Roman" w:hAnsi="Times New Roman" w:cs="Times New Roman"/>
          <w:sz w:val="24"/>
          <w:szCs w:val="24"/>
        </w:rPr>
      </w:pPr>
    </w:p>
    <w:p w14:paraId="6595607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Mangan, J.A. (ed.), </w:t>
      </w:r>
      <w:r w:rsidRPr="00AE141E">
        <w:rPr>
          <w:rFonts w:ascii="Times New Roman" w:hAnsi="Times New Roman" w:cs="Times New Roman"/>
          <w:i/>
          <w:sz w:val="24"/>
          <w:szCs w:val="24"/>
        </w:rPr>
        <w:t xml:space="preserve">‘Benefits Bestowed’? Education and British Imperialism </w:t>
      </w:r>
      <w:r w:rsidRPr="00AE141E">
        <w:rPr>
          <w:rFonts w:ascii="Times New Roman" w:hAnsi="Times New Roman" w:cs="Times New Roman"/>
          <w:sz w:val="24"/>
          <w:szCs w:val="24"/>
        </w:rPr>
        <w:t>(Manchester, MUP, 1988).</w:t>
      </w:r>
    </w:p>
    <w:p w14:paraId="2EA2C458" w14:textId="77777777" w:rsidR="004C09DC" w:rsidRPr="00AE141E" w:rsidRDefault="004C09DC" w:rsidP="00AE141E">
      <w:pPr>
        <w:pStyle w:val="FootnoteText"/>
        <w:spacing w:line="360" w:lineRule="auto"/>
        <w:rPr>
          <w:rFonts w:ascii="Times New Roman" w:hAnsi="Times New Roman" w:cs="Times New Roman"/>
          <w:sz w:val="24"/>
          <w:szCs w:val="24"/>
        </w:rPr>
      </w:pPr>
    </w:p>
    <w:p w14:paraId="35533B4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Managan, J.A., </w:t>
      </w:r>
      <w:r w:rsidRPr="00AE141E">
        <w:rPr>
          <w:rFonts w:ascii="Times New Roman" w:hAnsi="Times New Roman" w:cs="Times New Roman"/>
          <w:i/>
          <w:sz w:val="24"/>
          <w:szCs w:val="24"/>
        </w:rPr>
        <w:t>The Games Ethic and Imperialism: Aspects of the Diffusion of an Ideal</w:t>
      </w:r>
      <w:r w:rsidRPr="00AE141E">
        <w:rPr>
          <w:rFonts w:ascii="Times New Roman" w:hAnsi="Times New Roman" w:cs="Times New Roman"/>
          <w:sz w:val="24"/>
          <w:szCs w:val="24"/>
        </w:rPr>
        <w:t xml:space="preserve"> (Middlesex: Penguin, 1986).</w:t>
      </w:r>
    </w:p>
    <w:p w14:paraId="55154444" w14:textId="77777777" w:rsidR="004C09DC" w:rsidRPr="00AE141E" w:rsidRDefault="004C09DC" w:rsidP="00AE141E">
      <w:pPr>
        <w:pStyle w:val="FootnoteText"/>
        <w:spacing w:line="360" w:lineRule="auto"/>
        <w:rPr>
          <w:rFonts w:ascii="Times New Roman" w:hAnsi="Times New Roman" w:cs="Times New Roman"/>
          <w:sz w:val="24"/>
          <w:szCs w:val="24"/>
        </w:rPr>
      </w:pPr>
    </w:p>
    <w:p w14:paraId="2BE8D71F" w14:textId="77777777" w:rsidR="004C09DC" w:rsidRPr="00AE141E" w:rsidRDefault="004C09DC" w:rsidP="00AE141E">
      <w:pPr>
        <w:pStyle w:val="FootnoteText"/>
        <w:spacing w:line="360" w:lineRule="auto"/>
        <w:rPr>
          <w:rFonts w:ascii="Times New Roman" w:hAnsi="Times New Roman" w:cs="Times New Roman"/>
          <w:iCs/>
          <w:sz w:val="24"/>
          <w:szCs w:val="24"/>
        </w:rPr>
      </w:pPr>
      <w:r w:rsidRPr="00AE141E">
        <w:rPr>
          <w:rFonts w:ascii="Times New Roman" w:hAnsi="Times New Roman" w:cs="Times New Roman"/>
          <w:sz w:val="24"/>
          <w:szCs w:val="24"/>
        </w:rPr>
        <w:t>Mitchell, P., </w:t>
      </w:r>
      <w:r w:rsidRPr="00AE141E">
        <w:rPr>
          <w:rFonts w:ascii="Times New Roman" w:hAnsi="Times New Roman" w:cs="Times New Roman"/>
          <w:i/>
          <w:sz w:val="24"/>
          <w:szCs w:val="24"/>
        </w:rPr>
        <w:t>Imperial Nostalgia: How the British Conquered Themselves</w:t>
      </w:r>
      <w:r w:rsidRPr="00AE141E">
        <w:rPr>
          <w:rFonts w:ascii="Times New Roman" w:hAnsi="Times New Roman" w:cs="Times New Roman"/>
          <w:sz w:val="24"/>
          <w:szCs w:val="24"/>
        </w:rPr>
        <w:t xml:space="preserve"> (Manchester: MUP, 2021).</w:t>
      </w:r>
    </w:p>
    <w:p w14:paraId="1E9181C0" w14:textId="77777777" w:rsidR="004C09DC" w:rsidRPr="00AE141E" w:rsidRDefault="004C09DC" w:rsidP="00AE141E">
      <w:pPr>
        <w:pStyle w:val="FootnoteText"/>
        <w:spacing w:line="360" w:lineRule="auto"/>
        <w:rPr>
          <w:rFonts w:ascii="Times New Roman" w:hAnsi="Times New Roman" w:cs="Times New Roman"/>
          <w:sz w:val="24"/>
          <w:szCs w:val="24"/>
        </w:rPr>
      </w:pPr>
    </w:p>
    <w:p w14:paraId="4F2B732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Moore, C., </w:t>
      </w:r>
      <w:r w:rsidRPr="00AE141E">
        <w:rPr>
          <w:rFonts w:ascii="Times New Roman" w:hAnsi="Times New Roman" w:cs="Times New Roman"/>
          <w:i/>
          <w:sz w:val="24"/>
          <w:szCs w:val="24"/>
        </w:rPr>
        <w:t>Margaret Thatcher: The Authorized Biography; Volume Three: Herself Alone</w:t>
      </w:r>
      <w:r w:rsidRPr="00AE141E">
        <w:rPr>
          <w:rFonts w:ascii="Times New Roman" w:hAnsi="Times New Roman" w:cs="Times New Roman"/>
          <w:sz w:val="24"/>
          <w:szCs w:val="24"/>
        </w:rPr>
        <w:t xml:space="preserve"> (London: Penguin, 2019).</w:t>
      </w:r>
    </w:p>
    <w:p w14:paraId="50ED4ED2" w14:textId="77777777" w:rsidR="004C09DC" w:rsidRPr="00AE141E" w:rsidRDefault="004C09DC" w:rsidP="00AE141E">
      <w:pPr>
        <w:pStyle w:val="FootnoteText"/>
        <w:spacing w:line="360" w:lineRule="auto"/>
        <w:rPr>
          <w:rFonts w:ascii="Times New Roman" w:hAnsi="Times New Roman" w:cs="Times New Roman"/>
          <w:sz w:val="24"/>
          <w:szCs w:val="24"/>
        </w:rPr>
      </w:pPr>
    </w:p>
    <w:p w14:paraId="3AF5BC3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Moore, C., </w:t>
      </w:r>
      <w:r w:rsidRPr="00AE141E">
        <w:rPr>
          <w:rFonts w:ascii="Times New Roman" w:hAnsi="Times New Roman" w:cs="Times New Roman"/>
          <w:i/>
          <w:sz w:val="24"/>
          <w:szCs w:val="24"/>
        </w:rPr>
        <w:t>Birth of the Border: The Impact of Partition in Ireland</w:t>
      </w:r>
      <w:r w:rsidRPr="00AE141E">
        <w:rPr>
          <w:rFonts w:ascii="Times New Roman" w:hAnsi="Times New Roman" w:cs="Times New Roman"/>
          <w:sz w:val="24"/>
          <w:szCs w:val="24"/>
        </w:rPr>
        <w:t xml:space="preserve"> (Newbridge: Merrion Press, 2019). </w:t>
      </w:r>
    </w:p>
    <w:p w14:paraId="00422901" w14:textId="77777777" w:rsidR="004C09DC" w:rsidRPr="00AE141E" w:rsidRDefault="004C09DC" w:rsidP="00AE141E">
      <w:pPr>
        <w:pStyle w:val="FootnoteText"/>
        <w:spacing w:line="360" w:lineRule="auto"/>
        <w:rPr>
          <w:rFonts w:ascii="Times New Roman" w:hAnsi="Times New Roman" w:cs="Times New Roman"/>
          <w:sz w:val="24"/>
          <w:szCs w:val="24"/>
        </w:rPr>
      </w:pPr>
    </w:p>
    <w:p w14:paraId="052BC67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Murphy, P., </w:t>
      </w:r>
      <w:r w:rsidRPr="00AE141E">
        <w:rPr>
          <w:rFonts w:ascii="Times New Roman" w:hAnsi="Times New Roman" w:cs="Times New Roman"/>
          <w:i/>
          <w:sz w:val="24"/>
          <w:szCs w:val="24"/>
        </w:rPr>
        <w:t>The Empire's New Clothes: The Myth of the Commonwealth</w:t>
      </w:r>
      <w:r w:rsidRPr="00AE141E">
        <w:rPr>
          <w:rFonts w:ascii="Times New Roman" w:hAnsi="Times New Roman" w:cs="Times New Roman"/>
          <w:sz w:val="24"/>
          <w:szCs w:val="24"/>
        </w:rPr>
        <w:t xml:space="preserve"> (London: Hurst &amp; Co., 2018).</w:t>
      </w:r>
    </w:p>
    <w:p w14:paraId="7B6A4296" w14:textId="77777777" w:rsidR="004C09DC" w:rsidRPr="00AE141E" w:rsidRDefault="004C09DC" w:rsidP="00AE141E">
      <w:pPr>
        <w:pStyle w:val="FootnoteText"/>
        <w:spacing w:line="360" w:lineRule="auto"/>
        <w:rPr>
          <w:rFonts w:ascii="Times New Roman" w:hAnsi="Times New Roman" w:cs="Times New Roman"/>
          <w:sz w:val="24"/>
          <w:szCs w:val="24"/>
        </w:rPr>
      </w:pPr>
    </w:p>
    <w:p w14:paraId="36895DE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Murray, N.,</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and</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Searle</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C.,</w:t>
      </w:r>
      <w:r w:rsidRPr="00AE141E">
        <w:rPr>
          <w:rFonts w:ascii="Times New Roman" w:hAnsi="Times New Roman" w:cs="Times New Roman"/>
          <w:i/>
          <w:sz w:val="24"/>
          <w:szCs w:val="24"/>
        </w:rPr>
        <w:t xml:space="preserve"> Racism and the Press in Thatcher’s Britain: Race &amp; Class Pamphlet No.12</w:t>
      </w:r>
      <w:r w:rsidRPr="00AE141E">
        <w:rPr>
          <w:rFonts w:ascii="Times New Roman" w:hAnsi="Times New Roman" w:cs="Times New Roman"/>
          <w:sz w:val="24"/>
          <w:szCs w:val="24"/>
        </w:rPr>
        <w:t xml:space="preserve"> (London: IRR, 1989).</w:t>
      </w:r>
    </w:p>
    <w:p w14:paraId="4EE43FB5" w14:textId="77777777" w:rsidR="004C09DC" w:rsidRPr="00AE141E" w:rsidRDefault="004C09DC" w:rsidP="00AE141E">
      <w:pPr>
        <w:pStyle w:val="FootnoteText"/>
        <w:spacing w:line="360" w:lineRule="auto"/>
        <w:rPr>
          <w:rFonts w:ascii="Times New Roman" w:hAnsi="Times New Roman" w:cs="Times New Roman"/>
          <w:sz w:val="24"/>
          <w:szCs w:val="24"/>
        </w:rPr>
      </w:pPr>
    </w:p>
    <w:p w14:paraId="256CE5F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Naidoo, B., </w:t>
      </w:r>
      <w:r w:rsidRPr="00AE141E">
        <w:rPr>
          <w:rFonts w:ascii="Times New Roman" w:hAnsi="Times New Roman" w:cs="Times New Roman"/>
          <w:i/>
          <w:sz w:val="24"/>
          <w:szCs w:val="24"/>
        </w:rPr>
        <w:t xml:space="preserve">Through Whose Eyes? Exploring Racism: Reader, Text and Context </w:t>
      </w:r>
      <w:r w:rsidRPr="00AE141E">
        <w:rPr>
          <w:rFonts w:ascii="Times New Roman" w:hAnsi="Times New Roman" w:cs="Times New Roman"/>
          <w:sz w:val="24"/>
          <w:szCs w:val="24"/>
        </w:rPr>
        <w:t>(Stoke-on-Trent: Trentham, 1992).</w:t>
      </w:r>
    </w:p>
    <w:p w14:paraId="5DBED4B9" w14:textId="77777777" w:rsidR="004C09DC" w:rsidRPr="00AE141E" w:rsidRDefault="004C09DC" w:rsidP="00AE141E">
      <w:pPr>
        <w:pStyle w:val="FootnoteText"/>
        <w:spacing w:line="360" w:lineRule="auto"/>
        <w:rPr>
          <w:rFonts w:ascii="Times New Roman" w:hAnsi="Times New Roman" w:cs="Times New Roman"/>
          <w:sz w:val="24"/>
          <w:szCs w:val="24"/>
        </w:rPr>
      </w:pPr>
    </w:p>
    <w:p w14:paraId="7CF3AC8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Nairn, T., ‘Old Nationalism and New Nationalism’, in Gordon Brown (ed.), </w:t>
      </w:r>
      <w:r w:rsidRPr="00AE141E">
        <w:rPr>
          <w:rFonts w:ascii="Times New Roman" w:hAnsi="Times New Roman" w:cs="Times New Roman"/>
          <w:i/>
          <w:sz w:val="24"/>
          <w:szCs w:val="24"/>
        </w:rPr>
        <w:t>The Red Paper on Scotland</w:t>
      </w:r>
      <w:r w:rsidRPr="00AE141E">
        <w:rPr>
          <w:rFonts w:ascii="Times New Roman" w:hAnsi="Times New Roman" w:cs="Times New Roman"/>
          <w:sz w:val="24"/>
          <w:szCs w:val="24"/>
        </w:rPr>
        <w:t xml:space="preserve"> (Edinburgh: EUSPB, 1975), 22-57.</w:t>
      </w:r>
    </w:p>
    <w:p w14:paraId="2B2F73EB" w14:textId="77777777" w:rsidR="004C09DC" w:rsidRPr="00AE141E" w:rsidRDefault="004C09DC" w:rsidP="00AE141E">
      <w:pPr>
        <w:pStyle w:val="FootnoteText"/>
        <w:spacing w:line="360" w:lineRule="auto"/>
        <w:rPr>
          <w:rFonts w:ascii="Times New Roman" w:hAnsi="Times New Roman" w:cs="Times New Roman"/>
          <w:sz w:val="24"/>
          <w:szCs w:val="24"/>
        </w:rPr>
      </w:pPr>
    </w:p>
    <w:p w14:paraId="567EB7FD" w14:textId="02A94F19"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Nechtman, T. W., </w:t>
      </w:r>
      <w:r w:rsidRPr="00AE141E">
        <w:rPr>
          <w:rFonts w:ascii="Times New Roman" w:hAnsi="Times New Roman" w:cs="Times New Roman"/>
          <w:i/>
          <w:sz w:val="24"/>
          <w:szCs w:val="24"/>
        </w:rPr>
        <w:t>Nabobs: Empire and Identity in Eighteenth-Century Britain</w:t>
      </w:r>
      <w:r w:rsidRPr="00AE141E">
        <w:rPr>
          <w:rFonts w:ascii="Times New Roman" w:hAnsi="Times New Roman" w:cs="Times New Roman"/>
          <w:sz w:val="24"/>
          <w:szCs w:val="24"/>
        </w:rPr>
        <w:t xml:space="preserve"> (Cambridge:</w:t>
      </w:r>
      <w:r w:rsidR="00527D8C" w:rsidRPr="00AE141E">
        <w:rPr>
          <w:rFonts w:ascii="Times New Roman" w:hAnsi="Times New Roman" w:cs="Times New Roman"/>
          <w:sz w:val="24"/>
          <w:szCs w:val="24"/>
        </w:rPr>
        <w:t xml:space="preserve"> </w:t>
      </w:r>
      <w:r w:rsidRPr="00AE141E">
        <w:rPr>
          <w:rFonts w:ascii="Times New Roman" w:hAnsi="Times New Roman" w:cs="Times New Roman"/>
          <w:sz w:val="24"/>
          <w:szCs w:val="24"/>
        </w:rPr>
        <w:t>CUP, 2010).</w:t>
      </w:r>
    </w:p>
    <w:p w14:paraId="566558E6" w14:textId="77777777" w:rsidR="004C09DC" w:rsidRPr="00AE141E" w:rsidRDefault="004C09DC" w:rsidP="00AE141E">
      <w:pPr>
        <w:pStyle w:val="FootnoteText"/>
        <w:spacing w:line="360" w:lineRule="auto"/>
        <w:rPr>
          <w:rFonts w:ascii="Times New Roman" w:hAnsi="Times New Roman" w:cs="Times New Roman"/>
          <w:sz w:val="24"/>
          <w:szCs w:val="24"/>
        </w:rPr>
      </w:pPr>
    </w:p>
    <w:p w14:paraId="0910504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Patel</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I.S.,</w:t>
      </w:r>
      <w:r w:rsidRPr="00AE141E">
        <w:rPr>
          <w:rFonts w:ascii="Times New Roman" w:hAnsi="Times New Roman" w:cs="Times New Roman"/>
          <w:i/>
          <w:sz w:val="24"/>
          <w:szCs w:val="24"/>
        </w:rPr>
        <w:t xml:space="preserve"> We're Here Because You Were There: Immigration and the End of Empire</w:t>
      </w:r>
      <w:r w:rsidRPr="00AE141E">
        <w:rPr>
          <w:rFonts w:ascii="Times New Roman" w:hAnsi="Times New Roman" w:cs="Times New Roman"/>
          <w:sz w:val="24"/>
          <w:szCs w:val="24"/>
        </w:rPr>
        <w:t xml:space="preserve"> (London: Verso, 2021).</w:t>
      </w:r>
    </w:p>
    <w:p w14:paraId="51E4ED77" w14:textId="77777777" w:rsidR="004C09DC" w:rsidRPr="00AE141E" w:rsidRDefault="004C09DC" w:rsidP="00AE141E">
      <w:pPr>
        <w:pStyle w:val="FootnoteText"/>
        <w:spacing w:line="360" w:lineRule="auto"/>
        <w:rPr>
          <w:rFonts w:ascii="Times New Roman" w:hAnsi="Times New Roman" w:cs="Times New Roman"/>
          <w:sz w:val="24"/>
          <w:szCs w:val="24"/>
        </w:rPr>
      </w:pPr>
    </w:p>
    <w:p w14:paraId="5676CC1D" w14:textId="77777777" w:rsidR="004C09DC" w:rsidRPr="00AE141E" w:rsidRDefault="004C09DC" w:rsidP="00AE141E">
      <w:pPr>
        <w:pStyle w:val="FootnoteText"/>
        <w:spacing w:line="360" w:lineRule="auto"/>
        <w:rPr>
          <w:rFonts w:ascii="Times New Roman" w:hAnsi="Times New Roman" w:cs="Times New Roman"/>
          <w:iCs/>
          <w:sz w:val="24"/>
          <w:szCs w:val="24"/>
        </w:rPr>
      </w:pPr>
      <w:r w:rsidRPr="00AE141E">
        <w:rPr>
          <w:rFonts w:ascii="Times New Roman" w:hAnsi="Times New Roman" w:cs="Times New Roman"/>
          <w:sz w:val="24"/>
          <w:szCs w:val="24"/>
        </w:rPr>
        <w:t>Phillips, R.,</w:t>
      </w:r>
      <w:r w:rsidRPr="00AE141E">
        <w:rPr>
          <w:rFonts w:ascii="Times New Roman" w:hAnsi="Times New Roman" w:cs="Times New Roman"/>
          <w:i/>
          <w:sz w:val="24"/>
          <w:szCs w:val="24"/>
        </w:rPr>
        <w:t> History Teaching, Nationhood and the State: A Study in Educational Politics</w:t>
      </w:r>
      <w:r w:rsidRPr="00AE141E">
        <w:rPr>
          <w:rFonts w:ascii="Times New Roman" w:hAnsi="Times New Roman" w:cs="Times New Roman"/>
          <w:sz w:val="24"/>
          <w:szCs w:val="24"/>
        </w:rPr>
        <w:t xml:space="preserve"> (London: Cassell, 1998).</w:t>
      </w:r>
    </w:p>
    <w:p w14:paraId="2681653B" w14:textId="77777777" w:rsidR="004C09DC" w:rsidRPr="00AE141E" w:rsidRDefault="004C09DC" w:rsidP="00AE141E">
      <w:pPr>
        <w:pStyle w:val="FootnoteText"/>
        <w:spacing w:line="360" w:lineRule="auto"/>
        <w:rPr>
          <w:rFonts w:ascii="Times New Roman" w:hAnsi="Times New Roman" w:cs="Times New Roman"/>
          <w:iCs/>
          <w:sz w:val="24"/>
          <w:szCs w:val="24"/>
        </w:rPr>
      </w:pPr>
    </w:p>
    <w:p w14:paraId="4D15431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Porter, B., </w:t>
      </w:r>
      <w:r w:rsidRPr="00AE141E">
        <w:rPr>
          <w:rFonts w:ascii="Times New Roman" w:hAnsi="Times New Roman" w:cs="Times New Roman"/>
          <w:i/>
          <w:sz w:val="24"/>
          <w:szCs w:val="24"/>
        </w:rPr>
        <w:t>The Absent-Minded Imperialists: Empire, Society and Culture in Britain</w:t>
      </w:r>
      <w:r w:rsidRPr="00AE141E">
        <w:rPr>
          <w:rFonts w:ascii="Times New Roman" w:hAnsi="Times New Roman" w:cs="Times New Roman"/>
          <w:sz w:val="24"/>
          <w:szCs w:val="24"/>
        </w:rPr>
        <w:t xml:space="preserve"> (Oxford: OUP, 2004).</w:t>
      </w:r>
    </w:p>
    <w:p w14:paraId="43BC1EE7" w14:textId="77777777" w:rsidR="004C09DC" w:rsidRPr="00AE141E" w:rsidRDefault="004C09DC" w:rsidP="00AE141E">
      <w:pPr>
        <w:pStyle w:val="FootnoteText"/>
        <w:spacing w:line="360" w:lineRule="auto"/>
        <w:rPr>
          <w:rFonts w:ascii="Times New Roman" w:hAnsi="Times New Roman" w:cs="Times New Roman"/>
          <w:sz w:val="24"/>
          <w:szCs w:val="24"/>
        </w:rPr>
      </w:pPr>
    </w:p>
    <w:p w14:paraId="22FA5152" w14:textId="77777777" w:rsidR="004C09DC"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Ramamurthy, A., </w:t>
      </w:r>
      <w:r w:rsidRPr="00AE141E">
        <w:rPr>
          <w:rFonts w:ascii="Times New Roman" w:hAnsi="Times New Roman" w:cs="Times New Roman"/>
          <w:i/>
          <w:sz w:val="24"/>
          <w:szCs w:val="24"/>
        </w:rPr>
        <w:t>Black Star: Britain’s Asian Youth Movements</w:t>
      </w:r>
      <w:r w:rsidRPr="00AE141E">
        <w:rPr>
          <w:rFonts w:ascii="Times New Roman" w:hAnsi="Times New Roman" w:cs="Times New Roman"/>
          <w:sz w:val="24"/>
          <w:szCs w:val="24"/>
        </w:rPr>
        <w:t xml:space="preserve"> (London: Pluto Press, 2013).</w:t>
      </w:r>
    </w:p>
    <w:p w14:paraId="24BE12E5" w14:textId="77777777" w:rsidR="00F15AC7" w:rsidRDefault="00F15AC7" w:rsidP="00AE141E">
      <w:pPr>
        <w:pStyle w:val="FootnoteText"/>
        <w:spacing w:line="360" w:lineRule="auto"/>
        <w:rPr>
          <w:rFonts w:ascii="Times New Roman" w:hAnsi="Times New Roman" w:cs="Times New Roman"/>
          <w:sz w:val="24"/>
          <w:szCs w:val="24"/>
        </w:rPr>
      </w:pPr>
    </w:p>
    <w:p w14:paraId="136F843B" w14:textId="4664A3EA" w:rsidR="00F15AC7" w:rsidRPr="00AE141E" w:rsidRDefault="00F15AC7" w:rsidP="00AE141E">
      <w:pPr>
        <w:pStyle w:val="FootnoteText"/>
        <w:spacing w:line="360" w:lineRule="auto"/>
        <w:rPr>
          <w:rFonts w:ascii="Times New Roman" w:hAnsi="Times New Roman" w:cs="Times New Roman"/>
          <w:sz w:val="24"/>
          <w:szCs w:val="24"/>
        </w:rPr>
      </w:pPr>
      <w:r w:rsidRPr="00F15AC7">
        <w:rPr>
          <w:rFonts w:ascii="Times New Roman" w:hAnsi="Times New Roman" w:cs="Times New Roman"/>
          <w:sz w:val="24"/>
          <w:szCs w:val="24"/>
        </w:rPr>
        <w:t>Reay,</w:t>
      </w:r>
      <w:r>
        <w:rPr>
          <w:rFonts w:ascii="Times New Roman" w:hAnsi="Times New Roman" w:cs="Times New Roman"/>
          <w:sz w:val="24"/>
          <w:szCs w:val="24"/>
        </w:rPr>
        <w:t xml:space="preserve"> D.,</w:t>
      </w:r>
      <w:r w:rsidRPr="00F15AC7">
        <w:rPr>
          <w:rFonts w:ascii="Times New Roman" w:hAnsi="Times New Roman" w:cs="Times New Roman"/>
          <w:sz w:val="24"/>
          <w:szCs w:val="24"/>
        </w:rPr>
        <w:t xml:space="preserve"> </w:t>
      </w:r>
      <w:r w:rsidRPr="00F15AC7">
        <w:rPr>
          <w:rFonts w:ascii="Times New Roman" w:hAnsi="Times New Roman" w:cs="Times New Roman"/>
          <w:i/>
          <w:iCs/>
          <w:sz w:val="24"/>
          <w:szCs w:val="24"/>
        </w:rPr>
        <w:t>Miseducation: Inequality, Education and the Working Classes</w:t>
      </w:r>
      <w:r w:rsidRPr="00F15AC7">
        <w:rPr>
          <w:rFonts w:ascii="Times New Roman" w:hAnsi="Times New Roman" w:cs="Times New Roman"/>
          <w:sz w:val="24"/>
          <w:szCs w:val="24"/>
        </w:rPr>
        <w:t xml:space="preserve"> (Bristol: Policy, 2017).</w:t>
      </w:r>
    </w:p>
    <w:p w14:paraId="780E829D" w14:textId="77777777" w:rsidR="004C09DC" w:rsidRPr="00AE141E" w:rsidRDefault="004C09DC" w:rsidP="00AE141E">
      <w:pPr>
        <w:pStyle w:val="FootnoteText"/>
        <w:spacing w:line="360" w:lineRule="auto"/>
        <w:rPr>
          <w:rFonts w:ascii="Times New Roman" w:hAnsi="Times New Roman" w:cs="Times New Roman"/>
          <w:sz w:val="24"/>
          <w:szCs w:val="24"/>
        </w:rPr>
      </w:pPr>
    </w:p>
    <w:p w14:paraId="5FB5BA5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Riley, C.L., </w:t>
      </w:r>
      <w:r w:rsidRPr="00AE141E">
        <w:rPr>
          <w:rFonts w:ascii="Times New Roman" w:hAnsi="Times New Roman" w:cs="Times New Roman"/>
          <w:i/>
          <w:sz w:val="24"/>
          <w:szCs w:val="24"/>
        </w:rPr>
        <w:t xml:space="preserve">Imperial Island: A History of Empire in Modern Britain </w:t>
      </w:r>
      <w:r w:rsidRPr="00AE141E">
        <w:rPr>
          <w:rFonts w:ascii="Times New Roman" w:hAnsi="Times New Roman" w:cs="Times New Roman"/>
          <w:sz w:val="24"/>
          <w:szCs w:val="24"/>
        </w:rPr>
        <w:t>(London: Penguin, 2023).</w:t>
      </w:r>
    </w:p>
    <w:p w14:paraId="59BA9ECE" w14:textId="77777777" w:rsidR="004C09DC" w:rsidRPr="00AE141E" w:rsidRDefault="004C09DC" w:rsidP="00AE141E">
      <w:pPr>
        <w:pStyle w:val="FootnoteText"/>
        <w:spacing w:line="360" w:lineRule="auto"/>
        <w:rPr>
          <w:rFonts w:ascii="Times New Roman" w:hAnsi="Times New Roman" w:cs="Times New Roman"/>
          <w:sz w:val="24"/>
          <w:szCs w:val="24"/>
        </w:rPr>
      </w:pPr>
    </w:p>
    <w:p w14:paraId="676B20B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Rodney, W., </w:t>
      </w:r>
      <w:r w:rsidRPr="00AE141E">
        <w:rPr>
          <w:rFonts w:ascii="Times New Roman" w:hAnsi="Times New Roman" w:cs="Times New Roman"/>
          <w:i/>
          <w:sz w:val="24"/>
          <w:szCs w:val="24"/>
        </w:rPr>
        <w:t>The Groundings with My Brothers</w:t>
      </w:r>
      <w:r w:rsidRPr="00AE141E">
        <w:rPr>
          <w:rFonts w:ascii="Times New Roman" w:hAnsi="Times New Roman" w:cs="Times New Roman"/>
          <w:sz w:val="24"/>
          <w:szCs w:val="24"/>
        </w:rPr>
        <w:t xml:space="preserve"> (London: Bogle-L'Ouverture Publications, 1975).</w:t>
      </w:r>
    </w:p>
    <w:p w14:paraId="13D24108" w14:textId="77777777" w:rsidR="004C09DC" w:rsidRPr="00AE141E" w:rsidRDefault="004C09DC" w:rsidP="00AE141E">
      <w:pPr>
        <w:pStyle w:val="FootnoteText"/>
        <w:spacing w:line="360" w:lineRule="auto"/>
        <w:rPr>
          <w:rFonts w:ascii="Times New Roman" w:hAnsi="Times New Roman" w:cs="Times New Roman"/>
          <w:sz w:val="24"/>
          <w:szCs w:val="24"/>
        </w:rPr>
      </w:pPr>
    </w:p>
    <w:p w14:paraId="041586C2" w14:textId="365535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Rodney, W., </w:t>
      </w:r>
      <w:r w:rsidR="00515B67" w:rsidRPr="00515B67">
        <w:rPr>
          <w:rFonts w:ascii="Times New Roman" w:hAnsi="Times New Roman" w:cs="Times New Roman"/>
          <w:i/>
          <w:sz w:val="24"/>
          <w:szCs w:val="24"/>
        </w:rPr>
        <w:t xml:space="preserve">How Europe Underdeveloped Africa </w:t>
      </w:r>
      <w:r w:rsidR="00515B67" w:rsidRPr="00515B67">
        <w:rPr>
          <w:rFonts w:ascii="Times New Roman" w:hAnsi="Times New Roman" w:cs="Times New Roman"/>
          <w:iCs/>
          <w:sz w:val="24"/>
          <w:szCs w:val="24"/>
        </w:rPr>
        <w:t>(London: Bogle-L'Ouverture Publications, 1972)</w:t>
      </w:r>
      <w:r w:rsidRPr="00515B67">
        <w:rPr>
          <w:rFonts w:ascii="Times New Roman" w:hAnsi="Times New Roman" w:cs="Times New Roman"/>
          <w:iCs/>
          <w:sz w:val="24"/>
          <w:szCs w:val="24"/>
        </w:rPr>
        <w:t>.</w:t>
      </w:r>
    </w:p>
    <w:p w14:paraId="48DF7274" w14:textId="77777777" w:rsidR="004C09DC" w:rsidRPr="00AE141E" w:rsidRDefault="004C09DC" w:rsidP="00AE141E">
      <w:pPr>
        <w:pStyle w:val="FootnoteText"/>
        <w:spacing w:line="360" w:lineRule="auto"/>
        <w:rPr>
          <w:rFonts w:ascii="Times New Roman" w:hAnsi="Times New Roman" w:cs="Times New Roman"/>
          <w:sz w:val="24"/>
          <w:szCs w:val="24"/>
        </w:rPr>
      </w:pPr>
    </w:p>
    <w:p w14:paraId="3F36ABE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Rojas, F., </w:t>
      </w:r>
      <w:r w:rsidRPr="00AE141E">
        <w:rPr>
          <w:rFonts w:ascii="Times New Roman" w:hAnsi="Times New Roman" w:cs="Times New Roman"/>
          <w:i/>
          <w:sz w:val="24"/>
          <w:szCs w:val="24"/>
        </w:rPr>
        <w:t xml:space="preserve">From Black Power to Black Studies: How a Radical Social Movement Became an Academic Discipline </w:t>
      </w:r>
      <w:r w:rsidRPr="00AE141E">
        <w:rPr>
          <w:rFonts w:ascii="Times New Roman" w:hAnsi="Times New Roman" w:cs="Times New Roman"/>
          <w:sz w:val="24"/>
          <w:szCs w:val="24"/>
        </w:rPr>
        <w:t>(Baltimore: John Hopkins University Press, 2010).</w:t>
      </w:r>
    </w:p>
    <w:p w14:paraId="2F6D75A4" w14:textId="77777777" w:rsidR="004C09DC" w:rsidRPr="00AE141E" w:rsidRDefault="004C09DC" w:rsidP="00AE141E">
      <w:pPr>
        <w:pStyle w:val="FootnoteText"/>
        <w:spacing w:line="360" w:lineRule="auto"/>
        <w:rPr>
          <w:rFonts w:ascii="Times New Roman" w:hAnsi="Times New Roman" w:cs="Times New Roman"/>
          <w:sz w:val="24"/>
          <w:szCs w:val="24"/>
        </w:rPr>
      </w:pPr>
    </w:p>
    <w:p w14:paraId="1546DB5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Rothberg, M., </w:t>
      </w:r>
      <w:r w:rsidRPr="00AE141E">
        <w:rPr>
          <w:rFonts w:ascii="Times New Roman" w:hAnsi="Times New Roman" w:cs="Times New Roman"/>
          <w:i/>
          <w:sz w:val="24"/>
          <w:szCs w:val="24"/>
        </w:rPr>
        <w:t>Multidirectional Memory: Remembering the Holocaust in the Age of Decolonization</w:t>
      </w:r>
      <w:r w:rsidRPr="00AE141E">
        <w:rPr>
          <w:rFonts w:ascii="Times New Roman" w:hAnsi="Times New Roman" w:cs="Times New Roman"/>
          <w:sz w:val="24"/>
          <w:szCs w:val="24"/>
        </w:rPr>
        <w:t xml:space="preserve"> (Stanford, California: Stanford University Press, 2009).</w:t>
      </w:r>
    </w:p>
    <w:p w14:paraId="5A585185" w14:textId="77777777" w:rsidR="004C09DC" w:rsidRPr="00AE141E" w:rsidRDefault="004C09DC" w:rsidP="00AE141E">
      <w:pPr>
        <w:pStyle w:val="FootnoteText"/>
        <w:spacing w:line="360" w:lineRule="auto"/>
        <w:rPr>
          <w:rFonts w:ascii="Times New Roman" w:hAnsi="Times New Roman" w:cs="Times New Roman"/>
          <w:sz w:val="24"/>
          <w:szCs w:val="24"/>
        </w:rPr>
      </w:pPr>
    </w:p>
    <w:p w14:paraId="093C43C5" w14:textId="5A8718B8" w:rsidR="004C09DC" w:rsidRPr="002B393D" w:rsidRDefault="004C09DC" w:rsidP="00AE141E">
      <w:pPr>
        <w:pStyle w:val="FootnoteText"/>
        <w:spacing w:line="360" w:lineRule="auto"/>
        <w:rPr>
          <w:rFonts w:ascii="Times New Roman" w:hAnsi="Times New Roman" w:cs="Times New Roman"/>
          <w:iCs/>
          <w:sz w:val="24"/>
          <w:szCs w:val="24"/>
        </w:rPr>
      </w:pPr>
      <w:r w:rsidRPr="00AE141E">
        <w:rPr>
          <w:rFonts w:ascii="Times New Roman" w:hAnsi="Times New Roman" w:cs="Times New Roman"/>
          <w:sz w:val="24"/>
          <w:szCs w:val="24"/>
        </w:rPr>
        <w:t>Said, E.W.,</w:t>
      </w:r>
      <w:r w:rsidR="002B393D" w:rsidRPr="002B393D">
        <w:rPr>
          <w:rFonts w:ascii="Times New Roman" w:hAnsi="Times New Roman" w:cs="Times New Roman"/>
          <w:i/>
          <w:sz w:val="24"/>
          <w:szCs w:val="24"/>
        </w:rPr>
        <w:t xml:space="preserve"> Orientalism </w:t>
      </w:r>
      <w:r w:rsidR="002B393D" w:rsidRPr="002B393D">
        <w:rPr>
          <w:rFonts w:ascii="Times New Roman" w:hAnsi="Times New Roman" w:cs="Times New Roman"/>
          <w:iCs/>
          <w:sz w:val="24"/>
          <w:szCs w:val="24"/>
        </w:rPr>
        <w:t>(New York: Pantheon Books, 1978)</w:t>
      </w:r>
      <w:r w:rsidRPr="002B393D">
        <w:rPr>
          <w:rFonts w:ascii="Times New Roman" w:hAnsi="Times New Roman" w:cs="Times New Roman"/>
          <w:iCs/>
          <w:sz w:val="24"/>
          <w:szCs w:val="24"/>
        </w:rPr>
        <w:t>.</w:t>
      </w:r>
    </w:p>
    <w:p w14:paraId="680097FC" w14:textId="77777777" w:rsidR="004C09DC" w:rsidRPr="00AE141E" w:rsidRDefault="004C09DC" w:rsidP="00AE141E">
      <w:pPr>
        <w:pStyle w:val="FootnoteText"/>
        <w:spacing w:line="360" w:lineRule="auto"/>
        <w:rPr>
          <w:rFonts w:ascii="Times New Roman" w:hAnsi="Times New Roman" w:cs="Times New Roman"/>
          <w:sz w:val="24"/>
          <w:szCs w:val="24"/>
        </w:rPr>
      </w:pPr>
    </w:p>
    <w:p w14:paraId="79D379F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Samuel, R., </w:t>
      </w:r>
      <w:r w:rsidRPr="00AE141E">
        <w:rPr>
          <w:rFonts w:ascii="Times New Roman" w:hAnsi="Times New Roman" w:cs="Times New Roman"/>
          <w:i/>
          <w:sz w:val="24"/>
          <w:szCs w:val="24"/>
        </w:rPr>
        <w:t>Island Stories,</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Unravelling Britain: Theatres of Memory, Volume II</w:t>
      </w:r>
      <w:r w:rsidRPr="00AE141E">
        <w:rPr>
          <w:rFonts w:ascii="Times New Roman" w:hAnsi="Times New Roman" w:cs="Times New Roman"/>
          <w:sz w:val="24"/>
          <w:szCs w:val="24"/>
        </w:rPr>
        <w:t xml:space="preserve"> (London: Verso, 1998).</w:t>
      </w:r>
    </w:p>
    <w:p w14:paraId="40FA9CEC" w14:textId="77777777" w:rsidR="004C09DC" w:rsidRPr="00AE141E" w:rsidRDefault="004C09DC" w:rsidP="00AE141E">
      <w:pPr>
        <w:pStyle w:val="FootnoteText"/>
        <w:spacing w:line="360" w:lineRule="auto"/>
        <w:rPr>
          <w:rFonts w:ascii="Times New Roman" w:hAnsi="Times New Roman" w:cs="Times New Roman"/>
          <w:sz w:val="24"/>
          <w:szCs w:val="24"/>
        </w:rPr>
      </w:pPr>
    </w:p>
    <w:p w14:paraId="54EE3619" w14:textId="3C7D3504" w:rsidR="00E02431" w:rsidRPr="00AE141E" w:rsidRDefault="00E02431"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Samuel, R., (ed.), </w:t>
      </w:r>
      <w:r w:rsidRPr="00AE141E">
        <w:rPr>
          <w:rFonts w:ascii="Times New Roman" w:hAnsi="Times New Roman" w:cs="Times New Roman"/>
          <w:i/>
          <w:sz w:val="24"/>
          <w:szCs w:val="24"/>
        </w:rPr>
        <w:t>Patriotism: The Making and Unmaking of British National Identity, Volume 1: History and Politics</w:t>
      </w:r>
      <w:r w:rsidRPr="00AE141E">
        <w:rPr>
          <w:rFonts w:ascii="Times New Roman" w:hAnsi="Times New Roman" w:cs="Times New Roman"/>
          <w:sz w:val="24"/>
          <w:szCs w:val="24"/>
        </w:rPr>
        <w:t xml:space="preserve"> (London: Routledge, 1989).</w:t>
      </w:r>
    </w:p>
    <w:p w14:paraId="623CBEEC" w14:textId="77777777" w:rsidR="00E02431" w:rsidRPr="00AE141E" w:rsidRDefault="00E02431" w:rsidP="00AE141E">
      <w:pPr>
        <w:pStyle w:val="FootnoteText"/>
        <w:spacing w:line="360" w:lineRule="auto"/>
        <w:rPr>
          <w:rFonts w:ascii="Times New Roman" w:hAnsi="Times New Roman" w:cs="Times New Roman"/>
          <w:sz w:val="24"/>
          <w:szCs w:val="24"/>
        </w:rPr>
      </w:pPr>
    </w:p>
    <w:p w14:paraId="6962D96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Satia, P., </w:t>
      </w:r>
      <w:r w:rsidRPr="00AE141E">
        <w:rPr>
          <w:rFonts w:ascii="Times New Roman" w:hAnsi="Times New Roman" w:cs="Times New Roman"/>
          <w:i/>
          <w:sz w:val="24"/>
          <w:szCs w:val="24"/>
        </w:rPr>
        <w:t xml:space="preserve">Time’s Monster: How History Makes History </w:t>
      </w:r>
      <w:r w:rsidRPr="00AE141E">
        <w:rPr>
          <w:rFonts w:ascii="Times New Roman" w:hAnsi="Times New Roman" w:cs="Times New Roman"/>
          <w:sz w:val="24"/>
          <w:szCs w:val="24"/>
        </w:rPr>
        <w:t>(Cambridge, Massachusetts: The Belknap Press of Harvard University Press, 2020).</w:t>
      </w:r>
    </w:p>
    <w:p w14:paraId="103A61AA" w14:textId="77777777" w:rsidR="004C09DC" w:rsidRPr="00AE141E" w:rsidRDefault="004C09DC" w:rsidP="00AE141E">
      <w:pPr>
        <w:pStyle w:val="FootnoteText"/>
        <w:spacing w:line="360" w:lineRule="auto"/>
        <w:rPr>
          <w:rFonts w:ascii="Times New Roman" w:hAnsi="Times New Roman" w:cs="Times New Roman"/>
          <w:sz w:val="24"/>
          <w:szCs w:val="24"/>
        </w:rPr>
      </w:pPr>
    </w:p>
    <w:p w14:paraId="2AC1812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Searle</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C.,</w:t>
      </w:r>
      <w:r w:rsidRPr="00AE141E">
        <w:rPr>
          <w:rFonts w:ascii="Times New Roman" w:hAnsi="Times New Roman" w:cs="Times New Roman"/>
          <w:i/>
          <w:sz w:val="24"/>
          <w:szCs w:val="24"/>
        </w:rPr>
        <w:t xml:space="preserve"> An Exclusive Education: Race, Class and Exclusion in British Schools</w:t>
      </w:r>
      <w:r w:rsidRPr="00AE141E">
        <w:rPr>
          <w:rFonts w:ascii="Times New Roman" w:hAnsi="Times New Roman" w:cs="Times New Roman"/>
          <w:sz w:val="24"/>
          <w:szCs w:val="24"/>
        </w:rPr>
        <w:t xml:space="preserve"> (London: Lawrence &amp; Wishart, 2001).</w:t>
      </w:r>
    </w:p>
    <w:p w14:paraId="5C84E9E5" w14:textId="77777777" w:rsidR="004C09DC" w:rsidRPr="00AE141E" w:rsidRDefault="004C09DC" w:rsidP="00AE141E">
      <w:pPr>
        <w:pStyle w:val="FootnoteText"/>
        <w:spacing w:line="360" w:lineRule="auto"/>
        <w:rPr>
          <w:rFonts w:ascii="Times New Roman" w:hAnsi="Times New Roman" w:cs="Times New Roman"/>
          <w:sz w:val="24"/>
          <w:szCs w:val="24"/>
        </w:rPr>
      </w:pPr>
    </w:p>
    <w:p w14:paraId="720DD486" w14:textId="77777777" w:rsidR="004C09DC" w:rsidRPr="00AE141E" w:rsidRDefault="004C09DC" w:rsidP="00AE141E">
      <w:pPr>
        <w:pStyle w:val="FootnoteText"/>
        <w:spacing w:line="360" w:lineRule="auto"/>
        <w:rPr>
          <w:rFonts w:ascii="Times New Roman" w:eastAsia="Calibri" w:hAnsi="Times New Roman" w:cs="Times New Roman"/>
          <w:sz w:val="24"/>
          <w:szCs w:val="24"/>
        </w:rPr>
      </w:pPr>
      <w:r w:rsidRPr="00AE141E">
        <w:rPr>
          <w:rFonts w:ascii="Times New Roman" w:eastAsia="Calibri" w:hAnsi="Times New Roman" w:cs="Times New Roman"/>
          <w:sz w:val="24"/>
          <w:szCs w:val="24"/>
        </w:rPr>
        <w:t xml:space="preserve">Shafi A., and Nagdee, I., </w:t>
      </w:r>
      <w:r w:rsidRPr="00AE141E">
        <w:rPr>
          <w:rFonts w:ascii="Times New Roman" w:eastAsia="Calibri" w:hAnsi="Times New Roman" w:cs="Times New Roman"/>
          <w:i/>
          <w:sz w:val="24"/>
          <w:szCs w:val="24"/>
        </w:rPr>
        <w:t>Race to the Bottom: Reclaiming Antiracism</w:t>
      </w:r>
      <w:r w:rsidRPr="00AE141E">
        <w:rPr>
          <w:rFonts w:ascii="Times New Roman" w:eastAsia="Calibri" w:hAnsi="Times New Roman" w:cs="Times New Roman"/>
          <w:sz w:val="24"/>
          <w:szCs w:val="24"/>
        </w:rPr>
        <w:t xml:space="preserve"> (London: Pluto Press, 2022).</w:t>
      </w:r>
    </w:p>
    <w:p w14:paraId="179F0CD2" w14:textId="77777777" w:rsidR="004C09DC" w:rsidRPr="00AE141E" w:rsidRDefault="004C09DC" w:rsidP="00AE141E">
      <w:pPr>
        <w:pStyle w:val="FootnoteText"/>
        <w:spacing w:line="360" w:lineRule="auto"/>
        <w:rPr>
          <w:rFonts w:ascii="Times New Roman" w:eastAsia="Calibri" w:hAnsi="Times New Roman" w:cs="Times New Roman"/>
          <w:sz w:val="24"/>
          <w:szCs w:val="24"/>
        </w:rPr>
      </w:pPr>
    </w:p>
    <w:p w14:paraId="4BBB9CB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Sivanandan</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A.,</w:t>
      </w:r>
      <w:r w:rsidRPr="00AE141E">
        <w:rPr>
          <w:rFonts w:ascii="Times New Roman" w:hAnsi="Times New Roman" w:cs="Times New Roman"/>
          <w:i/>
          <w:sz w:val="24"/>
          <w:szCs w:val="24"/>
        </w:rPr>
        <w:t xml:space="preserve"> Catching History on the Wing: Race, Culture and Globalisation</w:t>
      </w:r>
      <w:r w:rsidRPr="00AE141E">
        <w:rPr>
          <w:rFonts w:ascii="Times New Roman" w:hAnsi="Times New Roman" w:cs="Times New Roman"/>
          <w:sz w:val="24"/>
          <w:szCs w:val="24"/>
        </w:rPr>
        <w:t xml:space="preserve"> (London: Pluto, 2008).</w:t>
      </w:r>
    </w:p>
    <w:p w14:paraId="777917A9" w14:textId="77777777" w:rsidR="004C09DC" w:rsidRPr="00AE141E" w:rsidRDefault="004C09DC" w:rsidP="00AE141E">
      <w:pPr>
        <w:pStyle w:val="FootnoteText"/>
        <w:spacing w:line="360" w:lineRule="auto"/>
        <w:rPr>
          <w:rFonts w:ascii="Times New Roman" w:hAnsi="Times New Roman" w:cs="Times New Roman"/>
          <w:sz w:val="24"/>
          <w:szCs w:val="24"/>
        </w:rPr>
      </w:pPr>
    </w:p>
    <w:p w14:paraId="7B8DAB2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Slater, J., </w:t>
      </w:r>
      <w:r w:rsidRPr="00AE141E">
        <w:rPr>
          <w:rFonts w:ascii="Times New Roman" w:hAnsi="Times New Roman" w:cs="Times New Roman"/>
          <w:i/>
          <w:sz w:val="24"/>
          <w:szCs w:val="24"/>
        </w:rPr>
        <w:t xml:space="preserve">The Politics of History Teaching: A Humanity Dehumanised </w:t>
      </w:r>
      <w:r w:rsidRPr="00AE141E">
        <w:rPr>
          <w:rFonts w:ascii="Times New Roman" w:hAnsi="Times New Roman" w:cs="Times New Roman"/>
          <w:sz w:val="24"/>
          <w:szCs w:val="24"/>
        </w:rPr>
        <w:t>(London: Institute of Education, 1989).</w:t>
      </w:r>
    </w:p>
    <w:p w14:paraId="04EBBB48" w14:textId="77777777" w:rsidR="004C09DC" w:rsidRPr="00AE141E" w:rsidRDefault="004C09DC" w:rsidP="00AE141E">
      <w:pPr>
        <w:pStyle w:val="FootnoteText"/>
        <w:spacing w:line="360" w:lineRule="auto"/>
        <w:rPr>
          <w:rFonts w:ascii="Times New Roman" w:hAnsi="Times New Roman" w:cs="Times New Roman"/>
          <w:sz w:val="24"/>
          <w:szCs w:val="24"/>
        </w:rPr>
      </w:pPr>
    </w:p>
    <w:p w14:paraId="627C70F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Soffer, R.N., </w:t>
      </w:r>
      <w:r w:rsidRPr="00AE141E">
        <w:rPr>
          <w:rFonts w:ascii="Times New Roman" w:hAnsi="Times New Roman" w:cs="Times New Roman"/>
          <w:i/>
          <w:sz w:val="24"/>
          <w:szCs w:val="24"/>
        </w:rPr>
        <w:t xml:space="preserve">Discipline and Power: The University, History and the Making of an English Elite, 1870-1930 </w:t>
      </w:r>
      <w:r w:rsidRPr="00AE141E">
        <w:rPr>
          <w:rFonts w:ascii="Times New Roman" w:hAnsi="Times New Roman" w:cs="Times New Roman"/>
          <w:sz w:val="24"/>
          <w:szCs w:val="24"/>
        </w:rPr>
        <w:t>(Stanford, California: Stanford University Press).</w:t>
      </w:r>
    </w:p>
    <w:p w14:paraId="5B070D05" w14:textId="77777777" w:rsidR="004C09DC" w:rsidRPr="00AE141E" w:rsidRDefault="004C09DC" w:rsidP="00AE141E">
      <w:pPr>
        <w:pStyle w:val="FootnoteText"/>
        <w:spacing w:line="360" w:lineRule="auto"/>
        <w:rPr>
          <w:rFonts w:ascii="Times New Roman" w:hAnsi="Times New Roman" w:cs="Times New Roman"/>
          <w:sz w:val="24"/>
          <w:szCs w:val="24"/>
        </w:rPr>
      </w:pPr>
    </w:p>
    <w:p w14:paraId="388B6FB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Rush, A.S., </w:t>
      </w:r>
      <w:r w:rsidRPr="00AE141E">
        <w:rPr>
          <w:rFonts w:ascii="Times New Roman" w:hAnsi="Times New Roman" w:cs="Times New Roman"/>
          <w:i/>
          <w:sz w:val="24"/>
          <w:szCs w:val="24"/>
        </w:rPr>
        <w:t>Bonds of Empire: West Indians and Britishness from Victoria to Decolonization</w:t>
      </w:r>
      <w:r w:rsidRPr="00AE141E">
        <w:rPr>
          <w:rFonts w:ascii="Times New Roman" w:hAnsi="Times New Roman" w:cs="Times New Roman"/>
          <w:sz w:val="24"/>
          <w:szCs w:val="24"/>
        </w:rPr>
        <w:t xml:space="preserve"> (Oxford: OUP, 2011).</w:t>
      </w:r>
    </w:p>
    <w:p w14:paraId="584A1686" w14:textId="77777777" w:rsidR="004C09DC" w:rsidRPr="00AE141E" w:rsidRDefault="004C09DC" w:rsidP="00AE141E">
      <w:pPr>
        <w:pStyle w:val="FootnoteText"/>
        <w:spacing w:line="360" w:lineRule="auto"/>
        <w:rPr>
          <w:rFonts w:ascii="Times New Roman" w:hAnsi="Times New Roman" w:cs="Times New Roman"/>
          <w:sz w:val="24"/>
          <w:szCs w:val="24"/>
        </w:rPr>
      </w:pPr>
    </w:p>
    <w:p w14:paraId="2D4EF85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Stern, P.J., </w:t>
      </w:r>
      <w:r w:rsidRPr="00AE141E">
        <w:rPr>
          <w:rFonts w:ascii="Times New Roman" w:hAnsi="Times New Roman" w:cs="Times New Roman"/>
          <w:i/>
          <w:sz w:val="24"/>
          <w:szCs w:val="24"/>
        </w:rPr>
        <w:t>The Company-State: Corporate Sovereignty and the Early Modern Foundation of the British Empire in India</w:t>
      </w:r>
      <w:r w:rsidRPr="00AE141E">
        <w:rPr>
          <w:rFonts w:ascii="Times New Roman" w:hAnsi="Times New Roman" w:cs="Times New Roman"/>
          <w:sz w:val="24"/>
          <w:szCs w:val="24"/>
        </w:rPr>
        <w:t xml:space="preserve"> (Oxford: OUP, 2011). </w:t>
      </w:r>
    </w:p>
    <w:p w14:paraId="499AA78E" w14:textId="77777777" w:rsidR="004C09DC" w:rsidRPr="00AE141E" w:rsidRDefault="004C09DC" w:rsidP="00AE141E">
      <w:pPr>
        <w:pStyle w:val="FootnoteText"/>
        <w:spacing w:line="360" w:lineRule="auto"/>
        <w:rPr>
          <w:rFonts w:ascii="Times New Roman" w:hAnsi="Times New Roman" w:cs="Times New Roman"/>
          <w:sz w:val="24"/>
          <w:szCs w:val="24"/>
        </w:rPr>
      </w:pPr>
    </w:p>
    <w:p w14:paraId="4D1ACD0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Sutcliffe-Braithwaite, F., </w:t>
      </w:r>
      <w:r w:rsidRPr="00AE141E">
        <w:rPr>
          <w:rFonts w:ascii="Times New Roman" w:hAnsi="Times New Roman" w:cs="Times New Roman"/>
          <w:i/>
          <w:sz w:val="24"/>
          <w:szCs w:val="24"/>
        </w:rPr>
        <w:t>Class, Politics, and the Decline of Deference in England, 1968–2000</w:t>
      </w:r>
      <w:r w:rsidRPr="00AE141E">
        <w:rPr>
          <w:rFonts w:ascii="Times New Roman" w:hAnsi="Times New Roman" w:cs="Times New Roman"/>
          <w:sz w:val="24"/>
          <w:szCs w:val="24"/>
        </w:rPr>
        <w:t xml:space="preserve"> (Oxford: OUP, 2018). </w:t>
      </w:r>
    </w:p>
    <w:p w14:paraId="1838423D" w14:textId="77777777" w:rsidR="004C09DC" w:rsidRPr="00AE141E" w:rsidRDefault="004C09DC" w:rsidP="00AE141E">
      <w:pPr>
        <w:pStyle w:val="FootnoteText"/>
        <w:spacing w:line="360" w:lineRule="auto"/>
        <w:rPr>
          <w:rFonts w:ascii="Times New Roman" w:hAnsi="Times New Roman" w:cs="Times New Roman"/>
          <w:sz w:val="24"/>
          <w:szCs w:val="24"/>
        </w:rPr>
      </w:pPr>
    </w:p>
    <w:p w14:paraId="4151D69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Sykes, A., </w:t>
      </w:r>
      <w:r w:rsidRPr="00AE141E">
        <w:rPr>
          <w:rFonts w:ascii="Times New Roman" w:hAnsi="Times New Roman" w:cs="Times New Roman"/>
          <w:i/>
          <w:sz w:val="24"/>
          <w:szCs w:val="24"/>
        </w:rPr>
        <w:t>The Radical Right in Britain: Social Imperialism to the BNP</w:t>
      </w:r>
      <w:r w:rsidRPr="00AE141E">
        <w:rPr>
          <w:rFonts w:ascii="Times New Roman" w:hAnsi="Times New Roman" w:cs="Times New Roman"/>
          <w:sz w:val="24"/>
          <w:szCs w:val="24"/>
        </w:rPr>
        <w:t xml:space="preserve"> (Basingstoke and New York: Palgrave Macmillan, 2005).</w:t>
      </w:r>
    </w:p>
    <w:p w14:paraId="7BA1E359" w14:textId="77777777" w:rsidR="004C09DC" w:rsidRPr="00AE141E" w:rsidRDefault="004C09DC" w:rsidP="00AE141E">
      <w:pPr>
        <w:pStyle w:val="FootnoteText"/>
        <w:spacing w:line="360" w:lineRule="auto"/>
        <w:rPr>
          <w:rFonts w:ascii="Times New Roman" w:hAnsi="Times New Roman" w:cs="Times New Roman"/>
          <w:sz w:val="24"/>
          <w:szCs w:val="24"/>
        </w:rPr>
      </w:pPr>
    </w:p>
    <w:p w14:paraId="0C9BC9A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Talbot, I., </w:t>
      </w:r>
      <w:r w:rsidRPr="00AE141E">
        <w:rPr>
          <w:rFonts w:ascii="Times New Roman" w:hAnsi="Times New Roman" w:cs="Times New Roman"/>
          <w:i/>
          <w:sz w:val="24"/>
          <w:szCs w:val="24"/>
        </w:rPr>
        <w:t>The Partition of India</w:t>
      </w:r>
      <w:r w:rsidRPr="00AE141E">
        <w:rPr>
          <w:rFonts w:ascii="Times New Roman" w:hAnsi="Times New Roman" w:cs="Times New Roman"/>
          <w:sz w:val="24"/>
          <w:szCs w:val="24"/>
        </w:rPr>
        <w:t xml:space="preserve"> (Cambridge: CUP, 2009).</w:t>
      </w:r>
    </w:p>
    <w:p w14:paraId="4F93593E" w14:textId="77777777" w:rsidR="004C09DC" w:rsidRPr="00AE141E" w:rsidRDefault="004C09DC" w:rsidP="00AE141E">
      <w:pPr>
        <w:pStyle w:val="FootnoteText"/>
        <w:spacing w:line="360" w:lineRule="auto"/>
        <w:rPr>
          <w:rFonts w:ascii="Times New Roman" w:hAnsi="Times New Roman" w:cs="Times New Roman"/>
          <w:sz w:val="24"/>
          <w:szCs w:val="24"/>
        </w:rPr>
      </w:pPr>
    </w:p>
    <w:p w14:paraId="62D36FF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Thompson, E.P., </w:t>
      </w:r>
      <w:r w:rsidRPr="00AE141E">
        <w:rPr>
          <w:rFonts w:ascii="Times New Roman" w:hAnsi="Times New Roman" w:cs="Times New Roman"/>
          <w:i/>
          <w:sz w:val="24"/>
          <w:szCs w:val="24"/>
        </w:rPr>
        <w:t>The Making of the English Working Class</w:t>
      </w:r>
      <w:r w:rsidRPr="00AE141E">
        <w:rPr>
          <w:rFonts w:ascii="Times New Roman" w:hAnsi="Times New Roman" w:cs="Times New Roman"/>
          <w:sz w:val="24"/>
          <w:szCs w:val="24"/>
        </w:rPr>
        <w:t>, 3rd edn (London: Penguin, 1980).</w:t>
      </w:r>
    </w:p>
    <w:p w14:paraId="647C669F" w14:textId="77777777" w:rsidR="004C09DC" w:rsidRPr="00AE141E" w:rsidRDefault="004C09DC" w:rsidP="00AE141E">
      <w:pPr>
        <w:pStyle w:val="FootnoteText"/>
        <w:spacing w:line="360" w:lineRule="auto"/>
        <w:rPr>
          <w:rFonts w:ascii="Times New Roman" w:hAnsi="Times New Roman" w:cs="Times New Roman"/>
          <w:sz w:val="24"/>
          <w:szCs w:val="24"/>
        </w:rPr>
      </w:pPr>
    </w:p>
    <w:p w14:paraId="1379CB9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Thompson, G., </w:t>
      </w:r>
      <w:r w:rsidRPr="00AE141E">
        <w:rPr>
          <w:rFonts w:ascii="Times New Roman" w:hAnsi="Times New Roman" w:cs="Times New Roman"/>
          <w:i/>
          <w:sz w:val="24"/>
          <w:szCs w:val="24"/>
        </w:rPr>
        <w:t>Legacy of Empire: Britain, Zionism and the Creation of Israel</w:t>
      </w:r>
      <w:r w:rsidRPr="00AE141E">
        <w:rPr>
          <w:rFonts w:ascii="Times New Roman" w:hAnsi="Times New Roman" w:cs="Times New Roman"/>
          <w:sz w:val="24"/>
          <w:szCs w:val="24"/>
        </w:rPr>
        <w:t xml:space="preserve"> (London: Saqi Books, 2019).  </w:t>
      </w:r>
    </w:p>
    <w:p w14:paraId="42831912" w14:textId="77777777" w:rsidR="004C09DC" w:rsidRPr="00AE141E" w:rsidRDefault="004C09DC" w:rsidP="00AE141E">
      <w:pPr>
        <w:pStyle w:val="FootnoteText"/>
        <w:spacing w:line="360" w:lineRule="auto"/>
        <w:rPr>
          <w:rFonts w:ascii="Times New Roman" w:hAnsi="Times New Roman" w:cs="Times New Roman"/>
          <w:sz w:val="24"/>
          <w:szCs w:val="24"/>
        </w:rPr>
      </w:pPr>
    </w:p>
    <w:p w14:paraId="3A65A58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Thomson, M., </w:t>
      </w:r>
      <w:r w:rsidRPr="00AE141E">
        <w:rPr>
          <w:rFonts w:ascii="Times New Roman" w:hAnsi="Times New Roman" w:cs="Times New Roman"/>
          <w:i/>
          <w:sz w:val="24"/>
          <w:szCs w:val="24"/>
        </w:rPr>
        <w:t>Lost Freedom: The Landscape of the Child and the British Post-War Settlement</w:t>
      </w:r>
      <w:r w:rsidRPr="00AE141E">
        <w:rPr>
          <w:rFonts w:ascii="Times New Roman" w:hAnsi="Times New Roman" w:cs="Times New Roman"/>
          <w:sz w:val="24"/>
          <w:szCs w:val="24"/>
        </w:rPr>
        <w:t xml:space="preserve"> (Oxford: OUP, 2013).</w:t>
      </w:r>
    </w:p>
    <w:p w14:paraId="688AF0CC" w14:textId="77777777" w:rsidR="004C09DC" w:rsidRPr="00AE141E" w:rsidRDefault="004C09DC" w:rsidP="00AE141E">
      <w:pPr>
        <w:pStyle w:val="FootnoteText"/>
        <w:spacing w:line="360" w:lineRule="auto"/>
        <w:rPr>
          <w:rFonts w:ascii="Times New Roman" w:hAnsi="Times New Roman" w:cs="Times New Roman"/>
          <w:sz w:val="24"/>
          <w:szCs w:val="24"/>
        </w:rPr>
      </w:pPr>
    </w:p>
    <w:p w14:paraId="35449F0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Tisdall, L., </w:t>
      </w:r>
      <w:r w:rsidRPr="00AE141E">
        <w:rPr>
          <w:rFonts w:ascii="Times New Roman" w:hAnsi="Times New Roman" w:cs="Times New Roman"/>
          <w:i/>
          <w:sz w:val="24"/>
          <w:szCs w:val="24"/>
        </w:rPr>
        <w:t>A Progressive Education? How Childhood Changed in Mid-Twentieth-Century English and Welsh Schools</w:t>
      </w:r>
      <w:r w:rsidRPr="00AE141E">
        <w:rPr>
          <w:rFonts w:ascii="Times New Roman" w:hAnsi="Times New Roman" w:cs="Times New Roman"/>
          <w:sz w:val="24"/>
          <w:szCs w:val="24"/>
        </w:rPr>
        <w:t xml:space="preserve"> (Manchester: MUP, 2019).</w:t>
      </w:r>
    </w:p>
    <w:p w14:paraId="249565A6" w14:textId="77777777" w:rsidR="004C09DC" w:rsidRPr="00AE141E" w:rsidRDefault="004C09DC" w:rsidP="00AE141E">
      <w:pPr>
        <w:pStyle w:val="FootnoteText"/>
        <w:spacing w:line="360" w:lineRule="auto"/>
        <w:rPr>
          <w:rFonts w:ascii="Times New Roman" w:hAnsi="Times New Roman" w:cs="Times New Roman"/>
          <w:sz w:val="24"/>
          <w:szCs w:val="24"/>
        </w:rPr>
      </w:pPr>
    </w:p>
    <w:p w14:paraId="12695B30" w14:textId="77777777"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Tomlinson, S., </w:t>
      </w:r>
      <w:r w:rsidRPr="00AE141E">
        <w:rPr>
          <w:rFonts w:ascii="Times New Roman" w:hAnsi="Times New Roman" w:cs="Times New Roman"/>
          <w:i/>
          <w:sz w:val="24"/>
          <w:szCs w:val="24"/>
        </w:rPr>
        <w:t>Educational Subnormality: A Study in Decision-Making</w:t>
      </w:r>
      <w:r w:rsidRPr="00AE141E">
        <w:rPr>
          <w:rFonts w:ascii="Times New Roman" w:hAnsi="Times New Roman" w:cs="Times New Roman"/>
          <w:sz w:val="24"/>
          <w:szCs w:val="24"/>
        </w:rPr>
        <w:t xml:space="preserve"> (London: Routledge, 1981).</w:t>
      </w:r>
    </w:p>
    <w:p w14:paraId="6EDBF7A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Tomlinson, S., </w:t>
      </w:r>
      <w:r w:rsidRPr="00AE141E">
        <w:rPr>
          <w:rFonts w:ascii="Times New Roman" w:hAnsi="Times New Roman" w:cs="Times New Roman"/>
          <w:i/>
          <w:sz w:val="24"/>
          <w:szCs w:val="24"/>
        </w:rPr>
        <w:t xml:space="preserve">Education and Race from Empire to Brexit </w:t>
      </w:r>
      <w:r w:rsidRPr="00AE141E">
        <w:rPr>
          <w:rFonts w:ascii="Times New Roman" w:hAnsi="Times New Roman" w:cs="Times New Roman"/>
          <w:sz w:val="24"/>
          <w:szCs w:val="24"/>
        </w:rPr>
        <w:t>(Bristol: Polity, 2019).</w:t>
      </w:r>
    </w:p>
    <w:p w14:paraId="07B8E338" w14:textId="77777777" w:rsidR="004C09DC" w:rsidRPr="00AE141E" w:rsidRDefault="004C09DC" w:rsidP="00AE141E">
      <w:pPr>
        <w:pStyle w:val="FootnoteText"/>
        <w:spacing w:line="360" w:lineRule="auto"/>
        <w:rPr>
          <w:rFonts w:ascii="Times New Roman" w:hAnsi="Times New Roman" w:cs="Times New Roman"/>
          <w:sz w:val="24"/>
          <w:szCs w:val="24"/>
        </w:rPr>
      </w:pPr>
    </w:p>
    <w:p w14:paraId="5AF18022" w14:textId="77777777" w:rsidR="004C09DC" w:rsidRPr="00AE141E" w:rsidRDefault="004C09DC" w:rsidP="00AE141E">
      <w:pPr>
        <w:pStyle w:val="FootnoteText"/>
        <w:spacing w:line="360" w:lineRule="auto"/>
        <w:rPr>
          <w:rFonts w:ascii="Times New Roman" w:hAnsi="Times New Roman" w:cs="Times New Roman"/>
          <w:iCs/>
          <w:sz w:val="24"/>
          <w:szCs w:val="24"/>
        </w:rPr>
      </w:pPr>
      <w:r w:rsidRPr="00AE141E">
        <w:rPr>
          <w:rFonts w:ascii="Times New Roman" w:hAnsi="Times New Roman" w:cs="Times New Roman"/>
          <w:sz w:val="24"/>
          <w:szCs w:val="24"/>
        </w:rPr>
        <w:t xml:space="preserve">Tomlinson, S., </w:t>
      </w:r>
      <w:r w:rsidRPr="00AE141E">
        <w:rPr>
          <w:rFonts w:ascii="Times New Roman" w:hAnsi="Times New Roman" w:cs="Times New Roman"/>
          <w:i/>
          <w:sz w:val="24"/>
          <w:szCs w:val="24"/>
        </w:rPr>
        <w:t>Ethnic Minorities in British Schools: A Review of the Literature, 1960-1982</w:t>
      </w:r>
      <w:r w:rsidRPr="00AE141E">
        <w:rPr>
          <w:rFonts w:ascii="Times New Roman" w:hAnsi="Times New Roman" w:cs="Times New Roman"/>
          <w:sz w:val="24"/>
          <w:szCs w:val="24"/>
        </w:rPr>
        <w:t xml:space="preserve"> (London: Heinemann, 1983).</w:t>
      </w:r>
    </w:p>
    <w:p w14:paraId="7DCD794E" w14:textId="77777777" w:rsidR="004C09DC" w:rsidRPr="00AE141E" w:rsidRDefault="004C09DC" w:rsidP="00AE141E">
      <w:pPr>
        <w:pStyle w:val="FootnoteText"/>
        <w:spacing w:line="360" w:lineRule="auto"/>
        <w:rPr>
          <w:rFonts w:ascii="Times New Roman" w:hAnsi="Times New Roman" w:cs="Times New Roman"/>
          <w:sz w:val="24"/>
          <w:szCs w:val="24"/>
        </w:rPr>
      </w:pPr>
    </w:p>
    <w:p w14:paraId="4EB3A73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Tomlinson, S., </w:t>
      </w:r>
      <w:r w:rsidRPr="00AE141E">
        <w:rPr>
          <w:rFonts w:ascii="Times New Roman" w:hAnsi="Times New Roman" w:cs="Times New Roman"/>
          <w:i/>
          <w:sz w:val="24"/>
          <w:szCs w:val="24"/>
        </w:rPr>
        <w:t xml:space="preserve">Multicultural Education in White Schools </w:t>
      </w:r>
      <w:r w:rsidRPr="00AE141E">
        <w:rPr>
          <w:rFonts w:ascii="Times New Roman" w:hAnsi="Times New Roman" w:cs="Times New Roman"/>
          <w:sz w:val="24"/>
          <w:szCs w:val="24"/>
        </w:rPr>
        <w:t>(London: Batsford, 1990).</w:t>
      </w:r>
    </w:p>
    <w:p w14:paraId="5D21AE08" w14:textId="77777777" w:rsidR="004C09DC" w:rsidRPr="00AE141E" w:rsidRDefault="004C09DC" w:rsidP="00AE141E">
      <w:pPr>
        <w:pStyle w:val="FootnoteText"/>
        <w:spacing w:line="360" w:lineRule="auto"/>
        <w:rPr>
          <w:rFonts w:ascii="Times New Roman" w:hAnsi="Times New Roman" w:cs="Times New Roman"/>
          <w:sz w:val="24"/>
          <w:szCs w:val="24"/>
        </w:rPr>
      </w:pPr>
    </w:p>
    <w:p w14:paraId="701E61B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Troyna, B., (ed.) </w:t>
      </w:r>
      <w:r w:rsidRPr="00AE141E">
        <w:rPr>
          <w:rFonts w:ascii="Times New Roman" w:hAnsi="Times New Roman" w:cs="Times New Roman"/>
          <w:i/>
          <w:sz w:val="24"/>
          <w:szCs w:val="24"/>
        </w:rPr>
        <w:t xml:space="preserve">Racial Inequality in Education </w:t>
      </w:r>
      <w:r w:rsidRPr="00AE141E">
        <w:rPr>
          <w:rFonts w:ascii="Times New Roman" w:hAnsi="Times New Roman" w:cs="Times New Roman"/>
          <w:sz w:val="24"/>
          <w:szCs w:val="24"/>
        </w:rPr>
        <w:t>(London: Tavistock, 1987).</w:t>
      </w:r>
    </w:p>
    <w:p w14:paraId="589695A5" w14:textId="77777777" w:rsidR="004C09DC" w:rsidRPr="00AE141E" w:rsidRDefault="004C09DC" w:rsidP="00AE141E">
      <w:pPr>
        <w:pStyle w:val="FootnoteText"/>
        <w:spacing w:line="360" w:lineRule="auto"/>
        <w:rPr>
          <w:rFonts w:ascii="Times New Roman" w:hAnsi="Times New Roman" w:cs="Times New Roman"/>
          <w:sz w:val="24"/>
          <w:szCs w:val="24"/>
        </w:rPr>
      </w:pPr>
    </w:p>
    <w:p w14:paraId="23F7CCC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Verkai, R., </w:t>
      </w:r>
      <w:r w:rsidRPr="00AE141E">
        <w:rPr>
          <w:rFonts w:ascii="Times New Roman" w:hAnsi="Times New Roman" w:cs="Times New Roman"/>
          <w:i/>
          <w:sz w:val="24"/>
          <w:szCs w:val="24"/>
        </w:rPr>
        <w:t>Posh Boys: How English Public Schools Ruin Britain</w:t>
      </w:r>
      <w:r w:rsidRPr="00AE141E">
        <w:rPr>
          <w:rFonts w:ascii="Times New Roman" w:hAnsi="Times New Roman" w:cs="Times New Roman"/>
          <w:sz w:val="24"/>
          <w:szCs w:val="24"/>
        </w:rPr>
        <w:t xml:space="preserve"> (London: Oneworld, 2018).</w:t>
      </w:r>
    </w:p>
    <w:p w14:paraId="747704F1" w14:textId="77777777" w:rsidR="004C09DC" w:rsidRPr="00AE141E" w:rsidRDefault="004C09DC" w:rsidP="00AE141E">
      <w:pPr>
        <w:pStyle w:val="FootnoteText"/>
        <w:spacing w:line="360" w:lineRule="auto"/>
        <w:rPr>
          <w:rFonts w:ascii="Times New Roman" w:hAnsi="Times New Roman" w:cs="Times New Roman"/>
          <w:sz w:val="24"/>
          <w:szCs w:val="24"/>
        </w:rPr>
      </w:pPr>
    </w:p>
    <w:p w14:paraId="150582E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Visram, R., </w:t>
      </w:r>
      <w:r w:rsidRPr="00AE141E">
        <w:rPr>
          <w:rFonts w:ascii="Times New Roman" w:hAnsi="Times New Roman" w:cs="Times New Roman"/>
          <w:i/>
          <w:sz w:val="24"/>
          <w:szCs w:val="24"/>
        </w:rPr>
        <w:t xml:space="preserve">Ayahs, Lascars and Princes: The Story of Indians in Britain 1700-1947 </w:t>
      </w:r>
      <w:r w:rsidRPr="00AE141E">
        <w:rPr>
          <w:rFonts w:ascii="Times New Roman" w:hAnsi="Times New Roman" w:cs="Times New Roman"/>
          <w:sz w:val="24"/>
          <w:szCs w:val="24"/>
        </w:rPr>
        <w:t>(London: Pluto, 1986).</w:t>
      </w:r>
    </w:p>
    <w:p w14:paraId="0F7C4478" w14:textId="77777777" w:rsidR="004C09DC" w:rsidRPr="00AE141E" w:rsidRDefault="004C09DC" w:rsidP="00AE141E">
      <w:pPr>
        <w:pStyle w:val="FootnoteText"/>
        <w:spacing w:line="360" w:lineRule="auto"/>
        <w:rPr>
          <w:rFonts w:ascii="Times New Roman" w:hAnsi="Times New Roman" w:cs="Times New Roman"/>
          <w:sz w:val="24"/>
          <w:szCs w:val="24"/>
        </w:rPr>
      </w:pPr>
    </w:p>
    <w:p w14:paraId="2D5B73E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van der Vlies, T., </w:t>
      </w:r>
      <w:r w:rsidRPr="00AE141E">
        <w:rPr>
          <w:rFonts w:ascii="Times New Roman" w:hAnsi="Times New Roman" w:cs="Times New Roman"/>
          <w:i/>
          <w:sz w:val="24"/>
          <w:szCs w:val="24"/>
        </w:rPr>
        <w:t>Echoing Events: The Perpetuation of National Narratives in English and Dutch History Textbooks, 1920-2010</w:t>
      </w:r>
      <w:r w:rsidRPr="00AE141E">
        <w:rPr>
          <w:rFonts w:ascii="Times New Roman" w:hAnsi="Times New Roman" w:cs="Times New Roman"/>
          <w:sz w:val="24"/>
          <w:szCs w:val="24"/>
        </w:rPr>
        <w:t xml:space="preserve"> (Göttingen: V&amp;R unipress, 2022).</w:t>
      </w:r>
    </w:p>
    <w:p w14:paraId="287B3E1D" w14:textId="77777777" w:rsidR="004C09DC" w:rsidRPr="00AE141E" w:rsidRDefault="004C09DC" w:rsidP="00AE141E">
      <w:pPr>
        <w:pStyle w:val="FootnoteText"/>
        <w:spacing w:line="360" w:lineRule="auto"/>
        <w:rPr>
          <w:rFonts w:ascii="Times New Roman" w:hAnsi="Times New Roman" w:cs="Times New Roman"/>
          <w:sz w:val="24"/>
          <w:szCs w:val="24"/>
        </w:rPr>
      </w:pPr>
    </w:p>
    <w:p w14:paraId="1B0AB169" w14:textId="4F73D33C"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Ward, S., (ed.), </w:t>
      </w:r>
      <w:r w:rsidRPr="00AE141E">
        <w:rPr>
          <w:rFonts w:ascii="Times New Roman" w:hAnsi="Times New Roman" w:cs="Times New Roman"/>
          <w:i/>
          <w:sz w:val="24"/>
          <w:szCs w:val="24"/>
        </w:rPr>
        <w:t xml:space="preserve">British Culture and the End of Empire </w:t>
      </w:r>
      <w:r w:rsidRPr="00AE141E">
        <w:rPr>
          <w:rFonts w:ascii="Times New Roman" w:hAnsi="Times New Roman" w:cs="Times New Roman"/>
          <w:sz w:val="24"/>
          <w:szCs w:val="24"/>
        </w:rPr>
        <w:t xml:space="preserve">(Manchester: </w:t>
      </w:r>
      <w:r w:rsidR="005604AC" w:rsidRPr="00AE141E">
        <w:rPr>
          <w:rFonts w:ascii="Times New Roman" w:hAnsi="Times New Roman" w:cs="Times New Roman"/>
          <w:sz w:val="24"/>
          <w:szCs w:val="24"/>
        </w:rPr>
        <w:t xml:space="preserve">MUP, </w:t>
      </w:r>
      <w:r w:rsidRPr="00AE141E">
        <w:rPr>
          <w:rFonts w:ascii="Times New Roman" w:hAnsi="Times New Roman" w:cs="Times New Roman"/>
          <w:sz w:val="24"/>
          <w:szCs w:val="24"/>
        </w:rPr>
        <w:t>2001).</w:t>
      </w:r>
    </w:p>
    <w:p w14:paraId="0444B894" w14:textId="77777777" w:rsidR="004C09DC" w:rsidRPr="00AE141E" w:rsidRDefault="004C09DC" w:rsidP="00AE141E">
      <w:pPr>
        <w:pStyle w:val="FootnoteText"/>
        <w:spacing w:line="360" w:lineRule="auto"/>
        <w:rPr>
          <w:rFonts w:ascii="Times New Roman" w:hAnsi="Times New Roman" w:cs="Times New Roman"/>
          <w:sz w:val="24"/>
          <w:szCs w:val="24"/>
        </w:rPr>
      </w:pPr>
    </w:p>
    <w:p w14:paraId="5B69B86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Ward, S., </w:t>
      </w:r>
      <w:r w:rsidRPr="00AE141E">
        <w:rPr>
          <w:rFonts w:ascii="Times New Roman" w:hAnsi="Times New Roman" w:cs="Times New Roman"/>
          <w:i/>
          <w:sz w:val="24"/>
          <w:szCs w:val="24"/>
        </w:rPr>
        <w:t>Untied Kingdom: A Global History of the End of Britain</w:t>
      </w:r>
      <w:r w:rsidRPr="00AE141E">
        <w:rPr>
          <w:rFonts w:ascii="Times New Roman" w:hAnsi="Times New Roman" w:cs="Times New Roman"/>
          <w:sz w:val="24"/>
          <w:szCs w:val="24"/>
        </w:rPr>
        <w:t xml:space="preserve"> (Cambridge: CUP, 2023).</w:t>
      </w:r>
    </w:p>
    <w:p w14:paraId="01D4B29F" w14:textId="77777777" w:rsidR="004C09DC" w:rsidRPr="00AE141E" w:rsidRDefault="004C09DC" w:rsidP="00AE141E">
      <w:pPr>
        <w:pStyle w:val="FootnoteText"/>
        <w:spacing w:line="360" w:lineRule="auto"/>
        <w:rPr>
          <w:rFonts w:ascii="Times New Roman" w:hAnsi="Times New Roman" w:cs="Times New Roman"/>
          <w:sz w:val="24"/>
          <w:szCs w:val="24"/>
        </w:rPr>
      </w:pPr>
    </w:p>
    <w:p w14:paraId="57D537C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Warmington, P., </w:t>
      </w:r>
      <w:r w:rsidRPr="00AE141E">
        <w:rPr>
          <w:rFonts w:ascii="Times New Roman" w:hAnsi="Times New Roman" w:cs="Times New Roman"/>
          <w:i/>
          <w:sz w:val="24"/>
          <w:szCs w:val="24"/>
        </w:rPr>
        <w:t>Black British Intellectuals and Education: Multiculturalism's Hidden History</w:t>
      </w:r>
      <w:r w:rsidRPr="00AE141E">
        <w:rPr>
          <w:rFonts w:ascii="Times New Roman" w:hAnsi="Times New Roman" w:cs="Times New Roman"/>
          <w:sz w:val="24"/>
          <w:szCs w:val="24"/>
        </w:rPr>
        <w:t xml:space="preserve"> (Abingdon: Routledge, 2014).</w:t>
      </w:r>
    </w:p>
    <w:p w14:paraId="29C8D796" w14:textId="77777777" w:rsidR="004C09DC" w:rsidRPr="00AE141E" w:rsidRDefault="004C09DC" w:rsidP="00EE1D16">
      <w:pPr>
        <w:pStyle w:val="Style1"/>
      </w:pPr>
    </w:p>
    <w:p w14:paraId="1903524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Waters, R., </w:t>
      </w:r>
      <w:r w:rsidRPr="00AE141E">
        <w:rPr>
          <w:rFonts w:ascii="Times New Roman" w:hAnsi="Times New Roman" w:cs="Times New Roman"/>
          <w:i/>
          <w:sz w:val="24"/>
          <w:szCs w:val="24"/>
        </w:rPr>
        <w:t>Thinking Black: Britain, 1964-1985</w:t>
      </w:r>
      <w:r w:rsidRPr="00AE141E">
        <w:rPr>
          <w:rFonts w:ascii="Times New Roman" w:hAnsi="Times New Roman" w:cs="Times New Roman"/>
          <w:sz w:val="24"/>
          <w:szCs w:val="24"/>
        </w:rPr>
        <w:t xml:space="preserve"> (Berkeley: University of California Press, 2018).</w:t>
      </w:r>
    </w:p>
    <w:p w14:paraId="2F7793BB"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196B3A0A" w14:textId="4CB3AA1D"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Webster, W., </w:t>
      </w:r>
      <w:r w:rsidRPr="00AE141E">
        <w:rPr>
          <w:rFonts w:ascii="Times New Roman" w:hAnsi="Times New Roman" w:cs="Times New Roman"/>
          <w:i/>
          <w:sz w:val="24"/>
          <w:szCs w:val="24"/>
        </w:rPr>
        <w:t>Englishness and Empire, 1939-1965</w:t>
      </w:r>
      <w:r w:rsidRPr="00AE141E">
        <w:rPr>
          <w:rFonts w:ascii="Times New Roman" w:hAnsi="Times New Roman" w:cs="Times New Roman"/>
          <w:sz w:val="24"/>
          <w:szCs w:val="24"/>
        </w:rPr>
        <w:t xml:space="preserve"> (Oxford: OUP, 2005).</w:t>
      </w:r>
    </w:p>
    <w:p w14:paraId="419E4196" w14:textId="77777777" w:rsidR="004C09DC" w:rsidRPr="00AE141E" w:rsidRDefault="004C09DC" w:rsidP="00AE141E">
      <w:pPr>
        <w:pStyle w:val="FootnoteText"/>
        <w:spacing w:line="360" w:lineRule="auto"/>
        <w:rPr>
          <w:rFonts w:ascii="Times New Roman" w:hAnsi="Times New Roman" w:cs="Times New Roman"/>
          <w:sz w:val="24"/>
          <w:szCs w:val="24"/>
        </w:rPr>
      </w:pPr>
    </w:p>
    <w:p w14:paraId="6F46FAEB" w14:textId="17E5F731"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Williams, E.E., </w:t>
      </w:r>
      <w:r w:rsidRPr="00AE141E">
        <w:rPr>
          <w:rFonts w:ascii="Times New Roman" w:hAnsi="Times New Roman" w:cs="Times New Roman"/>
          <w:i/>
          <w:sz w:val="24"/>
          <w:szCs w:val="24"/>
        </w:rPr>
        <w:t>Capitalism and Slavery</w:t>
      </w:r>
      <w:r w:rsidRPr="00AE141E">
        <w:rPr>
          <w:rFonts w:ascii="Times New Roman" w:hAnsi="Times New Roman" w:cs="Times New Roman"/>
          <w:sz w:val="24"/>
          <w:szCs w:val="24"/>
        </w:rPr>
        <w:t xml:space="preserve"> </w:t>
      </w:r>
      <w:r w:rsidR="0067048B" w:rsidRPr="0067048B">
        <w:rPr>
          <w:rFonts w:ascii="Times New Roman" w:hAnsi="Times New Roman" w:cs="Times New Roman"/>
          <w:sz w:val="24"/>
          <w:szCs w:val="24"/>
        </w:rPr>
        <w:t>(North Carolina: University of North Carolina Press, 1944)</w:t>
      </w:r>
      <w:r w:rsidR="0067048B">
        <w:rPr>
          <w:rFonts w:ascii="Times New Roman" w:hAnsi="Times New Roman" w:cs="Times New Roman"/>
          <w:sz w:val="24"/>
          <w:szCs w:val="24"/>
        </w:rPr>
        <w:t>.</w:t>
      </w:r>
    </w:p>
    <w:p w14:paraId="11150B00" w14:textId="77777777" w:rsidR="004C09DC" w:rsidRPr="00AE141E" w:rsidRDefault="004C09DC" w:rsidP="00AE141E">
      <w:pPr>
        <w:pStyle w:val="FootnoteText"/>
        <w:spacing w:line="360" w:lineRule="auto"/>
        <w:rPr>
          <w:rFonts w:ascii="Times New Roman" w:hAnsi="Times New Roman" w:cs="Times New Roman"/>
          <w:sz w:val="24"/>
          <w:szCs w:val="24"/>
        </w:rPr>
      </w:pPr>
    </w:p>
    <w:p w14:paraId="6F53BBC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Wolfe, P., </w:t>
      </w:r>
      <w:r w:rsidRPr="00AE141E">
        <w:rPr>
          <w:rFonts w:ascii="Times New Roman" w:hAnsi="Times New Roman" w:cs="Times New Roman"/>
          <w:i/>
          <w:sz w:val="24"/>
          <w:szCs w:val="24"/>
        </w:rPr>
        <w:t>Traces of History: Elementary Structures of Race</w:t>
      </w:r>
      <w:r w:rsidRPr="00AE141E">
        <w:rPr>
          <w:rFonts w:ascii="Times New Roman" w:hAnsi="Times New Roman" w:cs="Times New Roman"/>
          <w:sz w:val="24"/>
          <w:szCs w:val="24"/>
        </w:rPr>
        <w:t xml:space="preserve"> (London: Verso, 2016).</w:t>
      </w:r>
    </w:p>
    <w:p w14:paraId="7A5733F4" w14:textId="77777777" w:rsidR="004C09DC" w:rsidRPr="00AE141E" w:rsidRDefault="004C09DC" w:rsidP="00AE141E">
      <w:pPr>
        <w:pStyle w:val="FootnoteText"/>
        <w:spacing w:line="360" w:lineRule="auto"/>
        <w:rPr>
          <w:rFonts w:ascii="Times New Roman" w:hAnsi="Times New Roman" w:cs="Times New Roman"/>
          <w:sz w:val="24"/>
          <w:szCs w:val="24"/>
        </w:rPr>
      </w:pPr>
    </w:p>
    <w:p w14:paraId="7E710B4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Yao, S., </w:t>
      </w:r>
      <w:r w:rsidRPr="00AE141E">
        <w:rPr>
          <w:rFonts w:ascii="Times New Roman" w:hAnsi="Times New Roman" w:cs="Times New Roman"/>
          <w:i/>
          <w:sz w:val="24"/>
          <w:szCs w:val="24"/>
        </w:rPr>
        <w:t>The Malayan Emergency: A Small, Distant War</w:t>
      </w:r>
      <w:r w:rsidRPr="00AE141E">
        <w:rPr>
          <w:rFonts w:ascii="Times New Roman" w:hAnsi="Times New Roman" w:cs="Times New Roman"/>
          <w:sz w:val="24"/>
          <w:szCs w:val="24"/>
        </w:rPr>
        <w:t xml:space="preserve"> (Copenhagen: NIAS Press, 2016).</w:t>
      </w:r>
    </w:p>
    <w:p w14:paraId="51C9A0F1" w14:textId="77777777" w:rsidR="004C09DC" w:rsidRPr="00AE141E" w:rsidRDefault="004C09DC" w:rsidP="00AE141E">
      <w:pPr>
        <w:pStyle w:val="FootnoteText"/>
        <w:spacing w:line="360" w:lineRule="auto"/>
        <w:rPr>
          <w:rFonts w:ascii="Times New Roman" w:hAnsi="Times New Roman" w:cs="Times New Roman"/>
          <w:sz w:val="24"/>
          <w:szCs w:val="24"/>
        </w:rPr>
      </w:pPr>
    </w:p>
    <w:p w14:paraId="3F301FC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Yeandle, P., </w:t>
      </w:r>
      <w:r w:rsidRPr="00AE141E">
        <w:rPr>
          <w:rFonts w:ascii="Times New Roman" w:hAnsi="Times New Roman" w:cs="Times New Roman"/>
          <w:i/>
          <w:sz w:val="24"/>
          <w:szCs w:val="24"/>
        </w:rPr>
        <w:t xml:space="preserve">Citizenship, Nation, Empire: The Politics of History Teaching in England, 1870-1930 </w:t>
      </w:r>
      <w:r w:rsidRPr="00AE141E">
        <w:rPr>
          <w:rFonts w:ascii="Times New Roman" w:hAnsi="Times New Roman" w:cs="Times New Roman"/>
          <w:sz w:val="24"/>
          <w:szCs w:val="24"/>
        </w:rPr>
        <w:t xml:space="preserve">(Manchester: MUP, 2015). </w:t>
      </w:r>
    </w:p>
    <w:p w14:paraId="34401A84" w14:textId="77777777" w:rsidR="004C09DC" w:rsidRPr="00AE141E" w:rsidRDefault="004C09DC" w:rsidP="00AE141E">
      <w:pPr>
        <w:pStyle w:val="FootnoteText"/>
        <w:spacing w:line="360" w:lineRule="auto"/>
        <w:rPr>
          <w:rFonts w:ascii="Times New Roman" w:hAnsi="Times New Roman" w:cs="Times New Roman"/>
          <w:sz w:val="24"/>
          <w:szCs w:val="24"/>
        </w:rPr>
      </w:pPr>
    </w:p>
    <w:p w14:paraId="1A461225"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Journal Articles, Book Chapters, and Essays</w:t>
      </w:r>
    </w:p>
    <w:p w14:paraId="0D32E744"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74DEDCAA" w14:textId="77777777" w:rsidR="004C09DC"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Aldrich, R., and Dean, D., ‘The Historical Dimension’, in Aldrich, R., (ed.), </w:t>
      </w:r>
      <w:r w:rsidRPr="00AE141E">
        <w:rPr>
          <w:rFonts w:ascii="Times New Roman" w:hAnsi="Times New Roman" w:cs="Times New Roman"/>
          <w:i/>
          <w:sz w:val="24"/>
          <w:szCs w:val="24"/>
        </w:rPr>
        <w:t xml:space="preserve">History in the National Curriculum </w:t>
      </w:r>
      <w:r w:rsidRPr="00AE141E">
        <w:rPr>
          <w:rFonts w:ascii="Times New Roman" w:hAnsi="Times New Roman" w:cs="Times New Roman"/>
          <w:sz w:val="24"/>
          <w:szCs w:val="24"/>
        </w:rPr>
        <w:t>(London: Kogan Page and Institute of Education, 1991), 93-113.</w:t>
      </w:r>
    </w:p>
    <w:p w14:paraId="660202FB" w14:textId="77777777" w:rsidR="00832B84" w:rsidRDefault="00832B84" w:rsidP="00AE141E">
      <w:pPr>
        <w:pStyle w:val="FootnoteText"/>
        <w:spacing w:line="360" w:lineRule="auto"/>
        <w:rPr>
          <w:rFonts w:ascii="Times New Roman" w:hAnsi="Times New Roman" w:cs="Times New Roman"/>
          <w:sz w:val="24"/>
          <w:szCs w:val="24"/>
        </w:rPr>
      </w:pPr>
    </w:p>
    <w:p w14:paraId="225C1F6A" w14:textId="096F6B4D" w:rsidR="00832B84" w:rsidRPr="00AE141E" w:rsidRDefault="00832B84" w:rsidP="00AE141E">
      <w:pPr>
        <w:pStyle w:val="FootnoteText"/>
        <w:spacing w:line="360" w:lineRule="auto"/>
        <w:rPr>
          <w:rFonts w:ascii="Times New Roman" w:hAnsi="Times New Roman" w:cs="Times New Roman"/>
          <w:sz w:val="24"/>
          <w:szCs w:val="24"/>
        </w:rPr>
      </w:pPr>
      <w:r w:rsidRPr="00832B84">
        <w:rPr>
          <w:rFonts w:ascii="Times New Roman" w:hAnsi="Times New Roman" w:cs="Times New Roman"/>
          <w:sz w:val="24"/>
          <w:szCs w:val="24"/>
        </w:rPr>
        <w:t>Alexander</w:t>
      </w:r>
      <w:r>
        <w:rPr>
          <w:rFonts w:ascii="Times New Roman" w:hAnsi="Times New Roman" w:cs="Times New Roman"/>
          <w:sz w:val="24"/>
          <w:szCs w:val="24"/>
        </w:rPr>
        <w:t>, C.,</w:t>
      </w:r>
      <w:r w:rsidRPr="00832B84">
        <w:rPr>
          <w:rFonts w:ascii="Times New Roman" w:hAnsi="Times New Roman" w:cs="Times New Roman"/>
          <w:sz w:val="24"/>
          <w:szCs w:val="24"/>
        </w:rPr>
        <w:t xml:space="preserve"> and Shankley,</w:t>
      </w:r>
      <w:r>
        <w:rPr>
          <w:rFonts w:ascii="Times New Roman" w:hAnsi="Times New Roman" w:cs="Times New Roman"/>
          <w:sz w:val="24"/>
          <w:szCs w:val="24"/>
        </w:rPr>
        <w:t xml:space="preserve"> W.,</w:t>
      </w:r>
      <w:r w:rsidRPr="00832B84">
        <w:rPr>
          <w:rFonts w:ascii="Times New Roman" w:hAnsi="Times New Roman" w:cs="Times New Roman"/>
          <w:sz w:val="24"/>
          <w:szCs w:val="24"/>
        </w:rPr>
        <w:t xml:space="preserve"> ‘Ethnic Inequalities in the State Education System in England’, in Byrne</w:t>
      </w:r>
      <w:r>
        <w:rPr>
          <w:rFonts w:ascii="Times New Roman" w:hAnsi="Times New Roman" w:cs="Times New Roman"/>
          <w:sz w:val="24"/>
          <w:szCs w:val="24"/>
        </w:rPr>
        <w:t>, B.,</w:t>
      </w:r>
      <w:r w:rsidRPr="00832B84">
        <w:rPr>
          <w:rFonts w:ascii="Times New Roman" w:hAnsi="Times New Roman" w:cs="Times New Roman"/>
          <w:sz w:val="24"/>
          <w:szCs w:val="24"/>
        </w:rPr>
        <w:t xml:space="preserve"> </w:t>
      </w:r>
      <w:r w:rsidRPr="00832B84">
        <w:rPr>
          <w:rFonts w:ascii="Times New Roman" w:hAnsi="Times New Roman" w:cs="Times New Roman"/>
          <w:i/>
          <w:iCs/>
          <w:sz w:val="24"/>
          <w:szCs w:val="24"/>
        </w:rPr>
        <w:t>et al</w:t>
      </w:r>
      <w:r w:rsidRPr="00832B84">
        <w:rPr>
          <w:rFonts w:ascii="Times New Roman" w:hAnsi="Times New Roman" w:cs="Times New Roman"/>
          <w:sz w:val="24"/>
          <w:szCs w:val="24"/>
        </w:rPr>
        <w:t xml:space="preserve">., </w:t>
      </w:r>
      <w:r w:rsidRPr="00832B84">
        <w:rPr>
          <w:rFonts w:ascii="Times New Roman" w:hAnsi="Times New Roman" w:cs="Times New Roman"/>
          <w:i/>
          <w:iCs/>
          <w:sz w:val="24"/>
          <w:szCs w:val="24"/>
        </w:rPr>
        <w:t xml:space="preserve">Ethnicity, Race and Inequality in the UK: State of the Nation </w:t>
      </w:r>
      <w:r w:rsidRPr="00832B84">
        <w:rPr>
          <w:rFonts w:ascii="Times New Roman" w:hAnsi="Times New Roman" w:cs="Times New Roman"/>
          <w:sz w:val="24"/>
          <w:szCs w:val="24"/>
        </w:rPr>
        <w:t>(Bristol: Policy, 2020), 93-125</w:t>
      </w:r>
      <w:r>
        <w:rPr>
          <w:rFonts w:ascii="Times New Roman" w:hAnsi="Times New Roman" w:cs="Times New Roman"/>
          <w:sz w:val="24"/>
          <w:szCs w:val="24"/>
        </w:rPr>
        <w:t>.</w:t>
      </w:r>
    </w:p>
    <w:p w14:paraId="24C4521B" w14:textId="77777777" w:rsidR="004C09DC" w:rsidRPr="00AE141E" w:rsidRDefault="004C09DC" w:rsidP="00AE141E">
      <w:pPr>
        <w:pStyle w:val="FootnoteText"/>
        <w:spacing w:line="360" w:lineRule="auto"/>
        <w:rPr>
          <w:rFonts w:ascii="Times New Roman" w:hAnsi="Times New Roman" w:cs="Times New Roman"/>
          <w:sz w:val="24"/>
          <w:szCs w:val="24"/>
        </w:rPr>
      </w:pPr>
    </w:p>
    <w:p w14:paraId="1A8EA27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Aveyard, S.C., ‘The Northern Ireland Conflict and Colonial Resonances’, </w:t>
      </w:r>
      <w:r w:rsidRPr="00AE141E">
        <w:rPr>
          <w:rFonts w:ascii="Times New Roman" w:hAnsi="Times New Roman" w:cs="Times New Roman"/>
          <w:i/>
          <w:sz w:val="24"/>
          <w:szCs w:val="24"/>
        </w:rPr>
        <w:t>The Journal of Imperial and Commonwealth History</w:t>
      </w:r>
      <w:r w:rsidRPr="00AE141E">
        <w:rPr>
          <w:rFonts w:ascii="Times New Roman" w:hAnsi="Times New Roman" w:cs="Times New Roman"/>
          <w:sz w:val="24"/>
          <w:szCs w:val="24"/>
        </w:rPr>
        <w:t> 51.6 (2023), 1143–1169.</w:t>
      </w:r>
    </w:p>
    <w:p w14:paraId="6CFB5BBC" w14:textId="77777777" w:rsidR="004C09DC" w:rsidRPr="00AE141E" w:rsidRDefault="004C09DC" w:rsidP="00AE141E">
      <w:pPr>
        <w:pStyle w:val="FootnoteText"/>
        <w:spacing w:line="360" w:lineRule="auto"/>
        <w:rPr>
          <w:rFonts w:ascii="Times New Roman" w:hAnsi="Times New Roman" w:cs="Times New Roman"/>
          <w:sz w:val="24"/>
          <w:szCs w:val="24"/>
        </w:rPr>
      </w:pPr>
    </w:p>
    <w:p w14:paraId="01FB377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Betts, P., ‘Humanity's New Heritage: UNESCO and the Rewriting of World History’, </w:t>
      </w:r>
      <w:r w:rsidRPr="00AE141E">
        <w:rPr>
          <w:rFonts w:ascii="Times New Roman" w:hAnsi="Times New Roman" w:cs="Times New Roman"/>
          <w:i/>
          <w:sz w:val="24"/>
          <w:szCs w:val="24"/>
        </w:rPr>
        <w:t>Past &amp; Present</w:t>
      </w:r>
      <w:r w:rsidRPr="00AE141E">
        <w:rPr>
          <w:rFonts w:ascii="Times New Roman" w:hAnsi="Times New Roman" w:cs="Times New Roman"/>
          <w:sz w:val="24"/>
          <w:szCs w:val="24"/>
        </w:rPr>
        <w:t>, 228 (2015), 249-85.</w:t>
      </w:r>
    </w:p>
    <w:p w14:paraId="1D8B363C" w14:textId="77777777" w:rsidR="004C09DC" w:rsidRPr="00AE141E" w:rsidRDefault="004C09DC" w:rsidP="00AE141E">
      <w:pPr>
        <w:pStyle w:val="FootnoteText"/>
        <w:spacing w:line="360" w:lineRule="auto"/>
        <w:rPr>
          <w:rFonts w:ascii="Times New Roman" w:hAnsi="Times New Roman" w:cs="Times New Roman"/>
          <w:sz w:val="24"/>
          <w:szCs w:val="24"/>
        </w:rPr>
      </w:pPr>
    </w:p>
    <w:p w14:paraId="00AC4E2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Bhargava, B., ‘“All Adults Are Paper Tigers’: Pupil Power in English Schools, 1968–1980’, </w:t>
      </w:r>
      <w:r w:rsidRPr="00AE141E">
        <w:rPr>
          <w:rFonts w:ascii="Times New Roman" w:hAnsi="Times New Roman" w:cs="Times New Roman"/>
          <w:i/>
          <w:sz w:val="24"/>
          <w:szCs w:val="24"/>
        </w:rPr>
        <w:t>History of Education</w:t>
      </w:r>
      <w:r w:rsidRPr="00AE141E">
        <w:rPr>
          <w:rFonts w:ascii="Times New Roman" w:hAnsi="Times New Roman" w:cs="Times New Roman"/>
          <w:sz w:val="24"/>
          <w:szCs w:val="24"/>
        </w:rPr>
        <w:t xml:space="preserve"> (January 2025), 1–21.</w:t>
      </w:r>
    </w:p>
    <w:p w14:paraId="6D3EFB0B" w14:textId="77777777" w:rsidR="004C09DC" w:rsidRPr="00AE141E" w:rsidRDefault="004C09DC" w:rsidP="00AE141E">
      <w:pPr>
        <w:pStyle w:val="FootnoteText"/>
        <w:spacing w:line="360" w:lineRule="auto"/>
        <w:rPr>
          <w:rFonts w:ascii="Times New Roman" w:hAnsi="Times New Roman" w:cs="Times New Roman"/>
          <w:sz w:val="24"/>
          <w:szCs w:val="24"/>
        </w:rPr>
      </w:pPr>
    </w:p>
    <w:p w14:paraId="2431BCC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Bhargava, B., ‘The National Front and Environmental Politics, 1967–90’, </w:t>
      </w:r>
      <w:r w:rsidRPr="00AE141E">
        <w:rPr>
          <w:rFonts w:ascii="Times New Roman" w:hAnsi="Times New Roman" w:cs="Times New Roman"/>
          <w:i/>
          <w:sz w:val="24"/>
          <w:szCs w:val="24"/>
        </w:rPr>
        <w:t>Modern British History</w:t>
      </w:r>
      <w:r w:rsidRPr="00AE141E">
        <w:rPr>
          <w:rFonts w:ascii="Times New Roman" w:hAnsi="Times New Roman" w:cs="Times New Roman"/>
          <w:sz w:val="24"/>
          <w:szCs w:val="24"/>
        </w:rPr>
        <w:t xml:space="preserve"> (2024).</w:t>
      </w:r>
    </w:p>
    <w:p w14:paraId="2323CCFA" w14:textId="77777777" w:rsidR="004C09DC" w:rsidRPr="00AE141E" w:rsidRDefault="004C09DC" w:rsidP="00AE141E">
      <w:pPr>
        <w:pStyle w:val="FootnoteText"/>
        <w:spacing w:line="360" w:lineRule="auto"/>
        <w:rPr>
          <w:rFonts w:ascii="Times New Roman" w:hAnsi="Times New Roman" w:cs="Times New Roman"/>
          <w:sz w:val="24"/>
          <w:szCs w:val="24"/>
        </w:rPr>
      </w:pPr>
    </w:p>
    <w:p w14:paraId="2F7B4C8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Bourne, J., ‘Anti-racist Witchcraft’, </w:t>
      </w:r>
      <w:r w:rsidRPr="00AE141E">
        <w:rPr>
          <w:rFonts w:ascii="Times New Roman" w:hAnsi="Times New Roman" w:cs="Times New Roman"/>
          <w:i/>
          <w:sz w:val="24"/>
          <w:szCs w:val="24"/>
        </w:rPr>
        <w:t>Race &amp; Class</w:t>
      </w:r>
      <w:r w:rsidRPr="00AE141E">
        <w:rPr>
          <w:rFonts w:ascii="Times New Roman" w:hAnsi="Times New Roman" w:cs="Times New Roman"/>
          <w:sz w:val="24"/>
          <w:szCs w:val="24"/>
        </w:rPr>
        <w:t xml:space="preserve"> </w:t>
      </w:r>
      <w:r w:rsidRPr="00AE141E">
        <w:rPr>
          <w:rFonts w:ascii="Times New Roman" w:hAnsi="Times New Roman" w:cs="Times New Roman"/>
          <w:i/>
          <w:sz w:val="24"/>
          <w:szCs w:val="24"/>
        </w:rPr>
        <w:t>57</w:t>
      </w:r>
      <w:r w:rsidRPr="00AE141E">
        <w:rPr>
          <w:rFonts w:ascii="Times New Roman" w:hAnsi="Times New Roman" w:cs="Times New Roman"/>
          <w:sz w:val="24"/>
          <w:szCs w:val="24"/>
        </w:rPr>
        <w:t>.1 (2015), 67-77.</w:t>
      </w:r>
    </w:p>
    <w:p w14:paraId="2833388D" w14:textId="77777777" w:rsidR="004C09DC" w:rsidRPr="00AE141E" w:rsidRDefault="004C09DC" w:rsidP="00AE141E">
      <w:pPr>
        <w:pStyle w:val="FootnoteText"/>
        <w:spacing w:line="360" w:lineRule="auto"/>
        <w:rPr>
          <w:rFonts w:ascii="Times New Roman" w:hAnsi="Times New Roman" w:cs="Times New Roman"/>
          <w:sz w:val="24"/>
          <w:szCs w:val="24"/>
        </w:rPr>
      </w:pPr>
    </w:p>
    <w:p w14:paraId="66EB8A99" w14:textId="158EE847" w:rsidR="004C09DC"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Bromley, R., ‘Reading the “Black” in the “Union Jack”: Institutionalising Black and Asian British Writing’, in Nasta, S., and Stein, M.U., (eds), </w:t>
      </w:r>
      <w:r w:rsidRPr="00AE141E">
        <w:rPr>
          <w:rFonts w:ascii="Times New Roman" w:hAnsi="Times New Roman" w:cs="Times New Roman"/>
          <w:i/>
          <w:sz w:val="24"/>
          <w:szCs w:val="24"/>
        </w:rPr>
        <w:t>The Cambridge History of Black and Asian British Writing</w:t>
      </w:r>
      <w:r w:rsidRPr="00AE141E">
        <w:rPr>
          <w:rFonts w:ascii="Times New Roman" w:hAnsi="Times New Roman" w:cs="Times New Roman"/>
          <w:sz w:val="24"/>
          <w:szCs w:val="24"/>
        </w:rPr>
        <w:t xml:space="preserve"> (Cambridge: CUP, 2020), 417–32.</w:t>
      </w:r>
    </w:p>
    <w:p w14:paraId="71147EEF" w14:textId="77777777" w:rsidR="00F66F94" w:rsidRDefault="00F66F94" w:rsidP="00AE141E">
      <w:pPr>
        <w:pStyle w:val="FootnoteText"/>
        <w:spacing w:line="360" w:lineRule="auto"/>
        <w:rPr>
          <w:rFonts w:ascii="Times New Roman" w:hAnsi="Times New Roman" w:cs="Times New Roman"/>
          <w:sz w:val="24"/>
          <w:szCs w:val="24"/>
        </w:rPr>
      </w:pPr>
    </w:p>
    <w:p w14:paraId="50CCE58A" w14:textId="1B6548F4" w:rsidR="004A5D9F" w:rsidRDefault="004A5D9F" w:rsidP="00AE141E">
      <w:pPr>
        <w:pStyle w:val="FootnoteText"/>
        <w:spacing w:line="360" w:lineRule="auto"/>
        <w:rPr>
          <w:rFonts w:ascii="Times New Roman" w:hAnsi="Times New Roman" w:cs="Times New Roman"/>
          <w:sz w:val="24"/>
          <w:szCs w:val="24"/>
        </w:rPr>
      </w:pPr>
      <w:r w:rsidRPr="004A5D9F">
        <w:rPr>
          <w:rFonts w:ascii="Times New Roman" w:hAnsi="Times New Roman" w:cs="Times New Roman"/>
          <w:sz w:val="24"/>
          <w:szCs w:val="24"/>
        </w:rPr>
        <w:t>Carlile,</w:t>
      </w:r>
      <w:r>
        <w:rPr>
          <w:rFonts w:ascii="Times New Roman" w:hAnsi="Times New Roman" w:cs="Times New Roman"/>
          <w:sz w:val="24"/>
          <w:szCs w:val="24"/>
        </w:rPr>
        <w:t xml:space="preserve"> A.,</w:t>
      </w:r>
      <w:r w:rsidRPr="004A5D9F">
        <w:rPr>
          <w:rFonts w:ascii="Times New Roman" w:hAnsi="Times New Roman" w:cs="Times New Roman"/>
          <w:sz w:val="24"/>
          <w:szCs w:val="24"/>
        </w:rPr>
        <w:t xml:space="preserve"> ‘An Ethnography of Permanent Exclusion from School: Revealing and Untangling the Threads of Institutionalised Racism’, </w:t>
      </w:r>
      <w:r w:rsidRPr="004A5D9F">
        <w:rPr>
          <w:rFonts w:ascii="Times New Roman" w:hAnsi="Times New Roman" w:cs="Times New Roman"/>
          <w:i/>
          <w:iCs/>
          <w:sz w:val="24"/>
          <w:szCs w:val="24"/>
        </w:rPr>
        <w:t>Race, Ethnicity and Education</w:t>
      </w:r>
      <w:r w:rsidRPr="004A5D9F">
        <w:rPr>
          <w:rFonts w:ascii="Times New Roman" w:hAnsi="Times New Roman" w:cs="Times New Roman"/>
          <w:sz w:val="24"/>
          <w:szCs w:val="24"/>
        </w:rPr>
        <w:t xml:space="preserve"> 15.2 (2012), 175–94.</w:t>
      </w:r>
    </w:p>
    <w:p w14:paraId="24312F46" w14:textId="77777777" w:rsidR="004A5D9F" w:rsidRPr="00AE141E" w:rsidRDefault="004A5D9F" w:rsidP="00AE141E">
      <w:pPr>
        <w:pStyle w:val="FootnoteText"/>
        <w:spacing w:line="360" w:lineRule="auto"/>
        <w:rPr>
          <w:rFonts w:ascii="Times New Roman" w:hAnsi="Times New Roman" w:cs="Times New Roman"/>
          <w:sz w:val="24"/>
          <w:szCs w:val="24"/>
        </w:rPr>
      </w:pPr>
    </w:p>
    <w:p w14:paraId="7530F27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Castle, K., ‘The Imperial Indian: India in British History Textbooks for Schools 1890-1914’, in Mangan, J.A., (ed.), </w:t>
      </w:r>
      <w:r w:rsidRPr="00AE141E">
        <w:rPr>
          <w:rFonts w:ascii="Times New Roman" w:hAnsi="Times New Roman" w:cs="Times New Roman"/>
          <w:i/>
          <w:sz w:val="24"/>
          <w:szCs w:val="24"/>
        </w:rPr>
        <w:t xml:space="preserve">The Imperial Curriculum: Racial Images and Education in the British Colonial Experience </w:t>
      </w:r>
      <w:r w:rsidRPr="00AE141E">
        <w:rPr>
          <w:rFonts w:ascii="Times New Roman" w:hAnsi="Times New Roman" w:cs="Times New Roman"/>
          <w:sz w:val="24"/>
          <w:szCs w:val="24"/>
        </w:rPr>
        <w:t>(London: Routledge, 1993), 23-39.</w:t>
      </w:r>
    </w:p>
    <w:p w14:paraId="71D37641" w14:textId="77777777" w:rsidR="004C09DC" w:rsidRPr="00AE141E" w:rsidRDefault="004C09DC" w:rsidP="00AE141E">
      <w:pPr>
        <w:pStyle w:val="FootnoteText"/>
        <w:spacing w:line="360" w:lineRule="auto"/>
        <w:rPr>
          <w:rFonts w:ascii="Times New Roman" w:hAnsi="Times New Roman" w:cs="Times New Roman"/>
          <w:sz w:val="24"/>
          <w:szCs w:val="24"/>
        </w:rPr>
      </w:pPr>
    </w:p>
    <w:p w14:paraId="586C9B84" w14:textId="07B67166" w:rsidR="004C09DC" w:rsidRPr="00AE141E" w:rsidRDefault="005E42EE" w:rsidP="00AE141E">
      <w:pPr>
        <w:pStyle w:val="FootnoteText"/>
        <w:spacing w:line="360" w:lineRule="auto"/>
        <w:rPr>
          <w:rFonts w:ascii="Times New Roman" w:hAnsi="Times New Roman" w:cs="Times New Roman"/>
          <w:sz w:val="24"/>
          <w:szCs w:val="24"/>
        </w:rPr>
      </w:pPr>
      <w:r w:rsidRPr="005E42EE">
        <w:rPr>
          <w:rFonts w:ascii="Times New Roman" w:hAnsi="Times New Roman" w:cs="Times New Roman"/>
          <w:sz w:val="24"/>
          <w:szCs w:val="24"/>
        </w:rPr>
        <w:t xml:space="preserve">Chakravorty </w:t>
      </w:r>
      <w:r w:rsidR="004C09DC" w:rsidRPr="00AE141E">
        <w:rPr>
          <w:rFonts w:ascii="Times New Roman" w:hAnsi="Times New Roman" w:cs="Times New Roman"/>
          <w:sz w:val="24"/>
          <w:szCs w:val="24"/>
        </w:rPr>
        <w:t>Spivak, G</w:t>
      </w:r>
      <w:r>
        <w:rPr>
          <w:rFonts w:ascii="Times New Roman" w:hAnsi="Times New Roman" w:cs="Times New Roman"/>
          <w:sz w:val="24"/>
          <w:szCs w:val="24"/>
        </w:rPr>
        <w:t>.</w:t>
      </w:r>
      <w:r w:rsidR="004C09DC" w:rsidRPr="00AE141E">
        <w:rPr>
          <w:rFonts w:ascii="Times New Roman" w:hAnsi="Times New Roman" w:cs="Times New Roman"/>
          <w:sz w:val="24"/>
          <w:szCs w:val="24"/>
        </w:rPr>
        <w:t xml:space="preserve">, ‘Can the Subaltern Speak? Speculations on Widow-sacrifice’ </w:t>
      </w:r>
      <w:r w:rsidR="004C09DC" w:rsidRPr="00AE141E">
        <w:rPr>
          <w:rFonts w:ascii="Times New Roman" w:hAnsi="Times New Roman" w:cs="Times New Roman"/>
          <w:i/>
          <w:sz w:val="24"/>
          <w:szCs w:val="24"/>
        </w:rPr>
        <w:t>Wedge</w:t>
      </w:r>
      <w:r w:rsidR="004C09DC" w:rsidRPr="00AE141E">
        <w:rPr>
          <w:rFonts w:ascii="Times New Roman" w:hAnsi="Times New Roman" w:cs="Times New Roman"/>
          <w:sz w:val="24"/>
          <w:szCs w:val="24"/>
        </w:rPr>
        <w:t xml:space="preserve"> 7/8 (1985), 120–130.</w:t>
      </w:r>
    </w:p>
    <w:p w14:paraId="5996F330" w14:textId="77777777" w:rsidR="004C09DC" w:rsidRPr="00AE141E" w:rsidRDefault="004C09DC" w:rsidP="00AE141E">
      <w:pPr>
        <w:pStyle w:val="FootnoteText"/>
        <w:spacing w:line="360" w:lineRule="auto"/>
        <w:rPr>
          <w:rFonts w:ascii="Times New Roman" w:hAnsi="Times New Roman" w:cs="Times New Roman"/>
          <w:sz w:val="24"/>
          <w:szCs w:val="24"/>
        </w:rPr>
      </w:pPr>
    </w:p>
    <w:p w14:paraId="0EFC694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Chevannes, M., and Reeves, F., ‘The Black Voluntary School Movement: Definition, Context, and Prospects’, in Troyna, B., (ed.), </w:t>
      </w:r>
      <w:r w:rsidRPr="00AE141E">
        <w:rPr>
          <w:rFonts w:ascii="Times New Roman" w:hAnsi="Times New Roman" w:cs="Times New Roman"/>
          <w:i/>
          <w:sz w:val="24"/>
          <w:szCs w:val="24"/>
        </w:rPr>
        <w:t>Racial Inequality in Education</w:t>
      </w:r>
      <w:r w:rsidRPr="00AE141E">
        <w:rPr>
          <w:rFonts w:ascii="Times New Roman" w:hAnsi="Times New Roman" w:cs="Times New Roman"/>
          <w:sz w:val="24"/>
          <w:szCs w:val="24"/>
        </w:rPr>
        <w:t xml:space="preserve"> (London: Tavistock, 1987), 147-69.</w:t>
      </w:r>
    </w:p>
    <w:p w14:paraId="045FB7C4" w14:textId="77777777" w:rsidR="004C09DC" w:rsidRPr="00AE141E" w:rsidRDefault="004C09DC" w:rsidP="00AE141E">
      <w:pPr>
        <w:pStyle w:val="FootnoteText"/>
        <w:spacing w:line="360" w:lineRule="auto"/>
        <w:rPr>
          <w:rFonts w:ascii="Times New Roman" w:hAnsi="Times New Roman" w:cs="Times New Roman"/>
          <w:sz w:val="24"/>
          <w:szCs w:val="24"/>
        </w:rPr>
      </w:pPr>
    </w:p>
    <w:p w14:paraId="67198E0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Chitty, C., ‘Secondary School Examinations: A Historical Perspective’, </w:t>
      </w:r>
      <w:r w:rsidRPr="00AE141E">
        <w:rPr>
          <w:rFonts w:ascii="Times New Roman" w:hAnsi="Times New Roman" w:cs="Times New Roman"/>
          <w:i/>
          <w:sz w:val="24"/>
          <w:szCs w:val="24"/>
        </w:rPr>
        <w:t>Forum</w:t>
      </w:r>
      <w:r w:rsidRPr="00AE141E">
        <w:rPr>
          <w:rFonts w:ascii="Times New Roman" w:hAnsi="Times New Roman" w:cs="Times New Roman"/>
          <w:sz w:val="24"/>
          <w:szCs w:val="24"/>
        </w:rPr>
        <w:t xml:space="preserve"> 55.3 (2013) 355-366.</w:t>
      </w:r>
    </w:p>
    <w:p w14:paraId="5A6B7D3C" w14:textId="77777777" w:rsidR="004C09DC" w:rsidRPr="00AE141E" w:rsidRDefault="004C09DC" w:rsidP="00AE141E">
      <w:pPr>
        <w:pStyle w:val="FootnoteText"/>
        <w:spacing w:line="360" w:lineRule="auto"/>
        <w:rPr>
          <w:rFonts w:ascii="Times New Roman" w:hAnsi="Times New Roman" w:cs="Times New Roman"/>
          <w:sz w:val="24"/>
          <w:szCs w:val="24"/>
        </w:rPr>
      </w:pPr>
    </w:p>
    <w:p w14:paraId="68B051F1" w14:textId="77777777" w:rsidR="004C09DC"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Claeys, A., ‘Britannia’s Children Grow Up: English Education at Empire’s End’, </w:t>
      </w:r>
      <w:r w:rsidRPr="00AE141E">
        <w:rPr>
          <w:rFonts w:ascii="Times New Roman" w:hAnsi="Times New Roman" w:cs="Times New Roman"/>
          <w:i/>
          <w:sz w:val="24"/>
          <w:szCs w:val="24"/>
        </w:rPr>
        <w:t xml:space="preserve">History of Education </w:t>
      </w:r>
      <w:r w:rsidRPr="00AE141E">
        <w:rPr>
          <w:rFonts w:ascii="Times New Roman" w:hAnsi="Times New Roman" w:cs="Times New Roman"/>
          <w:sz w:val="24"/>
          <w:szCs w:val="24"/>
        </w:rPr>
        <w:t>47.6 (2018), 823-39.</w:t>
      </w:r>
    </w:p>
    <w:p w14:paraId="7ACB0551" w14:textId="77777777" w:rsidR="00505A3C" w:rsidRDefault="00505A3C" w:rsidP="00AE141E">
      <w:pPr>
        <w:pStyle w:val="FootnoteText"/>
        <w:spacing w:line="360" w:lineRule="auto"/>
        <w:rPr>
          <w:rFonts w:ascii="Times New Roman" w:hAnsi="Times New Roman" w:cs="Times New Roman"/>
          <w:sz w:val="24"/>
          <w:szCs w:val="24"/>
        </w:rPr>
      </w:pPr>
    </w:p>
    <w:p w14:paraId="36D5678C" w14:textId="6041E6B3" w:rsidR="00505A3C" w:rsidRPr="00AE141E" w:rsidRDefault="00505A3C" w:rsidP="00AE141E">
      <w:pPr>
        <w:pStyle w:val="FootnoteText"/>
        <w:spacing w:line="360" w:lineRule="auto"/>
        <w:rPr>
          <w:rFonts w:ascii="Times New Roman" w:hAnsi="Times New Roman" w:cs="Times New Roman"/>
          <w:sz w:val="24"/>
          <w:szCs w:val="24"/>
        </w:rPr>
      </w:pPr>
      <w:r w:rsidRPr="00505A3C">
        <w:rPr>
          <w:rFonts w:ascii="Times New Roman" w:hAnsi="Times New Roman" w:cs="Times New Roman"/>
          <w:sz w:val="24"/>
          <w:szCs w:val="24"/>
        </w:rPr>
        <w:t>Coles,</w:t>
      </w:r>
      <w:r>
        <w:rPr>
          <w:rFonts w:ascii="Times New Roman" w:hAnsi="Times New Roman" w:cs="Times New Roman"/>
          <w:sz w:val="24"/>
          <w:szCs w:val="24"/>
        </w:rPr>
        <w:t xml:space="preserve"> J.,</w:t>
      </w:r>
      <w:r w:rsidRPr="00505A3C">
        <w:rPr>
          <w:rFonts w:ascii="Times New Roman" w:hAnsi="Times New Roman" w:cs="Times New Roman"/>
          <w:sz w:val="24"/>
          <w:szCs w:val="24"/>
        </w:rPr>
        <w:t xml:space="preserve"> ‘Enough Was Enough: The Teachers’ Boycott of National Curriculum Testing’, </w:t>
      </w:r>
      <w:r w:rsidRPr="00505A3C">
        <w:rPr>
          <w:rFonts w:ascii="Times New Roman" w:hAnsi="Times New Roman" w:cs="Times New Roman"/>
          <w:i/>
          <w:iCs/>
          <w:sz w:val="24"/>
          <w:szCs w:val="24"/>
        </w:rPr>
        <w:t>Changing English</w:t>
      </w:r>
      <w:r w:rsidRPr="00505A3C">
        <w:rPr>
          <w:rFonts w:ascii="Times New Roman" w:hAnsi="Times New Roman" w:cs="Times New Roman"/>
          <w:sz w:val="24"/>
          <w:szCs w:val="24"/>
        </w:rPr>
        <w:t xml:space="preserve"> 1.2 (1994), 16–31.</w:t>
      </w:r>
    </w:p>
    <w:p w14:paraId="4F448103" w14:textId="77777777" w:rsidR="004C09DC" w:rsidRPr="00AE141E" w:rsidRDefault="004C09DC" w:rsidP="00AE141E">
      <w:pPr>
        <w:pStyle w:val="FootnoteText"/>
        <w:spacing w:line="360" w:lineRule="auto"/>
        <w:rPr>
          <w:rFonts w:ascii="Times New Roman" w:hAnsi="Times New Roman" w:cs="Times New Roman"/>
          <w:sz w:val="24"/>
          <w:szCs w:val="24"/>
        </w:rPr>
      </w:pPr>
    </w:p>
    <w:p w14:paraId="1216309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Crutchley, J., ‘Imperialism and English Schools: Education for, about, and Because of Empire’, in Joseph, N., (ed.), </w:t>
      </w:r>
      <w:r w:rsidRPr="00AE141E">
        <w:rPr>
          <w:rFonts w:ascii="Times New Roman" w:hAnsi="Times New Roman" w:cs="Times New Roman"/>
          <w:i/>
          <w:sz w:val="24"/>
          <w:szCs w:val="24"/>
        </w:rPr>
        <w:t>New Studies in the History of Education: Connecting the Past to the Present in an Evolving Discipline</w:t>
      </w:r>
      <w:r w:rsidRPr="00AE141E">
        <w:rPr>
          <w:rFonts w:ascii="Times New Roman" w:hAnsi="Times New Roman" w:cs="Times New Roman"/>
          <w:sz w:val="24"/>
          <w:szCs w:val="24"/>
        </w:rPr>
        <w:t xml:space="preserve"> (Abingdon: Routledge, 2024), 105-15.</w:t>
      </w:r>
    </w:p>
    <w:p w14:paraId="7853359F" w14:textId="77777777" w:rsidR="004C09DC" w:rsidRPr="00AE141E" w:rsidRDefault="004C09DC" w:rsidP="00AE141E">
      <w:pPr>
        <w:pStyle w:val="FootnoteText"/>
        <w:spacing w:line="360" w:lineRule="auto"/>
        <w:rPr>
          <w:rFonts w:ascii="Times New Roman" w:hAnsi="Times New Roman" w:cs="Times New Roman"/>
          <w:sz w:val="24"/>
          <w:szCs w:val="24"/>
        </w:rPr>
      </w:pPr>
    </w:p>
    <w:p w14:paraId="2B3CFF0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Davis, B., ‘Going in by the Front Door: Searle, Earl Marshal School and Sheffield’, </w:t>
      </w:r>
      <w:r w:rsidRPr="00AE141E">
        <w:rPr>
          <w:rFonts w:ascii="Times New Roman" w:hAnsi="Times New Roman" w:cs="Times New Roman"/>
          <w:i/>
          <w:sz w:val="24"/>
          <w:szCs w:val="24"/>
        </w:rPr>
        <w:t>Race &amp; Class</w:t>
      </w:r>
      <w:r w:rsidRPr="00AE141E">
        <w:rPr>
          <w:rFonts w:ascii="Times New Roman" w:hAnsi="Times New Roman" w:cs="Times New Roman"/>
          <w:sz w:val="24"/>
          <w:szCs w:val="24"/>
        </w:rPr>
        <w:t xml:space="preserve"> 51.2 (2009), 79-91.</w:t>
      </w:r>
    </w:p>
    <w:p w14:paraId="5E0FDF71" w14:textId="77777777" w:rsidR="004C09DC" w:rsidRPr="00AE141E" w:rsidRDefault="004C09DC" w:rsidP="00AE141E">
      <w:pPr>
        <w:pStyle w:val="FootnoteText"/>
        <w:spacing w:line="360" w:lineRule="auto"/>
        <w:rPr>
          <w:rFonts w:ascii="Times New Roman" w:hAnsi="Times New Roman" w:cs="Times New Roman"/>
          <w:sz w:val="24"/>
          <w:szCs w:val="24"/>
        </w:rPr>
      </w:pPr>
    </w:p>
    <w:p w14:paraId="21FBEB9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Davis, J., ‘The Inner London Education Authority and the William Tyndale Junior School Affair, 1974-1976’, </w:t>
      </w:r>
      <w:r w:rsidRPr="00AE141E">
        <w:rPr>
          <w:rFonts w:ascii="Times New Roman" w:hAnsi="Times New Roman" w:cs="Times New Roman"/>
          <w:i/>
          <w:sz w:val="24"/>
          <w:szCs w:val="24"/>
        </w:rPr>
        <w:t>Oxford Review of Education</w:t>
      </w:r>
      <w:r w:rsidRPr="00AE141E">
        <w:rPr>
          <w:rFonts w:ascii="Times New Roman" w:hAnsi="Times New Roman" w:cs="Times New Roman"/>
          <w:sz w:val="24"/>
          <w:szCs w:val="24"/>
        </w:rPr>
        <w:t xml:space="preserve"> 28:2/3 (2002), 275–98. </w:t>
      </w:r>
    </w:p>
    <w:p w14:paraId="5889A4CB" w14:textId="77777777" w:rsidR="004C09DC" w:rsidRPr="00AE141E" w:rsidRDefault="004C09DC" w:rsidP="00AE141E">
      <w:pPr>
        <w:pStyle w:val="FootnoteText"/>
        <w:spacing w:line="360" w:lineRule="auto"/>
        <w:rPr>
          <w:rFonts w:ascii="Times New Roman" w:hAnsi="Times New Roman" w:cs="Times New Roman"/>
          <w:sz w:val="24"/>
          <w:szCs w:val="24"/>
        </w:rPr>
      </w:pPr>
    </w:p>
    <w:p w14:paraId="3383EEA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Devine, T.M., ‘The Break-Up of Britain? Scotland and the End of Empire: The Prothero Lecture’, </w:t>
      </w:r>
      <w:r w:rsidRPr="00AE141E">
        <w:rPr>
          <w:rFonts w:ascii="Times New Roman" w:hAnsi="Times New Roman" w:cs="Times New Roman"/>
          <w:i/>
          <w:sz w:val="24"/>
          <w:szCs w:val="24"/>
        </w:rPr>
        <w:t>Transactions of the Royal Historical Society</w:t>
      </w:r>
      <w:r w:rsidRPr="00AE141E">
        <w:rPr>
          <w:rFonts w:ascii="Times New Roman" w:hAnsi="Times New Roman" w:cs="Times New Roman"/>
          <w:sz w:val="24"/>
          <w:szCs w:val="24"/>
        </w:rPr>
        <w:t> 16 (2006), 163–80.</w:t>
      </w:r>
    </w:p>
    <w:p w14:paraId="6766DCD2" w14:textId="77777777" w:rsidR="004C09DC" w:rsidRPr="00AE141E" w:rsidRDefault="004C09DC" w:rsidP="00AE141E">
      <w:pPr>
        <w:pStyle w:val="FootnoteText"/>
        <w:spacing w:line="360" w:lineRule="auto"/>
        <w:rPr>
          <w:rFonts w:ascii="Times New Roman" w:hAnsi="Times New Roman" w:cs="Times New Roman"/>
          <w:sz w:val="24"/>
          <w:szCs w:val="24"/>
        </w:rPr>
      </w:pPr>
    </w:p>
    <w:p w14:paraId="70325CE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Drayton, R., ‘Imperial History and the Human Future’, </w:t>
      </w:r>
      <w:r w:rsidRPr="00AE141E">
        <w:rPr>
          <w:rFonts w:ascii="Times New Roman" w:hAnsi="Times New Roman" w:cs="Times New Roman"/>
          <w:i/>
          <w:sz w:val="24"/>
          <w:szCs w:val="24"/>
        </w:rPr>
        <w:t>History Workshop Journal</w:t>
      </w:r>
      <w:r w:rsidRPr="00AE141E">
        <w:rPr>
          <w:rFonts w:ascii="Times New Roman" w:hAnsi="Times New Roman" w:cs="Times New Roman"/>
          <w:sz w:val="24"/>
          <w:szCs w:val="24"/>
        </w:rPr>
        <w:t xml:space="preserve"> 74.1 (2012), 156–172.</w:t>
      </w:r>
    </w:p>
    <w:p w14:paraId="5723B482" w14:textId="77777777" w:rsidR="004C09DC" w:rsidRPr="00AE141E" w:rsidRDefault="004C09DC" w:rsidP="00AE141E">
      <w:pPr>
        <w:pStyle w:val="FootnoteText"/>
        <w:spacing w:line="360" w:lineRule="auto"/>
        <w:rPr>
          <w:rFonts w:ascii="Times New Roman" w:hAnsi="Times New Roman" w:cs="Times New Roman"/>
          <w:sz w:val="24"/>
          <w:szCs w:val="24"/>
        </w:rPr>
      </w:pPr>
    </w:p>
    <w:p w14:paraId="0FD0B2E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Drayton, R., ‘Secondary Decolonisation: The Black Power Movement in Barbados, c. 1970’, in Quinn, K., (ed.), </w:t>
      </w:r>
      <w:r w:rsidRPr="00AE141E">
        <w:rPr>
          <w:rFonts w:ascii="Times New Roman" w:hAnsi="Times New Roman" w:cs="Times New Roman"/>
          <w:i/>
          <w:sz w:val="24"/>
          <w:szCs w:val="24"/>
        </w:rPr>
        <w:t>Black Power in the Caribbean</w:t>
      </w:r>
      <w:r w:rsidRPr="00AE141E">
        <w:rPr>
          <w:rFonts w:ascii="Times New Roman" w:hAnsi="Times New Roman" w:cs="Times New Roman"/>
          <w:sz w:val="24"/>
          <w:szCs w:val="24"/>
        </w:rPr>
        <w:t xml:space="preserve"> (Gainesville: University Press of Florida, 2014), 117–35.</w:t>
      </w:r>
    </w:p>
    <w:p w14:paraId="546CDD74" w14:textId="77777777" w:rsidR="004C09DC" w:rsidRPr="00AE141E" w:rsidRDefault="004C09DC" w:rsidP="00AE141E">
      <w:pPr>
        <w:pStyle w:val="FootnoteText"/>
        <w:spacing w:line="360" w:lineRule="auto"/>
        <w:rPr>
          <w:rFonts w:ascii="Times New Roman" w:hAnsi="Times New Roman" w:cs="Times New Roman"/>
          <w:sz w:val="24"/>
          <w:szCs w:val="24"/>
        </w:rPr>
      </w:pPr>
    </w:p>
    <w:p w14:paraId="6F787D2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Duedahl, P., ‘Selling Mankind: UNESCO and the Invention of Global History, 1945-1976’, </w:t>
      </w:r>
      <w:r w:rsidRPr="00AE141E">
        <w:rPr>
          <w:rFonts w:ascii="Times New Roman" w:hAnsi="Times New Roman" w:cs="Times New Roman"/>
          <w:i/>
          <w:sz w:val="24"/>
          <w:szCs w:val="24"/>
        </w:rPr>
        <w:t>Journal of World History</w:t>
      </w:r>
      <w:r w:rsidRPr="00AE141E">
        <w:rPr>
          <w:rFonts w:ascii="Times New Roman" w:hAnsi="Times New Roman" w:cs="Times New Roman"/>
          <w:sz w:val="24"/>
          <w:szCs w:val="24"/>
        </w:rPr>
        <w:t xml:space="preserve"> 22.1 (2011), 101-33.</w:t>
      </w:r>
    </w:p>
    <w:p w14:paraId="7C67704D" w14:textId="77777777" w:rsidR="004C09DC" w:rsidRPr="00AE141E" w:rsidRDefault="004C09DC" w:rsidP="00AE141E">
      <w:pPr>
        <w:pStyle w:val="FootnoteText"/>
        <w:spacing w:line="360" w:lineRule="auto"/>
        <w:rPr>
          <w:rFonts w:ascii="Times New Roman" w:hAnsi="Times New Roman" w:cs="Times New Roman"/>
          <w:sz w:val="24"/>
          <w:szCs w:val="24"/>
        </w:rPr>
      </w:pPr>
    </w:p>
    <w:p w14:paraId="274C407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Eyles, A., Machin, S., and McNally, S., ‘Unexpected School Reform: Academisation of Primary Schools in England’, </w:t>
      </w:r>
      <w:r w:rsidRPr="00AE141E">
        <w:rPr>
          <w:rFonts w:ascii="Times New Roman" w:hAnsi="Times New Roman" w:cs="Times New Roman"/>
          <w:i/>
          <w:sz w:val="24"/>
          <w:szCs w:val="24"/>
        </w:rPr>
        <w:t>Journal of Public Economics</w:t>
      </w:r>
      <w:r w:rsidRPr="00AE141E">
        <w:rPr>
          <w:rFonts w:ascii="Times New Roman" w:hAnsi="Times New Roman" w:cs="Times New Roman"/>
          <w:sz w:val="24"/>
          <w:szCs w:val="24"/>
        </w:rPr>
        <w:t> 155 (2017), 108–12.</w:t>
      </w:r>
    </w:p>
    <w:p w14:paraId="3352173B" w14:textId="77777777" w:rsidR="004C09DC" w:rsidRPr="00AE141E" w:rsidRDefault="004C09DC" w:rsidP="00AE141E">
      <w:pPr>
        <w:pStyle w:val="FootnoteText"/>
        <w:spacing w:line="360" w:lineRule="auto"/>
        <w:rPr>
          <w:rFonts w:ascii="Times New Roman" w:hAnsi="Times New Roman" w:cs="Times New Roman"/>
          <w:sz w:val="24"/>
          <w:szCs w:val="24"/>
        </w:rPr>
      </w:pPr>
    </w:p>
    <w:p w14:paraId="6F5211E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Fieldhouse, D., ‘Can Humpty-Dumpty Be Put Together Again? Imperial History in the 1980s’, </w:t>
      </w:r>
      <w:r w:rsidRPr="00AE141E">
        <w:rPr>
          <w:rFonts w:ascii="Times New Roman" w:hAnsi="Times New Roman" w:cs="Times New Roman"/>
          <w:i/>
          <w:sz w:val="24"/>
          <w:szCs w:val="24"/>
        </w:rPr>
        <w:t>Journal of Imperial and Commonwealth History</w:t>
      </w:r>
      <w:r w:rsidRPr="00AE141E">
        <w:rPr>
          <w:rFonts w:ascii="Times New Roman" w:hAnsi="Times New Roman" w:cs="Times New Roman"/>
          <w:sz w:val="24"/>
          <w:szCs w:val="24"/>
        </w:rPr>
        <w:t xml:space="preserve"> 12 (1984), 9–23.</w:t>
      </w:r>
    </w:p>
    <w:p w14:paraId="3A854167" w14:textId="77777777" w:rsidR="004C09DC" w:rsidRPr="00AE141E" w:rsidRDefault="004C09DC" w:rsidP="00AE141E">
      <w:pPr>
        <w:pStyle w:val="FootnoteText"/>
        <w:spacing w:line="360" w:lineRule="auto"/>
        <w:rPr>
          <w:rFonts w:ascii="Times New Roman" w:hAnsi="Times New Roman" w:cs="Times New Roman"/>
          <w:sz w:val="24"/>
          <w:szCs w:val="24"/>
        </w:rPr>
      </w:pPr>
    </w:p>
    <w:p w14:paraId="252AE3B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Gordon, M., ‘Prospects for a Bewältigung of Extreme Violence in Britain’s Imperial Past’, </w:t>
      </w:r>
      <w:r w:rsidRPr="00AE141E">
        <w:rPr>
          <w:rFonts w:ascii="Times New Roman" w:hAnsi="Times New Roman" w:cs="Times New Roman"/>
          <w:i/>
          <w:sz w:val="24"/>
          <w:szCs w:val="24"/>
        </w:rPr>
        <w:t>Modern Languages Open</w:t>
      </w:r>
      <w:r w:rsidRPr="00AE141E">
        <w:rPr>
          <w:rFonts w:ascii="Times New Roman" w:hAnsi="Times New Roman" w:cs="Times New Roman"/>
          <w:sz w:val="24"/>
          <w:szCs w:val="24"/>
        </w:rPr>
        <w:t xml:space="preserve"> 1.1 (2020), 1–17.</w:t>
      </w:r>
    </w:p>
    <w:p w14:paraId="796E880B" w14:textId="77777777" w:rsidR="004C09DC" w:rsidRPr="00AE141E" w:rsidRDefault="004C09DC" w:rsidP="00AE141E">
      <w:pPr>
        <w:pStyle w:val="FootnoteText"/>
        <w:spacing w:line="360" w:lineRule="auto"/>
        <w:rPr>
          <w:rFonts w:ascii="Times New Roman" w:hAnsi="Times New Roman" w:cs="Times New Roman"/>
          <w:sz w:val="24"/>
          <w:szCs w:val="24"/>
        </w:rPr>
      </w:pPr>
    </w:p>
    <w:p w14:paraId="2066006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Grindel, S., ‘The End of Empire: Colonial Heritage and the Politics of Memory in Britain’, </w:t>
      </w:r>
      <w:r w:rsidRPr="00AE141E">
        <w:rPr>
          <w:rFonts w:ascii="Times New Roman" w:hAnsi="Times New Roman" w:cs="Times New Roman"/>
          <w:i/>
          <w:sz w:val="24"/>
          <w:szCs w:val="24"/>
        </w:rPr>
        <w:t>Journal of Educational Media, Memory, and Society</w:t>
      </w:r>
      <w:r w:rsidRPr="00AE141E">
        <w:rPr>
          <w:rFonts w:ascii="Times New Roman" w:hAnsi="Times New Roman" w:cs="Times New Roman"/>
          <w:sz w:val="24"/>
          <w:szCs w:val="24"/>
        </w:rPr>
        <w:t xml:space="preserve"> 5.1 (2013), 33-49.</w:t>
      </w:r>
    </w:p>
    <w:p w14:paraId="042AA413" w14:textId="77777777" w:rsidR="004C09DC" w:rsidRPr="00AE141E" w:rsidRDefault="004C09DC" w:rsidP="00AE141E">
      <w:pPr>
        <w:pStyle w:val="FootnoteText"/>
        <w:spacing w:line="360" w:lineRule="auto"/>
        <w:rPr>
          <w:rFonts w:ascii="Times New Roman" w:hAnsi="Times New Roman" w:cs="Times New Roman"/>
          <w:sz w:val="24"/>
          <w:szCs w:val="24"/>
        </w:rPr>
      </w:pPr>
    </w:p>
    <w:p w14:paraId="509ABCCE" w14:textId="2FA7F258" w:rsidR="004C09DC" w:rsidRDefault="004C09DC" w:rsidP="00AE141E">
      <w:pPr>
        <w:pStyle w:val="FootnoteText"/>
        <w:spacing w:line="360" w:lineRule="auto"/>
        <w:rPr>
          <w:rFonts w:ascii="Times New Roman" w:hAnsi="Times New Roman" w:cs="Times New Roman"/>
          <w:iCs/>
          <w:sz w:val="24"/>
          <w:szCs w:val="24"/>
        </w:rPr>
      </w:pPr>
      <w:r w:rsidRPr="00AE141E">
        <w:rPr>
          <w:rFonts w:ascii="Times New Roman" w:hAnsi="Times New Roman" w:cs="Times New Roman"/>
          <w:sz w:val="24"/>
          <w:szCs w:val="24"/>
        </w:rPr>
        <w:t xml:space="preserve">Gurnah, A., ‘Earl Marshal School: Towards an Inclusive Education’, </w:t>
      </w:r>
      <w:r w:rsidRPr="00AE141E">
        <w:rPr>
          <w:rFonts w:ascii="Times New Roman" w:hAnsi="Times New Roman" w:cs="Times New Roman"/>
          <w:i/>
          <w:sz w:val="24"/>
          <w:szCs w:val="24"/>
        </w:rPr>
        <w:t xml:space="preserve">Race &amp; Class </w:t>
      </w:r>
      <w:r w:rsidRPr="00AE141E">
        <w:rPr>
          <w:rFonts w:ascii="Times New Roman" w:hAnsi="Times New Roman" w:cs="Times New Roman"/>
          <w:sz w:val="24"/>
          <w:szCs w:val="24"/>
        </w:rPr>
        <w:t>51.2</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(2009), 92–103.</w:t>
      </w:r>
    </w:p>
    <w:p w14:paraId="46532B52" w14:textId="77777777" w:rsidR="00B533D2" w:rsidRPr="00B533D2" w:rsidRDefault="00B533D2" w:rsidP="00AE141E">
      <w:pPr>
        <w:pStyle w:val="FootnoteText"/>
        <w:spacing w:line="360" w:lineRule="auto"/>
        <w:rPr>
          <w:rFonts w:ascii="Times New Roman" w:hAnsi="Times New Roman" w:cs="Times New Roman"/>
          <w:iCs/>
          <w:sz w:val="24"/>
          <w:szCs w:val="24"/>
        </w:rPr>
      </w:pPr>
    </w:p>
    <w:p w14:paraId="5B4A1A4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Hansen, M., ‘</w:t>
      </w:r>
      <w:r w:rsidRPr="00AE141E">
        <w:rPr>
          <w:rFonts w:ascii="Times New Roman" w:hAnsi="Times New Roman" w:cs="Times New Roman"/>
          <w:i/>
          <w:sz w:val="24"/>
          <w:szCs w:val="24"/>
        </w:rPr>
        <w:t>Schindler’s List</w:t>
      </w:r>
      <w:r w:rsidRPr="00AE141E">
        <w:rPr>
          <w:rFonts w:ascii="Times New Roman" w:hAnsi="Times New Roman" w:cs="Times New Roman"/>
          <w:sz w:val="24"/>
          <w:szCs w:val="24"/>
        </w:rPr>
        <w:t xml:space="preserve"> is not </w:t>
      </w:r>
      <w:r w:rsidRPr="00AE141E">
        <w:rPr>
          <w:rFonts w:ascii="Times New Roman" w:hAnsi="Times New Roman" w:cs="Times New Roman"/>
          <w:i/>
          <w:sz w:val="24"/>
          <w:szCs w:val="24"/>
        </w:rPr>
        <w:t>Shoah</w:t>
      </w:r>
      <w:r w:rsidRPr="00AE141E">
        <w:rPr>
          <w:rFonts w:ascii="Times New Roman" w:hAnsi="Times New Roman" w:cs="Times New Roman"/>
          <w:sz w:val="24"/>
          <w:szCs w:val="24"/>
        </w:rPr>
        <w:t>: The Second Commandment, Popular Modernism, and Public Memory’, Critical Inquiry 22.2 (1996), 292-312.</w:t>
      </w:r>
    </w:p>
    <w:p w14:paraId="44DE0D46" w14:textId="77777777" w:rsidR="004C09DC" w:rsidRPr="00AE141E" w:rsidRDefault="004C09DC" w:rsidP="00AE141E">
      <w:pPr>
        <w:pStyle w:val="FootnoteText"/>
        <w:spacing w:line="360" w:lineRule="auto"/>
        <w:rPr>
          <w:rFonts w:ascii="Times New Roman" w:hAnsi="Times New Roman" w:cs="Times New Roman"/>
          <w:sz w:val="24"/>
          <w:szCs w:val="24"/>
        </w:rPr>
      </w:pPr>
    </w:p>
    <w:p w14:paraId="430A27D6" w14:textId="071BF4EC" w:rsidR="006B5B99" w:rsidRPr="00AE141E" w:rsidRDefault="006B5B99"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Hedinger, D., ‘The Imperial Nexus: The Second World War and the Axis in Global Perspective’, Journal of Global History 12.2 (2017), 184–205.</w:t>
      </w:r>
    </w:p>
    <w:p w14:paraId="5F638D3F" w14:textId="77777777" w:rsidR="006B5B99" w:rsidRPr="00AE141E" w:rsidRDefault="006B5B99" w:rsidP="00AE141E">
      <w:pPr>
        <w:pStyle w:val="FootnoteText"/>
        <w:spacing w:line="360" w:lineRule="auto"/>
        <w:rPr>
          <w:rFonts w:ascii="Times New Roman" w:hAnsi="Times New Roman" w:cs="Times New Roman"/>
          <w:sz w:val="24"/>
          <w:szCs w:val="24"/>
        </w:rPr>
      </w:pPr>
    </w:p>
    <w:p w14:paraId="15B0123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Hijiya, J.A., ‘Roots: Family and Ethnicity in the 1970s’, </w:t>
      </w:r>
      <w:r w:rsidRPr="00AE141E">
        <w:rPr>
          <w:rFonts w:ascii="Times New Roman" w:hAnsi="Times New Roman" w:cs="Times New Roman"/>
          <w:i/>
          <w:sz w:val="24"/>
          <w:szCs w:val="24"/>
        </w:rPr>
        <w:t>American Quarterly</w:t>
      </w:r>
      <w:r w:rsidRPr="00AE141E">
        <w:rPr>
          <w:rFonts w:ascii="Times New Roman" w:hAnsi="Times New Roman" w:cs="Times New Roman"/>
          <w:sz w:val="24"/>
          <w:szCs w:val="24"/>
        </w:rPr>
        <w:t xml:space="preserve"> 30.4 (1978), 548–56.</w:t>
      </w:r>
    </w:p>
    <w:p w14:paraId="1EB7B561" w14:textId="77777777" w:rsidR="004C09DC" w:rsidRPr="00AE141E" w:rsidRDefault="004C09DC" w:rsidP="00AE141E">
      <w:pPr>
        <w:pStyle w:val="FootnoteText"/>
        <w:spacing w:line="360" w:lineRule="auto"/>
        <w:rPr>
          <w:rFonts w:ascii="Times New Roman" w:hAnsi="Times New Roman" w:cs="Times New Roman"/>
          <w:sz w:val="24"/>
          <w:szCs w:val="24"/>
        </w:rPr>
      </w:pPr>
    </w:p>
    <w:p w14:paraId="08B6053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Howe, S., ‘Decolonisation and Imperial Aftershocks: The Thatcher Years’, in Jackson, B., and Saunders, R., </w:t>
      </w:r>
      <w:r w:rsidRPr="00AE141E">
        <w:rPr>
          <w:rFonts w:ascii="Times New Roman" w:hAnsi="Times New Roman" w:cs="Times New Roman"/>
          <w:i/>
          <w:sz w:val="24"/>
          <w:szCs w:val="24"/>
        </w:rPr>
        <w:t>Making Thatcher’s Britain</w:t>
      </w:r>
      <w:r w:rsidRPr="00AE141E">
        <w:rPr>
          <w:rFonts w:ascii="Times New Roman" w:hAnsi="Times New Roman" w:cs="Times New Roman"/>
          <w:sz w:val="24"/>
          <w:szCs w:val="24"/>
        </w:rPr>
        <w:t xml:space="preserve"> (Cambridge: CUP, 2012), 234–52.</w:t>
      </w:r>
    </w:p>
    <w:p w14:paraId="49F29A38" w14:textId="77777777" w:rsidR="004C09DC" w:rsidRPr="00AE141E" w:rsidRDefault="004C09DC" w:rsidP="00AE141E">
      <w:pPr>
        <w:pStyle w:val="FootnoteText"/>
        <w:spacing w:line="360" w:lineRule="auto"/>
        <w:rPr>
          <w:rFonts w:ascii="Times New Roman" w:hAnsi="Times New Roman" w:cs="Times New Roman"/>
          <w:sz w:val="24"/>
          <w:szCs w:val="24"/>
        </w:rPr>
      </w:pPr>
    </w:p>
    <w:p w14:paraId="7B13399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Hyam, R., ‘The Study of Imperial and Commonwealth History at Cambridge, 1881–1981: Founding Fathers and Pioneer Research Students’, </w:t>
      </w:r>
      <w:r w:rsidRPr="00AE141E">
        <w:rPr>
          <w:rFonts w:ascii="Times New Roman" w:hAnsi="Times New Roman" w:cs="Times New Roman"/>
          <w:i/>
          <w:sz w:val="24"/>
          <w:szCs w:val="24"/>
        </w:rPr>
        <w:t>The Journal of Imperial and Commonwealth History</w:t>
      </w:r>
      <w:r w:rsidRPr="00AE141E">
        <w:rPr>
          <w:rFonts w:ascii="Times New Roman" w:hAnsi="Times New Roman" w:cs="Times New Roman"/>
          <w:sz w:val="24"/>
          <w:szCs w:val="24"/>
        </w:rPr>
        <w:t xml:space="preserve"> 29.3 (2001), 75–103.</w:t>
      </w:r>
    </w:p>
    <w:p w14:paraId="2B967C74" w14:textId="77777777" w:rsidR="004C09DC" w:rsidRPr="00AE141E" w:rsidRDefault="004C09DC" w:rsidP="00AE141E">
      <w:pPr>
        <w:pStyle w:val="FootnoteText"/>
        <w:spacing w:line="360" w:lineRule="auto"/>
        <w:rPr>
          <w:rFonts w:ascii="Times New Roman" w:hAnsi="Times New Roman" w:cs="Times New Roman"/>
          <w:iCs/>
          <w:sz w:val="24"/>
          <w:szCs w:val="24"/>
        </w:rPr>
      </w:pPr>
    </w:p>
    <w:p w14:paraId="4731330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Jackson, N.M., ‘The Ties that Bind: Questions of Empire and Belonging in Black British Educational Activism’, in Kehinde Andrews and Lisa Amanda Palmer (eds), </w:t>
      </w:r>
      <w:r w:rsidRPr="00AE141E">
        <w:rPr>
          <w:rFonts w:ascii="Times New Roman" w:hAnsi="Times New Roman" w:cs="Times New Roman"/>
          <w:i/>
          <w:sz w:val="24"/>
          <w:szCs w:val="24"/>
        </w:rPr>
        <w:t>Blackness in Britain</w:t>
      </w:r>
      <w:r w:rsidRPr="00AE141E">
        <w:rPr>
          <w:rFonts w:ascii="Times New Roman" w:hAnsi="Times New Roman" w:cs="Times New Roman"/>
          <w:sz w:val="24"/>
          <w:szCs w:val="24"/>
        </w:rPr>
        <w:t xml:space="preserve"> (London: Routledge, 2016), 117-29.</w:t>
      </w:r>
    </w:p>
    <w:p w14:paraId="457E5E11" w14:textId="77777777" w:rsidR="004C09DC" w:rsidRPr="00AE141E" w:rsidRDefault="004C09DC" w:rsidP="00AE141E">
      <w:pPr>
        <w:pStyle w:val="FootnoteText"/>
        <w:spacing w:line="360" w:lineRule="auto"/>
        <w:rPr>
          <w:rFonts w:ascii="Times New Roman" w:hAnsi="Times New Roman" w:cs="Times New Roman"/>
          <w:sz w:val="24"/>
          <w:szCs w:val="24"/>
        </w:rPr>
      </w:pPr>
    </w:p>
    <w:p w14:paraId="1BEB8E91" w14:textId="77777777" w:rsidR="004C09DC"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Kebede, M., ‘The Rehabilitation of Violence and the Violence of Rehabilitation: Fanon and Colonialism’, </w:t>
      </w:r>
      <w:r w:rsidRPr="00AE141E">
        <w:rPr>
          <w:rFonts w:ascii="Times New Roman" w:hAnsi="Times New Roman" w:cs="Times New Roman"/>
          <w:i/>
          <w:sz w:val="24"/>
          <w:szCs w:val="24"/>
        </w:rPr>
        <w:t>Journal of Black Studies</w:t>
      </w:r>
      <w:r w:rsidRPr="00AE141E">
        <w:rPr>
          <w:rFonts w:ascii="Times New Roman" w:hAnsi="Times New Roman" w:cs="Times New Roman"/>
          <w:sz w:val="24"/>
          <w:szCs w:val="24"/>
        </w:rPr>
        <w:t>, 31.5 (2001), 539–62.</w:t>
      </w:r>
    </w:p>
    <w:p w14:paraId="48338F99" w14:textId="77777777" w:rsidR="00D211CE" w:rsidRDefault="00D211CE" w:rsidP="00AE141E">
      <w:pPr>
        <w:pStyle w:val="FootnoteText"/>
        <w:spacing w:line="360" w:lineRule="auto"/>
        <w:rPr>
          <w:rFonts w:ascii="Times New Roman" w:hAnsi="Times New Roman" w:cs="Times New Roman"/>
          <w:sz w:val="24"/>
          <w:szCs w:val="24"/>
        </w:rPr>
      </w:pPr>
    </w:p>
    <w:p w14:paraId="7673A8FE" w14:textId="0404D387" w:rsidR="00881B43" w:rsidRPr="00AE141E" w:rsidRDefault="00D211CE" w:rsidP="00AE141E">
      <w:pPr>
        <w:pStyle w:val="FootnoteText"/>
        <w:spacing w:line="360" w:lineRule="auto"/>
        <w:rPr>
          <w:rFonts w:ascii="Times New Roman" w:hAnsi="Times New Roman" w:cs="Times New Roman"/>
          <w:sz w:val="24"/>
          <w:szCs w:val="24"/>
        </w:rPr>
      </w:pPr>
      <w:r>
        <w:rPr>
          <w:rFonts w:ascii="Times New Roman" w:hAnsi="Times New Roman" w:cs="Times New Roman"/>
          <w:sz w:val="24"/>
          <w:szCs w:val="24"/>
        </w:rPr>
        <w:t>Kennedy, D., ‘</w:t>
      </w:r>
      <w:r w:rsidR="00881B43" w:rsidRPr="00881B43">
        <w:rPr>
          <w:rFonts w:ascii="Times New Roman" w:hAnsi="Times New Roman" w:cs="Times New Roman"/>
          <w:sz w:val="24"/>
          <w:szCs w:val="24"/>
        </w:rPr>
        <w:t>The Imperial History Wars</w:t>
      </w:r>
      <w:r>
        <w:rPr>
          <w:rFonts w:ascii="Times New Roman" w:hAnsi="Times New Roman" w:cs="Times New Roman"/>
          <w:sz w:val="24"/>
          <w:szCs w:val="24"/>
        </w:rPr>
        <w:t xml:space="preserve">’, </w:t>
      </w:r>
      <w:r w:rsidR="00881B43" w:rsidRPr="00D211CE">
        <w:rPr>
          <w:rFonts w:ascii="Times New Roman" w:hAnsi="Times New Roman" w:cs="Times New Roman"/>
          <w:i/>
          <w:iCs/>
          <w:sz w:val="24"/>
          <w:szCs w:val="24"/>
        </w:rPr>
        <w:t>Journal of British Studies</w:t>
      </w:r>
      <w:r>
        <w:rPr>
          <w:rFonts w:ascii="Times New Roman" w:hAnsi="Times New Roman" w:cs="Times New Roman"/>
          <w:sz w:val="24"/>
          <w:szCs w:val="24"/>
        </w:rPr>
        <w:t xml:space="preserve"> </w:t>
      </w:r>
      <w:r w:rsidR="00881B43" w:rsidRPr="00881B43">
        <w:rPr>
          <w:rFonts w:ascii="Times New Roman" w:hAnsi="Times New Roman" w:cs="Times New Roman"/>
          <w:sz w:val="24"/>
          <w:szCs w:val="24"/>
        </w:rPr>
        <w:t>54.1 (2015), 5-2</w:t>
      </w:r>
      <w:r>
        <w:rPr>
          <w:rFonts w:ascii="Times New Roman" w:hAnsi="Times New Roman" w:cs="Times New Roman"/>
          <w:sz w:val="24"/>
          <w:szCs w:val="24"/>
        </w:rPr>
        <w:t>2.</w:t>
      </w:r>
    </w:p>
    <w:p w14:paraId="36C902BB" w14:textId="77777777" w:rsidR="004C09DC" w:rsidRPr="00AE141E" w:rsidRDefault="004C09DC" w:rsidP="00AE141E">
      <w:pPr>
        <w:pStyle w:val="FootnoteText"/>
        <w:spacing w:line="360" w:lineRule="auto"/>
        <w:rPr>
          <w:rFonts w:ascii="Times New Roman" w:hAnsi="Times New Roman" w:cs="Times New Roman"/>
          <w:sz w:val="24"/>
          <w:szCs w:val="24"/>
        </w:rPr>
      </w:pPr>
    </w:p>
    <w:p w14:paraId="587A804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Kumar, K., ‘Nation and Empire: English and British National Identity in Comparative Perspective’, </w:t>
      </w:r>
      <w:r w:rsidRPr="00AE141E">
        <w:rPr>
          <w:rFonts w:ascii="Times New Roman" w:hAnsi="Times New Roman" w:cs="Times New Roman"/>
          <w:i/>
          <w:sz w:val="24"/>
          <w:szCs w:val="24"/>
        </w:rPr>
        <w:t>Theory and Society</w:t>
      </w:r>
      <w:r w:rsidRPr="00AE141E">
        <w:rPr>
          <w:rFonts w:ascii="Times New Roman" w:hAnsi="Times New Roman" w:cs="Times New Roman"/>
          <w:sz w:val="24"/>
          <w:szCs w:val="24"/>
        </w:rPr>
        <w:t xml:space="preserve"> 29 (2000), 575-608.</w:t>
      </w:r>
    </w:p>
    <w:p w14:paraId="6E98BE92" w14:textId="77777777" w:rsidR="004C09DC" w:rsidRPr="00AE141E" w:rsidRDefault="004C09DC" w:rsidP="00AE141E">
      <w:pPr>
        <w:pStyle w:val="FootnoteText"/>
        <w:spacing w:line="360" w:lineRule="auto"/>
        <w:rPr>
          <w:rFonts w:ascii="Times New Roman" w:hAnsi="Times New Roman" w:cs="Times New Roman"/>
          <w:sz w:val="24"/>
          <w:szCs w:val="24"/>
        </w:rPr>
      </w:pPr>
    </w:p>
    <w:p w14:paraId="74D3D482" w14:textId="7B666052"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Lowenthal, D., ‘The Past Made Present’, </w:t>
      </w:r>
      <w:r w:rsidRPr="00AE141E">
        <w:rPr>
          <w:rFonts w:ascii="Times New Roman" w:hAnsi="Times New Roman" w:cs="Times New Roman"/>
          <w:i/>
          <w:sz w:val="24"/>
          <w:szCs w:val="24"/>
        </w:rPr>
        <w:t>Historically Speaking</w:t>
      </w:r>
      <w:r w:rsidRPr="00AE141E">
        <w:rPr>
          <w:rFonts w:ascii="Times New Roman" w:hAnsi="Times New Roman" w:cs="Times New Roman"/>
          <w:sz w:val="24"/>
          <w:szCs w:val="24"/>
        </w:rPr>
        <w:t xml:space="preserve"> 13.4 (2012)</w:t>
      </w:r>
      <w:r w:rsidR="00077508">
        <w:rPr>
          <w:rFonts w:ascii="Times New Roman" w:hAnsi="Times New Roman" w:cs="Times New Roman"/>
          <w:sz w:val="24"/>
          <w:szCs w:val="24"/>
        </w:rPr>
        <w:t>,</w:t>
      </w:r>
      <w:r w:rsidRPr="00AE141E">
        <w:rPr>
          <w:rFonts w:ascii="Times New Roman" w:hAnsi="Times New Roman" w:cs="Times New Roman"/>
          <w:sz w:val="24"/>
          <w:szCs w:val="24"/>
        </w:rPr>
        <w:t xml:space="preserve"> 2-6.</w:t>
      </w:r>
    </w:p>
    <w:p w14:paraId="7D8C679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Lunn, K., ‘Reconsidering “Britishness”: The Construction and Significance of National Identity in Twentieth Century Britain,’ in Jenkins, B</w:t>
      </w:r>
      <w:r w:rsidRPr="00AE141E">
        <w:rPr>
          <w:rFonts w:ascii="Times New Roman" w:hAnsi="Times New Roman" w:cs="Times New Roman"/>
          <w:b/>
          <w:bCs/>
          <w:sz w:val="24"/>
          <w:szCs w:val="24"/>
        </w:rPr>
        <w:t>.,</w:t>
      </w:r>
      <w:r w:rsidRPr="00AE141E">
        <w:rPr>
          <w:rFonts w:ascii="Times New Roman" w:hAnsi="Times New Roman" w:cs="Times New Roman"/>
          <w:sz w:val="24"/>
          <w:szCs w:val="24"/>
        </w:rPr>
        <w:t xml:space="preserve"> and Sofos, S., (eds), </w:t>
      </w:r>
      <w:r w:rsidRPr="00AE141E">
        <w:rPr>
          <w:rFonts w:ascii="Times New Roman" w:hAnsi="Times New Roman" w:cs="Times New Roman"/>
          <w:i/>
          <w:sz w:val="24"/>
          <w:szCs w:val="24"/>
        </w:rPr>
        <w:t xml:space="preserve">Nation and Identity in Contemporary Europe </w:t>
      </w:r>
      <w:r w:rsidRPr="00AE141E">
        <w:rPr>
          <w:rFonts w:ascii="Times New Roman" w:hAnsi="Times New Roman" w:cs="Times New Roman"/>
          <w:sz w:val="24"/>
          <w:szCs w:val="24"/>
        </w:rPr>
        <w:t>(London, 1996), 77-94.</w:t>
      </w:r>
    </w:p>
    <w:p w14:paraId="0E6F59D6" w14:textId="77777777" w:rsidR="004C09DC" w:rsidRPr="00AE141E" w:rsidRDefault="004C09DC" w:rsidP="00AE141E">
      <w:pPr>
        <w:pStyle w:val="FootnoteText"/>
        <w:spacing w:line="360" w:lineRule="auto"/>
        <w:rPr>
          <w:rFonts w:ascii="Times New Roman" w:hAnsi="Times New Roman" w:cs="Times New Roman"/>
          <w:sz w:val="24"/>
          <w:szCs w:val="24"/>
        </w:rPr>
      </w:pPr>
    </w:p>
    <w:p w14:paraId="60D626F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Martin, J., ‘What Should We Do with a Hidden Curriculum When We Find One?’, in Giroux, H., and Purpel, D., (eds), </w:t>
      </w:r>
      <w:r w:rsidRPr="00AE141E">
        <w:rPr>
          <w:rFonts w:ascii="Times New Roman" w:hAnsi="Times New Roman" w:cs="Times New Roman"/>
          <w:i/>
          <w:sz w:val="24"/>
          <w:szCs w:val="24"/>
        </w:rPr>
        <w:t>The Hidden Curriculum and Moral Education</w:t>
      </w:r>
      <w:r w:rsidRPr="00AE141E">
        <w:rPr>
          <w:rFonts w:ascii="Times New Roman" w:hAnsi="Times New Roman" w:cs="Times New Roman"/>
          <w:sz w:val="24"/>
          <w:szCs w:val="24"/>
        </w:rPr>
        <w:t xml:space="preserve"> (Berkeley, California: McCutchan Publishing, 1983), 122–139.</w:t>
      </w:r>
    </w:p>
    <w:p w14:paraId="12A15209" w14:textId="77777777" w:rsidR="004C09DC" w:rsidRPr="00AE141E" w:rsidRDefault="004C09DC" w:rsidP="00AE141E">
      <w:pPr>
        <w:pStyle w:val="FootnoteText"/>
        <w:spacing w:line="360" w:lineRule="auto"/>
        <w:rPr>
          <w:rFonts w:ascii="Times New Roman" w:hAnsi="Times New Roman" w:cs="Times New Roman"/>
          <w:sz w:val="24"/>
          <w:szCs w:val="24"/>
        </w:rPr>
      </w:pPr>
    </w:p>
    <w:p w14:paraId="51D4CC4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McBratney, J., ‘The Raj Is All the Rage: Paul Scott’s </w:t>
      </w:r>
      <w:r w:rsidRPr="00AE141E">
        <w:rPr>
          <w:rFonts w:ascii="Times New Roman" w:hAnsi="Times New Roman" w:cs="Times New Roman"/>
          <w:i/>
          <w:sz w:val="24"/>
          <w:szCs w:val="24"/>
        </w:rPr>
        <w:t xml:space="preserve">The Raj Quartet </w:t>
      </w:r>
      <w:r w:rsidRPr="00AE141E">
        <w:rPr>
          <w:rFonts w:ascii="Times New Roman" w:hAnsi="Times New Roman" w:cs="Times New Roman"/>
          <w:sz w:val="24"/>
          <w:szCs w:val="24"/>
        </w:rPr>
        <w:t>and Colonial Nostalgia’</w:t>
      </w:r>
      <w:r w:rsidRPr="00AE141E">
        <w:rPr>
          <w:rFonts w:ascii="Times New Roman" w:hAnsi="Times New Roman" w:cs="Times New Roman"/>
          <w:i/>
          <w:sz w:val="24"/>
          <w:szCs w:val="24"/>
        </w:rPr>
        <w:t>, North Dakota Quarterly</w:t>
      </w:r>
      <w:r w:rsidRPr="00AE141E">
        <w:rPr>
          <w:rFonts w:ascii="Times New Roman" w:hAnsi="Times New Roman" w:cs="Times New Roman"/>
          <w:sz w:val="24"/>
          <w:szCs w:val="24"/>
        </w:rPr>
        <w:t xml:space="preserve"> 55.3 (1987), 204-09.</w:t>
      </w:r>
    </w:p>
    <w:p w14:paraId="6BACC129" w14:textId="77777777" w:rsidR="004C09DC" w:rsidRPr="00AE141E" w:rsidRDefault="004C09DC" w:rsidP="00AE141E">
      <w:pPr>
        <w:pStyle w:val="FootnoteText"/>
        <w:spacing w:line="360" w:lineRule="auto"/>
        <w:rPr>
          <w:rFonts w:ascii="Times New Roman" w:hAnsi="Times New Roman" w:cs="Times New Roman"/>
          <w:sz w:val="24"/>
          <w:szCs w:val="24"/>
        </w:rPr>
      </w:pPr>
    </w:p>
    <w:p w14:paraId="5D7B432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McDermid, C., and Foster, S., ‘Comparative Portrayals of the British Empire in History Textbooks, 1920s-2020s: Influences, Paradigms and Historical Frameworks’, </w:t>
      </w:r>
      <w:r w:rsidRPr="00AE141E">
        <w:rPr>
          <w:rFonts w:ascii="Times New Roman" w:hAnsi="Times New Roman" w:cs="Times New Roman"/>
          <w:i/>
          <w:sz w:val="24"/>
          <w:szCs w:val="24"/>
        </w:rPr>
        <w:t xml:space="preserve">History Education Research Journal </w:t>
      </w:r>
      <w:r w:rsidRPr="00AE141E">
        <w:rPr>
          <w:rFonts w:ascii="Times New Roman" w:hAnsi="Times New Roman" w:cs="Times New Roman"/>
          <w:sz w:val="24"/>
          <w:szCs w:val="24"/>
        </w:rPr>
        <w:t>21.1 (2024), 1-25.</w:t>
      </w:r>
    </w:p>
    <w:p w14:paraId="5CCBC904" w14:textId="77777777" w:rsidR="004C09DC" w:rsidRPr="00AE141E" w:rsidRDefault="004C09DC" w:rsidP="00AE141E">
      <w:pPr>
        <w:pStyle w:val="FootnoteText"/>
        <w:spacing w:line="360" w:lineRule="auto"/>
        <w:rPr>
          <w:rFonts w:ascii="Times New Roman" w:hAnsi="Times New Roman" w:cs="Times New Roman"/>
          <w:sz w:val="24"/>
          <w:szCs w:val="24"/>
        </w:rPr>
      </w:pPr>
    </w:p>
    <w:p w14:paraId="10EB91D9" w14:textId="410ED2D2"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Modood, T., and May, S., ‘Multiculturalism and Education in Britain: An Internally Contested Debate’, </w:t>
      </w:r>
      <w:r w:rsidRPr="00AE141E">
        <w:rPr>
          <w:rFonts w:ascii="Times New Roman" w:hAnsi="Times New Roman" w:cs="Times New Roman"/>
          <w:i/>
          <w:sz w:val="24"/>
          <w:szCs w:val="24"/>
        </w:rPr>
        <w:t>International Journal of Educational Research</w:t>
      </w:r>
      <w:r w:rsidRPr="00AE141E">
        <w:rPr>
          <w:rFonts w:ascii="Times New Roman" w:hAnsi="Times New Roman" w:cs="Times New Roman"/>
          <w:sz w:val="24"/>
          <w:szCs w:val="24"/>
        </w:rPr>
        <w:t xml:space="preserve"> 35 (2001)</w:t>
      </w:r>
      <w:r w:rsidR="009A2940">
        <w:rPr>
          <w:rFonts w:ascii="Times New Roman" w:hAnsi="Times New Roman" w:cs="Times New Roman"/>
          <w:sz w:val="24"/>
          <w:szCs w:val="24"/>
        </w:rPr>
        <w:t>,</w:t>
      </w:r>
      <w:r w:rsidRPr="00AE141E">
        <w:rPr>
          <w:rFonts w:ascii="Times New Roman" w:hAnsi="Times New Roman" w:cs="Times New Roman"/>
          <w:sz w:val="24"/>
          <w:szCs w:val="24"/>
        </w:rPr>
        <w:t xml:space="preserve"> 305–317.</w:t>
      </w:r>
    </w:p>
    <w:p w14:paraId="3846DAD2" w14:textId="77777777" w:rsidR="004C09DC" w:rsidRPr="00AE141E" w:rsidRDefault="004C09DC" w:rsidP="00AE141E">
      <w:pPr>
        <w:pStyle w:val="FootnoteText"/>
        <w:spacing w:line="360" w:lineRule="auto"/>
        <w:rPr>
          <w:rFonts w:ascii="Times New Roman" w:hAnsi="Times New Roman" w:cs="Times New Roman"/>
          <w:sz w:val="24"/>
          <w:szCs w:val="24"/>
        </w:rPr>
      </w:pPr>
    </w:p>
    <w:p w14:paraId="11456B7B"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Mullen, S., and Gibbs, E., ‘Scotland, Atlantic Slavery and the Scottish National Party: From Colonised to Coloniser in the Political Imagination’, </w:t>
      </w:r>
      <w:r w:rsidRPr="00AE141E">
        <w:rPr>
          <w:rFonts w:ascii="Times New Roman" w:hAnsi="Times New Roman" w:cs="Times New Roman"/>
          <w:i/>
          <w:sz w:val="24"/>
          <w:szCs w:val="24"/>
        </w:rPr>
        <w:t>Nations and Nationalism</w:t>
      </w:r>
      <w:r w:rsidRPr="00AE141E">
        <w:rPr>
          <w:rFonts w:ascii="Times New Roman" w:hAnsi="Times New Roman" w:cs="Times New Roman"/>
          <w:sz w:val="24"/>
          <w:szCs w:val="24"/>
        </w:rPr>
        <w:t xml:space="preserve"> 29.3 (2023), 922–38. </w:t>
      </w:r>
    </w:p>
    <w:p w14:paraId="2F390236" w14:textId="77777777" w:rsidR="004C09DC" w:rsidRPr="00AE141E" w:rsidRDefault="004C09DC" w:rsidP="00AE141E">
      <w:pPr>
        <w:pStyle w:val="FootnoteText"/>
        <w:spacing w:line="360" w:lineRule="auto"/>
        <w:rPr>
          <w:rFonts w:ascii="Times New Roman" w:hAnsi="Times New Roman" w:cs="Times New Roman"/>
          <w:sz w:val="24"/>
          <w:szCs w:val="24"/>
        </w:rPr>
      </w:pPr>
    </w:p>
    <w:p w14:paraId="391691C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Ogot, B.A., ‘African Historiography: From Colonial Historiography to UNESCO’s General History of Africa’, in </w:t>
      </w:r>
      <w:r w:rsidRPr="00AE141E">
        <w:rPr>
          <w:rFonts w:ascii="Times New Roman" w:hAnsi="Times New Roman" w:cs="Times New Roman"/>
          <w:i/>
          <w:sz w:val="24"/>
          <w:szCs w:val="24"/>
        </w:rPr>
        <w:t>Building on the Indigenous: Selected Essays, 1981-1998</w:t>
      </w:r>
      <w:r w:rsidRPr="00AE141E">
        <w:rPr>
          <w:rFonts w:ascii="Times New Roman" w:hAnsi="Times New Roman" w:cs="Times New Roman"/>
          <w:sz w:val="24"/>
          <w:szCs w:val="24"/>
        </w:rPr>
        <w:t xml:space="preserve"> (Kisumu: Anyange Press, 1999), 71-78.</w:t>
      </w:r>
    </w:p>
    <w:p w14:paraId="31E28589" w14:textId="77777777" w:rsidR="004C09DC" w:rsidRPr="00AE141E" w:rsidRDefault="004C09DC" w:rsidP="00AE141E">
      <w:pPr>
        <w:pStyle w:val="FootnoteText"/>
        <w:spacing w:line="360" w:lineRule="auto"/>
        <w:rPr>
          <w:rFonts w:ascii="Times New Roman" w:hAnsi="Times New Roman" w:cs="Times New Roman"/>
          <w:sz w:val="24"/>
          <w:szCs w:val="24"/>
        </w:rPr>
      </w:pPr>
    </w:p>
    <w:p w14:paraId="5A29AC3D" w14:textId="70BA8712" w:rsidR="004C09DC" w:rsidRPr="00AE141E" w:rsidRDefault="004C09DC" w:rsidP="00AE141E">
      <w:pPr>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Osgerby, B., ‘“Bovver” Books of the 1970s: Subcultures, Crisis and “Youth-Sploitation” Novels’, </w:t>
      </w:r>
      <w:r w:rsidRPr="00AE141E">
        <w:rPr>
          <w:rFonts w:ascii="Times New Roman" w:hAnsi="Times New Roman" w:cs="Times New Roman"/>
          <w:i/>
          <w:sz w:val="24"/>
          <w:szCs w:val="24"/>
        </w:rPr>
        <w:t>Contemporary British History</w:t>
      </w:r>
      <w:r w:rsidRPr="00AE141E">
        <w:rPr>
          <w:rFonts w:ascii="Times New Roman" w:hAnsi="Times New Roman" w:cs="Times New Roman"/>
          <w:sz w:val="24"/>
          <w:szCs w:val="24"/>
        </w:rPr>
        <w:t xml:space="preserve"> 26.3 (2012)</w:t>
      </w:r>
      <w:r w:rsidR="009A2940">
        <w:rPr>
          <w:rFonts w:ascii="Times New Roman" w:hAnsi="Times New Roman" w:cs="Times New Roman"/>
          <w:sz w:val="24"/>
          <w:szCs w:val="24"/>
        </w:rPr>
        <w:t>,</w:t>
      </w:r>
      <w:r w:rsidRPr="00AE141E">
        <w:rPr>
          <w:rFonts w:ascii="Times New Roman" w:hAnsi="Times New Roman" w:cs="Times New Roman"/>
          <w:sz w:val="24"/>
          <w:szCs w:val="24"/>
        </w:rPr>
        <w:t xml:space="preserve"> 299-331.</w:t>
      </w:r>
    </w:p>
    <w:p w14:paraId="0BC1875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Peden, G.C., ‘Suez and Britain’s Decline as a World Power’, </w:t>
      </w:r>
      <w:r w:rsidRPr="00AE141E">
        <w:rPr>
          <w:rFonts w:ascii="Times New Roman" w:hAnsi="Times New Roman" w:cs="Times New Roman"/>
          <w:i/>
          <w:sz w:val="24"/>
          <w:szCs w:val="24"/>
        </w:rPr>
        <w:t>The Historical Journal</w:t>
      </w:r>
      <w:r w:rsidRPr="00AE141E">
        <w:rPr>
          <w:rFonts w:ascii="Times New Roman" w:hAnsi="Times New Roman" w:cs="Times New Roman"/>
          <w:sz w:val="24"/>
          <w:szCs w:val="24"/>
        </w:rPr>
        <w:t> 55.4 (2012), 1073–96.</w:t>
      </w:r>
    </w:p>
    <w:p w14:paraId="1A71CCA8" w14:textId="77777777" w:rsidR="004C09DC" w:rsidRPr="00AE141E" w:rsidRDefault="004C09DC" w:rsidP="00AE141E">
      <w:pPr>
        <w:pStyle w:val="FootnoteText"/>
        <w:spacing w:line="360" w:lineRule="auto"/>
        <w:rPr>
          <w:rFonts w:ascii="Times New Roman" w:hAnsi="Times New Roman" w:cs="Times New Roman"/>
          <w:sz w:val="24"/>
          <w:szCs w:val="24"/>
        </w:rPr>
      </w:pPr>
    </w:p>
    <w:p w14:paraId="1AC4F76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Parmentier, G., ‘The British Press in the Suez Crisis’, </w:t>
      </w:r>
      <w:r w:rsidRPr="00AE141E">
        <w:rPr>
          <w:rFonts w:ascii="Times New Roman" w:hAnsi="Times New Roman" w:cs="Times New Roman"/>
          <w:i/>
          <w:sz w:val="24"/>
          <w:szCs w:val="24"/>
        </w:rPr>
        <w:t>The Historical Journal</w:t>
      </w:r>
      <w:r w:rsidRPr="00AE141E">
        <w:rPr>
          <w:rFonts w:ascii="Times New Roman" w:hAnsi="Times New Roman" w:cs="Times New Roman"/>
          <w:sz w:val="24"/>
          <w:szCs w:val="24"/>
        </w:rPr>
        <w:t xml:space="preserve"> 23.2 (1980), 435-448.</w:t>
      </w:r>
    </w:p>
    <w:p w14:paraId="115461B2" w14:textId="77777777" w:rsidR="004C09DC" w:rsidRPr="00AE141E" w:rsidRDefault="004C09DC" w:rsidP="00AE141E">
      <w:pPr>
        <w:pStyle w:val="FootnoteText"/>
        <w:spacing w:line="360" w:lineRule="auto"/>
        <w:rPr>
          <w:rFonts w:ascii="Times New Roman" w:hAnsi="Times New Roman" w:cs="Times New Roman"/>
          <w:sz w:val="24"/>
          <w:szCs w:val="24"/>
        </w:rPr>
      </w:pPr>
    </w:p>
    <w:p w14:paraId="6D34A86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Rahman, A., Clarke, M.A., and Byrne, S., ‘The Art of Breaking People Down: The British Colonial Model in Ireland and Canada’, </w:t>
      </w:r>
      <w:r w:rsidRPr="00AE141E">
        <w:rPr>
          <w:rFonts w:ascii="Times New Roman" w:hAnsi="Times New Roman" w:cs="Times New Roman"/>
          <w:i/>
          <w:sz w:val="24"/>
          <w:szCs w:val="24"/>
        </w:rPr>
        <w:t>Peace Research</w:t>
      </w:r>
      <w:r w:rsidRPr="00AE141E">
        <w:rPr>
          <w:rFonts w:ascii="Times New Roman" w:hAnsi="Times New Roman" w:cs="Times New Roman"/>
          <w:sz w:val="24"/>
          <w:szCs w:val="24"/>
        </w:rPr>
        <w:t xml:space="preserve"> 49.2 (2017), 15–38.</w:t>
      </w:r>
    </w:p>
    <w:p w14:paraId="182C6C5B" w14:textId="77777777" w:rsidR="004C09DC" w:rsidRPr="00AE141E" w:rsidRDefault="004C09DC" w:rsidP="00AE141E">
      <w:pPr>
        <w:pStyle w:val="FootnoteText"/>
        <w:spacing w:line="360" w:lineRule="auto"/>
        <w:rPr>
          <w:rFonts w:ascii="Times New Roman" w:hAnsi="Times New Roman" w:cs="Times New Roman"/>
          <w:sz w:val="24"/>
          <w:szCs w:val="24"/>
        </w:rPr>
      </w:pPr>
    </w:p>
    <w:p w14:paraId="7B458DB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Riseborough, G.F., ‘Teacher Careers and Comprehensive Schooling: An Empirical Study’, </w:t>
      </w:r>
      <w:r w:rsidRPr="00AE141E">
        <w:rPr>
          <w:rFonts w:ascii="Times New Roman" w:hAnsi="Times New Roman" w:cs="Times New Roman"/>
          <w:i/>
          <w:sz w:val="24"/>
          <w:szCs w:val="24"/>
        </w:rPr>
        <w:t>Sociology</w:t>
      </w:r>
      <w:r w:rsidRPr="00AE141E">
        <w:rPr>
          <w:rFonts w:ascii="Times New Roman" w:hAnsi="Times New Roman" w:cs="Times New Roman"/>
          <w:sz w:val="24"/>
          <w:szCs w:val="24"/>
        </w:rPr>
        <w:t xml:space="preserve"> 15. 3 (August 1981), 352-380.</w:t>
      </w:r>
    </w:p>
    <w:p w14:paraId="365B6BB8" w14:textId="77777777" w:rsidR="004C09DC" w:rsidRPr="00AE141E" w:rsidRDefault="004C09DC" w:rsidP="00AE141E">
      <w:pPr>
        <w:pStyle w:val="FootnoteText"/>
        <w:spacing w:line="360" w:lineRule="auto"/>
        <w:rPr>
          <w:rFonts w:ascii="Times New Roman" w:hAnsi="Times New Roman" w:cs="Times New Roman"/>
          <w:sz w:val="24"/>
          <w:szCs w:val="24"/>
        </w:rPr>
      </w:pPr>
    </w:p>
    <w:p w14:paraId="6C40469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Roper, M., ‘Between Manliness and Masculinity: The “War Generation” and the Psychology of Fear in Britain, 1914–1950’, </w:t>
      </w:r>
      <w:r w:rsidRPr="00AE141E">
        <w:rPr>
          <w:rFonts w:ascii="Times New Roman" w:hAnsi="Times New Roman" w:cs="Times New Roman"/>
          <w:i/>
          <w:sz w:val="24"/>
          <w:szCs w:val="24"/>
        </w:rPr>
        <w:t>Journal of British Studies</w:t>
      </w:r>
      <w:r w:rsidRPr="00AE141E">
        <w:rPr>
          <w:rFonts w:ascii="Times New Roman" w:hAnsi="Times New Roman" w:cs="Times New Roman"/>
          <w:sz w:val="24"/>
          <w:szCs w:val="24"/>
        </w:rPr>
        <w:t xml:space="preserve"> 44.2 (2005), 343-62.</w:t>
      </w:r>
    </w:p>
    <w:p w14:paraId="78E0D309" w14:textId="77777777" w:rsidR="004C09DC" w:rsidRPr="00AE141E" w:rsidRDefault="004C09DC" w:rsidP="00AE141E">
      <w:pPr>
        <w:pStyle w:val="FootnoteText"/>
        <w:spacing w:line="360" w:lineRule="auto"/>
        <w:rPr>
          <w:rFonts w:ascii="Times New Roman" w:hAnsi="Times New Roman" w:cs="Times New Roman"/>
          <w:sz w:val="24"/>
          <w:szCs w:val="24"/>
        </w:rPr>
      </w:pPr>
    </w:p>
    <w:p w14:paraId="640D0BD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 xml:space="preserve">Rothberg, M., ‘Multidirectional Memory’, in </w:t>
      </w:r>
      <w:r w:rsidRPr="00AE141E">
        <w:rPr>
          <w:rFonts w:ascii="Times New Roman" w:hAnsi="Times New Roman" w:cs="Times New Roman"/>
          <w:i/>
          <w:sz w:val="24"/>
          <w:szCs w:val="24"/>
        </w:rPr>
        <w:t>Testimony Between History and Memory</w:t>
      </w:r>
      <w:r w:rsidRPr="00AE141E">
        <w:rPr>
          <w:rFonts w:ascii="Times New Roman" w:hAnsi="Times New Roman" w:cs="Times New Roman"/>
          <w:sz w:val="24"/>
          <w:szCs w:val="24"/>
        </w:rPr>
        <w:t xml:space="preserve"> 119 (December 2014), 172-83.</w:t>
      </w:r>
    </w:p>
    <w:p w14:paraId="638CE00B"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2E7C002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Sato, S., ‘Operation Legacy’: Britain’s Destruction and Concealment of Colonial Records Worldwide’, </w:t>
      </w:r>
      <w:r w:rsidRPr="00AE141E">
        <w:rPr>
          <w:rFonts w:ascii="Times New Roman" w:hAnsi="Times New Roman" w:cs="Times New Roman"/>
          <w:i/>
          <w:sz w:val="24"/>
          <w:szCs w:val="24"/>
        </w:rPr>
        <w:t>The Journal of Imperial and Commonwealth History</w:t>
      </w:r>
      <w:r w:rsidRPr="00AE141E">
        <w:rPr>
          <w:rFonts w:ascii="Times New Roman" w:hAnsi="Times New Roman" w:cs="Times New Roman"/>
          <w:sz w:val="24"/>
          <w:szCs w:val="24"/>
        </w:rPr>
        <w:t xml:space="preserve"> 45.4 (2017), 697-719.</w:t>
      </w:r>
    </w:p>
    <w:p w14:paraId="661DCEAC"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208E90C6" w14:textId="4F8FA0B1"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Schaffer, G., ‘Legislating against Hatred: Meaning and Motive in Section Six of the Race Relations Act of 1965’, </w:t>
      </w:r>
      <w:r w:rsidRPr="00AE141E">
        <w:rPr>
          <w:rFonts w:ascii="Times New Roman" w:hAnsi="Times New Roman" w:cs="Times New Roman"/>
          <w:i/>
          <w:sz w:val="24"/>
          <w:szCs w:val="24"/>
        </w:rPr>
        <w:t>Twentieth Century British History</w:t>
      </w:r>
      <w:r w:rsidRPr="00AE141E">
        <w:rPr>
          <w:rFonts w:ascii="Times New Roman" w:hAnsi="Times New Roman" w:cs="Times New Roman"/>
          <w:sz w:val="24"/>
          <w:szCs w:val="24"/>
        </w:rPr>
        <w:t xml:space="preserve"> 25.2 (2014), 251</w:t>
      </w:r>
      <w:r w:rsidR="00DE0B99">
        <w:rPr>
          <w:rFonts w:ascii="Times New Roman" w:hAnsi="Times New Roman" w:cs="Times New Roman"/>
          <w:sz w:val="24"/>
          <w:szCs w:val="24"/>
        </w:rPr>
        <w:t>-</w:t>
      </w:r>
      <w:r w:rsidRPr="00AE141E">
        <w:rPr>
          <w:rFonts w:ascii="Times New Roman" w:hAnsi="Times New Roman" w:cs="Times New Roman"/>
          <w:sz w:val="24"/>
          <w:szCs w:val="24"/>
        </w:rPr>
        <w:t>275.</w:t>
      </w:r>
    </w:p>
    <w:p w14:paraId="1854D22D"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090FBE73" w14:textId="341CB8E0"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Seamster, L., and Ray, V., ‘Against Teleology in the Study of Race: Toward the Abolition of the Progress Paradigm’, </w:t>
      </w:r>
      <w:r w:rsidRPr="00AE141E">
        <w:rPr>
          <w:rFonts w:ascii="Times New Roman" w:hAnsi="Times New Roman" w:cs="Times New Roman"/>
          <w:i/>
          <w:sz w:val="24"/>
          <w:szCs w:val="24"/>
        </w:rPr>
        <w:t>Sociological Theory</w:t>
      </w:r>
      <w:r w:rsidRPr="00AE141E">
        <w:rPr>
          <w:rFonts w:ascii="Times New Roman" w:hAnsi="Times New Roman" w:cs="Times New Roman"/>
          <w:sz w:val="24"/>
          <w:szCs w:val="24"/>
        </w:rPr>
        <w:t xml:space="preserve"> 36.4 (2018), 315</w:t>
      </w:r>
      <w:r w:rsidR="00DE0B99">
        <w:rPr>
          <w:rFonts w:ascii="Times New Roman" w:hAnsi="Times New Roman" w:cs="Times New Roman"/>
          <w:sz w:val="24"/>
          <w:szCs w:val="24"/>
        </w:rPr>
        <w:t>-</w:t>
      </w:r>
      <w:r w:rsidRPr="00AE141E">
        <w:rPr>
          <w:rFonts w:ascii="Times New Roman" w:hAnsi="Times New Roman" w:cs="Times New Roman"/>
          <w:sz w:val="24"/>
          <w:szCs w:val="24"/>
        </w:rPr>
        <w:t>42.</w:t>
      </w:r>
    </w:p>
    <w:p w14:paraId="3C09FACC" w14:textId="77777777" w:rsidR="004C09DC" w:rsidRPr="00AE141E" w:rsidRDefault="004C09DC" w:rsidP="00AE141E">
      <w:pPr>
        <w:pStyle w:val="FootnoteText"/>
        <w:spacing w:line="360" w:lineRule="auto"/>
        <w:rPr>
          <w:rFonts w:ascii="Times New Roman" w:hAnsi="Times New Roman" w:cs="Times New Roman"/>
          <w:sz w:val="24"/>
          <w:szCs w:val="24"/>
        </w:rPr>
      </w:pPr>
    </w:p>
    <w:p w14:paraId="65E746B7" w14:textId="77777777" w:rsidR="004C09DC"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Seidel, G., ‘Culture, Nation and “Race” in the British and French New Right’, in Levitas, R., (ed.), </w:t>
      </w:r>
      <w:r w:rsidRPr="00AE141E">
        <w:rPr>
          <w:rFonts w:ascii="Times New Roman" w:hAnsi="Times New Roman" w:cs="Times New Roman"/>
          <w:i/>
          <w:sz w:val="24"/>
          <w:szCs w:val="24"/>
        </w:rPr>
        <w:t>The Ideology of the New Right</w:t>
      </w:r>
      <w:r w:rsidRPr="00AE141E">
        <w:rPr>
          <w:rFonts w:ascii="Times New Roman" w:hAnsi="Times New Roman" w:cs="Times New Roman"/>
          <w:sz w:val="24"/>
          <w:szCs w:val="24"/>
        </w:rPr>
        <w:t xml:space="preserve"> (Cambridge: Polity, 1986), 107-135.</w:t>
      </w:r>
    </w:p>
    <w:p w14:paraId="717726F1" w14:textId="77777777" w:rsidR="002E5799" w:rsidRDefault="002E5799" w:rsidP="00AE141E">
      <w:pPr>
        <w:pStyle w:val="FootnoteText"/>
        <w:spacing w:line="360" w:lineRule="auto"/>
        <w:rPr>
          <w:rFonts w:ascii="Times New Roman" w:hAnsi="Times New Roman" w:cs="Times New Roman"/>
          <w:sz w:val="24"/>
          <w:szCs w:val="24"/>
        </w:rPr>
      </w:pPr>
    </w:p>
    <w:p w14:paraId="2D7FC1B9" w14:textId="46383B24" w:rsidR="002E5799" w:rsidRPr="00AE141E" w:rsidRDefault="00BC6338" w:rsidP="00AE141E">
      <w:pPr>
        <w:pStyle w:val="FootnoteText"/>
        <w:spacing w:line="360" w:lineRule="auto"/>
        <w:rPr>
          <w:rFonts w:ascii="Times New Roman" w:hAnsi="Times New Roman" w:cs="Times New Roman"/>
          <w:sz w:val="24"/>
          <w:szCs w:val="24"/>
        </w:rPr>
      </w:pPr>
      <w:r w:rsidRPr="00BC6338">
        <w:rPr>
          <w:rFonts w:ascii="Times New Roman" w:hAnsi="Times New Roman" w:cs="Times New Roman"/>
          <w:sz w:val="24"/>
          <w:szCs w:val="24"/>
        </w:rPr>
        <w:t>Sinclair,</w:t>
      </w:r>
      <w:r>
        <w:rPr>
          <w:rFonts w:ascii="Times New Roman" w:hAnsi="Times New Roman" w:cs="Times New Roman"/>
          <w:sz w:val="24"/>
          <w:szCs w:val="24"/>
        </w:rPr>
        <w:t xml:space="preserve"> S.,</w:t>
      </w:r>
      <w:r w:rsidRPr="00BC6338">
        <w:rPr>
          <w:rFonts w:ascii="Times New Roman" w:hAnsi="Times New Roman" w:cs="Times New Roman"/>
          <w:sz w:val="24"/>
          <w:szCs w:val="24"/>
        </w:rPr>
        <w:t xml:space="preserve"> Dunn, </w:t>
      </w:r>
      <w:r>
        <w:rPr>
          <w:rFonts w:ascii="Times New Roman" w:hAnsi="Times New Roman" w:cs="Times New Roman"/>
          <w:sz w:val="24"/>
          <w:szCs w:val="24"/>
        </w:rPr>
        <w:t xml:space="preserve">E., </w:t>
      </w:r>
      <w:r w:rsidRPr="00BC6338">
        <w:rPr>
          <w:rFonts w:ascii="Times New Roman" w:hAnsi="Times New Roman" w:cs="Times New Roman"/>
          <w:sz w:val="24"/>
          <w:szCs w:val="24"/>
        </w:rPr>
        <w:t>and Lowery,</w:t>
      </w:r>
      <w:r>
        <w:rPr>
          <w:rFonts w:ascii="Times New Roman" w:hAnsi="Times New Roman" w:cs="Times New Roman"/>
          <w:sz w:val="24"/>
          <w:szCs w:val="24"/>
        </w:rPr>
        <w:t xml:space="preserve"> B.,</w:t>
      </w:r>
      <w:r w:rsidRPr="00BC6338">
        <w:rPr>
          <w:rFonts w:ascii="Times New Roman" w:hAnsi="Times New Roman" w:cs="Times New Roman"/>
          <w:sz w:val="24"/>
          <w:szCs w:val="24"/>
        </w:rPr>
        <w:t xml:space="preserve"> ‘The Relationship between Parental Racial Attitudes and Children’s Implicit Prejudice’, </w:t>
      </w:r>
      <w:r w:rsidRPr="00BC6338">
        <w:rPr>
          <w:rFonts w:ascii="Times New Roman" w:hAnsi="Times New Roman" w:cs="Times New Roman"/>
          <w:i/>
          <w:iCs/>
          <w:sz w:val="24"/>
          <w:szCs w:val="24"/>
        </w:rPr>
        <w:t>Journal of Experimental Social Psychology</w:t>
      </w:r>
      <w:r w:rsidRPr="00BC6338">
        <w:rPr>
          <w:rFonts w:ascii="Times New Roman" w:hAnsi="Times New Roman" w:cs="Times New Roman"/>
          <w:sz w:val="24"/>
          <w:szCs w:val="24"/>
        </w:rPr>
        <w:t xml:space="preserve"> 41.3 (2005), 283</w:t>
      </w:r>
      <w:r w:rsidR="00DE0B99">
        <w:rPr>
          <w:rFonts w:ascii="Times New Roman" w:hAnsi="Times New Roman" w:cs="Times New Roman"/>
          <w:sz w:val="24"/>
          <w:szCs w:val="24"/>
        </w:rPr>
        <w:t>-</w:t>
      </w:r>
      <w:r w:rsidRPr="00BC6338">
        <w:rPr>
          <w:rFonts w:ascii="Times New Roman" w:hAnsi="Times New Roman" w:cs="Times New Roman"/>
          <w:sz w:val="24"/>
          <w:szCs w:val="24"/>
        </w:rPr>
        <w:t>89.</w:t>
      </w:r>
    </w:p>
    <w:p w14:paraId="7490B5D1" w14:textId="77777777" w:rsidR="004C09DC" w:rsidRPr="00AE141E" w:rsidRDefault="004C09DC" w:rsidP="00AE141E">
      <w:pPr>
        <w:pStyle w:val="FootnoteText"/>
        <w:spacing w:line="360" w:lineRule="auto"/>
        <w:rPr>
          <w:rFonts w:ascii="Times New Roman" w:hAnsi="Times New Roman" w:cs="Times New Roman"/>
          <w:sz w:val="24"/>
          <w:szCs w:val="24"/>
        </w:rPr>
      </w:pPr>
    </w:p>
    <w:p w14:paraId="6E9BFCDF" w14:textId="40065610"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Sivanandan, A., ‘Racism, Education and the Black Child’, in Reeves, M., and Hammond, J., (eds),</w:t>
      </w:r>
      <w:r w:rsidRPr="00AE141E">
        <w:rPr>
          <w:rFonts w:ascii="Times New Roman" w:hAnsi="Times New Roman" w:cs="Times New Roman"/>
          <w:i/>
          <w:sz w:val="24"/>
          <w:szCs w:val="24"/>
        </w:rPr>
        <w:t xml:space="preserve"> Looking Beyond the Frame: Racism, Representation and Resistance</w:t>
      </w:r>
      <w:r w:rsidRPr="00AE141E">
        <w:rPr>
          <w:rFonts w:ascii="Times New Roman" w:hAnsi="Times New Roman" w:cs="Times New Roman"/>
          <w:sz w:val="24"/>
          <w:szCs w:val="24"/>
        </w:rPr>
        <w:t xml:space="preserve"> (Oxford: Third World First, 1989), 19</w:t>
      </w:r>
      <w:r w:rsidR="00DE0B99">
        <w:rPr>
          <w:rFonts w:ascii="Times New Roman" w:hAnsi="Times New Roman" w:cs="Times New Roman"/>
          <w:sz w:val="24"/>
          <w:szCs w:val="24"/>
        </w:rPr>
        <w:t>-</w:t>
      </w:r>
      <w:r w:rsidRPr="00AE141E">
        <w:rPr>
          <w:rFonts w:ascii="Times New Roman" w:hAnsi="Times New Roman" w:cs="Times New Roman"/>
          <w:sz w:val="24"/>
          <w:szCs w:val="24"/>
        </w:rPr>
        <w:t>24.</w:t>
      </w:r>
    </w:p>
    <w:p w14:paraId="7140F138" w14:textId="77777777" w:rsidR="004C09DC" w:rsidRPr="00AE141E" w:rsidRDefault="004C09DC" w:rsidP="00AE141E">
      <w:pPr>
        <w:pStyle w:val="FootnoteText"/>
        <w:spacing w:line="360" w:lineRule="auto"/>
        <w:rPr>
          <w:rFonts w:ascii="Times New Roman" w:hAnsi="Times New Roman" w:cs="Times New Roman"/>
          <w:sz w:val="24"/>
          <w:szCs w:val="24"/>
        </w:rPr>
      </w:pPr>
    </w:p>
    <w:p w14:paraId="6372D51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Sluga, G., ‘UNESCO and the (One) World of Julian Huxley’, </w:t>
      </w:r>
      <w:r w:rsidRPr="00AE141E">
        <w:rPr>
          <w:rFonts w:ascii="Times New Roman" w:hAnsi="Times New Roman" w:cs="Times New Roman"/>
          <w:i/>
          <w:sz w:val="24"/>
          <w:szCs w:val="24"/>
        </w:rPr>
        <w:t>Journal of World History,</w:t>
      </w:r>
      <w:r w:rsidRPr="00AE141E">
        <w:rPr>
          <w:rFonts w:ascii="Times New Roman" w:hAnsi="Times New Roman" w:cs="Times New Roman"/>
          <w:sz w:val="24"/>
          <w:szCs w:val="24"/>
        </w:rPr>
        <w:t xml:space="preserve"> 21.3 (2010), 393-418.</w:t>
      </w:r>
    </w:p>
    <w:p w14:paraId="47650AC0" w14:textId="77777777" w:rsidR="004C09DC" w:rsidRPr="00AE141E" w:rsidRDefault="004C09DC" w:rsidP="00AE141E">
      <w:pPr>
        <w:pStyle w:val="FootnoteText"/>
        <w:spacing w:line="360" w:lineRule="auto"/>
        <w:rPr>
          <w:rFonts w:ascii="Times New Roman" w:hAnsi="Times New Roman" w:cs="Times New Roman"/>
          <w:sz w:val="24"/>
          <w:szCs w:val="24"/>
        </w:rPr>
      </w:pPr>
    </w:p>
    <w:p w14:paraId="0A5A4138" w14:textId="7641BE53"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Smith, E., ‘Conflicting Narratives of Black Youth Rebellion in Modern Britain’, </w:t>
      </w:r>
      <w:r w:rsidRPr="00AE141E">
        <w:rPr>
          <w:rFonts w:ascii="Times New Roman" w:hAnsi="Times New Roman" w:cs="Times New Roman"/>
          <w:i/>
          <w:sz w:val="24"/>
          <w:szCs w:val="24"/>
        </w:rPr>
        <w:t>Ethnicity and Race in a Changing World</w:t>
      </w:r>
      <w:r w:rsidRPr="00AE141E">
        <w:rPr>
          <w:rFonts w:ascii="Times New Roman" w:hAnsi="Times New Roman" w:cs="Times New Roman"/>
          <w:sz w:val="24"/>
          <w:szCs w:val="24"/>
        </w:rPr>
        <w:t xml:space="preserve"> 2.1 (2010)</w:t>
      </w:r>
      <w:r w:rsidR="00DE0B99">
        <w:rPr>
          <w:rFonts w:ascii="Times New Roman" w:hAnsi="Times New Roman" w:cs="Times New Roman"/>
          <w:sz w:val="24"/>
          <w:szCs w:val="24"/>
        </w:rPr>
        <w:t>,</w:t>
      </w:r>
      <w:r w:rsidRPr="00AE141E">
        <w:rPr>
          <w:rFonts w:ascii="Times New Roman" w:hAnsi="Times New Roman" w:cs="Times New Roman"/>
          <w:sz w:val="24"/>
          <w:szCs w:val="24"/>
        </w:rPr>
        <w:t xml:space="preserve"> 16-31.</w:t>
      </w:r>
    </w:p>
    <w:p w14:paraId="4384B02D" w14:textId="77777777" w:rsidR="004C09DC" w:rsidRPr="00AE141E" w:rsidRDefault="004C09DC" w:rsidP="00AE141E">
      <w:pPr>
        <w:pStyle w:val="FootnoteText"/>
        <w:spacing w:line="360" w:lineRule="auto"/>
        <w:rPr>
          <w:rFonts w:ascii="Times New Roman" w:hAnsi="Times New Roman" w:cs="Times New Roman"/>
          <w:sz w:val="24"/>
          <w:szCs w:val="24"/>
        </w:rPr>
      </w:pPr>
    </w:p>
    <w:p w14:paraId="546775FA"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Steedman, C., ‘State Sponsored Autobiography’, in Conekin,B., Mort, F., and Walters, C., (eds), </w:t>
      </w:r>
      <w:r w:rsidRPr="00AE141E">
        <w:rPr>
          <w:rFonts w:ascii="Times New Roman" w:hAnsi="Times New Roman" w:cs="Times New Roman"/>
          <w:i/>
          <w:sz w:val="24"/>
          <w:szCs w:val="24"/>
        </w:rPr>
        <w:t>Moments of Modernity: Reconstructing Britain, 1945-1964</w:t>
      </w:r>
      <w:r w:rsidRPr="00AE141E">
        <w:rPr>
          <w:rFonts w:ascii="Times New Roman" w:hAnsi="Times New Roman" w:cs="Times New Roman"/>
          <w:sz w:val="24"/>
          <w:szCs w:val="24"/>
        </w:rPr>
        <w:t xml:space="preserve"> (London: Rivers Oram, 1999), 41-54.</w:t>
      </w:r>
    </w:p>
    <w:p w14:paraId="2025EA8A" w14:textId="77777777" w:rsidR="004C09DC" w:rsidRPr="00AE141E" w:rsidRDefault="004C09DC" w:rsidP="00AE141E">
      <w:pPr>
        <w:pStyle w:val="FootnoteText"/>
        <w:spacing w:line="360" w:lineRule="auto"/>
        <w:rPr>
          <w:rFonts w:ascii="Times New Roman" w:hAnsi="Times New Roman" w:cs="Times New Roman"/>
          <w:sz w:val="24"/>
          <w:szCs w:val="24"/>
        </w:rPr>
      </w:pPr>
    </w:p>
    <w:p w14:paraId="69A36721"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Stockwell, S., ‘Ends of Empire’, in Stockwell, S., (ed.), </w:t>
      </w:r>
      <w:r w:rsidRPr="00AE141E">
        <w:rPr>
          <w:rFonts w:ascii="Times New Roman" w:hAnsi="Times New Roman" w:cs="Times New Roman"/>
          <w:i/>
          <w:sz w:val="24"/>
          <w:szCs w:val="24"/>
        </w:rPr>
        <w:t>The British Empire: Themes and Perspectives</w:t>
      </w:r>
      <w:r w:rsidRPr="00AE141E">
        <w:rPr>
          <w:rFonts w:ascii="Times New Roman" w:hAnsi="Times New Roman" w:cs="Times New Roman"/>
          <w:sz w:val="24"/>
          <w:szCs w:val="24"/>
        </w:rPr>
        <w:t xml:space="preserve"> (Oxford: Blackwell, 2008), 269-93.</w:t>
      </w:r>
    </w:p>
    <w:p w14:paraId="3CB84344" w14:textId="77777777" w:rsidR="004C09DC" w:rsidRPr="00AE141E" w:rsidRDefault="004C09DC" w:rsidP="00AE141E">
      <w:pPr>
        <w:pStyle w:val="FootnoteText"/>
        <w:spacing w:line="360" w:lineRule="auto"/>
        <w:rPr>
          <w:rFonts w:ascii="Times New Roman" w:hAnsi="Times New Roman" w:cs="Times New Roman"/>
          <w:sz w:val="24"/>
          <w:szCs w:val="24"/>
        </w:rPr>
      </w:pPr>
    </w:p>
    <w:p w14:paraId="03F95F3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Stockwell, S., ‘The Imperial and World History Seminar’, in Manning, D., (ed.),</w:t>
      </w:r>
      <w:r w:rsidRPr="00AE141E">
        <w:rPr>
          <w:rFonts w:ascii="Times New Roman" w:hAnsi="Times New Roman" w:cs="Times New Roman"/>
          <w:i/>
          <w:sz w:val="24"/>
          <w:szCs w:val="24"/>
        </w:rPr>
        <w:t xml:space="preserve"> Talking History: Seminar Culture at the Institute of Historical Research, 1921–2021</w:t>
      </w:r>
      <w:r w:rsidRPr="00AE141E">
        <w:rPr>
          <w:rFonts w:ascii="Times New Roman" w:hAnsi="Times New Roman" w:cs="Times New Roman"/>
          <w:sz w:val="24"/>
          <w:szCs w:val="24"/>
        </w:rPr>
        <w:t xml:space="preserve"> (London: University of London Press, 2024), 175–200.</w:t>
      </w:r>
    </w:p>
    <w:p w14:paraId="10C6C72E" w14:textId="77777777" w:rsidR="004C09DC" w:rsidRPr="00AE141E" w:rsidRDefault="004C09DC" w:rsidP="00AE141E">
      <w:pPr>
        <w:pStyle w:val="FootnoteText"/>
        <w:spacing w:line="360" w:lineRule="auto"/>
        <w:rPr>
          <w:rFonts w:ascii="Times New Roman" w:hAnsi="Times New Roman" w:cs="Times New Roman"/>
          <w:sz w:val="24"/>
          <w:szCs w:val="24"/>
        </w:rPr>
      </w:pPr>
    </w:p>
    <w:p w14:paraId="34D3EF6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Sylvester, D., ‘Change and Continuity in History Teaching 1900–93’, in Bourdillon, H., (ed.), </w:t>
      </w:r>
      <w:r w:rsidRPr="00AE141E">
        <w:rPr>
          <w:rFonts w:ascii="Times New Roman" w:hAnsi="Times New Roman" w:cs="Times New Roman"/>
          <w:i/>
          <w:sz w:val="24"/>
          <w:szCs w:val="24"/>
        </w:rPr>
        <w:t>Teaching History</w:t>
      </w:r>
      <w:r w:rsidRPr="00AE141E">
        <w:rPr>
          <w:rFonts w:ascii="Times New Roman" w:hAnsi="Times New Roman" w:cs="Times New Roman"/>
          <w:sz w:val="24"/>
          <w:szCs w:val="24"/>
        </w:rPr>
        <w:t xml:space="preserve"> (London: Routledge, 1994), 23-52.</w:t>
      </w:r>
    </w:p>
    <w:p w14:paraId="41940508" w14:textId="77777777" w:rsidR="004C09DC" w:rsidRPr="00AE141E" w:rsidRDefault="004C09DC" w:rsidP="00AE141E">
      <w:pPr>
        <w:pStyle w:val="FootnoteText"/>
        <w:spacing w:line="360" w:lineRule="auto"/>
        <w:rPr>
          <w:rFonts w:ascii="Times New Roman" w:hAnsi="Times New Roman" w:cs="Times New Roman"/>
          <w:sz w:val="24"/>
          <w:szCs w:val="24"/>
        </w:rPr>
      </w:pPr>
    </w:p>
    <w:p w14:paraId="6691C9B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Tabili, L., ‘Colony and Metropole: The New Imperial History’, </w:t>
      </w:r>
      <w:r w:rsidRPr="00AE141E">
        <w:rPr>
          <w:rFonts w:ascii="Times New Roman" w:hAnsi="Times New Roman" w:cs="Times New Roman"/>
          <w:i/>
          <w:sz w:val="24"/>
          <w:szCs w:val="24"/>
        </w:rPr>
        <w:t>The Historian</w:t>
      </w:r>
      <w:r w:rsidRPr="00AE141E">
        <w:rPr>
          <w:rFonts w:ascii="Times New Roman" w:hAnsi="Times New Roman" w:cs="Times New Roman"/>
          <w:sz w:val="24"/>
          <w:szCs w:val="24"/>
        </w:rPr>
        <w:t xml:space="preserve"> 69.1 (2007), 84-86.</w:t>
      </w:r>
    </w:p>
    <w:p w14:paraId="01F53C98" w14:textId="77777777" w:rsidR="004C09DC" w:rsidRPr="00AE141E" w:rsidRDefault="004C09DC" w:rsidP="00AE141E">
      <w:pPr>
        <w:pStyle w:val="FootnoteText"/>
        <w:spacing w:line="360" w:lineRule="auto"/>
        <w:rPr>
          <w:rFonts w:ascii="Times New Roman" w:hAnsi="Times New Roman" w:cs="Times New Roman"/>
          <w:sz w:val="24"/>
          <w:szCs w:val="24"/>
        </w:rPr>
      </w:pPr>
    </w:p>
    <w:p w14:paraId="38223A0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Tisdall, L., ‘African-Caribbean and South Asian Adolescents, Adulthood and the “Generation Gap” in Late Cold War Britain, c.1970–c.1989’, in Cannon, M., and Tisdall, L., (eds), </w:t>
      </w:r>
      <w:r w:rsidRPr="00AE141E">
        <w:rPr>
          <w:rFonts w:ascii="Times New Roman" w:hAnsi="Times New Roman" w:cs="Times New Roman"/>
          <w:i/>
          <w:sz w:val="24"/>
          <w:szCs w:val="24"/>
        </w:rPr>
        <w:t>Adulthood in Britain and the United States from 1350 to Generation Z</w:t>
      </w:r>
      <w:r w:rsidRPr="00AE141E">
        <w:rPr>
          <w:rFonts w:ascii="Times New Roman" w:hAnsi="Times New Roman" w:cs="Times New Roman"/>
          <w:sz w:val="24"/>
          <w:szCs w:val="24"/>
        </w:rPr>
        <w:t xml:space="preserve"> (London: University of London Press, 2024), 193-213.</w:t>
      </w:r>
    </w:p>
    <w:p w14:paraId="14192233" w14:textId="77777777" w:rsidR="004C09DC" w:rsidRPr="00AE141E" w:rsidRDefault="004C09DC" w:rsidP="00AE141E">
      <w:pPr>
        <w:pStyle w:val="FootnoteText"/>
        <w:spacing w:line="360" w:lineRule="auto"/>
        <w:rPr>
          <w:rFonts w:ascii="Times New Roman" w:hAnsi="Times New Roman" w:cs="Times New Roman"/>
          <w:sz w:val="24"/>
          <w:szCs w:val="24"/>
        </w:rPr>
      </w:pPr>
    </w:p>
    <w:p w14:paraId="2341A81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Tisdall, L., ‘Education, Parenting and Concepts of Childhood in England, c.1945 to c.1979’, </w:t>
      </w:r>
      <w:r w:rsidRPr="00AE141E">
        <w:rPr>
          <w:rFonts w:ascii="Times New Roman" w:hAnsi="Times New Roman" w:cs="Times New Roman"/>
          <w:i/>
          <w:sz w:val="24"/>
          <w:szCs w:val="24"/>
        </w:rPr>
        <w:t>Contemporary British History</w:t>
      </w:r>
      <w:r w:rsidRPr="00AE141E">
        <w:rPr>
          <w:rFonts w:ascii="Times New Roman" w:hAnsi="Times New Roman" w:cs="Times New Roman"/>
          <w:sz w:val="24"/>
          <w:szCs w:val="24"/>
        </w:rPr>
        <w:t xml:space="preserve"> 31.1 (2017), 24-46.</w:t>
      </w:r>
    </w:p>
    <w:p w14:paraId="28DB331C" w14:textId="77777777" w:rsidR="004C09DC" w:rsidRPr="00AE141E" w:rsidRDefault="004C09DC" w:rsidP="00AE141E">
      <w:pPr>
        <w:pStyle w:val="FootnoteText"/>
        <w:spacing w:line="360" w:lineRule="auto"/>
        <w:rPr>
          <w:rFonts w:ascii="Times New Roman" w:hAnsi="Times New Roman" w:cs="Times New Roman"/>
          <w:sz w:val="24"/>
          <w:szCs w:val="24"/>
        </w:rPr>
      </w:pPr>
    </w:p>
    <w:p w14:paraId="7C447317"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Tisdall, L., ‘Inside the Blackboard Jungle: Male Teachers and Male Pupils at English Secondary Modern Schools in Fact and Fiction, 1950 to 1959’, </w:t>
      </w:r>
      <w:r w:rsidRPr="00AE141E">
        <w:rPr>
          <w:rFonts w:ascii="Times New Roman" w:hAnsi="Times New Roman" w:cs="Times New Roman"/>
          <w:i/>
          <w:sz w:val="24"/>
          <w:szCs w:val="24"/>
        </w:rPr>
        <w:t>Cultural and Social History</w:t>
      </w:r>
      <w:r w:rsidRPr="00AE141E">
        <w:rPr>
          <w:rFonts w:ascii="Times New Roman" w:hAnsi="Times New Roman" w:cs="Times New Roman"/>
          <w:sz w:val="24"/>
          <w:szCs w:val="24"/>
        </w:rPr>
        <w:t xml:space="preserve"> 12.4 (2015), 489-507.</w:t>
      </w:r>
    </w:p>
    <w:p w14:paraId="690022DA" w14:textId="77777777" w:rsidR="004C09DC" w:rsidRPr="00AE141E" w:rsidRDefault="004C09DC" w:rsidP="00AE141E">
      <w:pPr>
        <w:pStyle w:val="FootnoteText"/>
        <w:spacing w:line="360" w:lineRule="auto"/>
        <w:rPr>
          <w:rFonts w:ascii="Times New Roman" w:hAnsi="Times New Roman" w:cs="Times New Roman"/>
          <w:sz w:val="24"/>
          <w:szCs w:val="24"/>
        </w:rPr>
      </w:pPr>
    </w:p>
    <w:p w14:paraId="4545FBC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Tisdall, L., ‘“The School that I’d Like”: Children and Teenagers Write About Education in England and Wales, 1945–79’, in Pooley, S., and Taylor, J., </w:t>
      </w:r>
      <w:r w:rsidRPr="00AE141E">
        <w:rPr>
          <w:rFonts w:ascii="Times New Roman" w:hAnsi="Times New Roman" w:cs="Times New Roman"/>
          <w:i/>
          <w:sz w:val="24"/>
          <w:szCs w:val="24"/>
        </w:rPr>
        <w:t>Children’s Experiences of Welfare in Modern Britain</w:t>
      </w:r>
      <w:r w:rsidRPr="00AE141E">
        <w:rPr>
          <w:rFonts w:ascii="Times New Roman" w:hAnsi="Times New Roman" w:cs="Times New Roman"/>
          <w:sz w:val="24"/>
          <w:szCs w:val="24"/>
        </w:rPr>
        <w:t xml:space="preserve"> (London: University of London Press, 2021), 197–219.</w:t>
      </w:r>
    </w:p>
    <w:p w14:paraId="28D9FC48" w14:textId="77777777" w:rsidR="004C09DC" w:rsidRPr="00AE141E" w:rsidRDefault="004C09DC" w:rsidP="00AE141E">
      <w:pPr>
        <w:pStyle w:val="FootnoteText"/>
        <w:spacing w:line="360" w:lineRule="auto"/>
        <w:rPr>
          <w:rFonts w:ascii="Times New Roman" w:hAnsi="Times New Roman" w:cs="Times New Roman"/>
          <w:sz w:val="24"/>
          <w:szCs w:val="24"/>
        </w:rPr>
      </w:pPr>
    </w:p>
    <w:p w14:paraId="4DB025F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Tisdall, L., ‘State of the Field: The Modern History of Childhood’, </w:t>
      </w:r>
      <w:r w:rsidRPr="00AE141E">
        <w:rPr>
          <w:rFonts w:ascii="Times New Roman" w:hAnsi="Times New Roman" w:cs="Times New Roman"/>
          <w:i/>
          <w:sz w:val="24"/>
          <w:szCs w:val="24"/>
        </w:rPr>
        <w:t>History</w:t>
      </w:r>
      <w:r w:rsidRPr="00AE141E">
        <w:rPr>
          <w:rFonts w:ascii="Times New Roman" w:hAnsi="Times New Roman" w:cs="Times New Roman"/>
          <w:sz w:val="24"/>
          <w:szCs w:val="24"/>
        </w:rPr>
        <w:t xml:space="preserve"> 107 (2022), 949-964.</w:t>
      </w:r>
    </w:p>
    <w:p w14:paraId="79ACECA3" w14:textId="77777777" w:rsidR="004C09DC" w:rsidRPr="00AE141E" w:rsidRDefault="004C09DC" w:rsidP="00AE141E">
      <w:pPr>
        <w:pStyle w:val="FootnoteText"/>
        <w:spacing w:line="360" w:lineRule="auto"/>
        <w:rPr>
          <w:rFonts w:ascii="Times New Roman" w:hAnsi="Times New Roman" w:cs="Times New Roman"/>
          <w:sz w:val="24"/>
          <w:szCs w:val="24"/>
        </w:rPr>
      </w:pPr>
    </w:p>
    <w:p w14:paraId="79FF11BD"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Tisdall, L., ‘What a Difference it was to be a Woman and not a Teenager’: Adolescent Girls’ Conceptions of Adulthood in 1960s and 1970s Britain’, </w:t>
      </w:r>
      <w:r w:rsidRPr="00AE141E">
        <w:rPr>
          <w:rFonts w:ascii="Times New Roman" w:hAnsi="Times New Roman" w:cs="Times New Roman"/>
          <w:i/>
          <w:sz w:val="24"/>
          <w:szCs w:val="24"/>
        </w:rPr>
        <w:t>Gender and History</w:t>
      </w:r>
      <w:r w:rsidRPr="00AE141E">
        <w:rPr>
          <w:rFonts w:ascii="Times New Roman" w:hAnsi="Times New Roman" w:cs="Times New Roman"/>
          <w:sz w:val="24"/>
          <w:szCs w:val="24"/>
        </w:rPr>
        <w:t> 34.2 (2022), 495-513.</w:t>
      </w:r>
    </w:p>
    <w:p w14:paraId="4958687C" w14:textId="77777777" w:rsidR="004C09DC" w:rsidRPr="00AE141E" w:rsidRDefault="004C09DC" w:rsidP="00AE141E">
      <w:pPr>
        <w:pStyle w:val="FootnoteText"/>
        <w:spacing w:line="360" w:lineRule="auto"/>
        <w:rPr>
          <w:rFonts w:ascii="Times New Roman" w:hAnsi="Times New Roman" w:cs="Times New Roman"/>
          <w:sz w:val="24"/>
          <w:szCs w:val="24"/>
        </w:rPr>
      </w:pPr>
    </w:p>
    <w:p w14:paraId="5FAD3B61" w14:textId="63B57602"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Waldman, A., ‘The Politics of History Teaching in England and France during the 1980s’, </w:t>
      </w:r>
      <w:r w:rsidRPr="00AE141E">
        <w:rPr>
          <w:rFonts w:ascii="Times New Roman" w:hAnsi="Times New Roman" w:cs="Times New Roman"/>
          <w:i/>
          <w:sz w:val="24"/>
          <w:szCs w:val="24"/>
        </w:rPr>
        <w:t>History Workshop Journal</w:t>
      </w:r>
      <w:r w:rsidRPr="00AE141E">
        <w:rPr>
          <w:rFonts w:ascii="Times New Roman" w:hAnsi="Times New Roman" w:cs="Times New Roman"/>
          <w:sz w:val="24"/>
          <w:szCs w:val="24"/>
        </w:rPr>
        <w:t xml:space="preserve"> 68.1 (2009)</w:t>
      </w:r>
      <w:r w:rsidR="00BE0D8E">
        <w:rPr>
          <w:rFonts w:ascii="Times New Roman" w:hAnsi="Times New Roman" w:cs="Times New Roman"/>
          <w:sz w:val="24"/>
          <w:szCs w:val="24"/>
        </w:rPr>
        <w:t>,</w:t>
      </w:r>
      <w:r w:rsidRPr="00AE141E">
        <w:rPr>
          <w:rFonts w:ascii="Times New Roman" w:hAnsi="Times New Roman" w:cs="Times New Roman"/>
          <w:sz w:val="24"/>
          <w:szCs w:val="24"/>
        </w:rPr>
        <w:t xml:space="preserve"> 199</w:t>
      </w:r>
      <w:r w:rsidR="00BE0D8E">
        <w:rPr>
          <w:rFonts w:ascii="Times New Roman" w:hAnsi="Times New Roman" w:cs="Times New Roman"/>
          <w:sz w:val="24"/>
          <w:szCs w:val="24"/>
        </w:rPr>
        <w:t>-</w:t>
      </w:r>
      <w:r w:rsidRPr="00AE141E">
        <w:rPr>
          <w:rFonts w:ascii="Times New Roman" w:hAnsi="Times New Roman" w:cs="Times New Roman"/>
          <w:sz w:val="24"/>
          <w:szCs w:val="24"/>
        </w:rPr>
        <w:t>221.</w:t>
      </w:r>
    </w:p>
    <w:p w14:paraId="13CBEC61" w14:textId="77777777" w:rsidR="004C09DC" w:rsidRPr="00AE141E" w:rsidRDefault="004C09DC" w:rsidP="00AE141E">
      <w:pPr>
        <w:pStyle w:val="FootnoteText"/>
        <w:spacing w:line="360" w:lineRule="auto"/>
        <w:rPr>
          <w:rFonts w:ascii="Times New Roman" w:hAnsi="Times New Roman" w:cs="Times New Roman"/>
          <w:sz w:val="24"/>
          <w:szCs w:val="24"/>
        </w:rPr>
      </w:pPr>
    </w:p>
    <w:p w14:paraId="11380D8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Waters, S., and Palmer, H., ‘Ofsted Suicides: Who is Responsible for Suicide Prevention?’, </w:t>
      </w:r>
      <w:r w:rsidRPr="00AE141E">
        <w:rPr>
          <w:rFonts w:ascii="Times New Roman" w:hAnsi="Times New Roman" w:cs="Times New Roman"/>
          <w:i/>
          <w:sz w:val="24"/>
          <w:szCs w:val="24"/>
        </w:rPr>
        <w:t>Journal of Public Mental Health</w:t>
      </w:r>
      <w:r w:rsidRPr="00AE141E">
        <w:rPr>
          <w:rFonts w:ascii="Times New Roman" w:hAnsi="Times New Roman" w:cs="Times New Roman"/>
          <w:sz w:val="24"/>
          <w:szCs w:val="24"/>
        </w:rPr>
        <w:t xml:space="preserve"> 22.4 (2023), 194-201.</w:t>
      </w:r>
    </w:p>
    <w:p w14:paraId="2E6C7233" w14:textId="77777777" w:rsidR="004C09DC" w:rsidRPr="00AE141E" w:rsidRDefault="004C09DC" w:rsidP="00AE141E">
      <w:pPr>
        <w:pStyle w:val="FootnoteText"/>
        <w:spacing w:line="360" w:lineRule="auto"/>
        <w:rPr>
          <w:rFonts w:ascii="Times New Roman" w:hAnsi="Times New Roman" w:cs="Times New Roman"/>
          <w:sz w:val="24"/>
          <w:szCs w:val="24"/>
        </w:rPr>
      </w:pPr>
    </w:p>
    <w:p w14:paraId="1165ED2A" w14:textId="33608415"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Watson, M., ‘Michael Gove’s War on Professional Historical Expertise: Conservative Curriculum Reform, Extreme Whig History and the Place of Imperial Heroes in Modern Multicultural Britain’, </w:t>
      </w:r>
      <w:r w:rsidRPr="00AE141E">
        <w:rPr>
          <w:rFonts w:ascii="Times New Roman" w:hAnsi="Times New Roman" w:cs="Times New Roman"/>
          <w:i/>
          <w:sz w:val="24"/>
          <w:szCs w:val="24"/>
        </w:rPr>
        <w:t>British Politics</w:t>
      </w:r>
      <w:r w:rsidRPr="00AE141E">
        <w:rPr>
          <w:rFonts w:ascii="Times New Roman" w:hAnsi="Times New Roman" w:cs="Times New Roman"/>
          <w:sz w:val="24"/>
          <w:szCs w:val="24"/>
        </w:rPr>
        <w:t> 15.3 (2020), 271</w:t>
      </w:r>
      <w:r w:rsidR="00BE0D8E">
        <w:rPr>
          <w:rFonts w:ascii="Times New Roman" w:hAnsi="Times New Roman" w:cs="Times New Roman"/>
          <w:sz w:val="24"/>
          <w:szCs w:val="24"/>
        </w:rPr>
        <w:t>-</w:t>
      </w:r>
      <w:r w:rsidRPr="00AE141E">
        <w:rPr>
          <w:rFonts w:ascii="Times New Roman" w:hAnsi="Times New Roman" w:cs="Times New Roman"/>
          <w:sz w:val="24"/>
          <w:szCs w:val="24"/>
        </w:rPr>
        <w:t>290. </w:t>
      </w:r>
    </w:p>
    <w:p w14:paraId="0E48278C" w14:textId="77777777" w:rsidR="004C09DC" w:rsidRPr="00AE141E" w:rsidRDefault="004C09DC" w:rsidP="00AE141E">
      <w:pPr>
        <w:pStyle w:val="FootnoteText"/>
        <w:spacing w:line="360" w:lineRule="auto"/>
        <w:rPr>
          <w:rFonts w:ascii="Times New Roman" w:hAnsi="Times New Roman" w:cs="Times New Roman"/>
          <w:sz w:val="24"/>
          <w:szCs w:val="24"/>
        </w:rPr>
      </w:pPr>
    </w:p>
    <w:p w14:paraId="0121DDA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Williams, E., and Rosen, M., ‘My Secondary Modern: Stories from the Invisible Generation’, </w:t>
      </w:r>
      <w:r w:rsidRPr="00AE141E">
        <w:rPr>
          <w:rFonts w:ascii="Times New Roman" w:hAnsi="Times New Roman" w:cs="Times New Roman"/>
          <w:i/>
          <w:sz w:val="24"/>
          <w:szCs w:val="24"/>
        </w:rPr>
        <w:t>Forum</w:t>
      </w:r>
      <w:r w:rsidRPr="00AE141E">
        <w:rPr>
          <w:rFonts w:ascii="Times New Roman" w:hAnsi="Times New Roman" w:cs="Times New Roman"/>
          <w:sz w:val="24"/>
          <w:szCs w:val="24"/>
        </w:rPr>
        <w:t xml:space="preserve"> 59.3 (2017), 331-344.</w:t>
      </w:r>
    </w:p>
    <w:p w14:paraId="0B42426B" w14:textId="77777777" w:rsidR="004C09DC" w:rsidRPr="00AE141E" w:rsidRDefault="004C09DC" w:rsidP="00AE141E">
      <w:pPr>
        <w:pStyle w:val="FootnoteText"/>
        <w:spacing w:line="360" w:lineRule="auto"/>
        <w:rPr>
          <w:rFonts w:ascii="Times New Roman" w:hAnsi="Times New Roman" w:cs="Times New Roman"/>
          <w:sz w:val="24"/>
          <w:szCs w:val="24"/>
        </w:rPr>
      </w:pPr>
    </w:p>
    <w:p w14:paraId="07FAAD10"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Zimmerer, J., ‘The Birth of the </w:t>
      </w:r>
      <w:r w:rsidRPr="00AE141E">
        <w:rPr>
          <w:rFonts w:ascii="Times New Roman" w:hAnsi="Times New Roman" w:cs="Times New Roman"/>
          <w:i/>
          <w:sz w:val="24"/>
          <w:szCs w:val="24"/>
        </w:rPr>
        <w:t>Ostland</w:t>
      </w:r>
      <w:r w:rsidRPr="00AE141E">
        <w:rPr>
          <w:rFonts w:ascii="Times New Roman" w:hAnsi="Times New Roman" w:cs="Times New Roman"/>
          <w:sz w:val="24"/>
          <w:szCs w:val="24"/>
        </w:rPr>
        <w:t xml:space="preserve"> out of the Spirit of Colonialism: A Postcolonial Perspective on the Nazi Policy of Conquest and Extermination’, </w:t>
      </w:r>
      <w:r w:rsidRPr="00AE141E">
        <w:rPr>
          <w:rFonts w:ascii="Times New Roman" w:hAnsi="Times New Roman" w:cs="Times New Roman"/>
          <w:i/>
          <w:sz w:val="24"/>
          <w:szCs w:val="24"/>
        </w:rPr>
        <w:t>Patterns of Prejudice</w:t>
      </w:r>
      <w:r w:rsidRPr="00AE141E">
        <w:rPr>
          <w:rFonts w:ascii="Times New Roman" w:hAnsi="Times New Roman" w:cs="Times New Roman"/>
          <w:sz w:val="24"/>
          <w:szCs w:val="24"/>
        </w:rPr>
        <w:t xml:space="preserve"> 39.2 (2005), 197-219.</w:t>
      </w:r>
    </w:p>
    <w:p w14:paraId="36CDE18B"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13525F76" w14:textId="77777777" w:rsidR="004C09DC" w:rsidRPr="00AE141E" w:rsidRDefault="004C09DC" w:rsidP="00AE141E">
      <w:pPr>
        <w:pStyle w:val="FootnoteText"/>
        <w:spacing w:line="360" w:lineRule="auto"/>
        <w:rPr>
          <w:rFonts w:ascii="Times New Roman" w:hAnsi="Times New Roman" w:cs="Times New Roman"/>
          <w:sz w:val="24"/>
          <w:szCs w:val="24"/>
          <w:u w:val="single"/>
        </w:rPr>
      </w:pPr>
      <w:r w:rsidRPr="00AE141E">
        <w:rPr>
          <w:rFonts w:ascii="Times New Roman" w:hAnsi="Times New Roman" w:cs="Times New Roman"/>
          <w:b/>
          <w:bCs/>
          <w:sz w:val="24"/>
          <w:szCs w:val="24"/>
          <w:u w:val="single"/>
        </w:rPr>
        <w:t>Unpublished Theses and Dissertations</w:t>
      </w:r>
    </w:p>
    <w:p w14:paraId="5A24F873"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575C31A9" w14:textId="6C95BD2F"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Longden, R., ‘The History and Validity of the Teaching of World History in England, with Special Reference to the Period after 1945’ (unpublished Master</w:t>
      </w:r>
      <w:r w:rsidR="00C304F8">
        <w:rPr>
          <w:rFonts w:ascii="Times New Roman" w:hAnsi="Times New Roman" w:cs="Times New Roman"/>
          <w:sz w:val="24"/>
          <w:szCs w:val="24"/>
        </w:rPr>
        <w:t>’</w:t>
      </w:r>
      <w:r w:rsidRPr="00AE141E">
        <w:rPr>
          <w:rFonts w:ascii="Times New Roman" w:hAnsi="Times New Roman" w:cs="Times New Roman"/>
          <w:sz w:val="24"/>
          <w:szCs w:val="24"/>
        </w:rPr>
        <w:t>s thesis, University of Sheffield, 1972).</w:t>
      </w:r>
    </w:p>
    <w:p w14:paraId="06EA1117" w14:textId="77777777" w:rsidR="004C09DC" w:rsidRPr="00AE141E" w:rsidRDefault="004C09DC" w:rsidP="00AE141E">
      <w:pPr>
        <w:pStyle w:val="FootnoteText"/>
        <w:spacing w:line="360" w:lineRule="auto"/>
        <w:rPr>
          <w:rFonts w:ascii="Times New Roman" w:hAnsi="Times New Roman" w:cs="Times New Roman"/>
          <w:sz w:val="24"/>
          <w:szCs w:val="24"/>
        </w:rPr>
      </w:pPr>
    </w:p>
    <w:p w14:paraId="5C9E5A0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Russell,L., ‘Teaching the Holocaust in History: Policy and Classroom Perspectives’ (unpublished PhD thesis, Goldsmiths, University of London).</w:t>
      </w:r>
    </w:p>
    <w:p w14:paraId="41F07AA3" w14:textId="77777777" w:rsidR="004C09DC" w:rsidRPr="00AE141E" w:rsidRDefault="004C09DC" w:rsidP="00AE141E">
      <w:pPr>
        <w:pStyle w:val="FootnoteText"/>
        <w:spacing w:line="360" w:lineRule="auto"/>
        <w:rPr>
          <w:rFonts w:ascii="Times New Roman" w:hAnsi="Times New Roman" w:cs="Times New Roman"/>
          <w:sz w:val="24"/>
          <w:szCs w:val="24"/>
        </w:rPr>
      </w:pPr>
    </w:p>
    <w:p w14:paraId="419D8C9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Syriatou, A., ‘Educational Policy and Educational Content: The Teaching of European History in Secondary Schools in England and Wales, 1945-1975’ (unpublished PhD thesis, University College London, 1997).</w:t>
      </w:r>
    </w:p>
    <w:p w14:paraId="5428553A" w14:textId="77777777" w:rsidR="004C09DC" w:rsidRPr="00AE141E" w:rsidRDefault="004C09DC" w:rsidP="00AE141E">
      <w:pPr>
        <w:pStyle w:val="FootnoteText"/>
        <w:spacing w:line="360" w:lineRule="auto"/>
        <w:rPr>
          <w:rFonts w:ascii="Times New Roman" w:hAnsi="Times New Roman" w:cs="Times New Roman"/>
          <w:sz w:val="24"/>
          <w:szCs w:val="24"/>
        </w:rPr>
      </w:pPr>
    </w:p>
    <w:p w14:paraId="2A5A6505"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lastRenderedPageBreak/>
        <w:t>Newspapers</w:t>
      </w:r>
    </w:p>
    <w:p w14:paraId="68E22736"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47073DE0" w14:textId="77777777" w:rsidR="004C09DC" w:rsidRPr="00AE141E" w:rsidRDefault="004C09DC" w:rsidP="00AE141E">
      <w:pPr>
        <w:pStyle w:val="FootnoteText"/>
        <w:spacing w:line="360" w:lineRule="auto"/>
        <w:rPr>
          <w:rFonts w:ascii="Times New Roman" w:hAnsi="Times New Roman" w:cs="Times New Roman"/>
          <w:i/>
          <w:iCs/>
          <w:sz w:val="24"/>
          <w:szCs w:val="24"/>
        </w:rPr>
      </w:pPr>
      <w:r w:rsidRPr="00AE141E">
        <w:rPr>
          <w:rFonts w:ascii="Times New Roman" w:hAnsi="Times New Roman" w:cs="Times New Roman"/>
          <w:i/>
          <w:sz w:val="24"/>
          <w:szCs w:val="24"/>
        </w:rPr>
        <w:t>The Guardian, The Irish Times, Nation.Cymru</w:t>
      </w:r>
    </w:p>
    <w:p w14:paraId="7BDD8C7E" w14:textId="77777777" w:rsidR="004C09DC" w:rsidRPr="00AE141E" w:rsidRDefault="004C09DC" w:rsidP="00AE141E">
      <w:pPr>
        <w:pStyle w:val="FootnoteText"/>
        <w:spacing w:line="360" w:lineRule="auto"/>
        <w:rPr>
          <w:rFonts w:ascii="Times New Roman" w:hAnsi="Times New Roman" w:cs="Times New Roman"/>
          <w:sz w:val="24"/>
          <w:szCs w:val="24"/>
        </w:rPr>
      </w:pPr>
    </w:p>
    <w:p w14:paraId="7D63C0F8"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Digital Sources</w:t>
      </w:r>
    </w:p>
    <w:p w14:paraId="76EEEC64" w14:textId="77777777" w:rsidR="004C09DC" w:rsidRPr="00AE141E" w:rsidRDefault="004C09DC" w:rsidP="00AE141E">
      <w:pPr>
        <w:pStyle w:val="FootnoteText"/>
        <w:spacing w:line="360" w:lineRule="auto"/>
        <w:rPr>
          <w:rFonts w:ascii="Times New Roman" w:hAnsi="Times New Roman" w:cs="Times New Roman"/>
          <w:sz w:val="24"/>
          <w:szCs w:val="24"/>
        </w:rPr>
      </w:pPr>
    </w:p>
    <w:p w14:paraId="46EFB3BC"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Hack, K., ‘Selling Empire: Epilogue – the Slow Death of Heroism?’, </w:t>
      </w:r>
      <w:r w:rsidRPr="00AE141E">
        <w:rPr>
          <w:rFonts w:ascii="Times New Roman" w:hAnsi="Times New Roman" w:cs="Times New Roman"/>
          <w:i/>
          <w:sz w:val="24"/>
          <w:szCs w:val="24"/>
        </w:rPr>
        <w:t>The Open University,</w:t>
      </w:r>
      <w:r w:rsidRPr="00AE141E">
        <w:rPr>
          <w:rFonts w:ascii="Times New Roman" w:hAnsi="Times New Roman" w:cs="Times New Roman"/>
          <w:sz w:val="24"/>
          <w:szCs w:val="24"/>
        </w:rPr>
        <w:t xml:space="preserve"> published 21 January 2013, updated 21 June 2023 &lt; https://www.open.edu/openlearn/history-the-arts/history/world-history/selling-empire-epilogue-the-slow-death-heroism&gt; [accessed 31 January 2025].</w:t>
      </w:r>
    </w:p>
    <w:p w14:paraId="74CF136D" w14:textId="77777777" w:rsidR="004C09DC" w:rsidRPr="00AE141E" w:rsidRDefault="004C09DC" w:rsidP="00AE141E">
      <w:pPr>
        <w:pStyle w:val="FootnoteText"/>
        <w:spacing w:line="360" w:lineRule="auto"/>
        <w:rPr>
          <w:rFonts w:ascii="Times New Roman" w:hAnsi="Times New Roman" w:cs="Times New Roman"/>
          <w:sz w:val="24"/>
          <w:szCs w:val="24"/>
        </w:rPr>
      </w:pPr>
    </w:p>
    <w:p w14:paraId="47293E8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Murray, B., ‘Erasing History? Colston in Bristol’, </w:t>
      </w:r>
      <w:r w:rsidRPr="00AE141E">
        <w:rPr>
          <w:rFonts w:ascii="Times New Roman" w:hAnsi="Times New Roman" w:cs="Times New Roman"/>
          <w:i/>
          <w:sz w:val="24"/>
          <w:szCs w:val="24"/>
        </w:rPr>
        <w:t>King’s English</w:t>
      </w:r>
      <w:r w:rsidRPr="00AE141E">
        <w:rPr>
          <w:rFonts w:ascii="Times New Roman" w:hAnsi="Times New Roman" w:cs="Times New Roman"/>
          <w:sz w:val="24"/>
          <w:szCs w:val="24"/>
        </w:rPr>
        <w:t xml:space="preserve">, 11 June 2020 &lt;https://blogs.kcl.ac.uk/english/2020/06/11/colston-in-bristol/&gt; [accessed 26 February 2025]. </w:t>
      </w:r>
    </w:p>
    <w:p w14:paraId="14507353" w14:textId="77777777" w:rsidR="004C09DC" w:rsidRPr="00AE141E" w:rsidRDefault="004C09DC" w:rsidP="00AE141E">
      <w:pPr>
        <w:pStyle w:val="FootnoteText"/>
        <w:spacing w:line="360" w:lineRule="auto"/>
        <w:rPr>
          <w:rFonts w:ascii="Times New Roman" w:hAnsi="Times New Roman" w:cs="Times New Roman"/>
          <w:sz w:val="24"/>
          <w:szCs w:val="24"/>
        </w:rPr>
      </w:pPr>
    </w:p>
    <w:p w14:paraId="6D64E60E"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Mandler, P., ‘History, National Life and the School Curriculum’, Plenary Lecture at the Schools History Project Conference, Leeds, July 2013 &lt;http://www.schoolshistoryproject.org.uk/ResourceBase/downloads/MandlerKeynote2013.pdf&gt; [accessed 26 May 2022].</w:t>
      </w:r>
    </w:p>
    <w:p w14:paraId="52DA9C0C" w14:textId="77777777" w:rsidR="004C09DC" w:rsidRPr="00AE141E" w:rsidRDefault="004C09DC" w:rsidP="00AE141E">
      <w:pPr>
        <w:pStyle w:val="FootnoteText"/>
        <w:spacing w:line="360" w:lineRule="auto"/>
        <w:rPr>
          <w:rFonts w:ascii="Times New Roman" w:hAnsi="Times New Roman" w:cs="Times New Roman"/>
          <w:sz w:val="24"/>
          <w:szCs w:val="24"/>
        </w:rPr>
      </w:pPr>
    </w:p>
    <w:p w14:paraId="27A16708"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Moore, R., ‘From Merrie England to the Civilized World: History at Sheffield, 1963-1988, Part 2 – Brave New World’, </w:t>
      </w:r>
      <w:r w:rsidRPr="00AE141E">
        <w:rPr>
          <w:rFonts w:ascii="Times New Roman" w:hAnsi="Times New Roman" w:cs="Times New Roman"/>
          <w:i/>
          <w:sz w:val="24"/>
          <w:szCs w:val="24"/>
        </w:rPr>
        <w:t>History Matters Blog</w:t>
      </w:r>
      <w:r w:rsidRPr="00AE141E">
        <w:rPr>
          <w:rFonts w:ascii="Times New Roman" w:hAnsi="Times New Roman" w:cs="Times New Roman"/>
          <w:sz w:val="24"/>
          <w:szCs w:val="24"/>
        </w:rPr>
        <w:t>, 22 February 2021 &lt;https://historymatters.sites.sheffield.ac.uk/blog-archive/2021/from-merrie-england-to-the-civilized-world-part-2&gt; [accessed 12 February 2025].</w:t>
      </w:r>
    </w:p>
    <w:p w14:paraId="75FA5C3E" w14:textId="77777777" w:rsidR="004C09DC" w:rsidRPr="00AE141E" w:rsidRDefault="004C09DC" w:rsidP="00AE141E">
      <w:pPr>
        <w:pStyle w:val="FootnoteText"/>
        <w:spacing w:line="360" w:lineRule="auto"/>
        <w:rPr>
          <w:rFonts w:ascii="Times New Roman" w:hAnsi="Times New Roman" w:cs="Times New Roman"/>
          <w:sz w:val="24"/>
          <w:szCs w:val="24"/>
        </w:rPr>
      </w:pPr>
    </w:p>
    <w:p w14:paraId="20B1BB86"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Okoth, K., ‘The Revolutionary Legacy of Walter Rodney’s “Groundings”’, </w:t>
      </w:r>
      <w:r w:rsidRPr="00AE141E">
        <w:rPr>
          <w:rFonts w:ascii="Times New Roman" w:hAnsi="Times New Roman" w:cs="Times New Roman"/>
          <w:i/>
          <w:sz w:val="24"/>
          <w:szCs w:val="24"/>
        </w:rPr>
        <w:t>Verso</w:t>
      </w:r>
      <w:r w:rsidRPr="00AE141E">
        <w:rPr>
          <w:rFonts w:ascii="Times New Roman" w:hAnsi="Times New Roman" w:cs="Times New Roman"/>
          <w:sz w:val="24"/>
          <w:szCs w:val="24"/>
        </w:rPr>
        <w:t>, 13 June 2019 &lt;https://www.versobooks.com/en-gb/blogs/news/4351-the-revolutionary-legacy-of-walter-rodney-s-groundings&gt; [accessed 24 June 2023].</w:t>
      </w:r>
    </w:p>
    <w:p w14:paraId="5D73C70A" w14:textId="77777777" w:rsidR="004C09DC" w:rsidRPr="00AE141E" w:rsidRDefault="004C09DC" w:rsidP="00AE141E">
      <w:pPr>
        <w:pStyle w:val="FootnoteText"/>
        <w:spacing w:line="360" w:lineRule="auto"/>
        <w:rPr>
          <w:rFonts w:ascii="Times New Roman" w:hAnsi="Times New Roman" w:cs="Times New Roman"/>
          <w:sz w:val="24"/>
          <w:szCs w:val="24"/>
        </w:rPr>
      </w:pPr>
    </w:p>
    <w:p w14:paraId="3DA7AFC9"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‘Secondary Education and Social Change in the United Kingdom since 1945’ &lt;https://sesc.hist.cam.ac.uk/blog/&gt; [accessed 27 February 2025].</w:t>
      </w:r>
    </w:p>
    <w:p w14:paraId="650F9419" w14:textId="77777777" w:rsidR="004C09DC" w:rsidRPr="00AE141E" w:rsidRDefault="004C09DC" w:rsidP="00AE141E">
      <w:pPr>
        <w:pStyle w:val="FootnoteText"/>
        <w:spacing w:line="360" w:lineRule="auto"/>
        <w:rPr>
          <w:rFonts w:ascii="Times New Roman" w:hAnsi="Times New Roman" w:cs="Times New Roman"/>
          <w:sz w:val="24"/>
          <w:szCs w:val="24"/>
        </w:rPr>
      </w:pPr>
    </w:p>
    <w:p w14:paraId="21B17A5F"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Rosen, M., and Williams, E., ‘Secondary Modern’, </w:t>
      </w:r>
      <w:r w:rsidRPr="00AE141E">
        <w:rPr>
          <w:rFonts w:ascii="Times New Roman" w:hAnsi="Times New Roman" w:cs="Times New Roman"/>
          <w:i/>
          <w:sz w:val="24"/>
          <w:szCs w:val="24"/>
        </w:rPr>
        <w:t xml:space="preserve">History Workshop, </w:t>
      </w:r>
      <w:r w:rsidRPr="00AE141E">
        <w:rPr>
          <w:rFonts w:ascii="Times New Roman" w:hAnsi="Times New Roman" w:cs="Times New Roman"/>
          <w:sz w:val="24"/>
          <w:szCs w:val="24"/>
        </w:rPr>
        <w:t>24 January 2013 &lt;https://www.historyworkshop.org.uk/education/secondary-modern/&gt; [last accessed 18 January 2025].</w:t>
      </w:r>
    </w:p>
    <w:p w14:paraId="30B04895" w14:textId="77777777" w:rsidR="004C09DC" w:rsidRPr="00AE141E" w:rsidRDefault="004C09DC" w:rsidP="00AE141E">
      <w:pPr>
        <w:pStyle w:val="FootnoteText"/>
        <w:spacing w:line="360" w:lineRule="auto"/>
        <w:rPr>
          <w:rFonts w:ascii="Times New Roman" w:hAnsi="Times New Roman" w:cs="Times New Roman"/>
          <w:sz w:val="24"/>
          <w:szCs w:val="24"/>
        </w:rPr>
      </w:pPr>
    </w:p>
    <w:p w14:paraId="75DD4D3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Samuel, R., ‘The Return of History’, </w:t>
      </w:r>
      <w:r w:rsidRPr="00AE141E">
        <w:rPr>
          <w:rFonts w:ascii="Times New Roman" w:hAnsi="Times New Roman" w:cs="Times New Roman"/>
          <w:i/>
          <w:sz w:val="24"/>
          <w:szCs w:val="24"/>
        </w:rPr>
        <w:t>London Review of Books</w:t>
      </w:r>
      <w:r w:rsidRPr="00AE141E">
        <w:rPr>
          <w:rFonts w:ascii="Times New Roman" w:hAnsi="Times New Roman" w:cs="Times New Roman"/>
          <w:sz w:val="24"/>
          <w:szCs w:val="24"/>
        </w:rPr>
        <w:t xml:space="preserve"> 12.11 (14 June 1990) &lt;https://www.lrb.co.uk/the-paper/v12/n11/raphael-samuel/the-return-of-history&gt; [last accessed 18 January 2025].</w:t>
      </w:r>
    </w:p>
    <w:p w14:paraId="45E78BE6" w14:textId="77777777" w:rsidR="004C09DC" w:rsidRPr="00AE141E" w:rsidRDefault="004C09DC" w:rsidP="00AE141E">
      <w:pPr>
        <w:pStyle w:val="FootnoteText"/>
        <w:spacing w:line="360" w:lineRule="auto"/>
        <w:rPr>
          <w:rFonts w:ascii="Times New Roman" w:hAnsi="Times New Roman" w:cs="Times New Roman"/>
          <w:sz w:val="24"/>
          <w:szCs w:val="24"/>
        </w:rPr>
      </w:pPr>
    </w:p>
    <w:p w14:paraId="5EEEBF75"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Sands-O’Connor, K., ‘The Culture Supplement: Black British Supplementary Schools for Children of Windrush’, </w:t>
      </w:r>
      <w:r w:rsidRPr="00AE141E">
        <w:rPr>
          <w:rFonts w:ascii="Times New Roman" w:hAnsi="Times New Roman" w:cs="Times New Roman"/>
          <w:i/>
          <w:sz w:val="24"/>
          <w:szCs w:val="24"/>
        </w:rPr>
        <w:t xml:space="preserve">The Race to Read, </w:t>
      </w:r>
      <w:r w:rsidRPr="00AE141E">
        <w:rPr>
          <w:rFonts w:ascii="Times New Roman" w:hAnsi="Times New Roman" w:cs="Times New Roman"/>
          <w:sz w:val="24"/>
          <w:szCs w:val="24"/>
        </w:rPr>
        <w:t>19 June 2018 &lt;https://theracetoread.wordpress.com/2018/06/19/the-culture-supplement-black-british-supplementary-schools-for-children-of-windrush/&gt; [accessed 24 June 2023].</w:t>
      </w:r>
    </w:p>
    <w:p w14:paraId="0833E198" w14:textId="77777777" w:rsidR="004C09DC" w:rsidRPr="00AE141E" w:rsidRDefault="004C09DC" w:rsidP="00AE141E">
      <w:pPr>
        <w:pStyle w:val="FootnoteText"/>
        <w:spacing w:line="360" w:lineRule="auto"/>
        <w:rPr>
          <w:rFonts w:ascii="Times New Roman" w:hAnsi="Times New Roman" w:cs="Times New Roman"/>
          <w:sz w:val="24"/>
          <w:szCs w:val="24"/>
        </w:rPr>
      </w:pPr>
    </w:p>
    <w:p w14:paraId="496241E2"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Sheldon, N., ‘History Examinations from the 1960s to the Present Day’, from ‘Topics in History Education’, History in Education Project Background Papers, IHR: HiEP, last updated 2 August 2012</w:t>
      </w:r>
      <w:r w:rsidRPr="00AE141E">
        <w:rPr>
          <w:rFonts w:ascii="Times New Roman" w:hAnsi="Times New Roman" w:cs="Times New Roman"/>
          <w:i/>
          <w:sz w:val="24"/>
          <w:szCs w:val="24"/>
        </w:rPr>
        <w:t xml:space="preserve"> </w:t>
      </w:r>
      <w:r w:rsidRPr="00AE141E">
        <w:rPr>
          <w:rFonts w:ascii="Times New Roman" w:hAnsi="Times New Roman" w:cs="Times New Roman"/>
          <w:sz w:val="24"/>
          <w:szCs w:val="24"/>
        </w:rPr>
        <w:t>&lt;https://archives.history.ac.uk/history-in-education/project-papers/topics.html&gt; [last accessed 16 January 2025].</w:t>
      </w:r>
    </w:p>
    <w:p w14:paraId="598667BF" w14:textId="77777777" w:rsidR="004C09DC" w:rsidRPr="00AE141E" w:rsidRDefault="004C09DC" w:rsidP="00AE141E">
      <w:pPr>
        <w:pStyle w:val="FootnoteText"/>
        <w:spacing w:line="360" w:lineRule="auto"/>
        <w:rPr>
          <w:rFonts w:ascii="Times New Roman" w:hAnsi="Times New Roman" w:cs="Times New Roman"/>
          <w:sz w:val="24"/>
          <w:szCs w:val="24"/>
        </w:rPr>
      </w:pPr>
    </w:p>
    <w:p w14:paraId="1446F2C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 xml:space="preserve">Sivanandan, A. Interviewed by Lou Kushnick and Paul Grant for </w:t>
      </w:r>
      <w:r w:rsidRPr="00AE141E">
        <w:rPr>
          <w:rFonts w:ascii="Times New Roman" w:hAnsi="Times New Roman" w:cs="Times New Roman"/>
          <w:i/>
          <w:sz w:val="24"/>
          <w:szCs w:val="24"/>
        </w:rPr>
        <w:t>Against the Odds: Scholars who Challenged Racism in the Twentieth Century</w:t>
      </w:r>
      <w:r w:rsidRPr="00AE141E">
        <w:rPr>
          <w:rFonts w:ascii="Times New Roman" w:hAnsi="Times New Roman" w:cs="Times New Roman"/>
          <w:sz w:val="24"/>
          <w:szCs w:val="24"/>
        </w:rPr>
        <w:t>, ‘Catching History on the Wing: A. Sivanandan as Activist, Teacher, Rebel’, 19 March 2001 &lt;https://asivanandan.com/catching-history-on-the-wing-a-sivanandan-as-activist-teacher-and-rebel/&gt; [accessed 15 January 2024].</w:t>
      </w:r>
    </w:p>
    <w:p w14:paraId="00DBFDA8" w14:textId="77777777" w:rsidR="004C09DC" w:rsidRPr="00AE141E" w:rsidRDefault="004C09DC" w:rsidP="00AE141E">
      <w:pPr>
        <w:pStyle w:val="FootnoteText"/>
        <w:spacing w:line="360" w:lineRule="auto"/>
        <w:rPr>
          <w:rFonts w:ascii="Times New Roman" w:hAnsi="Times New Roman" w:cs="Times New Roman"/>
          <w:sz w:val="24"/>
          <w:szCs w:val="24"/>
        </w:rPr>
      </w:pPr>
    </w:p>
    <w:p w14:paraId="129ECF34" w14:textId="6FAFA2BF" w:rsidR="004C09DC" w:rsidRPr="00AE141E" w:rsidRDefault="004C09DC" w:rsidP="00AE141E">
      <w:pPr>
        <w:pStyle w:val="FootnoteText"/>
        <w:spacing w:line="360" w:lineRule="auto"/>
        <w:rPr>
          <w:rStyle w:val="FootnoteReference"/>
          <w:rFonts w:ascii="Times New Roman" w:hAnsi="Times New Roman" w:cs="Times New Roman"/>
          <w:sz w:val="24"/>
          <w:szCs w:val="24"/>
          <w:vertAlign w:val="baseline"/>
        </w:rPr>
      </w:pPr>
      <w:r w:rsidRPr="00AE141E">
        <w:rPr>
          <w:rFonts w:ascii="Times New Roman" w:hAnsi="Times New Roman" w:cs="Times New Roman"/>
          <w:sz w:val="24"/>
          <w:szCs w:val="24"/>
        </w:rPr>
        <w:t>Sivanandan, A., speech given at the IRR fiftieth celebration conference on 1 November 2008, published by the IRR as ‘Catching History on the Wing’, 6 November 2008 &lt;https://irr.org.uk/article/catching-history-on-the-wing/&gt; [accessed 23 June 2023].</w:t>
      </w:r>
    </w:p>
    <w:p w14:paraId="717FC811" w14:textId="77777777" w:rsidR="004C09DC" w:rsidRPr="00AE141E" w:rsidRDefault="004C09DC" w:rsidP="00AE141E">
      <w:pPr>
        <w:pStyle w:val="FootnoteText"/>
        <w:spacing w:line="360" w:lineRule="auto"/>
        <w:rPr>
          <w:rFonts w:ascii="Times New Roman" w:hAnsi="Times New Roman" w:cs="Times New Roman"/>
          <w:sz w:val="24"/>
          <w:szCs w:val="24"/>
        </w:rPr>
      </w:pPr>
    </w:p>
    <w:p w14:paraId="4E2B3923"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‘Who We Were’, Big Flame: 1970-1984, April 2009 &lt;https://bigflameuk.wordpress.com/about/&gt; [accessed 12 January 2024].</w:t>
      </w:r>
    </w:p>
    <w:p w14:paraId="6B3BC6CF" w14:textId="77777777" w:rsidR="004C09DC" w:rsidRPr="00AE141E" w:rsidRDefault="004C09DC" w:rsidP="00AE141E">
      <w:pPr>
        <w:pStyle w:val="FootnoteText"/>
        <w:spacing w:line="360" w:lineRule="auto"/>
        <w:rPr>
          <w:rFonts w:ascii="Times New Roman" w:hAnsi="Times New Roman" w:cs="Times New Roman"/>
          <w:sz w:val="24"/>
          <w:szCs w:val="24"/>
        </w:rPr>
      </w:pPr>
    </w:p>
    <w:p w14:paraId="6F46DDE5" w14:textId="77777777" w:rsidR="004C09DC" w:rsidRPr="00AE141E" w:rsidRDefault="004C09DC" w:rsidP="00AE141E">
      <w:pPr>
        <w:pStyle w:val="FootnoteText"/>
        <w:spacing w:line="360" w:lineRule="auto"/>
        <w:rPr>
          <w:rFonts w:ascii="Times New Roman" w:hAnsi="Times New Roman" w:cs="Times New Roman"/>
          <w:b/>
          <w:bCs/>
          <w:sz w:val="24"/>
          <w:szCs w:val="24"/>
          <w:u w:val="single"/>
        </w:rPr>
      </w:pPr>
      <w:r w:rsidRPr="00AE141E">
        <w:rPr>
          <w:rFonts w:ascii="Times New Roman" w:hAnsi="Times New Roman" w:cs="Times New Roman"/>
          <w:b/>
          <w:bCs/>
          <w:sz w:val="24"/>
          <w:szCs w:val="24"/>
          <w:u w:val="single"/>
        </w:rPr>
        <w:t>Films and Podcasts</w:t>
      </w:r>
    </w:p>
    <w:p w14:paraId="0CBB8D36"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1224FD34" w14:textId="77777777" w:rsidR="004C09DC"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t>Stuart Ramsay (Director),</w:t>
      </w:r>
      <w:r w:rsidRPr="00AE141E">
        <w:rPr>
          <w:rFonts w:ascii="Times New Roman" w:hAnsi="Times New Roman" w:cs="Times New Roman"/>
          <w:i/>
          <w:sz w:val="24"/>
          <w:szCs w:val="24"/>
        </w:rPr>
        <w:t xml:space="preserve"> When Bob Marley Came to Britain, </w:t>
      </w:r>
      <w:r w:rsidRPr="00AE141E">
        <w:rPr>
          <w:rFonts w:ascii="Times New Roman" w:hAnsi="Times New Roman" w:cs="Times New Roman"/>
          <w:sz w:val="24"/>
          <w:szCs w:val="24"/>
        </w:rPr>
        <w:t>Wise Owl Films, 2020.</w:t>
      </w:r>
    </w:p>
    <w:p w14:paraId="30126A4A" w14:textId="77777777" w:rsidR="004C09DC" w:rsidRPr="00AE141E" w:rsidRDefault="004C09DC" w:rsidP="00AE141E">
      <w:pPr>
        <w:pStyle w:val="FootnoteText"/>
        <w:spacing w:line="360" w:lineRule="auto"/>
        <w:rPr>
          <w:rFonts w:ascii="Times New Roman" w:hAnsi="Times New Roman" w:cs="Times New Roman"/>
          <w:b/>
          <w:bCs/>
          <w:sz w:val="24"/>
          <w:szCs w:val="24"/>
        </w:rPr>
      </w:pPr>
    </w:p>
    <w:p w14:paraId="1FB2E100" w14:textId="179893F1" w:rsidR="000733F9" w:rsidRPr="00AE141E" w:rsidRDefault="004C09DC" w:rsidP="00AE141E">
      <w:pPr>
        <w:pStyle w:val="FootnoteText"/>
        <w:spacing w:line="360" w:lineRule="auto"/>
        <w:rPr>
          <w:rFonts w:ascii="Times New Roman" w:hAnsi="Times New Roman" w:cs="Times New Roman"/>
          <w:sz w:val="24"/>
          <w:szCs w:val="24"/>
        </w:rPr>
      </w:pPr>
      <w:r w:rsidRPr="00AE141E">
        <w:rPr>
          <w:rFonts w:ascii="Times New Roman" w:hAnsi="Times New Roman" w:cs="Times New Roman"/>
          <w:sz w:val="24"/>
          <w:szCs w:val="24"/>
        </w:rPr>
        <w:lastRenderedPageBreak/>
        <w:t>Hannah Rosenfelder (Producer), David Cannadine (Speaker), ‘The Red Bits Are British’, Just Radio for BBC Radio 4, 15 October 2011 &lt;https://www.bbc.co.uk/programmes/b015ygj9&gt; [last accessed 16 January 2025].</w:t>
      </w:r>
    </w:p>
    <w:sectPr w:rsidR="000733F9" w:rsidRPr="00AE141E" w:rsidSect="00365737">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F8220" w14:textId="77777777" w:rsidR="00111BF7" w:rsidRDefault="00111BF7" w:rsidP="00445DEE">
      <w:pPr>
        <w:spacing w:after="0" w:line="240" w:lineRule="auto"/>
      </w:pPr>
      <w:r>
        <w:separator/>
      </w:r>
    </w:p>
  </w:endnote>
  <w:endnote w:type="continuationSeparator" w:id="0">
    <w:p w14:paraId="3712232E" w14:textId="77777777" w:rsidR="00111BF7" w:rsidRDefault="00111BF7" w:rsidP="00445DEE">
      <w:pPr>
        <w:spacing w:after="0" w:line="240" w:lineRule="auto"/>
      </w:pPr>
      <w:r>
        <w:continuationSeparator/>
      </w:r>
    </w:p>
  </w:endnote>
  <w:endnote w:type="continuationNotice" w:id="1">
    <w:p w14:paraId="1A2C9B36" w14:textId="77777777" w:rsidR="00111BF7" w:rsidRDefault="00111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293EB" w14:textId="77777777" w:rsidR="00111BF7" w:rsidRDefault="00111BF7" w:rsidP="00445DEE">
      <w:pPr>
        <w:spacing w:after="0" w:line="240" w:lineRule="auto"/>
      </w:pPr>
      <w:r>
        <w:separator/>
      </w:r>
    </w:p>
  </w:footnote>
  <w:footnote w:type="continuationSeparator" w:id="0">
    <w:p w14:paraId="0F295DF3" w14:textId="77777777" w:rsidR="00111BF7" w:rsidRDefault="00111BF7" w:rsidP="00445DEE">
      <w:pPr>
        <w:spacing w:after="0" w:line="240" w:lineRule="auto"/>
      </w:pPr>
      <w:r>
        <w:continuationSeparator/>
      </w:r>
    </w:p>
  </w:footnote>
  <w:footnote w:type="continuationNotice" w:id="1">
    <w:p w14:paraId="1A444DDB" w14:textId="77777777" w:rsidR="00111BF7" w:rsidRDefault="00111BF7">
      <w:pPr>
        <w:spacing w:after="0" w:line="240" w:lineRule="auto"/>
      </w:pPr>
    </w:p>
  </w:footnote>
  <w:footnote w:id="2">
    <w:p w14:paraId="08BEB384" w14:textId="6DA272C2" w:rsidR="00F77621" w:rsidRPr="00047A9D" w:rsidRDefault="00F7762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Raphael Samuel, ‘The Return of History’, </w:t>
      </w:r>
      <w:r w:rsidRPr="00047A9D">
        <w:rPr>
          <w:rFonts w:ascii="Times New Roman" w:hAnsi="Times New Roman" w:cs="Times New Roman"/>
          <w:i/>
          <w:sz w:val="22"/>
          <w:szCs w:val="22"/>
        </w:rPr>
        <w:t>London Review of Books</w:t>
      </w:r>
      <w:r w:rsidRPr="00047A9D">
        <w:rPr>
          <w:rFonts w:ascii="Times New Roman" w:hAnsi="Times New Roman" w:cs="Times New Roman"/>
          <w:sz w:val="22"/>
          <w:szCs w:val="22"/>
        </w:rPr>
        <w:t xml:space="preserve"> 12.11 (14 June 1990) &lt;https://www.lrb.co.uk/the-paper/v12/n11/raphael-samuel/the-return-of-history&gt; [last accessed 18 January 2025].</w:t>
      </w:r>
    </w:p>
  </w:footnote>
  <w:footnote w:id="3">
    <w:p w14:paraId="65FCC7C1" w14:textId="17A83E53" w:rsidR="00E62B0D" w:rsidRPr="00047A9D" w:rsidRDefault="00E62B0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Ministry of Education</w:t>
      </w:r>
      <w:r w:rsidR="00594264" w:rsidRPr="00047A9D">
        <w:rPr>
          <w:rFonts w:ascii="Times New Roman" w:hAnsi="Times New Roman" w:cs="Times New Roman"/>
          <w:sz w:val="22"/>
          <w:szCs w:val="22"/>
        </w:rPr>
        <w:t xml:space="preserve"> (hereafter ‘MoE’)</w:t>
      </w:r>
      <w:r w:rsidRPr="00047A9D">
        <w:rPr>
          <w:rFonts w:ascii="Times New Roman" w:hAnsi="Times New Roman" w:cs="Times New Roman"/>
          <w:sz w:val="22"/>
          <w:szCs w:val="22"/>
        </w:rPr>
        <w:t xml:space="preserve">, </w:t>
      </w:r>
      <w:r w:rsidRPr="00047A9D">
        <w:rPr>
          <w:rFonts w:ascii="Times New Roman" w:hAnsi="Times New Roman" w:cs="Times New Roman"/>
          <w:i/>
          <w:iCs/>
          <w:sz w:val="22"/>
          <w:szCs w:val="22"/>
        </w:rPr>
        <w:t>Teaching History</w:t>
      </w:r>
      <w:r w:rsidRPr="00047A9D">
        <w:rPr>
          <w:rFonts w:ascii="Times New Roman" w:hAnsi="Times New Roman" w:cs="Times New Roman"/>
          <w:sz w:val="22"/>
          <w:szCs w:val="22"/>
        </w:rPr>
        <w:t xml:space="preserve">, Fifth Impression, (London: </w:t>
      </w:r>
      <w:r w:rsidR="00F77621" w:rsidRPr="00047A9D">
        <w:rPr>
          <w:rFonts w:ascii="Times New Roman" w:hAnsi="Times New Roman" w:cs="Times New Roman"/>
          <w:sz w:val="22"/>
          <w:szCs w:val="22"/>
        </w:rPr>
        <w:t>Her Majesty’s Station</w:t>
      </w:r>
      <w:r w:rsidR="00A321AF">
        <w:rPr>
          <w:rFonts w:ascii="Times New Roman" w:hAnsi="Times New Roman" w:cs="Times New Roman"/>
          <w:sz w:val="22"/>
          <w:szCs w:val="22"/>
        </w:rPr>
        <w:t>e</w:t>
      </w:r>
      <w:r w:rsidR="00F77621" w:rsidRPr="00047A9D">
        <w:rPr>
          <w:rFonts w:ascii="Times New Roman" w:hAnsi="Times New Roman" w:cs="Times New Roman"/>
          <w:sz w:val="22"/>
          <w:szCs w:val="22"/>
        </w:rPr>
        <w:t>ry Office [‘HMSO’]</w:t>
      </w:r>
      <w:r w:rsidRPr="00047A9D">
        <w:rPr>
          <w:rFonts w:ascii="Times New Roman" w:hAnsi="Times New Roman" w:cs="Times New Roman"/>
          <w:sz w:val="22"/>
          <w:szCs w:val="22"/>
        </w:rPr>
        <w:t>, 1962), p.7.</w:t>
      </w:r>
    </w:p>
  </w:footnote>
  <w:footnote w:id="4">
    <w:p w14:paraId="0BF88E0C" w14:textId="77777777" w:rsidR="00427A9A" w:rsidRPr="00047A9D" w:rsidRDefault="00427A9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Catriona McDermid and Stuart Foster, ‘Comparative Portrayals of the British Empire in History Textbooks, 1920s-2020s: Influences, Paradigms and Historical Frameworks’, </w:t>
      </w:r>
      <w:r w:rsidRPr="00047A9D">
        <w:rPr>
          <w:rFonts w:ascii="Times New Roman" w:hAnsi="Times New Roman" w:cs="Times New Roman"/>
          <w:i/>
          <w:sz w:val="22"/>
          <w:szCs w:val="22"/>
        </w:rPr>
        <w:t xml:space="preserve">History Education Research Journal </w:t>
      </w:r>
      <w:r w:rsidRPr="00047A9D">
        <w:rPr>
          <w:rFonts w:ascii="Times New Roman" w:hAnsi="Times New Roman" w:cs="Times New Roman"/>
          <w:sz w:val="22"/>
          <w:szCs w:val="22"/>
        </w:rPr>
        <w:t>21.1 (2024), 1-25, p.1.</w:t>
      </w:r>
    </w:p>
  </w:footnote>
  <w:footnote w:id="5">
    <w:p w14:paraId="123B54E9" w14:textId="6FBA91D2" w:rsidR="00360082" w:rsidRPr="00047A9D" w:rsidRDefault="0036008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B3A02" w:rsidRPr="00047A9D">
        <w:rPr>
          <w:rFonts w:ascii="Times New Roman" w:hAnsi="Times New Roman" w:cs="Times New Roman"/>
          <w:sz w:val="22"/>
          <w:szCs w:val="22"/>
        </w:rPr>
        <w:t xml:space="preserve">Susanne Grindel, ‘The End of Empire: Colonial Heritage and the Politics of Memory in Britain’, </w:t>
      </w:r>
      <w:r w:rsidR="000B3A02" w:rsidRPr="00047A9D">
        <w:rPr>
          <w:rFonts w:ascii="Times New Roman" w:hAnsi="Times New Roman" w:cs="Times New Roman"/>
          <w:i/>
          <w:sz w:val="22"/>
          <w:szCs w:val="22"/>
        </w:rPr>
        <w:t>Journal of Educational Media, Memory, and Society</w:t>
      </w:r>
      <w:r w:rsidR="000B3A02" w:rsidRPr="00047A9D">
        <w:rPr>
          <w:rFonts w:ascii="Times New Roman" w:hAnsi="Times New Roman" w:cs="Times New Roman"/>
          <w:sz w:val="22"/>
          <w:szCs w:val="22"/>
        </w:rPr>
        <w:t xml:space="preserve"> 5.1 (2013), 33-49, p.40.</w:t>
      </w:r>
    </w:p>
  </w:footnote>
  <w:footnote w:id="6">
    <w:p w14:paraId="0935330F" w14:textId="6ED3C7B3" w:rsidR="00360082" w:rsidRPr="00047A9D" w:rsidRDefault="0036008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 W. Nechtman, </w:t>
      </w:r>
      <w:r w:rsidRPr="00047A9D">
        <w:rPr>
          <w:rFonts w:ascii="Times New Roman" w:hAnsi="Times New Roman" w:cs="Times New Roman"/>
          <w:i/>
          <w:sz w:val="22"/>
          <w:szCs w:val="22"/>
        </w:rPr>
        <w:t>Nabobs: Empire and Identity in Eighteenth-Century Britain</w:t>
      </w:r>
      <w:r w:rsidRPr="00047A9D">
        <w:rPr>
          <w:rFonts w:ascii="Times New Roman" w:hAnsi="Times New Roman" w:cs="Times New Roman"/>
          <w:sz w:val="22"/>
          <w:szCs w:val="22"/>
        </w:rPr>
        <w:t xml:space="preserve"> (Cambridge: </w:t>
      </w:r>
      <w:r w:rsidR="000759E2" w:rsidRPr="00047A9D">
        <w:rPr>
          <w:rFonts w:ascii="Times New Roman" w:hAnsi="Times New Roman" w:cs="Times New Roman"/>
          <w:sz w:val="22"/>
          <w:szCs w:val="22"/>
        </w:rPr>
        <w:t>Cambridge University Press [CUP]</w:t>
      </w:r>
      <w:r w:rsidRPr="00047A9D">
        <w:rPr>
          <w:rFonts w:ascii="Times New Roman" w:hAnsi="Times New Roman" w:cs="Times New Roman"/>
          <w:sz w:val="22"/>
          <w:szCs w:val="22"/>
        </w:rPr>
        <w:t>, 2010), p.9.</w:t>
      </w:r>
    </w:p>
  </w:footnote>
  <w:footnote w:id="7">
    <w:p w14:paraId="4A14F402"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John Boorman, </w:t>
      </w:r>
      <w:r w:rsidRPr="00047A9D">
        <w:rPr>
          <w:rFonts w:ascii="Times New Roman" w:hAnsi="Times New Roman" w:cs="Times New Roman"/>
          <w:i/>
          <w:sz w:val="22"/>
          <w:szCs w:val="22"/>
        </w:rPr>
        <w:t>Hope and Glory</w:t>
      </w:r>
      <w:r w:rsidRPr="00047A9D">
        <w:rPr>
          <w:rFonts w:ascii="Times New Roman" w:hAnsi="Times New Roman" w:cs="Times New Roman"/>
          <w:sz w:val="22"/>
          <w:szCs w:val="22"/>
        </w:rPr>
        <w:t xml:space="preserve"> (London: Faber and Faber, 1987), p.59 provides a prominent cultural representation of this theme.</w:t>
      </w:r>
    </w:p>
  </w:footnote>
  <w:footnote w:id="8">
    <w:p w14:paraId="20E1C8EB"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Louise Seamster and Victor Ray, ‘Against Teleology in the Study of Race: Toward the Abolition of the Progress Paradigm’, </w:t>
      </w:r>
      <w:r w:rsidRPr="00047A9D">
        <w:rPr>
          <w:rFonts w:ascii="Times New Roman" w:hAnsi="Times New Roman" w:cs="Times New Roman"/>
          <w:i/>
          <w:sz w:val="22"/>
          <w:szCs w:val="22"/>
        </w:rPr>
        <w:t>Sociological Theory</w:t>
      </w:r>
      <w:r w:rsidRPr="00047A9D">
        <w:rPr>
          <w:rFonts w:ascii="Times New Roman" w:hAnsi="Times New Roman" w:cs="Times New Roman"/>
          <w:sz w:val="22"/>
          <w:szCs w:val="22"/>
        </w:rPr>
        <w:t xml:space="preserve">, 36.4 (2018), 315–42; for an example of this paradigm in operation, see Commission on Race and Ethnic Disparities, </w:t>
      </w:r>
      <w:r w:rsidRPr="00047A9D">
        <w:rPr>
          <w:rFonts w:ascii="Times New Roman" w:hAnsi="Times New Roman" w:cs="Times New Roman"/>
          <w:i/>
          <w:sz w:val="22"/>
          <w:szCs w:val="22"/>
        </w:rPr>
        <w:t>Commission on Race and Ethnic Disparities: The Report</w:t>
      </w:r>
      <w:r w:rsidRPr="00047A9D">
        <w:rPr>
          <w:rFonts w:ascii="Times New Roman" w:hAnsi="Times New Roman" w:cs="Times New Roman"/>
          <w:sz w:val="22"/>
          <w:szCs w:val="22"/>
        </w:rPr>
        <w:t>, Government Study CCS0221976844-001 (Palace of Westminster, London: Commission on Race and Ethnic Disparities, 2021), p.8 &lt;https://assets.publishing.service.gov.uk/government/uploads/system/uploads/attachment_data/file/974507/20210331_-_CRED_Report_-_FINAL_-_Web_Accessible.pdf &gt; [accessed 24 May 2022].</w:t>
      </w:r>
    </w:p>
  </w:footnote>
  <w:footnote w:id="9">
    <w:p w14:paraId="5C290F4D" w14:textId="1A4A8B53" w:rsidR="005910C2"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910C2" w:rsidRPr="00047A9D">
        <w:rPr>
          <w:rFonts w:ascii="Times New Roman" w:hAnsi="Times New Roman" w:cs="Times New Roman"/>
          <w:sz w:val="22"/>
          <w:szCs w:val="22"/>
        </w:rPr>
        <w:t xml:space="preserve">Stuart </w:t>
      </w:r>
      <w:r w:rsidRPr="00047A9D">
        <w:rPr>
          <w:rFonts w:ascii="Times New Roman" w:hAnsi="Times New Roman" w:cs="Times New Roman"/>
          <w:sz w:val="22"/>
          <w:szCs w:val="22"/>
        </w:rPr>
        <w:t xml:space="preserve">Ward, ‘Introduction’, </w:t>
      </w:r>
      <w:r w:rsidR="005910C2" w:rsidRPr="00047A9D">
        <w:rPr>
          <w:rFonts w:ascii="Times New Roman" w:hAnsi="Times New Roman" w:cs="Times New Roman"/>
          <w:sz w:val="22"/>
          <w:szCs w:val="22"/>
        </w:rPr>
        <w:t xml:space="preserve">in Stuart Ward (ed.), </w:t>
      </w:r>
      <w:r w:rsidR="005910C2" w:rsidRPr="00047A9D">
        <w:rPr>
          <w:rFonts w:ascii="Times New Roman" w:hAnsi="Times New Roman" w:cs="Times New Roman"/>
          <w:i/>
          <w:sz w:val="22"/>
          <w:szCs w:val="22"/>
        </w:rPr>
        <w:t xml:space="preserve">British Culture and the End of Empire </w:t>
      </w:r>
      <w:r w:rsidR="005910C2" w:rsidRPr="00047A9D">
        <w:rPr>
          <w:rFonts w:ascii="Times New Roman" w:hAnsi="Times New Roman" w:cs="Times New Roman"/>
          <w:sz w:val="22"/>
          <w:szCs w:val="22"/>
        </w:rPr>
        <w:t>(Manchester: M</w:t>
      </w:r>
      <w:r w:rsidR="009B0CD1" w:rsidRPr="00047A9D">
        <w:rPr>
          <w:rFonts w:ascii="Times New Roman" w:hAnsi="Times New Roman" w:cs="Times New Roman"/>
          <w:sz w:val="22"/>
          <w:szCs w:val="22"/>
        </w:rPr>
        <w:t xml:space="preserve">anchester </w:t>
      </w:r>
      <w:r w:rsidR="005910C2" w:rsidRPr="00047A9D">
        <w:rPr>
          <w:rFonts w:ascii="Times New Roman" w:hAnsi="Times New Roman" w:cs="Times New Roman"/>
          <w:sz w:val="22"/>
          <w:szCs w:val="22"/>
        </w:rPr>
        <w:t>U</w:t>
      </w:r>
      <w:r w:rsidR="009B0CD1" w:rsidRPr="00047A9D">
        <w:rPr>
          <w:rFonts w:ascii="Times New Roman" w:hAnsi="Times New Roman" w:cs="Times New Roman"/>
          <w:sz w:val="22"/>
          <w:szCs w:val="22"/>
        </w:rPr>
        <w:t xml:space="preserve">niversity </w:t>
      </w:r>
      <w:r w:rsidR="005910C2" w:rsidRPr="00047A9D">
        <w:rPr>
          <w:rFonts w:ascii="Times New Roman" w:hAnsi="Times New Roman" w:cs="Times New Roman"/>
          <w:sz w:val="22"/>
          <w:szCs w:val="22"/>
        </w:rPr>
        <w:t>P</w:t>
      </w:r>
      <w:r w:rsidR="009B0CD1" w:rsidRPr="00047A9D">
        <w:rPr>
          <w:rFonts w:ascii="Times New Roman" w:hAnsi="Times New Roman" w:cs="Times New Roman"/>
          <w:sz w:val="22"/>
          <w:szCs w:val="22"/>
        </w:rPr>
        <w:t>ress [MUP]</w:t>
      </w:r>
      <w:r w:rsidR="005910C2" w:rsidRPr="00047A9D">
        <w:rPr>
          <w:rFonts w:ascii="Times New Roman" w:hAnsi="Times New Roman" w:cs="Times New Roman"/>
          <w:sz w:val="22"/>
          <w:szCs w:val="22"/>
        </w:rPr>
        <w:t>, 2001),</w:t>
      </w:r>
      <w:r w:rsidR="005D2E3A" w:rsidRPr="00047A9D">
        <w:rPr>
          <w:rFonts w:ascii="Times New Roman" w:hAnsi="Times New Roman" w:cs="Times New Roman"/>
          <w:sz w:val="22"/>
          <w:szCs w:val="22"/>
        </w:rPr>
        <w:t xml:space="preserve"> 1-20,</w:t>
      </w:r>
      <w:r w:rsidR="005910C2" w:rsidRPr="00047A9D">
        <w:rPr>
          <w:rFonts w:ascii="Times New Roman" w:hAnsi="Times New Roman" w:cs="Times New Roman"/>
          <w:sz w:val="22"/>
          <w:szCs w:val="22"/>
        </w:rPr>
        <w:t xml:space="preserve"> pp.4-5.</w:t>
      </w:r>
    </w:p>
  </w:footnote>
  <w:footnote w:id="10">
    <w:p w14:paraId="20939C71" w14:textId="77777777" w:rsidR="00265814" w:rsidRPr="00047A9D" w:rsidRDefault="00265814" w:rsidP="00D839D4">
      <w:pPr>
        <w:pStyle w:val="FootnoteText"/>
        <w:spacing w:line="360" w:lineRule="auto"/>
        <w:rPr>
          <w:rFonts w:ascii="Times New Roman" w:eastAsia="Times New Roman" w:hAnsi="Times New Roman" w:cs="Times New Roman"/>
          <w:color w:val="000000"/>
          <w:sz w:val="22"/>
          <w:szCs w:val="22"/>
          <w:lang w:eastAsia="en-GB"/>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eastAsia="Times New Roman" w:hAnsi="Times New Roman" w:cs="Times New Roman"/>
          <w:color w:val="000000"/>
          <w:sz w:val="22"/>
          <w:szCs w:val="22"/>
          <w:lang w:eastAsia="en-GB"/>
        </w:rPr>
        <w:t xml:space="preserve">Lawrence J. Butler, </w:t>
      </w:r>
      <w:r w:rsidRPr="00047A9D">
        <w:rPr>
          <w:rFonts w:ascii="Times New Roman" w:eastAsia="Times New Roman" w:hAnsi="Times New Roman" w:cs="Times New Roman"/>
          <w:i/>
          <w:color w:val="000000"/>
          <w:sz w:val="22"/>
          <w:szCs w:val="22"/>
          <w:lang w:eastAsia="en-GB"/>
        </w:rPr>
        <w:t>Britain and Empire: Adjusting to a Post-imperial World</w:t>
      </w:r>
      <w:r w:rsidRPr="00047A9D">
        <w:rPr>
          <w:rFonts w:ascii="Times New Roman" w:eastAsia="Times New Roman" w:hAnsi="Times New Roman" w:cs="Times New Roman"/>
          <w:color w:val="000000"/>
          <w:sz w:val="22"/>
          <w:szCs w:val="22"/>
          <w:lang w:eastAsia="en-GB"/>
        </w:rPr>
        <w:t xml:space="preserve"> (London: I.B. Tauris, 2002), pp</w:t>
      </w:r>
      <w:r w:rsidRPr="00047A9D">
        <w:rPr>
          <w:rFonts w:ascii="Times New Roman" w:hAnsi="Times New Roman" w:cs="Times New Roman"/>
          <w:sz w:val="22"/>
          <w:szCs w:val="22"/>
        </w:rPr>
        <w:t>.135, 168.</w:t>
      </w:r>
    </w:p>
  </w:footnote>
  <w:footnote w:id="11">
    <w:p w14:paraId="60926F3C" w14:textId="5B48EE4C" w:rsidR="001E0352" w:rsidRPr="00047A9D" w:rsidRDefault="001E0352" w:rsidP="00D839D4">
      <w:pPr>
        <w:pStyle w:val="FootnoteText"/>
        <w:spacing w:line="360" w:lineRule="auto"/>
        <w:rPr>
          <w:rFonts w:ascii="Times New Roman" w:eastAsia="Times New Roman" w:hAnsi="Times New Roman" w:cs="Times New Roman"/>
          <w:color w:val="000000"/>
          <w:sz w:val="22"/>
          <w:szCs w:val="22"/>
          <w:lang w:eastAsia="en-GB"/>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eastAsia="Times New Roman" w:hAnsi="Times New Roman" w:cs="Times New Roman"/>
          <w:color w:val="000000"/>
          <w:sz w:val="22"/>
          <w:szCs w:val="22"/>
          <w:lang w:eastAsia="en-GB"/>
        </w:rPr>
        <w:t xml:space="preserve">Butler, </w:t>
      </w:r>
      <w:r w:rsidRPr="00047A9D">
        <w:rPr>
          <w:rFonts w:ascii="Times New Roman" w:eastAsia="Times New Roman" w:hAnsi="Times New Roman" w:cs="Times New Roman"/>
          <w:i/>
          <w:color w:val="000000"/>
          <w:sz w:val="22"/>
          <w:szCs w:val="22"/>
          <w:lang w:eastAsia="en-GB"/>
        </w:rPr>
        <w:t xml:space="preserve">Britain and Empire, </w:t>
      </w:r>
      <w:r w:rsidRPr="00047A9D">
        <w:rPr>
          <w:rFonts w:ascii="Times New Roman" w:eastAsia="Times New Roman" w:hAnsi="Times New Roman" w:cs="Times New Roman"/>
          <w:color w:val="000000"/>
          <w:sz w:val="22"/>
          <w:szCs w:val="22"/>
          <w:lang w:eastAsia="en-GB"/>
        </w:rPr>
        <w:t>pp</w:t>
      </w:r>
      <w:r w:rsidRPr="00047A9D">
        <w:rPr>
          <w:rFonts w:ascii="Times New Roman" w:hAnsi="Times New Roman" w:cs="Times New Roman"/>
          <w:sz w:val="22"/>
          <w:szCs w:val="22"/>
        </w:rPr>
        <w:t>.135, 168.</w:t>
      </w:r>
    </w:p>
  </w:footnote>
  <w:footnote w:id="12">
    <w:p w14:paraId="59E55844" w14:textId="4BE208A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John M. MacKenzie, ‘The Persistence of Empire in Metropolitan Culture’, </w:t>
      </w:r>
      <w:r w:rsidR="005910C2" w:rsidRPr="00047A9D">
        <w:rPr>
          <w:rFonts w:ascii="Times New Roman" w:hAnsi="Times New Roman" w:cs="Times New Roman"/>
          <w:sz w:val="22"/>
          <w:szCs w:val="22"/>
        </w:rPr>
        <w:t xml:space="preserve">in Ward (ed.), </w:t>
      </w:r>
      <w:r w:rsidR="005910C2" w:rsidRPr="00047A9D">
        <w:rPr>
          <w:rFonts w:ascii="Times New Roman" w:hAnsi="Times New Roman" w:cs="Times New Roman"/>
          <w:i/>
          <w:sz w:val="22"/>
          <w:szCs w:val="22"/>
        </w:rPr>
        <w:t>British Culture</w:t>
      </w:r>
      <w:r w:rsidRPr="00047A9D">
        <w:rPr>
          <w:rFonts w:ascii="Times New Roman" w:hAnsi="Times New Roman" w:cs="Times New Roman"/>
          <w:sz w:val="22"/>
          <w:szCs w:val="22"/>
        </w:rPr>
        <w:t>, 21-36, p.28.</w:t>
      </w:r>
    </w:p>
  </w:footnote>
  <w:footnote w:id="13">
    <w:p w14:paraId="4E7811E7" w14:textId="7777777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eastAsia="Times New Roman" w:hAnsi="Times New Roman" w:cs="Times New Roman"/>
          <w:color w:val="000000"/>
          <w:sz w:val="22"/>
          <w:szCs w:val="22"/>
          <w:lang w:eastAsia="en-GB"/>
        </w:rPr>
        <w:t xml:space="preserve">Butler, </w:t>
      </w:r>
      <w:r w:rsidRPr="00047A9D">
        <w:rPr>
          <w:rFonts w:ascii="Times New Roman" w:eastAsia="Times New Roman" w:hAnsi="Times New Roman" w:cs="Times New Roman"/>
          <w:i/>
          <w:color w:val="000000"/>
          <w:sz w:val="22"/>
          <w:szCs w:val="22"/>
          <w:lang w:eastAsia="en-GB"/>
        </w:rPr>
        <w:t>Britain and Empire</w:t>
      </w:r>
      <w:r w:rsidRPr="00047A9D">
        <w:rPr>
          <w:rFonts w:ascii="Times New Roman" w:eastAsia="Times New Roman" w:hAnsi="Times New Roman" w:cs="Times New Roman"/>
          <w:color w:val="000000"/>
          <w:sz w:val="22"/>
          <w:szCs w:val="22"/>
          <w:lang w:eastAsia="en-GB"/>
        </w:rPr>
        <w:t>, p.168.</w:t>
      </w:r>
    </w:p>
  </w:footnote>
  <w:footnote w:id="14">
    <w:p w14:paraId="6F53A5A7" w14:textId="32C6378D"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Kojo Koram, </w:t>
      </w:r>
      <w:r w:rsidRPr="00047A9D">
        <w:rPr>
          <w:rFonts w:ascii="Times New Roman" w:hAnsi="Times New Roman" w:cs="Times New Roman"/>
          <w:i/>
          <w:sz w:val="22"/>
          <w:szCs w:val="22"/>
        </w:rPr>
        <w:t>Uncommon Wealth: Britain and the Aftermath of Empire</w:t>
      </w:r>
      <w:r w:rsidRPr="00047A9D">
        <w:rPr>
          <w:rFonts w:ascii="Times New Roman" w:hAnsi="Times New Roman" w:cs="Times New Roman"/>
          <w:sz w:val="22"/>
          <w:szCs w:val="22"/>
        </w:rPr>
        <w:t xml:space="preserve"> (London: John Murray, 2022), pp.39-4</w:t>
      </w:r>
      <w:r w:rsidR="00861F86" w:rsidRPr="00047A9D">
        <w:rPr>
          <w:rFonts w:ascii="Times New Roman" w:hAnsi="Times New Roman" w:cs="Times New Roman"/>
          <w:sz w:val="22"/>
          <w:szCs w:val="22"/>
        </w:rPr>
        <w:t>0</w:t>
      </w:r>
      <w:r w:rsidRPr="00047A9D">
        <w:rPr>
          <w:rFonts w:ascii="Times New Roman" w:hAnsi="Times New Roman" w:cs="Times New Roman"/>
          <w:sz w:val="22"/>
          <w:szCs w:val="22"/>
        </w:rPr>
        <w:t>.</w:t>
      </w:r>
    </w:p>
  </w:footnote>
  <w:footnote w:id="15">
    <w:p w14:paraId="5302D84A" w14:textId="5E1924D9" w:rsidR="00246854" w:rsidRPr="00047A9D" w:rsidRDefault="00246854"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B7519" w:rsidRPr="00047A9D">
        <w:rPr>
          <w:rFonts w:ascii="Times New Roman" w:hAnsi="Times New Roman" w:cs="Times New Roman"/>
          <w:sz w:val="22"/>
          <w:szCs w:val="22"/>
        </w:rPr>
        <w:t>Koram, </w:t>
      </w:r>
      <w:r w:rsidR="00AB7519" w:rsidRPr="00047A9D">
        <w:rPr>
          <w:rFonts w:ascii="Times New Roman" w:hAnsi="Times New Roman" w:cs="Times New Roman"/>
          <w:i/>
          <w:sz w:val="22"/>
          <w:szCs w:val="22"/>
        </w:rPr>
        <w:t xml:space="preserve">Uncommon Wealth, </w:t>
      </w:r>
      <w:r w:rsidR="00AB7519" w:rsidRPr="00047A9D">
        <w:rPr>
          <w:rFonts w:ascii="Times New Roman" w:hAnsi="Times New Roman" w:cs="Times New Roman"/>
          <w:iCs/>
          <w:sz w:val="22"/>
          <w:szCs w:val="22"/>
        </w:rPr>
        <w:t>pp.39-40.</w:t>
      </w:r>
    </w:p>
  </w:footnote>
  <w:footnote w:id="16">
    <w:p w14:paraId="1B0962CB" w14:textId="205874F3" w:rsidR="00953D8C" w:rsidRPr="00047A9D" w:rsidRDefault="00953D8C"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Koram, </w:t>
      </w:r>
      <w:r w:rsidRPr="00047A9D">
        <w:rPr>
          <w:rFonts w:ascii="Times New Roman" w:hAnsi="Times New Roman" w:cs="Times New Roman"/>
          <w:i/>
          <w:sz w:val="22"/>
          <w:szCs w:val="22"/>
        </w:rPr>
        <w:t>Uncommon Wealth</w:t>
      </w:r>
      <w:r w:rsidRPr="00047A9D">
        <w:rPr>
          <w:rFonts w:ascii="Times New Roman" w:hAnsi="Times New Roman" w:cs="Times New Roman"/>
          <w:iCs/>
          <w:sz w:val="22"/>
          <w:szCs w:val="22"/>
        </w:rPr>
        <w:t>, pp.</w:t>
      </w:r>
      <w:r w:rsidR="00E20F0F" w:rsidRPr="00047A9D">
        <w:rPr>
          <w:rFonts w:ascii="Times New Roman" w:hAnsi="Times New Roman" w:cs="Times New Roman"/>
          <w:iCs/>
          <w:sz w:val="22"/>
          <w:szCs w:val="22"/>
        </w:rPr>
        <w:t>40</w:t>
      </w:r>
      <w:r w:rsidRPr="00047A9D">
        <w:rPr>
          <w:rFonts w:ascii="Times New Roman" w:hAnsi="Times New Roman" w:cs="Times New Roman"/>
          <w:iCs/>
          <w:sz w:val="22"/>
          <w:szCs w:val="22"/>
        </w:rPr>
        <w:t xml:space="preserve">-41; </w:t>
      </w:r>
      <w:r w:rsidR="00313B8A" w:rsidRPr="00047A9D">
        <w:rPr>
          <w:rFonts w:ascii="Times New Roman" w:hAnsi="Times New Roman" w:cs="Times New Roman"/>
          <w:sz w:val="22"/>
          <w:szCs w:val="22"/>
        </w:rPr>
        <w:t xml:space="preserve">J.R. Seeley, </w:t>
      </w:r>
      <w:r w:rsidR="00313B8A" w:rsidRPr="00047A9D">
        <w:rPr>
          <w:rFonts w:ascii="Times New Roman" w:hAnsi="Times New Roman" w:cs="Times New Roman"/>
          <w:i/>
          <w:sz w:val="22"/>
          <w:szCs w:val="22"/>
        </w:rPr>
        <w:t xml:space="preserve">The Expansion of England: Two Courses of Lectures </w:t>
      </w:r>
      <w:r w:rsidR="00313B8A" w:rsidRPr="00047A9D">
        <w:rPr>
          <w:rFonts w:ascii="Times New Roman" w:hAnsi="Times New Roman" w:cs="Times New Roman"/>
          <w:sz w:val="22"/>
          <w:szCs w:val="22"/>
        </w:rPr>
        <w:t>(London: Macmillan, 1886), p.8.</w:t>
      </w:r>
    </w:p>
  </w:footnote>
  <w:footnote w:id="17">
    <w:p w14:paraId="7706F698" w14:textId="7777777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Wendy Webster, </w:t>
      </w:r>
      <w:r w:rsidRPr="00047A9D">
        <w:rPr>
          <w:rFonts w:ascii="Times New Roman" w:hAnsi="Times New Roman" w:cs="Times New Roman"/>
          <w:i/>
          <w:sz w:val="22"/>
          <w:szCs w:val="22"/>
        </w:rPr>
        <w:t>Englishness and Empire, 1939-1965</w:t>
      </w:r>
      <w:r w:rsidRPr="00047A9D">
        <w:rPr>
          <w:rFonts w:ascii="Times New Roman" w:hAnsi="Times New Roman" w:cs="Times New Roman"/>
          <w:sz w:val="22"/>
          <w:szCs w:val="22"/>
        </w:rPr>
        <w:t xml:space="preserve"> (Oxford: Oxford University Press [OUP], 2005), pp.7, 11, 62.</w:t>
      </w:r>
    </w:p>
  </w:footnote>
  <w:footnote w:id="18">
    <w:p w14:paraId="612F1A08" w14:textId="157D7B5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‘London Declaration’, in </w:t>
      </w:r>
      <w:r w:rsidRPr="00047A9D">
        <w:rPr>
          <w:rFonts w:ascii="Times New Roman" w:hAnsi="Times New Roman" w:cs="Times New Roman"/>
          <w:i/>
          <w:sz w:val="22"/>
          <w:szCs w:val="22"/>
        </w:rPr>
        <w:t xml:space="preserve">Commonwealth Declarations </w:t>
      </w:r>
      <w:r w:rsidRPr="00047A9D">
        <w:rPr>
          <w:rFonts w:ascii="Times New Roman" w:hAnsi="Times New Roman" w:cs="Times New Roman"/>
          <w:sz w:val="22"/>
          <w:szCs w:val="22"/>
        </w:rPr>
        <w:t xml:space="preserve">(London: Commonwealth Secretariat, 2019), </w:t>
      </w:r>
      <w:r w:rsidR="00825FD5">
        <w:rPr>
          <w:rFonts w:ascii="Times New Roman" w:hAnsi="Times New Roman" w:cs="Times New Roman"/>
          <w:sz w:val="22"/>
          <w:szCs w:val="22"/>
        </w:rPr>
        <w:t>pp.</w:t>
      </w:r>
      <w:r w:rsidRPr="00047A9D">
        <w:rPr>
          <w:rFonts w:ascii="Times New Roman" w:hAnsi="Times New Roman" w:cs="Times New Roman"/>
          <w:sz w:val="22"/>
          <w:szCs w:val="22"/>
        </w:rPr>
        <w:t>3-4.</w:t>
      </w:r>
    </w:p>
  </w:footnote>
  <w:footnote w:id="19">
    <w:p w14:paraId="670685A3" w14:textId="77777777" w:rsidR="00265814" w:rsidRPr="00047A9D" w:rsidRDefault="00265814"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Dean Acheson, quoted in Webster, </w:t>
      </w:r>
      <w:r w:rsidRPr="00047A9D">
        <w:rPr>
          <w:rFonts w:ascii="Times New Roman" w:hAnsi="Times New Roman" w:cs="Times New Roman"/>
          <w:i/>
          <w:sz w:val="22"/>
          <w:szCs w:val="22"/>
        </w:rPr>
        <w:t xml:space="preserve">Englishness and Empire, </w:t>
      </w:r>
      <w:r w:rsidRPr="00047A9D">
        <w:rPr>
          <w:rFonts w:ascii="Times New Roman" w:hAnsi="Times New Roman" w:cs="Times New Roman"/>
          <w:sz w:val="22"/>
          <w:szCs w:val="22"/>
        </w:rPr>
        <w:t>p.167.</w:t>
      </w:r>
    </w:p>
  </w:footnote>
  <w:footnote w:id="20">
    <w:p w14:paraId="0041AB2A" w14:textId="3B62764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David Cannadine, </w:t>
      </w:r>
      <w:r w:rsidRPr="00047A9D">
        <w:rPr>
          <w:rFonts w:ascii="Times New Roman" w:hAnsi="Times New Roman" w:cs="Times New Roman"/>
          <w:i/>
          <w:sz w:val="22"/>
          <w:szCs w:val="22"/>
        </w:rPr>
        <w:t xml:space="preserve">Ornamentalism: How the British Saw their Empire </w:t>
      </w:r>
      <w:r w:rsidRPr="00047A9D">
        <w:rPr>
          <w:rFonts w:ascii="Times New Roman" w:hAnsi="Times New Roman" w:cs="Times New Roman"/>
          <w:sz w:val="22"/>
          <w:szCs w:val="22"/>
        </w:rPr>
        <w:t>(Oxford: OUP, 2001), p.190</w:t>
      </w:r>
      <w:r w:rsidR="00DF5C93">
        <w:rPr>
          <w:rFonts w:ascii="Times New Roman" w:hAnsi="Times New Roman" w:cs="Times New Roman"/>
          <w:sz w:val="22"/>
          <w:szCs w:val="22"/>
        </w:rPr>
        <w:t>.</w:t>
      </w:r>
    </w:p>
  </w:footnote>
  <w:footnote w:id="21">
    <w:p w14:paraId="725021C7" w14:textId="372930A9" w:rsidR="00265814" w:rsidRPr="00047A9D" w:rsidRDefault="00265814" w:rsidP="00D839D4">
      <w:pPr>
        <w:pStyle w:val="FootnoteText"/>
        <w:spacing w:line="360" w:lineRule="auto"/>
        <w:rPr>
          <w:rFonts w:ascii="Times New Roman" w:hAnsi="Times New Roman" w:cs="Times New Roman"/>
          <w:b/>
          <w:b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93A39" w:rsidRPr="00047A9D">
        <w:rPr>
          <w:rFonts w:ascii="Times New Roman" w:hAnsi="Times New Roman" w:cs="Times New Roman"/>
          <w:sz w:val="22"/>
          <w:szCs w:val="22"/>
        </w:rPr>
        <w:t>‘</w:t>
      </w:r>
      <w:r w:rsidRPr="00047A9D">
        <w:rPr>
          <w:rFonts w:ascii="Times New Roman" w:hAnsi="Times New Roman" w:cs="Times New Roman"/>
          <w:sz w:val="22"/>
          <w:szCs w:val="22"/>
        </w:rPr>
        <w:t>Christmas Broadcast 1953</w:t>
      </w:r>
      <w:r w:rsidR="00793A39" w:rsidRPr="00047A9D">
        <w:rPr>
          <w:rFonts w:ascii="Times New Roman" w:hAnsi="Times New Roman" w:cs="Times New Roman"/>
          <w:sz w:val="22"/>
          <w:szCs w:val="22"/>
        </w:rPr>
        <w:t>’</w:t>
      </w:r>
      <w:r w:rsidR="00230684" w:rsidRPr="00047A9D">
        <w:rPr>
          <w:rFonts w:ascii="Times New Roman" w:hAnsi="Times New Roman" w:cs="Times New Roman"/>
          <w:sz w:val="22"/>
          <w:szCs w:val="22"/>
        </w:rPr>
        <w:t xml:space="preserve"> </w:t>
      </w:r>
      <w:r w:rsidRPr="00047A9D">
        <w:rPr>
          <w:rFonts w:ascii="Times New Roman" w:hAnsi="Times New Roman" w:cs="Times New Roman"/>
          <w:sz w:val="22"/>
          <w:szCs w:val="22"/>
        </w:rPr>
        <w:t>&lt;https://www.royal.uk/christmas-broadcast-1953&gt; [accessed 26 January 2025].</w:t>
      </w:r>
    </w:p>
  </w:footnote>
  <w:footnote w:id="22">
    <w:p w14:paraId="0B46CEBD" w14:textId="24EDA54B" w:rsidR="00793A39" w:rsidRPr="00047A9D" w:rsidRDefault="00793A3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‘Christmas Broadcast 1953’.</w:t>
      </w:r>
    </w:p>
  </w:footnote>
  <w:footnote w:id="23">
    <w:p w14:paraId="6A65FB45" w14:textId="36D73A14" w:rsidR="005C66FB" w:rsidRPr="00047A9D" w:rsidRDefault="005C66F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864F4" w:rsidRPr="00047A9D">
        <w:rPr>
          <w:rFonts w:ascii="Times New Roman" w:hAnsi="Times New Roman" w:cs="Times New Roman"/>
          <w:sz w:val="22"/>
          <w:szCs w:val="22"/>
        </w:rPr>
        <w:t>Contemporaries were aware that the Commonwealth was sometimes perceived as a neo-colonial endeavour. See Emeka Anyaoku, </w:t>
      </w:r>
      <w:r w:rsidR="00B864F4" w:rsidRPr="00047A9D">
        <w:rPr>
          <w:rFonts w:ascii="Times New Roman" w:hAnsi="Times New Roman" w:cs="Times New Roman"/>
          <w:i/>
          <w:sz w:val="22"/>
          <w:szCs w:val="22"/>
        </w:rPr>
        <w:t>The Missing Headlines</w:t>
      </w:r>
      <w:r w:rsidR="004A2F24" w:rsidRPr="00047A9D">
        <w:rPr>
          <w:rFonts w:ascii="Times New Roman" w:hAnsi="Times New Roman" w:cs="Times New Roman"/>
          <w:i/>
          <w:sz w:val="22"/>
          <w:szCs w:val="22"/>
        </w:rPr>
        <w:t xml:space="preserve">: </w:t>
      </w:r>
      <w:r w:rsidR="00B864F4" w:rsidRPr="00047A9D">
        <w:rPr>
          <w:rFonts w:ascii="Times New Roman" w:hAnsi="Times New Roman" w:cs="Times New Roman"/>
          <w:i/>
          <w:sz w:val="22"/>
          <w:szCs w:val="22"/>
        </w:rPr>
        <w:t>Selected Speeches</w:t>
      </w:r>
      <w:r w:rsidR="00B864F4" w:rsidRPr="00047A9D">
        <w:rPr>
          <w:rFonts w:ascii="Times New Roman" w:hAnsi="Times New Roman" w:cs="Times New Roman"/>
          <w:sz w:val="22"/>
          <w:szCs w:val="22"/>
        </w:rPr>
        <w:t> (Liverpool: Liverpool University Press, 1997)</w:t>
      </w:r>
      <w:r w:rsidR="004A2F24" w:rsidRPr="00047A9D">
        <w:rPr>
          <w:rFonts w:ascii="Times New Roman" w:hAnsi="Times New Roman" w:cs="Times New Roman"/>
          <w:sz w:val="22"/>
          <w:szCs w:val="22"/>
        </w:rPr>
        <w:t>, pp.</w:t>
      </w:r>
      <w:r w:rsidR="00B864F4" w:rsidRPr="00047A9D">
        <w:rPr>
          <w:rFonts w:ascii="Times New Roman" w:hAnsi="Times New Roman" w:cs="Times New Roman"/>
          <w:sz w:val="22"/>
          <w:szCs w:val="22"/>
        </w:rPr>
        <w:t>vii-viii.</w:t>
      </w:r>
    </w:p>
  </w:footnote>
  <w:footnote w:id="24">
    <w:p w14:paraId="072CBFFE" w14:textId="7777777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Nicole M. Jackson, ‘The Ties that Bind: Questions of Empire and Belonging in Black British Educational Activism’, in Kehinde Andrews and Lisa Amanda Palmer (eds), </w:t>
      </w:r>
      <w:r w:rsidRPr="00047A9D">
        <w:rPr>
          <w:rFonts w:ascii="Times New Roman" w:hAnsi="Times New Roman" w:cs="Times New Roman"/>
          <w:i/>
          <w:sz w:val="22"/>
          <w:szCs w:val="22"/>
        </w:rPr>
        <w:t>Blackness in Britain</w:t>
      </w:r>
      <w:r w:rsidRPr="00047A9D">
        <w:rPr>
          <w:rFonts w:ascii="Times New Roman" w:hAnsi="Times New Roman" w:cs="Times New Roman"/>
          <w:sz w:val="22"/>
          <w:szCs w:val="22"/>
        </w:rPr>
        <w:t xml:space="preserve"> (London: Routledge, 2016), 117-29, p.126.</w:t>
      </w:r>
    </w:p>
  </w:footnote>
  <w:footnote w:id="25">
    <w:p w14:paraId="5ACE15F7" w14:textId="5EC186A9" w:rsidR="00265814" w:rsidRPr="00047A9D" w:rsidRDefault="00265814"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Webster, </w:t>
      </w:r>
      <w:r w:rsidRPr="00047A9D">
        <w:rPr>
          <w:rFonts w:ascii="Times New Roman" w:hAnsi="Times New Roman" w:cs="Times New Roman"/>
          <w:i/>
          <w:sz w:val="22"/>
          <w:szCs w:val="22"/>
        </w:rPr>
        <w:t>Englishness and Empire</w:t>
      </w:r>
      <w:r w:rsidRPr="00047A9D">
        <w:rPr>
          <w:rFonts w:ascii="Times New Roman" w:hAnsi="Times New Roman" w:cs="Times New Roman"/>
          <w:sz w:val="22"/>
          <w:szCs w:val="22"/>
        </w:rPr>
        <w:t>, p.152-53.</w:t>
      </w:r>
    </w:p>
  </w:footnote>
  <w:footnote w:id="26">
    <w:p w14:paraId="2F2D8264" w14:textId="7777777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William H. Israel, </w:t>
      </w:r>
      <w:r w:rsidRPr="00047A9D">
        <w:rPr>
          <w:rFonts w:ascii="Times New Roman" w:hAnsi="Times New Roman" w:cs="Times New Roman"/>
          <w:i/>
          <w:sz w:val="22"/>
          <w:szCs w:val="22"/>
        </w:rPr>
        <w:t xml:space="preserve">Colour and Community: A Study of Coloured Immigrants and Race Relations in an Industrial Town </w:t>
      </w:r>
      <w:r w:rsidRPr="00047A9D">
        <w:rPr>
          <w:rFonts w:ascii="Times New Roman" w:hAnsi="Times New Roman" w:cs="Times New Roman"/>
          <w:sz w:val="22"/>
          <w:szCs w:val="22"/>
        </w:rPr>
        <w:t xml:space="preserve">(Slough: Slough Council of Social Service, 1964), p.19; Charlotte Lydia Riley, </w:t>
      </w:r>
      <w:r w:rsidRPr="00047A9D">
        <w:rPr>
          <w:rFonts w:ascii="Times New Roman" w:hAnsi="Times New Roman" w:cs="Times New Roman"/>
          <w:i/>
          <w:sz w:val="22"/>
          <w:szCs w:val="22"/>
        </w:rPr>
        <w:t xml:space="preserve">Imperial Island: A History of Empire in Modern Britain </w:t>
      </w:r>
      <w:r w:rsidRPr="00047A9D">
        <w:rPr>
          <w:rFonts w:ascii="Times New Roman" w:hAnsi="Times New Roman" w:cs="Times New Roman"/>
          <w:sz w:val="22"/>
          <w:szCs w:val="22"/>
        </w:rPr>
        <w:t>(London: Penguin, 2023), p.91.</w:t>
      </w:r>
    </w:p>
  </w:footnote>
  <w:footnote w:id="27">
    <w:p w14:paraId="7FF0121D" w14:textId="4B604AD9"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Webster, </w:t>
      </w:r>
      <w:r w:rsidRPr="00047A9D">
        <w:rPr>
          <w:rFonts w:ascii="Times New Roman" w:hAnsi="Times New Roman" w:cs="Times New Roman"/>
          <w:i/>
          <w:sz w:val="22"/>
          <w:szCs w:val="22"/>
        </w:rPr>
        <w:t>Englishness and Empire</w:t>
      </w:r>
      <w:r w:rsidRPr="00047A9D">
        <w:rPr>
          <w:rFonts w:ascii="Times New Roman" w:hAnsi="Times New Roman" w:cs="Times New Roman"/>
          <w:sz w:val="22"/>
          <w:szCs w:val="22"/>
        </w:rPr>
        <w:t>, p</w:t>
      </w:r>
      <w:r w:rsidR="00DF5C93">
        <w:rPr>
          <w:rFonts w:ascii="Times New Roman" w:hAnsi="Times New Roman" w:cs="Times New Roman"/>
          <w:sz w:val="22"/>
          <w:szCs w:val="22"/>
        </w:rPr>
        <w:t>p</w:t>
      </w:r>
      <w:r w:rsidRPr="00047A9D">
        <w:rPr>
          <w:rFonts w:ascii="Times New Roman" w:hAnsi="Times New Roman" w:cs="Times New Roman"/>
          <w:sz w:val="22"/>
          <w:szCs w:val="22"/>
        </w:rPr>
        <w:t>.180-81.</w:t>
      </w:r>
    </w:p>
  </w:footnote>
  <w:footnote w:id="28">
    <w:p w14:paraId="093DB2AA" w14:textId="5DF450D1" w:rsidR="00601FAA" w:rsidRPr="00047A9D" w:rsidRDefault="00601F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Webster, </w:t>
      </w:r>
      <w:r w:rsidRPr="00047A9D">
        <w:rPr>
          <w:rFonts w:ascii="Times New Roman" w:hAnsi="Times New Roman" w:cs="Times New Roman"/>
          <w:i/>
          <w:sz w:val="22"/>
          <w:szCs w:val="22"/>
        </w:rPr>
        <w:t>Englishness and Empire</w:t>
      </w:r>
      <w:r w:rsidRPr="00047A9D">
        <w:rPr>
          <w:rFonts w:ascii="Times New Roman" w:hAnsi="Times New Roman" w:cs="Times New Roman"/>
          <w:sz w:val="22"/>
          <w:szCs w:val="22"/>
        </w:rPr>
        <w:t>, p.</w:t>
      </w:r>
      <w:r w:rsidR="00CE604D" w:rsidRPr="00047A9D">
        <w:rPr>
          <w:rFonts w:ascii="Times New Roman" w:hAnsi="Times New Roman" w:cs="Times New Roman"/>
          <w:sz w:val="22"/>
          <w:szCs w:val="22"/>
        </w:rPr>
        <w:t>159.</w:t>
      </w:r>
    </w:p>
  </w:footnote>
  <w:footnote w:id="29">
    <w:p w14:paraId="37F3CFEE" w14:textId="121E632B"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Webster, </w:t>
      </w:r>
      <w:r w:rsidRPr="00047A9D">
        <w:rPr>
          <w:rFonts w:ascii="Times New Roman" w:hAnsi="Times New Roman" w:cs="Times New Roman"/>
          <w:i/>
          <w:sz w:val="22"/>
          <w:szCs w:val="22"/>
        </w:rPr>
        <w:t>Englishness and Empire</w:t>
      </w:r>
      <w:r w:rsidRPr="00047A9D">
        <w:rPr>
          <w:rFonts w:ascii="Times New Roman" w:hAnsi="Times New Roman" w:cs="Times New Roman"/>
          <w:sz w:val="22"/>
          <w:szCs w:val="22"/>
        </w:rPr>
        <w:t>, pp.189, 196.</w:t>
      </w:r>
    </w:p>
  </w:footnote>
  <w:footnote w:id="30">
    <w:p w14:paraId="1F7CBECC" w14:textId="7777777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Michael Roper, ‘Between Manliness and Masculinity: The “War Generation” and the Psychology of Fear in Britain, 1914–1950’, </w:t>
      </w:r>
      <w:r w:rsidRPr="00047A9D">
        <w:rPr>
          <w:rFonts w:ascii="Times New Roman" w:hAnsi="Times New Roman" w:cs="Times New Roman"/>
          <w:i/>
          <w:sz w:val="22"/>
          <w:szCs w:val="22"/>
        </w:rPr>
        <w:t>Journal of British Studies</w:t>
      </w:r>
      <w:r w:rsidRPr="00047A9D">
        <w:rPr>
          <w:rFonts w:ascii="Times New Roman" w:hAnsi="Times New Roman" w:cs="Times New Roman"/>
          <w:sz w:val="22"/>
          <w:szCs w:val="22"/>
        </w:rPr>
        <w:t xml:space="preserve"> 44.2 (2005), 343-62, p.343.</w:t>
      </w:r>
    </w:p>
  </w:footnote>
  <w:footnote w:id="31">
    <w:p w14:paraId="0FB049B7" w14:textId="77777777" w:rsidR="00265814" w:rsidRPr="00047A9D" w:rsidRDefault="00265814"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Paul Gilroy</w:t>
      </w:r>
      <w:r w:rsidRPr="00047A9D">
        <w:rPr>
          <w:rFonts w:ascii="Times New Roman" w:hAnsi="Times New Roman" w:cs="Times New Roman"/>
          <w:i/>
          <w:sz w:val="22"/>
          <w:szCs w:val="22"/>
        </w:rPr>
        <w:t>, After Empire: Melancholia or Convivial Culture?</w:t>
      </w:r>
      <w:r w:rsidRPr="00047A9D">
        <w:rPr>
          <w:rFonts w:ascii="Times New Roman" w:hAnsi="Times New Roman" w:cs="Times New Roman"/>
          <w:sz w:val="22"/>
          <w:szCs w:val="22"/>
        </w:rPr>
        <w:t xml:space="preserve"> (London: Routledge, 2004)</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pp.95-96.</w:t>
      </w:r>
    </w:p>
  </w:footnote>
  <w:footnote w:id="32">
    <w:p w14:paraId="7908AE65" w14:textId="17F80DF0"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02EE6" w:rsidRPr="00047A9D">
        <w:rPr>
          <w:rFonts w:ascii="Times New Roman" w:hAnsi="Times New Roman" w:cs="Times New Roman"/>
          <w:sz w:val="22"/>
          <w:szCs w:val="22"/>
        </w:rPr>
        <w:t xml:space="preserve">Peter </w:t>
      </w:r>
      <w:r w:rsidR="00F21DAD" w:rsidRPr="00047A9D">
        <w:rPr>
          <w:rFonts w:ascii="Times New Roman" w:hAnsi="Times New Roman" w:cs="Times New Roman"/>
          <w:sz w:val="22"/>
          <w:szCs w:val="22"/>
        </w:rPr>
        <w:t>Mitchell, </w:t>
      </w:r>
      <w:r w:rsidR="00F21DAD" w:rsidRPr="00047A9D">
        <w:rPr>
          <w:rFonts w:ascii="Times New Roman" w:hAnsi="Times New Roman" w:cs="Times New Roman"/>
          <w:i/>
          <w:sz w:val="22"/>
          <w:szCs w:val="22"/>
        </w:rPr>
        <w:t>Imperial Nostalgi</w:t>
      </w:r>
      <w:r w:rsidR="00102EE6" w:rsidRPr="00047A9D">
        <w:rPr>
          <w:rFonts w:ascii="Times New Roman" w:hAnsi="Times New Roman" w:cs="Times New Roman"/>
          <w:i/>
          <w:sz w:val="22"/>
          <w:szCs w:val="22"/>
        </w:rPr>
        <w:t>a</w:t>
      </w:r>
      <w:r w:rsidR="00F21DAD" w:rsidRPr="00047A9D">
        <w:rPr>
          <w:rFonts w:ascii="Times New Roman" w:hAnsi="Times New Roman" w:cs="Times New Roman"/>
          <w:i/>
          <w:sz w:val="22"/>
          <w:szCs w:val="22"/>
        </w:rPr>
        <w:t>: How the British Conquered Themselves</w:t>
      </w:r>
      <w:r w:rsidR="00102EE6" w:rsidRPr="00047A9D">
        <w:rPr>
          <w:rFonts w:ascii="Times New Roman" w:hAnsi="Times New Roman" w:cs="Times New Roman"/>
          <w:sz w:val="22"/>
          <w:szCs w:val="22"/>
        </w:rPr>
        <w:t xml:space="preserve"> (Manchester: MUP</w:t>
      </w:r>
      <w:r w:rsidR="00F21DAD" w:rsidRPr="00047A9D">
        <w:rPr>
          <w:rFonts w:ascii="Times New Roman" w:hAnsi="Times New Roman" w:cs="Times New Roman"/>
          <w:sz w:val="22"/>
          <w:szCs w:val="22"/>
        </w:rPr>
        <w:t>, 2021</w:t>
      </w:r>
      <w:r w:rsidR="00102EE6" w:rsidRPr="00047A9D">
        <w:rPr>
          <w:rFonts w:ascii="Times New Roman" w:hAnsi="Times New Roman" w:cs="Times New Roman"/>
          <w:sz w:val="22"/>
          <w:szCs w:val="22"/>
        </w:rPr>
        <w:t>)</w:t>
      </w:r>
      <w:r w:rsidRPr="00047A9D">
        <w:rPr>
          <w:rFonts w:ascii="Times New Roman" w:hAnsi="Times New Roman" w:cs="Times New Roman"/>
          <w:sz w:val="22"/>
          <w:szCs w:val="22"/>
        </w:rPr>
        <w:t>, pp.17-18.</w:t>
      </w:r>
    </w:p>
  </w:footnote>
  <w:footnote w:id="33">
    <w:p w14:paraId="5D174C61" w14:textId="7777777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Richard Drayton, ‘Secondary Decolonisation: The Black Power Movement in Barbados, c. 1970’, in Kate Quinn (ed.), </w:t>
      </w:r>
      <w:r w:rsidRPr="00047A9D">
        <w:rPr>
          <w:rFonts w:ascii="Times New Roman" w:hAnsi="Times New Roman" w:cs="Times New Roman"/>
          <w:i/>
          <w:sz w:val="22"/>
          <w:szCs w:val="22"/>
        </w:rPr>
        <w:t>Black Power in the Caribbean</w:t>
      </w:r>
      <w:r w:rsidRPr="00047A9D">
        <w:rPr>
          <w:rFonts w:ascii="Times New Roman" w:hAnsi="Times New Roman" w:cs="Times New Roman"/>
          <w:sz w:val="22"/>
          <w:szCs w:val="22"/>
        </w:rPr>
        <w:t xml:space="preserve"> (Gainesville: University Press of Florida, 2014), 117–35, p.118.</w:t>
      </w:r>
    </w:p>
  </w:footnote>
  <w:footnote w:id="34">
    <w:p w14:paraId="61DA1075" w14:textId="77777777" w:rsidR="00265814" w:rsidRPr="00047A9D" w:rsidRDefault="0026581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Antoinette Burton, ‘India, Inc.? Nostalgia, Memory and the Empire of Things’, in Ward (ed.), </w:t>
      </w:r>
      <w:r w:rsidRPr="00047A9D">
        <w:rPr>
          <w:rFonts w:ascii="Times New Roman" w:hAnsi="Times New Roman" w:cs="Times New Roman"/>
          <w:i/>
          <w:sz w:val="22"/>
          <w:szCs w:val="22"/>
        </w:rPr>
        <w:t>British Culture</w:t>
      </w:r>
      <w:r w:rsidRPr="00047A9D">
        <w:rPr>
          <w:rFonts w:ascii="Times New Roman" w:hAnsi="Times New Roman" w:cs="Times New Roman"/>
          <w:sz w:val="22"/>
          <w:szCs w:val="22"/>
        </w:rPr>
        <w:t>, 217-32, pp.217, 230.</w:t>
      </w:r>
    </w:p>
  </w:footnote>
  <w:footnote w:id="35">
    <w:p w14:paraId="56CB8C20"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John Slater, </w:t>
      </w:r>
      <w:r w:rsidRPr="00047A9D">
        <w:rPr>
          <w:rFonts w:ascii="Times New Roman" w:hAnsi="Times New Roman" w:cs="Times New Roman"/>
          <w:i/>
          <w:sz w:val="22"/>
          <w:szCs w:val="22"/>
        </w:rPr>
        <w:t xml:space="preserve">The Politics of History Teaching: A Humanity Dehumanised </w:t>
      </w:r>
      <w:r w:rsidRPr="00047A9D">
        <w:rPr>
          <w:rFonts w:ascii="Times New Roman" w:hAnsi="Times New Roman" w:cs="Times New Roman"/>
          <w:sz w:val="22"/>
          <w:szCs w:val="22"/>
        </w:rPr>
        <w:t>(London: Institute of Education, 1989).</w:t>
      </w:r>
    </w:p>
  </w:footnote>
  <w:footnote w:id="36">
    <w:p w14:paraId="59CB93F8"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McDermid and Foster, ‘Comparative Portrayals of the British Empire’, p.6.</w:t>
      </w:r>
    </w:p>
  </w:footnote>
  <w:footnote w:id="37">
    <w:p w14:paraId="71F883F5"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McDermid and Foster, ‘Comparative Portrayals of the British Empire’, p.2; David Sylvester, ‘Change and Continuity in History Teaching 1900–93’, in Hilary Bourdillon (ed.),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xml:space="preserve"> (London: Routledge, 1994), 23-52, p.29.</w:t>
      </w:r>
    </w:p>
  </w:footnote>
  <w:footnote w:id="38">
    <w:p w14:paraId="65EB394D"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David Cannadine, Jenny Keating, and Nicola Sheldon, </w:t>
      </w:r>
      <w:r w:rsidRPr="00047A9D">
        <w:rPr>
          <w:rFonts w:ascii="Times New Roman" w:hAnsi="Times New Roman" w:cs="Times New Roman"/>
          <w:i/>
          <w:sz w:val="22"/>
          <w:szCs w:val="22"/>
        </w:rPr>
        <w:t xml:space="preserve">The Right Kind of History: Teaching the Past in Twentieth-Century England </w:t>
      </w:r>
      <w:r w:rsidRPr="00047A9D">
        <w:rPr>
          <w:rFonts w:ascii="Times New Roman" w:hAnsi="Times New Roman" w:cs="Times New Roman"/>
          <w:sz w:val="22"/>
          <w:szCs w:val="22"/>
        </w:rPr>
        <w:t>(Basingstoke: Palgrave Macmillan, 2011), p.140.</w:t>
      </w:r>
    </w:p>
  </w:footnote>
  <w:footnote w:id="39">
    <w:p w14:paraId="47FDCAB4" w14:textId="52393C1E" w:rsidR="00CE604D" w:rsidRPr="00047A9D" w:rsidRDefault="00CE604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50215" w:rsidRPr="00047A9D">
        <w:rPr>
          <w:rFonts w:ascii="Times New Roman" w:hAnsi="Times New Roman" w:cs="Times New Roman"/>
          <w:sz w:val="22"/>
          <w:szCs w:val="22"/>
        </w:rPr>
        <w:t xml:space="preserve">Margaret Parker, ‘History in Danger’, </w:t>
      </w:r>
      <w:r w:rsidR="00A50215" w:rsidRPr="00047A9D">
        <w:rPr>
          <w:rFonts w:ascii="Times New Roman" w:hAnsi="Times New Roman" w:cs="Times New Roman"/>
          <w:i/>
          <w:iCs/>
          <w:sz w:val="22"/>
          <w:szCs w:val="22"/>
        </w:rPr>
        <w:t>Teaching History</w:t>
      </w:r>
      <w:r w:rsidR="00A50215" w:rsidRPr="00047A9D">
        <w:rPr>
          <w:rFonts w:ascii="Times New Roman" w:hAnsi="Times New Roman" w:cs="Times New Roman"/>
          <w:sz w:val="22"/>
          <w:szCs w:val="22"/>
        </w:rPr>
        <w:t xml:space="preserve"> 35 (February 1983), 3-5</w:t>
      </w:r>
      <w:r w:rsidR="00B6124D" w:rsidRPr="00047A9D">
        <w:rPr>
          <w:rFonts w:ascii="Times New Roman" w:hAnsi="Times New Roman" w:cs="Times New Roman"/>
          <w:sz w:val="22"/>
          <w:szCs w:val="22"/>
        </w:rPr>
        <w:t>, p.3</w:t>
      </w:r>
      <w:r w:rsidR="00A22850" w:rsidRPr="00047A9D">
        <w:rPr>
          <w:rFonts w:ascii="Times New Roman" w:hAnsi="Times New Roman" w:cs="Times New Roman"/>
          <w:sz w:val="22"/>
          <w:szCs w:val="22"/>
        </w:rPr>
        <w:t>; Helen Kedourie, Errors and Evils of the New History (London: Centre for Policy Studies, 1988).</w:t>
      </w:r>
    </w:p>
  </w:footnote>
  <w:footnote w:id="40">
    <w:p w14:paraId="481FADFE" w14:textId="77777777" w:rsidR="009329E1" w:rsidRPr="00047A9D" w:rsidRDefault="009329E1"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Israel, </w:t>
      </w:r>
      <w:r w:rsidRPr="00047A9D">
        <w:rPr>
          <w:rFonts w:ascii="Times New Roman" w:hAnsi="Times New Roman" w:cs="Times New Roman"/>
          <w:i/>
          <w:sz w:val="22"/>
          <w:szCs w:val="22"/>
        </w:rPr>
        <w:t>Colour and Community</w:t>
      </w:r>
      <w:r w:rsidRPr="00047A9D">
        <w:rPr>
          <w:rFonts w:ascii="Times New Roman" w:hAnsi="Times New Roman" w:cs="Times New Roman"/>
          <w:sz w:val="22"/>
          <w:szCs w:val="22"/>
        </w:rPr>
        <w:t>, p.74.</w:t>
      </w:r>
    </w:p>
  </w:footnote>
  <w:footnote w:id="41">
    <w:p w14:paraId="0262C211"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Robert Phillips,</w:t>
      </w:r>
      <w:r w:rsidRPr="00047A9D">
        <w:rPr>
          <w:rFonts w:ascii="Times New Roman" w:hAnsi="Times New Roman" w:cs="Times New Roman"/>
          <w:i/>
          <w:sz w:val="22"/>
          <w:szCs w:val="22"/>
        </w:rPr>
        <w:t> History Teaching, Nationhood and the State: A Study in Educational Politics</w:t>
      </w:r>
      <w:r w:rsidRPr="00047A9D">
        <w:rPr>
          <w:rFonts w:ascii="Times New Roman" w:hAnsi="Times New Roman" w:cs="Times New Roman"/>
          <w:sz w:val="22"/>
          <w:szCs w:val="22"/>
        </w:rPr>
        <w:t xml:space="preserve"> (London: Cassell, 1998), p.4; Stuart MacLure, </w:t>
      </w:r>
      <w:r w:rsidRPr="00047A9D">
        <w:rPr>
          <w:rFonts w:ascii="Times New Roman" w:hAnsi="Times New Roman" w:cs="Times New Roman"/>
          <w:i/>
          <w:sz w:val="22"/>
          <w:szCs w:val="22"/>
        </w:rPr>
        <w:t>Education Re-formed</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A Guide to the Education Reform Act</w:t>
      </w:r>
      <w:r w:rsidRPr="00047A9D">
        <w:rPr>
          <w:rFonts w:ascii="Times New Roman" w:hAnsi="Times New Roman" w:cs="Times New Roman"/>
          <w:sz w:val="22"/>
          <w:szCs w:val="22"/>
        </w:rPr>
        <w:t xml:space="preserve"> (London: Hodder &amp; Stoughton,1989), p.v.</w:t>
      </w:r>
    </w:p>
  </w:footnote>
  <w:footnote w:id="42">
    <w:p w14:paraId="21BBC305"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Ward, ‘Introduction’, in Stuart Ward (ed.), </w:t>
      </w:r>
      <w:r w:rsidRPr="00047A9D">
        <w:rPr>
          <w:rFonts w:ascii="Times New Roman" w:hAnsi="Times New Roman" w:cs="Times New Roman"/>
          <w:i/>
          <w:sz w:val="22"/>
          <w:szCs w:val="22"/>
        </w:rPr>
        <w:t>British Culture</w:t>
      </w:r>
      <w:r w:rsidRPr="00047A9D">
        <w:rPr>
          <w:rFonts w:ascii="Times New Roman" w:hAnsi="Times New Roman" w:cs="Times New Roman"/>
          <w:sz w:val="22"/>
          <w:szCs w:val="22"/>
        </w:rPr>
        <w:t>, p.4.</w:t>
      </w:r>
    </w:p>
  </w:footnote>
  <w:footnote w:id="43">
    <w:p w14:paraId="3B355D2D" w14:textId="62D19FAB"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Laura Tisdall, ‘“The School that I’d Like”: Children and Teenagers Write About Education in England and Wales, 1945–79’, in Siân Pooley and Jonathan Taylor, </w:t>
      </w:r>
      <w:r w:rsidRPr="00047A9D">
        <w:rPr>
          <w:rFonts w:ascii="Times New Roman" w:hAnsi="Times New Roman" w:cs="Times New Roman"/>
          <w:i/>
          <w:sz w:val="22"/>
          <w:szCs w:val="22"/>
        </w:rPr>
        <w:t>Children’s Experiences of Welfare in Modern Britain</w:t>
      </w:r>
      <w:r w:rsidRPr="00047A9D">
        <w:rPr>
          <w:rFonts w:ascii="Times New Roman" w:hAnsi="Times New Roman" w:cs="Times New Roman"/>
          <w:sz w:val="22"/>
          <w:szCs w:val="22"/>
        </w:rPr>
        <w:t xml:space="preserve"> (London: University of London Press, 2021), 197–219, p.199.</w:t>
      </w:r>
    </w:p>
  </w:footnote>
  <w:footnote w:id="44">
    <w:p w14:paraId="09446756" w14:textId="3AA44C92"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Laura Tisdall, ‘State of the Field: The Modern History of Childhood’, </w:t>
      </w:r>
      <w:r w:rsidRPr="00047A9D">
        <w:rPr>
          <w:rFonts w:ascii="Times New Roman" w:hAnsi="Times New Roman" w:cs="Times New Roman"/>
          <w:i/>
          <w:sz w:val="22"/>
          <w:szCs w:val="22"/>
        </w:rPr>
        <w:t>History</w:t>
      </w:r>
      <w:r w:rsidRPr="00047A9D">
        <w:rPr>
          <w:rFonts w:ascii="Times New Roman" w:hAnsi="Times New Roman" w:cs="Times New Roman"/>
          <w:sz w:val="22"/>
          <w:szCs w:val="22"/>
        </w:rPr>
        <w:t xml:space="preserve"> 107 (2022), 949-64, p.959.</w:t>
      </w:r>
    </w:p>
  </w:footnote>
  <w:footnote w:id="45">
    <w:p w14:paraId="203CF582"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Gilroy, </w:t>
      </w:r>
      <w:r w:rsidRPr="00047A9D">
        <w:rPr>
          <w:rFonts w:ascii="Times New Roman" w:hAnsi="Times New Roman" w:cs="Times New Roman"/>
          <w:i/>
          <w:sz w:val="22"/>
          <w:szCs w:val="22"/>
        </w:rPr>
        <w:t>After Empire</w:t>
      </w:r>
      <w:r w:rsidRPr="00047A9D">
        <w:rPr>
          <w:rFonts w:ascii="Times New Roman" w:hAnsi="Times New Roman" w:cs="Times New Roman"/>
          <w:sz w:val="22"/>
          <w:szCs w:val="22"/>
        </w:rPr>
        <w:t>, p.102.</w:t>
      </w:r>
    </w:p>
  </w:footnote>
  <w:footnote w:id="46">
    <w:p w14:paraId="5DA33698"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Ambalavaner Sivanandan, speech given at the Institute of Race Relations’ [IRR] fiftieth celebration conference on 1 November 2008, published by the IRR as ‘Catching History on the Wing’, 6 November 2008 &lt;https://irr.org.uk/article/catching-history-on-the-wing/&gt; [accessed 23 June 2023].</w:t>
      </w:r>
    </w:p>
  </w:footnote>
  <w:footnote w:id="47">
    <w:p w14:paraId="5972522A" w14:textId="77777777" w:rsidR="009329E1" w:rsidRPr="00047A9D" w:rsidRDefault="009329E1"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Gilroy, </w:t>
      </w:r>
      <w:r w:rsidRPr="00047A9D">
        <w:rPr>
          <w:rFonts w:ascii="Times New Roman" w:hAnsi="Times New Roman" w:cs="Times New Roman"/>
          <w:i/>
          <w:sz w:val="22"/>
          <w:szCs w:val="22"/>
        </w:rPr>
        <w:t>After Empire</w:t>
      </w:r>
      <w:r w:rsidRPr="00047A9D">
        <w:rPr>
          <w:rFonts w:ascii="Times New Roman" w:hAnsi="Times New Roman" w:cs="Times New Roman"/>
          <w:sz w:val="22"/>
          <w:szCs w:val="22"/>
        </w:rPr>
        <w:t>, p.102.</w:t>
      </w:r>
    </w:p>
  </w:footnote>
  <w:footnote w:id="48">
    <w:p w14:paraId="11C6F325"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Mitchell, </w:t>
      </w:r>
      <w:r w:rsidRPr="00047A9D">
        <w:rPr>
          <w:rFonts w:ascii="Times New Roman" w:hAnsi="Times New Roman" w:cs="Times New Roman"/>
          <w:i/>
          <w:sz w:val="22"/>
          <w:szCs w:val="22"/>
        </w:rPr>
        <w:t>Imperial Nostalgia</w:t>
      </w:r>
      <w:r w:rsidRPr="00047A9D">
        <w:rPr>
          <w:rFonts w:ascii="Times New Roman" w:hAnsi="Times New Roman" w:cs="Times New Roman"/>
          <w:sz w:val="22"/>
          <w:szCs w:val="22"/>
        </w:rPr>
        <w:t>, p.6.</w:t>
      </w:r>
    </w:p>
  </w:footnote>
  <w:footnote w:id="49">
    <w:p w14:paraId="186A9CC6"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Richard Aldrich and Dennis Dean, ‘The Historical Dimension’, in Richard Aldrich (ed.), </w:t>
      </w:r>
      <w:r w:rsidRPr="00047A9D">
        <w:rPr>
          <w:rFonts w:ascii="Times New Roman" w:hAnsi="Times New Roman" w:cs="Times New Roman"/>
          <w:i/>
          <w:sz w:val="22"/>
          <w:szCs w:val="22"/>
        </w:rPr>
        <w:t xml:space="preserve">History in the National Curriculum </w:t>
      </w:r>
      <w:r w:rsidRPr="00047A9D">
        <w:rPr>
          <w:rFonts w:ascii="Times New Roman" w:hAnsi="Times New Roman" w:cs="Times New Roman"/>
          <w:sz w:val="22"/>
          <w:szCs w:val="22"/>
        </w:rPr>
        <w:t xml:space="preserve">(London: Kogan Page and Institute of Education, 1991), 93-113, pp.95-96. Bernard Porter makes a similar argument with reference to the elite public schools. See Bernard Porter, </w:t>
      </w:r>
      <w:r w:rsidRPr="00047A9D">
        <w:rPr>
          <w:rFonts w:ascii="Times New Roman" w:hAnsi="Times New Roman" w:cs="Times New Roman"/>
          <w:i/>
          <w:sz w:val="22"/>
          <w:szCs w:val="22"/>
        </w:rPr>
        <w:t>The Absent-Minded Imperialists: Empire, Society and Culture in Britain</w:t>
      </w:r>
      <w:r w:rsidRPr="00047A9D">
        <w:rPr>
          <w:rFonts w:ascii="Times New Roman" w:hAnsi="Times New Roman" w:cs="Times New Roman"/>
          <w:sz w:val="22"/>
          <w:szCs w:val="22"/>
        </w:rPr>
        <w:t xml:space="preserve"> (Oxford: OUP, 2004), pp.39-63, 296-97.</w:t>
      </w:r>
    </w:p>
  </w:footnote>
  <w:footnote w:id="50">
    <w:p w14:paraId="4D0D1299"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Aldrich and Dean, ‘The Historical Dimension’, in Aldrich (ed.), </w:t>
      </w:r>
      <w:r w:rsidRPr="00047A9D">
        <w:rPr>
          <w:rFonts w:ascii="Times New Roman" w:hAnsi="Times New Roman" w:cs="Times New Roman"/>
          <w:i/>
          <w:sz w:val="22"/>
          <w:szCs w:val="22"/>
        </w:rPr>
        <w:t>History in the National Curriculum</w:t>
      </w:r>
      <w:r w:rsidRPr="00047A9D">
        <w:rPr>
          <w:rFonts w:ascii="Times New Roman" w:hAnsi="Times New Roman" w:cs="Times New Roman"/>
          <w:sz w:val="22"/>
          <w:szCs w:val="22"/>
        </w:rPr>
        <w:t>, pp.96, 98.</w:t>
      </w:r>
    </w:p>
  </w:footnote>
  <w:footnote w:id="51">
    <w:p w14:paraId="098F5A0B" w14:textId="2ED21A75"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 xml:space="preserve">The Historical Association, 1906-1956 </w:t>
      </w:r>
      <w:r w:rsidRPr="00047A9D">
        <w:rPr>
          <w:rFonts w:ascii="Times New Roman" w:hAnsi="Times New Roman" w:cs="Times New Roman"/>
          <w:sz w:val="22"/>
          <w:szCs w:val="22"/>
        </w:rPr>
        <w:t>(London: published for the Historical Association</w:t>
      </w:r>
      <w:r w:rsidR="00A92225" w:rsidRPr="00047A9D">
        <w:rPr>
          <w:rFonts w:ascii="Times New Roman" w:hAnsi="Times New Roman" w:cs="Times New Roman"/>
          <w:sz w:val="22"/>
          <w:szCs w:val="22"/>
        </w:rPr>
        <w:t xml:space="preserve"> [HA]</w:t>
      </w:r>
      <w:r w:rsidRPr="00047A9D">
        <w:rPr>
          <w:rFonts w:ascii="Times New Roman" w:hAnsi="Times New Roman" w:cs="Times New Roman"/>
          <w:sz w:val="22"/>
          <w:szCs w:val="22"/>
        </w:rPr>
        <w:t xml:space="preserve"> by George Philip and Son, 1955).</w:t>
      </w:r>
    </w:p>
  </w:footnote>
  <w:footnote w:id="52">
    <w:p w14:paraId="5B7DFF08"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Porter, </w:t>
      </w:r>
      <w:r w:rsidRPr="00047A9D">
        <w:rPr>
          <w:rFonts w:ascii="Times New Roman" w:hAnsi="Times New Roman" w:cs="Times New Roman"/>
          <w:i/>
          <w:sz w:val="22"/>
          <w:szCs w:val="22"/>
        </w:rPr>
        <w:t>The Absent-Minded Imperialists,</w:t>
      </w:r>
      <w:r w:rsidRPr="00047A9D">
        <w:rPr>
          <w:rFonts w:ascii="Times New Roman" w:hAnsi="Times New Roman" w:cs="Times New Roman"/>
          <w:sz w:val="22"/>
          <w:szCs w:val="22"/>
        </w:rPr>
        <w:t xml:space="preserve"> especially p.181.</w:t>
      </w:r>
    </w:p>
  </w:footnote>
  <w:footnote w:id="53">
    <w:p w14:paraId="0BADC81A"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Aldrich and Dean, ‘The Historical Dimension’, in Aldrich (ed.), </w:t>
      </w:r>
      <w:r w:rsidRPr="00047A9D">
        <w:rPr>
          <w:rFonts w:ascii="Times New Roman" w:hAnsi="Times New Roman" w:cs="Times New Roman"/>
          <w:i/>
          <w:sz w:val="22"/>
          <w:szCs w:val="22"/>
        </w:rPr>
        <w:t>History in the National Curriculum,</w:t>
      </w:r>
      <w:r w:rsidRPr="00047A9D">
        <w:rPr>
          <w:rFonts w:ascii="Times New Roman" w:hAnsi="Times New Roman" w:cs="Times New Roman"/>
          <w:sz w:val="22"/>
          <w:szCs w:val="22"/>
        </w:rPr>
        <w:t xml:space="preserve"> p.99.</w:t>
      </w:r>
    </w:p>
  </w:footnote>
  <w:footnote w:id="54">
    <w:p w14:paraId="24E23A08"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Aldrich and Dean, ‘The Historical Dimension’, in Aldrich (ed.), </w:t>
      </w:r>
      <w:r w:rsidRPr="00047A9D">
        <w:rPr>
          <w:rFonts w:ascii="Times New Roman" w:hAnsi="Times New Roman" w:cs="Times New Roman"/>
          <w:i/>
          <w:sz w:val="22"/>
          <w:szCs w:val="22"/>
        </w:rPr>
        <w:t>History in the National Curriculum,</w:t>
      </w:r>
      <w:r w:rsidRPr="00047A9D">
        <w:rPr>
          <w:rFonts w:ascii="Times New Roman" w:hAnsi="Times New Roman" w:cs="Times New Roman"/>
          <w:sz w:val="22"/>
          <w:szCs w:val="22"/>
        </w:rPr>
        <w:t xml:space="preserve"> pp.98-99.</w:t>
      </w:r>
    </w:p>
  </w:footnote>
  <w:footnote w:id="55">
    <w:p w14:paraId="15D8FB4F" w14:textId="49FA8D4E"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The Education Act 1944</w:t>
      </w:r>
      <w:r w:rsidRPr="00047A9D">
        <w:rPr>
          <w:rFonts w:ascii="Times New Roman" w:hAnsi="Times New Roman" w:cs="Times New Roman"/>
          <w:sz w:val="22"/>
          <w:szCs w:val="22"/>
        </w:rPr>
        <w:t xml:space="preserve"> (7 &amp; 8 Geo. 6. c. 31)</w:t>
      </w:r>
      <w:r w:rsidR="001704A3" w:rsidRPr="00047A9D">
        <w:rPr>
          <w:rFonts w:ascii="Times New Roman" w:hAnsi="Times New Roman" w:cs="Times New Roman"/>
          <w:sz w:val="22"/>
          <w:szCs w:val="22"/>
        </w:rPr>
        <w:t xml:space="preserve"> </w:t>
      </w:r>
      <w:r w:rsidRPr="00047A9D">
        <w:rPr>
          <w:rFonts w:ascii="Times New Roman" w:hAnsi="Times New Roman" w:cs="Times New Roman"/>
          <w:sz w:val="22"/>
          <w:szCs w:val="22"/>
        </w:rPr>
        <w:t>&lt;https://www.legislation.gov.uk/ukpga/Geo6/7-8/31/enacted&gt; [last accessed 14 January 2025]. For a related analysis, see Tisdall, ‘“The School That I’d Like”’, in Pooley and Taylor</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 xml:space="preserve">(eds), </w:t>
      </w:r>
      <w:r w:rsidRPr="00047A9D">
        <w:rPr>
          <w:rFonts w:ascii="Times New Roman" w:hAnsi="Times New Roman" w:cs="Times New Roman"/>
          <w:i/>
          <w:sz w:val="22"/>
          <w:szCs w:val="22"/>
        </w:rPr>
        <w:t>Children’s Experiences</w:t>
      </w:r>
      <w:r w:rsidRPr="00047A9D">
        <w:rPr>
          <w:rFonts w:ascii="Times New Roman" w:hAnsi="Times New Roman" w:cs="Times New Roman"/>
          <w:sz w:val="22"/>
          <w:szCs w:val="22"/>
        </w:rPr>
        <w:t>, p.198.</w:t>
      </w:r>
    </w:p>
  </w:footnote>
  <w:footnote w:id="56">
    <w:p w14:paraId="402DB43B"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Aldrich and Dean, ‘The Historical Dimension’, in Aldrich (ed.), </w:t>
      </w:r>
      <w:r w:rsidRPr="00047A9D">
        <w:rPr>
          <w:rFonts w:ascii="Times New Roman" w:hAnsi="Times New Roman" w:cs="Times New Roman"/>
          <w:i/>
          <w:sz w:val="22"/>
          <w:szCs w:val="22"/>
        </w:rPr>
        <w:t>History in the National Curriculum</w:t>
      </w:r>
      <w:r w:rsidRPr="00047A9D">
        <w:rPr>
          <w:rFonts w:ascii="Times New Roman" w:hAnsi="Times New Roman" w:cs="Times New Roman"/>
          <w:sz w:val="22"/>
          <w:szCs w:val="22"/>
        </w:rPr>
        <w:t>, pp.99, 101.</w:t>
      </w:r>
    </w:p>
  </w:footnote>
  <w:footnote w:id="57">
    <w:p w14:paraId="34680D8E"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The Education Act 1944</w:t>
      </w:r>
      <w:r w:rsidRPr="00047A9D">
        <w:rPr>
          <w:rFonts w:ascii="Times New Roman" w:hAnsi="Times New Roman" w:cs="Times New Roman"/>
          <w:sz w:val="22"/>
          <w:szCs w:val="22"/>
        </w:rPr>
        <w:t xml:space="preserve"> (7 &amp; 8 Geo. 6. c. 31).</w:t>
      </w:r>
    </w:p>
  </w:footnote>
  <w:footnote w:id="58">
    <w:p w14:paraId="16DCDD6D" w14:textId="02486FFD"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Cannadine, Keating and Sheldon, </w:t>
      </w:r>
      <w:r w:rsidRPr="00047A9D">
        <w:rPr>
          <w:rFonts w:ascii="Times New Roman" w:hAnsi="Times New Roman" w:cs="Times New Roman"/>
          <w:i/>
          <w:sz w:val="22"/>
          <w:szCs w:val="22"/>
        </w:rPr>
        <w:t>The Right Kind</w:t>
      </w:r>
      <w:r w:rsidRPr="00047A9D">
        <w:rPr>
          <w:rFonts w:ascii="Times New Roman" w:hAnsi="Times New Roman" w:cs="Times New Roman"/>
          <w:sz w:val="22"/>
          <w:szCs w:val="22"/>
        </w:rPr>
        <w:t xml:space="preserve">, p.109; Emma-Louise Williams and Michael Rosen, ‘My Secondary Modern: Stories from the Invisible Generation’, </w:t>
      </w:r>
      <w:r w:rsidRPr="00047A9D">
        <w:rPr>
          <w:rFonts w:ascii="Times New Roman" w:hAnsi="Times New Roman" w:cs="Times New Roman"/>
          <w:i/>
          <w:sz w:val="22"/>
          <w:szCs w:val="22"/>
        </w:rPr>
        <w:t>Forum</w:t>
      </w:r>
      <w:r w:rsidRPr="00047A9D">
        <w:rPr>
          <w:rFonts w:ascii="Times New Roman" w:hAnsi="Times New Roman" w:cs="Times New Roman"/>
          <w:sz w:val="22"/>
          <w:szCs w:val="22"/>
        </w:rPr>
        <w:t xml:space="preserve"> 59.3 (2017), 331-44.</w:t>
      </w:r>
    </w:p>
  </w:footnote>
  <w:footnote w:id="59">
    <w:p w14:paraId="32275419"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Williams and Rosen, ‘My Secondary Modern’; Michael Rosen and Emma-Louise Williams, ‘Secondary Modern’, </w:t>
      </w:r>
      <w:r w:rsidRPr="00047A9D">
        <w:rPr>
          <w:rFonts w:ascii="Times New Roman" w:hAnsi="Times New Roman" w:cs="Times New Roman"/>
          <w:i/>
          <w:sz w:val="22"/>
          <w:szCs w:val="22"/>
        </w:rPr>
        <w:t xml:space="preserve">History Workshop, </w:t>
      </w:r>
      <w:r w:rsidRPr="00047A9D">
        <w:rPr>
          <w:rFonts w:ascii="Times New Roman" w:hAnsi="Times New Roman" w:cs="Times New Roman"/>
          <w:sz w:val="22"/>
          <w:szCs w:val="22"/>
        </w:rPr>
        <w:t>24 January 2013 &lt;https://www.historyworkshop.org.uk/education/secondary-modern/&gt; [last accessed 18 January 2025].</w:t>
      </w:r>
    </w:p>
  </w:footnote>
  <w:footnote w:id="60">
    <w:p w14:paraId="7AE62FD6" w14:textId="2F2118FF" w:rsidR="009329E1" w:rsidRPr="00047A9D" w:rsidRDefault="009329E1"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Department of Education and Science (DES), </w:t>
      </w:r>
      <w:r w:rsidRPr="00047A9D">
        <w:rPr>
          <w:rFonts w:ascii="Times New Roman" w:hAnsi="Times New Roman" w:cs="Times New Roman"/>
          <w:i/>
          <w:sz w:val="22"/>
          <w:szCs w:val="22"/>
        </w:rPr>
        <w:t>Circular 10/65: The Organisation of Secondary Education</w:t>
      </w:r>
      <w:r w:rsidRPr="00047A9D">
        <w:rPr>
          <w:rFonts w:ascii="Times New Roman" w:hAnsi="Times New Roman" w:cs="Times New Roman"/>
          <w:sz w:val="22"/>
          <w:szCs w:val="22"/>
        </w:rPr>
        <w:t xml:space="preserve"> (London:</w:t>
      </w:r>
      <w:r w:rsidR="00F77621" w:rsidRPr="00047A9D">
        <w:rPr>
          <w:rFonts w:ascii="Times New Roman" w:hAnsi="Times New Roman" w:cs="Times New Roman"/>
          <w:sz w:val="22"/>
          <w:szCs w:val="22"/>
        </w:rPr>
        <w:t xml:space="preserve"> HMSO</w:t>
      </w:r>
      <w:r w:rsidRPr="00047A9D">
        <w:rPr>
          <w:rFonts w:ascii="Times New Roman" w:hAnsi="Times New Roman" w:cs="Times New Roman"/>
          <w:sz w:val="22"/>
          <w:szCs w:val="22"/>
        </w:rPr>
        <w:t>, 1965).</w:t>
      </w:r>
    </w:p>
  </w:footnote>
  <w:footnote w:id="61">
    <w:p w14:paraId="6BC62372"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Paul Bolton, ‘Education: Historical Statistics’, 28 November 2012, Research Briefing for the House of Commons Library, Standard Note: SN/SG/4252, p.8 &lt;https://researchbriefings.files.parliament.uk/documents/SN04252/SN04252.pdf&gt; [last accessed 19 February 2025].</w:t>
      </w:r>
    </w:p>
  </w:footnote>
  <w:footnote w:id="62">
    <w:p w14:paraId="2B4AAC40" w14:textId="2FFCEAFE"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Abby Waldman, ‘The Politics of History Teaching in England and France during the 1980s’, </w:t>
      </w:r>
      <w:r w:rsidRPr="00047A9D">
        <w:rPr>
          <w:rFonts w:ascii="Times New Roman" w:hAnsi="Times New Roman" w:cs="Times New Roman"/>
          <w:i/>
          <w:sz w:val="22"/>
          <w:szCs w:val="22"/>
        </w:rPr>
        <w:t>History Workshop Journal</w:t>
      </w:r>
      <w:r w:rsidRPr="00047A9D">
        <w:rPr>
          <w:rFonts w:ascii="Times New Roman" w:hAnsi="Times New Roman" w:cs="Times New Roman"/>
          <w:sz w:val="22"/>
          <w:szCs w:val="22"/>
        </w:rPr>
        <w:t xml:space="preserve"> 68.1 (2009)</w:t>
      </w:r>
      <w:r w:rsidR="00424738">
        <w:rPr>
          <w:rFonts w:ascii="Times New Roman" w:hAnsi="Times New Roman" w:cs="Times New Roman"/>
          <w:sz w:val="22"/>
          <w:szCs w:val="22"/>
        </w:rPr>
        <w:t>,</w:t>
      </w:r>
      <w:r w:rsidRPr="00047A9D">
        <w:rPr>
          <w:rFonts w:ascii="Times New Roman" w:hAnsi="Times New Roman" w:cs="Times New Roman"/>
          <w:sz w:val="22"/>
          <w:szCs w:val="22"/>
        </w:rPr>
        <w:t xml:space="preserve"> 199–221.</w:t>
      </w:r>
    </w:p>
  </w:footnote>
  <w:footnote w:id="63">
    <w:p w14:paraId="6ABED303"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 xml:space="preserve">National Curriculum History Working Group: Final Report </w:t>
      </w:r>
      <w:r w:rsidRPr="00047A9D">
        <w:rPr>
          <w:rFonts w:ascii="Times New Roman" w:hAnsi="Times New Roman" w:cs="Times New Roman"/>
          <w:sz w:val="22"/>
          <w:szCs w:val="22"/>
        </w:rPr>
        <w:t>(London: HMSO, 1990).</w:t>
      </w:r>
    </w:p>
  </w:footnote>
  <w:footnote w:id="64">
    <w:p w14:paraId="35B20A09"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Grindel, ‘The End of Empire’.</w:t>
      </w:r>
    </w:p>
  </w:footnote>
  <w:footnote w:id="65">
    <w:p w14:paraId="0A37BCFC" w14:textId="14CFE0F4"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Jane Martin, ‘What Should We Do with a Hidden Curriculum When We Find One?’, in Henry Giroux and David Purpel (eds), </w:t>
      </w:r>
      <w:r w:rsidRPr="00047A9D">
        <w:rPr>
          <w:rFonts w:ascii="Times New Roman" w:hAnsi="Times New Roman" w:cs="Times New Roman"/>
          <w:i/>
          <w:sz w:val="22"/>
          <w:szCs w:val="22"/>
        </w:rPr>
        <w:t>The Hidden Curriculum and Moral Education</w:t>
      </w:r>
      <w:r w:rsidRPr="00047A9D">
        <w:rPr>
          <w:rFonts w:ascii="Times New Roman" w:hAnsi="Times New Roman" w:cs="Times New Roman"/>
          <w:sz w:val="22"/>
          <w:szCs w:val="22"/>
        </w:rPr>
        <w:t xml:space="preserve"> (Berkeley, California: McCutchan Publishing, 1983), 122–39.</w:t>
      </w:r>
    </w:p>
  </w:footnote>
  <w:footnote w:id="66">
    <w:p w14:paraId="1759CE7D"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Martin Johnson and Dominika Majewska, </w:t>
      </w:r>
      <w:r w:rsidRPr="00047A9D">
        <w:rPr>
          <w:rFonts w:ascii="Times New Roman" w:hAnsi="Times New Roman" w:cs="Times New Roman"/>
          <w:i/>
          <w:sz w:val="22"/>
          <w:szCs w:val="22"/>
        </w:rPr>
        <w:t>Formal, Non-formal, and Informal Learning: What are They, and How can We Research Them?</w:t>
      </w:r>
      <w:r w:rsidRPr="00047A9D">
        <w:rPr>
          <w:rFonts w:ascii="Times New Roman" w:hAnsi="Times New Roman" w:cs="Times New Roman"/>
          <w:sz w:val="22"/>
          <w:szCs w:val="22"/>
        </w:rPr>
        <w:t xml:space="preserve"> (Cambridge: CUP Research Report, 2022).</w:t>
      </w:r>
    </w:p>
  </w:footnote>
  <w:footnote w:id="67">
    <w:p w14:paraId="6B535B10" w14:textId="49BCCABA"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DES, </w:t>
      </w:r>
      <w:r w:rsidRPr="00047A9D">
        <w:rPr>
          <w:rFonts w:ascii="Times New Roman" w:hAnsi="Times New Roman" w:cs="Times New Roman"/>
          <w:i/>
          <w:sz w:val="22"/>
          <w:szCs w:val="22"/>
        </w:rPr>
        <w:t>Aspects of Primary Education: The Teaching and Learning of History and Geography</w:t>
      </w:r>
      <w:r w:rsidRPr="00047A9D">
        <w:rPr>
          <w:rFonts w:ascii="Times New Roman" w:hAnsi="Times New Roman" w:cs="Times New Roman"/>
          <w:sz w:val="22"/>
          <w:szCs w:val="22"/>
        </w:rPr>
        <w:t>, (HMSO, 1989)</w:t>
      </w:r>
      <w:r w:rsidR="00312174" w:rsidRPr="00047A9D">
        <w:rPr>
          <w:rFonts w:ascii="Times New Roman" w:hAnsi="Times New Roman" w:cs="Times New Roman"/>
          <w:sz w:val="22"/>
          <w:szCs w:val="22"/>
        </w:rPr>
        <w:t>,</w:t>
      </w:r>
      <w:r w:rsidRPr="00047A9D">
        <w:rPr>
          <w:rFonts w:ascii="Times New Roman" w:hAnsi="Times New Roman" w:cs="Times New Roman"/>
          <w:sz w:val="22"/>
          <w:szCs w:val="22"/>
        </w:rPr>
        <w:t xml:space="preserve"> pp. 8-10.</w:t>
      </w:r>
    </w:p>
  </w:footnote>
  <w:footnote w:id="68">
    <w:p w14:paraId="77D963DA"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Peter Wilby, ‘School Sixth Forms: An Outdated Luxury’, </w:t>
      </w:r>
      <w:r w:rsidRPr="00047A9D">
        <w:rPr>
          <w:rFonts w:ascii="Times New Roman" w:hAnsi="Times New Roman" w:cs="Times New Roman"/>
          <w:i/>
          <w:sz w:val="22"/>
          <w:szCs w:val="22"/>
        </w:rPr>
        <w:t>Guardian</w:t>
      </w:r>
      <w:r w:rsidRPr="00047A9D">
        <w:rPr>
          <w:rFonts w:ascii="Times New Roman" w:hAnsi="Times New Roman" w:cs="Times New Roman"/>
          <w:sz w:val="22"/>
          <w:szCs w:val="22"/>
        </w:rPr>
        <w:t>, 29 March 2016 &lt;https://www.theguardian.com/education/2016/mar/29/school-sixth-forms-outdated-colleges-comprehensive-education&gt; [last accessed 18 January 2025]. See also testimony in the comments section of Rosen and Williams, ‘Secondary Modern’.</w:t>
      </w:r>
    </w:p>
  </w:footnote>
  <w:footnote w:id="69">
    <w:p w14:paraId="69D8A9E3" w14:textId="22097691"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‘Education, England and Wales: The Education (Middle Schools) Regulations 1980 No.918’, Statutory Instruments, 3073-74 &lt;</w:t>
      </w:r>
      <w:r w:rsidR="00B52825" w:rsidRPr="00047A9D">
        <w:rPr>
          <w:rFonts w:ascii="Times New Roman" w:hAnsi="Times New Roman" w:cs="Times New Roman"/>
          <w:sz w:val="22"/>
          <w:szCs w:val="22"/>
        </w:rPr>
        <w:t>https://www.legislation.gov.uk/uksi/1980/918/made</w:t>
      </w:r>
      <w:r w:rsidRPr="00047A9D">
        <w:rPr>
          <w:rFonts w:ascii="Times New Roman" w:hAnsi="Times New Roman" w:cs="Times New Roman"/>
          <w:sz w:val="22"/>
          <w:szCs w:val="22"/>
        </w:rPr>
        <w:t>&gt; [last accessed 18 January 2025].</w:t>
      </w:r>
    </w:p>
  </w:footnote>
  <w:footnote w:id="70">
    <w:p w14:paraId="37FA67DF"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DES, </w:t>
      </w:r>
      <w:r w:rsidRPr="00047A9D">
        <w:rPr>
          <w:rFonts w:ascii="Times New Roman" w:hAnsi="Times New Roman" w:cs="Times New Roman"/>
          <w:i/>
          <w:sz w:val="22"/>
          <w:szCs w:val="22"/>
        </w:rPr>
        <w:t>Children and their Primary Schools</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A Report of the Central Advisory Council for Education (England)</w:t>
      </w:r>
      <w:r w:rsidRPr="00047A9D">
        <w:rPr>
          <w:rFonts w:ascii="Times New Roman" w:hAnsi="Times New Roman" w:cs="Times New Roman"/>
          <w:sz w:val="22"/>
          <w:szCs w:val="22"/>
        </w:rPr>
        <w:t xml:space="preserve"> (the ‘Plowden Report’), (London: HMSO, 1967), p.151.</w:t>
      </w:r>
    </w:p>
  </w:footnote>
  <w:footnote w:id="71">
    <w:p w14:paraId="1C6F99E6" w14:textId="77777777" w:rsidR="009329E1" w:rsidRPr="00047A9D" w:rsidRDefault="009329E1" w:rsidP="00D839D4">
      <w:pPr>
        <w:pStyle w:val="FootnoteText"/>
        <w:spacing w:line="360" w:lineRule="auto"/>
        <w:rPr>
          <w:rFonts w:ascii="Times New Roman" w:hAnsi="Times New Roman" w:cs="Times New Roman"/>
          <w:b/>
          <w:b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‘Middle Schools’</w:t>
      </w:r>
      <w:r w:rsidRPr="00047A9D">
        <w:rPr>
          <w:rFonts w:ascii="Times New Roman" w:hAnsi="Times New Roman" w:cs="Times New Roman"/>
          <w:b/>
          <w:bCs/>
          <w:sz w:val="22"/>
          <w:szCs w:val="22"/>
        </w:rPr>
        <w:t xml:space="preserve">, </w:t>
      </w:r>
      <w:r w:rsidRPr="00047A9D">
        <w:rPr>
          <w:rFonts w:ascii="Times New Roman" w:hAnsi="Times New Roman" w:cs="Times New Roman"/>
          <w:sz w:val="22"/>
          <w:szCs w:val="22"/>
        </w:rPr>
        <w:t xml:space="preserve">HC Deb (4 June 1984. Vol 61, cols 64-6 &lt;https://api.parliament.uk/historic-hansard/written-answers/1984/jun/04/middle-schools&gt; [last accessed 18 January 2025]. </w:t>
      </w:r>
    </w:p>
  </w:footnote>
  <w:footnote w:id="72">
    <w:p w14:paraId="006FD5C4" w14:textId="37673925"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Bolton, ‘Education: Historical Statistics’, p.9. Direct grant grammar schools</w:t>
      </w:r>
      <w:r w:rsidR="00144997">
        <w:rPr>
          <w:rFonts w:ascii="Times New Roman" w:hAnsi="Times New Roman" w:cs="Times New Roman"/>
          <w:sz w:val="22"/>
          <w:szCs w:val="22"/>
        </w:rPr>
        <w:t xml:space="preserve"> </w:t>
      </w:r>
      <w:r w:rsidRPr="00047A9D">
        <w:rPr>
          <w:rFonts w:ascii="Times New Roman" w:hAnsi="Times New Roman" w:cs="Times New Roman"/>
          <w:sz w:val="22"/>
          <w:szCs w:val="22"/>
        </w:rPr>
        <w:t>– independent schools in which a portion of government-funded places were reserved for students from state-funded primary schools – are included in the broader category of independent school</w:t>
      </w:r>
      <w:r w:rsidR="0034589E" w:rsidRPr="00047A9D">
        <w:rPr>
          <w:rFonts w:ascii="Times New Roman" w:hAnsi="Times New Roman" w:cs="Times New Roman"/>
          <w:sz w:val="22"/>
          <w:szCs w:val="22"/>
        </w:rPr>
        <w:t>s</w:t>
      </w:r>
      <w:r w:rsidRPr="00047A9D">
        <w:rPr>
          <w:rFonts w:ascii="Times New Roman" w:hAnsi="Times New Roman" w:cs="Times New Roman"/>
          <w:sz w:val="22"/>
          <w:szCs w:val="22"/>
        </w:rPr>
        <w:t xml:space="preserve"> for the purpose of this study.</w:t>
      </w:r>
    </w:p>
  </w:footnote>
  <w:footnote w:id="73">
    <w:p w14:paraId="5D685F12" w14:textId="76CC80FF"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J.A. Mangan, </w:t>
      </w:r>
      <w:r w:rsidR="003D458F" w:rsidRPr="00047A9D">
        <w:rPr>
          <w:rFonts w:ascii="Times New Roman" w:hAnsi="Times New Roman" w:cs="Times New Roman"/>
          <w:sz w:val="22"/>
          <w:szCs w:val="22"/>
        </w:rPr>
        <w:t>‘</w:t>
      </w:r>
      <w:r w:rsidRPr="00047A9D">
        <w:rPr>
          <w:rFonts w:ascii="Times New Roman" w:hAnsi="Times New Roman" w:cs="Times New Roman"/>
          <w:i/>
          <w:sz w:val="22"/>
          <w:szCs w:val="22"/>
        </w:rPr>
        <w:t>Benefits Bestowed</w:t>
      </w:r>
      <w:r w:rsidR="003D458F" w:rsidRPr="00047A9D">
        <w:rPr>
          <w:rFonts w:ascii="Times New Roman" w:hAnsi="Times New Roman" w:cs="Times New Roman"/>
          <w:i/>
          <w:sz w:val="22"/>
          <w:szCs w:val="22"/>
        </w:rPr>
        <w:t>’</w:t>
      </w:r>
      <w:r w:rsidRPr="00047A9D">
        <w:rPr>
          <w:rFonts w:ascii="Times New Roman" w:hAnsi="Times New Roman" w:cs="Times New Roman"/>
          <w:i/>
          <w:sz w:val="22"/>
          <w:szCs w:val="22"/>
        </w:rPr>
        <w:t>? Education and British Imperialism</w:t>
      </w:r>
      <w:r w:rsidRPr="00047A9D">
        <w:rPr>
          <w:rFonts w:ascii="Times New Roman" w:hAnsi="Times New Roman" w:cs="Times New Roman"/>
          <w:sz w:val="22"/>
          <w:szCs w:val="22"/>
        </w:rPr>
        <w:t xml:space="preserve"> (Manchester: </w:t>
      </w:r>
      <w:r w:rsidR="009B0CD1" w:rsidRPr="00047A9D">
        <w:rPr>
          <w:rFonts w:ascii="Times New Roman" w:hAnsi="Times New Roman" w:cs="Times New Roman"/>
          <w:sz w:val="22"/>
          <w:szCs w:val="22"/>
        </w:rPr>
        <w:t xml:space="preserve">MUP, </w:t>
      </w:r>
      <w:r w:rsidRPr="00047A9D">
        <w:rPr>
          <w:rFonts w:ascii="Times New Roman" w:hAnsi="Times New Roman" w:cs="Times New Roman"/>
          <w:sz w:val="22"/>
          <w:szCs w:val="22"/>
        </w:rPr>
        <w:t xml:space="preserve">1988). For an account of public schooling as a component of elite culture which reaches into the present, see Robert Verkai, </w:t>
      </w:r>
      <w:r w:rsidRPr="00047A9D">
        <w:rPr>
          <w:rFonts w:ascii="Times New Roman" w:hAnsi="Times New Roman" w:cs="Times New Roman"/>
          <w:i/>
          <w:sz w:val="22"/>
          <w:szCs w:val="22"/>
        </w:rPr>
        <w:t>Posh Boys: How English Public Schools Ruin Britain</w:t>
      </w:r>
      <w:r w:rsidRPr="00047A9D">
        <w:rPr>
          <w:rFonts w:ascii="Times New Roman" w:hAnsi="Times New Roman" w:cs="Times New Roman"/>
          <w:sz w:val="22"/>
          <w:szCs w:val="22"/>
        </w:rPr>
        <w:t xml:space="preserve"> (London: Oneworld, 2018)</w:t>
      </w:r>
      <w:r w:rsidR="00D67C0D" w:rsidRPr="00047A9D">
        <w:rPr>
          <w:rFonts w:ascii="Times New Roman" w:hAnsi="Times New Roman" w:cs="Times New Roman"/>
          <w:sz w:val="22"/>
          <w:szCs w:val="22"/>
        </w:rPr>
        <w:t>.</w:t>
      </w:r>
    </w:p>
  </w:footnote>
  <w:footnote w:id="74">
    <w:p w14:paraId="08142F74"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This problem is elaborated in Ken Jones, </w:t>
      </w:r>
      <w:r w:rsidRPr="00047A9D">
        <w:rPr>
          <w:rFonts w:ascii="Times New Roman" w:hAnsi="Times New Roman" w:cs="Times New Roman"/>
          <w:i/>
          <w:sz w:val="22"/>
          <w:szCs w:val="22"/>
        </w:rPr>
        <w:t>Education in Britain: 1944 to the present</w:t>
      </w:r>
      <w:r w:rsidRPr="00047A9D">
        <w:rPr>
          <w:rFonts w:ascii="Times New Roman" w:hAnsi="Times New Roman" w:cs="Times New Roman"/>
          <w:sz w:val="22"/>
          <w:szCs w:val="22"/>
        </w:rPr>
        <w:t xml:space="preserve"> (Oxford: Polity, 2003), pp.2-4.</w:t>
      </w:r>
    </w:p>
  </w:footnote>
  <w:footnote w:id="75">
    <w:p w14:paraId="096D2207" w14:textId="5E661744"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Krishan Kumar, ‘Nation and Empire: English and British National Identity in Comparative Perspective’, </w:t>
      </w:r>
      <w:r w:rsidRPr="00047A9D">
        <w:rPr>
          <w:rFonts w:ascii="Times New Roman" w:hAnsi="Times New Roman" w:cs="Times New Roman"/>
          <w:i/>
          <w:sz w:val="22"/>
          <w:szCs w:val="22"/>
        </w:rPr>
        <w:t>Theory and Society</w:t>
      </w:r>
      <w:r w:rsidRPr="00047A9D">
        <w:rPr>
          <w:rFonts w:ascii="Times New Roman" w:hAnsi="Times New Roman" w:cs="Times New Roman"/>
          <w:sz w:val="22"/>
          <w:szCs w:val="22"/>
        </w:rPr>
        <w:t xml:space="preserve"> 29 (2000) 575-608, pp.577, 589-90.</w:t>
      </w:r>
    </w:p>
  </w:footnote>
  <w:footnote w:id="76">
    <w:p w14:paraId="3ABF1274"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Stuart Ward, </w:t>
      </w:r>
      <w:r w:rsidRPr="00047A9D">
        <w:rPr>
          <w:rFonts w:ascii="Times New Roman" w:hAnsi="Times New Roman" w:cs="Times New Roman"/>
          <w:i/>
          <w:sz w:val="22"/>
          <w:szCs w:val="22"/>
        </w:rPr>
        <w:t>Untied Kingdom: A Global History of the End of Britain</w:t>
      </w:r>
      <w:r w:rsidRPr="00047A9D">
        <w:rPr>
          <w:rFonts w:ascii="Times New Roman" w:hAnsi="Times New Roman" w:cs="Times New Roman"/>
          <w:sz w:val="22"/>
          <w:szCs w:val="22"/>
        </w:rPr>
        <w:t xml:space="preserve"> (Cambridge: CUP, 2023), p.24.</w:t>
      </w:r>
    </w:p>
  </w:footnote>
  <w:footnote w:id="77">
    <w:p w14:paraId="4F33B08D" w14:textId="0578250D"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Kenneth Lunn, ‘Reconsidering “Britishness”: The Construction and Significance of National Identity in Twentieth Century Britain,’ in Brian Jenkins and Spyros Sofos (eds), </w:t>
      </w:r>
      <w:r w:rsidRPr="00047A9D">
        <w:rPr>
          <w:rFonts w:ascii="Times New Roman" w:hAnsi="Times New Roman" w:cs="Times New Roman"/>
          <w:i/>
          <w:sz w:val="22"/>
          <w:szCs w:val="22"/>
        </w:rPr>
        <w:t xml:space="preserve">Nation and Identity in Contemporary Europe </w:t>
      </w:r>
      <w:r w:rsidRPr="00047A9D">
        <w:rPr>
          <w:rFonts w:ascii="Times New Roman" w:hAnsi="Times New Roman" w:cs="Times New Roman"/>
          <w:sz w:val="22"/>
          <w:szCs w:val="22"/>
        </w:rPr>
        <w:t xml:space="preserve">(London, 1996), 77-94, p.81, quoted in Webster, </w:t>
      </w:r>
      <w:r w:rsidRPr="00047A9D">
        <w:rPr>
          <w:rFonts w:ascii="Times New Roman" w:hAnsi="Times New Roman" w:cs="Times New Roman"/>
          <w:i/>
          <w:sz w:val="22"/>
          <w:szCs w:val="22"/>
        </w:rPr>
        <w:t>Englishness and Empire,</w:t>
      </w:r>
      <w:r w:rsidRPr="00047A9D">
        <w:rPr>
          <w:rFonts w:ascii="Times New Roman" w:hAnsi="Times New Roman" w:cs="Times New Roman"/>
          <w:sz w:val="22"/>
          <w:szCs w:val="22"/>
        </w:rPr>
        <w:t xml:space="preserve"> p.150.</w:t>
      </w:r>
    </w:p>
  </w:footnote>
  <w:footnote w:id="78">
    <w:p w14:paraId="0D08E4D9"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Webster, </w:t>
      </w:r>
      <w:r w:rsidRPr="00047A9D">
        <w:rPr>
          <w:rFonts w:ascii="Times New Roman" w:hAnsi="Times New Roman" w:cs="Times New Roman"/>
          <w:i/>
          <w:sz w:val="22"/>
          <w:szCs w:val="22"/>
        </w:rPr>
        <w:t>Englishness and Empire</w:t>
      </w:r>
      <w:r w:rsidRPr="00047A9D">
        <w:rPr>
          <w:rFonts w:ascii="Times New Roman" w:hAnsi="Times New Roman" w:cs="Times New Roman"/>
          <w:sz w:val="22"/>
          <w:szCs w:val="22"/>
        </w:rPr>
        <w:t>, p.150.</w:t>
      </w:r>
    </w:p>
  </w:footnote>
  <w:footnote w:id="79">
    <w:p w14:paraId="29400138"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Kumar, ‘Nation and Empire’, p.589.</w:t>
      </w:r>
    </w:p>
  </w:footnote>
  <w:footnote w:id="80">
    <w:p w14:paraId="177B9784"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Niamh Gallagher, ‘We Need to Recognise Irish Participation in the British Colonial Story’, </w:t>
      </w:r>
      <w:r w:rsidRPr="00047A9D">
        <w:rPr>
          <w:rFonts w:ascii="Times New Roman" w:hAnsi="Times New Roman" w:cs="Times New Roman"/>
          <w:i/>
          <w:sz w:val="22"/>
          <w:szCs w:val="22"/>
        </w:rPr>
        <w:t>The Irish Times</w:t>
      </w:r>
      <w:r w:rsidRPr="00047A9D">
        <w:rPr>
          <w:rFonts w:ascii="Times New Roman" w:hAnsi="Times New Roman" w:cs="Times New Roman"/>
          <w:sz w:val="22"/>
          <w:szCs w:val="22"/>
        </w:rPr>
        <w:t xml:space="preserve">, 2 March 2021 &lt;https://www.irishtimes.com/opinion/we-need-to-recognise-irish-participation-in-the-british-colonial-story-1.4498224&gt; [last accessed 19 February 2025]; Jane Ohlmeyer, ‘Ireland Has Yet to Come to Terms With its Imperial Past’, </w:t>
      </w:r>
      <w:r w:rsidRPr="00047A9D">
        <w:rPr>
          <w:rFonts w:ascii="Times New Roman" w:hAnsi="Times New Roman" w:cs="Times New Roman"/>
          <w:i/>
          <w:sz w:val="22"/>
          <w:szCs w:val="22"/>
        </w:rPr>
        <w:t>The Irish Times</w:t>
      </w:r>
      <w:r w:rsidRPr="00047A9D">
        <w:rPr>
          <w:rFonts w:ascii="Times New Roman" w:hAnsi="Times New Roman" w:cs="Times New Roman"/>
          <w:sz w:val="22"/>
          <w:szCs w:val="22"/>
        </w:rPr>
        <w:t>, 29 December 2020 &lt;https://www.irishtimes.com/opinion/ireland-has-yet-to-come-to-terms-with-its-imperial-past-1.4444146&gt; [last accessed 19 February 2025]; Aziz Rahman, Mary Anne Clarke, and Sean Byrne, ‘The Art of Breaking People Down: The British Colonial Model in Ireland and Canada’, </w:t>
      </w:r>
      <w:r w:rsidRPr="00047A9D">
        <w:rPr>
          <w:rFonts w:ascii="Times New Roman" w:hAnsi="Times New Roman" w:cs="Times New Roman"/>
          <w:i/>
          <w:sz w:val="22"/>
          <w:szCs w:val="22"/>
        </w:rPr>
        <w:t>Peace Research</w:t>
      </w:r>
      <w:r w:rsidRPr="00047A9D">
        <w:rPr>
          <w:rFonts w:ascii="Times New Roman" w:hAnsi="Times New Roman" w:cs="Times New Roman"/>
          <w:sz w:val="22"/>
          <w:szCs w:val="22"/>
        </w:rPr>
        <w:t xml:space="preserve"> 49.2 (2017), 15–38.</w:t>
      </w:r>
    </w:p>
  </w:footnote>
  <w:footnote w:id="81">
    <w:p w14:paraId="7B705214" w14:textId="046A13CF"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Stuart C. Aveyard, ‘The Northern Ireland Conflict and Colonial Resonances’, </w:t>
      </w:r>
      <w:r w:rsidRPr="00047A9D">
        <w:rPr>
          <w:rFonts w:ascii="Times New Roman" w:hAnsi="Times New Roman" w:cs="Times New Roman"/>
          <w:i/>
          <w:sz w:val="22"/>
          <w:szCs w:val="22"/>
        </w:rPr>
        <w:t>The Journal of Imperial and Commonwealth History</w:t>
      </w:r>
      <w:r w:rsidRPr="00047A9D">
        <w:rPr>
          <w:rFonts w:ascii="Times New Roman" w:hAnsi="Times New Roman" w:cs="Times New Roman"/>
          <w:sz w:val="22"/>
          <w:szCs w:val="22"/>
        </w:rPr>
        <w:t> 51.6 (2023), 1143–69.</w:t>
      </w:r>
    </w:p>
  </w:footnote>
  <w:footnote w:id="82">
    <w:p w14:paraId="1F09D323"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Michael Hechter, </w:t>
      </w:r>
      <w:r w:rsidRPr="00047A9D">
        <w:rPr>
          <w:rFonts w:ascii="Times New Roman" w:hAnsi="Times New Roman" w:cs="Times New Roman"/>
          <w:i/>
          <w:sz w:val="22"/>
          <w:szCs w:val="22"/>
        </w:rPr>
        <w:t>Internal Colonialism: The Celtic Fringe in British National Development, 1536-1966</w:t>
      </w:r>
      <w:r w:rsidRPr="00047A9D">
        <w:rPr>
          <w:rFonts w:ascii="Times New Roman" w:hAnsi="Times New Roman" w:cs="Times New Roman"/>
          <w:sz w:val="22"/>
          <w:szCs w:val="22"/>
        </w:rPr>
        <w:t xml:space="preserve"> (London: Routledge and Kegan Paul, 1975). </w:t>
      </w:r>
    </w:p>
  </w:footnote>
  <w:footnote w:id="83">
    <w:p w14:paraId="56F5A195" w14:textId="7486A72A"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For an early and convincing critique of the victimhood thesis, see Tom Nairn, </w:t>
      </w:r>
      <w:r w:rsidR="007A30E3" w:rsidRPr="00047A9D">
        <w:rPr>
          <w:rFonts w:ascii="Times New Roman" w:hAnsi="Times New Roman" w:cs="Times New Roman"/>
          <w:sz w:val="22"/>
          <w:szCs w:val="22"/>
        </w:rPr>
        <w:t xml:space="preserve">‘Old Nationalism and New Nationalism’, </w:t>
      </w:r>
      <w:r w:rsidRPr="00047A9D">
        <w:rPr>
          <w:rFonts w:ascii="Times New Roman" w:hAnsi="Times New Roman" w:cs="Times New Roman"/>
          <w:sz w:val="22"/>
          <w:szCs w:val="22"/>
        </w:rPr>
        <w:t xml:space="preserve">in Gordon Brown (ed.), </w:t>
      </w:r>
      <w:r w:rsidRPr="00047A9D">
        <w:rPr>
          <w:rFonts w:ascii="Times New Roman" w:hAnsi="Times New Roman" w:cs="Times New Roman"/>
          <w:i/>
          <w:sz w:val="22"/>
          <w:szCs w:val="22"/>
        </w:rPr>
        <w:t xml:space="preserve">The Red Paper on Scotland </w:t>
      </w:r>
      <w:r w:rsidRPr="00047A9D">
        <w:rPr>
          <w:rFonts w:ascii="Times New Roman" w:hAnsi="Times New Roman" w:cs="Times New Roman"/>
          <w:sz w:val="22"/>
          <w:szCs w:val="22"/>
        </w:rPr>
        <w:t>(Edinburgh: EUSPB, 1975), 22-57, pp.40-41. See also Stephen Mullen and Ewan Gibbs, ‘Scotland, Atlantic Slavery and the Scottish National Party: From Colonised to Coloniser in the Political Imagination’, </w:t>
      </w:r>
      <w:r w:rsidRPr="00047A9D">
        <w:rPr>
          <w:rFonts w:ascii="Times New Roman" w:hAnsi="Times New Roman" w:cs="Times New Roman"/>
          <w:i/>
          <w:sz w:val="22"/>
          <w:szCs w:val="22"/>
        </w:rPr>
        <w:t>Nations and Nationalism</w:t>
      </w:r>
      <w:r w:rsidRPr="00047A9D">
        <w:rPr>
          <w:rFonts w:ascii="Times New Roman" w:hAnsi="Times New Roman" w:cs="Times New Roman"/>
          <w:sz w:val="22"/>
          <w:szCs w:val="22"/>
        </w:rPr>
        <w:t xml:space="preserve"> 29.3 (2023), 922–38. A useful insight into the Welsh debate is given by Adam Price, ‘Wales, Colonised and Coloniser: A Reflection’, </w:t>
      </w:r>
      <w:r w:rsidRPr="00047A9D">
        <w:rPr>
          <w:rFonts w:ascii="Times New Roman" w:hAnsi="Times New Roman" w:cs="Times New Roman"/>
          <w:i/>
          <w:sz w:val="22"/>
          <w:szCs w:val="22"/>
        </w:rPr>
        <w:t>Nation.Cymru</w:t>
      </w:r>
      <w:r w:rsidRPr="00047A9D">
        <w:rPr>
          <w:rFonts w:ascii="Times New Roman" w:hAnsi="Times New Roman" w:cs="Times New Roman"/>
          <w:sz w:val="22"/>
          <w:szCs w:val="22"/>
        </w:rPr>
        <w:t>, 21 June 2020 &lt;https://nation.cymru/opinion/wales-colonised-and-coloniser-a-reflection/&gt; [last accessed 19 February 2025].</w:t>
      </w:r>
    </w:p>
  </w:footnote>
  <w:footnote w:id="84">
    <w:p w14:paraId="2844AFFD"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For an introduction to the Irish context, see Stephen Howe, </w:t>
      </w:r>
      <w:r w:rsidRPr="00047A9D">
        <w:rPr>
          <w:rFonts w:ascii="Times New Roman" w:hAnsi="Times New Roman" w:cs="Times New Roman"/>
          <w:i/>
          <w:sz w:val="22"/>
          <w:szCs w:val="22"/>
        </w:rPr>
        <w:t>Ireland and Empire: Colonial Legacies in Irish History and Culture</w:t>
      </w:r>
      <w:r w:rsidRPr="00047A9D">
        <w:rPr>
          <w:rFonts w:ascii="Times New Roman" w:hAnsi="Times New Roman" w:cs="Times New Roman"/>
          <w:sz w:val="22"/>
          <w:szCs w:val="22"/>
        </w:rPr>
        <w:t xml:space="preserve"> (Oxford: OUP, 2000). T.M. Devine has written extensively on Scotland’s imperial experience: see T.M. Devine, ‘The Break-Up of Britain? Scotland and the End of Empire: The Prothero Lecture’, </w:t>
      </w:r>
      <w:r w:rsidRPr="00047A9D">
        <w:rPr>
          <w:rFonts w:ascii="Times New Roman" w:hAnsi="Times New Roman" w:cs="Times New Roman"/>
          <w:i/>
          <w:sz w:val="22"/>
          <w:szCs w:val="22"/>
        </w:rPr>
        <w:t>Transactions of the Royal Historical Society</w:t>
      </w:r>
      <w:r w:rsidRPr="00047A9D">
        <w:rPr>
          <w:rFonts w:ascii="Times New Roman" w:hAnsi="Times New Roman" w:cs="Times New Roman"/>
          <w:sz w:val="22"/>
          <w:szCs w:val="22"/>
        </w:rPr>
        <w:t xml:space="preserve"> 16 (2006), 163–80; and T.M. Devine, </w:t>
      </w:r>
      <w:r w:rsidRPr="00047A9D">
        <w:rPr>
          <w:rFonts w:ascii="Times New Roman" w:hAnsi="Times New Roman" w:cs="Times New Roman"/>
          <w:i/>
          <w:sz w:val="22"/>
          <w:szCs w:val="22"/>
        </w:rPr>
        <w:t>Scotland's Empire, 1600-1815</w:t>
      </w:r>
      <w:r w:rsidRPr="00047A9D">
        <w:rPr>
          <w:rFonts w:ascii="Times New Roman" w:hAnsi="Times New Roman" w:cs="Times New Roman"/>
          <w:sz w:val="22"/>
          <w:szCs w:val="22"/>
        </w:rPr>
        <w:t xml:space="preserve"> (London: Penguin, 2003). On the Welsh context, see H.V. Bowen, </w:t>
      </w:r>
      <w:r w:rsidRPr="00047A9D">
        <w:rPr>
          <w:rFonts w:ascii="Times New Roman" w:hAnsi="Times New Roman" w:cs="Times New Roman"/>
          <w:i/>
          <w:sz w:val="22"/>
          <w:szCs w:val="22"/>
        </w:rPr>
        <w:t>Wales and the British Overseas Empire: Interactions and Influences, 1650-1830</w:t>
      </w:r>
      <w:r w:rsidRPr="00047A9D">
        <w:rPr>
          <w:rFonts w:ascii="Times New Roman" w:hAnsi="Times New Roman" w:cs="Times New Roman"/>
          <w:sz w:val="22"/>
          <w:szCs w:val="22"/>
        </w:rPr>
        <w:t xml:space="preserve"> (Manchester: MUP, 2017).</w:t>
      </w:r>
    </w:p>
  </w:footnote>
  <w:footnote w:id="85">
    <w:p w14:paraId="6E205519"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Phillips, </w:t>
      </w:r>
      <w:r w:rsidRPr="00047A9D">
        <w:rPr>
          <w:rFonts w:ascii="Times New Roman" w:hAnsi="Times New Roman" w:cs="Times New Roman"/>
          <w:i/>
          <w:sz w:val="22"/>
          <w:szCs w:val="22"/>
        </w:rPr>
        <w:t>History Teaching</w:t>
      </w:r>
      <w:r w:rsidRPr="00047A9D">
        <w:rPr>
          <w:rFonts w:ascii="Times New Roman" w:hAnsi="Times New Roman" w:cs="Times New Roman"/>
          <w:sz w:val="22"/>
          <w:szCs w:val="22"/>
        </w:rPr>
        <w:t>, p.16.</w:t>
      </w:r>
    </w:p>
  </w:footnote>
  <w:footnote w:id="86">
    <w:p w14:paraId="63EB4B8E" w14:textId="1D6B6B9F" w:rsidR="00C80724" w:rsidRPr="00047A9D" w:rsidRDefault="00C8072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F10E5" w:rsidRPr="00047A9D">
        <w:rPr>
          <w:rFonts w:ascii="Times New Roman" w:hAnsi="Times New Roman" w:cs="Times New Roman"/>
          <w:sz w:val="22"/>
          <w:szCs w:val="22"/>
        </w:rPr>
        <w:t xml:space="preserve">Laura Carter, </w:t>
      </w:r>
      <w:r w:rsidR="007F10E5" w:rsidRPr="00047A9D">
        <w:rPr>
          <w:rFonts w:ascii="Times New Roman" w:hAnsi="Times New Roman" w:cs="Times New Roman"/>
          <w:i/>
          <w:sz w:val="22"/>
          <w:szCs w:val="22"/>
        </w:rPr>
        <w:t>Histories of Everyday Life: The Making of Popular Social History in Britain, 1918–1979</w:t>
      </w:r>
      <w:r w:rsidR="007F10E5" w:rsidRPr="00047A9D">
        <w:rPr>
          <w:rFonts w:ascii="Times New Roman" w:hAnsi="Times New Roman" w:cs="Times New Roman"/>
          <w:sz w:val="22"/>
          <w:szCs w:val="22"/>
        </w:rPr>
        <w:t>, (Oxford: OUP, 2021), p.</w:t>
      </w:r>
      <w:r w:rsidR="00153CB5" w:rsidRPr="00047A9D">
        <w:rPr>
          <w:rFonts w:ascii="Times New Roman" w:hAnsi="Times New Roman" w:cs="Times New Roman"/>
          <w:sz w:val="22"/>
          <w:szCs w:val="22"/>
        </w:rPr>
        <w:t>237.</w:t>
      </w:r>
    </w:p>
  </w:footnote>
  <w:footnote w:id="87">
    <w:p w14:paraId="696D9844" w14:textId="1CC6662E"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Reba N. Soffer, </w:t>
      </w:r>
      <w:r w:rsidRPr="00047A9D">
        <w:rPr>
          <w:rFonts w:ascii="Times New Roman" w:hAnsi="Times New Roman" w:cs="Times New Roman"/>
          <w:i/>
          <w:sz w:val="22"/>
          <w:szCs w:val="22"/>
        </w:rPr>
        <w:t xml:space="preserve">Discipline and Power: The University, History and the Making of an English Elite, 1870-1930 </w:t>
      </w:r>
      <w:r w:rsidRPr="00047A9D">
        <w:rPr>
          <w:rFonts w:ascii="Times New Roman" w:hAnsi="Times New Roman" w:cs="Times New Roman"/>
          <w:sz w:val="22"/>
          <w:szCs w:val="22"/>
        </w:rPr>
        <w:t>(Stanford, California: Stanford University Press),</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pp.6-8.</w:t>
      </w:r>
    </w:p>
  </w:footnote>
  <w:footnote w:id="88">
    <w:p w14:paraId="031AAD12" w14:textId="083AD70C" w:rsidR="00CC382F" w:rsidRPr="00047A9D" w:rsidRDefault="00CC382F"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64D0D" w:rsidRPr="00047A9D">
        <w:rPr>
          <w:rFonts w:ascii="Times New Roman" w:hAnsi="Times New Roman" w:cs="Times New Roman"/>
          <w:sz w:val="22"/>
          <w:szCs w:val="22"/>
        </w:rPr>
        <w:t xml:space="preserve">Soffer, </w:t>
      </w:r>
      <w:r w:rsidR="00964D0D" w:rsidRPr="00047A9D">
        <w:rPr>
          <w:rFonts w:ascii="Times New Roman" w:hAnsi="Times New Roman" w:cs="Times New Roman"/>
          <w:i/>
          <w:sz w:val="22"/>
          <w:szCs w:val="22"/>
        </w:rPr>
        <w:t xml:space="preserve">Discipline and Power, </w:t>
      </w:r>
      <w:r w:rsidR="00964D0D" w:rsidRPr="00047A9D">
        <w:rPr>
          <w:rFonts w:ascii="Times New Roman" w:hAnsi="Times New Roman" w:cs="Times New Roman"/>
          <w:iCs/>
          <w:sz w:val="22"/>
          <w:szCs w:val="22"/>
        </w:rPr>
        <w:t>p</w:t>
      </w:r>
      <w:r w:rsidR="00FC2A5D" w:rsidRPr="00047A9D">
        <w:rPr>
          <w:rFonts w:ascii="Times New Roman" w:hAnsi="Times New Roman" w:cs="Times New Roman"/>
          <w:iCs/>
          <w:sz w:val="22"/>
          <w:szCs w:val="22"/>
        </w:rPr>
        <w:t>p.7-8</w:t>
      </w:r>
      <w:r w:rsidR="009F2CBE" w:rsidRPr="00047A9D">
        <w:rPr>
          <w:rFonts w:ascii="Times New Roman" w:hAnsi="Times New Roman" w:cs="Times New Roman"/>
          <w:iCs/>
          <w:sz w:val="22"/>
          <w:szCs w:val="22"/>
        </w:rPr>
        <w:t>, 10</w:t>
      </w:r>
      <w:r w:rsidR="00537FBA" w:rsidRPr="00047A9D">
        <w:rPr>
          <w:rFonts w:ascii="Times New Roman" w:hAnsi="Times New Roman" w:cs="Times New Roman"/>
          <w:iCs/>
          <w:sz w:val="22"/>
          <w:szCs w:val="22"/>
        </w:rPr>
        <w:t>.</w:t>
      </w:r>
    </w:p>
  </w:footnote>
  <w:footnote w:id="89">
    <w:p w14:paraId="56005ACD" w14:textId="77FB7875" w:rsidR="00964D0D" w:rsidRPr="00047A9D" w:rsidRDefault="00964D0D"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37FBA" w:rsidRPr="00047A9D">
        <w:rPr>
          <w:rFonts w:ascii="Times New Roman" w:hAnsi="Times New Roman" w:cs="Times New Roman"/>
          <w:sz w:val="22"/>
          <w:szCs w:val="22"/>
        </w:rPr>
        <w:t xml:space="preserve">Soffer, </w:t>
      </w:r>
      <w:r w:rsidR="00537FBA" w:rsidRPr="00047A9D">
        <w:rPr>
          <w:rFonts w:ascii="Times New Roman" w:hAnsi="Times New Roman" w:cs="Times New Roman"/>
          <w:i/>
          <w:sz w:val="22"/>
          <w:szCs w:val="22"/>
        </w:rPr>
        <w:t xml:space="preserve">Discipline and Power, </w:t>
      </w:r>
      <w:r w:rsidR="00537FBA" w:rsidRPr="00047A9D">
        <w:rPr>
          <w:rFonts w:ascii="Times New Roman" w:hAnsi="Times New Roman" w:cs="Times New Roman"/>
          <w:iCs/>
          <w:sz w:val="22"/>
          <w:szCs w:val="22"/>
        </w:rPr>
        <w:t xml:space="preserve">pp.34, </w:t>
      </w:r>
      <w:r w:rsidR="007E6ABB" w:rsidRPr="00047A9D">
        <w:rPr>
          <w:rFonts w:ascii="Times New Roman" w:hAnsi="Times New Roman" w:cs="Times New Roman"/>
          <w:iCs/>
          <w:sz w:val="22"/>
          <w:szCs w:val="22"/>
        </w:rPr>
        <w:t>62.</w:t>
      </w:r>
    </w:p>
  </w:footnote>
  <w:footnote w:id="90">
    <w:p w14:paraId="2C775008" w14:textId="6257991D"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Robert Moore, ‘From Merrie England to the Civilized World: History at Sheffield, 1963-1988, Part 2 – Brave New World’, </w:t>
      </w:r>
      <w:r w:rsidRPr="00047A9D">
        <w:rPr>
          <w:rFonts w:ascii="Times New Roman" w:hAnsi="Times New Roman" w:cs="Times New Roman"/>
          <w:i/>
          <w:sz w:val="22"/>
          <w:szCs w:val="22"/>
        </w:rPr>
        <w:t>History Matters Blog</w:t>
      </w:r>
      <w:r w:rsidRPr="00047A9D">
        <w:rPr>
          <w:rFonts w:ascii="Times New Roman" w:hAnsi="Times New Roman" w:cs="Times New Roman"/>
          <w:sz w:val="22"/>
          <w:szCs w:val="22"/>
        </w:rPr>
        <w:t>, 22 February 2021</w:t>
      </w:r>
      <w:r w:rsidR="00230684" w:rsidRPr="00047A9D">
        <w:rPr>
          <w:rFonts w:ascii="Times New Roman" w:hAnsi="Times New Roman" w:cs="Times New Roman"/>
          <w:sz w:val="22"/>
          <w:szCs w:val="22"/>
        </w:rPr>
        <w:t xml:space="preserve"> </w:t>
      </w:r>
      <w:r w:rsidRPr="00047A9D">
        <w:rPr>
          <w:rFonts w:ascii="Times New Roman" w:hAnsi="Times New Roman" w:cs="Times New Roman"/>
          <w:sz w:val="22"/>
          <w:szCs w:val="22"/>
        </w:rPr>
        <w:t xml:space="preserve">&lt;https://historymatters.sites.sheffield.ac.uk/blog-archive/2021/from-merrie-england-to-the-civilized-world-part-2&gt; [accessed 12 February 2025]; Soffer, </w:t>
      </w:r>
      <w:r w:rsidRPr="00047A9D">
        <w:rPr>
          <w:rFonts w:ascii="Times New Roman" w:hAnsi="Times New Roman" w:cs="Times New Roman"/>
          <w:i/>
          <w:sz w:val="22"/>
          <w:szCs w:val="22"/>
        </w:rPr>
        <w:t xml:space="preserve">Discipline and Power, </w:t>
      </w:r>
      <w:r w:rsidRPr="00047A9D">
        <w:rPr>
          <w:rFonts w:ascii="Times New Roman" w:hAnsi="Times New Roman" w:cs="Times New Roman"/>
          <w:sz w:val="22"/>
          <w:szCs w:val="22"/>
        </w:rPr>
        <w:t>p.63.</w:t>
      </w:r>
    </w:p>
  </w:footnote>
  <w:footnote w:id="91">
    <w:p w14:paraId="784608E3"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Bethwell A. Ogot, ‘African Historiography: From Colonial Historiography to UNESCO’s General History of Africa’, in </w:t>
      </w:r>
      <w:r w:rsidRPr="00047A9D">
        <w:rPr>
          <w:rFonts w:ascii="Times New Roman" w:hAnsi="Times New Roman" w:cs="Times New Roman"/>
          <w:i/>
          <w:sz w:val="22"/>
          <w:szCs w:val="22"/>
        </w:rPr>
        <w:t>Building on the Indigenous: Selected Essays, 1981-1998</w:t>
      </w:r>
      <w:r w:rsidRPr="00047A9D">
        <w:rPr>
          <w:rFonts w:ascii="Times New Roman" w:hAnsi="Times New Roman" w:cs="Times New Roman"/>
          <w:sz w:val="22"/>
          <w:szCs w:val="22"/>
        </w:rPr>
        <w:t xml:space="preserve"> (Kisumu: Anyange Press, 1999), 71-78.</w:t>
      </w:r>
    </w:p>
  </w:footnote>
  <w:footnote w:id="92">
    <w:p w14:paraId="31CFDF55" w14:textId="48004CE0"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Seeley, </w:t>
      </w:r>
      <w:r w:rsidRPr="00047A9D">
        <w:rPr>
          <w:rFonts w:ascii="Times New Roman" w:hAnsi="Times New Roman" w:cs="Times New Roman"/>
          <w:i/>
          <w:sz w:val="22"/>
          <w:szCs w:val="22"/>
        </w:rPr>
        <w:t xml:space="preserve">The Expansion of </w:t>
      </w:r>
      <w:r w:rsidRPr="00047A9D">
        <w:rPr>
          <w:rFonts w:ascii="Times New Roman" w:hAnsi="Times New Roman" w:cs="Times New Roman"/>
          <w:iCs/>
          <w:sz w:val="22"/>
          <w:szCs w:val="22"/>
        </w:rPr>
        <w:t>England</w:t>
      </w:r>
      <w:r w:rsidR="00313B8A" w:rsidRPr="00047A9D">
        <w:rPr>
          <w:rFonts w:ascii="Times New Roman" w:hAnsi="Times New Roman" w:cs="Times New Roman"/>
          <w:iCs/>
          <w:sz w:val="22"/>
          <w:szCs w:val="22"/>
        </w:rPr>
        <w:t xml:space="preserve">, </w:t>
      </w:r>
      <w:r w:rsidRPr="00047A9D">
        <w:rPr>
          <w:rFonts w:ascii="Times New Roman" w:hAnsi="Times New Roman" w:cs="Times New Roman"/>
          <w:iCs/>
          <w:sz w:val="22"/>
          <w:szCs w:val="22"/>
        </w:rPr>
        <w:t>p</w:t>
      </w:r>
      <w:r w:rsidRPr="00047A9D">
        <w:rPr>
          <w:rFonts w:ascii="Times New Roman" w:hAnsi="Times New Roman" w:cs="Times New Roman"/>
          <w:sz w:val="22"/>
          <w:szCs w:val="22"/>
        </w:rPr>
        <w:t xml:space="preserve">.8. See also related analysis in Richard Aldrich, ‘Imperialism in the Study and Teaching of History’, in Mangan, </w:t>
      </w:r>
      <w:r w:rsidRPr="00047A9D">
        <w:rPr>
          <w:rFonts w:ascii="Times New Roman" w:hAnsi="Times New Roman" w:cs="Times New Roman"/>
          <w:i/>
          <w:sz w:val="22"/>
          <w:szCs w:val="22"/>
        </w:rPr>
        <w:t>Benefits Bestowed?</w:t>
      </w:r>
      <w:r w:rsidRPr="00047A9D">
        <w:rPr>
          <w:rFonts w:ascii="Times New Roman" w:hAnsi="Times New Roman" w:cs="Times New Roman"/>
          <w:sz w:val="22"/>
          <w:szCs w:val="22"/>
        </w:rPr>
        <w:t>, 23-38, p.25.</w:t>
      </w:r>
    </w:p>
  </w:footnote>
  <w:footnote w:id="93">
    <w:p w14:paraId="0EB784E4"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Priya Satia, </w:t>
      </w:r>
      <w:r w:rsidRPr="00047A9D">
        <w:rPr>
          <w:rFonts w:ascii="Times New Roman" w:hAnsi="Times New Roman" w:cs="Times New Roman"/>
          <w:i/>
          <w:sz w:val="22"/>
          <w:szCs w:val="22"/>
        </w:rPr>
        <w:t xml:space="preserve">Time’s Monster: How History Makes History </w:t>
      </w:r>
      <w:r w:rsidRPr="00047A9D">
        <w:rPr>
          <w:rFonts w:ascii="Times New Roman" w:hAnsi="Times New Roman" w:cs="Times New Roman"/>
          <w:sz w:val="22"/>
          <w:szCs w:val="22"/>
        </w:rPr>
        <w:t>(Cambridge, Massachusetts: The Belknap Press of Harvard University Press, 2020), p.59.</w:t>
      </w:r>
    </w:p>
  </w:footnote>
  <w:footnote w:id="94">
    <w:p w14:paraId="3171DD78"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Satia</w:t>
      </w:r>
      <w:r w:rsidRPr="00047A9D">
        <w:rPr>
          <w:rFonts w:ascii="Times New Roman" w:hAnsi="Times New Roman" w:cs="Times New Roman"/>
          <w:i/>
          <w:sz w:val="22"/>
          <w:szCs w:val="22"/>
        </w:rPr>
        <w:t>, Time’s Monster</w:t>
      </w:r>
      <w:r w:rsidRPr="00047A9D">
        <w:rPr>
          <w:rFonts w:ascii="Times New Roman" w:hAnsi="Times New Roman" w:cs="Times New Roman"/>
          <w:sz w:val="22"/>
          <w:szCs w:val="22"/>
        </w:rPr>
        <w:t xml:space="preserve">, pp.106, 132; Tim Dyson, </w:t>
      </w:r>
      <w:r w:rsidRPr="00047A9D">
        <w:rPr>
          <w:rFonts w:ascii="Times New Roman" w:hAnsi="Times New Roman" w:cs="Times New Roman"/>
          <w:i/>
          <w:sz w:val="22"/>
          <w:szCs w:val="22"/>
        </w:rPr>
        <w:t>A Population History of India: From the First Modern People to the Present Day</w:t>
      </w:r>
      <w:r w:rsidRPr="00047A9D">
        <w:rPr>
          <w:rFonts w:ascii="Times New Roman" w:hAnsi="Times New Roman" w:cs="Times New Roman"/>
          <w:sz w:val="22"/>
          <w:szCs w:val="22"/>
        </w:rPr>
        <w:t xml:space="preserve"> (Oxford: OUP, 2018), p.137.</w:t>
      </w:r>
    </w:p>
  </w:footnote>
  <w:footnote w:id="95">
    <w:p w14:paraId="784A18BC" w14:textId="77777777" w:rsidR="009329E1" w:rsidRPr="00047A9D" w:rsidRDefault="009329E1"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Satia</w:t>
      </w:r>
      <w:r w:rsidRPr="00047A9D">
        <w:rPr>
          <w:rFonts w:ascii="Times New Roman" w:hAnsi="Times New Roman" w:cs="Times New Roman"/>
          <w:i/>
          <w:sz w:val="22"/>
          <w:szCs w:val="22"/>
        </w:rPr>
        <w:t>, Time’s Monster</w:t>
      </w:r>
      <w:r w:rsidRPr="00047A9D">
        <w:rPr>
          <w:rFonts w:ascii="Times New Roman" w:hAnsi="Times New Roman" w:cs="Times New Roman"/>
          <w:sz w:val="22"/>
          <w:szCs w:val="22"/>
        </w:rPr>
        <w:t>, pp.132, 145.</w:t>
      </w:r>
    </w:p>
  </w:footnote>
  <w:footnote w:id="96">
    <w:p w14:paraId="4DA3E3D3"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Richard Drayton, ‘Imperial History and the Human Future’, </w:t>
      </w:r>
      <w:r w:rsidRPr="00047A9D">
        <w:rPr>
          <w:rFonts w:ascii="Times New Roman" w:hAnsi="Times New Roman" w:cs="Times New Roman"/>
          <w:i/>
          <w:sz w:val="22"/>
          <w:szCs w:val="22"/>
        </w:rPr>
        <w:t>History Workshop Journal</w:t>
      </w:r>
      <w:r w:rsidRPr="00047A9D">
        <w:rPr>
          <w:rFonts w:ascii="Times New Roman" w:hAnsi="Times New Roman" w:cs="Times New Roman"/>
          <w:sz w:val="22"/>
          <w:szCs w:val="22"/>
        </w:rPr>
        <w:t xml:space="preserve"> 74.1 (2012), 156–172, p.165; Sarah Stockwell, ‘The Imperial and World History Seminar’, in David Manning (ed.),</w:t>
      </w:r>
      <w:r w:rsidRPr="00047A9D">
        <w:rPr>
          <w:rFonts w:ascii="Times New Roman" w:hAnsi="Times New Roman" w:cs="Times New Roman"/>
          <w:i/>
          <w:sz w:val="22"/>
          <w:szCs w:val="22"/>
        </w:rPr>
        <w:t xml:space="preserve"> Talking History: Seminar Culture at the Institute of Historical Research, 1921–2021</w:t>
      </w:r>
      <w:r w:rsidRPr="00047A9D">
        <w:rPr>
          <w:rFonts w:ascii="Times New Roman" w:hAnsi="Times New Roman" w:cs="Times New Roman"/>
          <w:sz w:val="22"/>
          <w:szCs w:val="22"/>
        </w:rPr>
        <w:t xml:space="preserve"> (London: University of London Press, 2024), 175–200.</w:t>
      </w:r>
    </w:p>
  </w:footnote>
  <w:footnote w:id="97">
    <w:p w14:paraId="2367F57D" w14:textId="7DE17BDB"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Ronald Hyam, ‘The Study of Imperial and Commonwealth History at Cambridge, 1881–1981: Founding Fathers and Pioneer Research Students’, </w:t>
      </w:r>
      <w:r w:rsidRPr="00047A9D">
        <w:rPr>
          <w:rFonts w:ascii="Times New Roman" w:hAnsi="Times New Roman" w:cs="Times New Roman"/>
          <w:i/>
          <w:sz w:val="22"/>
          <w:szCs w:val="22"/>
        </w:rPr>
        <w:t>The Journal of Imperial and Commonwealth History</w:t>
      </w:r>
      <w:r w:rsidR="00FD3CDC" w:rsidRPr="00047A9D">
        <w:rPr>
          <w:rFonts w:ascii="Times New Roman" w:hAnsi="Times New Roman" w:cs="Times New Roman"/>
          <w:sz w:val="22"/>
          <w:szCs w:val="22"/>
        </w:rPr>
        <w:t xml:space="preserve"> </w:t>
      </w:r>
      <w:r w:rsidRPr="00047A9D">
        <w:rPr>
          <w:rFonts w:ascii="Times New Roman" w:hAnsi="Times New Roman" w:cs="Times New Roman"/>
          <w:sz w:val="22"/>
          <w:szCs w:val="22"/>
        </w:rPr>
        <w:t>29.3 (2001), 75–103, p.79.</w:t>
      </w:r>
    </w:p>
  </w:footnote>
  <w:footnote w:id="98">
    <w:p w14:paraId="66417C19"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Stephen Howe, ‘Decolonisation and Imperial Aftershocks: The Thatcher Years’, in Ben Jackson and Robert Saunders, </w:t>
      </w:r>
      <w:r w:rsidRPr="00047A9D">
        <w:rPr>
          <w:rFonts w:ascii="Times New Roman" w:hAnsi="Times New Roman" w:cs="Times New Roman"/>
          <w:i/>
          <w:sz w:val="22"/>
          <w:szCs w:val="22"/>
        </w:rPr>
        <w:t>Making Thatcher’s Britain</w:t>
      </w:r>
      <w:r w:rsidRPr="00047A9D">
        <w:rPr>
          <w:rFonts w:ascii="Times New Roman" w:hAnsi="Times New Roman" w:cs="Times New Roman"/>
          <w:sz w:val="22"/>
          <w:szCs w:val="22"/>
        </w:rPr>
        <w:t xml:space="preserve"> (Cambridge: CUP, 2012), 234–52, p.235. </w:t>
      </w:r>
    </w:p>
  </w:footnote>
  <w:footnote w:id="99">
    <w:p w14:paraId="7942B40E" w14:textId="335D3B6E"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David Fieldhouse, ‘Can Humpty-Dumpty Be Put Together Again? Imperial History in the 1980s’, </w:t>
      </w:r>
      <w:r w:rsidRPr="00047A9D">
        <w:rPr>
          <w:rFonts w:ascii="Times New Roman" w:hAnsi="Times New Roman" w:cs="Times New Roman"/>
          <w:i/>
          <w:sz w:val="22"/>
          <w:szCs w:val="22"/>
        </w:rPr>
        <w:t>Journal of Imperial and Commonwealth History</w:t>
      </w:r>
      <w:r w:rsidR="00447B1F" w:rsidRPr="00047A9D">
        <w:rPr>
          <w:rFonts w:ascii="Times New Roman" w:hAnsi="Times New Roman" w:cs="Times New Roman"/>
          <w:sz w:val="22"/>
          <w:szCs w:val="22"/>
        </w:rPr>
        <w:t xml:space="preserve"> </w:t>
      </w:r>
      <w:r w:rsidRPr="00047A9D">
        <w:rPr>
          <w:rFonts w:ascii="Times New Roman" w:hAnsi="Times New Roman" w:cs="Times New Roman"/>
          <w:sz w:val="22"/>
          <w:szCs w:val="22"/>
        </w:rPr>
        <w:t>12 (1984), 9–23, pp.9-10.</w:t>
      </w:r>
    </w:p>
  </w:footnote>
  <w:footnote w:id="100">
    <w:p w14:paraId="0F026949"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Laura Tabili, ‘Colony and Metropole: The New Imperial History’, </w:t>
      </w:r>
      <w:r w:rsidRPr="00047A9D">
        <w:rPr>
          <w:rFonts w:ascii="Times New Roman" w:hAnsi="Times New Roman" w:cs="Times New Roman"/>
          <w:i/>
          <w:sz w:val="22"/>
          <w:szCs w:val="22"/>
        </w:rPr>
        <w:t>The Historian</w:t>
      </w:r>
      <w:r w:rsidRPr="00047A9D">
        <w:rPr>
          <w:rFonts w:ascii="Times New Roman" w:hAnsi="Times New Roman" w:cs="Times New Roman"/>
          <w:sz w:val="22"/>
          <w:szCs w:val="22"/>
        </w:rPr>
        <w:t xml:space="preserve"> 69.1 (2007), 84-86, p.84.</w:t>
      </w:r>
    </w:p>
  </w:footnote>
  <w:footnote w:id="101">
    <w:p w14:paraId="6A8DD415" w14:textId="7E002E68"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Kathryn Castle, ‘The Imperial Indian: India in British History Textbooks for Schools 1890-1914’, in J.A. Mangan (ed.), </w:t>
      </w:r>
      <w:r w:rsidRPr="00047A9D">
        <w:rPr>
          <w:rFonts w:ascii="Times New Roman" w:hAnsi="Times New Roman" w:cs="Times New Roman"/>
          <w:i/>
          <w:sz w:val="22"/>
          <w:szCs w:val="22"/>
        </w:rPr>
        <w:t xml:space="preserve">The Imperial Curriculum: Racial Images and Education in the British Colonial Experience </w:t>
      </w:r>
      <w:r w:rsidRPr="00047A9D">
        <w:rPr>
          <w:rFonts w:ascii="Times New Roman" w:hAnsi="Times New Roman" w:cs="Times New Roman"/>
          <w:sz w:val="22"/>
          <w:szCs w:val="22"/>
        </w:rPr>
        <w:t>(London: Routledge, 1993), 23-39; Jody Crutchley, ‘Imperialism and English Schools: Education for, about, and Because of Empire’, in Nicholas Joseph, </w:t>
      </w:r>
      <w:r w:rsidRPr="00047A9D">
        <w:rPr>
          <w:rFonts w:ascii="Times New Roman" w:hAnsi="Times New Roman" w:cs="Times New Roman"/>
          <w:i/>
          <w:sz w:val="22"/>
          <w:szCs w:val="22"/>
        </w:rPr>
        <w:t>New Studies in the History of Education: Connecting the Past to the Present in an Evolving Discipline</w:t>
      </w:r>
      <w:r w:rsidRPr="00047A9D">
        <w:rPr>
          <w:rFonts w:ascii="Times New Roman" w:hAnsi="Times New Roman" w:cs="Times New Roman"/>
          <w:sz w:val="22"/>
          <w:szCs w:val="22"/>
        </w:rPr>
        <w:t xml:space="preserve"> (Abingdon: Routledge, 2024), 105-15; Stephen H</w:t>
      </w:r>
      <w:r w:rsidR="00A23E30">
        <w:rPr>
          <w:rFonts w:ascii="Times New Roman" w:hAnsi="Times New Roman" w:cs="Times New Roman"/>
          <w:sz w:val="22"/>
          <w:szCs w:val="22"/>
        </w:rPr>
        <w:t>ea</w:t>
      </w:r>
      <w:r w:rsidRPr="00047A9D">
        <w:rPr>
          <w:rFonts w:ascii="Times New Roman" w:hAnsi="Times New Roman" w:cs="Times New Roman"/>
          <w:sz w:val="22"/>
          <w:szCs w:val="22"/>
        </w:rPr>
        <w:t xml:space="preserve">thorn, </w:t>
      </w:r>
      <w:r w:rsidRPr="00047A9D">
        <w:rPr>
          <w:rFonts w:ascii="Times New Roman" w:hAnsi="Times New Roman" w:cs="Times New Roman"/>
          <w:i/>
          <w:sz w:val="22"/>
          <w:szCs w:val="22"/>
        </w:rPr>
        <w:t xml:space="preserve">For Home, Country and Race: Constructing Gender, Class, and Englishness in the Elementary School, 1880-1914 </w:t>
      </w:r>
      <w:r w:rsidRPr="00047A9D">
        <w:rPr>
          <w:rFonts w:ascii="Times New Roman" w:hAnsi="Times New Roman" w:cs="Times New Roman"/>
          <w:sz w:val="22"/>
          <w:szCs w:val="22"/>
        </w:rPr>
        <w:t xml:space="preserve">(Toronto: University of Toronto Press, 2000); Mangan (ed.), </w:t>
      </w:r>
      <w:r w:rsidRPr="00047A9D">
        <w:rPr>
          <w:rFonts w:ascii="Times New Roman" w:hAnsi="Times New Roman" w:cs="Times New Roman"/>
          <w:i/>
          <w:sz w:val="22"/>
          <w:szCs w:val="22"/>
        </w:rPr>
        <w:t>Benefits Bestowed?</w:t>
      </w:r>
      <w:r w:rsidR="001C1B5E" w:rsidRPr="00047A9D">
        <w:rPr>
          <w:rFonts w:ascii="Times New Roman" w:hAnsi="Times New Roman" w:cs="Times New Roman"/>
          <w:i/>
          <w:sz w:val="22"/>
          <w:szCs w:val="22"/>
        </w:rPr>
        <w:t xml:space="preserve">; </w:t>
      </w:r>
      <w:r w:rsidRPr="00047A9D">
        <w:rPr>
          <w:rFonts w:ascii="Times New Roman" w:hAnsi="Times New Roman" w:cs="Times New Roman"/>
          <w:sz w:val="22"/>
          <w:szCs w:val="22"/>
        </w:rPr>
        <w:t>J.A. Managan, </w:t>
      </w:r>
      <w:r w:rsidRPr="00047A9D">
        <w:rPr>
          <w:rFonts w:ascii="Times New Roman" w:hAnsi="Times New Roman" w:cs="Times New Roman"/>
          <w:i/>
          <w:sz w:val="22"/>
          <w:szCs w:val="22"/>
        </w:rPr>
        <w:t>The Games Ethic and Imperialism: Aspects of the Diffusion of an Ideal</w:t>
      </w:r>
      <w:r w:rsidRPr="00047A9D">
        <w:rPr>
          <w:rFonts w:ascii="Times New Roman" w:hAnsi="Times New Roman" w:cs="Times New Roman"/>
          <w:sz w:val="22"/>
          <w:szCs w:val="22"/>
        </w:rPr>
        <w:t xml:space="preserve"> (Middlesex: Penguin, 1986); McDermid and Foster, ‘Comparative Portrayals of the British Empire’; Porter, </w:t>
      </w:r>
      <w:r w:rsidRPr="00047A9D">
        <w:rPr>
          <w:rFonts w:ascii="Times New Roman" w:hAnsi="Times New Roman" w:cs="Times New Roman"/>
          <w:i/>
          <w:sz w:val="22"/>
          <w:szCs w:val="22"/>
        </w:rPr>
        <w:t xml:space="preserve">The Absent-Minded Imperialists; </w:t>
      </w:r>
      <w:r w:rsidRPr="00047A9D">
        <w:rPr>
          <w:rFonts w:ascii="Times New Roman" w:hAnsi="Times New Roman" w:cs="Times New Roman"/>
          <w:sz w:val="22"/>
          <w:szCs w:val="22"/>
        </w:rPr>
        <w:t xml:space="preserve">Peter Yeandle, </w:t>
      </w:r>
      <w:r w:rsidRPr="00047A9D">
        <w:rPr>
          <w:rFonts w:ascii="Times New Roman" w:hAnsi="Times New Roman" w:cs="Times New Roman"/>
          <w:i/>
          <w:sz w:val="22"/>
          <w:szCs w:val="22"/>
        </w:rPr>
        <w:t xml:space="preserve">Citizenship, Nation, Empire: The Politics of History Teaching in England, 1870-1930 </w:t>
      </w:r>
      <w:r w:rsidRPr="00047A9D">
        <w:rPr>
          <w:rFonts w:ascii="Times New Roman" w:hAnsi="Times New Roman" w:cs="Times New Roman"/>
          <w:sz w:val="22"/>
          <w:szCs w:val="22"/>
        </w:rPr>
        <w:t xml:space="preserve">(Manchester: MUP, 2015). </w:t>
      </w:r>
    </w:p>
  </w:footnote>
  <w:footnote w:id="102">
    <w:p w14:paraId="5E0E1D2B" w14:textId="28A95F6D"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Valerie Chancellor, </w:t>
      </w:r>
      <w:r w:rsidRPr="00047A9D">
        <w:rPr>
          <w:rFonts w:ascii="Times New Roman" w:hAnsi="Times New Roman" w:cs="Times New Roman"/>
          <w:i/>
          <w:sz w:val="22"/>
          <w:szCs w:val="22"/>
        </w:rPr>
        <w:t>History for Their Masters: Opinion in the English History Textbook, 1800-1914</w:t>
      </w:r>
      <w:r w:rsidRPr="00047A9D">
        <w:rPr>
          <w:rFonts w:ascii="Times New Roman" w:hAnsi="Times New Roman" w:cs="Times New Roman"/>
          <w:sz w:val="22"/>
          <w:szCs w:val="22"/>
        </w:rPr>
        <w:t xml:space="preserve"> (Bath: Adams &amp; Dart, 1970); H</w:t>
      </w:r>
      <w:r w:rsidR="00A23E30">
        <w:rPr>
          <w:rFonts w:ascii="Times New Roman" w:hAnsi="Times New Roman" w:cs="Times New Roman"/>
          <w:sz w:val="22"/>
          <w:szCs w:val="22"/>
        </w:rPr>
        <w:t>ea</w:t>
      </w:r>
      <w:r w:rsidRPr="00047A9D">
        <w:rPr>
          <w:rFonts w:ascii="Times New Roman" w:hAnsi="Times New Roman" w:cs="Times New Roman"/>
          <w:sz w:val="22"/>
          <w:szCs w:val="22"/>
        </w:rPr>
        <w:t xml:space="preserve">thorn, </w:t>
      </w:r>
      <w:r w:rsidRPr="00047A9D">
        <w:rPr>
          <w:rFonts w:ascii="Times New Roman" w:hAnsi="Times New Roman" w:cs="Times New Roman"/>
          <w:i/>
          <w:sz w:val="22"/>
          <w:szCs w:val="22"/>
        </w:rPr>
        <w:t>For Home, Country and Race</w:t>
      </w:r>
      <w:r w:rsidRPr="00047A9D">
        <w:rPr>
          <w:rFonts w:ascii="Times New Roman" w:hAnsi="Times New Roman" w:cs="Times New Roman"/>
          <w:sz w:val="22"/>
          <w:szCs w:val="22"/>
        </w:rPr>
        <w:t xml:space="preserve">; Porter, </w:t>
      </w:r>
      <w:r w:rsidRPr="00047A9D">
        <w:rPr>
          <w:rFonts w:ascii="Times New Roman" w:hAnsi="Times New Roman" w:cs="Times New Roman"/>
          <w:i/>
          <w:sz w:val="22"/>
          <w:szCs w:val="22"/>
        </w:rPr>
        <w:t>The Absent-Minded Imperialists.</w:t>
      </w:r>
    </w:p>
  </w:footnote>
  <w:footnote w:id="103">
    <w:p w14:paraId="5E81D7E8"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Porter, </w:t>
      </w:r>
      <w:r w:rsidRPr="00047A9D">
        <w:rPr>
          <w:rFonts w:ascii="Times New Roman" w:hAnsi="Times New Roman" w:cs="Times New Roman"/>
          <w:i/>
          <w:sz w:val="22"/>
          <w:szCs w:val="22"/>
        </w:rPr>
        <w:t>The Absent-Minded Imperialists</w:t>
      </w:r>
      <w:r w:rsidRPr="00047A9D">
        <w:rPr>
          <w:rFonts w:ascii="Times New Roman" w:hAnsi="Times New Roman" w:cs="Times New Roman"/>
          <w:sz w:val="22"/>
          <w:szCs w:val="22"/>
        </w:rPr>
        <w:t>, pp.182-83; Satia</w:t>
      </w:r>
      <w:r w:rsidRPr="00047A9D">
        <w:rPr>
          <w:rFonts w:ascii="Times New Roman" w:hAnsi="Times New Roman" w:cs="Times New Roman"/>
          <w:i/>
          <w:sz w:val="22"/>
          <w:szCs w:val="22"/>
        </w:rPr>
        <w:t>, Time’s Monster</w:t>
      </w:r>
      <w:r w:rsidRPr="00047A9D">
        <w:rPr>
          <w:rFonts w:ascii="Times New Roman" w:hAnsi="Times New Roman" w:cs="Times New Roman"/>
          <w:sz w:val="22"/>
          <w:szCs w:val="22"/>
        </w:rPr>
        <w:t>, pp.132, 145.</w:t>
      </w:r>
    </w:p>
  </w:footnote>
  <w:footnote w:id="104">
    <w:p w14:paraId="1E727336" w14:textId="1E104C0B" w:rsidR="00A53DFC" w:rsidRPr="00047A9D" w:rsidRDefault="00A53DF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Satia, </w:t>
      </w:r>
      <w:r w:rsidRPr="00047A9D">
        <w:rPr>
          <w:rFonts w:ascii="Times New Roman" w:hAnsi="Times New Roman" w:cs="Times New Roman"/>
          <w:i/>
          <w:iCs/>
          <w:sz w:val="22"/>
          <w:szCs w:val="22"/>
        </w:rPr>
        <w:t>Time</w:t>
      </w:r>
      <w:r w:rsidR="005D610D" w:rsidRPr="00047A9D">
        <w:rPr>
          <w:rFonts w:ascii="Times New Roman" w:hAnsi="Times New Roman" w:cs="Times New Roman"/>
          <w:i/>
          <w:iCs/>
          <w:sz w:val="22"/>
          <w:szCs w:val="22"/>
        </w:rPr>
        <w:t>’</w:t>
      </w:r>
      <w:r w:rsidRPr="00047A9D">
        <w:rPr>
          <w:rFonts w:ascii="Times New Roman" w:hAnsi="Times New Roman" w:cs="Times New Roman"/>
          <w:i/>
          <w:iCs/>
          <w:sz w:val="22"/>
          <w:szCs w:val="22"/>
        </w:rPr>
        <w:t>s Monster.</w:t>
      </w:r>
    </w:p>
  </w:footnote>
  <w:footnote w:id="105">
    <w:p w14:paraId="3644BE97"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Porter, </w:t>
      </w:r>
      <w:r w:rsidRPr="00047A9D">
        <w:rPr>
          <w:rFonts w:ascii="Times New Roman" w:hAnsi="Times New Roman" w:cs="Times New Roman"/>
          <w:i/>
          <w:sz w:val="22"/>
          <w:szCs w:val="22"/>
        </w:rPr>
        <w:t>The Absent-Minded Imperialists</w:t>
      </w:r>
      <w:r w:rsidRPr="00047A9D">
        <w:rPr>
          <w:rFonts w:ascii="Times New Roman" w:hAnsi="Times New Roman" w:cs="Times New Roman"/>
          <w:sz w:val="22"/>
          <w:szCs w:val="22"/>
        </w:rPr>
        <w:t>, pp.182-83, 188.</w:t>
      </w:r>
    </w:p>
  </w:footnote>
  <w:footnote w:id="106">
    <w:p w14:paraId="0650827F"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Hannah Rosenfelder (Producer), David Cannadine (Speaker), ‘The Red Bits Are British’, Just Radio for BBC Radio 4, 15 October 2011 &lt;https://www.bbc.co.uk/programmes/b015ygj9&gt; [last accessed 16 January 2025].</w:t>
      </w:r>
    </w:p>
  </w:footnote>
  <w:footnote w:id="107">
    <w:p w14:paraId="59AAFB3B" w14:textId="77777777" w:rsidR="009329E1" w:rsidRPr="00047A9D" w:rsidRDefault="009329E1" w:rsidP="00D839D4">
      <w:pPr>
        <w:pStyle w:val="FootnoteText"/>
        <w:spacing w:line="360" w:lineRule="auto"/>
        <w:rPr>
          <w:rFonts w:ascii="Times New Roman" w:hAnsi="Times New Roman" w:cs="Times New Roman"/>
          <w:i/>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J.A. Mangan, </w:t>
      </w:r>
      <w:r w:rsidRPr="00047A9D">
        <w:rPr>
          <w:rFonts w:ascii="Times New Roman" w:hAnsi="Times New Roman" w:cs="Times New Roman"/>
          <w:i/>
          <w:sz w:val="22"/>
          <w:szCs w:val="22"/>
        </w:rPr>
        <w:t xml:space="preserve">Athleticism in the Victorian and Edwardian Public School: The Emergence and Consolidation of an Educational Ideology </w:t>
      </w:r>
      <w:r w:rsidRPr="00047A9D">
        <w:rPr>
          <w:rFonts w:ascii="Times New Roman" w:hAnsi="Times New Roman" w:cs="Times New Roman"/>
          <w:sz w:val="22"/>
          <w:szCs w:val="22"/>
        </w:rPr>
        <w:t>(Cambridge: CUP, 1981)</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Managan, </w:t>
      </w:r>
      <w:r w:rsidRPr="00047A9D">
        <w:rPr>
          <w:rFonts w:ascii="Times New Roman" w:hAnsi="Times New Roman" w:cs="Times New Roman"/>
          <w:i/>
          <w:sz w:val="22"/>
          <w:szCs w:val="22"/>
        </w:rPr>
        <w:t>The Games Ethic.</w:t>
      </w:r>
    </w:p>
  </w:footnote>
  <w:footnote w:id="108">
    <w:p w14:paraId="0F74F003"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Porter, </w:t>
      </w:r>
      <w:r w:rsidRPr="00047A9D">
        <w:rPr>
          <w:rFonts w:ascii="Times New Roman" w:hAnsi="Times New Roman" w:cs="Times New Roman"/>
          <w:i/>
          <w:sz w:val="22"/>
          <w:szCs w:val="22"/>
        </w:rPr>
        <w:t xml:space="preserve">The Absent-Minded Imperialists, </w:t>
      </w:r>
      <w:r w:rsidRPr="00047A9D">
        <w:rPr>
          <w:rFonts w:ascii="Times New Roman" w:hAnsi="Times New Roman" w:cs="Times New Roman"/>
          <w:sz w:val="22"/>
          <w:szCs w:val="22"/>
        </w:rPr>
        <w:t>pp.48, 59, 296.</w:t>
      </w:r>
    </w:p>
  </w:footnote>
  <w:footnote w:id="109">
    <w:p w14:paraId="142853F2"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Roper, ‘Between Manliness and Masculinity’, pp.343, 350, 361.</w:t>
      </w:r>
    </w:p>
  </w:footnote>
  <w:footnote w:id="110">
    <w:p w14:paraId="6A292EDF"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Walter Carruthers Sellar and Robert Julian Yeatman, </w:t>
      </w:r>
      <w:r w:rsidRPr="00047A9D">
        <w:rPr>
          <w:rFonts w:ascii="Times New Roman" w:hAnsi="Times New Roman" w:cs="Times New Roman"/>
          <w:i/>
          <w:sz w:val="22"/>
          <w:szCs w:val="22"/>
        </w:rPr>
        <w:t>1066 And All That: A Memorable History of England, Comprising All the Parts You Can Remember, Including 103 Good Things, 5 Bad Kings and 2 Genuine Dates</w:t>
      </w:r>
      <w:r w:rsidRPr="00047A9D">
        <w:rPr>
          <w:rFonts w:ascii="Times New Roman" w:hAnsi="Times New Roman" w:cs="Times New Roman"/>
          <w:sz w:val="22"/>
          <w:szCs w:val="22"/>
        </w:rPr>
        <w:t xml:space="preserve"> (London: Methuen, 1930), pp.v, 113.</w:t>
      </w:r>
    </w:p>
  </w:footnote>
  <w:footnote w:id="111">
    <w:p w14:paraId="229A8E89" w14:textId="0D1C7DDD" w:rsidR="00CF7EA8" w:rsidRPr="00047A9D" w:rsidRDefault="00CF7EA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Raphael Samuel, </w:t>
      </w:r>
      <w:r w:rsidRPr="00047A9D">
        <w:rPr>
          <w:rFonts w:ascii="Times New Roman" w:hAnsi="Times New Roman" w:cs="Times New Roman"/>
          <w:i/>
          <w:sz w:val="22"/>
          <w:szCs w:val="22"/>
        </w:rPr>
        <w:t>Island Stories,</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Unravelling Britain: Theatres of Memory, Volume II</w:t>
      </w:r>
      <w:r w:rsidRPr="00047A9D">
        <w:rPr>
          <w:rFonts w:ascii="Times New Roman" w:hAnsi="Times New Roman" w:cs="Times New Roman"/>
          <w:sz w:val="22"/>
          <w:szCs w:val="22"/>
        </w:rPr>
        <w:t xml:space="preserve"> (London: Verso, 1998), pp.81-82.</w:t>
      </w:r>
    </w:p>
  </w:footnote>
  <w:footnote w:id="112">
    <w:p w14:paraId="48F8178C" w14:textId="7E96D53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Samuel, </w:t>
      </w:r>
      <w:r w:rsidRPr="00047A9D">
        <w:rPr>
          <w:rFonts w:ascii="Times New Roman" w:hAnsi="Times New Roman" w:cs="Times New Roman"/>
          <w:i/>
          <w:sz w:val="22"/>
          <w:szCs w:val="22"/>
        </w:rPr>
        <w:t>Island Stories</w:t>
      </w:r>
      <w:r w:rsidRPr="00047A9D">
        <w:rPr>
          <w:rFonts w:ascii="Times New Roman" w:hAnsi="Times New Roman" w:cs="Times New Roman"/>
          <w:sz w:val="22"/>
          <w:szCs w:val="22"/>
        </w:rPr>
        <w:t>, pp.81-82.</w:t>
      </w:r>
    </w:p>
  </w:footnote>
  <w:footnote w:id="113">
    <w:p w14:paraId="70AC3D55"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Anna Claeys, ‘Britannia’s Children Grow Up: English Education at Empire’s End’, </w:t>
      </w:r>
      <w:r w:rsidRPr="00047A9D">
        <w:rPr>
          <w:rFonts w:ascii="Times New Roman" w:hAnsi="Times New Roman" w:cs="Times New Roman"/>
          <w:i/>
          <w:sz w:val="22"/>
          <w:szCs w:val="22"/>
        </w:rPr>
        <w:t xml:space="preserve">History of Education </w:t>
      </w:r>
      <w:r w:rsidRPr="00047A9D">
        <w:rPr>
          <w:rFonts w:ascii="Times New Roman" w:hAnsi="Times New Roman" w:cs="Times New Roman"/>
          <w:sz w:val="22"/>
          <w:szCs w:val="22"/>
        </w:rPr>
        <w:t xml:space="preserve">47.6 (2018), 823-39, p.824. </w:t>
      </w:r>
    </w:p>
  </w:footnote>
  <w:footnote w:id="114">
    <w:p w14:paraId="1AB9E02A" w14:textId="243BE3F4"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707A5" w:rsidRPr="00047A9D">
        <w:rPr>
          <w:rFonts w:ascii="Times New Roman" w:hAnsi="Times New Roman" w:cs="Times New Roman"/>
          <w:sz w:val="22"/>
          <w:szCs w:val="22"/>
        </w:rPr>
        <w:t xml:space="preserve">Aldrich and Dean, ‘The Historical Dimension’, in Aldrich (ed.), </w:t>
      </w:r>
      <w:r w:rsidR="001707A5" w:rsidRPr="00047A9D">
        <w:rPr>
          <w:rFonts w:ascii="Times New Roman" w:hAnsi="Times New Roman" w:cs="Times New Roman"/>
          <w:i/>
          <w:sz w:val="22"/>
          <w:szCs w:val="22"/>
        </w:rPr>
        <w:t>History in the National Curriculum</w:t>
      </w:r>
      <w:r w:rsidRPr="00047A9D">
        <w:rPr>
          <w:rFonts w:ascii="Times New Roman" w:hAnsi="Times New Roman" w:cs="Times New Roman"/>
          <w:sz w:val="22"/>
          <w:szCs w:val="22"/>
        </w:rPr>
        <w:t>,</w:t>
      </w:r>
      <w:r w:rsidR="00AA7EFC" w:rsidRPr="00047A9D">
        <w:rPr>
          <w:rFonts w:ascii="Times New Roman" w:hAnsi="Times New Roman" w:cs="Times New Roman"/>
          <w:sz w:val="22"/>
          <w:szCs w:val="22"/>
        </w:rPr>
        <w:t xml:space="preserve"> </w:t>
      </w:r>
      <w:r w:rsidRPr="00047A9D">
        <w:rPr>
          <w:rFonts w:ascii="Times New Roman" w:hAnsi="Times New Roman" w:cs="Times New Roman"/>
          <w:sz w:val="22"/>
          <w:szCs w:val="22"/>
        </w:rPr>
        <w:t>pp.102-03.</w:t>
      </w:r>
    </w:p>
  </w:footnote>
  <w:footnote w:id="115">
    <w:p w14:paraId="67D96F84"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Cannadine, Keating, and Sheldon, </w:t>
      </w:r>
      <w:r w:rsidRPr="00047A9D">
        <w:rPr>
          <w:rFonts w:ascii="Times New Roman" w:hAnsi="Times New Roman" w:cs="Times New Roman"/>
          <w:i/>
          <w:sz w:val="22"/>
          <w:szCs w:val="22"/>
        </w:rPr>
        <w:t>The Right Kind</w:t>
      </w:r>
      <w:r w:rsidRPr="00047A9D">
        <w:rPr>
          <w:rFonts w:ascii="Times New Roman" w:hAnsi="Times New Roman" w:cs="Times New Roman"/>
          <w:sz w:val="22"/>
          <w:szCs w:val="22"/>
        </w:rPr>
        <w:t>, pp.95-96, 137-40, 151-53.</w:t>
      </w:r>
    </w:p>
  </w:footnote>
  <w:footnote w:id="116">
    <w:p w14:paraId="1B980701"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Samuel, </w:t>
      </w:r>
      <w:r w:rsidRPr="00047A9D">
        <w:rPr>
          <w:rFonts w:ascii="Times New Roman" w:hAnsi="Times New Roman" w:cs="Times New Roman"/>
          <w:i/>
          <w:sz w:val="22"/>
          <w:szCs w:val="22"/>
        </w:rPr>
        <w:t>Island Stories</w:t>
      </w:r>
      <w:r w:rsidRPr="00047A9D">
        <w:rPr>
          <w:rFonts w:ascii="Times New Roman" w:hAnsi="Times New Roman" w:cs="Times New Roman"/>
          <w:sz w:val="22"/>
          <w:szCs w:val="22"/>
        </w:rPr>
        <w:t>, p.83.</w:t>
      </w:r>
    </w:p>
  </w:footnote>
  <w:footnote w:id="117">
    <w:p w14:paraId="325161FE"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Sally Tomlinson, </w:t>
      </w:r>
      <w:r w:rsidRPr="00047A9D">
        <w:rPr>
          <w:rFonts w:ascii="Times New Roman" w:hAnsi="Times New Roman" w:cs="Times New Roman"/>
          <w:i/>
          <w:sz w:val="22"/>
          <w:szCs w:val="22"/>
        </w:rPr>
        <w:t xml:space="preserve">Education and Race from Empire to Brexit </w:t>
      </w:r>
      <w:r w:rsidRPr="00047A9D">
        <w:rPr>
          <w:rFonts w:ascii="Times New Roman" w:hAnsi="Times New Roman" w:cs="Times New Roman"/>
          <w:sz w:val="22"/>
          <w:szCs w:val="22"/>
        </w:rPr>
        <w:t>(Bristol: Polity, 2019), pp.81-86.</w:t>
      </w:r>
    </w:p>
  </w:footnote>
  <w:footnote w:id="118">
    <w:p w14:paraId="772922B0" w14:textId="29F8EAB1" w:rsidR="009329E1" w:rsidRPr="00047A9D" w:rsidRDefault="009329E1"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Centre for Contemporary Cultural Studies (CCCS), </w:t>
      </w:r>
      <w:r w:rsidRPr="00047A9D">
        <w:rPr>
          <w:rFonts w:ascii="Times New Roman" w:hAnsi="Times New Roman" w:cs="Times New Roman"/>
          <w:i/>
          <w:sz w:val="22"/>
          <w:szCs w:val="22"/>
        </w:rPr>
        <w:t xml:space="preserve">The Empire Strikes Back: Race and Racism in 70s Britain </w:t>
      </w:r>
      <w:r w:rsidRPr="00047A9D">
        <w:rPr>
          <w:rFonts w:ascii="Times New Roman" w:hAnsi="Times New Roman" w:cs="Times New Roman"/>
          <w:sz w:val="22"/>
          <w:szCs w:val="22"/>
        </w:rPr>
        <w:t>(London: Hutchinson, 1982);</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 xml:space="preserve">Gilroy, </w:t>
      </w:r>
      <w:r w:rsidRPr="00047A9D">
        <w:rPr>
          <w:rFonts w:ascii="Times New Roman" w:hAnsi="Times New Roman" w:cs="Times New Roman"/>
          <w:i/>
          <w:sz w:val="22"/>
          <w:szCs w:val="22"/>
        </w:rPr>
        <w:t>After Empire</w:t>
      </w:r>
      <w:r w:rsidRPr="00047A9D">
        <w:rPr>
          <w:rFonts w:ascii="Times New Roman" w:hAnsi="Times New Roman" w:cs="Times New Roman"/>
          <w:sz w:val="22"/>
          <w:szCs w:val="22"/>
        </w:rPr>
        <w:t xml:space="preserve">; Paul Gilroy, </w:t>
      </w:r>
      <w:r w:rsidRPr="00047A9D">
        <w:rPr>
          <w:rFonts w:ascii="Times New Roman" w:hAnsi="Times New Roman" w:cs="Times New Roman"/>
          <w:i/>
          <w:sz w:val="22"/>
          <w:szCs w:val="22"/>
        </w:rPr>
        <w:t xml:space="preserve">There Ain’t No Black in the Union Jack: The Cultural Politics of Race and Nation, </w:t>
      </w:r>
      <w:r w:rsidRPr="00047A9D">
        <w:rPr>
          <w:rFonts w:ascii="Times New Roman" w:hAnsi="Times New Roman" w:cs="Times New Roman"/>
          <w:sz w:val="22"/>
          <w:szCs w:val="22"/>
        </w:rPr>
        <w:t>rev. ed., (London: Routledge, 2002)</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Stuart Hall, ‘The Empire Strikes Back</w:t>
      </w:r>
      <w:r w:rsidR="008867E2" w:rsidRPr="00047A9D">
        <w:rPr>
          <w:rFonts w:ascii="Times New Roman" w:hAnsi="Times New Roman" w:cs="Times New Roman"/>
          <w:sz w:val="22"/>
          <w:szCs w:val="22"/>
        </w:rPr>
        <w:t xml:space="preserve"> (</w:t>
      </w:r>
      <w:r w:rsidRPr="00047A9D">
        <w:rPr>
          <w:rFonts w:ascii="Times New Roman" w:hAnsi="Times New Roman" w:cs="Times New Roman"/>
          <w:sz w:val="22"/>
          <w:szCs w:val="22"/>
        </w:rPr>
        <w:t>1982</w:t>
      </w:r>
      <w:r w:rsidR="008867E2" w:rsidRPr="00047A9D">
        <w:rPr>
          <w:rFonts w:ascii="Times New Roman" w:hAnsi="Times New Roman" w:cs="Times New Roman"/>
          <w:sz w:val="22"/>
          <w:szCs w:val="22"/>
        </w:rPr>
        <w:t>)</w:t>
      </w:r>
      <w:r w:rsidRPr="00047A9D">
        <w:rPr>
          <w:rFonts w:ascii="Times New Roman" w:hAnsi="Times New Roman" w:cs="Times New Roman"/>
          <w:sz w:val="22"/>
          <w:szCs w:val="22"/>
        </w:rPr>
        <w:t>’</w:t>
      </w:r>
      <w:r w:rsidR="00974854" w:rsidRPr="00047A9D">
        <w:rPr>
          <w:rFonts w:ascii="Times New Roman" w:hAnsi="Times New Roman" w:cs="Times New Roman"/>
          <w:sz w:val="22"/>
          <w:szCs w:val="22"/>
        </w:rPr>
        <w:t>,</w:t>
      </w:r>
      <w:r w:rsidRPr="00047A9D">
        <w:rPr>
          <w:rFonts w:ascii="Times New Roman" w:hAnsi="Times New Roman" w:cs="Times New Roman"/>
          <w:sz w:val="22"/>
          <w:szCs w:val="22"/>
        </w:rPr>
        <w:t xml:space="preserve"> in Sally Davison</w:t>
      </w:r>
      <w:r w:rsidR="001222AB" w:rsidRPr="00047A9D">
        <w:rPr>
          <w:rFonts w:ascii="Times New Roman" w:hAnsi="Times New Roman" w:cs="Times New Roman"/>
          <w:sz w:val="22"/>
          <w:szCs w:val="22"/>
        </w:rPr>
        <w:t xml:space="preserve"> </w:t>
      </w:r>
      <w:r w:rsidR="001222AB" w:rsidRPr="00047A9D">
        <w:rPr>
          <w:rFonts w:ascii="Times New Roman" w:hAnsi="Times New Roman" w:cs="Times New Roman"/>
          <w:i/>
          <w:sz w:val="22"/>
          <w:szCs w:val="22"/>
        </w:rPr>
        <w:t xml:space="preserve">et al. </w:t>
      </w:r>
      <w:r w:rsidRPr="00047A9D">
        <w:rPr>
          <w:rFonts w:ascii="Times New Roman" w:hAnsi="Times New Roman" w:cs="Times New Roman"/>
          <w:sz w:val="22"/>
          <w:szCs w:val="22"/>
        </w:rPr>
        <w:t>(eds),</w:t>
      </w:r>
      <w:r w:rsidRPr="00047A9D">
        <w:rPr>
          <w:rFonts w:ascii="Times New Roman" w:hAnsi="Times New Roman" w:cs="Times New Roman"/>
          <w:i/>
          <w:sz w:val="22"/>
          <w:szCs w:val="22"/>
        </w:rPr>
        <w:t xml:space="preserve"> Selected Political Writings: The Great Moving Right Show and Other Essays, </w:t>
      </w:r>
      <w:r w:rsidRPr="00047A9D">
        <w:rPr>
          <w:rFonts w:ascii="Times New Roman" w:hAnsi="Times New Roman" w:cs="Times New Roman"/>
          <w:sz w:val="22"/>
          <w:szCs w:val="22"/>
        </w:rPr>
        <w:t>(New York, USA: Duke University Press, 2017), 200-206.</w:t>
      </w:r>
    </w:p>
  </w:footnote>
  <w:footnote w:id="119">
    <w:p w14:paraId="0024BCD7"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Claeys, ‘Britannia’s Children’, p.825.</w:t>
      </w:r>
    </w:p>
  </w:footnote>
  <w:footnote w:id="120">
    <w:p w14:paraId="73BD3BDA" w14:textId="38A1DC38" w:rsidR="00C51284" w:rsidRPr="00047A9D" w:rsidRDefault="00C5128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508C2" w:rsidRPr="00047A9D">
        <w:rPr>
          <w:rFonts w:ascii="Times New Roman" w:hAnsi="Times New Roman" w:cs="Times New Roman"/>
          <w:sz w:val="22"/>
          <w:szCs w:val="22"/>
        </w:rPr>
        <w:t>Claeys, ‘Britannia’s Children’, p.825.</w:t>
      </w:r>
    </w:p>
  </w:footnote>
  <w:footnote w:id="121">
    <w:p w14:paraId="1C6D442C"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Norman Graves</w:t>
      </w:r>
      <w:r w:rsidRPr="00047A9D">
        <w:rPr>
          <w:rFonts w:ascii="Times New Roman" w:hAnsi="Times New Roman" w:cs="Times New Roman"/>
          <w:i/>
          <w:sz w:val="22"/>
          <w:szCs w:val="22"/>
        </w:rPr>
        <w:t>, School Textbook Research: The Case of Geography 1800–2000</w:t>
      </w:r>
      <w:r w:rsidRPr="00047A9D">
        <w:rPr>
          <w:rFonts w:ascii="Times New Roman" w:hAnsi="Times New Roman" w:cs="Times New Roman"/>
          <w:sz w:val="22"/>
          <w:szCs w:val="22"/>
        </w:rPr>
        <w:t xml:space="preserve"> (London: University of London Press, 2001), p.2.</w:t>
      </w:r>
    </w:p>
  </w:footnote>
  <w:footnote w:id="122">
    <w:p w14:paraId="26DD0B14"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For a related analysis, see McDermid and Foster, ‘Comparative Portrayals of the British Empire’, p.3.</w:t>
      </w:r>
    </w:p>
  </w:footnote>
  <w:footnote w:id="123">
    <w:p w14:paraId="08FEBDE2"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McDermid and Foster, ‘Comparative Portrayals of the British Empire’, p.3.</w:t>
      </w:r>
    </w:p>
  </w:footnote>
  <w:footnote w:id="124">
    <w:p w14:paraId="2FC742BF"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Tina van der Vlies, </w:t>
      </w:r>
      <w:r w:rsidRPr="00047A9D">
        <w:rPr>
          <w:rFonts w:ascii="Times New Roman" w:hAnsi="Times New Roman" w:cs="Times New Roman"/>
          <w:i/>
          <w:sz w:val="22"/>
          <w:szCs w:val="22"/>
        </w:rPr>
        <w:t>Echoing Events: The Perpetuation of National Narratives in English and Dutch History Textbooks, 1920-2010</w:t>
      </w:r>
      <w:r w:rsidRPr="00047A9D">
        <w:rPr>
          <w:rFonts w:ascii="Times New Roman" w:hAnsi="Times New Roman" w:cs="Times New Roman"/>
          <w:sz w:val="22"/>
          <w:szCs w:val="22"/>
        </w:rPr>
        <w:t xml:space="preserve"> (Göttingen: V&amp;R unipress, 2022), p.17.</w:t>
      </w:r>
    </w:p>
  </w:footnote>
  <w:footnote w:id="125">
    <w:p w14:paraId="0A586358"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Claeys, ‘Britannia’s Children’, pp.825-26.</w:t>
      </w:r>
    </w:p>
  </w:footnote>
  <w:footnote w:id="126">
    <w:p w14:paraId="7BE7E528"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Sjaak Braster, Ian Grosvenor, and María del Mar del Pozo Andrés, </w:t>
      </w:r>
      <w:r w:rsidRPr="00047A9D">
        <w:rPr>
          <w:rFonts w:ascii="Times New Roman" w:hAnsi="Times New Roman" w:cs="Times New Roman"/>
          <w:i/>
          <w:sz w:val="22"/>
          <w:szCs w:val="22"/>
        </w:rPr>
        <w:t>Black Box of Schooling: A Cultural History of the Classroom</w:t>
      </w:r>
      <w:r w:rsidRPr="00047A9D">
        <w:rPr>
          <w:rFonts w:ascii="Times New Roman" w:hAnsi="Times New Roman" w:cs="Times New Roman"/>
          <w:sz w:val="22"/>
          <w:szCs w:val="22"/>
        </w:rPr>
        <w:t xml:space="preserve"> (Brussels: P.I.E. Peter Lang, 2011), especially pp.10-16.</w:t>
      </w:r>
    </w:p>
  </w:footnote>
  <w:footnote w:id="127">
    <w:p w14:paraId="0A4F2699"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Cannadine, Keating, and Sheldon, </w:t>
      </w:r>
      <w:r w:rsidRPr="00047A9D">
        <w:rPr>
          <w:rFonts w:ascii="Times New Roman" w:hAnsi="Times New Roman" w:cs="Times New Roman"/>
          <w:i/>
          <w:sz w:val="22"/>
          <w:szCs w:val="22"/>
        </w:rPr>
        <w:t>The Right Kind</w:t>
      </w:r>
      <w:r w:rsidRPr="00047A9D">
        <w:rPr>
          <w:rFonts w:ascii="Times New Roman" w:hAnsi="Times New Roman" w:cs="Times New Roman"/>
          <w:sz w:val="22"/>
          <w:szCs w:val="22"/>
        </w:rPr>
        <w:t>.</w:t>
      </w:r>
    </w:p>
  </w:footnote>
  <w:footnote w:id="128">
    <w:p w14:paraId="198860D3"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Claeys, ‘Britannia’s Children’.</w:t>
      </w:r>
    </w:p>
  </w:footnote>
  <w:footnote w:id="129">
    <w:p w14:paraId="1FF73CB2" w14:textId="2039CD78"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Tisdall, ‘“The School that I’d Like”, in Pooley and Taylor</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 xml:space="preserve">(eds), </w:t>
      </w:r>
      <w:r w:rsidRPr="00047A9D">
        <w:rPr>
          <w:rFonts w:ascii="Times New Roman" w:hAnsi="Times New Roman" w:cs="Times New Roman"/>
          <w:i/>
          <w:sz w:val="22"/>
          <w:szCs w:val="22"/>
        </w:rPr>
        <w:t>Children’s Experiences</w:t>
      </w:r>
      <w:r w:rsidRPr="00047A9D">
        <w:rPr>
          <w:rFonts w:ascii="Times New Roman" w:hAnsi="Times New Roman" w:cs="Times New Roman"/>
          <w:sz w:val="22"/>
          <w:szCs w:val="22"/>
        </w:rPr>
        <w:t>, p.200.</w:t>
      </w:r>
    </w:p>
  </w:footnote>
  <w:footnote w:id="130">
    <w:p w14:paraId="4A663B21" w14:textId="6F618703" w:rsidR="00675817" w:rsidRPr="00047A9D" w:rsidRDefault="0067581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47E6" w:rsidRPr="00047A9D">
        <w:rPr>
          <w:rFonts w:ascii="Times New Roman" w:hAnsi="Times New Roman" w:cs="Times New Roman"/>
          <w:sz w:val="22"/>
          <w:szCs w:val="22"/>
        </w:rPr>
        <w:t>Tisdall, ‘State of the Field’, p.959.</w:t>
      </w:r>
    </w:p>
  </w:footnote>
  <w:footnote w:id="131">
    <w:p w14:paraId="6AE03B6C"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Tisdall, ‘State of the Field’, p.959.</w:t>
      </w:r>
    </w:p>
  </w:footnote>
  <w:footnote w:id="132">
    <w:p w14:paraId="3754985E"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Tisdall, ‘“The School that I’d Like”, in Pooley and Taylor</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 xml:space="preserve">(eds), </w:t>
      </w:r>
      <w:r w:rsidRPr="00047A9D">
        <w:rPr>
          <w:rFonts w:ascii="Times New Roman" w:hAnsi="Times New Roman" w:cs="Times New Roman"/>
          <w:i/>
          <w:sz w:val="22"/>
          <w:szCs w:val="22"/>
        </w:rPr>
        <w:t>Children’s Experiences</w:t>
      </w:r>
      <w:r w:rsidRPr="00047A9D">
        <w:rPr>
          <w:rFonts w:ascii="Times New Roman" w:hAnsi="Times New Roman" w:cs="Times New Roman"/>
          <w:sz w:val="22"/>
          <w:szCs w:val="22"/>
        </w:rPr>
        <w:t>, p.199.</w:t>
      </w:r>
    </w:p>
  </w:footnote>
  <w:footnote w:id="133">
    <w:p w14:paraId="43662AFC" w14:textId="0ACE2016"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‘Secondary Education and Social Change in the United Kingdom since 1945’ &lt;https://sesc.hist.cam.ac.uk/blog/&gt; [accessed 27 February 2025]; Laura Tisdall, ‘African-Caribbean and South Asian Adolescents, Adulthood and the </w:t>
      </w:r>
      <w:r w:rsidR="00312F74" w:rsidRPr="00047A9D">
        <w:rPr>
          <w:rFonts w:ascii="Times New Roman" w:hAnsi="Times New Roman" w:cs="Times New Roman"/>
          <w:sz w:val="22"/>
          <w:szCs w:val="22"/>
        </w:rPr>
        <w:t>“</w:t>
      </w:r>
      <w:r w:rsidRPr="00047A9D">
        <w:rPr>
          <w:rFonts w:ascii="Times New Roman" w:hAnsi="Times New Roman" w:cs="Times New Roman"/>
          <w:sz w:val="22"/>
          <w:szCs w:val="22"/>
        </w:rPr>
        <w:t>Generation Gap</w:t>
      </w:r>
      <w:r w:rsidR="00312F74" w:rsidRPr="00047A9D">
        <w:rPr>
          <w:rFonts w:ascii="Times New Roman" w:hAnsi="Times New Roman" w:cs="Times New Roman"/>
          <w:sz w:val="22"/>
          <w:szCs w:val="22"/>
        </w:rPr>
        <w:t>”</w:t>
      </w:r>
      <w:r w:rsidRPr="00047A9D">
        <w:rPr>
          <w:rFonts w:ascii="Times New Roman" w:hAnsi="Times New Roman" w:cs="Times New Roman"/>
          <w:sz w:val="22"/>
          <w:szCs w:val="22"/>
        </w:rPr>
        <w:t xml:space="preserve"> in Late Cold War Britain, c.1970–c.1989’, in Maria Cannon and Laura Tisdall (eds)</w:t>
      </w:r>
      <w:r w:rsidR="00FF0261" w:rsidRPr="00047A9D">
        <w:rPr>
          <w:rFonts w:ascii="Times New Roman" w:hAnsi="Times New Roman" w:cs="Times New Roman"/>
          <w:sz w:val="22"/>
          <w:szCs w:val="22"/>
        </w:rPr>
        <w:t>,</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Adulthood in Britain and the United States from 1350 to Generation Z</w:t>
      </w:r>
      <w:r w:rsidRPr="00047A9D">
        <w:rPr>
          <w:rFonts w:ascii="Times New Roman" w:hAnsi="Times New Roman" w:cs="Times New Roman"/>
          <w:sz w:val="22"/>
          <w:szCs w:val="22"/>
        </w:rPr>
        <w:t xml:space="preserve"> (London: University of London Press, 2024), 193-213; Tisdall, ‘“The School that I’d Like”, in Pooley and Taylor</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 xml:space="preserve">(eds), </w:t>
      </w:r>
      <w:r w:rsidRPr="00047A9D">
        <w:rPr>
          <w:rFonts w:ascii="Times New Roman" w:hAnsi="Times New Roman" w:cs="Times New Roman"/>
          <w:i/>
          <w:sz w:val="22"/>
          <w:szCs w:val="22"/>
        </w:rPr>
        <w:t>Children’s Experiences</w:t>
      </w:r>
      <w:r w:rsidRPr="00047A9D">
        <w:rPr>
          <w:rFonts w:ascii="Times New Roman" w:hAnsi="Times New Roman" w:cs="Times New Roman"/>
          <w:sz w:val="22"/>
          <w:szCs w:val="22"/>
        </w:rPr>
        <w:t>, p.200; Tisdall, ‘State of the Field’; Laura Tisdall, ‘</w:t>
      </w:r>
      <w:r w:rsidR="00EB4786" w:rsidRPr="00047A9D">
        <w:rPr>
          <w:rFonts w:ascii="Times New Roman" w:hAnsi="Times New Roman" w:cs="Times New Roman"/>
          <w:sz w:val="22"/>
          <w:szCs w:val="22"/>
        </w:rPr>
        <w:t>“</w:t>
      </w:r>
      <w:r w:rsidRPr="00047A9D">
        <w:rPr>
          <w:rFonts w:ascii="Times New Roman" w:hAnsi="Times New Roman" w:cs="Times New Roman"/>
          <w:sz w:val="22"/>
          <w:szCs w:val="22"/>
        </w:rPr>
        <w:t>What a Difference it was to be a Woman and not a Teenager</w:t>
      </w:r>
      <w:r w:rsidR="00EB4786" w:rsidRPr="00047A9D">
        <w:rPr>
          <w:rFonts w:ascii="Times New Roman" w:hAnsi="Times New Roman" w:cs="Times New Roman"/>
          <w:sz w:val="22"/>
          <w:szCs w:val="22"/>
        </w:rPr>
        <w:t>”</w:t>
      </w:r>
      <w:r w:rsidRPr="00047A9D">
        <w:rPr>
          <w:rFonts w:ascii="Times New Roman" w:hAnsi="Times New Roman" w:cs="Times New Roman"/>
          <w:sz w:val="22"/>
          <w:szCs w:val="22"/>
        </w:rPr>
        <w:t>: Adolescent Girls’ Conceptions of Adulthood in 1960s and 1970s Britain’, </w:t>
      </w:r>
      <w:r w:rsidRPr="00047A9D">
        <w:rPr>
          <w:rFonts w:ascii="Times New Roman" w:hAnsi="Times New Roman" w:cs="Times New Roman"/>
          <w:i/>
          <w:sz w:val="22"/>
          <w:szCs w:val="22"/>
        </w:rPr>
        <w:t>Gender and History</w:t>
      </w:r>
      <w:r w:rsidRPr="00047A9D">
        <w:rPr>
          <w:rFonts w:ascii="Times New Roman" w:hAnsi="Times New Roman" w:cs="Times New Roman"/>
          <w:sz w:val="22"/>
          <w:szCs w:val="22"/>
        </w:rPr>
        <w:t> 34.2 (2022), 495-513.</w:t>
      </w:r>
    </w:p>
  </w:footnote>
  <w:footnote w:id="134">
    <w:p w14:paraId="418BE169"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Rob Waters, </w:t>
      </w:r>
      <w:r w:rsidRPr="00047A9D">
        <w:rPr>
          <w:rFonts w:ascii="Times New Roman" w:hAnsi="Times New Roman" w:cs="Times New Roman"/>
          <w:i/>
          <w:sz w:val="22"/>
          <w:szCs w:val="22"/>
        </w:rPr>
        <w:t>Thinking Black: Britain, 1964-1985</w:t>
      </w:r>
      <w:r w:rsidRPr="00047A9D">
        <w:rPr>
          <w:rFonts w:ascii="Times New Roman" w:hAnsi="Times New Roman" w:cs="Times New Roman"/>
          <w:sz w:val="22"/>
          <w:szCs w:val="22"/>
        </w:rPr>
        <w:t xml:space="preserve"> (Berkeley: University of California Press, 2018), pp.125-64.</w:t>
      </w:r>
    </w:p>
  </w:footnote>
  <w:footnote w:id="135">
    <w:p w14:paraId="1274E0D9" w14:textId="6A6AC5DF" w:rsidR="003A49BC" w:rsidRPr="00047A9D" w:rsidRDefault="003A49B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92648" w:rsidRPr="00047A9D">
        <w:rPr>
          <w:rFonts w:ascii="Times New Roman" w:hAnsi="Times New Roman" w:cs="Times New Roman"/>
          <w:sz w:val="22"/>
          <w:szCs w:val="22"/>
        </w:rPr>
        <w:t xml:space="preserve">Van der Vlies, </w:t>
      </w:r>
      <w:r w:rsidR="00192648" w:rsidRPr="00047A9D">
        <w:rPr>
          <w:rFonts w:ascii="Times New Roman" w:hAnsi="Times New Roman" w:cs="Times New Roman"/>
          <w:i/>
          <w:sz w:val="22"/>
          <w:szCs w:val="22"/>
        </w:rPr>
        <w:t xml:space="preserve">Echoing Events, </w:t>
      </w:r>
      <w:r w:rsidR="00192648" w:rsidRPr="00047A9D">
        <w:rPr>
          <w:rFonts w:ascii="Times New Roman" w:hAnsi="Times New Roman" w:cs="Times New Roman"/>
          <w:sz w:val="22"/>
          <w:szCs w:val="22"/>
        </w:rPr>
        <w:t>p.17.</w:t>
      </w:r>
    </w:p>
  </w:footnote>
  <w:footnote w:id="136">
    <w:p w14:paraId="2E534725"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Waters, </w:t>
      </w:r>
      <w:r w:rsidRPr="00047A9D">
        <w:rPr>
          <w:rFonts w:ascii="Times New Roman" w:hAnsi="Times New Roman" w:cs="Times New Roman"/>
          <w:i/>
          <w:sz w:val="22"/>
          <w:szCs w:val="22"/>
        </w:rPr>
        <w:t>Thinking Black</w:t>
      </w:r>
      <w:r w:rsidRPr="00047A9D">
        <w:rPr>
          <w:rFonts w:ascii="Times New Roman" w:hAnsi="Times New Roman" w:cs="Times New Roman"/>
          <w:sz w:val="22"/>
          <w:szCs w:val="22"/>
        </w:rPr>
        <w:t>, pp.125-64.</w:t>
      </w:r>
    </w:p>
  </w:footnote>
  <w:footnote w:id="137">
    <w:p w14:paraId="4BDD33A7"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Tisdall, ‘State of the Field’, p.959.</w:t>
      </w:r>
    </w:p>
  </w:footnote>
  <w:footnote w:id="138">
    <w:p w14:paraId="00136603" w14:textId="77777777" w:rsidR="009329E1" w:rsidRPr="00047A9D" w:rsidRDefault="009329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Paul Gilroy, </w:t>
      </w:r>
      <w:r w:rsidRPr="00047A9D">
        <w:rPr>
          <w:rFonts w:ascii="Times New Roman" w:hAnsi="Times New Roman" w:cs="Times New Roman"/>
          <w:i/>
          <w:sz w:val="22"/>
          <w:szCs w:val="22"/>
        </w:rPr>
        <w:t>Postcolonial Melancholia</w:t>
      </w:r>
      <w:r w:rsidRPr="00047A9D">
        <w:rPr>
          <w:rFonts w:ascii="Times New Roman" w:hAnsi="Times New Roman" w:cs="Times New Roman"/>
          <w:sz w:val="22"/>
          <w:szCs w:val="22"/>
        </w:rPr>
        <w:t xml:space="preserve"> (New York: Columbia University Press, 2005).</w:t>
      </w:r>
    </w:p>
  </w:footnote>
  <w:footnote w:id="139">
    <w:p w14:paraId="40F1A235" w14:textId="319A091D" w:rsidR="005D2595" w:rsidRPr="00047A9D" w:rsidRDefault="005D259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43107" w:rsidRPr="00047A9D">
        <w:rPr>
          <w:rFonts w:ascii="Times New Roman" w:hAnsi="Times New Roman" w:cs="Times New Roman"/>
          <w:sz w:val="22"/>
          <w:szCs w:val="22"/>
        </w:rPr>
        <w:t xml:space="preserve">F.B. Malim, ‘Empire Education in British Schools’, </w:t>
      </w:r>
      <w:r w:rsidR="00043107" w:rsidRPr="00047A9D">
        <w:rPr>
          <w:rFonts w:ascii="Times New Roman" w:hAnsi="Times New Roman" w:cs="Times New Roman"/>
          <w:i/>
          <w:sz w:val="22"/>
          <w:szCs w:val="22"/>
        </w:rPr>
        <w:t>Journal of the Royal Society of Arts</w:t>
      </w:r>
      <w:r w:rsidR="00043107" w:rsidRPr="00047A9D">
        <w:rPr>
          <w:rFonts w:ascii="Times New Roman" w:hAnsi="Times New Roman" w:cs="Times New Roman"/>
          <w:sz w:val="22"/>
          <w:szCs w:val="22"/>
        </w:rPr>
        <w:t xml:space="preserve"> 92.4662 (1944),</w:t>
      </w:r>
      <w:r w:rsidR="00B74450" w:rsidRPr="00047A9D">
        <w:rPr>
          <w:rFonts w:ascii="Times New Roman" w:hAnsi="Times New Roman" w:cs="Times New Roman"/>
          <w:sz w:val="22"/>
          <w:szCs w:val="22"/>
        </w:rPr>
        <w:t xml:space="preserve"> </w:t>
      </w:r>
      <w:r w:rsidR="00043107" w:rsidRPr="00047A9D">
        <w:rPr>
          <w:rFonts w:ascii="Times New Roman" w:hAnsi="Times New Roman" w:cs="Times New Roman"/>
          <w:sz w:val="22"/>
          <w:szCs w:val="22"/>
        </w:rPr>
        <w:t>214–22, p.215.</w:t>
      </w:r>
    </w:p>
  </w:footnote>
  <w:footnote w:id="140">
    <w:p w14:paraId="00A06CD3" w14:textId="77777777" w:rsidR="00665627" w:rsidRPr="00047A9D" w:rsidRDefault="0066562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John Darwin, </w:t>
      </w:r>
      <w:r w:rsidRPr="00047A9D">
        <w:rPr>
          <w:rFonts w:ascii="Times New Roman" w:hAnsi="Times New Roman" w:cs="Times New Roman"/>
          <w:i/>
          <w:sz w:val="22"/>
          <w:szCs w:val="22"/>
        </w:rPr>
        <w:t xml:space="preserve">The End of the British Empire: The Historical Debate </w:t>
      </w:r>
      <w:r w:rsidRPr="00047A9D">
        <w:rPr>
          <w:rFonts w:ascii="Times New Roman" w:hAnsi="Times New Roman" w:cs="Times New Roman"/>
          <w:sz w:val="22"/>
          <w:szCs w:val="22"/>
        </w:rPr>
        <w:t>(Oxford: Blackwell, 1991), pp.118-19.</w:t>
      </w:r>
    </w:p>
  </w:footnote>
  <w:footnote w:id="141">
    <w:p w14:paraId="257B971F" w14:textId="370AC1C2" w:rsidR="00665627" w:rsidRPr="00047A9D" w:rsidRDefault="0066562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Elizabeth Buettner, </w:t>
      </w:r>
      <w:r w:rsidRPr="00047A9D">
        <w:rPr>
          <w:rFonts w:ascii="Times New Roman" w:hAnsi="Times New Roman" w:cs="Times New Roman"/>
          <w:i/>
          <w:sz w:val="22"/>
          <w:szCs w:val="22"/>
        </w:rPr>
        <w:t>Empire Families: Britons and Late Imperial India</w:t>
      </w:r>
      <w:r w:rsidRPr="00047A9D">
        <w:rPr>
          <w:rFonts w:ascii="Times New Roman" w:hAnsi="Times New Roman" w:cs="Times New Roman"/>
          <w:sz w:val="22"/>
          <w:szCs w:val="22"/>
        </w:rPr>
        <w:t xml:space="preserve"> (Oxford: OUP, 2004), pp.252-70.</w:t>
      </w:r>
    </w:p>
  </w:footnote>
  <w:footnote w:id="142">
    <w:p w14:paraId="11614A25" w14:textId="73B89BBF" w:rsidR="00665627" w:rsidRPr="00047A9D" w:rsidRDefault="0066562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Sarah Stockwell, ‘Ends of Empire’, in Sarah Stockwell (ed.), </w:t>
      </w:r>
      <w:r w:rsidRPr="00047A9D">
        <w:rPr>
          <w:rFonts w:ascii="Times New Roman" w:hAnsi="Times New Roman" w:cs="Times New Roman"/>
          <w:i/>
          <w:sz w:val="22"/>
          <w:szCs w:val="22"/>
        </w:rPr>
        <w:t>The British Empire: Themes and Perspectives</w:t>
      </w:r>
      <w:r w:rsidRPr="00047A9D">
        <w:rPr>
          <w:rFonts w:ascii="Times New Roman" w:hAnsi="Times New Roman" w:cs="Times New Roman"/>
          <w:sz w:val="22"/>
          <w:szCs w:val="22"/>
        </w:rPr>
        <w:t xml:space="preserve"> (Oxford: Blackwell, 2008),</w:t>
      </w:r>
      <w:r w:rsidR="00B74450" w:rsidRPr="00047A9D">
        <w:rPr>
          <w:rFonts w:ascii="Times New Roman" w:hAnsi="Times New Roman" w:cs="Times New Roman"/>
          <w:sz w:val="22"/>
          <w:szCs w:val="22"/>
        </w:rPr>
        <w:t xml:space="preserve"> </w:t>
      </w:r>
      <w:r w:rsidRPr="00047A9D">
        <w:rPr>
          <w:rFonts w:ascii="Times New Roman" w:hAnsi="Times New Roman" w:cs="Times New Roman"/>
          <w:sz w:val="22"/>
          <w:szCs w:val="22"/>
        </w:rPr>
        <w:t>269-93, p.277.</w:t>
      </w:r>
    </w:p>
  </w:footnote>
  <w:footnote w:id="143">
    <w:p w14:paraId="5C66302A" w14:textId="77777777" w:rsidR="00665627" w:rsidRPr="00047A9D" w:rsidRDefault="0066562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Webster, </w:t>
      </w:r>
      <w:r w:rsidRPr="00047A9D">
        <w:rPr>
          <w:rFonts w:ascii="Times New Roman" w:hAnsi="Times New Roman" w:cs="Times New Roman"/>
          <w:i/>
          <w:sz w:val="22"/>
          <w:szCs w:val="22"/>
        </w:rPr>
        <w:t xml:space="preserve">Englishness and Empire, </w:t>
      </w:r>
      <w:r w:rsidRPr="00047A9D">
        <w:rPr>
          <w:rFonts w:ascii="Times New Roman" w:hAnsi="Times New Roman" w:cs="Times New Roman"/>
          <w:sz w:val="22"/>
          <w:szCs w:val="22"/>
        </w:rPr>
        <w:t>pp.60, 66.</w:t>
      </w:r>
    </w:p>
  </w:footnote>
  <w:footnote w:id="144">
    <w:p w14:paraId="57529EB9" w14:textId="008AEBE8" w:rsidR="00665627" w:rsidRPr="00047A9D" w:rsidRDefault="0066562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MacKenzie, ‘The Persistence of Empire’, in Ward (ed.), </w:t>
      </w:r>
      <w:r w:rsidRPr="00047A9D">
        <w:rPr>
          <w:rFonts w:ascii="Times New Roman" w:hAnsi="Times New Roman" w:cs="Times New Roman"/>
          <w:i/>
          <w:sz w:val="22"/>
          <w:szCs w:val="22"/>
        </w:rPr>
        <w:t>British Culture</w:t>
      </w:r>
      <w:r w:rsidRPr="00047A9D">
        <w:rPr>
          <w:rFonts w:ascii="Times New Roman" w:hAnsi="Times New Roman" w:cs="Times New Roman"/>
          <w:sz w:val="22"/>
          <w:szCs w:val="22"/>
        </w:rPr>
        <w:t>, pp.27, 30-32.</w:t>
      </w:r>
    </w:p>
  </w:footnote>
  <w:footnote w:id="145">
    <w:p w14:paraId="3D547B47" w14:textId="77A5453C" w:rsidR="00A043CF" w:rsidRPr="00047A9D" w:rsidRDefault="00A043C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MacKenzie, ‘The Persistence of Empire’, in Ward (ed.), </w:t>
      </w:r>
      <w:r w:rsidRPr="00047A9D">
        <w:rPr>
          <w:rFonts w:ascii="Times New Roman" w:hAnsi="Times New Roman" w:cs="Times New Roman"/>
          <w:i/>
          <w:sz w:val="22"/>
          <w:szCs w:val="22"/>
        </w:rPr>
        <w:t>British Culture</w:t>
      </w:r>
      <w:r w:rsidRPr="00047A9D">
        <w:rPr>
          <w:rFonts w:ascii="Times New Roman" w:hAnsi="Times New Roman" w:cs="Times New Roman"/>
          <w:sz w:val="22"/>
          <w:szCs w:val="22"/>
        </w:rPr>
        <w:t>, pp.27, 30-32.</w:t>
      </w:r>
    </w:p>
  </w:footnote>
  <w:footnote w:id="146">
    <w:p w14:paraId="3705394A"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Aldrich and Dean, ‘The Historical Dimension’, pp.102-03.</w:t>
      </w:r>
    </w:p>
  </w:footnote>
  <w:footnote w:id="147">
    <w:p w14:paraId="5E739C21" w14:textId="7A762E5B"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Marie-Thérèse Maurette, </w:t>
      </w:r>
      <w:r w:rsidRPr="00047A9D">
        <w:rPr>
          <w:rFonts w:ascii="Times New Roman" w:hAnsi="Times New Roman" w:cs="Times New Roman"/>
          <w:i/>
          <w:sz w:val="22"/>
          <w:szCs w:val="22"/>
        </w:rPr>
        <w:t>Some Suggestions on the Teaching of History</w:t>
      </w:r>
      <w:r w:rsidRPr="00047A9D">
        <w:rPr>
          <w:rFonts w:ascii="Times New Roman" w:hAnsi="Times New Roman" w:cs="Times New Roman"/>
          <w:sz w:val="22"/>
          <w:szCs w:val="22"/>
        </w:rPr>
        <w:t xml:space="preserve"> (Paris: </w:t>
      </w:r>
      <w:r w:rsidR="00394F63" w:rsidRPr="00047A9D">
        <w:rPr>
          <w:rFonts w:ascii="Times New Roman" w:hAnsi="Times New Roman" w:cs="Times New Roman"/>
          <w:sz w:val="22"/>
          <w:szCs w:val="22"/>
        </w:rPr>
        <w:t>United Nations Educational, Scientific and Cultural Organization [‘UNESCO’]</w:t>
      </w:r>
      <w:r w:rsidRPr="00047A9D">
        <w:rPr>
          <w:rFonts w:ascii="Times New Roman" w:hAnsi="Times New Roman" w:cs="Times New Roman"/>
          <w:sz w:val="22"/>
          <w:szCs w:val="22"/>
        </w:rPr>
        <w:t>, 1950), pp.1, 5, 22.</w:t>
      </w:r>
    </w:p>
  </w:footnote>
  <w:footnote w:id="148">
    <w:p w14:paraId="300D48A1" w14:textId="38F8FB12" w:rsidR="00E54B9D" w:rsidRPr="00047A9D" w:rsidRDefault="00E54B9D"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C22F5" w:rsidRPr="00047A9D">
        <w:rPr>
          <w:rFonts w:ascii="Times New Roman" w:hAnsi="Times New Roman" w:cs="Times New Roman"/>
          <w:sz w:val="22"/>
          <w:szCs w:val="22"/>
        </w:rPr>
        <w:t xml:space="preserve">Maurette, </w:t>
      </w:r>
      <w:r w:rsidR="00FC22F5" w:rsidRPr="00047A9D">
        <w:rPr>
          <w:rFonts w:ascii="Times New Roman" w:hAnsi="Times New Roman" w:cs="Times New Roman"/>
          <w:i/>
          <w:sz w:val="22"/>
          <w:szCs w:val="22"/>
        </w:rPr>
        <w:t>Some Suggestions</w:t>
      </w:r>
      <w:r w:rsidR="00FC22F5" w:rsidRPr="00047A9D">
        <w:rPr>
          <w:rFonts w:ascii="Times New Roman" w:hAnsi="Times New Roman" w:cs="Times New Roman"/>
          <w:iCs/>
          <w:sz w:val="22"/>
          <w:szCs w:val="22"/>
        </w:rPr>
        <w:t xml:space="preserve">, </w:t>
      </w:r>
      <w:r w:rsidR="00C75B3B" w:rsidRPr="00047A9D">
        <w:rPr>
          <w:rFonts w:ascii="Times New Roman" w:hAnsi="Times New Roman" w:cs="Times New Roman"/>
          <w:iCs/>
          <w:sz w:val="22"/>
          <w:szCs w:val="22"/>
        </w:rPr>
        <w:t>p.5.</w:t>
      </w:r>
    </w:p>
  </w:footnote>
  <w:footnote w:id="149">
    <w:p w14:paraId="2B71B439" w14:textId="42EBC691" w:rsidR="003E3ADF" w:rsidRPr="00047A9D" w:rsidRDefault="003E3AD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UNESCO, </w:t>
      </w:r>
      <w:r w:rsidR="00C353DD" w:rsidRPr="00047A9D">
        <w:rPr>
          <w:rFonts w:ascii="Times New Roman" w:hAnsi="Times New Roman" w:cs="Times New Roman"/>
          <w:i/>
          <w:iCs/>
          <w:sz w:val="22"/>
          <w:szCs w:val="22"/>
        </w:rPr>
        <w:t>UNESCO and its Programme VI: Better History Textbooks</w:t>
      </w:r>
      <w:r w:rsidR="00AA1023" w:rsidRPr="00047A9D">
        <w:rPr>
          <w:rFonts w:ascii="Times New Roman" w:hAnsi="Times New Roman" w:cs="Times New Roman"/>
          <w:sz w:val="22"/>
          <w:szCs w:val="22"/>
        </w:rPr>
        <w:t xml:space="preserve"> (Paris: UNESCO, 1951),</w:t>
      </w:r>
      <w:r w:rsidRPr="00047A9D">
        <w:rPr>
          <w:rFonts w:ascii="Times New Roman" w:hAnsi="Times New Roman" w:cs="Times New Roman"/>
          <w:sz w:val="22"/>
          <w:szCs w:val="22"/>
        </w:rPr>
        <w:t xml:space="preserve"> p.16</w:t>
      </w:r>
      <w:r w:rsidR="00394F63" w:rsidRPr="00047A9D">
        <w:rPr>
          <w:rFonts w:ascii="Times New Roman" w:hAnsi="Times New Roman" w:cs="Times New Roman"/>
          <w:sz w:val="22"/>
          <w:szCs w:val="22"/>
        </w:rPr>
        <w:t>.</w:t>
      </w:r>
    </w:p>
  </w:footnote>
  <w:footnote w:id="150">
    <w:p w14:paraId="688E2FA4" w14:textId="5B7F6FE0" w:rsidR="00D63D23" w:rsidRPr="00047A9D" w:rsidRDefault="00D63D2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UNESCO, </w:t>
      </w:r>
      <w:r w:rsidRPr="00047A9D">
        <w:rPr>
          <w:rFonts w:ascii="Times New Roman" w:hAnsi="Times New Roman" w:cs="Times New Roman"/>
          <w:i/>
          <w:iCs/>
          <w:sz w:val="22"/>
          <w:szCs w:val="22"/>
        </w:rPr>
        <w:t xml:space="preserve">Better History Textbooks, </w:t>
      </w:r>
      <w:r w:rsidRPr="00047A9D">
        <w:rPr>
          <w:rFonts w:ascii="Times New Roman" w:hAnsi="Times New Roman" w:cs="Times New Roman"/>
          <w:sz w:val="22"/>
          <w:szCs w:val="22"/>
        </w:rPr>
        <w:t>p.16.</w:t>
      </w:r>
    </w:p>
  </w:footnote>
  <w:footnote w:id="151">
    <w:p w14:paraId="14398C70" w14:textId="43D9E53D"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Poul Duedahl, ‘Selling Mankind: UNESCO and the Invention of Global History, 1945-1976’, </w:t>
      </w:r>
      <w:r w:rsidRPr="00047A9D">
        <w:rPr>
          <w:rFonts w:ascii="Times New Roman" w:hAnsi="Times New Roman" w:cs="Times New Roman"/>
          <w:i/>
          <w:sz w:val="22"/>
          <w:szCs w:val="22"/>
        </w:rPr>
        <w:t>Journal of World History</w:t>
      </w:r>
      <w:r w:rsidR="00817E2C" w:rsidRPr="00047A9D">
        <w:rPr>
          <w:rFonts w:ascii="Times New Roman" w:hAnsi="Times New Roman" w:cs="Times New Roman"/>
          <w:sz w:val="22"/>
          <w:szCs w:val="22"/>
        </w:rPr>
        <w:t xml:space="preserve"> </w:t>
      </w:r>
      <w:r w:rsidRPr="00047A9D">
        <w:rPr>
          <w:rFonts w:ascii="Times New Roman" w:hAnsi="Times New Roman" w:cs="Times New Roman"/>
          <w:sz w:val="22"/>
          <w:szCs w:val="22"/>
        </w:rPr>
        <w:t>22.1 (2011), 101-33, p.121.</w:t>
      </w:r>
    </w:p>
  </w:footnote>
  <w:footnote w:id="152">
    <w:p w14:paraId="7ECD4E1F"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Duedahl, ‘Selling Mankind’, pp.101-02, 105, 117-18.</w:t>
      </w:r>
    </w:p>
  </w:footnote>
  <w:footnote w:id="153">
    <w:p w14:paraId="253AE643" w14:textId="30A00649"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Paul Betts, ‘Humanity's New Heritage: UNESCO and the Rewriting of World History’, </w:t>
      </w:r>
      <w:r w:rsidRPr="00047A9D">
        <w:rPr>
          <w:rFonts w:ascii="Times New Roman" w:hAnsi="Times New Roman" w:cs="Times New Roman"/>
          <w:i/>
          <w:sz w:val="22"/>
          <w:szCs w:val="22"/>
        </w:rPr>
        <w:t>Past &amp; Present</w:t>
      </w:r>
      <w:r w:rsidRPr="00047A9D">
        <w:rPr>
          <w:rFonts w:ascii="Times New Roman" w:hAnsi="Times New Roman" w:cs="Times New Roman"/>
          <w:sz w:val="22"/>
          <w:szCs w:val="22"/>
        </w:rPr>
        <w:t xml:space="preserve"> 228 (2015), 249-85, p.276; Glenda Sluga, ‘UNESCO and the (One) World of Julian Huxley’, </w:t>
      </w:r>
      <w:r w:rsidRPr="00047A9D">
        <w:rPr>
          <w:rFonts w:ascii="Times New Roman" w:hAnsi="Times New Roman" w:cs="Times New Roman"/>
          <w:i/>
          <w:sz w:val="22"/>
          <w:szCs w:val="22"/>
        </w:rPr>
        <w:t>Journal of World History</w:t>
      </w:r>
      <w:r w:rsidR="007B2CC6" w:rsidRPr="00047A9D">
        <w:rPr>
          <w:rFonts w:ascii="Times New Roman" w:hAnsi="Times New Roman" w:cs="Times New Roman"/>
          <w:i/>
          <w:sz w:val="22"/>
          <w:szCs w:val="22"/>
        </w:rPr>
        <w:t xml:space="preserve"> </w:t>
      </w:r>
      <w:r w:rsidRPr="00047A9D">
        <w:rPr>
          <w:rFonts w:ascii="Times New Roman" w:hAnsi="Times New Roman" w:cs="Times New Roman"/>
          <w:sz w:val="22"/>
          <w:szCs w:val="22"/>
        </w:rPr>
        <w:t>21.3 (2010), 393-418, p.400.</w:t>
      </w:r>
    </w:p>
  </w:footnote>
  <w:footnote w:id="154">
    <w:p w14:paraId="5FA05A80"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Sluga, ‘Julian Huxley’, p.400.</w:t>
      </w:r>
    </w:p>
  </w:footnote>
  <w:footnote w:id="155">
    <w:p w14:paraId="25BCC940"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Betts, ‘New Heritage’, p.272; Sluga, ‘Julian Huxley’</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p.403.</w:t>
      </w:r>
    </w:p>
  </w:footnote>
  <w:footnote w:id="156">
    <w:p w14:paraId="5681738A"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Betts, ‘New Heritage’, p.281.</w:t>
      </w:r>
    </w:p>
  </w:footnote>
  <w:footnote w:id="157">
    <w:p w14:paraId="3F3A666D"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Betts, ‘New Heritage’, p.274.</w:t>
      </w:r>
    </w:p>
  </w:footnote>
  <w:footnote w:id="158">
    <w:p w14:paraId="3E782FA6" w14:textId="50F320B9"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Messay Kebede, ‘The Rehabilitation of Violence and the Violence of Rehabilitation: Fanon and Colonialism’, </w:t>
      </w:r>
      <w:r w:rsidRPr="00047A9D">
        <w:rPr>
          <w:rFonts w:ascii="Times New Roman" w:hAnsi="Times New Roman" w:cs="Times New Roman"/>
          <w:i/>
          <w:sz w:val="22"/>
          <w:szCs w:val="22"/>
        </w:rPr>
        <w:t>Journal of Black Studies</w:t>
      </w:r>
      <w:r w:rsidR="007B2CC6" w:rsidRPr="00047A9D">
        <w:rPr>
          <w:rFonts w:ascii="Times New Roman" w:hAnsi="Times New Roman" w:cs="Times New Roman"/>
          <w:sz w:val="22"/>
          <w:szCs w:val="22"/>
        </w:rPr>
        <w:t xml:space="preserve"> </w:t>
      </w:r>
      <w:r w:rsidRPr="00047A9D">
        <w:rPr>
          <w:rFonts w:ascii="Times New Roman" w:hAnsi="Times New Roman" w:cs="Times New Roman"/>
          <w:sz w:val="22"/>
          <w:szCs w:val="22"/>
        </w:rPr>
        <w:t>31.5 (2001), 539–62 on understandings of colonisation as crisis and rupture.</w:t>
      </w:r>
    </w:p>
  </w:footnote>
  <w:footnote w:id="159">
    <w:p w14:paraId="23C8DB28"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Sluga, ‘Julian Huxley’, pp.401, 406-07.</w:t>
      </w:r>
    </w:p>
  </w:footnote>
  <w:footnote w:id="160">
    <w:p w14:paraId="6B8C5DED"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Duedahl, ‘Selling Mankind’, p.104.</w:t>
      </w:r>
    </w:p>
  </w:footnote>
  <w:footnote w:id="161">
    <w:p w14:paraId="02FC497C"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Betts, ‘New Heritage’, p.257.</w:t>
      </w:r>
    </w:p>
  </w:footnote>
  <w:footnote w:id="162">
    <w:p w14:paraId="239BBB3E"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Betts, ‘New Heritage’</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pp.257-58, 263.</w:t>
      </w:r>
    </w:p>
  </w:footnote>
  <w:footnote w:id="163">
    <w:p w14:paraId="286AFEE9"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Duedahl, ‘Selling Mankind’, p.104.</w:t>
      </w:r>
      <w:r w:rsidRPr="00047A9D">
        <w:rPr>
          <w:rFonts w:ascii="Times New Roman" w:hAnsi="Times New Roman" w:cs="Times New Roman"/>
          <w:i/>
          <w:sz w:val="22"/>
          <w:szCs w:val="22"/>
        </w:rPr>
        <w:t xml:space="preserve"> </w:t>
      </w:r>
    </w:p>
  </w:footnote>
  <w:footnote w:id="164">
    <w:p w14:paraId="2BC202C4" w14:textId="3B1EF3A5"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Boyd Orr, ‘The British Parliamentary Group for World Government’, </w:t>
      </w:r>
      <w:r w:rsidRPr="00047A9D">
        <w:rPr>
          <w:rFonts w:ascii="Times New Roman" w:hAnsi="Times New Roman" w:cs="Times New Roman"/>
          <w:i/>
          <w:sz w:val="22"/>
          <w:szCs w:val="22"/>
        </w:rPr>
        <w:t>Bulletin of the Atomic Scientists</w:t>
      </w:r>
      <w:r w:rsidR="001C6238" w:rsidRPr="00047A9D">
        <w:rPr>
          <w:rFonts w:ascii="Times New Roman" w:hAnsi="Times New Roman" w:cs="Times New Roman"/>
          <w:sz w:val="22"/>
          <w:szCs w:val="22"/>
        </w:rPr>
        <w:t xml:space="preserve"> </w:t>
      </w:r>
      <w:r w:rsidRPr="00047A9D">
        <w:rPr>
          <w:rFonts w:ascii="Times New Roman" w:hAnsi="Times New Roman" w:cs="Times New Roman"/>
          <w:sz w:val="22"/>
          <w:szCs w:val="22"/>
        </w:rPr>
        <w:t>12.1 (1956)</w:t>
      </w:r>
      <w:r w:rsidR="00F31679" w:rsidRPr="00047A9D">
        <w:rPr>
          <w:rFonts w:ascii="Times New Roman" w:hAnsi="Times New Roman" w:cs="Times New Roman"/>
          <w:sz w:val="22"/>
          <w:szCs w:val="22"/>
        </w:rPr>
        <w:t>,</w:t>
      </w:r>
      <w:r w:rsidRPr="00047A9D">
        <w:rPr>
          <w:rFonts w:ascii="Times New Roman" w:hAnsi="Times New Roman" w:cs="Times New Roman"/>
          <w:sz w:val="22"/>
          <w:szCs w:val="22"/>
        </w:rPr>
        <w:t xml:space="preserve"> 21-22, p.21.</w:t>
      </w:r>
    </w:p>
  </w:footnote>
  <w:footnote w:id="165">
    <w:p w14:paraId="4CF0F60A"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Alethea Lyall (ed.), </w:t>
      </w:r>
      <w:r w:rsidRPr="00047A9D">
        <w:rPr>
          <w:rFonts w:ascii="Times New Roman" w:hAnsi="Times New Roman" w:cs="Times New Roman"/>
          <w:i/>
          <w:sz w:val="22"/>
          <w:szCs w:val="22"/>
        </w:rPr>
        <w:t>History Syllabuses and a World Perspective: A Comparative Survey of Examination Syllabuses in Britain and Overseas</w:t>
      </w:r>
      <w:r w:rsidRPr="00047A9D">
        <w:rPr>
          <w:rFonts w:ascii="Times New Roman" w:hAnsi="Times New Roman" w:cs="Times New Roman"/>
          <w:sz w:val="22"/>
          <w:szCs w:val="22"/>
        </w:rPr>
        <w:t>, 2</w:t>
      </w:r>
      <w:r w:rsidRPr="00047A9D">
        <w:rPr>
          <w:rFonts w:ascii="Times New Roman" w:hAnsi="Times New Roman" w:cs="Times New Roman"/>
          <w:sz w:val="22"/>
          <w:szCs w:val="22"/>
          <w:vertAlign w:val="superscript"/>
        </w:rPr>
        <w:t>nd</w:t>
      </w:r>
      <w:r w:rsidRPr="00047A9D">
        <w:rPr>
          <w:rFonts w:ascii="Times New Roman" w:hAnsi="Times New Roman" w:cs="Times New Roman"/>
          <w:sz w:val="22"/>
          <w:szCs w:val="22"/>
        </w:rPr>
        <w:t xml:space="preserve"> revised [hereafter ‘rev.’] ed. (London: Longmans and Parliamentary Group for World Government, 1967).</w:t>
      </w:r>
    </w:p>
  </w:footnote>
  <w:footnote w:id="166">
    <w:p w14:paraId="531BB97E"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Lyall (ed.), </w:t>
      </w:r>
      <w:r w:rsidRPr="00047A9D">
        <w:rPr>
          <w:rFonts w:ascii="Times New Roman" w:hAnsi="Times New Roman" w:cs="Times New Roman"/>
          <w:i/>
          <w:sz w:val="22"/>
          <w:szCs w:val="22"/>
        </w:rPr>
        <w:t xml:space="preserve">World Perspective, </w:t>
      </w:r>
      <w:r w:rsidRPr="00047A9D">
        <w:rPr>
          <w:rFonts w:ascii="Times New Roman" w:hAnsi="Times New Roman" w:cs="Times New Roman"/>
          <w:sz w:val="22"/>
          <w:szCs w:val="22"/>
        </w:rPr>
        <w:t>p.150.</w:t>
      </w:r>
    </w:p>
  </w:footnote>
  <w:footnote w:id="167">
    <w:p w14:paraId="69A80B23"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Lyall (ed.), </w:t>
      </w:r>
      <w:r w:rsidRPr="00047A9D">
        <w:rPr>
          <w:rFonts w:ascii="Times New Roman" w:hAnsi="Times New Roman" w:cs="Times New Roman"/>
          <w:i/>
          <w:sz w:val="22"/>
          <w:szCs w:val="22"/>
        </w:rPr>
        <w:t xml:space="preserve">World Perspective, </w:t>
      </w:r>
      <w:r w:rsidRPr="00047A9D">
        <w:rPr>
          <w:rFonts w:ascii="Times New Roman" w:hAnsi="Times New Roman" w:cs="Times New Roman"/>
          <w:sz w:val="22"/>
          <w:szCs w:val="22"/>
        </w:rPr>
        <w:t>pp.161-62, 164-65.</w:t>
      </w:r>
    </w:p>
  </w:footnote>
  <w:footnote w:id="168">
    <w:p w14:paraId="1FCF4FB8" w14:textId="5E6C0D6E" w:rsidR="007509CC" w:rsidRPr="00047A9D" w:rsidRDefault="007509C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D4563" w:rsidRPr="00047A9D">
        <w:rPr>
          <w:rFonts w:ascii="Times New Roman" w:hAnsi="Times New Roman" w:cs="Times New Roman"/>
          <w:sz w:val="22"/>
          <w:szCs w:val="22"/>
        </w:rPr>
        <w:t>Aldrich and Dean, ‘The Historical Dimension’, pp.102-03.</w:t>
      </w:r>
    </w:p>
  </w:footnote>
  <w:footnote w:id="169">
    <w:p w14:paraId="6EC01AEC"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C.R.N. Routh, </w:t>
      </w:r>
      <w:r w:rsidRPr="00047A9D">
        <w:rPr>
          <w:rFonts w:ascii="Times New Roman" w:hAnsi="Times New Roman" w:cs="Times New Roman"/>
          <w:i/>
          <w:sz w:val="22"/>
          <w:szCs w:val="22"/>
        </w:rPr>
        <w:t>Notes on the Teaching of British Imperial History (For Age Groups 15-18): The Historical Association Teaching of History Leaflet No.12</w:t>
      </w:r>
      <w:r w:rsidRPr="00047A9D">
        <w:rPr>
          <w:rFonts w:ascii="Times New Roman" w:hAnsi="Times New Roman" w:cs="Times New Roman"/>
          <w:sz w:val="22"/>
          <w:szCs w:val="22"/>
        </w:rPr>
        <w:t>, rev. ed., (London: HA, 1954), pp.3, 5.</w:t>
      </w:r>
    </w:p>
  </w:footnote>
  <w:footnote w:id="170">
    <w:p w14:paraId="5AD5CE70" w14:textId="30F58D3E"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Routh, </w:t>
      </w:r>
      <w:r w:rsidRPr="00047A9D">
        <w:rPr>
          <w:rFonts w:ascii="Times New Roman" w:hAnsi="Times New Roman" w:cs="Times New Roman"/>
          <w:i/>
          <w:sz w:val="22"/>
          <w:szCs w:val="22"/>
        </w:rPr>
        <w:t>British Imperial History</w:t>
      </w:r>
      <w:r w:rsidRPr="00047A9D">
        <w:rPr>
          <w:rFonts w:ascii="Times New Roman" w:hAnsi="Times New Roman" w:cs="Times New Roman"/>
          <w:sz w:val="22"/>
          <w:szCs w:val="22"/>
        </w:rPr>
        <w:t>, pp.6, 9, 14-15.</w:t>
      </w:r>
    </w:p>
  </w:footnote>
  <w:footnote w:id="171">
    <w:p w14:paraId="1C39C618" w14:textId="02449E7C" w:rsidR="00A47420" w:rsidRPr="00047A9D" w:rsidRDefault="00A4742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Routh, </w:t>
      </w:r>
      <w:r w:rsidRPr="00047A9D">
        <w:rPr>
          <w:rFonts w:ascii="Times New Roman" w:hAnsi="Times New Roman" w:cs="Times New Roman"/>
          <w:i/>
          <w:iCs/>
          <w:sz w:val="22"/>
          <w:szCs w:val="22"/>
        </w:rPr>
        <w:t>British Imperial History</w:t>
      </w:r>
      <w:r w:rsidRPr="00047A9D">
        <w:rPr>
          <w:rFonts w:ascii="Times New Roman" w:hAnsi="Times New Roman" w:cs="Times New Roman"/>
          <w:sz w:val="22"/>
          <w:szCs w:val="22"/>
        </w:rPr>
        <w:t>, pp.3, 5-6.</w:t>
      </w:r>
    </w:p>
  </w:footnote>
  <w:footnote w:id="172">
    <w:p w14:paraId="575D7E85" w14:textId="0122B87D"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Routh, </w:t>
      </w:r>
      <w:r w:rsidRPr="00047A9D">
        <w:rPr>
          <w:rFonts w:ascii="Times New Roman" w:hAnsi="Times New Roman" w:cs="Times New Roman"/>
          <w:i/>
          <w:sz w:val="22"/>
          <w:szCs w:val="22"/>
        </w:rPr>
        <w:t>British Imperial History</w:t>
      </w:r>
      <w:r w:rsidRPr="00047A9D">
        <w:rPr>
          <w:rFonts w:ascii="Times New Roman" w:hAnsi="Times New Roman" w:cs="Times New Roman"/>
          <w:sz w:val="22"/>
          <w:szCs w:val="22"/>
        </w:rPr>
        <w:t>, pp.1</w:t>
      </w:r>
      <w:r w:rsidR="00212524" w:rsidRPr="00047A9D">
        <w:rPr>
          <w:rFonts w:ascii="Times New Roman" w:hAnsi="Times New Roman" w:cs="Times New Roman"/>
          <w:sz w:val="22"/>
          <w:szCs w:val="22"/>
        </w:rPr>
        <w:t>-</w:t>
      </w:r>
      <w:r w:rsidRPr="00047A9D">
        <w:rPr>
          <w:rFonts w:ascii="Times New Roman" w:hAnsi="Times New Roman" w:cs="Times New Roman"/>
          <w:sz w:val="22"/>
          <w:szCs w:val="22"/>
        </w:rPr>
        <w:t>2</w:t>
      </w:r>
      <w:r w:rsidR="00212524" w:rsidRPr="00047A9D">
        <w:rPr>
          <w:rFonts w:ascii="Times New Roman" w:hAnsi="Times New Roman" w:cs="Times New Roman"/>
          <w:sz w:val="22"/>
          <w:szCs w:val="22"/>
        </w:rPr>
        <w:t>.</w:t>
      </w:r>
    </w:p>
  </w:footnote>
  <w:footnote w:id="173">
    <w:p w14:paraId="6330EABC" w14:textId="347BAF13" w:rsidR="00707261" w:rsidRPr="00047A9D" w:rsidRDefault="00707261"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12524" w:rsidRPr="00047A9D">
        <w:rPr>
          <w:rFonts w:ascii="Times New Roman" w:hAnsi="Times New Roman" w:cs="Times New Roman"/>
          <w:sz w:val="22"/>
          <w:szCs w:val="22"/>
        </w:rPr>
        <w:t xml:space="preserve">Routh, </w:t>
      </w:r>
      <w:r w:rsidR="00212524" w:rsidRPr="00047A9D">
        <w:rPr>
          <w:rFonts w:ascii="Times New Roman" w:hAnsi="Times New Roman" w:cs="Times New Roman"/>
          <w:i/>
          <w:sz w:val="22"/>
          <w:szCs w:val="22"/>
        </w:rPr>
        <w:t xml:space="preserve">British Imperial History, </w:t>
      </w:r>
      <w:r w:rsidR="00212524" w:rsidRPr="00047A9D">
        <w:rPr>
          <w:rFonts w:ascii="Times New Roman" w:hAnsi="Times New Roman" w:cs="Times New Roman"/>
          <w:iCs/>
          <w:sz w:val="22"/>
          <w:szCs w:val="22"/>
        </w:rPr>
        <w:t>pp.7-9.</w:t>
      </w:r>
    </w:p>
  </w:footnote>
  <w:footnote w:id="174">
    <w:p w14:paraId="38CB9A5F"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Routh, </w:t>
      </w:r>
      <w:r w:rsidRPr="00047A9D">
        <w:rPr>
          <w:rFonts w:ascii="Times New Roman" w:hAnsi="Times New Roman" w:cs="Times New Roman"/>
          <w:i/>
          <w:sz w:val="22"/>
          <w:szCs w:val="22"/>
        </w:rPr>
        <w:t xml:space="preserve">British Imperial History, </w:t>
      </w:r>
      <w:r w:rsidRPr="00047A9D">
        <w:rPr>
          <w:rFonts w:ascii="Times New Roman" w:hAnsi="Times New Roman" w:cs="Times New Roman"/>
          <w:sz w:val="22"/>
          <w:szCs w:val="22"/>
        </w:rPr>
        <w:t>p.5.</w:t>
      </w:r>
    </w:p>
  </w:footnote>
  <w:footnote w:id="175">
    <w:p w14:paraId="75EDF11F"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Routh, </w:t>
      </w:r>
      <w:r w:rsidRPr="00047A9D">
        <w:rPr>
          <w:rFonts w:ascii="Times New Roman" w:hAnsi="Times New Roman" w:cs="Times New Roman"/>
          <w:i/>
          <w:sz w:val="22"/>
          <w:szCs w:val="22"/>
        </w:rPr>
        <w:t xml:space="preserve">British Imperial History, </w:t>
      </w:r>
      <w:r w:rsidRPr="00047A9D">
        <w:rPr>
          <w:rFonts w:ascii="Times New Roman" w:hAnsi="Times New Roman" w:cs="Times New Roman"/>
          <w:sz w:val="22"/>
          <w:szCs w:val="22"/>
        </w:rPr>
        <w:t>p.5.</w:t>
      </w:r>
    </w:p>
  </w:footnote>
  <w:footnote w:id="176">
    <w:p w14:paraId="44481E75" w14:textId="63847F80"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Florence Sutcliffe-Braithwaite, </w:t>
      </w:r>
      <w:r w:rsidRPr="00047A9D">
        <w:rPr>
          <w:rFonts w:ascii="Times New Roman" w:hAnsi="Times New Roman" w:cs="Times New Roman"/>
          <w:i/>
          <w:sz w:val="22"/>
          <w:szCs w:val="22"/>
        </w:rPr>
        <w:t>Class, Politics, and the Decline of Deference in England, 1968–2000</w:t>
      </w:r>
      <w:r w:rsidRPr="00047A9D">
        <w:rPr>
          <w:rFonts w:ascii="Times New Roman" w:hAnsi="Times New Roman" w:cs="Times New Roman"/>
          <w:sz w:val="22"/>
          <w:szCs w:val="22"/>
        </w:rPr>
        <w:t xml:space="preserve"> (Oxford: </w:t>
      </w:r>
      <w:r w:rsidR="00D500A5" w:rsidRPr="00047A9D">
        <w:rPr>
          <w:rFonts w:ascii="Times New Roman" w:hAnsi="Times New Roman" w:cs="Times New Roman"/>
          <w:sz w:val="22"/>
          <w:szCs w:val="22"/>
        </w:rPr>
        <w:t>OUP</w:t>
      </w:r>
      <w:r w:rsidRPr="00047A9D">
        <w:rPr>
          <w:rFonts w:ascii="Times New Roman" w:hAnsi="Times New Roman" w:cs="Times New Roman"/>
          <w:sz w:val="22"/>
          <w:szCs w:val="22"/>
        </w:rPr>
        <w:t xml:space="preserve">, 2018). See also Beth Bhargava, ‘“All Adults Are Paper Tigers’: Pupil Power in English Schools, 1968–1980’, </w:t>
      </w:r>
      <w:r w:rsidRPr="00047A9D">
        <w:rPr>
          <w:rFonts w:ascii="Times New Roman" w:hAnsi="Times New Roman" w:cs="Times New Roman"/>
          <w:i/>
          <w:sz w:val="22"/>
          <w:szCs w:val="22"/>
        </w:rPr>
        <w:t>History of Education</w:t>
      </w:r>
      <w:r w:rsidRPr="00047A9D">
        <w:rPr>
          <w:rFonts w:ascii="Times New Roman" w:hAnsi="Times New Roman" w:cs="Times New Roman"/>
          <w:sz w:val="22"/>
          <w:szCs w:val="22"/>
        </w:rPr>
        <w:t xml:space="preserve"> (January 2025), 1–21.</w:t>
      </w:r>
    </w:p>
  </w:footnote>
  <w:footnote w:id="177">
    <w:p w14:paraId="1DC5536F"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Stuart Ward, ‘“No Nation Could Be Broker”: The Satire Boom and the Demise of Britain’s World Role’, in Ward (ed.), </w:t>
      </w:r>
      <w:r w:rsidRPr="00047A9D">
        <w:rPr>
          <w:rFonts w:ascii="Times New Roman" w:hAnsi="Times New Roman" w:cs="Times New Roman"/>
          <w:i/>
          <w:sz w:val="22"/>
          <w:szCs w:val="22"/>
        </w:rPr>
        <w:t>British Culture</w:t>
      </w:r>
      <w:r w:rsidRPr="00047A9D">
        <w:rPr>
          <w:rFonts w:ascii="Times New Roman" w:hAnsi="Times New Roman" w:cs="Times New Roman"/>
          <w:sz w:val="22"/>
          <w:szCs w:val="22"/>
        </w:rPr>
        <w:t>, 91-110, p.106.</w:t>
      </w:r>
    </w:p>
  </w:footnote>
  <w:footnote w:id="178">
    <w:p w14:paraId="361E9680" w14:textId="5D0AA3CA"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594264" w:rsidRPr="00047A9D">
        <w:rPr>
          <w:rFonts w:ascii="Times New Roman" w:hAnsi="Times New Roman" w:cs="Times New Roman"/>
          <w:sz w:val="22"/>
          <w:szCs w:val="22"/>
        </w:rPr>
        <w:t xml:space="preserve"> MoE</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p. 11.</w:t>
      </w:r>
    </w:p>
  </w:footnote>
  <w:footnote w:id="179">
    <w:p w14:paraId="4E8089C9"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pp.31-32.</w:t>
      </w:r>
    </w:p>
  </w:footnote>
  <w:footnote w:id="180">
    <w:p w14:paraId="3432C354"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 xml:space="preserve">Teaching History, </w:t>
      </w:r>
      <w:r w:rsidRPr="00047A9D">
        <w:rPr>
          <w:rFonts w:ascii="Times New Roman" w:hAnsi="Times New Roman" w:cs="Times New Roman"/>
          <w:sz w:val="22"/>
          <w:szCs w:val="22"/>
        </w:rPr>
        <w:t>pp.11, 27, 31, 60.</w:t>
      </w:r>
    </w:p>
  </w:footnote>
  <w:footnote w:id="181">
    <w:p w14:paraId="1A7C4928" w14:textId="2153040C"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p</w:t>
      </w:r>
      <w:r w:rsidR="008F37C1" w:rsidRPr="00047A9D">
        <w:rPr>
          <w:rFonts w:ascii="Times New Roman" w:hAnsi="Times New Roman" w:cs="Times New Roman"/>
          <w:sz w:val="22"/>
          <w:szCs w:val="22"/>
        </w:rPr>
        <w:t>.</w:t>
      </w:r>
      <w:r w:rsidRPr="00047A9D">
        <w:rPr>
          <w:rFonts w:ascii="Times New Roman" w:hAnsi="Times New Roman" w:cs="Times New Roman"/>
          <w:sz w:val="22"/>
          <w:szCs w:val="22"/>
        </w:rPr>
        <w:t>31.</w:t>
      </w:r>
    </w:p>
  </w:footnote>
  <w:footnote w:id="182">
    <w:p w14:paraId="2D0F3CA1" w14:textId="561F1E4C"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84724" w:rsidRPr="00047A9D">
        <w:rPr>
          <w:rFonts w:ascii="Times New Roman" w:hAnsi="Times New Roman" w:cs="Times New Roman"/>
          <w:sz w:val="22"/>
          <w:szCs w:val="22"/>
        </w:rPr>
        <w:t xml:space="preserve">MoE, </w:t>
      </w:r>
      <w:r w:rsidR="00084724" w:rsidRPr="00047A9D">
        <w:rPr>
          <w:rFonts w:ascii="Times New Roman" w:hAnsi="Times New Roman" w:cs="Times New Roman"/>
          <w:i/>
          <w:sz w:val="22"/>
          <w:szCs w:val="22"/>
        </w:rPr>
        <w:t>Teaching History</w:t>
      </w:r>
      <w:r w:rsidR="00084724" w:rsidRPr="00047A9D">
        <w:rPr>
          <w:rFonts w:ascii="Times New Roman" w:hAnsi="Times New Roman" w:cs="Times New Roman"/>
          <w:sz w:val="22"/>
          <w:szCs w:val="22"/>
        </w:rPr>
        <w:t xml:space="preserve">, pp.11, 31. </w:t>
      </w:r>
      <w:r w:rsidRPr="00047A9D">
        <w:rPr>
          <w:rFonts w:ascii="Times New Roman" w:hAnsi="Times New Roman" w:cs="Times New Roman"/>
          <w:sz w:val="22"/>
          <w:szCs w:val="22"/>
        </w:rPr>
        <w:t xml:space="preserve">Nevertheless, ‘British Social and Economic History’ tended to be bound by the same chronological rule and was not necessarily less dry. See Carter, </w:t>
      </w:r>
      <w:r w:rsidRPr="00047A9D">
        <w:rPr>
          <w:rFonts w:ascii="Times New Roman" w:hAnsi="Times New Roman" w:cs="Times New Roman"/>
          <w:i/>
          <w:sz w:val="22"/>
          <w:szCs w:val="22"/>
        </w:rPr>
        <w:t>Histories of Everyday Life</w:t>
      </w:r>
      <w:r w:rsidRPr="00047A9D">
        <w:rPr>
          <w:rFonts w:ascii="Times New Roman" w:hAnsi="Times New Roman" w:cs="Times New Roman"/>
          <w:sz w:val="22"/>
          <w:szCs w:val="22"/>
        </w:rPr>
        <w:t>, p.226.</w:t>
      </w:r>
    </w:p>
  </w:footnote>
  <w:footnote w:id="183">
    <w:p w14:paraId="72EC8D07" w14:textId="6C93C281" w:rsidR="00865129" w:rsidRPr="00047A9D" w:rsidRDefault="0086512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p.11.</w:t>
      </w:r>
    </w:p>
  </w:footnote>
  <w:footnote w:id="184">
    <w:p w14:paraId="3236AD81" w14:textId="4EEB723C" w:rsidR="0036236C" w:rsidRPr="00047A9D" w:rsidRDefault="0036236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F3496" w:rsidRPr="00047A9D">
        <w:rPr>
          <w:rFonts w:ascii="Times New Roman" w:hAnsi="Times New Roman" w:cs="Times New Roman"/>
          <w:sz w:val="22"/>
          <w:szCs w:val="22"/>
        </w:rPr>
        <w:t xml:space="preserve">MoE, </w:t>
      </w:r>
      <w:r w:rsidR="004F3496" w:rsidRPr="00047A9D">
        <w:rPr>
          <w:rFonts w:ascii="Times New Roman" w:hAnsi="Times New Roman" w:cs="Times New Roman"/>
          <w:i/>
          <w:sz w:val="22"/>
          <w:szCs w:val="22"/>
        </w:rPr>
        <w:t>Teaching History</w:t>
      </w:r>
      <w:r w:rsidR="004F3496" w:rsidRPr="00047A9D">
        <w:rPr>
          <w:rFonts w:ascii="Times New Roman" w:hAnsi="Times New Roman" w:cs="Times New Roman"/>
          <w:sz w:val="22"/>
          <w:szCs w:val="22"/>
        </w:rPr>
        <w:t>, p.36.</w:t>
      </w:r>
    </w:p>
  </w:footnote>
  <w:footnote w:id="185">
    <w:p w14:paraId="3C95AFB3"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p.31.</w:t>
      </w:r>
    </w:p>
  </w:footnote>
  <w:footnote w:id="186">
    <w:p w14:paraId="31FE714C" w14:textId="5BEFAE18" w:rsidR="000A18C9" w:rsidRPr="00047A9D" w:rsidRDefault="000A18C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D507A" w:rsidRPr="00047A9D">
        <w:rPr>
          <w:rFonts w:ascii="Times New Roman" w:hAnsi="Times New Roman" w:cs="Times New Roman"/>
          <w:sz w:val="22"/>
          <w:szCs w:val="22"/>
        </w:rPr>
        <w:t xml:space="preserve">MoE, </w:t>
      </w:r>
      <w:r w:rsidR="00CD507A" w:rsidRPr="00047A9D">
        <w:rPr>
          <w:rFonts w:ascii="Times New Roman" w:hAnsi="Times New Roman" w:cs="Times New Roman"/>
          <w:i/>
          <w:sz w:val="22"/>
          <w:szCs w:val="22"/>
        </w:rPr>
        <w:t>Teaching History</w:t>
      </w:r>
      <w:r w:rsidR="00CD507A" w:rsidRPr="00047A9D">
        <w:rPr>
          <w:rFonts w:ascii="Times New Roman" w:hAnsi="Times New Roman" w:cs="Times New Roman"/>
          <w:sz w:val="22"/>
          <w:szCs w:val="22"/>
        </w:rPr>
        <w:t>, p.31.</w:t>
      </w:r>
    </w:p>
  </w:footnote>
  <w:footnote w:id="187">
    <w:p w14:paraId="55823D3E"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pp.31-32.</w:t>
      </w:r>
    </w:p>
  </w:footnote>
  <w:footnote w:id="188">
    <w:p w14:paraId="00745DDA" w14:textId="77777777" w:rsidR="00E13EF0" w:rsidRPr="00047A9D" w:rsidRDefault="00E13EF0" w:rsidP="00D839D4">
      <w:pPr>
        <w:pStyle w:val="FootnoteText"/>
        <w:tabs>
          <w:tab w:val="left" w:pos="5415"/>
        </w:tabs>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 xml:space="preserve">Teaching History, </w:t>
      </w:r>
      <w:r w:rsidRPr="00047A9D">
        <w:rPr>
          <w:rFonts w:ascii="Times New Roman" w:hAnsi="Times New Roman" w:cs="Times New Roman"/>
          <w:sz w:val="22"/>
          <w:szCs w:val="22"/>
        </w:rPr>
        <w:t>p.32.</w:t>
      </w:r>
    </w:p>
  </w:footnote>
  <w:footnote w:id="189">
    <w:p w14:paraId="0B411E02"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 xml:space="preserve">Schools and the Commonwealth: Ministry of Education Pamphlet No. 40 </w:t>
      </w:r>
      <w:r w:rsidRPr="00047A9D">
        <w:rPr>
          <w:rFonts w:ascii="Times New Roman" w:hAnsi="Times New Roman" w:cs="Times New Roman"/>
          <w:sz w:val="22"/>
          <w:szCs w:val="22"/>
        </w:rPr>
        <w:t>(London: HMSO, 1961), pp.21-22.</w:t>
      </w:r>
    </w:p>
  </w:footnote>
  <w:footnote w:id="190">
    <w:p w14:paraId="499A22D7" w14:textId="77777777" w:rsidR="00396A37" w:rsidRPr="00047A9D" w:rsidRDefault="00396A37" w:rsidP="00396A37">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Schools and the Commonwealth</w:t>
      </w:r>
      <w:r w:rsidRPr="00047A9D">
        <w:rPr>
          <w:rFonts w:ascii="Times New Roman" w:hAnsi="Times New Roman" w:cs="Times New Roman"/>
          <w:sz w:val="22"/>
          <w:szCs w:val="22"/>
        </w:rPr>
        <w:t>, pp.14-15, 21.</w:t>
      </w:r>
    </w:p>
  </w:footnote>
  <w:footnote w:id="191">
    <w:p w14:paraId="298204D9" w14:textId="58493CB7" w:rsidR="00EF67D9" w:rsidRPr="00D839D4" w:rsidRDefault="00EF67D9" w:rsidP="00EF67D9">
      <w:pPr>
        <w:pStyle w:val="FootnoteText"/>
        <w:spacing w:line="360" w:lineRule="auto"/>
        <w:rPr>
          <w:rFonts w:ascii="Times New Roman" w:hAnsi="Times New Roman" w:cs="Times New Roman"/>
          <w:sz w:val="22"/>
          <w:szCs w:val="22"/>
        </w:rPr>
      </w:pPr>
      <w:r w:rsidRPr="00D839D4">
        <w:rPr>
          <w:rStyle w:val="FootnoteReference"/>
          <w:rFonts w:ascii="Times New Roman" w:hAnsi="Times New Roman" w:cs="Times New Roman"/>
          <w:sz w:val="22"/>
          <w:szCs w:val="22"/>
        </w:rPr>
        <w:footnoteRef/>
      </w:r>
      <w:r w:rsidRPr="00D839D4">
        <w:rPr>
          <w:rFonts w:ascii="Times New Roman" w:hAnsi="Times New Roman" w:cs="Times New Roman"/>
          <w:sz w:val="22"/>
          <w:szCs w:val="22"/>
        </w:rPr>
        <w:t xml:space="preserve"> </w:t>
      </w:r>
      <w:r w:rsidR="0071499B" w:rsidRPr="0071499B">
        <w:rPr>
          <w:rFonts w:ascii="Times New Roman" w:hAnsi="Times New Roman" w:cs="Times New Roman"/>
          <w:sz w:val="22"/>
          <w:szCs w:val="22"/>
        </w:rPr>
        <w:t xml:space="preserve">G.M.D. </w:t>
      </w:r>
      <w:r w:rsidRPr="0071499B">
        <w:rPr>
          <w:rFonts w:ascii="Times New Roman" w:hAnsi="Times New Roman" w:cs="Times New Roman"/>
          <w:sz w:val="22"/>
          <w:szCs w:val="22"/>
        </w:rPr>
        <w:t>Howat,</w:t>
      </w:r>
      <w:r w:rsidRPr="0071499B">
        <w:rPr>
          <w:rFonts w:ascii="Times New Roman" w:hAnsi="Times New Roman" w:cs="Times New Roman"/>
          <w:i/>
          <w:sz w:val="22"/>
          <w:szCs w:val="22"/>
        </w:rPr>
        <w:t xml:space="preserve"> </w:t>
      </w:r>
      <w:r w:rsidR="0071499B" w:rsidRPr="0071499B">
        <w:rPr>
          <w:rFonts w:ascii="Times New Roman" w:hAnsi="Times New Roman" w:cs="Times New Roman"/>
          <w:i/>
          <w:sz w:val="22"/>
          <w:szCs w:val="22"/>
        </w:rPr>
        <w:t xml:space="preserve">Notes on Teaching Empire and Commonwealth History </w:t>
      </w:r>
      <w:r w:rsidR="0071499B" w:rsidRPr="0071499B">
        <w:rPr>
          <w:rFonts w:ascii="Times New Roman" w:hAnsi="Times New Roman" w:cs="Times New Roman"/>
          <w:iCs/>
          <w:sz w:val="22"/>
          <w:szCs w:val="22"/>
        </w:rPr>
        <w:t>(London: HA, 1967)</w:t>
      </w:r>
      <w:r w:rsidRPr="0071499B">
        <w:rPr>
          <w:rFonts w:ascii="Times New Roman" w:hAnsi="Times New Roman" w:cs="Times New Roman"/>
          <w:iCs/>
          <w:sz w:val="22"/>
          <w:szCs w:val="22"/>
        </w:rPr>
        <w:t>,</w:t>
      </w:r>
      <w:r w:rsidRPr="0071499B">
        <w:rPr>
          <w:rFonts w:ascii="Times New Roman" w:hAnsi="Times New Roman" w:cs="Times New Roman"/>
          <w:sz w:val="22"/>
          <w:szCs w:val="22"/>
        </w:rPr>
        <w:t xml:space="preserve"> pp.10-11, 13.</w:t>
      </w:r>
    </w:p>
  </w:footnote>
  <w:footnote w:id="192">
    <w:p w14:paraId="2A1F5E87"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University of Cambridge Local Examinations Syndicate (hereafter ‘UCLES’), O Level History Syllabus, 1957 Session, Code 11, p.4 &lt;https://www.cambridgeassessment.org.uk/Images/1957-history-olevel-syllabus.pdf&gt; [accessed 30 January 2025]. </w:t>
      </w:r>
    </w:p>
  </w:footnote>
  <w:footnote w:id="193">
    <w:p w14:paraId="107A33EB"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UCLES, O Level History Question Paper, July 1957, Code 11, pp.79-81 &lt;https://www.cambridgeassessment.org.uk/Images/1957j-history-olevel-questionpaper.pdf&gt; [accessed 30 January 2025]. </w:t>
      </w:r>
    </w:p>
  </w:footnote>
  <w:footnote w:id="194">
    <w:p w14:paraId="3B266DCD" w14:textId="232BF660"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Schools and the Commonwealth</w:t>
      </w:r>
      <w:r w:rsidRPr="00047A9D">
        <w:rPr>
          <w:rFonts w:ascii="Times New Roman" w:hAnsi="Times New Roman" w:cs="Times New Roman"/>
          <w:sz w:val="22"/>
          <w:szCs w:val="22"/>
        </w:rPr>
        <w:t>, pp.14-15, 21; UCLES, A Level History Question Paper, June 1957, Code 11, p.117 &lt;https://www.cambridgeassessment.org.uk/Images/1957j-history-alevel-questionpaper.pdf&gt; [accessed 20 January 2025]. The latter course did also offer some opportunity for the study of current and former colonies on their own terms, through the inclusion of a ‘World Affairs’ option on ‘East and South-East Asia’. Nevertheless, the emphasis remained on British experience.</w:t>
      </w:r>
    </w:p>
  </w:footnote>
  <w:footnote w:id="195">
    <w:p w14:paraId="35F7E1E9" w14:textId="1AAA4641" w:rsidR="00114E3A" w:rsidRPr="00047A9D" w:rsidRDefault="00114E3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1806" w:rsidRPr="00047A9D">
        <w:rPr>
          <w:rFonts w:ascii="Times New Roman" w:hAnsi="Times New Roman" w:cs="Times New Roman"/>
          <w:sz w:val="22"/>
          <w:szCs w:val="22"/>
        </w:rPr>
        <w:t xml:space="preserve">MoE, </w:t>
      </w:r>
      <w:r w:rsidR="009E1806" w:rsidRPr="00047A9D">
        <w:rPr>
          <w:rFonts w:ascii="Times New Roman" w:hAnsi="Times New Roman" w:cs="Times New Roman"/>
          <w:i/>
          <w:sz w:val="22"/>
          <w:szCs w:val="22"/>
        </w:rPr>
        <w:t>Schools and the Commonwealth</w:t>
      </w:r>
      <w:r w:rsidR="009E1806" w:rsidRPr="00047A9D">
        <w:rPr>
          <w:rFonts w:ascii="Times New Roman" w:hAnsi="Times New Roman" w:cs="Times New Roman"/>
          <w:sz w:val="22"/>
          <w:szCs w:val="22"/>
        </w:rPr>
        <w:t>, pp.14-15, 21.</w:t>
      </w:r>
    </w:p>
  </w:footnote>
  <w:footnote w:id="196">
    <w:p w14:paraId="0FE98FE2"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 xml:space="preserve">Schools and Commonwealth, </w:t>
      </w:r>
      <w:r w:rsidRPr="00047A9D">
        <w:rPr>
          <w:rFonts w:ascii="Times New Roman" w:hAnsi="Times New Roman" w:cs="Times New Roman"/>
          <w:sz w:val="22"/>
          <w:szCs w:val="22"/>
        </w:rPr>
        <w:t>p.17.</w:t>
      </w:r>
    </w:p>
  </w:footnote>
  <w:footnote w:id="197">
    <w:p w14:paraId="0E41857B"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 xml:space="preserve">Schools and Commonwealth, </w:t>
      </w:r>
      <w:r w:rsidRPr="00047A9D">
        <w:rPr>
          <w:rFonts w:ascii="Times New Roman" w:hAnsi="Times New Roman" w:cs="Times New Roman"/>
          <w:sz w:val="22"/>
          <w:szCs w:val="22"/>
        </w:rPr>
        <w:t>pp.7, 36-37.</w:t>
      </w:r>
    </w:p>
  </w:footnote>
  <w:footnote w:id="198">
    <w:p w14:paraId="02AA71E4"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Schools and Commonwealth</w:t>
      </w:r>
      <w:r w:rsidRPr="00047A9D">
        <w:rPr>
          <w:rFonts w:ascii="Times New Roman" w:hAnsi="Times New Roman" w:cs="Times New Roman"/>
          <w:sz w:val="22"/>
          <w:szCs w:val="22"/>
        </w:rPr>
        <w:t>, pp.3, 14-15</w:t>
      </w:r>
    </w:p>
  </w:footnote>
  <w:footnote w:id="199">
    <w:p w14:paraId="5FDFDFC3"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 xml:space="preserve">Schools and Commonwealth, </w:t>
      </w:r>
      <w:r w:rsidRPr="00047A9D">
        <w:rPr>
          <w:rFonts w:ascii="Times New Roman" w:hAnsi="Times New Roman" w:cs="Times New Roman"/>
          <w:sz w:val="22"/>
          <w:szCs w:val="22"/>
        </w:rPr>
        <w:t>p.14.</w:t>
      </w:r>
    </w:p>
  </w:footnote>
  <w:footnote w:id="200">
    <w:p w14:paraId="2A9834EE"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 xml:space="preserve">Schools and Commonwealth, </w:t>
      </w:r>
      <w:r w:rsidRPr="00047A9D">
        <w:rPr>
          <w:rFonts w:ascii="Times New Roman" w:hAnsi="Times New Roman" w:cs="Times New Roman"/>
          <w:sz w:val="22"/>
          <w:szCs w:val="22"/>
        </w:rPr>
        <w:t>pp.7, 11.</w:t>
      </w:r>
    </w:p>
  </w:footnote>
  <w:footnote w:id="201">
    <w:p w14:paraId="2C3346F5" w14:textId="0F39E82F"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The bloody experiences of partition in India, Pakistan, and Ireland, and the state violence visited on anti-colonial fighters in Kenya and Malaysia – to cite just a few examples – would of course appear to testify against this assertion. See S.H</w:t>
      </w:r>
      <w:r w:rsidR="00BA03B7" w:rsidRPr="00047A9D">
        <w:rPr>
          <w:rFonts w:ascii="Times New Roman" w:hAnsi="Times New Roman" w:cs="Times New Roman"/>
          <w:sz w:val="22"/>
          <w:szCs w:val="22"/>
        </w:rPr>
        <w:t>.</w:t>
      </w:r>
      <w:r w:rsidRPr="00047A9D">
        <w:rPr>
          <w:rFonts w:ascii="Times New Roman" w:hAnsi="Times New Roman" w:cs="Times New Roman"/>
          <w:sz w:val="22"/>
          <w:szCs w:val="22"/>
        </w:rPr>
        <w:t xml:space="preserve"> Fazan, </w:t>
      </w:r>
      <w:r w:rsidRPr="00047A9D">
        <w:rPr>
          <w:rFonts w:ascii="Times New Roman" w:hAnsi="Times New Roman" w:cs="Times New Roman"/>
          <w:i/>
          <w:sz w:val="22"/>
          <w:szCs w:val="22"/>
        </w:rPr>
        <w:t>Colonial Kenya Observed: British Rule, Mau Mau and the Wind of Change</w:t>
      </w:r>
      <w:r w:rsidRPr="00047A9D">
        <w:rPr>
          <w:rFonts w:ascii="Times New Roman" w:hAnsi="Times New Roman" w:cs="Times New Roman"/>
          <w:sz w:val="22"/>
          <w:szCs w:val="22"/>
        </w:rPr>
        <w:t xml:space="preserve"> (London: I.B. Tauris, 2015); Cormac Moore, </w:t>
      </w:r>
      <w:r w:rsidRPr="00047A9D">
        <w:rPr>
          <w:rFonts w:ascii="Times New Roman" w:hAnsi="Times New Roman" w:cs="Times New Roman"/>
          <w:i/>
          <w:sz w:val="22"/>
          <w:szCs w:val="22"/>
        </w:rPr>
        <w:t>Birth of the Border: The Impact of Partition in Ireland</w:t>
      </w:r>
      <w:r w:rsidRPr="00047A9D">
        <w:rPr>
          <w:rFonts w:ascii="Times New Roman" w:hAnsi="Times New Roman" w:cs="Times New Roman"/>
          <w:sz w:val="22"/>
          <w:szCs w:val="22"/>
        </w:rPr>
        <w:t xml:space="preserve"> (Newbridge: Merrion Press, 2019); Souchou Yao, </w:t>
      </w:r>
      <w:r w:rsidRPr="00047A9D">
        <w:rPr>
          <w:rFonts w:ascii="Times New Roman" w:hAnsi="Times New Roman" w:cs="Times New Roman"/>
          <w:i/>
          <w:sz w:val="22"/>
          <w:szCs w:val="22"/>
        </w:rPr>
        <w:t>The Malayan Emergency: A Small, Distant War</w:t>
      </w:r>
      <w:r w:rsidRPr="00047A9D">
        <w:rPr>
          <w:rFonts w:ascii="Times New Roman" w:hAnsi="Times New Roman" w:cs="Times New Roman"/>
          <w:sz w:val="22"/>
          <w:szCs w:val="22"/>
        </w:rPr>
        <w:t xml:space="preserve"> (Copenhagen: NIAS Press, 2016); Ian Talbot, </w:t>
      </w:r>
      <w:r w:rsidRPr="00047A9D">
        <w:rPr>
          <w:rFonts w:ascii="Times New Roman" w:hAnsi="Times New Roman" w:cs="Times New Roman"/>
          <w:i/>
          <w:sz w:val="22"/>
          <w:szCs w:val="22"/>
        </w:rPr>
        <w:t>The Partition of India</w:t>
      </w:r>
      <w:r w:rsidRPr="00047A9D">
        <w:rPr>
          <w:rFonts w:ascii="Times New Roman" w:hAnsi="Times New Roman" w:cs="Times New Roman"/>
          <w:sz w:val="22"/>
          <w:szCs w:val="22"/>
        </w:rPr>
        <w:t xml:space="preserve"> (Cambridge: CUP, 2009).</w:t>
      </w:r>
    </w:p>
  </w:footnote>
  <w:footnote w:id="202">
    <w:p w14:paraId="4635FD32"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 xml:space="preserve">Schools and Commonwealth, </w:t>
      </w:r>
      <w:r w:rsidRPr="00047A9D">
        <w:rPr>
          <w:rFonts w:ascii="Times New Roman" w:hAnsi="Times New Roman" w:cs="Times New Roman"/>
          <w:sz w:val="22"/>
          <w:szCs w:val="22"/>
        </w:rPr>
        <w:t>p.16.</w:t>
      </w:r>
    </w:p>
  </w:footnote>
  <w:footnote w:id="203">
    <w:p w14:paraId="203F38FD"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Philip Murphy, </w:t>
      </w:r>
      <w:r w:rsidRPr="00047A9D">
        <w:rPr>
          <w:rFonts w:ascii="Times New Roman" w:hAnsi="Times New Roman" w:cs="Times New Roman"/>
          <w:i/>
          <w:sz w:val="22"/>
          <w:szCs w:val="22"/>
        </w:rPr>
        <w:t>The Empire's New Clothes: The Myth of the Commonwealth</w:t>
      </w:r>
      <w:r w:rsidRPr="00047A9D">
        <w:rPr>
          <w:rFonts w:ascii="Times New Roman" w:hAnsi="Times New Roman" w:cs="Times New Roman"/>
          <w:sz w:val="22"/>
          <w:szCs w:val="22"/>
        </w:rPr>
        <w:t xml:space="preserve"> (London: Hurst &amp; Co., 2018), p.108.</w:t>
      </w:r>
    </w:p>
  </w:footnote>
  <w:footnote w:id="204">
    <w:p w14:paraId="347A02E0"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Murphy, </w:t>
      </w:r>
      <w:r w:rsidRPr="00047A9D">
        <w:rPr>
          <w:rFonts w:ascii="Times New Roman" w:hAnsi="Times New Roman" w:cs="Times New Roman"/>
          <w:i/>
          <w:sz w:val="22"/>
          <w:szCs w:val="22"/>
        </w:rPr>
        <w:t xml:space="preserve">The Empire's New Clothes, </w:t>
      </w:r>
      <w:r w:rsidRPr="00047A9D">
        <w:rPr>
          <w:rFonts w:ascii="Times New Roman" w:hAnsi="Times New Roman" w:cs="Times New Roman"/>
          <w:sz w:val="22"/>
          <w:szCs w:val="22"/>
        </w:rPr>
        <w:t>pp.107-08.</w:t>
      </w:r>
    </w:p>
  </w:footnote>
  <w:footnote w:id="205">
    <w:p w14:paraId="47CD115C" w14:textId="35B6E5F9"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Shohei Sato, ‘Operation Legacy’: Britain’s Destruction and Concealment of Colonial Records Worldwide’, </w:t>
      </w:r>
      <w:r w:rsidRPr="00047A9D">
        <w:rPr>
          <w:rFonts w:ascii="Times New Roman" w:hAnsi="Times New Roman" w:cs="Times New Roman"/>
          <w:i/>
          <w:sz w:val="22"/>
          <w:szCs w:val="22"/>
        </w:rPr>
        <w:t>The Journal of Imperial and Commonwealth History</w:t>
      </w:r>
      <w:r w:rsidRPr="00047A9D">
        <w:rPr>
          <w:rFonts w:ascii="Times New Roman" w:hAnsi="Times New Roman" w:cs="Times New Roman"/>
          <w:sz w:val="22"/>
          <w:szCs w:val="22"/>
        </w:rPr>
        <w:t xml:space="preserve"> 45</w:t>
      </w:r>
      <w:r w:rsidR="00540910" w:rsidRPr="00047A9D">
        <w:rPr>
          <w:rFonts w:ascii="Times New Roman" w:hAnsi="Times New Roman" w:cs="Times New Roman"/>
          <w:sz w:val="22"/>
          <w:szCs w:val="22"/>
        </w:rPr>
        <w:t>.</w:t>
      </w:r>
      <w:r w:rsidRPr="00047A9D">
        <w:rPr>
          <w:rFonts w:ascii="Times New Roman" w:hAnsi="Times New Roman" w:cs="Times New Roman"/>
          <w:sz w:val="22"/>
          <w:szCs w:val="22"/>
        </w:rPr>
        <w:t>4 (2017), 697-719.</w:t>
      </w:r>
    </w:p>
  </w:footnote>
  <w:footnote w:id="206">
    <w:p w14:paraId="211FC2ED"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Butler, </w:t>
      </w:r>
      <w:r w:rsidRPr="00047A9D">
        <w:rPr>
          <w:rFonts w:ascii="Times New Roman" w:hAnsi="Times New Roman" w:cs="Times New Roman"/>
          <w:i/>
          <w:sz w:val="22"/>
          <w:szCs w:val="22"/>
        </w:rPr>
        <w:t>Britain and Empire</w:t>
      </w:r>
      <w:r w:rsidRPr="00047A9D">
        <w:rPr>
          <w:rFonts w:ascii="Times New Roman" w:hAnsi="Times New Roman" w:cs="Times New Roman"/>
          <w:sz w:val="22"/>
          <w:szCs w:val="22"/>
        </w:rPr>
        <w:t xml:space="preserve">, pp.138, 168-70; Karl Hack, ‘Selling Empire: Epilogue – the Slow Death of Heroism?’, </w:t>
      </w:r>
      <w:r w:rsidRPr="00047A9D">
        <w:rPr>
          <w:rFonts w:ascii="Times New Roman" w:hAnsi="Times New Roman" w:cs="Times New Roman"/>
          <w:i/>
          <w:sz w:val="22"/>
          <w:szCs w:val="22"/>
        </w:rPr>
        <w:t>The Open University,</w:t>
      </w:r>
      <w:r w:rsidRPr="00047A9D">
        <w:rPr>
          <w:rFonts w:ascii="Times New Roman" w:hAnsi="Times New Roman" w:cs="Times New Roman"/>
          <w:sz w:val="22"/>
          <w:szCs w:val="22"/>
        </w:rPr>
        <w:t xml:space="preserve"> published 21 January 2013, updated 21 June 2023 &lt; https://www.open.edu/openlearn/history-the-arts/history/world-history/selling-empire-epilogue-the-slow-death-heroism&gt; [accessed 31 January 2025]; Ian Sanjay Patel</w:t>
      </w:r>
      <w:r w:rsidRPr="00047A9D">
        <w:rPr>
          <w:rFonts w:ascii="Times New Roman" w:hAnsi="Times New Roman" w:cs="Times New Roman"/>
          <w:i/>
          <w:sz w:val="22"/>
          <w:szCs w:val="22"/>
        </w:rPr>
        <w:t>, We're Here Because You Were There: Immigration and the End of Empire</w:t>
      </w:r>
      <w:r w:rsidRPr="00047A9D">
        <w:rPr>
          <w:rFonts w:ascii="Times New Roman" w:hAnsi="Times New Roman" w:cs="Times New Roman"/>
          <w:sz w:val="22"/>
          <w:szCs w:val="22"/>
        </w:rPr>
        <w:t xml:space="preserve"> (London: Verso, 2021), pp.171-79, 234-35.</w:t>
      </w:r>
    </w:p>
  </w:footnote>
  <w:footnote w:id="207">
    <w:p w14:paraId="5A85C308"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DES, </w:t>
      </w:r>
      <w:r w:rsidRPr="00047A9D">
        <w:rPr>
          <w:rFonts w:ascii="Times New Roman" w:hAnsi="Times New Roman" w:cs="Times New Roman"/>
          <w:i/>
          <w:sz w:val="22"/>
          <w:szCs w:val="22"/>
        </w:rPr>
        <w:t>The Commonwealth in Education: Department of Education and Science</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 xml:space="preserve">Pamphlet No.51 </w:t>
      </w:r>
      <w:r w:rsidRPr="00047A9D">
        <w:rPr>
          <w:rFonts w:ascii="Times New Roman" w:hAnsi="Times New Roman" w:cs="Times New Roman"/>
          <w:sz w:val="22"/>
          <w:szCs w:val="22"/>
        </w:rPr>
        <w:t>(London: HMSO, 1966), pp.15,19.</w:t>
      </w:r>
    </w:p>
  </w:footnote>
  <w:footnote w:id="208">
    <w:p w14:paraId="5897E7F1"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DES, </w:t>
      </w:r>
      <w:r w:rsidRPr="00047A9D">
        <w:rPr>
          <w:rFonts w:ascii="Times New Roman" w:hAnsi="Times New Roman" w:cs="Times New Roman"/>
          <w:i/>
          <w:sz w:val="22"/>
          <w:szCs w:val="22"/>
        </w:rPr>
        <w:t xml:space="preserve">Commonwealth in Education, </w:t>
      </w:r>
      <w:r w:rsidRPr="00047A9D">
        <w:rPr>
          <w:rFonts w:ascii="Times New Roman" w:hAnsi="Times New Roman" w:cs="Times New Roman"/>
          <w:sz w:val="22"/>
          <w:szCs w:val="22"/>
        </w:rPr>
        <w:t>pp.14, 15.</w:t>
      </w:r>
    </w:p>
  </w:footnote>
  <w:footnote w:id="209">
    <w:p w14:paraId="56A9E0D1"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DES, </w:t>
      </w:r>
      <w:r w:rsidRPr="00047A9D">
        <w:rPr>
          <w:rFonts w:ascii="Times New Roman" w:hAnsi="Times New Roman" w:cs="Times New Roman"/>
          <w:i/>
          <w:sz w:val="22"/>
          <w:szCs w:val="22"/>
        </w:rPr>
        <w:t xml:space="preserve">Commonwealth in Education, </w:t>
      </w:r>
      <w:r w:rsidRPr="00047A9D">
        <w:rPr>
          <w:rFonts w:ascii="Times New Roman" w:hAnsi="Times New Roman" w:cs="Times New Roman"/>
          <w:sz w:val="22"/>
          <w:szCs w:val="22"/>
        </w:rPr>
        <w:t>pp.14, 17.</w:t>
      </w:r>
    </w:p>
  </w:footnote>
  <w:footnote w:id="210">
    <w:p w14:paraId="483725CF" w14:textId="0A7DCBD3" w:rsidR="00CB5AB0" w:rsidRPr="00047A9D" w:rsidRDefault="00CB5AB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364AC" w:rsidRPr="00047A9D">
        <w:rPr>
          <w:rFonts w:ascii="Times New Roman" w:hAnsi="Times New Roman" w:cs="Times New Roman"/>
          <w:sz w:val="22"/>
          <w:szCs w:val="22"/>
        </w:rPr>
        <w:t xml:space="preserve">DES, </w:t>
      </w:r>
      <w:r w:rsidR="004364AC" w:rsidRPr="00047A9D">
        <w:rPr>
          <w:rFonts w:ascii="Times New Roman" w:hAnsi="Times New Roman" w:cs="Times New Roman"/>
          <w:i/>
          <w:sz w:val="22"/>
          <w:szCs w:val="22"/>
        </w:rPr>
        <w:t xml:space="preserve">Commonwealth in Education, </w:t>
      </w:r>
      <w:r w:rsidR="004364AC" w:rsidRPr="00047A9D">
        <w:rPr>
          <w:rFonts w:ascii="Times New Roman" w:hAnsi="Times New Roman" w:cs="Times New Roman"/>
          <w:sz w:val="22"/>
          <w:szCs w:val="22"/>
        </w:rPr>
        <w:t>pp.14, 17.</w:t>
      </w:r>
    </w:p>
  </w:footnote>
  <w:footnote w:id="211">
    <w:p w14:paraId="4E228AB7" w14:textId="77777777" w:rsidR="00E13EF0" w:rsidRPr="00047A9D" w:rsidRDefault="00E13E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Priyamvada Gopal, </w:t>
      </w:r>
      <w:r w:rsidRPr="00047A9D">
        <w:rPr>
          <w:rFonts w:ascii="Times New Roman" w:hAnsi="Times New Roman" w:cs="Times New Roman"/>
          <w:i/>
          <w:sz w:val="22"/>
          <w:szCs w:val="22"/>
        </w:rPr>
        <w:t>Insurgent Empire: Anticolonial Resistance and British Dissent</w:t>
      </w:r>
      <w:r w:rsidRPr="00047A9D">
        <w:rPr>
          <w:rFonts w:ascii="Times New Roman" w:hAnsi="Times New Roman" w:cs="Times New Roman"/>
          <w:sz w:val="22"/>
          <w:szCs w:val="22"/>
        </w:rPr>
        <w:t xml:space="preserve"> (London: Verso, 2019).</w:t>
      </w:r>
    </w:p>
  </w:footnote>
  <w:footnote w:id="212">
    <w:p w14:paraId="1E3071B0" w14:textId="77777777" w:rsidR="00E13EF0" w:rsidRPr="00047A9D" w:rsidRDefault="00E13EF0"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MoE, </w:t>
      </w:r>
      <w:r w:rsidRPr="00047A9D">
        <w:rPr>
          <w:rFonts w:ascii="Times New Roman" w:hAnsi="Times New Roman" w:cs="Times New Roman"/>
          <w:i/>
          <w:sz w:val="22"/>
          <w:szCs w:val="22"/>
        </w:rPr>
        <w:t>Schools and the Commonwealth</w:t>
      </w:r>
      <w:r w:rsidRPr="00047A9D">
        <w:rPr>
          <w:rFonts w:ascii="Times New Roman" w:hAnsi="Times New Roman" w:cs="Times New Roman"/>
          <w:sz w:val="22"/>
          <w:szCs w:val="22"/>
        </w:rPr>
        <w:t>, pp.3, 16.</w:t>
      </w:r>
    </w:p>
  </w:footnote>
  <w:footnote w:id="213">
    <w:p w14:paraId="27DD486D" w14:textId="2E24627D"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72C1F" w:rsidRPr="00047A9D">
        <w:rPr>
          <w:rFonts w:ascii="Times New Roman" w:hAnsi="Times New Roman" w:cs="Times New Roman"/>
          <w:sz w:val="22"/>
          <w:szCs w:val="22"/>
        </w:rPr>
        <w:t>University College London, Institute of Education (hereafter ‘IoE’)</w:t>
      </w:r>
      <w:r w:rsidR="00241300" w:rsidRPr="00047A9D">
        <w:rPr>
          <w:rFonts w:ascii="Times New Roman" w:hAnsi="Times New Roman" w:cs="Times New Roman"/>
          <w:sz w:val="22"/>
          <w:szCs w:val="22"/>
        </w:rPr>
        <w:t xml:space="preserve">: </w:t>
      </w:r>
      <w:r w:rsidRPr="00047A9D">
        <w:rPr>
          <w:rFonts w:ascii="Times New Roman" w:hAnsi="Times New Roman" w:cs="Times New Roman"/>
          <w:sz w:val="22"/>
          <w:szCs w:val="22"/>
        </w:rPr>
        <w:t xml:space="preserve">London History Teachers Association, ‘Ways and Means of Introducing American, Commonwealth and Other History of Contemporary Significance into our Syllabuses’, 4 March 1959, in ‘Minutes 1957-76’, </w:t>
      </w:r>
      <w:r w:rsidR="00183CDB" w:rsidRPr="00047A9D">
        <w:rPr>
          <w:rFonts w:ascii="Times New Roman" w:hAnsi="Times New Roman" w:cs="Times New Roman"/>
          <w:sz w:val="22"/>
          <w:szCs w:val="22"/>
        </w:rPr>
        <w:t>GB 366</w:t>
      </w:r>
      <w:r w:rsidR="00241300" w:rsidRPr="00047A9D">
        <w:rPr>
          <w:rFonts w:ascii="Times New Roman" w:hAnsi="Times New Roman" w:cs="Times New Roman"/>
          <w:sz w:val="22"/>
          <w:szCs w:val="22"/>
        </w:rPr>
        <w:t xml:space="preserve"> LHT</w:t>
      </w:r>
      <w:r w:rsidRPr="00047A9D">
        <w:rPr>
          <w:rFonts w:ascii="Times New Roman" w:hAnsi="Times New Roman" w:cs="Times New Roman"/>
          <w:sz w:val="22"/>
          <w:szCs w:val="22"/>
        </w:rPr>
        <w:t>.</w:t>
      </w:r>
    </w:p>
  </w:footnote>
  <w:footnote w:id="214">
    <w:p w14:paraId="6F304860" w14:textId="77777777"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Fieldhouse, ‘Imperial History in the 1980s’, pp.9-10.</w:t>
      </w:r>
    </w:p>
  </w:footnote>
  <w:footnote w:id="215">
    <w:p w14:paraId="2A556F5B" w14:textId="786D9E99"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A.J. Hanna, </w:t>
      </w:r>
      <w:r w:rsidRPr="00047A9D">
        <w:rPr>
          <w:rFonts w:ascii="Times New Roman" w:hAnsi="Times New Roman" w:cs="Times New Roman"/>
          <w:i/>
          <w:sz w:val="22"/>
          <w:szCs w:val="22"/>
        </w:rPr>
        <w:t xml:space="preserve">European Rule in Africa </w:t>
      </w:r>
      <w:r w:rsidRPr="00047A9D">
        <w:rPr>
          <w:rFonts w:ascii="Times New Roman" w:hAnsi="Times New Roman" w:cs="Times New Roman"/>
          <w:sz w:val="22"/>
          <w:szCs w:val="22"/>
        </w:rPr>
        <w:t xml:space="preserve">(London: </w:t>
      </w:r>
      <w:r w:rsidR="00A92225" w:rsidRPr="00047A9D">
        <w:rPr>
          <w:rFonts w:ascii="Times New Roman" w:hAnsi="Times New Roman" w:cs="Times New Roman"/>
          <w:sz w:val="22"/>
          <w:szCs w:val="22"/>
        </w:rPr>
        <w:t>HA</w:t>
      </w:r>
      <w:r w:rsidRPr="00047A9D">
        <w:rPr>
          <w:rFonts w:ascii="Times New Roman" w:hAnsi="Times New Roman" w:cs="Times New Roman"/>
          <w:sz w:val="22"/>
          <w:szCs w:val="22"/>
        </w:rPr>
        <w:t>, 1961), pp.12, 15.</w:t>
      </w:r>
    </w:p>
  </w:footnote>
  <w:footnote w:id="216">
    <w:p w14:paraId="2A9DBFDD" w14:textId="0BD98317"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A.J. Hanna, </w:t>
      </w:r>
      <w:r w:rsidRPr="00047A9D">
        <w:rPr>
          <w:rFonts w:ascii="Times New Roman" w:hAnsi="Times New Roman" w:cs="Times New Roman"/>
          <w:i/>
          <w:sz w:val="22"/>
          <w:szCs w:val="22"/>
        </w:rPr>
        <w:t xml:space="preserve">European Rule in Africa </w:t>
      </w:r>
      <w:r w:rsidRPr="00047A9D">
        <w:rPr>
          <w:rFonts w:ascii="Times New Roman" w:hAnsi="Times New Roman" w:cs="Times New Roman"/>
          <w:sz w:val="22"/>
          <w:szCs w:val="22"/>
        </w:rPr>
        <w:t xml:space="preserve">(London: </w:t>
      </w:r>
      <w:r w:rsidR="006C471E" w:rsidRPr="00047A9D">
        <w:rPr>
          <w:rFonts w:ascii="Times New Roman" w:hAnsi="Times New Roman" w:cs="Times New Roman"/>
          <w:sz w:val="22"/>
          <w:szCs w:val="22"/>
        </w:rPr>
        <w:t>HA</w:t>
      </w:r>
      <w:r w:rsidRPr="00047A9D">
        <w:rPr>
          <w:rFonts w:ascii="Times New Roman" w:hAnsi="Times New Roman" w:cs="Times New Roman"/>
          <w:sz w:val="22"/>
          <w:szCs w:val="22"/>
        </w:rPr>
        <w:t>, 1961), p.11.</w:t>
      </w:r>
    </w:p>
  </w:footnote>
  <w:footnote w:id="217">
    <w:p w14:paraId="00D657E8" w14:textId="0D0514A1"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A.J. Hanna, </w:t>
      </w:r>
      <w:r w:rsidRPr="00047A9D">
        <w:rPr>
          <w:rFonts w:ascii="Times New Roman" w:hAnsi="Times New Roman" w:cs="Times New Roman"/>
          <w:i/>
          <w:sz w:val="22"/>
          <w:szCs w:val="22"/>
        </w:rPr>
        <w:t xml:space="preserve">European Rule in Africa </w:t>
      </w:r>
      <w:r w:rsidRPr="00047A9D">
        <w:rPr>
          <w:rFonts w:ascii="Times New Roman" w:hAnsi="Times New Roman" w:cs="Times New Roman"/>
          <w:sz w:val="22"/>
          <w:szCs w:val="22"/>
        </w:rPr>
        <w:t xml:space="preserve">(London: </w:t>
      </w:r>
      <w:r w:rsidR="006C471E" w:rsidRPr="00047A9D">
        <w:rPr>
          <w:rFonts w:ascii="Times New Roman" w:hAnsi="Times New Roman" w:cs="Times New Roman"/>
          <w:sz w:val="22"/>
          <w:szCs w:val="22"/>
        </w:rPr>
        <w:t>HA</w:t>
      </w:r>
      <w:r w:rsidRPr="00047A9D">
        <w:rPr>
          <w:rFonts w:ascii="Times New Roman" w:hAnsi="Times New Roman" w:cs="Times New Roman"/>
          <w:sz w:val="22"/>
          <w:szCs w:val="22"/>
        </w:rPr>
        <w:t>, 1961</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p.15.</w:t>
      </w:r>
    </w:p>
  </w:footnote>
  <w:footnote w:id="218">
    <w:p w14:paraId="39F711DC" w14:textId="77777777"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Satia, </w:t>
      </w:r>
      <w:r w:rsidRPr="00047A9D">
        <w:rPr>
          <w:rFonts w:ascii="Times New Roman" w:hAnsi="Times New Roman" w:cs="Times New Roman"/>
          <w:i/>
          <w:sz w:val="22"/>
          <w:szCs w:val="22"/>
        </w:rPr>
        <w:t xml:space="preserve">Time’s Monster, </w:t>
      </w:r>
      <w:r w:rsidRPr="00047A9D">
        <w:rPr>
          <w:rFonts w:ascii="Times New Roman" w:hAnsi="Times New Roman" w:cs="Times New Roman"/>
          <w:sz w:val="22"/>
          <w:szCs w:val="22"/>
        </w:rPr>
        <w:t>p.138.</w:t>
      </w:r>
    </w:p>
  </w:footnote>
  <w:footnote w:id="219">
    <w:p w14:paraId="5674EFB3" w14:textId="4657491E"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A.J. Hanna, </w:t>
      </w:r>
      <w:r w:rsidRPr="00047A9D">
        <w:rPr>
          <w:rFonts w:ascii="Times New Roman" w:hAnsi="Times New Roman" w:cs="Times New Roman"/>
          <w:i/>
          <w:sz w:val="22"/>
          <w:szCs w:val="22"/>
        </w:rPr>
        <w:t xml:space="preserve">European Rule in Africa </w:t>
      </w:r>
      <w:r w:rsidRPr="00047A9D">
        <w:rPr>
          <w:rFonts w:ascii="Times New Roman" w:hAnsi="Times New Roman" w:cs="Times New Roman"/>
          <w:sz w:val="22"/>
          <w:szCs w:val="22"/>
        </w:rPr>
        <w:t xml:space="preserve">(London: </w:t>
      </w:r>
      <w:r w:rsidR="006C471E" w:rsidRPr="00047A9D">
        <w:rPr>
          <w:rFonts w:ascii="Times New Roman" w:hAnsi="Times New Roman" w:cs="Times New Roman"/>
          <w:sz w:val="22"/>
          <w:szCs w:val="22"/>
        </w:rPr>
        <w:t>HA</w:t>
      </w:r>
      <w:r w:rsidRPr="00047A9D">
        <w:rPr>
          <w:rFonts w:ascii="Times New Roman" w:hAnsi="Times New Roman" w:cs="Times New Roman"/>
          <w:sz w:val="22"/>
          <w:szCs w:val="22"/>
        </w:rPr>
        <w:t>, 1965).</w:t>
      </w:r>
    </w:p>
  </w:footnote>
  <w:footnote w:id="220">
    <w:p w14:paraId="5F1C95F8" w14:textId="1E62ABC9"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Zoё Marsh and Peter Collister, </w:t>
      </w:r>
      <w:r w:rsidRPr="00047A9D">
        <w:rPr>
          <w:rFonts w:ascii="Times New Roman" w:hAnsi="Times New Roman" w:cs="Times New Roman"/>
          <w:i/>
          <w:sz w:val="22"/>
          <w:szCs w:val="22"/>
        </w:rPr>
        <w:t xml:space="preserve">The Teaching of African History </w:t>
      </w:r>
      <w:r w:rsidRPr="00047A9D">
        <w:rPr>
          <w:rFonts w:ascii="Times New Roman" w:hAnsi="Times New Roman" w:cs="Times New Roman"/>
          <w:sz w:val="22"/>
          <w:szCs w:val="22"/>
        </w:rPr>
        <w:t xml:space="preserve">(London: </w:t>
      </w:r>
      <w:r w:rsidR="006C471E" w:rsidRPr="00047A9D">
        <w:rPr>
          <w:rFonts w:ascii="Times New Roman" w:hAnsi="Times New Roman" w:cs="Times New Roman"/>
          <w:sz w:val="22"/>
          <w:szCs w:val="22"/>
        </w:rPr>
        <w:t>HA</w:t>
      </w:r>
      <w:r w:rsidRPr="00047A9D">
        <w:rPr>
          <w:rFonts w:ascii="Times New Roman" w:hAnsi="Times New Roman" w:cs="Times New Roman"/>
          <w:sz w:val="22"/>
          <w:szCs w:val="22"/>
        </w:rPr>
        <w:t>, 1968), pp.16, 23.</w:t>
      </w:r>
    </w:p>
  </w:footnote>
  <w:footnote w:id="221">
    <w:p w14:paraId="66B2332B" w14:textId="38AF5EF8" w:rsidR="00B42BAA" w:rsidRPr="00D839D4" w:rsidRDefault="00B42BAA" w:rsidP="00D839D4">
      <w:pPr>
        <w:pStyle w:val="FootnoteText"/>
        <w:spacing w:line="360" w:lineRule="auto"/>
        <w:rPr>
          <w:rFonts w:ascii="Times New Roman" w:hAnsi="Times New Roman" w:cs="Times New Roman"/>
          <w:sz w:val="22"/>
          <w:szCs w:val="22"/>
        </w:rPr>
      </w:pPr>
      <w:r w:rsidRPr="00D839D4">
        <w:rPr>
          <w:rStyle w:val="FootnoteReference"/>
          <w:rFonts w:ascii="Times New Roman" w:hAnsi="Times New Roman" w:cs="Times New Roman"/>
          <w:sz w:val="22"/>
          <w:szCs w:val="22"/>
        </w:rPr>
        <w:footnoteRef/>
      </w:r>
      <w:r w:rsidRPr="00D839D4">
        <w:rPr>
          <w:rFonts w:ascii="Times New Roman" w:hAnsi="Times New Roman" w:cs="Times New Roman"/>
          <w:sz w:val="22"/>
          <w:szCs w:val="22"/>
        </w:rPr>
        <w:t xml:space="preserve"> Assistant Masters Association, </w:t>
      </w:r>
      <w:r w:rsidRPr="00D839D4">
        <w:rPr>
          <w:rFonts w:ascii="Times New Roman" w:hAnsi="Times New Roman" w:cs="Times New Roman"/>
          <w:i/>
          <w:sz w:val="22"/>
          <w:szCs w:val="22"/>
        </w:rPr>
        <w:t xml:space="preserve">The Teaching of History in Secondary Schools, </w:t>
      </w:r>
      <w:r w:rsidRPr="00D839D4">
        <w:rPr>
          <w:rFonts w:ascii="Times New Roman" w:hAnsi="Times New Roman" w:cs="Times New Roman"/>
          <w:sz w:val="22"/>
          <w:szCs w:val="22"/>
        </w:rPr>
        <w:t>4</w:t>
      </w:r>
      <w:r w:rsidRPr="00D839D4">
        <w:rPr>
          <w:rFonts w:ascii="Times New Roman" w:hAnsi="Times New Roman" w:cs="Times New Roman"/>
          <w:sz w:val="22"/>
          <w:szCs w:val="22"/>
          <w:vertAlign w:val="superscript"/>
        </w:rPr>
        <w:t>th</w:t>
      </w:r>
      <w:r w:rsidRPr="00D839D4">
        <w:rPr>
          <w:rFonts w:ascii="Times New Roman" w:hAnsi="Times New Roman" w:cs="Times New Roman"/>
          <w:sz w:val="22"/>
          <w:szCs w:val="22"/>
        </w:rPr>
        <w:t xml:space="preserve"> edn</w:t>
      </w:r>
      <w:r w:rsidR="00CB70E9">
        <w:rPr>
          <w:rFonts w:ascii="Times New Roman" w:hAnsi="Times New Roman" w:cs="Times New Roman"/>
          <w:sz w:val="22"/>
          <w:szCs w:val="22"/>
        </w:rPr>
        <w:t>,</w:t>
      </w:r>
      <w:r w:rsidRPr="00D839D4">
        <w:rPr>
          <w:rFonts w:ascii="Times New Roman" w:hAnsi="Times New Roman" w:cs="Times New Roman"/>
          <w:sz w:val="22"/>
          <w:szCs w:val="22"/>
        </w:rPr>
        <w:t xml:space="preserve"> (Cambridge: CUP, 1975), pp.17-18.</w:t>
      </w:r>
    </w:p>
  </w:footnote>
  <w:footnote w:id="222">
    <w:p w14:paraId="6F5944FF" w14:textId="77777777" w:rsidR="00A41380" w:rsidRPr="00047A9D" w:rsidRDefault="00A4138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Peter Amey </w:t>
      </w:r>
      <w:r w:rsidRPr="00047A9D">
        <w:rPr>
          <w:rFonts w:ascii="Times New Roman" w:hAnsi="Times New Roman" w:cs="Times New Roman"/>
          <w:i/>
          <w:sz w:val="22"/>
          <w:szCs w:val="22"/>
        </w:rPr>
        <w:t>et al.,</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 xml:space="preserve">World History: Secondary School Syllabuses </w:t>
      </w:r>
      <w:r w:rsidRPr="00047A9D">
        <w:rPr>
          <w:rFonts w:ascii="Times New Roman" w:hAnsi="Times New Roman" w:cs="Times New Roman"/>
          <w:sz w:val="22"/>
          <w:szCs w:val="22"/>
        </w:rPr>
        <w:t>(London: School of Oriental and African Studies, 1971), p.4.</w:t>
      </w:r>
    </w:p>
  </w:footnote>
  <w:footnote w:id="223">
    <w:p w14:paraId="4EB8D449" w14:textId="77777777" w:rsidR="00A41380" w:rsidRPr="00047A9D" w:rsidRDefault="00A4138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Howat,</w:t>
      </w:r>
      <w:r w:rsidRPr="00047A9D">
        <w:rPr>
          <w:rFonts w:ascii="Times New Roman" w:hAnsi="Times New Roman" w:cs="Times New Roman"/>
          <w:i/>
          <w:sz w:val="22"/>
          <w:szCs w:val="22"/>
        </w:rPr>
        <w:t xml:space="preserve"> Empire and Commonwealth History, </w:t>
      </w:r>
      <w:r w:rsidRPr="00047A9D">
        <w:rPr>
          <w:rFonts w:ascii="Times New Roman" w:hAnsi="Times New Roman" w:cs="Times New Roman"/>
          <w:sz w:val="22"/>
          <w:szCs w:val="22"/>
        </w:rPr>
        <w:t>pp.10, 13.</w:t>
      </w:r>
    </w:p>
  </w:footnote>
  <w:footnote w:id="224">
    <w:p w14:paraId="23B4D2DB" w14:textId="77777777" w:rsidR="00A41380" w:rsidRPr="00047A9D" w:rsidRDefault="00A4138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Cannadine, Keating, and Sheldon, </w:t>
      </w:r>
      <w:r w:rsidRPr="00047A9D">
        <w:rPr>
          <w:rFonts w:ascii="Times New Roman" w:hAnsi="Times New Roman" w:cs="Times New Roman"/>
          <w:i/>
          <w:sz w:val="22"/>
          <w:szCs w:val="22"/>
        </w:rPr>
        <w:t>The Right Kind</w:t>
      </w:r>
      <w:r w:rsidRPr="00047A9D">
        <w:rPr>
          <w:rFonts w:ascii="Times New Roman" w:hAnsi="Times New Roman" w:cs="Times New Roman"/>
          <w:sz w:val="22"/>
          <w:szCs w:val="22"/>
        </w:rPr>
        <w:t>, pp.158-60.</w:t>
      </w:r>
    </w:p>
  </w:footnote>
  <w:footnote w:id="225">
    <w:p w14:paraId="5D61DDEC" w14:textId="4871B4E1"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Cannadine, Keating, and Sheldon, </w:t>
      </w:r>
      <w:r w:rsidRPr="00047A9D">
        <w:rPr>
          <w:rFonts w:ascii="Times New Roman" w:hAnsi="Times New Roman" w:cs="Times New Roman"/>
          <w:i/>
          <w:sz w:val="22"/>
          <w:szCs w:val="22"/>
        </w:rPr>
        <w:t>The Right Kind</w:t>
      </w:r>
      <w:r w:rsidRPr="00047A9D">
        <w:rPr>
          <w:rFonts w:ascii="Times New Roman" w:hAnsi="Times New Roman" w:cs="Times New Roman"/>
          <w:sz w:val="22"/>
          <w:szCs w:val="22"/>
        </w:rPr>
        <w:t>, p.153</w:t>
      </w:r>
      <w:r w:rsidR="00FA3EB4">
        <w:rPr>
          <w:rFonts w:ascii="Times New Roman" w:hAnsi="Times New Roman" w:cs="Times New Roman"/>
          <w:sz w:val="22"/>
          <w:szCs w:val="22"/>
        </w:rPr>
        <w:t>.</w:t>
      </w:r>
    </w:p>
  </w:footnote>
  <w:footnote w:id="226">
    <w:p w14:paraId="0E8B96C1" w14:textId="77777777"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Howat,</w:t>
      </w:r>
      <w:r w:rsidRPr="00047A9D">
        <w:rPr>
          <w:rFonts w:ascii="Times New Roman" w:hAnsi="Times New Roman" w:cs="Times New Roman"/>
          <w:i/>
          <w:sz w:val="22"/>
          <w:szCs w:val="22"/>
        </w:rPr>
        <w:t xml:space="preserve"> Empire and Commonwealth History</w:t>
      </w:r>
      <w:r w:rsidRPr="00047A9D">
        <w:rPr>
          <w:rFonts w:ascii="Times New Roman" w:hAnsi="Times New Roman" w:cs="Times New Roman"/>
          <w:sz w:val="22"/>
          <w:szCs w:val="22"/>
        </w:rPr>
        <w:t>, p.13.</w:t>
      </w:r>
    </w:p>
  </w:footnote>
  <w:footnote w:id="227">
    <w:p w14:paraId="1C2332CC" w14:textId="77777777"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Marsh and Collister, </w:t>
      </w:r>
      <w:r w:rsidRPr="00047A9D">
        <w:rPr>
          <w:rFonts w:ascii="Times New Roman" w:hAnsi="Times New Roman" w:cs="Times New Roman"/>
          <w:i/>
          <w:sz w:val="22"/>
          <w:szCs w:val="22"/>
        </w:rPr>
        <w:t>Teaching of African History</w:t>
      </w:r>
      <w:r w:rsidRPr="00047A9D">
        <w:rPr>
          <w:rFonts w:ascii="Times New Roman" w:hAnsi="Times New Roman" w:cs="Times New Roman"/>
          <w:sz w:val="22"/>
          <w:szCs w:val="22"/>
        </w:rPr>
        <w:t>, pp.22-23.</w:t>
      </w:r>
    </w:p>
  </w:footnote>
  <w:footnote w:id="228">
    <w:p w14:paraId="0D6076EE" w14:textId="77777777"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Marsh and Collister, </w:t>
      </w:r>
      <w:r w:rsidRPr="00047A9D">
        <w:rPr>
          <w:rFonts w:ascii="Times New Roman" w:hAnsi="Times New Roman" w:cs="Times New Roman"/>
          <w:i/>
          <w:sz w:val="22"/>
          <w:szCs w:val="22"/>
        </w:rPr>
        <w:t>Teaching of African History</w:t>
      </w:r>
      <w:r w:rsidRPr="00047A9D">
        <w:rPr>
          <w:rFonts w:ascii="Times New Roman" w:hAnsi="Times New Roman" w:cs="Times New Roman"/>
          <w:sz w:val="22"/>
          <w:szCs w:val="22"/>
        </w:rPr>
        <w:t>, p.19.</w:t>
      </w:r>
    </w:p>
  </w:footnote>
  <w:footnote w:id="229">
    <w:p w14:paraId="48BF527D" w14:textId="1B4F104E"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A.J. Hanna, </w:t>
      </w:r>
      <w:r w:rsidRPr="00047A9D">
        <w:rPr>
          <w:rFonts w:ascii="Times New Roman" w:hAnsi="Times New Roman" w:cs="Times New Roman"/>
          <w:i/>
          <w:sz w:val="22"/>
          <w:szCs w:val="22"/>
        </w:rPr>
        <w:t xml:space="preserve">European Rule in Africa </w:t>
      </w:r>
      <w:r w:rsidRPr="00047A9D">
        <w:rPr>
          <w:rFonts w:ascii="Times New Roman" w:hAnsi="Times New Roman" w:cs="Times New Roman"/>
          <w:sz w:val="22"/>
          <w:szCs w:val="22"/>
        </w:rPr>
        <w:t xml:space="preserve">(London: </w:t>
      </w:r>
      <w:r w:rsidR="00FA594E" w:rsidRPr="00047A9D">
        <w:rPr>
          <w:rFonts w:ascii="Times New Roman" w:hAnsi="Times New Roman" w:cs="Times New Roman"/>
          <w:sz w:val="22"/>
          <w:szCs w:val="22"/>
        </w:rPr>
        <w:t>HA</w:t>
      </w:r>
      <w:r w:rsidRPr="00047A9D">
        <w:rPr>
          <w:rFonts w:ascii="Times New Roman" w:hAnsi="Times New Roman" w:cs="Times New Roman"/>
          <w:sz w:val="22"/>
          <w:szCs w:val="22"/>
        </w:rPr>
        <w:t>, 1965), p.19.</w:t>
      </w:r>
    </w:p>
  </w:footnote>
  <w:footnote w:id="230">
    <w:p w14:paraId="6ECC70EE" w14:textId="77777777" w:rsidR="00B42BAA" w:rsidRPr="00047A9D" w:rsidRDefault="00B42B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Helen Patrick, </w:t>
      </w:r>
      <w:r w:rsidRPr="00047A9D">
        <w:rPr>
          <w:rFonts w:ascii="Times New Roman" w:hAnsi="Times New Roman" w:cs="Times New Roman"/>
          <w:i/>
          <w:sz w:val="22"/>
          <w:szCs w:val="22"/>
        </w:rPr>
        <w:t xml:space="preserve">The Aims of Teaching History in Secondary Schools: Report of a Research Project Funded by the Economic and Social Research Council </w:t>
      </w:r>
      <w:r w:rsidRPr="00047A9D">
        <w:rPr>
          <w:rFonts w:ascii="Times New Roman" w:hAnsi="Times New Roman" w:cs="Times New Roman"/>
          <w:sz w:val="22"/>
          <w:szCs w:val="22"/>
        </w:rPr>
        <w:t>(Leicester: University of Leicester School of Education, 1987), p.9.</w:t>
      </w:r>
    </w:p>
  </w:footnote>
  <w:footnote w:id="231">
    <w:p w14:paraId="678ADF6F" w14:textId="4F3D967A" w:rsidR="001C5CF7" w:rsidRPr="00047A9D" w:rsidRDefault="001C5CF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7464F" w:rsidRPr="00047A9D">
        <w:rPr>
          <w:rFonts w:ascii="Times New Roman" w:hAnsi="Times New Roman" w:cs="Times New Roman"/>
          <w:sz w:val="22"/>
          <w:szCs w:val="22"/>
        </w:rPr>
        <w:t xml:space="preserve">MacKenzie, ‘The Persistence of Empire’, in Ward (ed.), </w:t>
      </w:r>
      <w:r w:rsidR="0057464F" w:rsidRPr="00047A9D">
        <w:rPr>
          <w:rFonts w:ascii="Times New Roman" w:hAnsi="Times New Roman" w:cs="Times New Roman"/>
          <w:i/>
          <w:sz w:val="22"/>
          <w:szCs w:val="22"/>
        </w:rPr>
        <w:t>British Culture</w:t>
      </w:r>
      <w:r w:rsidR="0057464F" w:rsidRPr="00047A9D">
        <w:rPr>
          <w:rFonts w:ascii="Times New Roman" w:hAnsi="Times New Roman" w:cs="Times New Roman"/>
          <w:sz w:val="22"/>
          <w:szCs w:val="22"/>
        </w:rPr>
        <w:t>, p.28.</w:t>
      </w:r>
    </w:p>
  </w:footnote>
  <w:footnote w:id="232">
    <w:p w14:paraId="701C0DF2" w14:textId="12A1E77F" w:rsidR="001C5CF7" w:rsidRPr="00047A9D" w:rsidRDefault="001C5CF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84BE3" w:rsidRPr="00047A9D">
        <w:rPr>
          <w:rFonts w:ascii="Times New Roman" w:hAnsi="Times New Roman" w:cs="Times New Roman"/>
          <w:sz w:val="22"/>
          <w:szCs w:val="22"/>
        </w:rPr>
        <w:t xml:space="preserve">Aldrich and Dean, ‘The Historical Dimension’, in Aldrich (ed.), </w:t>
      </w:r>
      <w:r w:rsidR="00284BE3" w:rsidRPr="00047A9D">
        <w:rPr>
          <w:rFonts w:ascii="Times New Roman" w:hAnsi="Times New Roman" w:cs="Times New Roman"/>
          <w:i/>
          <w:sz w:val="22"/>
          <w:szCs w:val="22"/>
        </w:rPr>
        <w:t>History in the National Curriculum</w:t>
      </w:r>
      <w:r w:rsidR="00284BE3" w:rsidRPr="00047A9D">
        <w:rPr>
          <w:rFonts w:ascii="Times New Roman" w:hAnsi="Times New Roman" w:cs="Times New Roman"/>
          <w:sz w:val="22"/>
          <w:szCs w:val="22"/>
        </w:rPr>
        <w:t>, p</w:t>
      </w:r>
      <w:r w:rsidR="00CE14FF" w:rsidRPr="00047A9D">
        <w:rPr>
          <w:rFonts w:ascii="Times New Roman" w:hAnsi="Times New Roman" w:cs="Times New Roman"/>
          <w:sz w:val="22"/>
          <w:szCs w:val="22"/>
        </w:rPr>
        <w:t>.</w:t>
      </w:r>
      <w:r w:rsidR="00955C23" w:rsidRPr="00047A9D">
        <w:rPr>
          <w:rFonts w:ascii="Times New Roman" w:hAnsi="Times New Roman" w:cs="Times New Roman"/>
          <w:sz w:val="22"/>
          <w:szCs w:val="22"/>
        </w:rPr>
        <w:t>105</w:t>
      </w:r>
      <w:r w:rsidR="00CE14FF" w:rsidRPr="00047A9D">
        <w:rPr>
          <w:rFonts w:ascii="Times New Roman" w:hAnsi="Times New Roman" w:cs="Times New Roman"/>
          <w:sz w:val="22"/>
          <w:szCs w:val="22"/>
        </w:rPr>
        <w:t>.</w:t>
      </w:r>
    </w:p>
  </w:footnote>
  <w:footnote w:id="233">
    <w:p w14:paraId="30227EF6" w14:textId="1A34B0DC" w:rsidR="00102C18" w:rsidRPr="00047A9D" w:rsidRDefault="00102C1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C6AB7" w:rsidRPr="00047A9D">
        <w:rPr>
          <w:rFonts w:ascii="Times New Roman" w:hAnsi="Times New Roman" w:cs="Times New Roman"/>
          <w:sz w:val="22"/>
          <w:szCs w:val="22"/>
        </w:rPr>
        <w:t xml:space="preserve">Edward Short, quoted in </w:t>
      </w:r>
      <w:r w:rsidR="002B1A1C" w:rsidRPr="00047A9D">
        <w:rPr>
          <w:rFonts w:ascii="Times New Roman" w:hAnsi="Times New Roman" w:cs="Times New Roman"/>
          <w:sz w:val="22"/>
          <w:szCs w:val="22"/>
        </w:rPr>
        <w:t xml:space="preserve">Samuel, </w:t>
      </w:r>
      <w:r w:rsidR="002B1A1C" w:rsidRPr="00047A9D">
        <w:rPr>
          <w:rFonts w:ascii="Times New Roman" w:hAnsi="Times New Roman" w:cs="Times New Roman"/>
          <w:i/>
          <w:sz w:val="22"/>
          <w:szCs w:val="22"/>
        </w:rPr>
        <w:t>Island Stories</w:t>
      </w:r>
      <w:r w:rsidR="002B1A1C" w:rsidRPr="00047A9D">
        <w:rPr>
          <w:rFonts w:ascii="Times New Roman" w:hAnsi="Times New Roman" w:cs="Times New Roman"/>
          <w:sz w:val="22"/>
          <w:szCs w:val="22"/>
        </w:rPr>
        <w:t>, p</w:t>
      </w:r>
      <w:r w:rsidR="002C6AB7" w:rsidRPr="00047A9D">
        <w:rPr>
          <w:rFonts w:ascii="Times New Roman" w:hAnsi="Times New Roman" w:cs="Times New Roman"/>
          <w:sz w:val="22"/>
          <w:szCs w:val="22"/>
        </w:rPr>
        <w:t>.215</w:t>
      </w:r>
      <w:r w:rsidR="002B1A1C" w:rsidRPr="00047A9D">
        <w:rPr>
          <w:rFonts w:ascii="Times New Roman" w:hAnsi="Times New Roman" w:cs="Times New Roman"/>
          <w:sz w:val="22"/>
          <w:szCs w:val="22"/>
        </w:rPr>
        <w:t>.</w:t>
      </w:r>
    </w:p>
  </w:footnote>
  <w:footnote w:id="234">
    <w:p w14:paraId="44AA89DB" w14:textId="4D34F294" w:rsidR="00882286" w:rsidRPr="00047A9D" w:rsidRDefault="0088228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George F. Riseborough, </w:t>
      </w:r>
      <w:r w:rsidR="0092318D" w:rsidRPr="00047A9D">
        <w:rPr>
          <w:rFonts w:ascii="Times New Roman" w:hAnsi="Times New Roman" w:cs="Times New Roman"/>
          <w:sz w:val="22"/>
          <w:szCs w:val="22"/>
        </w:rPr>
        <w:t>‘Teacher Careers and Comprehensive Schooling: An Empirical Study’</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Sociology</w:t>
      </w:r>
      <w:r w:rsidR="0092318D" w:rsidRPr="00047A9D">
        <w:rPr>
          <w:rFonts w:ascii="Times New Roman" w:hAnsi="Times New Roman" w:cs="Times New Roman"/>
          <w:sz w:val="22"/>
          <w:szCs w:val="22"/>
        </w:rPr>
        <w:t xml:space="preserve"> </w:t>
      </w:r>
      <w:r w:rsidRPr="00047A9D">
        <w:rPr>
          <w:rFonts w:ascii="Times New Roman" w:hAnsi="Times New Roman" w:cs="Times New Roman"/>
          <w:sz w:val="22"/>
          <w:szCs w:val="22"/>
        </w:rPr>
        <w:t>15. 3 (August 1981), 352-80</w:t>
      </w:r>
      <w:r w:rsidR="0092318D" w:rsidRPr="00047A9D">
        <w:rPr>
          <w:rFonts w:ascii="Times New Roman" w:hAnsi="Times New Roman" w:cs="Times New Roman"/>
          <w:sz w:val="22"/>
          <w:szCs w:val="22"/>
        </w:rPr>
        <w:t>.</w:t>
      </w:r>
    </w:p>
  </w:footnote>
  <w:footnote w:id="235">
    <w:p w14:paraId="2AC244FF" w14:textId="55CB4014" w:rsidR="003D3698" w:rsidRPr="00047A9D" w:rsidRDefault="003D369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416EC" w:rsidRPr="00047A9D">
        <w:rPr>
          <w:rFonts w:ascii="Times New Roman" w:hAnsi="Times New Roman" w:cs="Times New Roman"/>
          <w:sz w:val="22"/>
          <w:szCs w:val="22"/>
        </w:rPr>
        <w:t xml:space="preserve">C.B. Cox and </w:t>
      </w:r>
      <w:r w:rsidR="00920BCB" w:rsidRPr="00047A9D">
        <w:rPr>
          <w:rFonts w:ascii="Times New Roman" w:hAnsi="Times New Roman" w:cs="Times New Roman"/>
          <w:sz w:val="22"/>
          <w:szCs w:val="22"/>
        </w:rPr>
        <w:t>A.E. Dyson</w:t>
      </w:r>
      <w:r w:rsidR="00712CCC" w:rsidRPr="00047A9D">
        <w:rPr>
          <w:rFonts w:ascii="Times New Roman" w:hAnsi="Times New Roman" w:cs="Times New Roman"/>
          <w:sz w:val="22"/>
          <w:szCs w:val="22"/>
        </w:rPr>
        <w:t xml:space="preserve"> (eds)</w:t>
      </w:r>
      <w:r w:rsidR="00920BCB" w:rsidRPr="00047A9D">
        <w:rPr>
          <w:rFonts w:ascii="Times New Roman" w:hAnsi="Times New Roman" w:cs="Times New Roman"/>
          <w:sz w:val="22"/>
          <w:szCs w:val="22"/>
        </w:rPr>
        <w:t xml:space="preserve">, </w:t>
      </w:r>
      <w:r w:rsidR="00F92E86" w:rsidRPr="00047A9D">
        <w:rPr>
          <w:rFonts w:ascii="Times New Roman" w:hAnsi="Times New Roman" w:cs="Times New Roman"/>
          <w:i/>
          <w:sz w:val="22"/>
          <w:szCs w:val="22"/>
        </w:rPr>
        <w:t>The Black Papers on Education</w:t>
      </w:r>
      <w:r w:rsidR="00F92E86" w:rsidRPr="00047A9D">
        <w:rPr>
          <w:rFonts w:ascii="Times New Roman" w:hAnsi="Times New Roman" w:cs="Times New Roman"/>
          <w:sz w:val="22"/>
          <w:szCs w:val="22"/>
        </w:rPr>
        <w:t xml:space="preserve"> (London: Davis-Poynter, 1971)</w:t>
      </w:r>
      <w:r w:rsidR="00920BCB" w:rsidRPr="00047A9D">
        <w:rPr>
          <w:rFonts w:ascii="Times New Roman" w:hAnsi="Times New Roman" w:cs="Times New Roman"/>
          <w:sz w:val="22"/>
          <w:szCs w:val="22"/>
        </w:rPr>
        <w:t>.</w:t>
      </w:r>
    </w:p>
  </w:footnote>
  <w:footnote w:id="236">
    <w:p w14:paraId="5490E23A" w14:textId="7DA4A4BD" w:rsidR="0083297B" w:rsidRPr="00047A9D" w:rsidRDefault="0083297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32F08" w:rsidRPr="00047A9D">
        <w:rPr>
          <w:rFonts w:ascii="Times New Roman" w:hAnsi="Times New Roman" w:cs="Times New Roman"/>
          <w:sz w:val="22"/>
          <w:szCs w:val="22"/>
        </w:rPr>
        <w:t xml:space="preserve">Rhodes Boyson, ‘A Time for Realism’, </w:t>
      </w:r>
      <w:r w:rsidR="00B32F08" w:rsidRPr="00047A9D">
        <w:rPr>
          <w:rFonts w:ascii="Times New Roman" w:hAnsi="Times New Roman" w:cs="Times New Roman"/>
          <w:i/>
          <w:sz w:val="22"/>
          <w:szCs w:val="22"/>
        </w:rPr>
        <w:t>The Spectator</w:t>
      </w:r>
      <w:r w:rsidR="00B32F08" w:rsidRPr="00047A9D">
        <w:rPr>
          <w:rFonts w:ascii="Times New Roman" w:hAnsi="Times New Roman" w:cs="Times New Roman"/>
          <w:sz w:val="22"/>
          <w:szCs w:val="22"/>
        </w:rPr>
        <w:t xml:space="preserve">, 29 November 1969, p.8; </w:t>
      </w:r>
      <w:r w:rsidR="00335F91" w:rsidRPr="00047A9D">
        <w:rPr>
          <w:rFonts w:ascii="Times New Roman" w:hAnsi="Times New Roman" w:cs="Times New Roman"/>
          <w:sz w:val="22"/>
          <w:szCs w:val="22"/>
        </w:rPr>
        <w:t>M</w:t>
      </w:r>
      <w:r w:rsidR="004B2263" w:rsidRPr="00047A9D">
        <w:rPr>
          <w:rFonts w:ascii="Times New Roman" w:hAnsi="Times New Roman" w:cs="Times New Roman"/>
          <w:sz w:val="22"/>
          <w:szCs w:val="22"/>
        </w:rPr>
        <w:t>ike</w:t>
      </w:r>
      <w:r w:rsidR="00335F91" w:rsidRPr="00047A9D">
        <w:rPr>
          <w:rFonts w:ascii="Times New Roman" w:hAnsi="Times New Roman" w:cs="Times New Roman"/>
          <w:sz w:val="22"/>
          <w:szCs w:val="22"/>
        </w:rPr>
        <w:t xml:space="preserve"> Ironside </w:t>
      </w:r>
      <w:r w:rsidR="004B2263" w:rsidRPr="00047A9D">
        <w:rPr>
          <w:rFonts w:ascii="Times New Roman" w:hAnsi="Times New Roman" w:cs="Times New Roman"/>
          <w:sz w:val="22"/>
          <w:szCs w:val="22"/>
        </w:rPr>
        <w:t>and</w:t>
      </w:r>
      <w:r w:rsidR="00335F91" w:rsidRPr="00047A9D">
        <w:rPr>
          <w:rFonts w:ascii="Times New Roman" w:hAnsi="Times New Roman" w:cs="Times New Roman"/>
          <w:sz w:val="22"/>
          <w:szCs w:val="22"/>
        </w:rPr>
        <w:t xml:space="preserve"> R</w:t>
      </w:r>
      <w:r w:rsidR="004B2263" w:rsidRPr="00047A9D">
        <w:rPr>
          <w:rFonts w:ascii="Times New Roman" w:hAnsi="Times New Roman" w:cs="Times New Roman"/>
          <w:sz w:val="22"/>
          <w:szCs w:val="22"/>
        </w:rPr>
        <w:t>oger</w:t>
      </w:r>
      <w:r w:rsidR="00335F91" w:rsidRPr="00047A9D">
        <w:rPr>
          <w:rFonts w:ascii="Times New Roman" w:hAnsi="Times New Roman" w:cs="Times New Roman"/>
          <w:sz w:val="22"/>
          <w:szCs w:val="22"/>
        </w:rPr>
        <w:t xml:space="preserve"> Seifert, </w:t>
      </w:r>
      <w:r w:rsidR="00885C29" w:rsidRPr="00047A9D">
        <w:rPr>
          <w:rFonts w:ascii="Times New Roman" w:hAnsi="Times New Roman" w:cs="Times New Roman"/>
          <w:i/>
          <w:sz w:val="22"/>
          <w:szCs w:val="22"/>
        </w:rPr>
        <w:t>Industrial Relations in Schools</w:t>
      </w:r>
      <w:r w:rsidR="00885C29" w:rsidRPr="00047A9D">
        <w:rPr>
          <w:rFonts w:ascii="Times New Roman" w:hAnsi="Times New Roman" w:cs="Times New Roman"/>
          <w:sz w:val="22"/>
          <w:szCs w:val="22"/>
        </w:rPr>
        <w:t xml:space="preserve"> </w:t>
      </w:r>
      <w:r w:rsidR="00335F91" w:rsidRPr="00047A9D">
        <w:rPr>
          <w:rFonts w:ascii="Times New Roman" w:hAnsi="Times New Roman" w:cs="Times New Roman"/>
          <w:sz w:val="22"/>
          <w:szCs w:val="22"/>
        </w:rPr>
        <w:t>(Abingdon: Routledge, 2017), p.34</w:t>
      </w:r>
      <w:r w:rsidRPr="00047A9D">
        <w:rPr>
          <w:rFonts w:ascii="Times New Roman" w:hAnsi="Times New Roman" w:cs="Times New Roman"/>
          <w:sz w:val="22"/>
          <w:szCs w:val="22"/>
        </w:rPr>
        <w:t xml:space="preserve">; </w:t>
      </w:r>
      <w:r w:rsidR="00222C68" w:rsidRPr="00047A9D">
        <w:rPr>
          <w:rFonts w:ascii="Times New Roman" w:hAnsi="Times New Roman" w:cs="Times New Roman"/>
          <w:sz w:val="22"/>
          <w:szCs w:val="22"/>
        </w:rPr>
        <w:t>Laura Tisdall, ‘</w:t>
      </w:r>
      <w:r w:rsidR="00D10EA1" w:rsidRPr="00047A9D">
        <w:rPr>
          <w:rFonts w:ascii="Times New Roman" w:hAnsi="Times New Roman" w:cs="Times New Roman"/>
          <w:sz w:val="22"/>
          <w:szCs w:val="22"/>
        </w:rPr>
        <w:t>Inside the Blackboard Jungle: Male Teachers and Male Pupils at English Secondary Modern Schools in Fact and Fiction, 1950 to 1959’</w:t>
      </w:r>
      <w:r w:rsidR="00222C68" w:rsidRPr="00047A9D">
        <w:rPr>
          <w:rFonts w:ascii="Times New Roman" w:hAnsi="Times New Roman" w:cs="Times New Roman"/>
          <w:sz w:val="22"/>
          <w:szCs w:val="22"/>
        </w:rPr>
        <w:t xml:space="preserve">, </w:t>
      </w:r>
      <w:r w:rsidR="00222C68" w:rsidRPr="00047A9D">
        <w:rPr>
          <w:rFonts w:ascii="Times New Roman" w:hAnsi="Times New Roman" w:cs="Times New Roman"/>
          <w:i/>
          <w:sz w:val="22"/>
          <w:szCs w:val="22"/>
        </w:rPr>
        <w:t>Cultural and Social History</w:t>
      </w:r>
      <w:r w:rsidR="00B47797" w:rsidRPr="00047A9D">
        <w:rPr>
          <w:rFonts w:ascii="Times New Roman" w:hAnsi="Times New Roman" w:cs="Times New Roman"/>
          <w:sz w:val="22"/>
          <w:szCs w:val="22"/>
        </w:rPr>
        <w:t xml:space="preserve"> </w:t>
      </w:r>
      <w:r w:rsidR="00222C68" w:rsidRPr="00047A9D">
        <w:rPr>
          <w:rFonts w:ascii="Times New Roman" w:hAnsi="Times New Roman" w:cs="Times New Roman"/>
          <w:sz w:val="22"/>
          <w:szCs w:val="22"/>
        </w:rPr>
        <w:t>12</w:t>
      </w:r>
      <w:r w:rsidR="00D10EA1" w:rsidRPr="00047A9D">
        <w:rPr>
          <w:rFonts w:ascii="Times New Roman" w:hAnsi="Times New Roman" w:cs="Times New Roman"/>
          <w:sz w:val="22"/>
          <w:szCs w:val="22"/>
        </w:rPr>
        <w:t>.</w:t>
      </w:r>
      <w:r w:rsidR="00222C68" w:rsidRPr="00047A9D">
        <w:rPr>
          <w:rFonts w:ascii="Times New Roman" w:hAnsi="Times New Roman" w:cs="Times New Roman"/>
          <w:sz w:val="22"/>
          <w:szCs w:val="22"/>
        </w:rPr>
        <w:t>4 (2015), 489-507</w:t>
      </w:r>
      <w:r w:rsidRPr="00047A9D">
        <w:rPr>
          <w:rFonts w:ascii="Times New Roman" w:hAnsi="Times New Roman" w:cs="Times New Roman"/>
          <w:sz w:val="22"/>
          <w:szCs w:val="22"/>
        </w:rPr>
        <w:t>, p.491.</w:t>
      </w:r>
    </w:p>
  </w:footnote>
  <w:footnote w:id="237">
    <w:p w14:paraId="1BA21255" w14:textId="74B27B40" w:rsidR="00F507C9" w:rsidRPr="00047A9D" w:rsidRDefault="00F507C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25E1B" w:rsidRPr="00047A9D">
        <w:rPr>
          <w:rFonts w:ascii="Times New Roman" w:hAnsi="Times New Roman" w:cs="Times New Roman"/>
          <w:sz w:val="22"/>
          <w:szCs w:val="22"/>
        </w:rPr>
        <w:t xml:space="preserve">Laura Tisdall, ‘Education, Parenting and Concepts of Childhood in England, c.1945 to c.1979’, </w:t>
      </w:r>
      <w:r w:rsidR="00725E1B" w:rsidRPr="00047A9D">
        <w:rPr>
          <w:rFonts w:ascii="Times New Roman" w:hAnsi="Times New Roman" w:cs="Times New Roman"/>
          <w:i/>
          <w:sz w:val="22"/>
          <w:szCs w:val="22"/>
        </w:rPr>
        <w:t>Contemporary British History</w:t>
      </w:r>
      <w:r w:rsidR="00B47797" w:rsidRPr="00047A9D">
        <w:rPr>
          <w:rFonts w:ascii="Times New Roman" w:hAnsi="Times New Roman" w:cs="Times New Roman"/>
          <w:sz w:val="22"/>
          <w:szCs w:val="22"/>
        </w:rPr>
        <w:t xml:space="preserve"> </w:t>
      </w:r>
      <w:r w:rsidR="00725E1B" w:rsidRPr="00047A9D">
        <w:rPr>
          <w:rFonts w:ascii="Times New Roman" w:hAnsi="Times New Roman" w:cs="Times New Roman"/>
          <w:sz w:val="22"/>
          <w:szCs w:val="22"/>
        </w:rPr>
        <w:t>31.1 (2017), 24-46.</w:t>
      </w:r>
    </w:p>
  </w:footnote>
  <w:footnote w:id="238">
    <w:p w14:paraId="7B499629" w14:textId="347B2921" w:rsidR="00B833E5" w:rsidRPr="00047A9D" w:rsidRDefault="00B833E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C6F14" w:rsidRPr="00047A9D">
        <w:rPr>
          <w:rFonts w:ascii="Times New Roman" w:hAnsi="Times New Roman" w:cs="Times New Roman"/>
          <w:sz w:val="22"/>
          <w:szCs w:val="22"/>
        </w:rPr>
        <w:t xml:space="preserve">Roma Morton-Williams and Stewart Finch, </w:t>
      </w:r>
      <w:r w:rsidR="000C6F14" w:rsidRPr="00047A9D">
        <w:rPr>
          <w:rFonts w:ascii="Times New Roman" w:hAnsi="Times New Roman" w:cs="Times New Roman"/>
          <w:i/>
          <w:sz w:val="22"/>
          <w:szCs w:val="22"/>
        </w:rPr>
        <w:t>Young School Leavers: Report of a Survey Among Young People, Parents and Teachers</w:t>
      </w:r>
      <w:r w:rsidR="000C6F14" w:rsidRPr="00047A9D">
        <w:rPr>
          <w:rFonts w:ascii="Times New Roman" w:hAnsi="Times New Roman" w:cs="Times New Roman"/>
          <w:sz w:val="22"/>
          <w:szCs w:val="22"/>
        </w:rPr>
        <w:t xml:space="preserve">, Schools Council Enquiry 1 (London: </w:t>
      </w:r>
      <w:r w:rsidR="004D702E" w:rsidRPr="00047A9D">
        <w:rPr>
          <w:rFonts w:ascii="Times New Roman" w:hAnsi="Times New Roman" w:cs="Times New Roman"/>
          <w:sz w:val="22"/>
          <w:szCs w:val="22"/>
        </w:rPr>
        <w:t>HMSO</w:t>
      </w:r>
      <w:r w:rsidR="000C6F14" w:rsidRPr="00047A9D">
        <w:rPr>
          <w:rFonts w:ascii="Times New Roman" w:hAnsi="Times New Roman" w:cs="Times New Roman"/>
          <w:sz w:val="22"/>
          <w:szCs w:val="22"/>
        </w:rPr>
        <w:t xml:space="preserve">, 1968), </w:t>
      </w:r>
      <w:r w:rsidR="00B32F08" w:rsidRPr="00047A9D">
        <w:rPr>
          <w:rFonts w:ascii="Times New Roman" w:hAnsi="Times New Roman" w:cs="Times New Roman"/>
          <w:sz w:val="22"/>
          <w:szCs w:val="22"/>
        </w:rPr>
        <w:t>p</w:t>
      </w:r>
      <w:r w:rsidR="000C6F14" w:rsidRPr="00047A9D">
        <w:rPr>
          <w:rFonts w:ascii="Times New Roman" w:hAnsi="Times New Roman" w:cs="Times New Roman"/>
          <w:sz w:val="22"/>
          <w:szCs w:val="22"/>
        </w:rPr>
        <w:t>p</w:t>
      </w:r>
      <w:r w:rsidR="00385552" w:rsidRPr="00047A9D">
        <w:rPr>
          <w:rFonts w:ascii="Times New Roman" w:hAnsi="Times New Roman" w:cs="Times New Roman"/>
          <w:sz w:val="22"/>
          <w:szCs w:val="22"/>
        </w:rPr>
        <w:t>.59</w:t>
      </w:r>
      <w:r w:rsidR="00B32F08" w:rsidRPr="00047A9D">
        <w:rPr>
          <w:rFonts w:ascii="Times New Roman" w:hAnsi="Times New Roman" w:cs="Times New Roman"/>
          <w:sz w:val="22"/>
          <w:szCs w:val="22"/>
        </w:rPr>
        <w:t>, 63.</w:t>
      </w:r>
    </w:p>
  </w:footnote>
  <w:footnote w:id="239">
    <w:p w14:paraId="4E69F090" w14:textId="77777777" w:rsidR="00702181" w:rsidRPr="00047A9D" w:rsidRDefault="0070218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Mary Price, ‘History in Danger’, </w:t>
      </w:r>
      <w:r w:rsidRPr="00047A9D">
        <w:rPr>
          <w:rFonts w:ascii="Times New Roman" w:hAnsi="Times New Roman" w:cs="Times New Roman"/>
          <w:i/>
          <w:sz w:val="22"/>
          <w:szCs w:val="22"/>
        </w:rPr>
        <w:t>History</w:t>
      </w:r>
      <w:r w:rsidRPr="00047A9D">
        <w:rPr>
          <w:rFonts w:ascii="Times New Roman" w:hAnsi="Times New Roman" w:cs="Times New Roman"/>
          <w:sz w:val="22"/>
          <w:szCs w:val="22"/>
        </w:rPr>
        <w:t xml:space="preserve"> 53 (1968), 342-47, p.342.</w:t>
      </w:r>
    </w:p>
  </w:footnote>
  <w:footnote w:id="240">
    <w:p w14:paraId="1B7B6E07" w14:textId="7025330E" w:rsidR="007F3EC9" w:rsidRPr="00047A9D" w:rsidRDefault="007F3EC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Phillips, </w:t>
      </w:r>
      <w:r w:rsidRPr="00047A9D">
        <w:rPr>
          <w:rFonts w:ascii="Times New Roman" w:hAnsi="Times New Roman" w:cs="Times New Roman"/>
          <w:i/>
          <w:sz w:val="22"/>
          <w:szCs w:val="22"/>
        </w:rPr>
        <w:t>History Teaching</w:t>
      </w:r>
      <w:r w:rsidR="00D500FD"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p.40.</w:t>
      </w:r>
    </w:p>
  </w:footnote>
  <w:footnote w:id="241">
    <w:p w14:paraId="31B7900E" w14:textId="6A647644" w:rsidR="00107FF0" w:rsidRPr="00047A9D" w:rsidRDefault="00107FF0" w:rsidP="00D839D4">
      <w:pPr>
        <w:pStyle w:val="FootnoteText"/>
        <w:spacing w:line="360" w:lineRule="auto"/>
        <w:rPr>
          <w:rFonts w:ascii="Times New Roman" w:hAnsi="Times New Roman" w:cs="Times New Roman"/>
          <w:sz w:val="22"/>
          <w:szCs w:val="22"/>
          <w:highlight w:val="yellow"/>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00141" w:rsidRPr="00047A9D">
        <w:rPr>
          <w:rFonts w:ascii="Times New Roman" w:hAnsi="Times New Roman" w:cs="Times New Roman"/>
          <w:sz w:val="22"/>
          <w:szCs w:val="22"/>
        </w:rPr>
        <w:t>Price, ‘History in Danger’</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p.347.</w:t>
      </w:r>
    </w:p>
  </w:footnote>
  <w:footnote w:id="242">
    <w:p w14:paraId="64408A2E" w14:textId="2688A330" w:rsidR="002B394F" w:rsidRPr="00047A9D" w:rsidRDefault="002B394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31D60" w:rsidRPr="00047A9D">
        <w:rPr>
          <w:rFonts w:ascii="Times New Roman" w:hAnsi="Times New Roman" w:cs="Times New Roman"/>
          <w:sz w:val="22"/>
          <w:szCs w:val="22"/>
        </w:rPr>
        <w:t xml:space="preserve">Morton-Williams and Finch, </w:t>
      </w:r>
      <w:r w:rsidR="00531D60" w:rsidRPr="00047A9D">
        <w:rPr>
          <w:rFonts w:ascii="Times New Roman" w:hAnsi="Times New Roman" w:cs="Times New Roman"/>
          <w:i/>
          <w:sz w:val="22"/>
          <w:szCs w:val="22"/>
        </w:rPr>
        <w:t>Young School Leavers</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pp.66-67.</w:t>
      </w:r>
    </w:p>
  </w:footnote>
  <w:footnote w:id="243">
    <w:p w14:paraId="1B01FD1A" w14:textId="77777777" w:rsidR="002B394F" w:rsidRPr="00047A9D" w:rsidRDefault="002B394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Price, ‘History in Danger’, p.342.</w:t>
      </w:r>
    </w:p>
  </w:footnote>
  <w:footnote w:id="244">
    <w:p w14:paraId="6A3413BD" w14:textId="2D666E80" w:rsidR="00143B55" w:rsidRPr="00047A9D" w:rsidRDefault="00143B5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450D4" w:rsidRPr="00047A9D">
        <w:rPr>
          <w:rFonts w:ascii="Times New Roman" w:hAnsi="Times New Roman" w:cs="Times New Roman"/>
          <w:sz w:val="22"/>
          <w:szCs w:val="22"/>
        </w:rPr>
        <w:t>Ronald Hyam, </w:t>
      </w:r>
      <w:r w:rsidR="00F450D4" w:rsidRPr="00047A9D">
        <w:rPr>
          <w:rFonts w:ascii="Times New Roman" w:hAnsi="Times New Roman" w:cs="Times New Roman"/>
          <w:i/>
          <w:sz w:val="22"/>
          <w:szCs w:val="22"/>
        </w:rPr>
        <w:t>Britain’s Declining Empire: The Road to Decolonisation, 1918-1968</w:t>
      </w:r>
      <w:r w:rsidR="00F450D4" w:rsidRPr="00047A9D">
        <w:rPr>
          <w:rFonts w:ascii="Times New Roman" w:hAnsi="Times New Roman" w:cs="Times New Roman"/>
          <w:sz w:val="22"/>
          <w:szCs w:val="22"/>
        </w:rPr>
        <w:t xml:space="preserve"> (Cambridge: </w:t>
      </w:r>
      <w:r w:rsidR="000A4B6D" w:rsidRPr="00047A9D">
        <w:rPr>
          <w:rFonts w:ascii="Times New Roman" w:hAnsi="Times New Roman" w:cs="Times New Roman"/>
          <w:sz w:val="22"/>
          <w:szCs w:val="22"/>
        </w:rPr>
        <w:t>CUP</w:t>
      </w:r>
      <w:r w:rsidR="00F450D4" w:rsidRPr="00047A9D">
        <w:rPr>
          <w:rFonts w:ascii="Times New Roman" w:hAnsi="Times New Roman" w:cs="Times New Roman"/>
          <w:sz w:val="22"/>
          <w:szCs w:val="22"/>
        </w:rPr>
        <w:t xml:space="preserve">, 2006); </w:t>
      </w:r>
      <w:r w:rsidRPr="00047A9D">
        <w:rPr>
          <w:rFonts w:ascii="Times New Roman" w:hAnsi="Times New Roman" w:cs="Times New Roman"/>
          <w:sz w:val="22"/>
          <w:szCs w:val="22"/>
        </w:rPr>
        <w:t>Guillaume Parmentier, ‘The British Press in the Suez Crisis’, </w:t>
      </w:r>
      <w:r w:rsidRPr="00047A9D">
        <w:rPr>
          <w:rFonts w:ascii="Times New Roman" w:hAnsi="Times New Roman" w:cs="Times New Roman"/>
          <w:i/>
          <w:sz w:val="22"/>
          <w:szCs w:val="22"/>
        </w:rPr>
        <w:t>The Historical Journal</w:t>
      </w:r>
      <w:r w:rsidRPr="00047A9D">
        <w:rPr>
          <w:rFonts w:ascii="Times New Roman" w:hAnsi="Times New Roman" w:cs="Times New Roman"/>
          <w:sz w:val="22"/>
          <w:szCs w:val="22"/>
        </w:rPr>
        <w:t xml:space="preserve"> 23.2 (1980), 435-448; G.C. Peden, ‘Suez and Britain’s Decline as a World Power’, </w:t>
      </w:r>
      <w:r w:rsidRPr="00047A9D">
        <w:rPr>
          <w:rFonts w:ascii="Times New Roman" w:hAnsi="Times New Roman" w:cs="Times New Roman"/>
          <w:i/>
          <w:sz w:val="22"/>
          <w:szCs w:val="22"/>
        </w:rPr>
        <w:t>The Historical Journal</w:t>
      </w:r>
      <w:r w:rsidRPr="00047A9D">
        <w:rPr>
          <w:rFonts w:ascii="Times New Roman" w:hAnsi="Times New Roman" w:cs="Times New Roman"/>
          <w:sz w:val="22"/>
          <w:szCs w:val="22"/>
        </w:rPr>
        <w:t> 55.4 (2012), 1073–96.</w:t>
      </w:r>
    </w:p>
  </w:footnote>
  <w:footnote w:id="245">
    <w:p w14:paraId="2A633893" w14:textId="05809CFA" w:rsidR="00D56DD2" w:rsidRPr="00047A9D" w:rsidRDefault="00D56DD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Geoffrey Barraclough, </w:t>
      </w:r>
      <w:r w:rsidRPr="00047A9D">
        <w:rPr>
          <w:rFonts w:ascii="Times New Roman" w:hAnsi="Times New Roman" w:cs="Times New Roman"/>
          <w:i/>
          <w:sz w:val="22"/>
          <w:szCs w:val="22"/>
        </w:rPr>
        <w:t xml:space="preserve">History and the Common Man </w:t>
      </w:r>
      <w:r w:rsidRPr="00047A9D">
        <w:rPr>
          <w:rFonts w:ascii="Times New Roman" w:hAnsi="Times New Roman" w:cs="Times New Roman"/>
          <w:sz w:val="22"/>
          <w:szCs w:val="22"/>
        </w:rPr>
        <w:t xml:space="preserve">(London: </w:t>
      </w:r>
      <w:r w:rsidR="00A92225" w:rsidRPr="00047A9D">
        <w:rPr>
          <w:rFonts w:ascii="Times New Roman" w:hAnsi="Times New Roman" w:cs="Times New Roman"/>
          <w:sz w:val="22"/>
          <w:szCs w:val="22"/>
        </w:rPr>
        <w:t>HA</w:t>
      </w:r>
      <w:r w:rsidRPr="00047A9D">
        <w:rPr>
          <w:rFonts w:ascii="Times New Roman" w:hAnsi="Times New Roman" w:cs="Times New Roman"/>
          <w:sz w:val="22"/>
          <w:szCs w:val="22"/>
        </w:rPr>
        <w:t>, 1967), pp.8, 13-14.</w:t>
      </w:r>
    </w:p>
  </w:footnote>
  <w:footnote w:id="246">
    <w:p w14:paraId="518E49B5" w14:textId="436F18B7" w:rsidR="000B7519" w:rsidRPr="00047A9D" w:rsidRDefault="000B751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36D37" w:rsidRPr="00047A9D">
        <w:rPr>
          <w:rFonts w:ascii="Times New Roman" w:hAnsi="Times New Roman" w:cs="Times New Roman"/>
          <w:sz w:val="22"/>
          <w:szCs w:val="22"/>
        </w:rPr>
        <w:t xml:space="preserve">Denis Shemilt, </w:t>
      </w:r>
      <w:r w:rsidR="00136D37" w:rsidRPr="00047A9D">
        <w:rPr>
          <w:rFonts w:ascii="Times New Roman" w:hAnsi="Times New Roman" w:cs="Times New Roman"/>
          <w:i/>
          <w:sz w:val="22"/>
          <w:szCs w:val="22"/>
        </w:rPr>
        <w:t>History 13-16: Evaluation Study</w:t>
      </w:r>
      <w:r w:rsidR="00136D37" w:rsidRPr="00047A9D">
        <w:rPr>
          <w:rFonts w:ascii="Times New Roman" w:hAnsi="Times New Roman" w:cs="Times New Roman"/>
          <w:sz w:val="22"/>
          <w:szCs w:val="22"/>
        </w:rPr>
        <w:t xml:space="preserve"> (Glasgow: Holmes McDougall, 1980), p.2.</w:t>
      </w:r>
    </w:p>
  </w:footnote>
  <w:footnote w:id="247">
    <w:p w14:paraId="0C130983" w14:textId="3B45ADD5" w:rsidR="00BA6BCD" w:rsidRPr="00047A9D" w:rsidRDefault="00BA6BC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13F39" w:rsidRPr="00047A9D">
        <w:rPr>
          <w:rFonts w:ascii="Times New Roman" w:hAnsi="Times New Roman" w:cs="Times New Roman"/>
          <w:sz w:val="22"/>
          <w:szCs w:val="22"/>
        </w:rPr>
        <w:t>Transcript of interview with David Sylvester, p.</w:t>
      </w:r>
      <w:r w:rsidR="00B10009" w:rsidRPr="00047A9D">
        <w:rPr>
          <w:rFonts w:ascii="Times New Roman" w:hAnsi="Times New Roman" w:cs="Times New Roman"/>
          <w:sz w:val="22"/>
          <w:szCs w:val="22"/>
        </w:rPr>
        <w:t>6</w:t>
      </w:r>
      <w:r w:rsidR="00513F39" w:rsidRPr="00047A9D">
        <w:rPr>
          <w:rFonts w:ascii="Times New Roman" w:hAnsi="Times New Roman" w:cs="Times New Roman"/>
          <w:sz w:val="22"/>
          <w:szCs w:val="22"/>
        </w:rPr>
        <w:t xml:space="preserve">. Interviewed by Nicola Sheldon, </w:t>
      </w:r>
      <w:r w:rsidR="00B10009" w:rsidRPr="00047A9D">
        <w:rPr>
          <w:rFonts w:ascii="Times New Roman" w:hAnsi="Times New Roman" w:cs="Times New Roman"/>
          <w:sz w:val="22"/>
          <w:szCs w:val="22"/>
        </w:rPr>
        <w:t xml:space="preserve">7 July </w:t>
      </w:r>
      <w:r w:rsidR="00513F39" w:rsidRPr="00047A9D">
        <w:rPr>
          <w:rFonts w:ascii="Times New Roman" w:hAnsi="Times New Roman" w:cs="Times New Roman"/>
          <w:sz w:val="22"/>
          <w:szCs w:val="22"/>
        </w:rPr>
        <w:t>2009. Transcribed by Susan Nicholls. Institute of Historical Research: History in Education Project (IHR: HiEP)</w:t>
      </w:r>
      <w:r w:rsidR="00376034" w:rsidRPr="00047A9D">
        <w:rPr>
          <w:rFonts w:ascii="Times New Roman" w:hAnsi="Times New Roman" w:cs="Times New Roman"/>
          <w:sz w:val="22"/>
          <w:szCs w:val="22"/>
        </w:rPr>
        <w:t xml:space="preserve">. </w:t>
      </w:r>
      <w:r w:rsidR="00513F39" w:rsidRPr="00047A9D">
        <w:rPr>
          <w:rFonts w:ascii="Times New Roman" w:hAnsi="Times New Roman" w:cs="Times New Roman"/>
          <w:sz w:val="22"/>
          <w:szCs w:val="22"/>
        </w:rPr>
        <w:t>&lt;</w:t>
      </w:r>
      <w:r w:rsidR="00CC285D" w:rsidRPr="00047A9D">
        <w:rPr>
          <w:rFonts w:ascii="Times New Roman" w:hAnsi="Times New Roman" w:cs="Times New Roman"/>
          <w:sz w:val="22"/>
          <w:szCs w:val="22"/>
        </w:rPr>
        <w:t>https://archives.history.ac.uk/history-in-education/browse/interviews/interview-david-sylvester-7-july-2009.html</w:t>
      </w:r>
      <w:r w:rsidR="00FE570F" w:rsidRPr="00047A9D">
        <w:rPr>
          <w:rFonts w:ascii="Times New Roman" w:hAnsi="Times New Roman" w:cs="Times New Roman"/>
          <w:sz w:val="22"/>
          <w:szCs w:val="22"/>
        </w:rPr>
        <w:t>&gt; [last accessed 12 January 2025]</w:t>
      </w:r>
      <w:r w:rsidR="00513F39" w:rsidRPr="00047A9D">
        <w:rPr>
          <w:rFonts w:ascii="Times New Roman" w:hAnsi="Times New Roman" w:cs="Times New Roman"/>
          <w:sz w:val="22"/>
          <w:szCs w:val="22"/>
        </w:rPr>
        <w:t>.</w:t>
      </w:r>
    </w:p>
  </w:footnote>
  <w:footnote w:id="248">
    <w:p w14:paraId="297D491F" w14:textId="77777777" w:rsidR="00F155D6" w:rsidRPr="00047A9D" w:rsidRDefault="00F155D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Sylvester, ‘Change and Continuity’, in Bourdillon (ed.),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p.29.</w:t>
      </w:r>
    </w:p>
  </w:footnote>
  <w:footnote w:id="249">
    <w:p w14:paraId="2259328D" w14:textId="516F0ACE" w:rsidR="00CD1B26" w:rsidRPr="00047A9D" w:rsidRDefault="00CD1B2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Cannadine, Keating, and Sheldon, </w:t>
      </w:r>
      <w:r w:rsidRPr="00047A9D">
        <w:rPr>
          <w:rFonts w:ascii="Times New Roman" w:hAnsi="Times New Roman" w:cs="Times New Roman"/>
          <w:i/>
          <w:sz w:val="22"/>
          <w:szCs w:val="22"/>
        </w:rPr>
        <w:t xml:space="preserve">The Right Kind of </w:t>
      </w:r>
      <w:r w:rsidRPr="00047A9D">
        <w:rPr>
          <w:rFonts w:ascii="Times New Roman" w:hAnsi="Times New Roman" w:cs="Times New Roman"/>
          <w:sz w:val="22"/>
          <w:szCs w:val="22"/>
        </w:rPr>
        <w:t>History</w:t>
      </w:r>
      <w:r w:rsidR="00EC1629" w:rsidRPr="00047A9D">
        <w:rPr>
          <w:rFonts w:ascii="Times New Roman" w:hAnsi="Times New Roman" w:cs="Times New Roman"/>
          <w:sz w:val="22"/>
          <w:szCs w:val="22"/>
        </w:rPr>
        <w:t>, pp.</w:t>
      </w:r>
      <w:r w:rsidRPr="00047A9D">
        <w:rPr>
          <w:rFonts w:ascii="Times New Roman" w:hAnsi="Times New Roman" w:cs="Times New Roman"/>
          <w:sz w:val="22"/>
          <w:szCs w:val="22"/>
        </w:rPr>
        <w:t>1</w:t>
      </w:r>
      <w:r w:rsidR="00EE498C" w:rsidRPr="00047A9D">
        <w:rPr>
          <w:rFonts w:ascii="Times New Roman" w:hAnsi="Times New Roman" w:cs="Times New Roman"/>
          <w:sz w:val="22"/>
          <w:szCs w:val="22"/>
        </w:rPr>
        <w:t>61.</w:t>
      </w:r>
    </w:p>
  </w:footnote>
  <w:footnote w:id="250">
    <w:p w14:paraId="466AEF6C" w14:textId="0BE48B72" w:rsidR="00F155D6" w:rsidRPr="00047A9D" w:rsidRDefault="00F155D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85298" w:rsidRPr="00047A9D">
        <w:rPr>
          <w:rFonts w:ascii="Times New Roman" w:hAnsi="Times New Roman" w:cs="Times New Roman"/>
          <w:sz w:val="22"/>
          <w:szCs w:val="22"/>
        </w:rPr>
        <w:t xml:space="preserve">Schools Council History 13-16 Project (SCHP), </w:t>
      </w:r>
      <w:r w:rsidR="00F85298" w:rsidRPr="00047A9D">
        <w:rPr>
          <w:rFonts w:ascii="Times New Roman" w:hAnsi="Times New Roman" w:cs="Times New Roman"/>
          <w:i/>
          <w:sz w:val="22"/>
          <w:szCs w:val="22"/>
        </w:rPr>
        <w:t>A New Look at History</w:t>
      </w:r>
      <w:r w:rsidR="00F85298" w:rsidRPr="00047A9D">
        <w:rPr>
          <w:rFonts w:ascii="Times New Roman" w:hAnsi="Times New Roman" w:cs="Times New Roman"/>
          <w:sz w:val="22"/>
          <w:szCs w:val="22"/>
        </w:rPr>
        <w:t xml:space="preserve"> (Edinburgh: Holmes McDougall, 1976)</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p.8; Nick Williams, ‘</w:t>
      </w:r>
      <w:r w:rsidR="009F1892" w:rsidRPr="00047A9D">
        <w:rPr>
          <w:rFonts w:ascii="Times New Roman" w:hAnsi="Times New Roman" w:cs="Times New Roman"/>
          <w:sz w:val="22"/>
          <w:szCs w:val="22"/>
        </w:rPr>
        <w:t xml:space="preserve">The Schools Council Project: History 13-16: The First Ten Years of Examination’, </w:t>
      </w:r>
      <w:r w:rsidR="009F1892" w:rsidRPr="00047A9D">
        <w:rPr>
          <w:rFonts w:ascii="Times New Roman" w:hAnsi="Times New Roman" w:cs="Times New Roman"/>
          <w:i/>
          <w:sz w:val="22"/>
          <w:szCs w:val="22"/>
        </w:rPr>
        <w:t>Teaching History</w:t>
      </w:r>
      <w:r w:rsidR="009F1892" w:rsidRPr="00047A9D">
        <w:rPr>
          <w:rFonts w:ascii="Times New Roman" w:hAnsi="Times New Roman" w:cs="Times New Roman"/>
          <w:sz w:val="22"/>
          <w:szCs w:val="22"/>
        </w:rPr>
        <w:t xml:space="preserve"> 46 (October 1986), 8-12,</w:t>
      </w:r>
      <w:r w:rsidRPr="00047A9D">
        <w:rPr>
          <w:rFonts w:ascii="Times New Roman" w:hAnsi="Times New Roman" w:cs="Times New Roman"/>
          <w:sz w:val="22"/>
          <w:szCs w:val="22"/>
        </w:rPr>
        <w:t xml:space="preserve"> p. 8.</w:t>
      </w:r>
    </w:p>
  </w:footnote>
  <w:footnote w:id="251">
    <w:p w14:paraId="55F63E41" w14:textId="4303AD07" w:rsidR="00217059" w:rsidRPr="00047A9D" w:rsidRDefault="0021705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91EC6" w:rsidRPr="00047A9D">
        <w:rPr>
          <w:rFonts w:ascii="Times New Roman" w:hAnsi="Times New Roman" w:cs="Times New Roman"/>
          <w:sz w:val="22"/>
          <w:szCs w:val="22"/>
        </w:rPr>
        <w:t xml:space="preserve">Shemilt, </w:t>
      </w:r>
      <w:r w:rsidR="00391EC6" w:rsidRPr="00047A9D">
        <w:rPr>
          <w:rFonts w:ascii="Times New Roman" w:hAnsi="Times New Roman" w:cs="Times New Roman"/>
          <w:i/>
          <w:sz w:val="22"/>
          <w:szCs w:val="22"/>
        </w:rPr>
        <w:t>History 13-16</w:t>
      </w:r>
      <w:r w:rsidR="00391EC6" w:rsidRPr="00047A9D">
        <w:rPr>
          <w:rFonts w:ascii="Times New Roman" w:hAnsi="Times New Roman" w:cs="Times New Roman"/>
          <w:sz w:val="22"/>
          <w:szCs w:val="22"/>
        </w:rPr>
        <w:t>, p</w:t>
      </w:r>
      <w:r w:rsidR="00D01A53" w:rsidRPr="00047A9D">
        <w:rPr>
          <w:rFonts w:ascii="Times New Roman" w:hAnsi="Times New Roman" w:cs="Times New Roman"/>
          <w:sz w:val="22"/>
          <w:szCs w:val="22"/>
        </w:rPr>
        <w:t>p</w:t>
      </w:r>
      <w:r w:rsidR="00391EC6" w:rsidRPr="00047A9D">
        <w:rPr>
          <w:rFonts w:ascii="Times New Roman" w:hAnsi="Times New Roman" w:cs="Times New Roman"/>
          <w:sz w:val="22"/>
          <w:szCs w:val="22"/>
        </w:rPr>
        <w:t>.</w:t>
      </w:r>
      <w:r w:rsidR="00D01A53" w:rsidRPr="00047A9D">
        <w:rPr>
          <w:rFonts w:ascii="Times New Roman" w:hAnsi="Times New Roman" w:cs="Times New Roman"/>
          <w:sz w:val="22"/>
          <w:szCs w:val="22"/>
        </w:rPr>
        <w:t>5-6.</w:t>
      </w:r>
    </w:p>
  </w:footnote>
  <w:footnote w:id="252">
    <w:p w14:paraId="4004B732" w14:textId="38EE38EF" w:rsidR="00513617" w:rsidRPr="00047A9D" w:rsidRDefault="0051361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7F5B03" w:rsidRPr="00047A9D">
        <w:rPr>
          <w:rFonts w:ascii="Times New Roman" w:hAnsi="Times New Roman" w:cs="Times New Roman"/>
          <w:sz w:val="22"/>
          <w:szCs w:val="22"/>
        </w:rPr>
        <w:t xml:space="preserve"> G</w:t>
      </w:r>
      <w:r w:rsidR="005D0C7A" w:rsidRPr="00047A9D">
        <w:rPr>
          <w:rFonts w:ascii="Times New Roman" w:hAnsi="Times New Roman" w:cs="Times New Roman"/>
          <w:sz w:val="22"/>
          <w:szCs w:val="22"/>
        </w:rPr>
        <w:t>eoffrey</w:t>
      </w:r>
      <w:r w:rsidR="007F5B03" w:rsidRPr="00047A9D">
        <w:rPr>
          <w:rFonts w:ascii="Times New Roman" w:hAnsi="Times New Roman" w:cs="Times New Roman"/>
          <w:sz w:val="22"/>
          <w:szCs w:val="22"/>
        </w:rPr>
        <w:t xml:space="preserve"> Barraclough, </w:t>
      </w:r>
      <w:r w:rsidR="005D0C7A" w:rsidRPr="00047A9D">
        <w:rPr>
          <w:rFonts w:ascii="Times New Roman" w:hAnsi="Times New Roman" w:cs="Times New Roman"/>
          <w:sz w:val="22"/>
          <w:szCs w:val="22"/>
        </w:rPr>
        <w:t>‘</w:t>
      </w:r>
      <w:r w:rsidR="007F5B03" w:rsidRPr="00047A9D">
        <w:rPr>
          <w:rFonts w:ascii="Times New Roman" w:hAnsi="Times New Roman" w:cs="Times New Roman"/>
          <w:sz w:val="22"/>
          <w:szCs w:val="22"/>
        </w:rPr>
        <w:t>Universal History</w:t>
      </w:r>
      <w:r w:rsidR="005D0C7A" w:rsidRPr="00047A9D">
        <w:rPr>
          <w:rFonts w:ascii="Times New Roman" w:hAnsi="Times New Roman" w:cs="Times New Roman"/>
          <w:sz w:val="22"/>
          <w:szCs w:val="22"/>
        </w:rPr>
        <w:t>’</w:t>
      </w:r>
      <w:r w:rsidR="00FF15CF" w:rsidRPr="00047A9D">
        <w:rPr>
          <w:rFonts w:ascii="Times New Roman" w:hAnsi="Times New Roman" w:cs="Times New Roman"/>
          <w:sz w:val="22"/>
          <w:szCs w:val="22"/>
        </w:rPr>
        <w:t>,</w:t>
      </w:r>
      <w:r w:rsidR="005D0C7A" w:rsidRPr="00047A9D">
        <w:rPr>
          <w:rFonts w:ascii="Times New Roman" w:hAnsi="Times New Roman" w:cs="Times New Roman"/>
          <w:sz w:val="22"/>
          <w:szCs w:val="22"/>
        </w:rPr>
        <w:t xml:space="preserve"> </w:t>
      </w:r>
      <w:r w:rsidR="007F5B03" w:rsidRPr="00047A9D">
        <w:rPr>
          <w:rFonts w:ascii="Times New Roman" w:hAnsi="Times New Roman" w:cs="Times New Roman"/>
          <w:sz w:val="22"/>
          <w:szCs w:val="22"/>
        </w:rPr>
        <w:t>in</w:t>
      </w:r>
      <w:r w:rsidR="00FF15CF" w:rsidRPr="00047A9D">
        <w:rPr>
          <w:rFonts w:ascii="Times New Roman" w:hAnsi="Times New Roman" w:cs="Times New Roman"/>
          <w:sz w:val="22"/>
          <w:szCs w:val="22"/>
        </w:rPr>
        <w:t xml:space="preserve"> H.P.R. Finberg (ed.),</w:t>
      </w:r>
      <w:r w:rsidR="007F5B03" w:rsidRPr="00047A9D">
        <w:rPr>
          <w:rFonts w:ascii="Times New Roman" w:hAnsi="Times New Roman" w:cs="Times New Roman"/>
          <w:sz w:val="22"/>
          <w:szCs w:val="22"/>
        </w:rPr>
        <w:t xml:space="preserve"> </w:t>
      </w:r>
      <w:r w:rsidR="007F5B03" w:rsidRPr="00047A9D">
        <w:rPr>
          <w:rFonts w:ascii="Times New Roman" w:hAnsi="Times New Roman" w:cs="Times New Roman"/>
          <w:i/>
          <w:sz w:val="22"/>
          <w:szCs w:val="22"/>
        </w:rPr>
        <w:t>Approaches to History</w:t>
      </w:r>
      <w:r w:rsidR="00DA10FC" w:rsidRPr="00047A9D">
        <w:rPr>
          <w:rFonts w:ascii="Times New Roman" w:hAnsi="Times New Roman" w:cs="Times New Roman"/>
          <w:i/>
          <w:sz w:val="22"/>
          <w:szCs w:val="22"/>
        </w:rPr>
        <w:t>: A Symposium</w:t>
      </w:r>
      <w:r w:rsidR="00BF5708" w:rsidRPr="00047A9D">
        <w:rPr>
          <w:rFonts w:ascii="Times New Roman" w:hAnsi="Times New Roman" w:cs="Times New Roman"/>
          <w:sz w:val="22"/>
          <w:szCs w:val="22"/>
        </w:rPr>
        <w:t xml:space="preserve">, </w:t>
      </w:r>
      <w:r w:rsidR="007F5B03" w:rsidRPr="00047A9D">
        <w:rPr>
          <w:rFonts w:ascii="Times New Roman" w:hAnsi="Times New Roman" w:cs="Times New Roman"/>
          <w:sz w:val="22"/>
          <w:szCs w:val="22"/>
        </w:rPr>
        <w:t>(</w:t>
      </w:r>
      <w:r w:rsidR="005D0C7A" w:rsidRPr="00047A9D">
        <w:rPr>
          <w:rFonts w:ascii="Times New Roman" w:hAnsi="Times New Roman" w:cs="Times New Roman"/>
          <w:sz w:val="22"/>
          <w:szCs w:val="22"/>
        </w:rPr>
        <w:t xml:space="preserve">London: </w:t>
      </w:r>
      <w:r w:rsidR="007F5B03" w:rsidRPr="00047A9D">
        <w:rPr>
          <w:rFonts w:ascii="Times New Roman" w:hAnsi="Times New Roman" w:cs="Times New Roman"/>
          <w:sz w:val="22"/>
          <w:szCs w:val="22"/>
        </w:rPr>
        <w:t>Routledge &amp; Kegan Paul, 1962</w:t>
      </w:r>
      <w:r w:rsidR="005D0C7A" w:rsidRPr="00047A9D">
        <w:rPr>
          <w:rFonts w:ascii="Times New Roman" w:hAnsi="Times New Roman" w:cs="Times New Roman"/>
          <w:sz w:val="22"/>
          <w:szCs w:val="22"/>
        </w:rPr>
        <w:t>)</w:t>
      </w:r>
      <w:r w:rsidR="00E26750" w:rsidRPr="00047A9D">
        <w:rPr>
          <w:rFonts w:ascii="Times New Roman" w:hAnsi="Times New Roman" w:cs="Times New Roman"/>
          <w:sz w:val="22"/>
          <w:szCs w:val="22"/>
        </w:rPr>
        <w:t>, pp.83-110</w:t>
      </w:r>
      <w:r w:rsidR="00EF3ADC" w:rsidRPr="00047A9D">
        <w:rPr>
          <w:rFonts w:ascii="Times New Roman" w:hAnsi="Times New Roman" w:cs="Times New Roman"/>
          <w:sz w:val="22"/>
          <w:szCs w:val="22"/>
        </w:rPr>
        <w:t>.</w:t>
      </w:r>
    </w:p>
  </w:footnote>
  <w:footnote w:id="253">
    <w:p w14:paraId="3C584D15" w14:textId="704A1E4E" w:rsidR="004D5F59" w:rsidRPr="00047A9D" w:rsidRDefault="004D5F5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56DD2" w:rsidRPr="00047A9D">
        <w:rPr>
          <w:rFonts w:ascii="Times New Roman" w:hAnsi="Times New Roman" w:cs="Times New Roman"/>
          <w:sz w:val="22"/>
          <w:szCs w:val="22"/>
        </w:rPr>
        <w:t xml:space="preserve">Barraclough, </w:t>
      </w:r>
      <w:r w:rsidR="00D56DD2" w:rsidRPr="00047A9D">
        <w:rPr>
          <w:rFonts w:ascii="Times New Roman" w:hAnsi="Times New Roman" w:cs="Times New Roman"/>
          <w:i/>
          <w:sz w:val="22"/>
          <w:szCs w:val="22"/>
        </w:rPr>
        <w:t>Common Man</w:t>
      </w:r>
      <w:r w:rsidR="00D56DD2" w:rsidRPr="00047A9D">
        <w:rPr>
          <w:rFonts w:ascii="Times New Roman" w:hAnsi="Times New Roman" w:cs="Times New Roman"/>
          <w:sz w:val="22"/>
          <w:szCs w:val="22"/>
        </w:rPr>
        <w:t>, pp.8, 13-14.</w:t>
      </w:r>
    </w:p>
  </w:footnote>
  <w:footnote w:id="254">
    <w:p w14:paraId="4EE001B5" w14:textId="5D44A366" w:rsidR="00FC373F" w:rsidRPr="00047A9D" w:rsidRDefault="00FC373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A415F" w:rsidRPr="00047A9D">
        <w:rPr>
          <w:rFonts w:ascii="Times New Roman" w:hAnsi="Times New Roman" w:cs="Times New Roman"/>
          <w:sz w:val="22"/>
          <w:szCs w:val="22"/>
        </w:rPr>
        <w:t>Martin Ballard, ‘Change and the Curriculum’</w:t>
      </w:r>
      <w:r w:rsidR="000212F3" w:rsidRPr="00047A9D">
        <w:rPr>
          <w:rFonts w:ascii="Times New Roman" w:hAnsi="Times New Roman" w:cs="Times New Roman"/>
          <w:sz w:val="22"/>
          <w:szCs w:val="22"/>
        </w:rPr>
        <w:t>,</w:t>
      </w:r>
      <w:r w:rsidR="008A415F" w:rsidRPr="00047A9D">
        <w:rPr>
          <w:rFonts w:ascii="Times New Roman" w:hAnsi="Times New Roman" w:cs="Times New Roman"/>
          <w:sz w:val="22"/>
          <w:szCs w:val="22"/>
        </w:rPr>
        <w:t xml:space="preserve"> in</w:t>
      </w:r>
      <w:r w:rsidR="00FF15CF" w:rsidRPr="00047A9D">
        <w:rPr>
          <w:rFonts w:ascii="Times New Roman" w:hAnsi="Times New Roman" w:cs="Times New Roman"/>
          <w:sz w:val="22"/>
          <w:szCs w:val="22"/>
        </w:rPr>
        <w:t xml:space="preserve"> Martin Ballard (ed.), </w:t>
      </w:r>
      <w:r w:rsidR="008A415F" w:rsidRPr="00047A9D">
        <w:rPr>
          <w:rFonts w:ascii="Times New Roman" w:hAnsi="Times New Roman" w:cs="Times New Roman"/>
          <w:i/>
          <w:sz w:val="22"/>
          <w:szCs w:val="22"/>
        </w:rPr>
        <w:t>New Movements in the Study and Teaching of History</w:t>
      </w:r>
      <w:r w:rsidR="008A415F" w:rsidRPr="00047A9D">
        <w:rPr>
          <w:rFonts w:ascii="Times New Roman" w:hAnsi="Times New Roman" w:cs="Times New Roman"/>
          <w:sz w:val="22"/>
          <w:szCs w:val="22"/>
        </w:rPr>
        <w:t xml:space="preserve"> (London: Maurice Temple Smith Ltd, 1970), </w:t>
      </w:r>
      <w:r w:rsidR="00BC5562" w:rsidRPr="00047A9D">
        <w:rPr>
          <w:rFonts w:ascii="Times New Roman" w:hAnsi="Times New Roman" w:cs="Times New Roman"/>
          <w:sz w:val="22"/>
          <w:szCs w:val="22"/>
        </w:rPr>
        <w:t>3-13</w:t>
      </w:r>
      <w:r w:rsidR="003A6259" w:rsidRPr="00047A9D">
        <w:rPr>
          <w:rFonts w:ascii="Times New Roman" w:hAnsi="Times New Roman" w:cs="Times New Roman"/>
          <w:sz w:val="22"/>
          <w:szCs w:val="22"/>
        </w:rPr>
        <w:t>, pp.5-6.</w:t>
      </w:r>
    </w:p>
  </w:footnote>
  <w:footnote w:id="255">
    <w:p w14:paraId="626DDCC4" w14:textId="78D0530A" w:rsidR="00CA376E" w:rsidRPr="00047A9D" w:rsidRDefault="00CA376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Ballard, ‘Change and the Curriculum’, pp.5-6.</w:t>
      </w:r>
    </w:p>
  </w:footnote>
  <w:footnote w:id="256">
    <w:p w14:paraId="3EB1D26D" w14:textId="71EB667B" w:rsidR="00FA47F3" w:rsidRPr="00047A9D" w:rsidRDefault="00FA47F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A6259" w:rsidRPr="00047A9D">
        <w:rPr>
          <w:rFonts w:ascii="Times New Roman" w:hAnsi="Times New Roman" w:cs="Times New Roman"/>
          <w:sz w:val="22"/>
          <w:szCs w:val="22"/>
        </w:rPr>
        <w:t>James L. Henderson, ‘World History’</w:t>
      </w:r>
      <w:r w:rsidR="00E45DAF" w:rsidRPr="00047A9D">
        <w:rPr>
          <w:rFonts w:ascii="Times New Roman" w:hAnsi="Times New Roman" w:cs="Times New Roman"/>
          <w:sz w:val="22"/>
          <w:szCs w:val="22"/>
        </w:rPr>
        <w:t xml:space="preserve">, </w:t>
      </w:r>
      <w:r w:rsidR="003A6259" w:rsidRPr="00047A9D">
        <w:rPr>
          <w:rFonts w:ascii="Times New Roman" w:hAnsi="Times New Roman" w:cs="Times New Roman"/>
          <w:sz w:val="22"/>
          <w:szCs w:val="22"/>
        </w:rPr>
        <w:t>in</w:t>
      </w:r>
      <w:r w:rsidR="00E45DAF" w:rsidRPr="00047A9D">
        <w:rPr>
          <w:rFonts w:ascii="Times New Roman" w:hAnsi="Times New Roman" w:cs="Times New Roman"/>
          <w:sz w:val="22"/>
          <w:szCs w:val="22"/>
        </w:rPr>
        <w:t xml:space="preserve"> W.H. Burston</w:t>
      </w:r>
      <w:r w:rsidR="00CF7542" w:rsidRPr="00047A9D">
        <w:rPr>
          <w:rFonts w:ascii="Times New Roman" w:hAnsi="Times New Roman" w:cs="Times New Roman"/>
          <w:sz w:val="22"/>
          <w:szCs w:val="22"/>
        </w:rPr>
        <w:t xml:space="preserve"> (ed.),</w:t>
      </w:r>
      <w:r w:rsidR="003A6259" w:rsidRPr="00047A9D">
        <w:rPr>
          <w:rFonts w:ascii="Times New Roman" w:hAnsi="Times New Roman" w:cs="Times New Roman"/>
          <w:sz w:val="22"/>
          <w:szCs w:val="22"/>
        </w:rPr>
        <w:t xml:space="preserve"> </w:t>
      </w:r>
      <w:r w:rsidR="003A6259" w:rsidRPr="00047A9D">
        <w:rPr>
          <w:rFonts w:ascii="Times New Roman" w:hAnsi="Times New Roman" w:cs="Times New Roman"/>
          <w:i/>
          <w:sz w:val="22"/>
          <w:szCs w:val="22"/>
        </w:rPr>
        <w:t>Handbook for History Teachers</w:t>
      </w:r>
      <w:r w:rsidR="003A6259" w:rsidRPr="00047A9D">
        <w:rPr>
          <w:rFonts w:ascii="Times New Roman" w:hAnsi="Times New Roman" w:cs="Times New Roman"/>
          <w:sz w:val="22"/>
          <w:szCs w:val="22"/>
        </w:rPr>
        <w:t>, 2</w:t>
      </w:r>
      <w:r w:rsidR="003A6259" w:rsidRPr="00047A9D">
        <w:rPr>
          <w:rFonts w:ascii="Times New Roman" w:hAnsi="Times New Roman" w:cs="Times New Roman"/>
          <w:sz w:val="22"/>
          <w:szCs w:val="22"/>
          <w:vertAlign w:val="superscript"/>
        </w:rPr>
        <w:t>nd</w:t>
      </w:r>
      <w:r w:rsidR="003A6259" w:rsidRPr="00047A9D">
        <w:rPr>
          <w:rFonts w:ascii="Times New Roman" w:hAnsi="Times New Roman" w:cs="Times New Roman"/>
          <w:sz w:val="22"/>
          <w:szCs w:val="22"/>
        </w:rPr>
        <w:t xml:space="preserve"> edn, (London: Methuen, 1972), 90-98, </w:t>
      </w:r>
      <w:r w:rsidR="003366FF" w:rsidRPr="00047A9D">
        <w:rPr>
          <w:rFonts w:ascii="Times New Roman" w:hAnsi="Times New Roman" w:cs="Times New Roman"/>
          <w:sz w:val="22"/>
          <w:szCs w:val="22"/>
        </w:rPr>
        <w:t>p.91</w:t>
      </w:r>
      <w:r w:rsidR="000D0944" w:rsidRPr="00047A9D">
        <w:rPr>
          <w:rFonts w:ascii="Times New Roman" w:hAnsi="Times New Roman" w:cs="Times New Roman"/>
          <w:sz w:val="22"/>
          <w:szCs w:val="22"/>
        </w:rPr>
        <w:t>.</w:t>
      </w:r>
    </w:p>
  </w:footnote>
  <w:footnote w:id="257">
    <w:p w14:paraId="66AA791B" w14:textId="6F47EBCC" w:rsidR="00395180" w:rsidRPr="00047A9D" w:rsidRDefault="0039518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D0944" w:rsidRPr="00047A9D">
        <w:rPr>
          <w:rFonts w:ascii="Times New Roman" w:hAnsi="Times New Roman" w:cs="Times New Roman"/>
          <w:sz w:val="22"/>
          <w:szCs w:val="22"/>
        </w:rPr>
        <w:t xml:space="preserve">Barraclough, </w:t>
      </w:r>
      <w:r w:rsidR="000D0944" w:rsidRPr="00047A9D">
        <w:rPr>
          <w:rFonts w:ascii="Times New Roman" w:hAnsi="Times New Roman" w:cs="Times New Roman"/>
          <w:i/>
          <w:sz w:val="22"/>
          <w:szCs w:val="22"/>
        </w:rPr>
        <w:t>Common Man</w:t>
      </w:r>
      <w:r w:rsidR="000D0944" w:rsidRPr="00047A9D">
        <w:rPr>
          <w:rFonts w:ascii="Times New Roman" w:hAnsi="Times New Roman" w:cs="Times New Roman"/>
          <w:sz w:val="22"/>
          <w:szCs w:val="22"/>
        </w:rPr>
        <w:t>, p</w:t>
      </w:r>
      <w:r w:rsidR="00EE61AD" w:rsidRPr="00047A9D">
        <w:rPr>
          <w:rFonts w:ascii="Times New Roman" w:hAnsi="Times New Roman" w:cs="Times New Roman"/>
          <w:sz w:val="22"/>
          <w:szCs w:val="22"/>
        </w:rPr>
        <w:t>p</w:t>
      </w:r>
      <w:r w:rsidRPr="00047A9D">
        <w:rPr>
          <w:rFonts w:ascii="Times New Roman" w:hAnsi="Times New Roman" w:cs="Times New Roman"/>
          <w:sz w:val="22"/>
          <w:szCs w:val="22"/>
        </w:rPr>
        <w:t>.</w:t>
      </w:r>
      <w:r w:rsidR="00EE61AD" w:rsidRPr="00047A9D">
        <w:rPr>
          <w:rFonts w:ascii="Times New Roman" w:hAnsi="Times New Roman" w:cs="Times New Roman"/>
          <w:sz w:val="22"/>
          <w:szCs w:val="22"/>
        </w:rPr>
        <w:t>8-</w:t>
      </w:r>
      <w:r w:rsidRPr="00047A9D">
        <w:rPr>
          <w:rFonts w:ascii="Times New Roman" w:hAnsi="Times New Roman" w:cs="Times New Roman"/>
          <w:sz w:val="22"/>
          <w:szCs w:val="22"/>
        </w:rPr>
        <w:t>9.</w:t>
      </w:r>
    </w:p>
  </w:footnote>
  <w:footnote w:id="258">
    <w:p w14:paraId="674660BD" w14:textId="13574C2D" w:rsidR="00AD77C6" w:rsidRPr="00047A9D" w:rsidRDefault="00AD77C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07B06" w:rsidRPr="00047A9D">
        <w:rPr>
          <w:rFonts w:ascii="Times New Roman" w:hAnsi="Times New Roman" w:cs="Times New Roman"/>
          <w:sz w:val="22"/>
          <w:szCs w:val="22"/>
        </w:rPr>
        <w:t xml:space="preserve">D.B. Heater, ‘World History’, in Burston (ed.), </w:t>
      </w:r>
      <w:r w:rsidR="00107B06" w:rsidRPr="00047A9D">
        <w:rPr>
          <w:rFonts w:ascii="Times New Roman" w:hAnsi="Times New Roman" w:cs="Times New Roman"/>
          <w:i/>
          <w:sz w:val="22"/>
          <w:szCs w:val="22"/>
        </w:rPr>
        <w:t>Handbook</w:t>
      </w:r>
      <w:r w:rsidR="00107B06" w:rsidRPr="00047A9D">
        <w:rPr>
          <w:rFonts w:ascii="Times New Roman" w:hAnsi="Times New Roman" w:cs="Times New Roman"/>
          <w:sz w:val="22"/>
          <w:szCs w:val="22"/>
        </w:rPr>
        <w:t>, 394-408</w:t>
      </w:r>
      <w:r w:rsidR="003E068E" w:rsidRPr="00047A9D">
        <w:rPr>
          <w:rFonts w:ascii="Times New Roman" w:hAnsi="Times New Roman" w:cs="Times New Roman"/>
          <w:sz w:val="22"/>
          <w:szCs w:val="22"/>
        </w:rPr>
        <w:t xml:space="preserve">, </w:t>
      </w:r>
      <w:r w:rsidR="00107B06" w:rsidRPr="00047A9D">
        <w:rPr>
          <w:rFonts w:ascii="Times New Roman" w:hAnsi="Times New Roman" w:cs="Times New Roman"/>
          <w:sz w:val="22"/>
          <w:szCs w:val="22"/>
        </w:rPr>
        <w:t>p.394.</w:t>
      </w:r>
    </w:p>
  </w:footnote>
  <w:footnote w:id="259">
    <w:p w14:paraId="4F2069B1" w14:textId="1ADD1611" w:rsidR="00A976F7" w:rsidRPr="00047A9D" w:rsidRDefault="00A976F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D76CF" w:rsidRPr="00047A9D">
        <w:rPr>
          <w:rFonts w:ascii="Times New Roman" w:hAnsi="Times New Roman" w:cs="Times New Roman"/>
          <w:sz w:val="22"/>
          <w:szCs w:val="22"/>
        </w:rPr>
        <w:t xml:space="preserve">DES, </w:t>
      </w:r>
      <w:r w:rsidR="00147ADB" w:rsidRPr="00047A9D">
        <w:rPr>
          <w:rFonts w:ascii="Times New Roman" w:hAnsi="Times New Roman" w:cs="Times New Roman"/>
          <w:i/>
          <w:sz w:val="22"/>
          <w:szCs w:val="22"/>
        </w:rPr>
        <w:t xml:space="preserve">Towards World History: Education Pamphlet Number 52 </w:t>
      </w:r>
      <w:r w:rsidR="00147ADB" w:rsidRPr="00047A9D">
        <w:rPr>
          <w:rFonts w:ascii="Times New Roman" w:hAnsi="Times New Roman" w:cs="Times New Roman"/>
          <w:sz w:val="22"/>
          <w:szCs w:val="22"/>
        </w:rPr>
        <w:t>(London: HMSO, 1967), p.17.</w:t>
      </w:r>
    </w:p>
  </w:footnote>
  <w:footnote w:id="260">
    <w:p w14:paraId="4DC174FD" w14:textId="100C9FA5" w:rsidR="002D14F3" w:rsidRPr="00047A9D" w:rsidRDefault="002D14F3"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00BD564B" w:rsidRPr="00047A9D">
        <w:rPr>
          <w:rFonts w:ascii="Times New Roman" w:hAnsi="Times New Roman" w:cs="Times New Roman"/>
          <w:sz w:val="22"/>
          <w:szCs w:val="22"/>
        </w:rPr>
        <w:t xml:space="preserve"> </w:t>
      </w:r>
      <w:r w:rsidR="0088518A" w:rsidRPr="00047A9D">
        <w:rPr>
          <w:rFonts w:ascii="Times New Roman" w:hAnsi="Times New Roman" w:cs="Times New Roman"/>
          <w:sz w:val="22"/>
          <w:szCs w:val="22"/>
        </w:rPr>
        <w:t xml:space="preserve">For an account of early British imperialism, see </w:t>
      </w:r>
      <w:r w:rsidR="00BD564B" w:rsidRPr="00047A9D">
        <w:rPr>
          <w:rFonts w:ascii="Times New Roman" w:hAnsi="Times New Roman" w:cs="Times New Roman"/>
          <w:sz w:val="22"/>
          <w:szCs w:val="22"/>
        </w:rPr>
        <w:t xml:space="preserve">Philip J. Stern, </w:t>
      </w:r>
      <w:r w:rsidR="00BD564B" w:rsidRPr="00047A9D">
        <w:rPr>
          <w:rFonts w:ascii="Times New Roman" w:hAnsi="Times New Roman" w:cs="Times New Roman"/>
          <w:i/>
          <w:sz w:val="22"/>
          <w:szCs w:val="22"/>
        </w:rPr>
        <w:t>The Company-State: Corporate Sovereignty and the Early Modern Foundation of the British Empire in India</w:t>
      </w:r>
      <w:r w:rsidR="00BD564B" w:rsidRPr="00047A9D">
        <w:rPr>
          <w:rFonts w:ascii="Times New Roman" w:hAnsi="Times New Roman" w:cs="Times New Roman"/>
          <w:sz w:val="22"/>
          <w:szCs w:val="22"/>
        </w:rPr>
        <w:t xml:space="preserve"> (Oxford: </w:t>
      </w:r>
      <w:r w:rsidR="00B11B44" w:rsidRPr="00047A9D">
        <w:rPr>
          <w:rFonts w:ascii="Times New Roman" w:hAnsi="Times New Roman" w:cs="Times New Roman"/>
          <w:sz w:val="22"/>
          <w:szCs w:val="22"/>
        </w:rPr>
        <w:t>O</w:t>
      </w:r>
      <w:r w:rsidR="00E67F60" w:rsidRPr="00047A9D">
        <w:rPr>
          <w:rFonts w:ascii="Times New Roman" w:hAnsi="Times New Roman" w:cs="Times New Roman"/>
          <w:sz w:val="22"/>
          <w:szCs w:val="22"/>
        </w:rPr>
        <w:t>UP</w:t>
      </w:r>
      <w:r w:rsidR="00BD564B" w:rsidRPr="00047A9D">
        <w:rPr>
          <w:rFonts w:ascii="Times New Roman" w:hAnsi="Times New Roman" w:cs="Times New Roman"/>
          <w:sz w:val="22"/>
          <w:szCs w:val="22"/>
        </w:rPr>
        <w:t>, 2011)</w:t>
      </w:r>
      <w:r w:rsidR="00CD6613" w:rsidRPr="00047A9D">
        <w:rPr>
          <w:rFonts w:ascii="Times New Roman" w:hAnsi="Times New Roman" w:cs="Times New Roman"/>
          <w:sz w:val="22"/>
          <w:szCs w:val="22"/>
        </w:rPr>
        <w:t>.</w:t>
      </w:r>
      <w:r w:rsidR="004D3D41" w:rsidRPr="00047A9D">
        <w:rPr>
          <w:rFonts w:ascii="Times New Roman" w:hAnsi="Times New Roman" w:cs="Times New Roman"/>
          <w:sz w:val="22"/>
          <w:szCs w:val="22"/>
        </w:rPr>
        <w:t xml:space="preserve"> </w:t>
      </w:r>
      <w:r w:rsidR="0088518A" w:rsidRPr="00047A9D">
        <w:rPr>
          <w:rFonts w:ascii="Times New Roman" w:hAnsi="Times New Roman" w:cs="Times New Roman"/>
          <w:sz w:val="22"/>
          <w:szCs w:val="22"/>
        </w:rPr>
        <w:t>Some texts made the link between the global and contemporary explicit</w:t>
      </w:r>
      <w:r w:rsidR="00C73A97" w:rsidRPr="00047A9D">
        <w:rPr>
          <w:rFonts w:ascii="Times New Roman" w:hAnsi="Times New Roman" w:cs="Times New Roman"/>
          <w:sz w:val="22"/>
          <w:szCs w:val="22"/>
        </w:rPr>
        <w:t>. Thus, the Ministry of Education advised teachers that</w:t>
      </w:r>
      <w:r w:rsidR="0088518A" w:rsidRPr="00047A9D">
        <w:rPr>
          <w:rFonts w:ascii="Times New Roman" w:hAnsi="Times New Roman" w:cs="Times New Roman"/>
          <w:sz w:val="22"/>
          <w:szCs w:val="22"/>
        </w:rPr>
        <w:t xml:space="preserve"> </w:t>
      </w:r>
      <w:r w:rsidR="00A7196C" w:rsidRPr="00047A9D">
        <w:rPr>
          <w:rFonts w:ascii="Times New Roman" w:hAnsi="Times New Roman" w:cs="Times New Roman"/>
          <w:sz w:val="22"/>
          <w:szCs w:val="22"/>
        </w:rPr>
        <w:t>‘</w:t>
      </w:r>
      <w:r w:rsidR="0088518A" w:rsidRPr="00047A9D">
        <w:rPr>
          <w:rFonts w:ascii="Times New Roman" w:hAnsi="Times New Roman" w:cs="Times New Roman"/>
          <w:sz w:val="22"/>
          <w:szCs w:val="22"/>
        </w:rPr>
        <w:t>it is in the twentieth century that history itself has become world history, and so, inevitably, it has to be taught as such</w:t>
      </w:r>
      <w:r w:rsidR="00C73A97" w:rsidRPr="00047A9D">
        <w:rPr>
          <w:rFonts w:ascii="Times New Roman" w:hAnsi="Times New Roman" w:cs="Times New Roman"/>
          <w:sz w:val="22"/>
          <w:szCs w:val="22"/>
        </w:rPr>
        <w:t xml:space="preserve">’. See Ministry of Education, </w:t>
      </w:r>
      <w:r w:rsidR="00C73A97" w:rsidRPr="00047A9D">
        <w:rPr>
          <w:rFonts w:ascii="Times New Roman" w:hAnsi="Times New Roman" w:cs="Times New Roman"/>
          <w:i/>
          <w:sz w:val="22"/>
          <w:szCs w:val="22"/>
        </w:rPr>
        <w:t>Teaching History</w:t>
      </w:r>
      <w:r w:rsidR="00C73A97" w:rsidRPr="00047A9D">
        <w:rPr>
          <w:rFonts w:ascii="Times New Roman" w:hAnsi="Times New Roman" w:cs="Times New Roman"/>
          <w:sz w:val="22"/>
          <w:szCs w:val="22"/>
        </w:rPr>
        <w:t>, p.35.</w:t>
      </w:r>
    </w:p>
  </w:footnote>
  <w:footnote w:id="261">
    <w:p w14:paraId="789EBB31" w14:textId="64B17E85" w:rsidR="002B4FF4" w:rsidRPr="00047A9D" w:rsidRDefault="002B4FF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Kehinde Andrews, </w:t>
      </w:r>
      <w:r w:rsidRPr="00047A9D">
        <w:rPr>
          <w:rFonts w:ascii="Times New Roman" w:hAnsi="Times New Roman" w:cs="Times New Roman"/>
          <w:i/>
          <w:sz w:val="22"/>
          <w:szCs w:val="22"/>
        </w:rPr>
        <w:t>The New Age of Empire: How Racism and Colonialism Still Rule the World</w:t>
      </w:r>
      <w:r w:rsidRPr="00047A9D">
        <w:rPr>
          <w:rFonts w:ascii="Times New Roman" w:hAnsi="Times New Roman" w:cs="Times New Roman"/>
          <w:sz w:val="22"/>
          <w:szCs w:val="22"/>
        </w:rPr>
        <w:t xml:space="preserve"> (London: Allen Lane, 2021)</w:t>
      </w:r>
      <w:r w:rsidR="00306513" w:rsidRPr="00047A9D">
        <w:rPr>
          <w:rFonts w:ascii="Times New Roman" w:hAnsi="Times New Roman" w:cs="Times New Roman"/>
          <w:sz w:val="22"/>
          <w:szCs w:val="22"/>
        </w:rPr>
        <w:t>;</w:t>
      </w:r>
      <w:r w:rsidR="00C80A4C" w:rsidRPr="00047A9D">
        <w:rPr>
          <w:rFonts w:ascii="Times New Roman" w:hAnsi="Times New Roman" w:cs="Times New Roman"/>
          <w:sz w:val="22"/>
          <w:szCs w:val="22"/>
        </w:rPr>
        <w:t xml:space="preserve"> Walter</w:t>
      </w:r>
      <w:r w:rsidR="001837D1" w:rsidRPr="00047A9D">
        <w:rPr>
          <w:rFonts w:ascii="Times New Roman" w:hAnsi="Times New Roman" w:cs="Times New Roman"/>
          <w:sz w:val="22"/>
          <w:szCs w:val="22"/>
        </w:rPr>
        <w:t xml:space="preserve"> Rodney</w:t>
      </w:r>
      <w:r w:rsidR="00C80A4C" w:rsidRPr="00047A9D">
        <w:rPr>
          <w:rFonts w:ascii="Times New Roman" w:hAnsi="Times New Roman" w:cs="Times New Roman"/>
          <w:sz w:val="22"/>
          <w:szCs w:val="22"/>
        </w:rPr>
        <w:t xml:space="preserve">, </w:t>
      </w:r>
      <w:r w:rsidR="00C80A4C" w:rsidRPr="00047A9D">
        <w:rPr>
          <w:rFonts w:ascii="Times New Roman" w:hAnsi="Times New Roman" w:cs="Times New Roman"/>
          <w:i/>
          <w:sz w:val="22"/>
          <w:szCs w:val="22"/>
        </w:rPr>
        <w:t>How Europe Underdeveloped Africa</w:t>
      </w:r>
      <w:r w:rsidR="00C80A4C" w:rsidRPr="00047A9D">
        <w:rPr>
          <w:rFonts w:ascii="Times New Roman" w:hAnsi="Times New Roman" w:cs="Times New Roman"/>
          <w:sz w:val="22"/>
          <w:szCs w:val="22"/>
        </w:rPr>
        <w:t xml:space="preserve"> (London</w:t>
      </w:r>
      <w:r w:rsidR="001837D1" w:rsidRPr="00047A9D">
        <w:rPr>
          <w:rFonts w:ascii="Times New Roman" w:hAnsi="Times New Roman" w:cs="Times New Roman"/>
          <w:sz w:val="22"/>
          <w:szCs w:val="22"/>
        </w:rPr>
        <w:t xml:space="preserve">: </w:t>
      </w:r>
      <w:r w:rsidR="00AF15DC" w:rsidRPr="00AF15DC">
        <w:rPr>
          <w:rFonts w:ascii="Times New Roman" w:hAnsi="Times New Roman" w:cs="Times New Roman"/>
          <w:sz w:val="22"/>
          <w:szCs w:val="22"/>
        </w:rPr>
        <w:t>Bogle-L'Ouverture Publications</w:t>
      </w:r>
      <w:r w:rsidR="00AF15DC">
        <w:rPr>
          <w:rFonts w:ascii="Times New Roman" w:hAnsi="Times New Roman" w:cs="Times New Roman"/>
          <w:sz w:val="22"/>
          <w:szCs w:val="22"/>
        </w:rPr>
        <w:t>, 1972</w:t>
      </w:r>
      <w:r w:rsidR="00C80A4C" w:rsidRPr="00047A9D">
        <w:rPr>
          <w:rFonts w:ascii="Times New Roman" w:hAnsi="Times New Roman" w:cs="Times New Roman"/>
          <w:sz w:val="22"/>
          <w:szCs w:val="22"/>
        </w:rPr>
        <w:t>)</w:t>
      </w:r>
      <w:r w:rsidR="001837D1" w:rsidRPr="00047A9D">
        <w:rPr>
          <w:rFonts w:ascii="Times New Roman" w:hAnsi="Times New Roman" w:cs="Times New Roman"/>
          <w:sz w:val="22"/>
          <w:szCs w:val="22"/>
        </w:rPr>
        <w:t>;</w:t>
      </w:r>
      <w:r w:rsidR="00937067" w:rsidRPr="00047A9D">
        <w:rPr>
          <w:rFonts w:ascii="Times New Roman" w:hAnsi="Times New Roman" w:cs="Times New Roman"/>
          <w:sz w:val="22"/>
          <w:szCs w:val="22"/>
        </w:rPr>
        <w:t xml:space="preserve"> Edward W. Said, </w:t>
      </w:r>
      <w:r w:rsidR="00937067" w:rsidRPr="00047A9D">
        <w:rPr>
          <w:rFonts w:ascii="Times New Roman" w:hAnsi="Times New Roman" w:cs="Times New Roman"/>
          <w:i/>
          <w:sz w:val="22"/>
          <w:szCs w:val="22"/>
        </w:rPr>
        <w:t>Orientalism</w:t>
      </w:r>
      <w:r w:rsidR="00937067" w:rsidRPr="00047A9D">
        <w:rPr>
          <w:rFonts w:ascii="Times New Roman" w:hAnsi="Times New Roman" w:cs="Times New Roman"/>
          <w:sz w:val="22"/>
          <w:szCs w:val="22"/>
        </w:rPr>
        <w:t xml:space="preserve"> (</w:t>
      </w:r>
      <w:r w:rsidR="00556036">
        <w:rPr>
          <w:rFonts w:ascii="Times New Roman" w:hAnsi="Times New Roman" w:cs="Times New Roman"/>
          <w:sz w:val="22"/>
          <w:szCs w:val="22"/>
        </w:rPr>
        <w:t>New York</w:t>
      </w:r>
      <w:r w:rsidR="00937067" w:rsidRPr="00047A9D">
        <w:rPr>
          <w:rFonts w:ascii="Times New Roman" w:hAnsi="Times New Roman" w:cs="Times New Roman"/>
          <w:sz w:val="22"/>
          <w:szCs w:val="22"/>
        </w:rPr>
        <w:t xml:space="preserve">: </w:t>
      </w:r>
      <w:r w:rsidR="00556036">
        <w:rPr>
          <w:rFonts w:ascii="Times New Roman" w:hAnsi="Times New Roman" w:cs="Times New Roman"/>
          <w:sz w:val="22"/>
          <w:szCs w:val="22"/>
        </w:rPr>
        <w:t>Pantheon Books,</w:t>
      </w:r>
      <w:r w:rsidR="00937067" w:rsidRPr="00047A9D">
        <w:rPr>
          <w:rFonts w:ascii="Times New Roman" w:hAnsi="Times New Roman" w:cs="Times New Roman"/>
          <w:sz w:val="22"/>
          <w:szCs w:val="22"/>
        </w:rPr>
        <w:t xml:space="preserve"> </w:t>
      </w:r>
      <w:r w:rsidR="00556036">
        <w:rPr>
          <w:rFonts w:ascii="Times New Roman" w:hAnsi="Times New Roman" w:cs="Times New Roman"/>
          <w:sz w:val="22"/>
          <w:szCs w:val="22"/>
        </w:rPr>
        <w:t>1978</w:t>
      </w:r>
      <w:r w:rsidR="00937067" w:rsidRPr="00047A9D">
        <w:rPr>
          <w:rFonts w:ascii="Times New Roman" w:hAnsi="Times New Roman" w:cs="Times New Roman"/>
          <w:sz w:val="22"/>
          <w:szCs w:val="22"/>
        </w:rPr>
        <w:t>)</w:t>
      </w:r>
      <w:r w:rsidR="00997924" w:rsidRPr="00047A9D">
        <w:rPr>
          <w:rFonts w:ascii="Times New Roman" w:hAnsi="Times New Roman" w:cs="Times New Roman"/>
          <w:sz w:val="22"/>
          <w:szCs w:val="22"/>
        </w:rPr>
        <w:t xml:space="preserve">; Eric Eustace Williams, </w:t>
      </w:r>
      <w:r w:rsidR="00997924" w:rsidRPr="00047A9D">
        <w:rPr>
          <w:rFonts w:ascii="Times New Roman" w:hAnsi="Times New Roman" w:cs="Times New Roman"/>
          <w:i/>
          <w:sz w:val="22"/>
          <w:szCs w:val="22"/>
        </w:rPr>
        <w:t xml:space="preserve">Capitalism </w:t>
      </w:r>
      <w:r w:rsidR="0085483E" w:rsidRPr="00047A9D">
        <w:rPr>
          <w:rFonts w:ascii="Times New Roman" w:hAnsi="Times New Roman" w:cs="Times New Roman"/>
          <w:i/>
          <w:sz w:val="22"/>
          <w:szCs w:val="22"/>
        </w:rPr>
        <w:t>and</w:t>
      </w:r>
      <w:r w:rsidR="00997924" w:rsidRPr="00047A9D">
        <w:rPr>
          <w:rFonts w:ascii="Times New Roman" w:hAnsi="Times New Roman" w:cs="Times New Roman"/>
          <w:i/>
          <w:sz w:val="22"/>
          <w:szCs w:val="22"/>
        </w:rPr>
        <w:t xml:space="preserve"> Slavery</w:t>
      </w:r>
      <w:r w:rsidR="00997924" w:rsidRPr="00047A9D">
        <w:rPr>
          <w:rFonts w:ascii="Times New Roman" w:hAnsi="Times New Roman" w:cs="Times New Roman"/>
          <w:sz w:val="22"/>
          <w:szCs w:val="22"/>
        </w:rPr>
        <w:t xml:space="preserve"> (</w:t>
      </w:r>
      <w:r w:rsidR="00C6493F">
        <w:rPr>
          <w:rFonts w:ascii="Times New Roman" w:hAnsi="Times New Roman" w:cs="Times New Roman"/>
          <w:sz w:val="22"/>
          <w:szCs w:val="22"/>
        </w:rPr>
        <w:t>North Carolina</w:t>
      </w:r>
      <w:r w:rsidR="00997924" w:rsidRPr="00047A9D">
        <w:rPr>
          <w:rFonts w:ascii="Times New Roman" w:hAnsi="Times New Roman" w:cs="Times New Roman"/>
          <w:sz w:val="22"/>
          <w:szCs w:val="22"/>
        </w:rPr>
        <w:t xml:space="preserve">: </w:t>
      </w:r>
      <w:r w:rsidR="00C6493F">
        <w:rPr>
          <w:rFonts w:ascii="Times New Roman" w:hAnsi="Times New Roman" w:cs="Times New Roman"/>
          <w:sz w:val="22"/>
          <w:szCs w:val="22"/>
        </w:rPr>
        <w:t>University of North Carolina Press</w:t>
      </w:r>
      <w:r w:rsidR="00997924" w:rsidRPr="00047A9D">
        <w:rPr>
          <w:rFonts w:ascii="Times New Roman" w:hAnsi="Times New Roman" w:cs="Times New Roman"/>
          <w:sz w:val="22"/>
          <w:szCs w:val="22"/>
        </w:rPr>
        <w:t>, 19</w:t>
      </w:r>
      <w:r w:rsidR="00C6493F">
        <w:rPr>
          <w:rFonts w:ascii="Times New Roman" w:hAnsi="Times New Roman" w:cs="Times New Roman"/>
          <w:sz w:val="22"/>
          <w:szCs w:val="22"/>
        </w:rPr>
        <w:t>44</w:t>
      </w:r>
      <w:r w:rsidR="00997924" w:rsidRPr="00047A9D">
        <w:rPr>
          <w:rFonts w:ascii="Times New Roman" w:hAnsi="Times New Roman" w:cs="Times New Roman"/>
          <w:sz w:val="22"/>
          <w:szCs w:val="22"/>
        </w:rPr>
        <w:t>)</w:t>
      </w:r>
      <w:r w:rsidR="0085483E" w:rsidRPr="00047A9D">
        <w:rPr>
          <w:rFonts w:ascii="Times New Roman" w:hAnsi="Times New Roman" w:cs="Times New Roman"/>
          <w:sz w:val="22"/>
          <w:szCs w:val="22"/>
        </w:rPr>
        <w:t xml:space="preserve">; </w:t>
      </w:r>
      <w:r w:rsidR="00306513" w:rsidRPr="00047A9D">
        <w:rPr>
          <w:rFonts w:ascii="Times New Roman" w:hAnsi="Times New Roman" w:cs="Times New Roman"/>
          <w:sz w:val="22"/>
          <w:szCs w:val="22"/>
        </w:rPr>
        <w:t xml:space="preserve">Patrick Wolfe, </w:t>
      </w:r>
      <w:r w:rsidR="00306513" w:rsidRPr="00047A9D">
        <w:rPr>
          <w:rFonts w:ascii="Times New Roman" w:hAnsi="Times New Roman" w:cs="Times New Roman"/>
          <w:i/>
          <w:sz w:val="22"/>
          <w:szCs w:val="22"/>
        </w:rPr>
        <w:t>Traces of History: Elementary Structures of Race</w:t>
      </w:r>
      <w:r w:rsidR="00306513" w:rsidRPr="00047A9D">
        <w:rPr>
          <w:rFonts w:ascii="Times New Roman" w:hAnsi="Times New Roman" w:cs="Times New Roman"/>
          <w:sz w:val="22"/>
          <w:szCs w:val="22"/>
        </w:rPr>
        <w:t xml:space="preserve"> (London: Verso, 2016)</w:t>
      </w:r>
      <w:r w:rsidR="0085483E" w:rsidRPr="00047A9D">
        <w:rPr>
          <w:rFonts w:ascii="Times New Roman" w:hAnsi="Times New Roman" w:cs="Times New Roman"/>
          <w:sz w:val="22"/>
          <w:szCs w:val="22"/>
        </w:rPr>
        <w:t>.</w:t>
      </w:r>
    </w:p>
  </w:footnote>
  <w:footnote w:id="262">
    <w:p w14:paraId="1F65A458" w14:textId="7EA38D4F" w:rsidR="009D2A39" w:rsidRPr="00047A9D" w:rsidRDefault="009D2A3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83761" w:rsidRPr="00047A9D">
        <w:rPr>
          <w:rFonts w:ascii="Times New Roman" w:hAnsi="Times New Roman" w:cs="Times New Roman"/>
          <w:sz w:val="22"/>
          <w:szCs w:val="22"/>
        </w:rPr>
        <w:t>Ballard, ‘Change and the Curriculum’, p.8.</w:t>
      </w:r>
    </w:p>
  </w:footnote>
  <w:footnote w:id="263">
    <w:p w14:paraId="5F7B281B" w14:textId="0C330C3E" w:rsidR="009D2A39" w:rsidRPr="00047A9D" w:rsidRDefault="009D2A3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11A62" w:rsidRPr="00047A9D">
        <w:rPr>
          <w:rFonts w:ascii="Times New Roman" w:hAnsi="Times New Roman" w:cs="Times New Roman"/>
          <w:sz w:val="22"/>
          <w:szCs w:val="22"/>
        </w:rPr>
        <w:t xml:space="preserve">Charles L. Hannam, ‘Prejudice and the Teaching of History’, in </w:t>
      </w:r>
      <w:r w:rsidR="00A54329" w:rsidRPr="00047A9D">
        <w:rPr>
          <w:rFonts w:ascii="Times New Roman" w:hAnsi="Times New Roman" w:cs="Times New Roman"/>
          <w:sz w:val="22"/>
          <w:szCs w:val="22"/>
        </w:rPr>
        <w:t>Ballard (ed.)</w:t>
      </w:r>
      <w:r w:rsidR="00445EEC" w:rsidRPr="00047A9D">
        <w:rPr>
          <w:rFonts w:ascii="Times New Roman" w:hAnsi="Times New Roman" w:cs="Times New Roman"/>
          <w:sz w:val="22"/>
          <w:szCs w:val="22"/>
        </w:rPr>
        <w:t>,</w:t>
      </w:r>
      <w:r w:rsidR="00A54329" w:rsidRPr="00047A9D">
        <w:rPr>
          <w:rFonts w:ascii="Times New Roman" w:hAnsi="Times New Roman" w:cs="Times New Roman"/>
          <w:sz w:val="22"/>
          <w:szCs w:val="22"/>
        </w:rPr>
        <w:t xml:space="preserve"> </w:t>
      </w:r>
      <w:r w:rsidR="00A54329" w:rsidRPr="00047A9D">
        <w:rPr>
          <w:rFonts w:ascii="Times New Roman" w:hAnsi="Times New Roman" w:cs="Times New Roman"/>
          <w:i/>
          <w:sz w:val="22"/>
          <w:szCs w:val="22"/>
        </w:rPr>
        <w:t xml:space="preserve">New Movements, </w:t>
      </w:r>
      <w:r w:rsidR="00445EEC" w:rsidRPr="00047A9D">
        <w:rPr>
          <w:rFonts w:ascii="Times New Roman" w:hAnsi="Times New Roman" w:cs="Times New Roman"/>
          <w:sz w:val="22"/>
          <w:szCs w:val="22"/>
        </w:rPr>
        <w:t>26</w:t>
      </w:r>
      <w:r w:rsidR="00A66784">
        <w:rPr>
          <w:rFonts w:ascii="Times New Roman" w:hAnsi="Times New Roman" w:cs="Times New Roman"/>
          <w:sz w:val="22"/>
          <w:szCs w:val="22"/>
        </w:rPr>
        <w:t>-</w:t>
      </w:r>
      <w:r w:rsidR="00445EEC" w:rsidRPr="00047A9D">
        <w:rPr>
          <w:rFonts w:ascii="Times New Roman" w:hAnsi="Times New Roman" w:cs="Times New Roman"/>
          <w:sz w:val="22"/>
          <w:szCs w:val="22"/>
        </w:rPr>
        <w:t>36</w:t>
      </w:r>
      <w:r w:rsidR="0096115B" w:rsidRPr="00047A9D">
        <w:rPr>
          <w:rFonts w:ascii="Times New Roman" w:hAnsi="Times New Roman" w:cs="Times New Roman"/>
          <w:sz w:val="22"/>
          <w:szCs w:val="22"/>
        </w:rPr>
        <w:t xml:space="preserve">, </w:t>
      </w:r>
      <w:r w:rsidR="00A54329" w:rsidRPr="00047A9D">
        <w:rPr>
          <w:rFonts w:ascii="Times New Roman" w:hAnsi="Times New Roman" w:cs="Times New Roman"/>
          <w:sz w:val="22"/>
          <w:szCs w:val="22"/>
        </w:rPr>
        <w:t>p.3</w:t>
      </w:r>
      <w:r w:rsidR="006D2B87" w:rsidRPr="00047A9D">
        <w:rPr>
          <w:rFonts w:ascii="Times New Roman" w:hAnsi="Times New Roman" w:cs="Times New Roman"/>
          <w:sz w:val="22"/>
          <w:szCs w:val="22"/>
        </w:rPr>
        <w:t>1</w:t>
      </w:r>
      <w:r w:rsidR="00A54329" w:rsidRPr="00047A9D">
        <w:rPr>
          <w:rFonts w:ascii="Times New Roman" w:hAnsi="Times New Roman" w:cs="Times New Roman"/>
          <w:sz w:val="22"/>
          <w:szCs w:val="22"/>
        </w:rPr>
        <w:t>.</w:t>
      </w:r>
    </w:p>
  </w:footnote>
  <w:footnote w:id="264">
    <w:p w14:paraId="237D1982" w14:textId="4E0426DC" w:rsidR="008C4BE2" w:rsidRPr="00047A9D" w:rsidRDefault="008C4BE2" w:rsidP="00D839D4">
      <w:pPr>
        <w:pStyle w:val="FootnoteText"/>
        <w:spacing w:line="360" w:lineRule="auto"/>
        <w:rPr>
          <w:rFonts w:ascii="Times New Roman" w:hAnsi="Times New Roman" w:cs="Times New Roman"/>
          <w:b/>
          <w:b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C0085" w:rsidRPr="00047A9D">
        <w:rPr>
          <w:rFonts w:ascii="Times New Roman" w:hAnsi="Times New Roman" w:cs="Times New Roman"/>
          <w:sz w:val="22"/>
          <w:szCs w:val="22"/>
        </w:rPr>
        <w:t xml:space="preserve">D.C. Watt, ‘Twentieth-Century History’, in Ballard (ed.), </w:t>
      </w:r>
      <w:r w:rsidR="003C0085" w:rsidRPr="00047A9D">
        <w:rPr>
          <w:rFonts w:ascii="Times New Roman" w:hAnsi="Times New Roman" w:cs="Times New Roman"/>
          <w:i/>
          <w:sz w:val="22"/>
          <w:szCs w:val="22"/>
        </w:rPr>
        <w:t>New Movements</w:t>
      </w:r>
      <w:r w:rsidR="003C0085" w:rsidRPr="00047A9D">
        <w:rPr>
          <w:rFonts w:ascii="Times New Roman" w:hAnsi="Times New Roman" w:cs="Times New Roman"/>
          <w:sz w:val="22"/>
          <w:szCs w:val="22"/>
        </w:rPr>
        <w:t>,</w:t>
      </w:r>
      <w:r w:rsidR="0096115B" w:rsidRPr="00047A9D">
        <w:rPr>
          <w:rFonts w:ascii="Times New Roman" w:hAnsi="Times New Roman" w:cs="Times New Roman"/>
          <w:sz w:val="22"/>
          <w:szCs w:val="22"/>
        </w:rPr>
        <w:t xml:space="preserve"> </w:t>
      </w:r>
      <w:r w:rsidR="00D16954" w:rsidRPr="00047A9D">
        <w:rPr>
          <w:rFonts w:ascii="Times New Roman" w:hAnsi="Times New Roman" w:cs="Times New Roman"/>
          <w:sz w:val="22"/>
          <w:szCs w:val="22"/>
        </w:rPr>
        <w:t>62</w:t>
      </w:r>
      <w:r w:rsidR="003C0085" w:rsidRPr="00047A9D">
        <w:rPr>
          <w:rFonts w:ascii="Times New Roman" w:hAnsi="Times New Roman" w:cs="Times New Roman"/>
          <w:sz w:val="22"/>
          <w:szCs w:val="22"/>
        </w:rPr>
        <w:t>-</w:t>
      </w:r>
      <w:r w:rsidR="00D16954" w:rsidRPr="00047A9D">
        <w:rPr>
          <w:rFonts w:ascii="Times New Roman" w:hAnsi="Times New Roman" w:cs="Times New Roman"/>
          <w:sz w:val="22"/>
          <w:szCs w:val="22"/>
        </w:rPr>
        <w:t>75</w:t>
      </w:r>
      <w:r w:rsidR="0096115B" w:rsidRPr="00047A9D">
        <w:rPr>
          <w:rFonts w:ascii="Times New Roman" w:hAnsi="Times New Roman" w:cs="Times New Roman"/>
          <w:sz w:val="22"/>
          <w:szCs w:val="22"/>
        </w:rPr>
        <w:t xml:space="preserve">, </w:t>
      </w:r>
      <w:r w:rsidR="003C0085" w:rsidRPr="00047A9D">
        <w:rPr>
          <w:rFonts w:ascii="Times New Roman" w:hAnsi="Times New Roman" w:cs="Times New Roman"/>
          <w:sz w:val="22"/>
          <w:szCs w:val="22"/>
        </w:rPr>
        <w:t>p</w:t>
      </w:r>
      <w:r w:rsidR="005B6F0E" w:rsidRPr="00047A9D">
        <w:rPr>
          <w:rFonts w:ascii="Times New Roman" w:hAnsi="Times New Roman" w:cs="Times New Roman"/>
          <w:sz w:val="22"/>
          <w:szCs w:val="22"/>
        </w:rPr>
        <w:t>.62.</w:t>
      </w:r>
    </w:p>
  </w:footnote>
  <w:footnote w:id="265">
    <w:p w14:paraId="74BB2E40" w14:textId="57D5C564" w:rsidR="00AC3E11" w:rsidRPr="00047A9D" w:rsidRDefault="00AC3E1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Watt, ‘Twentieth-Century History’</w:t>
      </w:r>
      <w:r w:rsidR="00847FE3" w:rsidRPr="00047A9D">
        <w:rPr>
          <w:rFonts w:ascii="Times New Roman" w:hAnsi="Times New Roman" w:cs="Times New Roman"/>
          <w:sz w:val="22"/>
          <w:szCs w:val="22"/>
        </w:rPr>
        <w:t>,</w:t>
      </w:r>
      <w:r w:rsidR="005B6F0E" w:rsidRPr="00047A9D">
        <w:rPr>
          <w:rFonts w:ascii="Times New Roman" w:hAnsi="Times New Roman" w:cs="Times New Roman"/>
          <w:sz w:val="22"/>
          <w:szCs w:val="22"/>
        </w:rPr>
        <w:t xml:space="preserve"> p.65.</w:t>
      </w:r>
    </w:p>
  </w:footnote>
  <w:footnote w:id="266">
    <w:p w14:paraId="2BD0F20C" w14:textId="2D4FACFF" w:rsidR="008A7797" w:rsidRPr="00047A9D" w:rsidRDefault="008A7797"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56039" w:rsidRPr="00047A9D">
        <w:rPr>
          <w:rFonts w:ascii="Times New Roman" w:hAnsi="Times New Roman" w:cs="Times New Roman"/>
          <w:sz w:val="22"/>
          <w:szCs w:val="22"/>
        </w:rPr>
        <w:t xml:space="preserve">Gilroy, After Empire; </w:t>
      </w:r>
      <w:r w:rsidR="006F2F7A" w:rsidRPr="00047A9D">
        <w:rPr>
          <w:rFonts w:ascii="Times New Roman" w:hAnsi="Times New Roman" w:cs="Times New Roman"/>
          <w:sz w:val="22"/>
          <w:szCs w:val="22"/>
        </w:rPr>
        <w:t xml:space="preserve">Webster, </w:t>
      </w:r>
      <w:r w:rsidR="006F2F7A" w:rsidRPr="00047A9D">
        <w:rPr>
          <w:rFonts w:ascii="Times New Roman" w:hAnsi="Times New Roman" w:cs="Times New Roman"/>
          <w:i/>
          <w:sz w:val="22"/>
          <w:szCs w:val="22"/>
        </w:rPr>
        <w:t>Englishness and Empire.</w:t>
      </w:r>
    </w:p>
  </w:footnote>
  <w:footnote w:id="267">
    <w:p w14:paraId="0D50EA87" w14:textId="0E6A65CF" w:rsidR="00673259" w:rsidRPr="00047A9D" w:rsidRDefault="0067325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03DB0" w:rsidRPr="00047A9D">
        <w:rPr>
          <w:rFonts w:ascii="Times New Roman" w:hAnsi="Times New Roman" w:cs="Times New Roman"/>
          <w:sz w:val="22"/>
          <w:szCs w:val="22"/>
        </w:rPr>
        <w:t xml:space="preserve">Lyall (ed.), </w:t>
      </w:r>
      <w:r w:rsidR="00903DB0" w:rsidRPr="00047A9D">
        <w:rPr>
          <w:rFonts w:ascii="Times New Roman" w:hAnsi="Times New Roman" w:cs="Times New Roman"/>
          <w:i/>
          <w:sz w:val="22"/>
          <w:szCs w:val="22"/>
        </w:rPr>
        <w:t>World Perspective</w:t>
      </w:r>
      <w:r w:rsidR="00903DB0" w:rsidRPr="00047A9D">
        <w:rPr>
          <w:rFonts w:ascii="Times New Roman" w:hAnsi="Times New Roman" w:cs="Times New Roman"/>
          <w:sz w:val="22"/>
          <w:szCs w:val="22"/>
        </w:rPr>
        <w:t>.</w:t>
      </w:r>
    </w:p>
  </w:footnote>
  <w:footnote w:id="268">
    <w:p w14:paraId="1FB0C241" w14:textId="604F126A" w:rsidR="00A633D8" w:rsidRPr="00047A9D" w:rsidRDefault="00A633D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F472D" w:rsidRPr="00047A9D">
        <w:rPr>
          <w:rFonts w:ascii="Times New Roman" w:hAnsi="Times New Roman" w:cs="Times New Roman"/>
          <w:sz w:val="22"/>
          <w:szCs w:val="22"/>
        </w:rPr>
        <w:t>In t</w:t>
      </w:r>
      <w:r w:rsidR="00411B55" w:rsidRPr="00047A9D">
        <w:rPr>
          <w:rFonts w:ascii="Times New Roman" w:hAnsi="Times New Roman" w:cs="Times New Roman"/>
          <w:sz w:val="22"/>
          <w:szCs w:val="22"/>
        </w:rPr>
        <w:t xml:space="preserve">he immensely popular </w:t>
      </w:r>
      <w:r w:rsidR="00F9010C" w:rsidRPr="00047A9D">
        <w:rPr>
          <w:rFonts w:ascii="Times New Roman" w:hAnsi="Times New Roman" w:cs="Times New Roman"/>
          <w:sz w:val="22"/>
          <w:szCs w:val="22"/>
        </w:rPr>
        <w:t>Schools Council History 13-16 Project (‘SCHP’)</w:t>
      </w:r>
      <w:r w:rsidR="001F472D" w:rsidRPr="00047A9D">
        <w:rPr>
          <w:rFonts w:ascii="Times New Roman" w:hAnsi="Times New Roman" w:cs="Times New Roman"/>
          <w:sz w:val="22"/>
          <w:szCs w:val="22"/>
        </w:rPr>
        <w:t xml:space="preserve"> GCE and CSE curricula</w:t>
      </w:r>
      <w:r w:rsidR="00F27BE3" w:rsidRPr="00047A9D">
        <w:rPr>
          <w:rFonts w:ascii="Times New Roman" w:hAnsi="Times New Roman" w:cs="Times New Roman"/>
          <w:sz w:val="22"/>
          <w:szCs w:val="22"/>
        </w:rPr>
        <w:t xml:space="preserve">, first examined in </w:t>
      </w:r>
      <w:r w:rsidR="004F6492" w:rsidRPr="00047A9D">
        <w:rPr>
          <w:rFonts w:ascii="Times New Roman" w:hAnsi="Times New Roman" w:cs="Times New Roman"/>
          <w:sz w:val="22"/>
          <w:szCs w:val="22"/>
        </w:rPr>
        <w:t xml:space="preserve">1976, </w:t>
      </w:r>
      <w:r w:rsidR="0086195D" w:rsidRPr="00047A9D">
        <w:rPr>
          <w:rFonts w:ascii="Times New Roman" w:hAnsi="Times New Roman" w:cs="Times New Roman"/>
          <w:sz w:val="22"/>
          <w:szCs w:val="22"/>
        </w:rPr>
        <w:t>all four</w:t>
      </w:r>
      <w:r w:rsidR="001F472D" w:rsidRPr="00047A9D">
        <w:rPr>
          <w:rFonts w:ascii="Times New Roman" w:hAnsi="Times New Roman" w:cs="Times New Roman"/>
          <w:sz w:val="22"/>
          <w:szCs w:val="22"/>
        </w:rPr>
        <w:t xml:space="preserve"> </w:t>
      </w:r>
      <w:r w:rsidR="0086195D" w:rsidRPr="00047A9D">
        <w:rPr>
          <w:rFonts w:ascii="Times New Roman" w:hAnsi="Times New Roman" w:cs="Times New Roman"/>
          <w:sz w:val="22"/>
          <w:szCs w:val="22"/>
        </w:rPr>
        <w:t xml:space="preserve">options for the compulsory </w:t>
      </w:r>
      <w:r w:rsidR="001F472D" w:rsidRPr="00047A9D">
        <w:rPr>
          <w:rFonts w:ascii="Times New Roman" w:hAnsi="Times New Roman" w:cs="Times New Roman"/>
          <w:sz w:val="22"/>
          <w:szCs w:val="22"/>
        </w:rPr>
        <w:t>‘Studies in Modern World History’</w:t>
      </w:r>
      <w:r w:rsidR="0086195D" w:rsidRPr="00047A9D">
        <w:rPr>
          <w:rFonts w:ascii="Times New Roman" w:hAnsi="Times New Roman" w:cs="Times New Roman"/>
          <w:sz w:val="22"/>
          <w:szCs w:val="22"/>
        </w:rPr>
        <w:t xml:space="preserve"> were based primarily on the post-1945 period</w:t>
      </w:r>
      <w:r w:rsidR="00C62DBD" w:rsidRPr="00047A9D">
        <w:rPr>
          <w:rFonts w:ascii="Times New Roman" w:hAnsi="Times New Roman" w:cs="Times New Roman"/>
          <w:sz w:val="22"/>
          <w:szCs w:val="22"/>
        </w:rPr>
        <w:t xml:space="preserve">. See </w:t>
      </w:r>
      <w:r w:rsidR="009C3D6A" w:rsidRPr="00047A9D">
        <w:rPr>
          <w:rFonts w:ascii="Times New Roman" w:hAnsi="Times New Roman" w:cs="Times New Roman"/>
          <w:sz w:val="22"/>
          <w:szCs w:val="22"/>
        </w:rPr>
        <w:t xml:space="preserve">Ian Dawson, ‘The Schools History Project: A Study in Curriculum Development’, </w:t>
      </w:r>
      <w:r w:rsidR="009C3D6A" w:rsidRPr="00047A9D">
        <w:rPr>
          <w:rFonts w:ascii="Times New Roman" w:hAnsi="Times New Roman" w:cs="Times New Roman"/>
          <w:i/>
          <w:sz w:val="22"/>
          <w:szCs w:val="22"/>
        </w:rPr>
        <w:t>The History Teacher</w:t>
      </w:r>
      <w:r w:rsidR="009C3D6A" w:rsidRPr="00047A9D">
        <w:rPr>
          <w:rFonts w:ascii="Times New Roman" w:hAnsi="Times New Roman" w:cs="Times New Roman"/>
          <w:sz w:val="22"/>
          <w:szCs w:val="22"/>
        </w:rPr>
        <w:t xml:space="preserve"> 22.3 (1989), 221–38, p.224; </w:t>
      </w:r>
      <w:r w:rsidR="006B2F3F" w:rsidRPr="00047A9D">
        <w:rPr>
          <w:rFonts w:ascii="Times New Roman" w:hAnsi="Times New Roman" w:cs="Times New Roman"/>
          <w:sz w:val="22"/>
          <w:szCs w:val="22"/>
        </w:rPr>
        <w:t xml:space="preserve">SCHP, </w:t>
      </w:r>
      <w:r w:rsidR="006B2F3F" w:rsidRPr="00047A9D">
        <w:rPr>
          <w:rFonts w:ascii="Times New Roman" w:hAnsi="Times New Roman" w:cs="Times New Roman"/>
          <w:i/>
          <w:sz w:val="22"/>
          <w:szCs w:val="22"/>
        </w:rPr>
        <w:t>A New Look at History</w:t>
      </w:r>
      <w:r w:rsidR="00F85298" w:rsidRPr="00047A9D">
        <w:rPr>
          <w:rFonts w:ascii="Times New Roman" w:hAnsi="Times New Roman" w:cs="Times New Roman"/>
          <w:sz w:val="22"/>
          <w:szCs w:val="22"/>
        </w:rPr>
        <w:t xml:space="preserve">, </w:t>
      </w:r>
      <w:r w:rsidR="00CE1D7F" w:rsidRPr="00047A9D">
        <w:rPr>
          <w:rFonts w:ascii="Times New Roman" w:hAnsi="Times New Roman" w:cs="Times New Roman"/>
          <w:sz w:val="22"/>
          <w:szCs w:val="22"/>
        </w:rPr>
        <w:t>p</w:t>
      </w:r>
      <w:r w:rsidR="00C62DBD" w:rsidRPr="00047A9D">
        <w:rPr>
          <w:rFonts w:ascii="Times New Roman" w:hAnsi="Times New Roman" w:cs="Times New Roman"/>
          <w:sz w:val="22"/>
          <w:szCs w:val="22"/>
        </w:rPr>
        <w:t>p.19-20</w:t>
      </w:r>
      <w:r w:rsidR="00E21919" w:rsidRPr="00047A9D">
        <w:rPr>
          <w:rFonts w:ascii="Times New Roman" w:hAnsi="Times New Roman" w:cs="Times New Roman"/>
          <w:sz w:val="22"/>
          <w:szCs w:val="22"/>
        </w:rPr>
        <w:t>.</w:t>
      </w:r>
    </w:p>
  </w:footnote>
  <w:footnote w:id="269">
    <w:p w14:paraId="3A2FE13C" w14:textId="49EAE8F3" w:rsidR="002B6A1A" w:rsidRPr="00047A9D" w:rsidRDefault="002B6A1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9A561E" w:rsidRPr="00047A9D">
        <w:rPr>
          <w:rFonts w:ascii="Times New Roman" w:hAnsi="Times New Roman" w:cs="Times New Roman"/>
          <w:sz w:val="22"/>
          <w:szCs w:val="22"/>
        </w:rPr>
        <w:t xml:space="preserve"> </w:t>
      </w:r>
      <w:r w:rsidR="008A1BD3" w:rsidRPr="00047A9D">
        <w:rPr>
          <w:rFonts w:ascii="Times New Roman" w:hAnsi="Times New Roman" w:cs="Times New Roman"/>
          <w:sz w:val="22"/>
          <w:szCs w:val="22"/>
        </w:rPr>
        <w:t xml:space="preserve">See </w:t>
      </w:r>
      <w:r w:rsidR="009A561E" w:rsidRPr="00047A9D">
        <w:rPr>
          <w:rFonts w:ascii="Times New Roman" w:hAnsi="Times New Roman" w:cs="Times New Roman"/>
          <w:sz w:val="22"/>
          <w:szCs w:val="22"/>
        </w:rPr>
        <w:t xml:space="preserve">Erica Pounce, ‘“Together” - The Forgotten Contribution of the Black Commonwealth in the Two World Wars: An Anti-Racist Approach to the Teaching of the First and Second World Wars’, </w:t>
      </w:r>
      <w:r w:rsidR="009A561E" w:rsidRPr="00047A9D">
        <w:rPr>
          <w:rFonts w:ascii="Times New Roman" w:hAnsi="Times New Roman" w:cs="Times New Roman"/>
          <w:i/>
          <w:sz w:val="22"/>
          <w:szCs w:val="22"/>
        </w:rPr>
        <w:t>Multicultural Teaching</w:t>
      </w:r>
      <w:r w:rsidR="009A561E" w:rsidRPr="00047A9D">
        <w:rPr>
          <w:rFonts w:ascii="Times New Roman" w:hAnsi="Times New Roman" w:cs="Times New Roman"/>
          <w:sz w:val="22"/>
          <w:szCs w:val="22"/>
        </w:rPr>
        <w:t>, 3</w:t>
      </w:r>
      <w:r w:rsidR="008F7014" w:rsidRPr="00047A9D">
        <w:rPr>
          <w:rFonts w:ascii="Times New Roman" w:hAnsi="Times New Roman" w:cs="Times New Roman"/>
          <w:sz w:val="22"/>
          <w:szCs w:val="22"/>
        </w:rPr>
        <w:t>.</w:t>
      </w:r>
      <w:r w:rsidR="009A561E" w:rsidRPr="00047A9D">
        <w:rPr>
          <w:rFonts w:ascii="Times New Roman" w:hAnsi="Times New Roman" w:cs="Times New Roman"/>
          <w:sz w:val="22"/>
          <w:szCs w:val="22"/>
        </w:rPr>
        <w:t xml:space="preserve">3 (1985), 9-16, p.9; </w:t>
      </w:r>
      <w:r w:rsidR="00FC73CE" w:rsidRPr="00047A9D">
        <w:rPr>
          <w:rFonts w:ascii="Times New Roman" w:hAnsi="Times New Roman" w:cs="Times New Roman"/>
          <w:sz w:val="22"/>
          <w:szCs w:val="22"/>
        </w:rPr>
        <w:t xml:space="preserve">Nigel Richardson, </w:t>
      </w:r>
      <w:r w:rsidR="00044E10" w:rsidRPr="00047A9D">
        <w:rPr>
          <w:rFonts w:ascii="Times New Roman" w:hAnsi="Times New Roman" w:cs="Times New Roman"/>
          <w:sz w:val="22"/>
          <w:szCs w:val="22"/>
        </w:rPr>
        <w:t>‘</w:t>
      </w:r>
      <w:r w:rsidR="00FC73CE" w:rsidRPr="00047A9D">
        <w:rPr>
          <w:rFonts w:ascii="Times New Roman" w:hAnsi="Times New Roman" w:cs="Times New Roman"/>
          <w:sz w:val="22"/>
          <w:szCs w:val="22"/>
        </w:rPr>
        <w:t>The Problem of Violence in the Teaching of Contemporary History</w:t>
      </w:r>
      <w:r w:rsidR="00044E10" w:rsidRPr="00047A9D">
        <w:rPr>
          <w:rFonts w:ascii="Times New Roman" w:hAnsi="Times New Roman" w:cs="Times New Roman"/>
          <w:sz w:val="22"/>
          <w:szCs w:val="22"/>
        </w:rPr>
        <w:t>’</w:t>
      </w:r>
      <w:r w:rsidR="00FC73CE" w:rsidRPr="00047A9D">
        <w:rPr>
          <w:rFonts w:ascii="Times New Roman" w:hAnsi="Times New Roman" w:cs="Times New Roman"/>
          <w:sz w:val="22"/>
          <w:szCs w:val="22"/>
        </w:rPr>
        <w:t xml:space="preserve">, </w:t>
      </w:r>
      <w:r w:rsidR="00FC73CE" w:rsidRPr="00047A9D">
        <w:rPr>
          <w:rFonts w:ascii="Times New Roman" w:hAnsi="Times New Roman" w:cs="Times New Roman"/>
          <w:i/>
          <w:sz w:val="22"/>
          <w:szCs w:val="22"/>
        </w:rPr>
        <w:t>Teaching History</w:t>
      </w:r>
      <w:r w:rsidR="00FC73CE" w:rsidRPr="00047A9D">
        <w:rPr>
          <w:rFonts w:ascii="Times New Roman" w:hAnsi="Times New Roman" w:cs="Times New Roman"/>
          <w:sz w:val="22"/>
          <w:szCs w:val="22"/>
        </w:rPr>
        <w:t xml:space="preserve"> 4.13 (1975), 28–31.</w:t>
      </w:r>
    </w:p>
  </w:footnote>
  <w:footnote w:id="270">
    <w:p w14:paraId="3B0B7B1D" w14:textId="64375740" w:rsidR="0024771E" w:rsidRPr="00047A9D" w:rsidRDefault="0024771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Lyall (ed.), </w:t>
      </w:r>
      <w:r w:rsidR="00A60B2E" w:rsidRPr="00047A9D">
        <w:rPr>
          <w:rFonts w:ascii="Times New Roman" w:hAnsi="Times New Roman" w:cs="Times New Roman"/>
          <w:i/>
          <w:sz w:val="22"/>
          <w:szCs w:val="22"/>
        </w:rPr>
        <w:t>World Perspective</w:t>
      </w:r>
      <w:r w:rsidR="00A60B2E" w:rsidRPr="00047A9D">
        <w:rPr>
          <w:rFonts w:ascii="Times New Roman" w:hAnsi="Times New Roman" w:cs="Times New Roman"/>
          <w:sz w:val="22"/>
          <w:szCs w:val="22"/>
        </w:rPr>
        <w:t>.</w:t>
      </w:r>
    </w:p>
  </w:footnote>
  <w:footnote w:id="271">
    <w:p w14:paraId="05598006" w14:textId="178573D9" w:rsidR="00F62D85" w:rsidRPr="00047A9D" w:rsidRDefault="00F62D8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Watt, ‘Twentieth-Century History’, p</w:t>
      </w:r>
      <w:r w:rsidR="00797AA9" w:rsidRPr="00047A9D">
        <w:rPr>
          <w:rFonts w:ascii="Times New Roman" w:hAnsi="Times New Roman" w:cs="Times New Roman"/>
          <w:sz w:val="22"/>
          <w:szCs w:val="22"/>
        </w:rPr>
        <w:t>p</w:t>
      </w:r>
      <w:r w:rsidRPr="00047A9D">
        <w:rPr>
          <w:rFonts w:ascii="Times New Roman" w:hAnsi="Times New Roman" w:cs="Times New Roman"/>
          <w:sz w:val="22"/>
          <w:szCs w:val="22"/>
        </w:rPr>
        <w:t>.</w:t>
      </w:r>
      <w:r w:rsidR="001422AE" w:rsidRPr="00047A9D">
        <w:rPr>
          <w:rFonts w:ascii="Times New Roman" w:hAnsi="Times New Roman" w:cs="Times New Roman"/>
          <w:sz w:val="22"/>
          <w:szCs w:val="22"/>
        </w:rPr>
        <w:t>66</w:t>
      </w:r>
      <w:r w:rsidR="00797AA9" w:rsidRPr="00047A9D">
        <w:rPr>
          <w:rFonts w:ascii="Times New Roman" w:hAnsi="Times New Roman" w:cs="Times New Roman"/>
          <w:sz w:val="22"/>
          <w:szCs w:val="22"/>
        </w:rPr>
        <w:t>-67</w:t>
      </w:r>
      <w:r w:rsidR="001422AE" w:rsidRPr="00047A9D">
        <w:rPr>
          <w:rFonts w:ascii="Times New Roman" w:hAnsi="Times New Roman" w:cs="Times New Roman"/>
          <w:sz w:val="22"/>
          <w:szCs w:val="22"/>
        </w:rPr>
        <w:t>.</w:t>
      </w:r>
    </w:p>
  </w:footnote>
  <w:footnote w:id="272">
    <w:p w14:paraId="5E38B651" w14:textId="3B736908" w:rsidR="00521A4D" w:rsidRPr="00047A9D" w:rsidRDefault="00521A4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0670A" w:rsidRPr="00047A9D">
        <w:rPr>
          <w:rFonts w:ascii="Times New Roman" w:hAnsi="Times New Roman" w:cs="Times New Roman"/>
          <w:sz w:val="22"/>
          <w:szCs w:val="22"/>
        </w:rPr>
        <w:t>Ballard, ‘Change and the Curriculum’, p.8.</w:t>
      </w:r>
    </w:p>
  </w:footnote>
  <w:footnote w:id="273">
    <w:p w14:paraId="78691F8F" w14:textId="47B456C4" w:rsidR="000466DB" w:rsidRPr="00047A9D" w:rsidRDefault="000466D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17FDC" w:rsidRPr="00047A9D">
        <w:rPr>
          <w:rFonts w:ascii="Times New Roman" w:hAnsi="Times New Roman" w:cs="Times New Roman"/>
          <w:sz w:val="22"/>
          <w:szCs w:val="22"/>
        </w:rPr>
        <w:t xml:space="preserve">Hannam, ‘Prejudice and the Teaching of History’, in Ballard (ed.), </w:t>
      </w:r>
      <w:r w:rsidR="00517FDC" w:rsidRPr="00047A9D">
        <w:rPr>
          <w:rFonts w:ascii="Times New Roman" w:hAnsi="Times New Roman" w:cs="Times New Roman"/>
          <w:i/>
          <w:sz w:val="22"/>
          <w:szCs w:val="22"/>
        </w:rPr>
        <w:t xml:space="preserve">New Movements, </w:t>
      </w:r>
      <w:r w:rsidR="00517FDC" w:rsidRPr="00047A9D">
        <w:rPr>
          <w:rFonts w:ascii="Times New Roman" w:hAnsi="Times New Roman" w:cs="Times New Roman"/>
          <w:sz w:val="22"/>
          <w:szCs w:val="22"/>
        </w:rPr>
        <w:t>26-36, p.30.</w:t>
      </w:r>
    </w:p>
  </w:footnote>
  <w:footnote w:id="274">
    <w:p w14:paraId="0B0D2A8E" w14:textId="0F7D3042" w:rsidR="00814E3C" w:rsidRPr="00047A9D" w:rsidRDefault="00814E3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w:t>
      </w:r>
      <w:r w:rsidR="00BC3C5E" w:rsidRPr="00047A9D">
        <w:rPr>
          <w:rFonts w:ascii="Times New Roman" w:hAnsi="Times New Roman" w:cs="Times New Roman"/>
          <w:sz w:val="22"/>
          <w:szCs w:val="22"/>
        </w:rPr>
        <w:t xml:space="preserve">William McNeill, ‘World History in the Schools’, in </w:t>
      </w:r>
      <w:r w:rsidR="00CE69B4" w:rsidRPr="00047A9D">
        <w:rPr>
          <w:rFonts w:ascii="Times New Roman" w:hAnsi="Times New Roman" w:cs="Times New Roman"/>
          <w:sz w:val="22"/>
          <w:szCs w:val="22"/>
        </w:rPr>
        <w:t xml:space="preserve">Ballard (ed.), </w:t>
      </w:r>
      <w:r w:rsidR="00CE69B4" w:rsidRPr="00047A9D">
        <w:rPr>
          <w:rFonts w:ascii="Times New Roman" w:hAnsi="Times New Roman" w:cs="Times New Roman"/>
          <w:i/>
          <w:sz w:val="22"/>
          <w:szCs w:val="22"/>
        </w:rPr>
        <w:t>New Movements</w:t>
      </w:r>
      <w:r w:rsidR="00BC3C5E" w:rsidRPr="00047A9D">
        <w:rPr>
          <w:rFonts w:ascii="Times New Roman" w:hAnsi="Times New Roman" w:cs="Times New Roman"/>
          <w:sz w:val="22"/>
          <w:szCs w:val="22"/>
        </w:rPr>
        <w:t>, 16-25, pp.</w:t>
      </w:r>
      <w:r w:rsidR="00A60311" w:rsidRPr="00047A9D">
        <w:rPr>
          <w:rFonts w:ascii="Times New Roman" w:hAnsi="Times New Roman" w:cs="Times New Roman"/>
          <w:sz w:val="22"/>
          <w:szCs w:val="22"/>
        </w:rPr>
        <w:t xml:space="preserve">22, </w:t>
      </w:r>
      <w:r w:rsidR="00BC3C5E" w:rsidRPr="00047A9D">
        <w:rPr>
          <w:rFonts w:ascii="Times New Roman" w:hAnsi="Times New Roman" w:cs="Times New Roman"/>
          <w:sz w:val="22"/>
          <w:szCs w:val="22"/>
        </w:rPr>
        <w:t>24-25.</w:t>
      </w:r>
    </w:p>
  </w:footnote>
  <w:footnote w:id="275">
    <w:p w14:paraId="6C0AE4CA" w14:textId="6115EF3C" w:rsidR="00475AA8" w:rsidRPr="00047A9D" w:rsidRDefault="00475AA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F575A" w:rsidRPr="00047A9D">
        <w:rPr>
          <w:rFonts w:ascii="Times New Roman" w:hAnsi="Times New Roman" w:cs="Times New Roman"/>
          <w:sz w:val="22"/>
          <w:szCs w:val="22"/>
        </w:rPr>
        <w:t xml:space="preserve">Cannadine, Keating, and Sheldon, </w:t>
      </w:r>
      <w:r w:rsidR="001F575A" w:rsidRPr="00047A9D">
        <w:rPr>
          <w:rFonts w:ascii="Times New Roman" w:hAnsi="Times New Roman" w:cs="Times New Roman"/>
          <w:i/>
          <w:sz w:val="22"/>
          <w:szCs w:val="22"/>
        </w:rPr>
        <w:t>The Right Kind</w:t>
      </w:r>
      <w:r w:rsidR="001F575A" w:rsidRPr="00047A9D">
        <w:rPr>
          <w:rFonts w:ascii="Times New Roman" w:hAnsi="Times New Roman" w:cs="Times New Roman"/>
          <w:sz w:val="22"/>
          <w:szCs w:val="22"/>
        </w:rPr>
        <w:t>, p.</w:t>
      </w:r>
      <w:r w:rsidR="00F66EC9" w:rsidRPr="00047A9D">
        <w:rPr>
          <w:rFonts w:ascii="Times New Roman" w:hAnsi="Times New Roman" w:cs="Times New Roman"/>
          <w:sz w:val="22"/>
          <w:szCs w:val="22"/>
        </w:rPr>
        <w:t>151.</w:t>
      </w:r>
    </w:p>
  </w:footnote>
  <w:footnote w:id="276">
    <w:p w14:paraId="0033F148" w14:textId="160F7516" w:rsidR="00B97495" w:rsidRPr="00047A9D" w:rsidRDefault="00B9749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Cannadine, Keating, and Sheldon, </w:t>
      </w:r>
      <w:r w:rsidRPr="00047A9D">
        <w:rPr>
          <w:rFonts w:ascii="Times New Roman" w:hAnsi="Times New Roman" w:cs="Times New Roman"/>
          <w:i/>
          <w:sz w:val="22"/>
          <w:szCs w:val="22"/>
        </w:rPr>
        <w:t>The Right Kind</w:t>
      </w:r>
      <w:r w:rsidRPr="00047A9D">
        <w:rPr>
          <w:rFonts w:ascii="Times New Roman" w:hAnsi="Times New Roman" w:cs="Times New Roman"/>
          <w:sz w:val="22"/>
          <w:szCs w:val="22"/>
        </w:rPr>
        <w:t>, p.151.</w:t>
      </w:r>
    </w:p>
  </w:footnote>
  <w:footnote w:id="277">
    <w:p w14:paraId="14550F80" w14:textId="3B7848EA" w:rsidR="003D39F4" w:rsidRPr="00047A9D" w:rsidRDefault="003D39F4"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A43CC" w:rsidRPr="00047A9D">
        <w:rPr>
          <w:rFonts w:ascii="Times New Roman" w:hAnsi="Times New Roman" w:cs="Times New Roman"/>
          <w:sz w:val="22"/>
          <w:szCs w:val="22"/>
        </w:rPr>
        <w:t xml:space="preserve">Cannadine, Keating, and Sheldon, </w:t>
      </w:r>
      <w:r w:rsidR="004A43CC" w:rsidRPr="00047A9D">
        <w:rPr>
          <w:rFonts w:ascii="Times New Roman" w:hAnsi="Times New Roman" w:cs="Times New Roman"/>
          <w:i/>
          <w:sz w:val="22"/>
          <w:szCs w:val="22"/>
        </w:rPr>
        <w:t>The Right Kind</w:t>
      </w:r>
      <w:r w:rsidR="004A43CC" w:rsidRPr="00047A9D">
        <w:rPr>
          <w:rFonts w:ascii="Times New Roman" w:hAnsi="Times New Roman" w:cs="Times New Roman"/>
          <w:sz w:val="22"/>
          <w:szCs w:val="22"/>
        </w:rPr>
        <w:t xml:space="preserve">, p.151; </w:t>
      </w:r>
      <w:r w:rsidR="00D76047" w:rsidRPr="00047A9D">
        <w:rPr>
          <w:rFonts w:ascii="Times New Roman" w:hAnsi="Times New Roman" w:cs="Times New Roman"/>
          <w:sz w:val="22"/>
          <w:szCs w:val="22"/>
        </w:rPr>
        <w:t xml:space="preserve">Central Advisory Council for Education (England), </w:t>
      </w:r>
      <w:r w:rsidR="00D76047" w:rsidRPr="00047A9D">
        <w:rPr>
          <w:rFonts w:ascii="Times New Roman" w:hAnsi="Times New Roman" w:cs="Times New Roman"/>
          <w:i/>
          <w:sz w:val="22"/>
          <w:szCs w:val="22"/>
        </w:rPr>
        <w:t xml:space="preserve">Half Our Future </w:t>
      </w:r>
      <w:r w:rsidR="00D76047" w:rsidRPr="00047A9D">
        <w:rPr>
          <w:rFonts w:ascii="Times New Roman" w:hAnsi="Times New Roman" w:cs="Times New Roman"/>
          <w:sz w:val="22"/>
          <w:szCs w:val="22"/>
        </w:rPr>
        <w:t>(the ‘Newsom Report’), (London: HMSO, 1963),</w:t>
      </w:r>
      <w:r w:rsidR="003E79F6" w:rsidRPr="00047A9D">
        <w:rPr>
          <w:rFonts w:ascii="Times New Roman" w:hAnsi="Times New Roman" w:cs="Times New Roman"/>
          <w:sz w:val="22"/>
          <w:szCs w:val="22"/>
        </w:rPr>
        <w:t xml:space="preserve"> pp.164, 166</w:t>
      </w:r>
      <w:r w:rsidRPr="00047A9D">
        <w:rPr>
          <w:rFonts w:ascii="Times New Roman" w:hAnsi="Times New Roman" w:cs="Times New Roman"/>
          <w:i/>
          <w:sz w:val="22"/>
          <w:szCs w:val="22"/>
        </w:rPr>
        <w:t>.</w:t>
      </w:r>
    </w:p>
  </w:footnote>
  <w:footnote w:id="278">
    <w:p w14:paraId="43C51606" w14:textId="696E8A42" w:rsidR="009E17EA" w:rsidRPr="00047A9D" w:rsidRDefault="009E17E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B22AA" w:rsidRPr="00047A9D">
        <w:rPr>
          <w:rFonts w:ascii="Times New Roman" w:hAnsi="Times New Roman" w:cs="Times New Roman"/>
          <w:sz w:val="22"/>
          <w:szCs w:val="22"/>
        </w:rPr>
        <w:t xml:space="preserve">Clyde Chitty, </w:t>
      </w:r>
      <w:r w:rsidR="00A2274D" w:rsidRPr="00047A9D">
        <w:rPr>
          <w:rFonts w:ascii="Times New Roman" w:hAnsi="Times New Roman" w:cs="Times New Roman"/>
          <w:sz w:val="22"/>
          <w:szCs w:val="22"/>
        </w:rPr>
        <w:t>‘</w:t>
      </w:r>
      <w:r w:rsidR="006B22AA" w:rsidRPr="00047A9D">
        <w:rPr>
          <w:rFonts w:ascii="Times New Roman" w:hAnsi="Times New Roman" w:cs="Times New Roman"/>
          <w:sz w:val="22"/>
          <w:szCs w:val="22"/>
        </w:rPr>
        <w:t>Secondary School Examinations: A Historical Perspective</w:t>
      </w:r>
      <w:r w:rsidR="00A2274D" w:rsidRPr="00047A9D">
        <w:rPr>
          <w:rFonts w:ascii="Times New Roman" w:hAnsi="Times New Roman" w:cs="Times New Roman"/>
          <w:sz w:val="22"/>
          <w:szCs w:val="22"/>
        </w:rPr>
        <w:t>’</w:t>
      </w:r>
      <w:r w:rsidR="006B22AA" w:rsidRPr="00047A9D">
        <w:rPr>
          <w:rFonts w:ascii="Times New Roman" w:hAnsi="Times New Roman" w:cs="Times New Roman"/>
          <w:sz w:val="22"/>
          <w:szCs w:val="22"/>
        </w:rPr>
        <w:t xml:space="preserve">, </w:t>
      </w:r>
      <w:r w:rsidR="006B22AA" w:rsidRPr="00047A9D">
        <w:rPr>
          <w:rFonts w:ascii="Times New Roman" w:hAnsi="Times New Roman" w:cs="Times New Roman"/>
          <w:i/>
          <w:sz w:val="22"/>
          <w:szCs w:val="22"/>
        </w:rPr>
        <w:t>Forum</w:t>
      </w:r>
      <w:r w:rsidR="006B22AA" w:rsidRPr="00047A9D">
        <w:rPr>
          <w:rFonts w:ascii="Times New Roman" w:hAnsi="Times New Roman" w:cs="Times New Roman"/>
          <w:sz w:val="22"/>
          <w:szCs w:val="22"/>
        </w:rPr>
        <w:t xml:space="preserve"> 55.3 (2013)</w:t>
      </w:r>
      <w:r w:rsidR="001643EE">
        <w:rPr>
          <w:rFonts w:ascii="Times New Roman" w:hAnsi="Times New Roman" w:cs="Times New Roman"/>
          <w:sz w:val="22"/>
          <w:szCs w:val="22"/>
        </w:rPr>
        <w:t>,</w:t>
      </w:r>
      <w:r w:rsidR="006B22AA" w:rsidRPr="00047A9D">
        <w:rPr>
          <w:rFonts w:ascii="Times New Roman" w:hAnsi="Times New Roman" w:cs="Times New Roman"/>
          <w:sz w:val="22"/>
          <w:szCs w:val="22"/>
        </w:rPr>
        <w:t xml:space="preserve"> 355-66, pp.355-56.</w:t>
      </w:r>
    </w:p>
  </w:footnote>
  <w:footnote w:id="279">
    <w:p w14:paraId="7FB5DEAF" w14:textId="5AD5628B" w:rsidR="005B69EF" w:rsidRPr="00047A9D" w:rsidRDefault="005B69E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R</w:t>
      </w:r>
      <w:r w:rsidR="00284F2B" w:rsidRPr="00047A9D">
        <w:rPr>
          <w:rFonts w:ascii="Times New Roman" w:hAnsi="Times New Roman" w:cs="Times New Roman"/>
          <w:sz w:val="22"/>
          <w:szCs w:val="22"/>
        </w:rPr>
        <w:t>oger</w:t>
      </w:r>
      <w:r w:rsidR="00702833" w:rsidRPr="00047A9D">
        <w:rPr>
          <w:rFonts w:ascii="Times New Roman" w:hAnsi="Times New Roman" w:cs="Times New Roman"/>
          <w:sz w:val="22"/>
          <w:szCs w:val="22"/>
        </w:rPr>
        <w:t xml:space="preserve"> </w:t>
      </w:r>
      <w:r w:rsidRPr="00047A9D">
        <w:rPr>
          <w:rFonts w:ascii="Times New Roman" w:hAnsi="Times New Roman" w:cs="Times New Roman"/>
          <w:sz w:val="22"/>
          <w:szCs w:val="22"/>
        </w:rPr>
        <w:t xml:space="preserve">Longden, ‘The History and Validity of the Teaching of World History in England, with Special Reference to the Period after 1945’ (unpublished </w:t>
      </w:r>
      <w:r w:rsidR="00D1607A" w:rsidRPr="00047A9D">
        <w:rPr>
          <w:rFonts w:ascii="Times New Roman" w:hAnsi="Times New Roman" w:cs="Times New Roman"/>
          <w:sz w:val="22"/>
          <w:szCs w:val="22"/>
        </w:rPr>
        <w:t>M</w:t>
      </w:r>
      <w:r w:rsidRPr="00047A9D">
        <w:rPr>
          <w:rFonts w:ascii="Times New Roman" w:hAnsi="Times New Roman" w:cs="Times New Roman"/>
          <w:sz w:val="22"/>
          <w:szCs w:val="22"/>
        </w:rPr>
        <w:t>aster</w:t>
      </w:r>
      <w:r w:rsidR="00C304F8">
        <w:rPr>
          <w:rFonts w:ascii="Times New Roman" w:hAnsi="Times New Roman" w:cs="Times New Roman"/>
          <w:sz w:val="22"/>
          <w:szCs w:val="22"/>
        </w:rPr>
        <w:t>’</w:t>
      </w:r>
      <w:r w:rsidRPr="00047A9D">
        <w:rPr>
          <w:rFonts w:ascii="Times New Roman" w:hAnsi="Times New Roman" w:cs="Times New Roman"/>
          <w:sz w:val="22"/>
          <w:szCs w:val="22"/>
        </w:rPr>
        <w:t>s thesis, University of Sheffield, 1972),</w:t>
      </w:r>
      <w:r w:rsidR="002C03AC" w:rsidRPr="00047A9D">
        <w:rPr>
          <w:rFonts w:ascii="Times New Roman" w:hAnsi="Times New Roman" w:cs="Times New Roman"/>
          <w:sz w:val="22"/>
          <w:szCs w:val="22"/>
        </w:rPr>
        <w:t xml:space="preserve"> p.213.</w:t>
      </w:r>
    </w:p>
  </w:footnote>
  <w:footnote w:id="280">
    <w:p w14:paraId="3C908D89" w14:textId="2C763162" w:rsidR="004C1CCE" w:rsidRPr="00047A9D" w:rsidRDefault="004C1CC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C0F2C" w:rsidRPr="00047A9D">
        <w:rPr>
          <w:rFonts w:ascii="Times New Roman" w:hAnsi="Times New Roman" w:cs="Times New Roman"/>
          <w:sz w:val="22"/>
          <w:szCs w:val="22"/>
        </w:rPr>
        <w:t>Longden, ‘World History in England’</w:t>
      </w:r>
      <w:r w:rsidR="00BA2B67" w:rsidRPr="00047A9D">
        <w:rPr>
          <w:rFonts w:ascii="Times New Roman" w:hAnsi="Times New Roman" w:cs="Times New Roman"/>
          <w:sz w:val="22"/>
          <w:szCs w:val="22"/>
        </w:rPr>
        <w:t xml:space="preserve">, </w:t>
      </w:r>
      <w:r w:rsidR="0095735B" w:rsidRPr="00047A9D">
        <w:rPr>
          <w:rFonts w:ascii="Times New Roman" w:hAnsi="Times New Roman" w:cs="Times New Roman"/>
          <w:sz w:val="22"/>
          <w:szCs w:val="22"/>
        </w:rPr>
        <w:t>‘</w:t>
      </w:r>
      <w:r w:rsidRPr="00047A9D">
        <w:rPr>
          <w:rFonts w:ascii="Times New Roman" w:hAnsi="Times New Roman" w:cs="Times New Roman"/>
          <w:sz w:val="22"/>
          <w:szCs w:val="22"/>
        </w:rPr>
        <w:t>Table 11:3</w:t>
      </w:r>
      <w:r w:rsidR="006A5908" w:rsidRPr="00047A9D">
        <w:rPr>
          <w:rFonts w:ascii="Times New Roman" w:hAnsi="Times New Roman" w:cs="Times New Roman"/>
          <w:sz w:val="22"/>
          <w:szCs w:val="22"/>
        </w:rPr>
        <w:t xml:space="preserve">: East Anglia </w:t>
      </w:r>
      <w:r w:rsidR="0095735B" w:rsidRPr="00047A9D">
        <w:rPr>
          <w:rFonts w:ascii="Times New Roman" w:hAnsi="Times New Roman" w:cs="Times New Roman"/>
          <w:sz w:val="22"/>
          <w:szCs w:val="22"/>
        </w:rPr>
        <w:t>R</w:t>
      </w:r>
      <w:r w:rsidR="006A5908" w:rsidRPr="00047A9D">
        <w:rPr>
          <w:rFonts w:ascii="Times New Roman" w:hAnsi="Times New Roman" w:cs="Times New Roman"/>
          <w:sz w:val="22"/>
          <w:szCs w:val="22"/>
        </w:rPr>
        <w:t>egional Examining Board History (North): Entries 1966-71</w:t>
      </w:r>
      <w:r w:rsidR="0095735B" w:rsidRPr="00047A9D">
        <w:rPr>
          <w:rFonts w:ascii="Times New Roman" w:hAnsi="Times New Roman" w:cs="Times New Roman"/>
          <w:sz w:val="22"/>
          <w:szCs w:val="22"/>
        </w:rPr>
        <w:t>’</w:t>
      </w:r>
      <w:r w:rsidR="006A5908" w:rsidRPr="00047A9D">
        <w:rPr>
          <w:rFonts w:ascii="Times New Roman" w:hAnsi="Times New Roman" w:cs="Times New Roman"/>
          <w:sz w:val="22"/>
          <w:szCs w:val="22"/>
        </w:rPr>
        <w:t xml:space="preserve">, </w:t>
      </w:r>
      <w:r w:rsidR="00803BBE" w:rsidRPr="00047A9D">
        <w:rPr>
          <w:rFonts w:ascii="Times New Roman" w:hAnsi="Times New Roman" w:cs="Times New Roman"/>
          <w:sz w:val="22"/>
          <w:szCs w:val="22"/>
        </w:rPr>
        <w:t xml:space="preserve">no page number, </w:t>
      </w:r>
      <w:r w:rsidR="00544EC4" w:rsidRPr="00047A9D">
        <w:rPr>
          <w:rFonts w:ascii="Times New Roman" w:hAnsi="Times New Roman" w:cs="Times New Roman"/>
          <w:sz w:val="22"/>
          <w:szCs w:val="22"/>
        </w:rPr>
        <w:t>(</w:t>
      </w:r>
      <w:r w:rsidR="00161CCA" w:rsidRPr="00047A9D">
        <w:rPr>
          <w:rFonts w:ascii="Times New Roman" w:hAnsi="Times New Roman" w:cs="Times New Roman"/>
          <w:sz w:val="22"/>
          <w:szCs w:val="22"/>
        </w:rPr>
        <w:t xml:space="preserve">hereafter </w:t>
      </w:r>
      <w:r w:rsidR="009C35CE" w:rsidRPr="00047A9D">
        <w:rPr>
          <w:rFonts w:ascii="Times New Roman" w:hAnsi="Times New Roman" w:cs="Times New Roman"/>
          <w:sz w:val="22"/>
          <w:szCs w:val="22"/>
        </w:rPr>
        <w:t>‘</w:t>
      </w:r>
      <w:r w:rsidR="006D48BC" w:rsidRPr="00047A9D">
        <w:rPr>
          <w:rFonts w:ascii="Times New Roman" w:hAnsi="Times New Roman" w:cs="Times New Roman"/>
          <w:sz w:val="22"/>
          <w:szCs w:val="22"/>
        </w:rPr>
        <w:t>n.p</w:t>
      </w:r>
      <w:r w:rsidR="00161CCA" w:rsidRPr="00047A9D">
        <w:rPr>
          <w:rFonts w:ascii="Times New Roman" w:hAnsi="Times New Roman" w:cs="Times New Roman"/>
          <w:sz w:val="22"/>
          <w:szCs w:val="22"/>
        </w:rPr>
        <w:t>.</w:t>
      </w:r>
      <w:r w:rsidR="009C35CE" w:rsidRPr="00047A9D">
        <w:rPr>
          <w:rFonts w:ascii="Times New Roman" w:hAnsi="Times New Roman" w:cs="Times New Roman"/>
          <w:sz w:val="22"/>
          <w:szCs w:val="22"/>
        </w:rPr>
        <w:t>’</w:t>
      </w:r>
      <w:r w:rsidR="00544EC4" w:rsidRPr="00047A9D">
        <w:rPr>
          <w:rFonts w:ascii="Times New Roman" w:hAnsi="Times New Roman" w:cs="Times New Roman"/>
          <w:sz w:val="22"/>
          <w:szCs w:val="22"/>
        </w:rPr>
        <w:t>).</w:t>
      </w:r>
    </w:p>
  </w:footnote>
  <w:footnote w:id="281">
    <w:p w14:paraId="64B4F3A9" w14:textId="1358F6A1" w:rsidR="004C1CCE" w:rsidRPr="00047A9D" w:rsidRDefault="004C1CC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5002D" w:rsidRPr="00047A9D">
        <w:rPr>
          <w:rFonts w:ascii="Times New Roman" w:hAnsi="Times New Roman" w:cs="Times New Roman"/>
          <w:sz w:val="22"/>
          <w:szCs w:val="22"/>
        </w:rPr>
        <w:t>Longden, ‘World History in England’</w:t>
      </w:r>
      <w:r w:rsidR="005401D9" w:rsidRPr="00047A9D">
        <w:rPr>
          <w:rFonts w:ascii="Times New Roman" w:hAnsi="Times New Roman" w:cs="Times New Roman"/>
          <w:i/>
          <w:sz w:val="22"/>
          <w:szCs w:val="22"/>
        </w:rPr>
        <w:t xml:space="preserve">, </w:t>
      </w:r>
      <w:r w:rsidR="005401D9" w:rsidRPr="00047A9D">
        <w:rPr>
          <w:rFonts w:ascii="Times New Roman" w:hAnsi="Times New Roman" w:cs="Times New Roman"/>
          <w:sz w:val="22"/>
          <w:szCs w:val="22"/>
        </w:rPr>
        <w:t>p</w:t>
      </w:r>
      <w:r w:rsidRPr="00047A9D">
        <w:rPr>
          <w:rFonts w:ascii="Times New Roman" w:hAnsi="Times New Roman" w:cs="Times New Roman"/>
          <w:sz w:val="22"/>
          <w:szCs w:val="22"/>
        </w:rPr>
        <w:t>.255.</w:t>
      </w:r>
    </w:p>
  </w:footnote>
  <w:footnote w:id="282">
    <w:p w14:paraId="0CF47942" w14:textId="2193A8B8" w:rsidR="004C1CCE" w:rsidRPr="00047A9D" w:rsidRDefault="004C1CC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A00D8" w:rsidRPr="00047A9D">
        <w:rPr>
          <w:rFonts w:ascii="Times New Roman" w:hAnsi="Times New Roman" w:cs="Times New Roman"/>
          <w:sz w:val="22"/>
          <w:szCs w:val="22"/>
        </w:rPr>
        <w:t>Longden, ‘World History in England’</w:t>
      </w:r>
      <w:r w:rsidR="005401D9" w:rsidRPr="00047A9D">
        <w:rPr>
          <w:rFonts w:ascii="Times New Roman" w:hAnsi="Times New Roman" w:cs="Times New Roman"/>
          <w:i/>
          <w:sz w:val="22"/>
          <w:szCs w:val="22"/>
        </w:rPr>
        <w:t xml:space="preserve">, </w:t>
      </w:r>
      <w:r w:rsidR="005401D9" w:rsidRPr="00047A9D">
        <w:rPr>
          <w:rFonts w:ascii="Times New Roman" w:hAnsi="Times New Roman" w:cs="Times New Roman"/>
          <w:sz w:val="22"/>
          <w:szCs w:val="22"/>
        </w:rPr>
        <w:t>p</w:t>
      </w:r>
      <w:r w:rsidRPr="00047A9D">
        <w:rPr>
          <w:rFonts w:ascii="Times New Roman" w:hAnsi="Times New Roman" w:cs="Times New Roman"/>
          <w:sz w:val="22"/>
          <w:szCs w:val="22"/>
        </w:rPr>
        <w:t>.253.</w:t>
      </w:r>
    </w:p>
  </w:footnote>
  <w:footnote w:id="283">
    <w:p w14:paraId="19DC8ACE" w14:textId="6C48229B" w:rsidR="004C1CCE" w:rsidRPr="00047A9D" w:rsidRDefault="004C1CC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82CD1" w:rsidRPr="00047A9D">
        <w:rPr>
          <w:rFonts w:ascii="Times New Roman" w:hAnsi="Times New Roman" w:cs="Times New Roman"/>
          <w:sz w:val="22"/>
          <w:szCs w:val="22"/>
        </w:rPr>
        <w:t>Longden, ‘World History in England’</w:t>
      </w:r>
      <w:r w:rsidR="00B05BD5" w:rsidRPr="00047A9D">
        <w:rPr>
          <w:rFonts w:ascii="Times New Roman" w:hAnsi="Times New Roman" w:cs="Times New Roman"/>
          <w:sz w:val="22"/>
          <w:szCs w:val="22"/>
        </w:rPr>
        <w:t>, p.253.</w:t>
      </w:r>
    </w:p>
  </w:footnote>
  <w:footnote w:id="284">
    <w:p w14:paraId="0C2F5E5C" w14:textId="0E77A285" w:rsidR="004C1CCE" w:rsidRPr="00047A9D" w:rsidRDefault="004C1CC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772C7" w:rsidRPr="00047A9D">
        <w:rPr>
          <w:rFonts w:ascii="Times New Roman" w:hAnsi="Times New Roman" w:cs="Times New Roman"/>
          <w:sz w:val="22"/>
          <w:szCs w:val="22"/>
        </w:rPr>
        <w:t>Longden, ‘World History in England’</w:t>
      </w:r>
      <w:r w:rsidR="00B05BD5" w:rsidRPr="00047A9D">
        <w:rPr>
          <w:rFonts w:ascii="Times New Roman" w:hAnsi="Times New Roman" w:cs="Times New Roman"/>
          <w:i/>
          <w:sz w:val="22"/>
          <w:szCs w:val="22"/>
        </w:rPr>
        <w:t xml:space="preserve">, </w:t>
      </w:r>
      <w:r w:rsidR="00B45FD3" w:rsidRPr="00047A9D">
        <w:rPr>
          <w:rFonts w:ascii="Times New Roman" w:hAnsi="Times New Roman" w:cs="Times New Roman"/>
          <w:sz w:val="22"/>
          <w:szCs w:val="22"/>
        </w:rPr>
        <w:t>p</w:t>
      </w:r>
      <w:r w:rsidR="00B05BD5" w:rsidRPr="00047A9D">
        <w:rPr>
          <w:rFonts w:ascii="Times New Roman" w:hAnsi="Times New Roman" w:cs="Times New Roman"/>
          <w:sz w:val="22"/>
          <w:szCs w:val="22"/>
        </w:rPr>
        <w:t>p.253</w:t>
      </w:r>
      <w:r w:rsidR="00B45FD3" w:rsidRPr="00047A9D">
        <w:rPr>
          <w:rFonts w:ascii="Times New Roman" w:hAnsi="Times New Roman" w:cs="Times New Roman"/>
          <w:sz w:val="22"/>
          <w:szCs w:val="22"/>
        </w:rPr>
        <w:t>-54.</w:t>
      </w:r>
    </w:p>
  </w:footnote>
  <w:footnote w:id="285">
    <w:p w14:paraId="6F153243" w14:textId="5F08DD21" w:rsidR="00BD4D07" w:rsidRPr="00047A9D" w:rsidRDefault="00BD4D0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81744" w:rsidRPr="00047A9D">
        <w:rPr>
          <w:rFonts w:ascii="Times New Roman" w:hAnsi="Times New Roman" w:cs="Times New Roman"/>
          <w:sz w:val="22"/>
          <w:szCs w:val="22"/>
        </w:rPr>
        <w:t xml:space="preserve">As Laura Carter argues, the flexibility of CSE Modes II and III </w:t>
      </w:r>
      <w:r w:rsidR="00214841" w:rsidRPr="00047A9D">
        <w:rPr>
          <w:rFonts w:ascii="Times New Roman" w:hAnsi="Times New Roman" w:cs="Times New Roman"/>
          <w:sz w:val="22"/>
          <w:szCs w:val="22"/>
        </w:rPr>
        <w:t xml:space="preserve">allowed teachers to </w:t>
      </w:r>
      <w:r w:rsidR="00E10FC9" w:rsidRPr="00047A9D">
        <w:rPr>
          <w:rFonts w:ascii="Times New Roman" w:hAnsi="Times New Roman" w:cs="Times New Roman"/>
          <w:sz w:val="22"/>
          <w:szCs w:val="22"/>
        </w:rPr>
        <w:t xml:space="preserve">experiment with </w:t>
      </w:r>
      <w:r w:rsidR="00603904" w:rsidRPr="00047A9D">
        <w:rPr>
          <w:rFonts w:ascii="Times New Roman" w:hAnsi="Times New Roman" w:cs="Times New Roman"/>
          <w:sz w:val="22"/>
          <w:szCs w:val="22"/>
        </w:rPr>
        <w:t xml:space="preserve">history as a </w:t>
      </w:r>
      <w:r w:rsidR="00E10FC9" w:rsidRPr="00047A9D">
        <w:rPr>
          <w:rFonts w:ascii="Times New Roman" w:hAnsi="Times New Roman" w:cs="Times New Roman"/>
          <w:sz w:val="22"/>
          <w:szCs w:val="22"/>
        </w:rPr>
        <w:t xml:space="preserve">form of social education for ‘low ability’ </w:t>
      </w:r>
      <w:r w:rsidR="00A9790D" w:rsidRPr="00047A9D">
        <w:rPr>
          <w:rFonts w:ascii="Times New Roman" w:hAnsi="Times New Roman" w:cs="Times New Roman"/>
          <w:sz w:val="22"/>
          <w:szCs w:val="22"/>
        </w:rPr>
        <w:t>pupils. Such courses tended to start from the local and familiar</w:t>
      </w:r>
      <w:r w:rsidR="002B6734" w:rsidRPr="00047A9D">
        <w:rPr>
          <w:rFonts w:ascii="Times New Roman" w:hAnsi="Times New Roman" w:cs="Times New Roman"/>
          <w:sz w:val="22"/>
          <w:szCs w:val="22"/>
        </w:rPr>
        <w:t xml:space="preserve">; a mode of British social and economic history which emphasised </w:t>
      </w:r>
      <w:r w:rsidR="00EF6FB1" w:rsidRPr="00047A9D">
        <w:rPr>
          <w:rFonts w:ascii="Times New Roman" w:hAnsi="Times New Roman" w:cs="Times New Roman"/>
          <w:sz w:val="22"/>
          <w:szCs w:val="22"/>
        </w:rPr>
        <w:t xml:space="preserve">‘the history of everyday life’. See Carter, </w:t>
      </w:r>
      <w:r w:rsidR="00EF6FB1" w:rsidRPr="00047A9D">
        <w:rPr>
          <w:rFonts w:ascii="Times New Roman" w:hAnsi="Times New Roman" w:cs="Times New Roman"/>
          <w:i/>
          <w:sz w:val="22"/>
          <w:szCs w:val="22"/>
        </w:rPr>
        <w:t xml:space="preserve">Histories of Everyday Life, </w:t>
      </w:r>
      <w:r w:rsidR="00EF6FB1" w:rsidRPr="00047A9D">
        <w:rPr>
          <w:rFonts w:ascii="Times New Roman" w:hAnsi="Times New Roman" w:cs="Times New Roman"/>
          <w:sz w:val="22"/>
          <w:szCs w:val="22"/>
        </w:rPr>
        <w:t>pp.223-24.</w:t>
      </w:r>
    </w:p>
  </w:footnote>
  <w:footnote w:id="286">
    <w:p w14:paraId="10932349" w14:textId="60ECC821" w:rsidR="004C1CCE" w:rsidRPr="00047A9D" w:rsidRDefault="004C1CC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B2F47" w:rsidRPr="00047A9D">
        <w:rPr>
          <w:rFonts w:ascii="Times New Roman" w:hAnsi="Times New Roman" w:cs="Times New Roman"/>
          <w:sz w:val="22"/>
          <w:szCs w:val="22"/>
        </w:rPr>
        <w:t>Longden, ‘World History in England’</w:t>
      </w:r>
      <w:r w:rsidR="00B05BD5" w:rsidRPr="00047A9D">
        <w:rPr>
          <w:rFonts w:ascii="Times New Roman" w:hAnsi="Times New Roman" w:cs="Times New Roman"/>
          <w:i/>
          <w:sz w:val="22"/>
          <w:szCs w:val="22"/>
        </w:rPr>
        <w:t xml:space="preserve">, </w:t>
      </w:r>
      <w:r w:rsidR="00B05BD5" w:rsidRPr="00047A9D">
        <w:rPr>
          <w:rFonts w:ascii="Times New Roman" w:hAnsi="Times New Roman" w:cs="Times New Roman"/>
          <w:sz w:val="22"/>
          <w:szCs w:val="22"/>
        </w:rPr>
        <w:t>p</w:t>
      </w:r>
      <w:r w:rsidR="00650F23" w:rsidRPr="00047A9D">
        <w:rPr>
          <w:rFonts w:ascii="Times New Roman" w:hAnsi="Times New Roman" w:cs="Times New Roman"/>
          <w:sz w:val="22"/>
          <w:szCs w:val="22"/>
        </w:rPr>
        <w:t>p</w:t>
      </w:r>
      <w:r w:rsidRPr="00047A9D">
        <w:rPr>
          <w:rFonts w:ascii="Times New Roman" w:hAnsi="Times New Roman" w:cs="Times New Roman"/>
          <w:sz w:val="22"/>
          <w:szCs w:val="22"/>
        </w:rPr>
        <w:t>.2</w:t>
      </w:r>
      <w:r w:rsidR="00081179" w:rsidRPr="00047A9D">
        <w:rPr>
          <w:rFonts w:ascii="Times New Roman" w:hAnsi="Times New Roman" w:cs="Times New Roman"/>
          <w:sz w:val="22"/>
          <w:szCs w:val="22"/>
        </w:rPr>
        <w:t>35, 2</w:t>
      </w:r>
      <w:r w:rsidRPr="00047A9D">
        <w:rPr>
          <w:rFonts w:ascii="Times New Roman" w:hAnsi="Times New Roman" w:cs="Times New Roman"/>
          <w:sz w:val="22"/>
          <w:szCs w:val="22"/>
        </w:rPr>
        <w:t>46.</w:t>
      </w:r>
    </w:p>
  </w:footnote>
  <w:footnote w:id="287">
    <w:p w14:paraId="551E0FDD" w14:textId="04455B55" w:rsidR="00866C06" w:rsidRPr="00047A9D" w:rsidRDefault="00866C0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07984" w:rsidRPr="00047A9D">
        <w:rPr>
          <w:rFonts w:ascii="Times New Roman" w:hAnsi="Times New Roman" w:cs="Times New Roman"/>
          <w:sz w:val="22"/>
          <w:szCs w:val="22"/>
        </w:rPr>
        <w:t xml:space="preserve">Barraclough, </w:t>
      </w:r>
      <w:r w:rsidR="00007984" w:rsidRPr="00047A9D">
        <w:rPr>
          <w:rFonts w:ascii="Times New Roman" w:hAnsi="Times New Roman" w:cs="Times New Roman"/>
          <w:i/>
          <w:sz w:val="22"/>
          <w:szCs w:val="22"/>
        </w:rPr>
        <w:t>Common Man</w:t>
      </w:r>
      <w:r w:rsidR="00007984" w:rsidRPr="00047A9D">
        <w:rPr>
          <w:rFonts w:ascii="Times New Roman" w:hAnsi="Times New Roman" w:cs="Times New Roman"/>
          <w:sz w:val="22"/>
          <w:szCs w:val="22"/>
        </w:rPr>
        <w:t>, p.9.</w:t>
      </w:r>
    </w:p>
  </w:footnote>
  <w:footnote w:id="288">
    <w:p w14:paraId="32A02E55" w14:textId="258D2DA8" w:rsidR="00667AEA" w:rsidRPr="00047A9D" w:rsidRDefault="00667AE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32B93" w:rsidRPr="00047A9D">
        <w:rPr>
          <w:rFonts w:ascii="Times New Roman" w:hAnsi="Times New Roman" w:cs="Times New Roman"/>
          <w:sz w:val="22"/>
          <w:szCs w:val="22"/>
        </w:rPr>
        <w:t>Longden, ‘World History in England’</w:t>
      </w:r>
      <w:r w:rsidR="0095735B" w:rsidRPr="00047A9D">
        <w:rPr>
          <w:rFonts w:ascii="Times New Roman" w:hAnsi="Times New Roman" w:cs="Times New Roman"/>
          <w:i/>
          <w:sz w:val="22"/>
          <w:szCs w:val="22"/>
        </w:rPr>
        <w:t xml:space="preserve">, </w:t>
      </w:r>
      <w:r w:rsidR="0095735B" w:rsidRPr="00047A9D">
        <w:rPr>
          <w:rFonts w:ascii="Times New Roman" w:hAnsi="Times New Roman" w:cs="Times New Roman"/>
          <w:sz w:val="22"/>
          <w:szCs w:val="22"/>
        </w:rPr>
        <w:t>p.235.</w:t>
      </w:r>
    </w:p>
  </w:footnote>
  <w:footnote w:id="289">
    <w:p w14:paraId="653DCDDD" w14:textId="70C12FFD" w:rsidR="00E44E24" w:rsidRPr="00047A9D" w:rsidRDefault="00E44E2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87817" w:rsidRPr="00047A9D">
        <w:rPr>
          <w:rFonts w:ascii="Times New Roman" w:hAnsi="Times New Roman" w:cs="Times New Roman"/>
          <w:sz w:val="22"/>
          <w:szCs w:val="22"/>
        </w:rPr>
        <w:t>Longden, ‘World History in England’</w:t>
      </w:r>
      <w:r w:rsidR="0095735B" w:rsidRPr="00047A9D">
        <w:rPr>
          <w:rFonts w:ascii="Times New Roman" w:hAnsi="Times New Roman" w:cs="Times New Roman"/>
          <w:i/>
          <w:sz w:val="22"/>
          <w:szCs w:val="22"/>
        </w:rPr>
        <w:t xml:space="preserve">, </w:t>
      </w:r>
      <w:r w:rsidR="0095735B" w:rsidRPr="00047A9D">
        <w:rPr>
          <w:rFonts w:ascii="Times New Roman" w:hAnsi="Times New Roman" w:cs="Times New Roman"/>
          <w:sz w:val="22"/>
          <w:szCs w:val="22"/>
        </w:rPr>
        <w:t>p</w:t>
      </w:r>
      <w:r w:rsidRPr="00047A9D">
        <w:rPr>
          <w:rFonts w:ascii="Times New Roman" w:hAnsi="Times New Roman" w:cs="Times New Roman"/>
          <w:sz w:val="22"/>
          <w:szCs w:val="22"/>
        </w:rPr>
        <w:t>.236</w:t>
      </w:r>
      <w:r w:rsidR="005E3ACD" w:rsidRPr="00047A9D">
        <w:rPr>
          <w:rFonts w:ascii="Times New Roman" w:hAnsi="Times New Roman" w:cs="Times New Roman"/>
          <w:sz w:val="22"/>
          <w:szCs w:val="22"/>
        </w:rPr>
        <w:t>, ‘Table 10:1: University of London – O Level History Entries 1966-1971’, n.p.</w:t>
      </w:r>
    </w:p>
  </w:footnote>
  <w:footnote w:id="290">
    <w:p w14:paraId="30075749" w14:textId="094533A3" w:rsidR="003615D2" w:rsidRPr="00047A9D" w:rsidRDefault="003615D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A0E2C" w:rsidRPr="00047A9D">
        <w:rPr>
          <w:rFonts w:ascii="Times New Roman" w:hAnsi="Times New Roman" w:cs="Times New Roman"/>
          <w:sz w:val="22"/>
          <w:szCs w:val="22"/>
        </w:rPr>
        <w:t>Longden, ‘World History in England’</w:t>
      </w:r>
      <w:r w:rsidR="00CE2612" w:rsidRPr="00047A9D">
        <w:rPr>
          <w:rFonts w:ascii="Times New Roman" w:hAnsi="Times New Roman" w:cs="Times New Roman"/>
          <w:i/>
          <w:sz w:val="22"/>
          <w:szCs w:val="22"/>
        </w:rPr>
        <w:t xml:space="preserve">, </w:t>
      </w:r>
      <w:r w:rsidR="00CE2612" w:rsidRPr="00047A9D">
        <w:rPr>
          <w:rFonts w:ascii="Times New Roman" w:hAnsi="Times New Roman" w:cs="Times New Roman"/>
          <w:sz w:val="22"/>
          <w:szCs w:val="22"/>
        </w:rPr>
        <w:t>‘</w:t>
      </w:r>
      <w:r w:rsidR="00AB3191" w:rsidRPr="00047A9D">
        <w:rPr>
          <w:rFonts w:ascii="Times New Roman" w:hAnsi="Times New Roman" w:cs="Times New Roman"/>
          <w:sz w:val="22"/>
          <w:szCs w:val="22"/>
        </w:rPr>
        <w:t>Table 10:2</w:t>
      </w:r>
      <w:r w:rsidR="00D11724" w:rsidRPr="00047A9D">
        <w:rPr>
          <w:rFonts w:ascii="Times New Roman" w:hAnsi="Times New Roman" w:cs="Times New Roman"/>
          <w:sz w:val="22"/>
          <w:szCs w:val="22"/>
        </w:rPr>
        <w:t>:</w:t>
      </w:r>
      <w:r w:rsidR="00935171" w:rsidRPr="00047A9D">
        <w:rPr>
          <w:rFonts w:ascii="Times New Roman" w:hAnsi="Times New Roman" w:cs="Times New Roman"/>
          <w:sz w:val="22"/>
          <w:szCs w:val="22"/>
        </w:rPr>
        <w:t xml:space="preserve"> Associated Examining Board O Level Entries 1964-1971’, </w:t>
      </w:r>
      <w:r w:rsidR="006D48BC" w:rsidRPr="00047A9D">
        <w:rPr>
          <w:rFonts w:ascii="Times New Roman" w:hAnsi="Times New Roman" w:cs="Times New Roman"/>
          <w:sz w:val="22"/>
          <w:szCs w:val="22"/>
        </w:rPr>
        <w:t>n.p</w:t>
      </w:r>
      <w:r w:rsidR="00935171" w:rsidRPr="00047A9D">
        <w:rPr>
          <w:rFonts w:ascii="Times New Roman" w:hAnsi="Times New Roman" w:cs="Times New Roman"/>
          <w:sz w:val="22"/>
          <w:szCs w:val="22"/>
        </w:rPr>
        <w:t>.</w:t>
      </w:r>
    </w:p>
  </w:footnote>
  <w:footnote w:id="291">
    <w:p w14:paraId="223F0041" w14:textId="6596C0E1" w:rsidR="00750741" w:rsidRPr="00047A9D" w:rsidRDefault="0075074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A1B7E" w:rsidRPr="00047A9D">
        <w:rPr>
          <w:rFonts w:ascii="Times New Roman" w:hAnsi="Times New Roman" w:cs="Times New Roman"/>
          <w:sz w:val="22"/>
          <w:szCs w:val="22"/>
        </w:rPr>
        <w:t>Longden, ‘World History in England’</w:t>
      </w:r>
      <w:r w:rsidR="006C311C" w:rsidRPr="00047A9D">
        <w:rPr>
          <w:rFonts w:ascii="Times New Roman" w:hAnsi="Times New Roman" w:cs="Times New Roman"/>
          <w:i/>
          <w:sz w:val="22"/>
          <w:szCs w:val="22"/>
        </w:rPr>
        <w:t xml:space="preserve">, </w:t>
      </w:r>
      <w:r w:rsidR="006C311C" w:rsidRPr="00047A9D">
        <w:rPr>
          <w:rFonts w:ascii="Times New Roman" w:hAnsi="Times New Roman" w:cs="Times New Roman"/>
          <w:sz w:val="22"/>
          <w:szCs w:val="22"/>
        </w:rPr>
        <w:t>p</w:t>
      </w:r>
      <w:r w:rsidR="00F91314" w:rsidRPr="00047A9D">
        <w:rPr>
          <w:rFonts w:ascii="Times New Roman" w:hAnsi="Times New Roman" w:cs="Times New Roman"/>
          <w:sz w:val="22"/>
          <w:szCs w:val="22"/>
        </w:rPr>
        <w:t>.247</w:t>
      </w:r>
      <w:r w:rsidR="00FD3D1C" w:rsidRPr="00047A9D">
        <w:rPr>
          <w:rFonts w:ascii="Times New Roman" w:hAnsi="Times New Roman" w:cs="Times New Roman"/>
          <w:sz w:val="22"/>
          <w:szCs w:val="22"/>
        </w:rPr>
        <w:t>, ‘Table 10:4: Associated Examining Board A Level Entries in History 1964-1970’, n.p.</w:t>
      </w:r>
    </w:p>
  </w:footnote>
  <w:footnote w:id="292">
    <w:p w14:paraId="6F891850" w14:textId="0739B777" w:rsidR="00955317" w:rsidRPr="00047A9D" w:rsidRDefault="0095531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85646" w:rsidRPr="00047A9D">
        <w:rPr>
          <w:rFonts w:ascii="Times New Roman" w:hAnsi="Times New Roman" w:cs="Times New Roman"/>
          <w:sz w:val="22"/>
          <w:szCs w:val="22"/>
        </w:rPr>
        <w:t xml:space="preserve">Cannadine, Keating, and Sheldon, </w:t>
      </w:r>
      <w:r w:rsidR="00A85646" w:rsidRPr="00047A9D">
        <w:rPr>
          <w:rFonts w:ascii="Times New Roman" w:hAnsi="Times New Roman" w:cs="Times New Roman"/>
          <w:i/>
          <w:sz w:val="22"/>
          <w:szCs w:val="22"/>
        </w:rPr>
        <w:t>The Right Kind</w:t>
      </w:r>
      <w:r w:rsidR="00A85646" w:rsidRPr="00047A9D">
        <w:rPr>
          <w:rFonts w:ascii="Times New Roman" w:hAnsi="Times New Roman" w:cs="Times New Roman"/>
          <w:sz w:val="22"/>
          <w:szCs w:val="22"/>
        </w:rPr>
        <w:t>, p.160.</w:t>
      </w:r>
    </w:p>
  </w:footnote>
  <w:footnote w:id="293">
    <w:p w14:paraId="11858429" w14:textId="03C69755" w:rsidR="00865D37" w:rsidRPr="00047A9D" w:rsidRDefault="00865D3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This may have applied equally to those comprehensive schools where rigid streaming resulted in ‘high ability’ classes pursuing GCE qualifications.</w:t>
      </w:r>
    </w:p>
  </w:footnote>
  <w:footnote w:id="294">
    <w:p w14:paraId="24815FE3" w14:textId="171D6B40" w:rsidR="00615BBD" w:rsidRPr="00047A9D" w:rsidRDefault="00615BB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F1AC1" w:rsidRPr="00047A9D">
        <w:rPr>
          <w:rFonts w:ascii="Times New Roman" w:hAnsi="Times New Roman" w:cs="Times New Roman"/>
          <w:sz w:val="22"/>
          <w:szCs w:val="22"/>
        </w:rPr>
        <w:t>Cannadine</w:t>
      </w:r>
      <w:r w:rsidR="00351A55" w:rsidRPr="00047A9D">
        <w:rPr>
          <w:rFonts w:ascii="Times New Roman" w:hAnsi="Times New Roman" w:cs="Times New Roman"/>
          <w:sz w:val="22"/>
          <w:szCs w:val="22"/>
        </w:rPr>
        <w:t xml:space="preserve">, Keating, and Sheldon, </w:t>
      </w:r>
      <w:r w:rsidR="00305F84" w:rsidRPr="00047A9D">
        <w:rPr>
          <w:rFonts w:ascii="Times New Roman" w:hAnsi="Times New Roman" w:cs="Times New Roman"/>
          <w:i/>
          <w:sz w:val="22"/>
          <w:szCs w:val="22"/>
        </w:rPr>
        <w:t>The Right Kind</w:t>
      </w:r>
      <w:r w:rsidR="00351A55" w:rsidRPr="00047A9D">
        <w:rPr>
          <w:rFonts w:ascii="Times New Roman" w:hAnsi="Times New Roman" w:cs="Times New Roman"/>
          <w:sz w:val="22"/>
          <w:szCs w:val="22"/>
        </w:rPr>
        <w:t>, p.6.</w:t>
      </w:r>
    </w:p>
  </w:footnote>
  <w:footnote w:id="295">
    <w:p w14:paraId="35ABA6FC" w14:textId="6FA9A668" w:rsidR="008F7469" w:rsidRPr="00047A9D" w:rsidRDefault="008F746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97C28" w:rsidRPr="00047A9D">
        <w:rPr>
          <w:rFonts w:ascii="Times New Roman" w:hAnsi="Times New Roman" w:cs="Times New Roman"/>
          <w:sz w:val="22"/>
          <w:szCs w:val="22"/>
        </w:rPr>
        <w:t xml:space="preserve">Cambridge History Teaching Today Group [hereafter ‘CHTTG’], </w:t>
      </w:r>
      <w:r w:rsidR="00C97C28" w:rsidRPr="00047A9D">
        <w:rPr>
          <w:rFonts w:ascii="Times New Roman" w:hAnsi="Times New Roman" w:cs="Times New Roman"/>
          <w:i/>
          <w:sz w:val="22"/>
          <w:szCs w:val="22"/>
        </w:rPr>
        <w:t>The Teaching of History to the 11-14 Age Group: The Report of an Enquiry</w:t>
      </w:r>
      <w:r w:rsidR="00C97C28" w:rsidRPr="00047A9D">
        <w:rPr>
          <w:rFonts w:ascii="Times New Roman" w:hAnsi="Times New Roman" w:cs="Times New Roman"/>
          <w:sz w:val="22"/>
          <w:szCs w:val="22"/>
        </w:rPr>
        <w:t xml:space="preserve"> (Cambridge: Cambridge Institute of Education, 1970)</w:t>
      </w:r>
      <w:r w:rsidR="00305F84" w:rsidRPr="00047A9D">
        <w:rPr>
          <w:rFonts w:ascii="Times New Roman" w:hAnsi="Times New Roman" w:cs="Times New Roman"/>
          <w:sz w:val="22"/>
          <w:szCs w:val="22"/>
        </w:rPr>
        <w:t>,</w:t>
      </w:r>
      <w:r w:rsidR="00561158" w:rsidRPr="00047A9D">
        <w:rPr>
          <w:rFonts w:ascii="Times New Roman" w:hAnsi="Times New Roman" w:cs="Times New Roman"/>
          <w:i/>
          <w:sz w:val="22"/>
          <w:szCs w:val="22"/>
        </w:rPr>
        <w:t xml:space="preserve"> </w:t>
      </w:r>
      <w:r w:rsidR="00561158" w:rsidRPr="00047A9D">
        <w:rPr>
          <w:rFonts w:ascii="Times New Roman" w:hAnsi="Times New Roman" w:cs="Times New Roman"/>
          <w:sz w:val="22"/>
          <w:szCs w:val="22"/>
        </w:rPr>
        <w:t>p.17.</w:t>
      </w:r>
    </w:p>
  </w:footnote>
  <w:footnote w:id="296">
    <w:p w14:paraId="4D0E16A0" w14:textId="197B6034" w:rsidR="00221402" w:rsidRPr="00047A9D" w:rsidRDefault="0022140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24667" w:rsidRPr="00047A9D">
        <w:rPr>
          <w:rFonts w:ascii="Times New Roman" w:hAnsi="Times New Roman" w:cs="Times New Roman"/>
          <w:sz w:val="22"/>
          <w:szCs w:val="22"/>
        </w:rPr>
        <w:t>Simon,</w:t>
      </w:r>
      <w:r w:rsidR="002A73C8" w:rsidRPr="00047A9D">
        <w:rPr>
          <w:rFonts w:ascii="Times New Roman" w:hAnsi="Times New Roman" w:cs="Times New Roman"/>
          <w:sz w:val="22"/>
          <w:szCs w:val="22"/>
        </w:rPr>
        <w:t xml:space="preserve"> </w:t>
      </w:r>
      <w:r w:rsidR="002A73C8" w:rsidRPr="00047A9D">
        <w:rPr>
          <w:rFonts w:ascii="Times New Roman" w:hAnsi="Times New Roman" w:cs="Times New Roman"/>
          <w:i/>
          <w:sz w:val="22"/>
          <w:szCs w:val="22"/>
        </w:rPr>
        <w:t>Social Order</w:t>
      </w:r>
      <w:r w:rsidR="002A73C8" w:rsidRPr="00047A9D">
        <w:rPr>
          <w:rFonts w:ascii="Times New Roman" w:hAnsi="Times New Roman" w:cs="Times New Roman"/>
          <w:sz w:val="22"/>
          <w:szCs w:val="22"/>
        </w:rPr>
        <w:t>,</w:t>
      </w:r>
      <w:r w:rsidR="00E24667" w:rsidRPr="00047A9D">
        <w:rPr>
          <w:rFonts w:ascii="Times New Roman" w:hAnsi="Times New Roman" w:cs="Times New Roman"/>
          <w:sz w:val="22"/>
          <w:szCs w:val="22"/>
        </w:rPr>
        <w:t xml:space="preserve"> p</w:t>
      </w:r>
      <w:r w:rsidR="00B854D8" w:rsidRPr="00047A9D">
        <w:rPr>
          <w:rFonts w:ascii="Times New Roman" w:hAnsi="Times New Roman" w:cs="Times New Roman"/>
          <w:sz w:val="22"/>
          <w:szCs w:val="22"/>
        </w:rPr>
        <w:t>p.430-432</w:t>
      </w:r>
      <w:r w:rsidR="009D0FB4" w:rsidRPr="00047A9D">
        <w:rPr>
          <w:rFonts w:ascii="Times New Roman" w:hAnsi="Times New Roman" w:cs="Times New Roman"/>
          <w:sz w:val="22"/>
          <w:szCs w:val="22"/>
        </w:rPr>
        <w:t xml:space="preserve">; Laura Tisdall, </w:t>
      </w:r>
      <w:r w:rsidR="009D0FB4" w:rsidRPr="00047A9D">
        <w:rPr>
          <w:rFonts w:ascii="Times New Roman" w:hAnsi="Times New Roman" w:cs="Times New Roman"/>
          <w:i/>
          <w:sz w:val="22"/>
          <w:szCs w:val="22"/>
        </w:rPr>
        <w:t>A Progressive Education? How Childhood Changed in Mid-Twentieth-Century English and Welsh Schools</w:t>
      </w:r>
      <w:r w:rsidR="009D0FB4" w:rsidRPr="00047A9D">
        <w:rPr>
          <w:rFonts w:ascii="Times New Roman" w:hAnsi="Times New Roman" w:cs="Times New Roman"/>
          <w:sz w:val="22"/>
          <w:szCs w:val="22"/>
        </w:rPr>
        <w:t xml:space="preserve"> (Manchester: </w:t>
      </w:r>
      <w:r w:rsidR="00E14135" w:rsidRPr="00047A9D">
        <w:rPr>
          <w:rFonts w:ascii="Times New Roman" w:hAnsi="Times New Roman" w:cs="Times New Roman"/>
          <w:sz w:val="22"/>
          <w:szCs w:val="22"/>
        </w:rPr>
        <w:t>MUP</w:t>
      </w:r>
      <w:r w:rsidR="009D0FB4" w:rsidRPr="00047A9D">
        <w:rPr>
          <w:rFonts w:ascii="Times New Roman" w:hAnsi="Times New Roman" w:cs="Times New Roman"/>
          <w:sz w:val="22"/>
          <w:szCs w:val="22"/>
        </w:rPr>
        <w:t>, 2019), p.176.</w:t>
      </w:r>
    </w:p>
  </w:footnote>
  <w:footnote w:id="297">
    <w:p w14:paraId="1AC1DD17" w14:textId="7A0823F5" w:rsidR="00531B88" w:rsidRPr="00047A9D" w:rsidRDefault="00531B8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51763" w:rsidRPr="00047A9D">
        <w:rPr>
          <w:rFonts w:ascii="Times New Roman" w:hAnsi="Times New Roman" w:cs="Times New Roman"/>
          <w:sz w:val="22"/>
          <w:szCs w:val="22"/>
        </w:rPr>
        <w:t>Gregory Baldi, </w:t>
      </w:r>
      <w:r w:rsidR="00451763" w:rsidRPr="00047A9D">
        <w:rPr>
          <w:rFonts w:ascii="Times New Roman" w:hAnsi="Times New Roman" w:cs="Times New Roman"/>
          <w:i/>
          <w:sz w:val="22"/>
          <w:szCs w:val="22"/>
        </w:rPr>
        <w:t>Ideas, Institutions, and the Politics of Schools in Postwar Britain and Germany</w:t>
      </w:r>
      <w:r w:rsidR="00104F59" w:rsidRPr="00047A9D">
        <w:rPr>
          <w:rFonts w:ascii="Times New Roman" w:hAnsi="Times New Roman" w:cs="Times New Roman"/>
          <w:sz w:val="22"/>
          <w:szCs w:val="22"/>
        </w:rPr>
        <w:t xml:space="preserve"> (</w:t>
      </w:r>
      <w:r w:rsidR="00930E67" w:rsidRPr="00047A9D">
        <w:rPr>
          <w:rFonts w:ascii="Times New Roman" w:hAnsi="Times New Roman" w:cs="Times New Roman"/>
          <w:sz w:val="22"/>
          <w:szCs w:val="22"/>
        </w:rPr>
        <w:t xml:space="preserve">Cham: </w:t>
      </w:r>
      <w:r w:rsidR="00451763" w:rsidRPr="00047A9D">
        <w:rPr>
          <w:rFonts w:ascii="Times New Roman" w:hAnsi="Times New Roman" w:cs="Times New Roman"/>
          <w:sz w:val="22"/>
          <w:szCs w:val="22"/>
        </w:rPr>
        <w:t>Springer International Publishing, 2022</w:t>
      </w:r>
      <w:r w:rsidR="00930E67" w:rsidRPr="00047A9D">
        <w:rPr>
          <w:rFonts w:ascii="Times New Roman" w:hAnsi="Times New Roman" w:cs="Times New Roman"/>
          <w:sz w:val="22"/>
          <w:szCs w:val="22"/>
        </w:rPr>
        <w:t>), pp.5-6</w:t>
      </w:r>
      <w:r w:rsidR="00451763" w:rsidRPr="00047A9D">
        <w:rPr>
          <w:rFonts w:ascii="Times New Roman" w:hAnsi="Times New Roman" w:cs="Times New Roman"/>
          <w:sz w:val="22"/>
          <w:szCs w:val="22"/>
        </w:rPr>
        <w:t>;</w:t>
      </w:r>
      <w:r w:rsidR="00F4457F" w:rsidRPr="00047A9D">
        <w:rPr>
          <w:rFonts w:ascii="Times New Roman" w:hAnsi="Times New Roman" w:cs="Times New Roman"/>
          <w:sz w:val="22"/>
          <w:szCs w:val="22"/>
        </w:rPr>
        <w:t xml:space="preserve"> </w:t>
      </w:r>
      <w:r w:rsidR="00B35A31" w:rsidRPr="00047A9D">
        <w:rPr>
          <w:rFonts w:ascii="Times New Roman" w:hAnsi="Times New Roman" w:cs="Times New Roman"/>
          <w:sz w:val="22"/>
          <w:szCs w:val="22"/>
        </w:rPr>
        <w:t xml:space="preserve">Brian Jackson and Dennis Marsden, </w:t>
      </w:r>
      <w:r w:rsidR="00B35A31" w:rsidRPr="00047A9D">
        <w:rPr>
          <w:rFonts w:ascii="Times New Roman" w:hAnsi="Times New Roman" w:cs="Times New Roman"/>
          <w:i/>
          <w:sz w:val="22"/>
          <w:szCs w:val="22"/>
        </w:rPr>
        <w:t>Education and the Working Class</w:t>
      </w:r>
      <w:r w:rsidR="00DD41FB" w:rsidRPr="00047A9D">
        <w:rPr>
          <w:rFonts w:ascii="Times New Roman" w:hAnsi="Times New Roman" w:cs="Times New Roman"/>
          <w:i/>
          <w:sz w:val="22"/>
          <w:szCs w:val="22"/>
        </w:rPr>
        <w:t xml:space="preserve">, </w:t>
      </w:r>
      <w:r w:rsidR="0083642E" w:rsidRPr="00047A9D">
        <w:rPr>
          <w:rFonts w:ascii="Times New Roman" w:hAnsi="Times New Roman" w:cs="Times New Roman"/>
          <w:sz w:val="22"/>
          <w:szCs w:val="22"/>
        </w:rPr>
        <w:t>2</w:t>
      </w:r>
      <w:r w:rsidR="0083642E" w:rsidRPr="00047A9D">
        <w:rPr>
          <w:rFonts w:ascii="Times New Roman" w:hAnsi="Times New Roman" w:cs="Times New Roman"/>
          <w:sz w:val="22"/>
          <w:szCs w:val="22"/>
          <w:vertAlign w:val="superscript"/>
        </w:rPr>
        <w:t>nd</w:t>
      </w:r>
      <w:r w:rsidR="0083642E" w:rsidRPr="00047A9D">
        <w:rPr>
          <w:rFonts w:ascii="Times New Roman" w:hAnsi="Times New Roman" w:cs="Times New Roman"/>
          <w:i/>
          <w:sz w:val="22"/>
          <w:szCs w:val="22"/>
        </w:rPr>
        <w:t xml:space="preserve"> </w:t>
      </w:r>
      <w:r w:rsidR="00DD41FB" w:rsidRPr="00047A9D">
        <w:rPr>
          <w:rFonts w:ascii="Times New Roman" w:hAnsi="Times New Roman" w:cs="Times New Roman"/>
          <w:sz w:val="22"/>
          <w:szCs w:val="22"/>
        </w:rPr>
        <w:t>rev. ed</w:t>
      </w:r>
      <w:r w:rsidR="00840403" w:rsidRPr="00047A9D">
        <w:rPr>
          <w:rFonts w:ascii="Times New Roman" w:hAnsi="Times New Roman" w:cs="Times New Roman"/>
          <w:sz w:val="22"/>
          <w:szCs w:val="22"/>
        </w:rPr>
        <w:t>n</w:t>
      </w:r>
      <w:r w:rsidR="00B35A31" w:rsidRPr="00047A9D">
        <w:rPr>
          <w:rFonts w:ascii="Times New Roman" w:hAnsi="Times New Roman" w:cs="Times New Roman"/>
          <w:sz w:val="22"/>
          <w:szCs w:val="22"/>
        </w:rPr>
        <w:t xml:space="preserve"> (</w:t>
      </w:r>
      <w:r w:rsidR="00C95587" w:rsidRPr="00047A9D">
        <w:rPr>
          <w:rFonts w:ascii="Times New Roman" w:hAnsi="Times New Roman" w:cs="Times New Roman"/>
          <w:sz w:val="22"/>
          <w:szCs w:val="22"/>
        </w:rPr>
        <w:t>London: ARK, 1986</w:t>
      </w:r>
      <w:r w:rsidR="00B82BB5" w:rsidRPr="00047A9D">
        <w:rPr>
          <w:rFonts w:ascii="Times New Roman" w:hAnsi="Times New Roman" w:cs="Times New Roman"/>
          <w:sz w:val="22"/>
          <w:szCs w:val="22"/>
        </w:rPr>
        <w:t xml:space="preserve">; repr. </w:t>
      </w:r>
      <w:r w:rsidR="00B35A31" w:rsidRPr="00047A9D">
        <w:rPr>
          <w:rFonts w:ascii="Times New Roman" w:hAnsi="Times New Roman" w:cs="Times New Roman"/>
          <w:sz w:val="22"/>
          <w:szCs w:val="22"/>
        </w:rPr>
        <w:t>Abingdon, Oxon: Routledge, 2012)</w:t>
      </w:r>
      <w:r w:rsidR="009C30F6" w:rsidRPr="00047A9D">
        <w:rPr>
          <w:rFonts w:ascii="Times New Roman" w:hAnsi="Times New Roman" w:cs="Times New Roman"/>
          <w:sz w:val="22"/>
          <w:szCs w:val="22"/>
        </w:rPr>
        <w:t xml:space="preserve">; </w:t>
      </w:r>
      <w:r w:rsidR="001D3369" w:rsidRPr="00047A9D">
        <w:rPr>
          <w:rFonts w:ascii="Times New Roman" w:hAnsi="Times New Roman" w:cs="Times New Roman"/>
          <w:sz w:val="22"/>
          <w:szCs w:val="22"/>
        </w:rPr>
        <w:t xml:space="preserve">Cox and Dyson, </w:t>
      </w:r>
      <w:r w:rsidR="001D3369" w:rsidRPr="00047A9D">
        <w:rPr>
          <w:rFonts w:ascii="Times New Roman" w:hAnsi="Times New Roman" w:cs="Times New Roman"/>
          <w:i/>
          <w:sz w:val="22"/>
          <w:szCs w:val="22"/>
        </w:rPr>
        <w:t xml:space="preserve">Black Papers, </w:t>
      </w:r>
      <w:r w:rsidR="001D3369" w:rsidRPr="00047A9D">
        <w:rPr>
          <w:rFonts w:ascii="Times New Roman" w:hAnsi="Times New Roman" w:cs="Times New Roman"/>
          <w:sz w:val="22"/>
          <w:szCs w:val="22"/>
        </w:rPr>
        <w:t>p</w:t>
      </w:r>
      <w:r w:rsidR="00BE6D99" w:rsidRPr="00047A9D">
        <w:rPr>
          <w:rFonts w:ascii="Times New Roman" w:hAnsi="Times New Roman" w:cs="Times New Roman"/>
          <w:sz w:val="22"/>
          <w:szCs w:val="22"/>
        </w:rPr>
        <w:t>p</w:t>
      </w:r>
      <w:r w:rsidR="001D3369" w:rsidRPr="00047A9D">
        <w:rPr>
          <w:rFonts w:ascii="Times New Roman" w:hAnsi="Times New Roman" w:cs="Times New Roman"/>
          <w:sz w:val="22"/>
          <w:szCs w:val="22"/>
        </w:rPr>
        <w:t>.17</w:t>
      </w:r>
      <w:r w:rsidR="00BE6D99" w:rsidRPr="00047A9D">
        <w:rPr>
          <w:rFonts w:ascii="Times New Roman" w:hAnsi="Times New Roman" w:cs="Times New Roman"/>
          <w:sz w:val="22"/>
          <w:szCs w:val="22"/>
        </w:rPr>
        <w:t>, 22, 26</w:t>
      </w:r>
      <w:r w:rsidR="001D3369" w:rsidRPr="00047A9D">
        <w:rPr>
          <w:rFonts w:ascii="Times New Roman" w:hAnsi="Times New Roman" w:cs="Times New Roman"/>
          <w:sz w:val="22"/>
          <w:szCs w:val="22"/>
        </w:rPr>
        <w:t>.</w:t>
      </w:r>
    </w:p>
  </w:footnote>
  <w:footnote w:id="298">
    <w:p w14:paraId="7349BDD5" w14:textId="2AD46205" w:rsidR="006F4EAC" w:rsidRPr="00047A9D" w:rsidRDefault="006F4EA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E6D99" w:rsidRPr="00047A9D">
        <w:rPr>
          <w:rFonts w:ascii="Times New Roman" w:hAnsi="Times New Roman" w:cs="Times New Roman"/>
          <w:sz w:val="22"/>
          <w:szCs w:val="22"/>
        </w:rPr>
        <w:t xml:space="preserve">Cox and Dyson, </w:t>
      </w:r>
      <w:r w:rsidR="00BE6D99" w:rsidRPr="00047A9D">
        <w:rPr>
          <w:rFonts w:ascii="Times New Roman" w:hAnsi="Times New Roman" w:cs="Times New Roman"/>
          <w:i/>
          <w:sz w:val="22"/>
          <w:szCs w:val="22"/>
        </w:rPr>
        <w:t xml:space="preserve">Black Papers, </w:t>
      </w:r>
      <w:r w:rsidR="00BE6D99" w:rsidRPr="00047A9D">
        <w:rPr>
          <w:rFonts w:ascii="Times New Roman" w:hAnsi="Times New Roman" w:cs="Times New Roman"/>
          <w:sz w:val="22"/>
          <w:szCs w:val="22"/>
        </w:rPr>
        <w:t>pp.17, 22, 26.</w:t>
      </w:r>
    </w:p>
  </w:footnote>
  <w:footnote w:id="299">
    <w:p w14:paraId="513251AA" w14:textId="440D4B21" w:rsidR="001E5FDC" w:rsidRPr="00047A9D" w:rsidRDefault="001E5FD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636079" w:rsidRPr="00047A9D">
        <w:rPr>
          <w:rFonts w:ascii="Times New Roman" w:hAnsi="Times New Roman" w:cs="Times New Roman"/>
          <w:sz w:val="22"/>
          <w:szCs w:val="22"/>
        </w:rPr>
        <w:t xml:space="preserve"> Tisdall, </w:t>
      </w:r>
      <w:r w:rsidR="00636079" w:rsidRPr="00047A9D">
        <w:rPr>
          <w:rFonts w:ascii="Times New Roman" w:hAnsi="Times New Roman" w:cs="Times New Roman"/>
          <w:i/>
          <w:sz w:val="22"/>
          <w:szCs w:val="22"/>
        </w:rPr>
        <w:t>A Progressive Education?</w:t>
      </w:r>
      <w:r w:rsidR="009D0FB4" w:rsidRPr="00047A9D">
        <w:rPr>
          <w:rFonts w:ascii="Times New Roman" w:hAnsi="Times New Roman" w:cs="Times New Roman"/>
          <w:i/>
          <w:sz w:val="22"/>
          <w:szCs w:val="22"/>
        </w:rPr>
        <w:t xml:space="preserve">, </w:t>
      </w:r>
      <w:r w:rsidR="006F3D5B" w:rsidRPr="00047A9D">
        <w:rPr>
          <w:rFonts w:ascii="Times New Roman" w:hAnsi="Times New Roman" w:cs="Times New Roman"/>
          <w:sz w:val="22"/>
          <w:szCs w:val="22"/>
        </w:rPr>
        <w:t>p.</w:t>
      </w:r>
      <w:r w:rsidRPr="00047A9D">
        <w:rPr>
          <w:rFonts w:ascii="Times New Roman" w:hAnsi="Times New Roman" w:cs="Times New Roman"/>
          <w:sz w:val="22"/>
          <w:szCs w:val="22"/>
        </w:rPr>
        <w:t>176.</w:t>
      </w:r>
    </w:p>
  </w:footnote>
  <w:footnote w:id="300">
    <w:p w14:paraId="68015452" w14:textId="31700E3B" w:rsidR="002B52EF" w:rsidRPr="00047A9D" w:rsidRDefault="002B52E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F5A14" w:rsidRPr="00047A9D">
        <w:rPr>
          <w:rFonts w:ascii="Times New Roman" w:hAnsi="Times New Roman" w:cs="Times New Roman"/>
          <w:sz w:val="22"/>
          <w:szCs w:val="22"/>
        </w:rPr>
        <w:t xml:space="preserve">CHTTG, </w:t>
      </w:r>
      <w:r w:rsidR="002F5A14" w:rsidRPr="00047A9D">
        <w:rPr>
          <w:rFonts w:ascii="Times New Roman" w:hAnsi="Times New Roman" w:cs="Times New Roman"/>
          <w:i/>
          <w:sz w:val="22"/>
          <w:szCs w:val="22"/>
        </w:rPr>
        <w:t xml:space="preserve">Teaching of History, </w:t>
      </w:r>
      <w:r w:rsidR="002F5A14" w:rsidRPr="00047A9D">
        <w:rPr>
          <w:rFonts w:ascii="Times New Roman" w:hAnsi="Times New Roman" w:cs="Times New Roman"/>
          <w:sz w:val="22"/>
          <w:szCs w:val="22"/>
        </w:rPr>
        <w:t>‘</w:t>
      </w:r>
      <w:r w:rsidR="00C1090B" w:rsidRPr="00047A9D">
        <w:rPr>
          <w:rFonts w:ascii="Times New Roman" w:hAnsi="Times New Roman" w:cs="Times New Roman"/>
          <w:sz w:val="22"/>
          <w:szCs w:val="22"/>
        </w:rPr>
        <w:t xml:space="preserve">The Enquiry: Its Background and Purpose’, </w:t>
      </w:r>
      <w:r w:rsidR="006D48BC" w:rsidRPr="00047A9D">
        <w:rPr>
          <w:rFonts w:ascii="Times New Roman" w:hAnsi="Times New Roman" w:cs="Times New Roman"/>
          <w:sz w:val="22"/>
          <w:szCs w:val="22"/>
        </w:rPr>
        <w:t>n.p</w:t>
      </w:r>
      <w:r w:rsidR="00C1090B" w:rsidRPr="00047A9D">
        <w:rPr>
          <w:rFonts w:ascii="Times New Roman" w:hAnsi="Times New Roman" w:cs="Times New Roman"/>
          <w:sz w:val="22"/>
          <w:szCs w:val="22"/>
        </w:rPr>
        <w:t>.</w:t>
      </w:r>
      <w:r w:rsidR="00142CBA" w:rsidRPr="00047A9D">
        <w:rPr>
          <w:rFonts w:ascii="Times New Roman" w:hAnsi="Times New Roman" w:cs="Times New Roman"/>
          <w:sz w:val="22"/>
          <w:szCs w:val="22"/>
        </w:rPr>
        <w:t>, p.15</w:t>
      </w:r>
      <w:r w:rsidR="00C1090B" w:rsidRPr="00047A9D">
        <w:rPr>
          <w:rFonts w:ascii="Times New Roman" w:hAnsi="Times New Roman" w:cs="Times New Roman"/>
          <w:sz w:val="22"/>
          <w:szCs w:val="22"/>
        </w:rPr>
        <w:t>.</w:t>
      </w:r>
    </w:p>
  </w:footnote>
  <w:footnote w:id="301">
    <w:p w14:paraId="43022601" w14:textId="37EB4BC0" w:rsidR="00CA512D" w:rsidRPr="00047A9D" w:rsidRDefault="00CA512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13FAB" w:rsidRPr="00047A9D">
        <w:rPr>
          <w:rFonts w:ascii="Times New Roman" w:hAnsi="Times New Roman" w:cs="Times New Roman"/>
          <w:sz w:val="22"/>
          <w:szCs w:val="22"/>
        </w:rPr>
        <w:t xml:space="preserve">CHTTG, </w:t>
      </w:r>
      <w:r w:rsidR="00A13FAB" w:rsidRPr="00047A9D">
        <w:rPr>
          <w:rFonts w:ascii="Times New Roman" w:hAnsi="Times New Roman" w:cs="Times New Roman"/>
          <w:i/>
          <w:sz w:val="22"/>
          <w:szCs w:val="22"/>
        </w:rPr>
        <w:t>Teaching of History</w:t>
      </w:r>
      <w:r w:rsidR="00A940B7" w:rsidRPr="00047A9D">
        <w:rPr>
          <w:rFonts w:ascii="Times New Roman" w:hAnsi="Times New Roman" w:cs="Times New Roman"/>
          <w:i/>
          <w:sz w:val="22"/>
          <w:szCs w:val="22"/>
        </w:rPr>
        <w:t xml:space="preserve">, </w:t>
      </w:r>
      <w:r w:rsidR="00A940B7" w:rsidRPr="00047A9D">
        <w:rPr>
          <w:rFonts w:ascii="Times New Roman" w:hAnsi="Times New Roman" w:cs="Times New Roman"/>
          <w:sz w:val="22"/>
          <w:szCs w:val="22"/>
        </w:rPr>
        <w:t xml:space="preserve">‘The Enquiry: Its Background and Purpose’, </w:t>
      </w:r>
      <w:r w:rsidR="006D48BC" w:rsidRPr="00047A9D">
        <w:rPr>
          <w:rFonts w:ascii="Times New Roman" w:hAnsi="Times New Roman" w:cs="Times New Roman"/>
          <w:sz w:val="22"/>
          <w:szCs w:val="22"/>
        </w:rPr>
        <w:t>n.p</w:t>
      </w:r>
      <w:r w:rsidR="00A940B7" w:rsidRPr="00047A9D">
        <w:rPr>
          <w:rFonts w:ascii="Times New Roman" w:hAnsi="Times New Roman" w:cs="Times New Roman"/>
          <w:sz w:val="22"/>
          <w:szCs w:val="22"/>
        </w:rPr>
        <w:t>.</w:t>
      </w:r>
    </w:p>
  </w:footnote>
  <w:footnote w:id="302">
    <w:p w14:paraId="4A3EDB08" w14:textId="5B483308" w:rsidR="0002043C" w:rsidRPr="00047A9D" w:rsidRDefault="0002043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B7EA5" w:rsidRPr="00047A9D">
        <w:rPr>
          <w:rFonts w:ascii="Times New Roman" w:hAnsi="Times New Roman" w:cs="Times New Roman"/>
          <w:sz w:val="22"/>
          <w:szCs w:val="22"/>
        </w:rPr>
        <w:t xml:space="preserve">CHTTG, </w:t>
      </w:r>
      <w:r w:rsidR="00EB7EA5" w:rsidRPr="00047A9D">
        <w:rPr>
          <w:rFonts w:ascii="Times New Roman" w:hAnsi="Times New Roman" w:cs="Times New Roman"/>
          <w:i/>
          <w:sz w:val="22"/>
          <w:szCs w:val="22"/>
        </w:rPr>
        <w:t>Teaching of History</w:t>
      </w:r>
      <w:r w:rsidR="00EB7EA5">
        <w:rPr>
          <w:rFonts w:ascii="Times New Roman" w:hAnsi="Times New Roman" w:cs="Times New Roman"/>
          <w:sz w:val="22"/>
          <w:szCs w:val="22"/>
        </w:rPr>
        <w:t xml:space="preserve">, </w:t>
      </w:r>
      <w:r w:rsidRPr="00047A9D">
        <w:rPr>
          <w:rFonts w:ascii="Times New Roman" w:hAnsi="Times New Roman" w:cs="Times New Roman"/>
          <w:sz w:val="22"/>
          <w:szCs w:val="22"/>
        </w:rPr>
        <w:t>pp.45-46.</w:t>
      </w:r>
    </w:p>
  </w:footnote>
  <w:footnote w:id="303">
    <w:p w14:paraId="5488EFA4" w14:textId="242E311C" w:rsidR="00A940B7" w:rsidRPr="00047A9D" w:rsidRDefault="00A940B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E2C50" w:rsidRPr="00047A9D">
        <w:rPr>
          <w:rFonts w:ascii="Times New Roman" w:hAnsi="Times New Roman" w:cs="Times New Roman"/>
          <w:sz w:val="22"/>
          <w:szCs w:val="22"/>
        </w:rPr>
        <w:t xml:space="preserve">CHTTG, </w:t>
      </w:r>
      <w:r w:rsidR="00AE2C50" w:rsidRPr="00047A9D">
        <w:rPr>
          <w:rFonts w:ascii="Times New Roman" w:hAnsi="Times New Roman" w:cs="Times New Roman"/>
          <w:i/>
          <w:sz w:val="22"/>
          <w:szCs w:val="22"/>
        </w:rPr>
        <w:t>Teaching of History</w:t>
      </w:r>
      <w:r w:rsidR="00DD0DB3" w:rsidRPr="00047A9D">
        <w:rPr>
          <w:rFonts w:ascii="Times New Roman" w:hAnsi="Times New Roman" w:cs="Times New Roman"/>
          <w:i/>
          <w:sz w:val="22"/>
          <w:szCs w:val="22"/>
        </w:rPr>
        <w:t xml:space="preserve">, </w:t>
      </w:r>
      <w:r w:rsidR="006218A3" w:rsidRPr="00047A9D">
        <w:rPr>
          <w:rFonts w:ascii="Times New Roman" w:hAnsi="Times New Roman" w:cs="Times New Roman"/>
          <w:sz w:val="22"/>
          <w:szCs w:val="22"/>
        </w:rPr>
        <w:t>p.14.</w:t>
      </w:r>
    </w:p>
  </w:footnote>
  <w:footnote w:id="304">
    <w:p w14:paraId="6D8A7633" w14:textId="2615565A" w:rsidR="00DD0DB3" w:rsidRPr="00047A9D" w:rsidRDefault="00DD0DB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E2C50" w:rsidRPr="00047A9D">
        <w:rPr>
          <w:rFonts w:ascii="Times New Roman" w:hAnsi="Times New Roman" w:cs="Times New Roman"/>
          <w:sz w:val="22"/>
          <w:szCs w:val="22"/>
        </w:rPr>
        <w:t xml:space="preserve">CHTTG, </w:t>
      </w:r>
      <w:r w:rsidR="00AE2C50" w:rsidRPr="00047A9D">
        <w:rPr>
          <w:rFonts w:ascii="Times New Roman" w:hAnsi="Times New Roman" w:cs="Times New Roman"/>
          <w:i/>
          <w:sz w:val="22"/>
          <w:szCs w:val="22"/>
        </w:rPr>
        <w:t>Teaching of History</w:t>
      </w:r>
      <w:r w:rsidR="00F2730A" w:rsidRPr="00047A9D">
        <w:rPr>
          <w:rFonts w:ascii="Times New Roman" w:hAnsi="Times New Roman" w:cs="Times New Roman"/>
          <w:i/>
          <w:sz w:val="22"/>
          <w:szCs w:val="22"/>
        </w:rPr>
        <w:t xml:space="preserve">, </w:t>
      </w:r>
      <w:r w:rsidR="00F2730A" w:rsidRPr="00047A9D">
        <w:rPr>
          <w:rFonts w:ascii="Times New Roman" w:hAnsi="Times New Roman" w:cs="Times New Roman"/>
          <w:sz w:val="22"/>
          <w:szCs w:val="22"/>
        </w:rPr>
        <w:t>p.19.</w:t>
      </w:r>
    </w:p>
  </w:footnote>
  <w:footnote w:id="305">
    <w:p w14:paraId="2463E27C" w14:textId="1446A9F6" w:rsidR="005A18A9" w:rsidRPr="00047A9D" w:rsidRDefault="005A18A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8598B" w:rsidRPr="00047A9D">
        <w:rPr>
          <w:rFonts w:ascii="Times New Roman" w:hAnsi="Times New Roman" w:cs="Times New Roman"/>
          <w:sz w:val="22"/>
          <w:szCs w:val="22"/>
        </w:rPr>
        <w:t xml:space="preserve">Amey, </w:t>
      </w:r>
      <w:r w:rsidR="0008598B" w:rsidRPr="00047A9D">
        <w:rPr>
          <w:rFonts w:ascii="Times New Roman" w:hAnsi="Times New Roman" w:cs="Times New Roman"/>
          <w:i/>
          <w:sz w:val="22"/>
          <w:szCs w:val="22"/>
        </w:rPr>
        <w:t>World History</w:t>
      </w:r>
      <w:r w:rsidR="0008598B" w:rsidRPr="00047A9D">
        <w:rPr>
          <w:rFonts w:ascii="Times New Roman" w:hAnsi="Times New Roman" w:cs="Times New Roman"/>
          <w:sz w:val="22"/>
          <w:szCs w:val="22"/>
        </w:rPr>
        <w:t>, p.i.</w:t>
      </w:r>
    </w:p>
  </w:footnote>
  <w:footnote w:id="306">
    <w:p w14:paraId="02E7E91C" w14:textId="6048B0D3" w:rsidR="00184919" w:rsidRPr="00047A9D" w:rsidRDefault="0018491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Longden, ‘World History in England’</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w:t>
      </w:r>
      <w:r w:rsidR="003D78F2" w:rsidRPr="00047A9D">
        <w:rPr>
          <w:rFonts w:ascii="Times New Roman" w:hAnsi="Times New Roman" w:cs="Times New Roman"/>
          <w:sz w:val="22"/>
          <w:szCs w:val="22"/>
        </w:rPr>
        <w:t>p</w:t>
      </w:r>
      <w:r w:rsidRPr="00047A9D">
        <w:rPr>
          <w:rFonts w:ascii="Times New Roman" w:hAnsi="Times New Roman" w:cs="Times New Roman"/>
          <w:sz w:val="22"/>
          <w:szCs w:val="22"/>
        </w:rPr>
        <w:t>.</w:t>
      </w:r>
      <w:r w:rsidR="003D78F2" w:rsidRPr="00047A9D">
        <w:rPr>
          <w:rFonts w:ascii="Times New Roman" w:hAnsi="Times New Roman" w:cs="Times New Roman"/>
          <w:sz w:val="22"/>
          <w:szCs w:val="22"/>
        </w:rPr>
        <w:t xml:space="preserve">215-16, </w:t>
      </w:r>
      <w:r w:rsidR="001F5E40" w:rsidRPr="00047A9D">
        <w:rPr>
          <w:rFonts w:ascii="Times New Roman" w:hAnsi="Times New Roman" w:cs="Times New Roman"/>
          <w:sz w:val="22"/>
          <w:szCs w:val="22"/>
        </w:rPr>
        <w:t>223</w:t>
      </w:r>
      <w:r w:rsidR="00C746C8" w:rsidRPr="00047A9D">
        <w:rPr>
          <w:rFonts w:ascii="Times New Roman" w:hAnsi="Times New Roman" w:cs="Times New Roman"/>
          <w:sz w:val="22"/>
          <w:szCs w:val="22"/>
        </w:rPr>
        <w:t>, 241.</w:t>
      </w:r>
    </w:p>
  </w:footnote>
  <w:footnote w:id="307">
    <w:p w14:paraId="69425A20" w14:textId="04CE02B2" w:rsidR="008026F1" w:rsidRPr="00047A9D" w:rsidRDefault="008026F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C02F5" w:rsidRPr="00047A9D">
        <w:rPr>
          <w:rFonts w:ascii="Times New Roman" w:hAnsi="Times New Roman" w:cs="Times New Roman"/>
          <w:sz w:val="22"/>
          <w:szCs w:val="22"/>
        </w:rPr>
        <w:t>Longden, ‘World History in England’</w:t>
      </w:r>
      <w:r w:rsidR="006C35A1" w:rsidRPr="00047A9D">
        <w:rPr>
          <w:rFonts w:ascii="Times New Roman" w:hAnsi="Times New Roman" w:cs="Times New Roman"/>
          <w:i/>
          <w:sz w:val="22"/>
          <w:szCs w:val="22"/>
        </w:rPr>
        <w:t xml:space="preserve">, </w:t>
      </w:r>
      <w:r w:rsidR="006C35A1" w:rsidRPr="00047A9D">
        <w:rPr>
          <w:rFonts w:ascii="Times New Roman" w:hAnsi="Times New Roman" w:cs="Times New Roman"/>
          <w:sz w:val="22"/>
          <w:szCs w:val="22"/>
        </w:rPr>
        <w:t>pp.238-39</w:t>
      </w:r>
      <w:r w:rsidR="00287AD3" w:rsidRPr="00047A9D">
        <w:rPr>
          <w:rFonts w:ascii="Times New Roman" w:hAnsi="Times New Roman" w:cs="Times New Roman"/>
          <w:sz w:val="22"/>
          <w:szCs w:val="22"/>
        </w:rPr>
        <w:t xml:space="preserve">; Lyall (ed.), </w:t>
      </w:r>
      <w:r w:rsidR="00287AD3" w:rsidRPr="00047A9D">
        <w:rPr>
          <w:rFonts w:ascii="Times New Roman" w:hAnsi="Times New Roman" w:cs="Times New Roman"/>
          <w:i/>
          <w:sz w:val="22"/>
          <w:szCs w:val="22"/>
        </w:rPr>
        <w:t>World Perspective</w:t>
      </w:r>
      <w:r w:rsidR="00287AD3" w:rsidRPr="00047A9D">
        <w:rPr>
          <w:rFonts w:ascii="Times New Roman" w:hAnsi="Times New Roman" w:cs="Times New Roman"/>
          <w:sz w:val="22"/>
          <w:szCs w:val="22"/>
        </w:rPr>
        <w:t>, p.47.</w:t>
      </w:r>
    </w:p>
  </w:footnote>
  <w:footnote w:id="308">
    <w:p w14:paraId="5AE91C4C" w14:textId="47FD3E4F" w:rsidR="00D22582" w:rsidRPr="00047A9D" w:rsidRDefault="00D2258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B1256" w:rsidRPr="00047A9D">
        <w:rPr>
          <w:rFonts w:ascii="Times New Roman" w:hAnsi="Times New Roman" w:cs="Times New Roman"/>
          <w:sz w:val="22"/>
          <w:szCs w:val="22"/>
        </w:rPr>
        <w:t xml:space="preserve">Lyall (ed.), </w:t>
      </w:r>
      <w:r w:rsidR="00CB1256" w:rsidRPr="00047A9D">
        <w:rPr>
          <w:rFonts w:ascii="Times New Roman" w:hAnsi="Times New Roman" w:cs="Times New Roman"/>
          <w:i/>
          <w:sz w:val="22"/>
          <w:szCs w:val="22"/>
        </w:rPr>
        <w:t>World Perspective</w:t>
      </w:r>
      <w:r w:rsidR="00CB1256" w:rsidRPr="00047A9D">
        <w:rPr>
          <w:rFonts w:ascii="Times New Roman" w:hAnsi="Times New Roman" w:cs="Times New Roman"/>
          <w:sz w:val="22"/>
          <w:szCs w:val="22"/>
        </w:rPr>
        <w:t>, p.</w:t>
      </w:r>
      <w:r w:rsidR="00591644" w:rsidRPr="00047A9D">
        <w:rPr>
          <w:rFonts w:ascii="Times New Roman" w:hAnsi="Times New Roman" w:cs="Times New Roman"/>
          <w:sz w:val="22"/>
          <w:szCs w:val="22"/>
        </w:rPr>
        <w:t>10.</w:t>
      </w:r>
    </w:p>
  </w:footnote>
  <w:footnote w:id="309">
    <w:p w14:paraId="3D3A7BBB" w14:textId="2D7C2D69" w:rsidR="00C71197" w:rsidRPr="00047A9D" w:rsidRDefault="00C7119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52096" w:rsidRPr="00047A9D">
        <w:rPr>
          <w:rFonts w:ascii="Times New Roman" w:hAnsi="Times New Roman" w:cs="Times New Roman"/>
          <w:sz w:val="22"/>
          <w:szCs w:val="22"/>
        </w:rPr>
        <w:t xml:space="preserve">Margaret Bryant and Giles Ecclestone, </w:t>
      </w:r>
      <w:r w:rsidR="00B52096" w:rsidRPr="00047A9D">
        <w:rPr>
          <w:rFonts w:ascii="Times New Roman" w:hAnsi="Times New Roman" w:cs="Times New Roman"/>
          <w:i/>
          <w:sz w:val="22"/>
          <w:szCs w:val="22"/>
        </w:rPr>
        <w:t>World Outlook 1900-1965</w:t>
      </w:r>
      <w:r w:rsidR="005A5337" w:rsidRPr="00047A9D">
        <w:rPr>
          <w:rFonts w:ascii="Times New Roman" w:hAnsi="Times New Roman" w:cs="Times New Roman"/>
          <w:i/>
          <w:sz w:val="22"/>
          <w:szCs w:val="22"/>
        </w:rPr>
        <w:t>: A Study Series: Class Work</w:t>
      </w:r>
      <w:r w:rsidR="00FB5B70" w:rsidRPr="00047A9D">
        <w:rPr>
          <w:rFonts w:ascii="Times New Roman" w:hAnsi="Times New Roman" w:cs="Times New Roman"/>
          <w:i/>
          <w:sz w:val="22"/>
          <w:szCs w:val="22"/>
        </w:rPr>
        <w:t xml:space="preserve"> </w:t>
      </w:r>
      <w:r w:rsidR="005A5337" w:rsidRPr="00047A9D">
        <w:rPr>
          <w:rFonts w:ascii="Times New Roman" w:hAnsi="Times New Roman" w:cs="Times New Roman"/>
          <w:i/>
          <w:sz w:val="22"/>
          <w:szCs w:val="22"/>
        </w:rPr>
        <w:t>Book</w:t>
      </w:r>
      <w:r w:rsidR="004F1890" w:rsidRPr="00047A9D">
        <w:rPr>
          <w:rFonts w:ascii="Times New Roman" w:hAnsi="Times New Roman" w:cs="Times New Roman"/>
          <w:i/>
          <w:sz w:val="22"/>
          <w:szCs w:val="22"/>
        </w:rPr>
        <w:t xml:space="preserve"> </w:t>
      </w:r>
      <w:r w:rsidR="004F1890" w:rsidRPr="00047A9D">
        <w:rPr>
          <w:rFonts w:ascii="Times New Roman" w:hAnsi="Times New Roman" w:cs="Times New Roman"/>
          <w:sz w:val="22"/>
          <w:szCs w:val="22"/>
        </w:rPr>
        <w:t>(</w:t>
      </w:r>
      <w:r w:rsidR="005559E9" w:rsidRPr="00047A9D">
        <w:rPr>
          <w:rFonts w:ascii="Times New Roman" w:hAnsi="Times New Roman" w:cs="Times New Roman"/>
          <w:sz w:val="22"/>
          <w:szCs w:val="22"/>
        </w:rPr>
        <w:t xml:space="preserve">London: Faber and Faber, 1968), </w:t>
      </w:r>
      <w:r w:rsidR="002130ED" w:rsidRPr="00047A9D">
        <w:rPr>
          <w:rFonts w:ascii="Times New Roman" w:hAnsi="Times New Roman" w:cs="Times New Roman"/>
          <w:sz w:val="22"/>
          <w:szCs w:val="22"/>
        </w:rPr>
        <w:t>p</w:t>
      </w:r>
      <w:r w:rsidR="008F1A74" w:rsidRPr="00047A9D">
        <w:rPr>
          <w:rFonts w:ascii="Times New Roman" w:hAnsi="Times New Roman" w:cs="Times New Roman"/>
          <w:sz w:val="22"/>
          <w:szCs w:val="22"/>
        </w:rPr>
        <w:t>p</w:t>
      </w:r>
      <w:r w:rsidR="002130ED" w:rsidRPr="00047A9D">
        <w:rPr>
          <w:rFonts w:ascii="Times New Roman" w:hAnsi="Times New Roman" w:cs="Times New Roman"/>
          <w:sz w:val="22"/>
          <w:szCs w:val="22"/>
        </w:rPr>
        <w:t>.196</w:t>
      </w:r>
      <w:r w:rsidR="008F1A74" w:rsidRPr="00047A9D">
        <w:rPr>
          <w:rFonts w:ascii="Times New Roman" w:hAnsi="Times New Roman" w:cs="Times New Roman"/>
          <w:sz w:val="22"/>
          <w:szCs w:val="22"/>
        </w:rPr>
        <w:t>, 203</w:t>
      </w:r>
      <w:r w:rsidR="002130ED" w:rsidRPr="00047A9D">
        <w:rPr>
          <w:rFonts w:ascii="Times New Roman" w:hAnsi="Times New Roman" w:cs="Times New Roman"/>
          <w:sz w:val="22"/>
          <w:szCs w:val="22"/>
        </w:rPr>
        <w:t>.</w:t>
      </w:r>
    </w:p>
  </w:footnote>
  <w:footnote w:id="310">
    <w:p w14:paraId="14F55982" w14:textId="592E3664" w:rsidR="004218E9" w:rsidRPr="00047A9D" w:rsidRDefault="004218E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B5B99" w:rsidRPr="00047A9D">
        <w:rPr>
          <w:rFonts w:ascii="Times New Roman" w:hAnsi="Times New Roman" w:cs="Times New Roman"/>
          <w:sz w:val="22"/>
          <w:szCs w:val="22"/>
        </w:rPr>
        <w:t xml:space="preserve">Daniel Hedinger, ‘The Imperial Nexus: The Second World War and the Axis in Global Perspective’, </w:t>
      </w:r>
      <w:r w:rsidR="006B5B99" w:rsidRPr="00047A9D">
        <w:rPr>
          <w:rFonts w:ascii="Times New Roman" w:hAnsi="Times New Roman" w:cs="Times New Roman"/>
          <w:i/>
          <w:sz w:val="22"/>
          <w:szCs w:val="22"/>
        </w:rPr>
        <w:t>Journal of Global History</w:t>
      </w:r>
      <w:r w:rsidR="006B5B99" w:rsidRPr="00047A9D">
        <w:rPr>
          <w:rFonts w:ascii="Times New Roman" w:hAnsi="Times New Roman" w:cs="Times New Roman"/>
          <w:sz w:val="22"/>
          <w:szCs w:val="22"/>
        </w:rPr>
        <w:t xml:space="preserve"> 12.2 (2017), 184–205.</w:t>
      </w:r>
    </w:p>
  </w:footnote>
  <w:footnote w:id="311">
    <w:p w14:paraId="2B1CD7FF" w14:textId="36C95DFF" w:rsidR="001669E4" w:rsidRPr="00047A9D" w:rsidRDefault="001669E4"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86D43" w:rsidRPr="00047A9D">
        <w:rPr>
          <w:rFonts w:ascii="Times New Roman" w:hAnsi="Times New Roman" w:cs="Times New Roman"/>
          <w:sz w:val="22"/>
          <w:szCs w:val="22"/>
        </w:rPr>
        <w:t xml:space="preserve">Bryant and Ecclestone, </w:t>
      </w:r>
      <w:r w:rsidR="00C86D43" w:rsidRPr="00047A9D">
        <w:rPr>
          <w:rFonts w:ascii="Times New Roman" w:hAnsi="Times New Roman" w:cs="Times New Roman"/>
          <w:i/>
          <w:sz w:val="22"/>
          <w:szCs w:val="22"/>
        </w:rPr>
        <w:t xml:space="preserve">World Outlook, </w:t>
      </w:r>
      <w:r w:rsidR="00C86D43" w:rsidRPr="00047A9D">
        <w:rPr>
          <w:rFonts w:ascii="Times New Roman" w:hAnsi="Times New Roman" w:cs="Times New Roman"/>
          <w:iCs/>
          <w:sz w:val="22"/>
          <w:szCs w:val="22"/>
        </w:rPr>
        <w:t>p.203.</w:t>
      </w:r>
    </w:p>
  </w:footnote>
  <w:footnote w:id="312">
    <w:p w14:paraId="558B05C3" w14:textId="74F7354F" w:rsidR="00D91C00" w:rsidRPr="00047A9D" w:rsidRDefault="00D91C0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92C20" w:rsidRPr="00047A9D">
        <w:rPr>
          <w:rFonts w:ascii="Times New Roman" w:hAnsi="Times New Roman" w:cs="Times New Roman"/>
          <w:sz w:val="22"/>
          <w:szCs w:val="22"/>
        </w:rPr>
        <w:t xml:space="preserve">Lyall (ed.), </w:t>
      </w:r>
      <w:r w:rsidR="00492C20" w:rsidRPr="00047A9D">
        <w:rPr>
          <w:rFonts w:ascii="Times New Roman" w:hAnsi="Times New Roman" w:cs="Times New Roman"/>
          <w:i/>
          <w:sz w:val="22"/>
          <w:szCs w:val="22"/>
        </w:rPr>
        <w:t>World Perspective</w:t>
      </w:r>
      <w:r w:rsidR="00492C20" w:rsidRPr="00047A9D">
        <w:rPr>
          <w:rFonts w:ascii="Times New Roman" w:hAnsi="Times New Roman" w:cs="Times New Roman"/>
          <w:sz w:val="22"/>
          <w:szCs w:val="22"/>
        </w:rPr>
        <w:t>, p.9</w:t>
      </w:r>
      <w:r w:rsidR="006C779B" w:rsidRPr="00047A9D">
        <w:rPr>
          <w:rFonts w:ascii="Times New Roman" w:hAnsi="Times New Roman" w:cs="Times New Roman"/>
          <w:sz w:val="22"/>
          <w:szCs w:val="22"/>
        </w:rPr>
        <w:t>.</w:t>
      </w:r>
    </w:p>
  </w:footnote>
  <w:footnote w:id="313">
    <w:p w14:paraId="3CE67E5F" w14:textId="4EB2BC2E" w:rsidR="00CC02FE" w:rsidRPr="00047A9D" w:rsidRDefault="00CC02F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B2282" w:rsidRPr="00047A9D">
        <w:rPr>
          <w:rFonts w:ascii="Times New Roman" w:hAnsi="Times New Roman" w:cs="Times New Roman"/>
          <w:sz w:val="22"/>
          <w:szCs w:val="22"/>
        </w:rPr>
        <w:t>Historians have</w:t>
      </w:r>
      <w:r w:rsidR="00DF56BE" w:rsidRPr="00047A9D">
        <w:rPr>
          <w:rFonts w:ascii="Times New Roman" w:hAnsi="Times New Roman" w:cs="Times New Roman"/>
          <w:sz w:val="22"/>
          <w:szCs w:val="22"/>
        </w:rPr>
        <w:t xml:space="preserve"> sometimes</w:t>
      </w:r>
      <w:r w:rsidR="007B2282" w:rsidRPr="00047A9D">
        <w:rPr>
          <w:rFonts w:ascii="Times New Roman" w:hAnsi="Times New Roman" w:cs="Times New Roman"/>
          <w:sz w:val="22"/>
          <w:szCs w:val="22"/>
        </w:rPr>
        <w:t xml:space="preserve"> been hesitant to describe </w:t>
      </w:r>
      <w:r w:rsidR="00DF56BE" w:rsidRPr="00047A9D">
        <w:rPr>
          <w:rFonts w:ascii="Times New Roman" w:hAnsi="Times New Roman" w:cs="Times New Roman"/>
          <w:sz w:val="22"/>
          <w:szCs w:val="22"/>
        </w:rPr>
        <w:t>the British Mandate in</w:t>
      </w:r>
      <w:r w:rsidR="007B2282" w:rsidRPr="00047A9D">
        <w:rPr>
          <w:rFonts w:ascii="Times New Roman" w:hAnsi="Times New Roman" w:cs="Times New Roman"/>
          <w:sz w:val="22"/>
          <w:szCs w:val="22"/>
        </w:rPr>
        <w:t xml:space="preserve"> Palestine as</w:t>
      </w:r>
      <w:r w:rsidR="00DF56BE" w:rsidRPr="00047A9D">
        <w:rPr>
          <w:rFonts w:ascii="Times New Roman" w:hAnsi="Times New Roman" w:cs="Times New Roman"/>
          <w:sz w:val="22"/>
          <w:szCs w:val="22"/>
        </w:rPr>
        <w:t xml:space="preserve"> </w:t>
      </w:r>
      <w:r w:rsidR="00C47076" w:rsidRPr="00047A9D">
        <w:rPr>
          <w:rFonts w:ascii="Times New Roman" w:hAnsi="Times New Roman" w:cs="Times New Roman"/>
          <w:sz w:val="22"/>
          <w:szCs w:val="22"/>
        </w:rPr>
        <w:t xml:space="preserve">a </w:t>
      </w:r>
      <w:r w:rsidR="00DF56BE" w:rsidRPr="00047A9D">
        <w:rPr>
          <w:rFonts w:ascii="Times New Roman" w:hAnsi="Times New Roman" w:cs="Times New Roman"/>
          <w:sz w:val="22"/>
          <w:szCs w:val="22"/>
        </w:rPr>
        <w:t>colonial</w:t>
      </w:r>
      <w:r w:rsidR="00C47076" w:rsidRPr="00047A9D">
        <w:rPr>
          <w:rFonts w:ascii="Times New Roman" w:hAnsi="Times New Roman" w:cs="Times New Roman"/>
          <w:sz w:val="22"/>
          <w:szCs w:val="22"/>
        </w:rPr>
        <w:t xml:space="preserve"> system</w:t>
      </w:r>
      <w:r w:rsidR="00DF56BE" w:rsidRPr="00047A9D">
        <w:rPr>
          <w:rFonts w:ascii="Times New Roman" w:hAnsi="Times New Roman" w:cs="Times New Roman"/>
          <w:sz w:val="22"/>
          <w:szCs w:val="22"/>
        </w:rPr>
        <w:t xml:space="preserve">, which may account for </w:t>
      </w:r>
      <w:r w:rsidR="00C47076" w:rsidRPr="00047A9D">
        <w:rPr>
          <w:rFonts w:ascii="Times New Roman" w:hAnsi="Times New Roman" w:cs="Times New Roman"/>
          <w:sz w:val="22"/>
          <w:szCs w:val="22"/>
        </w:rPr>
        <w:t>the</w:t>
      </w:r>
      <w:r w:rsidR="00DF56BE" w:rsidRPr="00047A9D">
        <w:rPr>
          <w:rFonts w:ascii="Times New Roman" w:hAnsi="Times New Roman" w:cs="Times New Roman"/>
          <w:sz w:val="22"/>
          <w:szCs w:val="22"/>
        </w:rPr>
        <w:t xml:space="preserve"> placement</w:t>
      </w:r>
      <w:r w:rsidR="00C47076" w:rsidRPr="00047A9D">
        <w:rPr>
          <w:rFonts w:ascii="Times New Roman" w:hAnsi="Times New Roman" w:cs="Times New Roman"/>
          <w:sz w:val="22"/>
          <w:szCs w:val="22"/>
        </w:rPr>
        <w:t xml:space="preserve"> of this history</w:t>
      </w:r>
      <w:r w:rsidR="00DF56BE" w:rsidRPr="00047A9D">
        <w:rPr>
          <w:rFonts w:ascii="Times New Roman" w:hAnsi="Times New Roman" w:cs="Times New Roman"/>
          <w:sz w:val="22"/>
          <w:szCs w:val="22"/>
        </w:rPr>
        <w:t xml:space="preserve"> on a syllabus which other</w:t>
      </w:r>
      <w:r w:rsidR="00C47076" w:rsidRPr="00047A9D">
        <w:rPr>
          <w:rFonts w:ascii="Times New Roman" w:hAnsi="Times New Roman" w:cs="Times New Roman"/>
          <w:sz w:val="22"/>
          <w:szCs w:val="22"/>
        </w:rPr>
        <w:t xml:space="preserve">wise eager to avoid mention of </w:t>
      </w:r>
      <w:r w:rsidR="006B558A" w:rsidRPr="00047A9D">
        <w:rPr>
          <w:rFonts w:ascii="Times New Roman" w:hAnsi="Times New Roman" w:cs="Times New Roman"/>
          <w:sz w:val="22"/>
          <w:szCs w:val="22"/>
        </w:rPr>
        <w:t xml:space="preserve">empire and imperialism. See Gardner Thompson, </w:t>
      </w:r>
      <w:r w:rsidR="006B558A" w:rsidRPr="00047A9D">
        <w:rPr>
          <w:rFonts w:ascii="Times New Roman" w:hAnsi="Times New Roman" w:cs="Times New Roman"/>
          <w:i/>
          <w:sz w:val="22"/>
          <w:szCs w:val="22"/>
        </w:rPr>
        <w:t>Legacy of Empire: Britain, Zionism and the Creation of Israel</w:t>
      </w:r>
      <w:r w:rsidR="006B558A" w:rsidRPr="00047A9D">
        <w:rPr>
          <w:rFonts w:ascii="Times New Roman" w:hAnsi="Times New Roman" w:cs="Times New Roman"/>
          <w:sz w:val="22"/>
          <w:szCs w:val="22"/>
        </w:rPr>
        <w:t xml:space="preserve"> (London: Saqi Books, 2019).  </w:t>
      </w:r>
    </w:p>
  </w:footnote>
  <w:footnote w:id="314">
    <w:p w14:paraId="5168E51A" w14:textId="008977D9" w:rsidR="00D91C00" w:rsidRPr="00047A9D" w:rsidRDefault="00D91C00"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F1A74" w:rsidRPr="00047A9D">
        <w:rPr>
          <w:rFonts w:ascii="Times New Roman" w:hAnsi="Times New Roman" w:cs="Times New Roman"/>
          <w:sz w:val="22"/>
          <w:szCs w:val="22"/>
        </w:rPr>
        <w:t xml:space="preserve">Lyall (ed.), </w:t>
      </w:r>
      <w:r w:rsidR="008F1A74" w:rsidRPr="00047A9D">
        <w:rPr>
          <w:rFonts w:ascii="Times New Roman" w:hAnsi="Times New Roman" w:cs="Times New Roman"/>
          <w:i/>
          <w:sz w:val="22"/>
          <w:szCs w:val="22"/>
        </w:rPr>
        <w:t>World Perspective</w:t>
      </w:r>
      <w:r w:rsidR="008F1A74" w:rsidRPr="00047A9D">
        <w:rPr>
          <w:rFonts w:ascii="Times New Roman" w:hAnsi="Times New Roman" w:cs="Times New Roman"/>
          <w:sz w:val="22"/>
          <w:szCs w:val="22"/>
        </w:rPr>
        <w:t>, p.9</w:t>
      </w:r>
      <w:r w:rsidRPr="00047A9D">
        <w:rPr>
          <w:rFonts w:ascii="Times New Roman" w:hAnsi="Times New Roman" w:cs="Times New Roman"/>
          <w:i/>
          <w:sz w:val="22"/>
          <w:szCs w:val="22"/>
        </w:rPr>
        <w:t>.</w:t>
      </w:r>
    </w:p>
  </w:footnote>
  <w:footnote w:id="315">
    <w:p w14:paraId="300F3A57" w14:textId="218B6624" w:rsidR="00CC3965" w:rsidRPr="00047A9D" w:rsidRDefault="00CC396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Lyall (ed.), </w:t>
      </w:r>
      <w:r w:rsidRPr="00047A9D">
        <w:rPr>
          <w:rFonts w:ascii="Times New Roman" w:hAnsi="Times New Roman" w:cs="Times New Roman"/>
          <w:i/>
          <w:sz w:val="22"/>
          <w:szCs w:val="22"/>
        </w:rPr>
        <w:t>World Perspective</w:t>
      </w:r>
      <w:r w:rsidRPr="00047A9D">
        <w:rPr>
          <w:rFonts w:ascii="Times New Roman" w:hAnsi="Times New Roman" w:cs="Times New Roman"/>
          <w:sz w:val="22"/>
          <w:szCs w:val="22"/>
        </w:rPr>
        <w:t>, p.9</w:t>
      </w:r>
      <w:r w:rsidRPr="00047A9D">
        <w:rPr>
          <w:rFonts w:ascii="Times New Roman" w:hAnsi="Times New Roman" w:cs="Times New Roman"/>
          <w:i/>
          <w:sz w:val="22"/>
          <w:szCs w:val="22"/>
        </w:rPr>
        <w:t>.</w:t>
      </w:r>
    </w:p>
  </w:footnote>
  <w:footnote w:id="316">
    <w:p w14:paraId="0050F202" w14:textId="25231B08" w:rsidR="00D51699" w:rsidRPr="00047A9D" w:rsidRDefault="00D5169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A7354" w:rsidRPr="00047A9D">
        <w:rPr>
          <w:rFonts w:ascii="Times New Roman" w:hAnsi="Times New Roman" w:cs="Times New Roman"/>
          <w:sz w:val="22"/>
          <w:szCs w:val="22"/>
        </w:rPr>
        <w:t xml:space="preserve">Lyall (ed.), </w:t>
      </w:r>
      <w:r w:rsidR="00DA7354" w:rsidRPr="00047A9D">
        <w:rPr>
          <w:rFonts w:ascii="Times New Roman" w:hAnsi="Times New Roman" w:cs="Times New Roman"/>
          <w:i/>
          <w:sz w:val="22"/>
          <w:szCs w:val="22"/>
        </w:rPr>
        <w:t>World Perspective</w:t>
      </w:r>
      <w:r w:rsidR="00DA7354" w:rsidRPr="00047A9D">
        <w:rPr>
          <w:rFonts w:ascii="Times New Roman" w:hAnsi="Times New Roman" w:cs="Times New Roman"/>
          <w:sz w:val="22"/>
          <w:szCs w:val="22"/>
        </w:rPr>
        <w:t>, p.11.</w:t>
      </w:r>
    </w:p>
  </w:footnote>
  <w:footnote w:id="317">
    <w:p w14:paraId="694EF791" w14:textId="3204A443" w:rsidR="006A1C22" w:rsidRPr="00047A9D" w:rsidRDefault="006A1C2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526781" w:rsidRPr="00047A9D">
        <w:rPr>
          <w:rFonts w:ascii="Times New Roman" w:hAnsi="Times New Roman" w:cs="Times New Roman"/>
          <w:sz w:val="22"/>
          <w:szCs w:val="22"/>
        </w:rPr>
        <w:t xml:space="preserve"> </w:t>
      </w:r>
      <w:r w:rsidRPr="00047A9D">
        <w:rPr>
          <w:rFonts w:ascii="Times New Roman" w:hAnsi="Times New Roman" w:cs="Times New Roman"/>
          <w:sz w:val="22"/>
          <w:szCs w:val="22"/>
        </w:rPr>
        <w:t>Longden, ‘World History in England’</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p.248</w:t>
      </w:r>
      <w:r w:rsidR="00526781" w:rsidRPr="00047A9D">
        <w:rPr>
          <w:rFonts w:ascii="Times New Roman" w:hAnsi="Times New Roman" w:cs="Times New Roman"/>
          <w:sz w:val="22"/>
          <w:szCs w:val="22"/>
        </w:rPr>
        <w:t>;</w:t>
      </w:r>
      <w:r w:rsidR="00C024C7" w:rsidRPr="00047A9D">
        <w:rPr>
          <w:rFonts w:ascii="Times New Roman" w:hAnsi="Times New Roman" w:cs="Times New Roman"/>
          <w:sz w:val="22"/>
          <w:szCs w:val="22"/>
        </w:rPr>
        <w:t xml:space="preserve"> UCLES</w:t>
      </w:r>
      <w:r w:rsidR="00526781" w:rsidRPr="00047A9D">
        <w:rPr>
          <w:rFonts w:ascii="Times New Roman" w:hAnsi="Times New Roman" w:cs="Times New Roman"/>
          <w:sz w:val="22"/>
          <w:szCs w:val="22"/>
        </w:rPr>
        <w:t xml:space="preserve">, </w:t>
      </w:r>
      <w:r w:rsidR="008C575D" w:rsidRPr="00047A9D">
        <w:rPr>
          <w:rFonts w:ascii="Times New Roman" w:hAnsi="Times New Roman" w:cs="Times New Roman"/>
          <w:sz w:val="22"/>
          <w:szCs w:val="22"/>
        </w:rPr>
        <w:t>A Level History Syllabus, 1974</w:t>
      </w:r>
      <w:r w:rsidR="008A6B7B" w:rsidRPr="00047A9D">
        <w:rPr>
          <w:rFonts w:ascii="Times New Roman" w:hAnsi="Times New Roman" w:cs="Times New Roman"/>
          <w:sz w:val="22"/>
          <w:szCs w:val="22"/>
        </w:rPr>
        <w:t xml:space="preserve"> Session</w:t>
      </w:r>
      <w:r w:rsidR="008C575D" w:rsidRPr="00047A9D">
        <w:rPr>
          <w:rFonts w:ascii="Times New Roman" w:hAnsi="Times New Roman" w:cs="Times New Roman"/>
          <w:sz w:val="22"/>
          <w:szCs w:val="22"/>
        </w:rPr>
        <w:t>,</w:t>
      </w:r>
      <w:r w:rsidR="008A6B7B" w:rsidRPr="00047A9D">
        <w:rPr>
          <w:rFonts w:ascii="Times New Roman" w:hAnsi="Times New Roman" w:cs="Times New Roman"/>
          <w:sz w:val="22"/>
          <w:szCs w:val="22"/>
        </w:rPr>
        <w:t xml:space="preserve"> Code 804</w:t>
      </w:r>
      <w:r w:rsidR="00146EA2" w:rsidRPr="00047A9D">
        <w:rPr>
          <w:rFonts w:ascii="Times New Roman" w:hAnsi="Times New Roman" w:cs="Times New Roman"/>
          <w:sz w:val="22"/>
          <w:szCs w:val="22"/>
        </w:rPr>
        <w:t>, n.p.</w:t>
      </w:r>
      <w:r w:rsidR="003D7DDD" w:rsidRPr="00047A9D">
        <w:rPr>
          <w:rFonts w:ascii="Times New Roman" w:hAnsi="Times New Roman" w:cs="Times New Roman"/>
          <w:sz w:val="22"/>
          <w:szCs w:val="22"/>
        </w:rPr>
        <w:t xml:space="preserve"> &lt;</w:t>
      </w:r>
      <w:r w:rsidR="00BA761A" w:rsidRPr="00047A9D">
        <w:rPr>
          <w:rFonts w:ascii="Times New Roman" w:hAnsi="Times New Roman" w:cs="Times New Roman"/>
          <w:sz w:val="22"/>
          <w:szCs w:val="22"/>
        </w:rPr>
        <w:t>https://www.cambridgeassessment.org.uk/Images/1974-history-alevel-syllabus.pdf&gt;</w:t>
      </w:r>
      <w:r w:rsidR="00CE24D3" w:rsidRPr="00047A9D">
        <w:rPr>
          <w:rFonts w:ascii="Times New Roman" w:hAnsi="Times New Roman" w:cs="Times New Roman"/>
          <w:sz w:val="22"/>
          <w:szCs w:val="22"/>
        </w:rPr>
        <w:t xml:space="preserve"> [accessed 23 November 2022].</w:t>
      </w:r>
      <w:r w:rsidR="008C575D" w:rsidRPr="00047A9D">
        <w:rPr>
          <w:rFonts w:ascii="Times New Roman" w:hAnsi="Times New Roman" w:cs="Times New Roman"/>
          <w:sz w:val="22"/>
          <w:szCs w:val="22"/>
        </w:rPr>
        <w:t xml:space="preserve"> </w:t>
      </w:r>
    </w:p>
  </w:footnote>
  <w:footnote w:id="318">
    <w:p w14:paraId="341BA0FC" w14:textId="77777777" w:rsidR="00600DF3" w:rsidRPr="00047A9D" w:rsidRDefault="00600DF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Longden, ‘World History in England’</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p.248.</w:t>
      </w:r>
    </w:p>
  </w:footnote>
  <w:footnote w:id="319">
    <w:p w14:paraId="6245EB82" w14:textId="50EEA660" w:rsidR="003F6C9F" w:rsidRPr="00047A9D" w:rsidRDefault="003F6C9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46EA2" w:rsidRPr="00047A9D">
        <w:rPr>
          <w:rFonts w:ascii="Times New Roman" w:hAnsi="Times New Roman" w:cs="Times New Roman"/>
          <w:sz w:val="22"/>
          <w:szCs w:val="22"/>
        </w:rPr>
        <w:t>UCLES, A Level History Syllabus, 1974 Session, Code 804, n.p.</w:t>
      </w:r>
    </w:p>
  </w:footnote>
  <w:footnote w:id="320">
    <w:p w14:paraId="277F6FEC" w14:textId="4C8B0341" w:rsidR="00727C5A" w:rsidRPr="00047A9D" w:rsidRDefault="00727C5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F694F" w:rsidRPr="00047A9D">
        <w:rPr>
          <w:rFonts w:ascii="Times New Roman" w:hAnsi="Times New Roman" w:cs="Times New Roman"/>
          <w:sz w:val="22"/>
          <w:szCs w:val="22"/>
        </w:rPr>
        <w:t xml:space="preserve">UCLES, </w:t>
      </w:r>
      <w:r w:rsidR="00AF2389" w:rsidRPr="00047A9D">
        <w:rPr>
          <w:rFonts w:ascii="Times New Roman" w:hAnsi="Times New Roman" w:cs="Times New Roman"/>
          <w:sz w:val="22"/>
          <w:szCs w:val="22"/>
        </w:rPr>
        <w:t>‘</w:t>
      </w:r>
      <w:r w:rsidR="006F694F" w:rsidRPr="00047A9D">
        <w:rPr>
          <w:rFonts w:ascii="Times New Roman" w:hAnsi="Times New Roman" w:cs="Times New Roman"/>
          <w:sz w:val="22"/>
          <w:szCs w:val="22"/>
        </w:rPr>
        <w:t>A Level History Syllabus</w:t>
      </w:r>
      <w:r w:rsidR="00AF2389" w:rsidRPr="00047A9D">
        <w:rPr>
          <w:rFonts w:ascii="Times New Roman" w:hAnsi="Times New Roman" w:cs="Times New Roman"/>
          <w:sz w:val="22"/>
          <w:szCs w:val="22"/>
        </w:rPr>
        <w:t>’</w:t>
      </w:r>
      <w:r w:rsidR="006F694F" w:rsidRPr="00047A9D">
        <w:rPr>
          <w:rFonts w:ascii="Times New Roman" w:hAnsi="Times New Roman" w:cs="Times New Roman"/>
          <w:sz w:val="22"/>
          <w:szCs w:val="22"/>
        </w:rPr>
        <w:t>, 1974</w:t>
      </w:r>
      <w:r w:rsidR="000D69DD" w:rsidRPr="00047A9D">
        <w:rPr>
          <w:rFonts w:ascii="Times New Roman" w:hAnsi="Times New Roman" w:cs="Times New Roman"/>
          <w:sz w:val="22"/>
          <w:szCs w:val="22"/>
        </w:rPr>
        <w:t>, p.</w:t>
      </w:r>
      <w:r w:rsidR="00A83CF2" w:rsidRPr="00047A9D">
        <w:rPr>
          <w:rFonts w:ascii="Times New Roman" w:hAnsi="Times New Roman" w:cs="Times New Roman"/>
          <w:sz w:val="22"/>
          <w:szCs w:val="22"/>
        </w:rPr>
        <w:t>17</w:t>
      </w:r>
      <w:r w:rsidR="00A461CE" w:rsidRPr="00047A9D">
        <w:rPr>
          <w:rFonts w:ascii="Times New Roman" w:hAnsi="Times New Roman" w:cs="Times New Roman"/>
          <w:sz w:val="22"/>
          <w:szCs w:val="22"/>
        </w:rPr>
        <w:t>.</w:t>
      </w:r>
    </w:p>
  </w:footnote>
  <w:footnote w:id="321">
    <w:p w14:paraId="2CF9A385" w14:textId="399AFE1E" w:rsidR="00600DF3" w:rsidRPr="00047A9D" w:rsidRDefault="00600DF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437DB" w:rsidRPr="00047A9D">
        <w:rPr>
          <w:rFonts w:ascii="Times New Roman" w:hAnsi="Times New Roman" w:cs="Times New Roman"/>
          <w:sz w:val="22"/>
          <w:szCs w:val="22"/>
        </w:rPr>
        <w:t>Longden, ‘World History in England</w:t>
      </w:r>
      <w:r w:rsidR="008E060F" w:rsidRPr="00047A9D">
        <w:rPr>
          <w:rFonts w:ascii="Times New Roman" w:hAnsi="Times New Roman" w:cs="Times New Roman"/>
          <w:sz w:val="22"/>
          <w:szCs w:val="22"/>
        </w:rPr>
        <w:t>’</w:t>
      </w:r>
      <w:r w:rsidR="000437DB" w:rsidRPr="00047A9D">
        <w:rPr>
          <w:rFonts w:ascii="Times New Roman" w:hAnsi="Times New Roman" w:cs="Times New Roman"/>
          <w:sz w:val="22"/>
          <w:szCs w:val="22"/>
        </w:rPr>
        <w:t>, ‘</w:t>
      </w:r>
      <w:r w:rsidR="00367532" w:rsidRPr="00047A9D">
        <w:rPr>
          <w:rFonts w:ascii="Times New Roman" w:hAnsi="Times New Roman" w:cs="Times New Roman"/>
          <w:sz w:val="22"/>
          <w:szCs w:val="22"/>
        </w:rPr>
        <w:t xml:space="preserve">Table 10:5 - A.E.B. [Associated Examining Board] </w:t>
      </w:r>
      <w:r w:rsidR="003B0DD5" w:rsidRPr="00047A9D">
        <w:rPr>
          <w:rFonts w:ascii="Times New Roman" w:hAnsi="Times New Roman" w:cs="Times New Roman"/>
          <w:sz w:val="22"/>
          <w:szCs w:val="22"/>
        </w:rPr>
        <w:t>“</w:t>
      </w:r>
      <w:r w:rsidR="00367532" w:rsidRPr="00047A9D">
        <w:rPr>
          <w:rFonts w:ascii="Times New Roman" w:hAnsi="Times New Roman" w:cs="Times New Roman"/>
          <w:sz w:val="22"/>
          <w:szCs w:val="22"/>
        </w:rPr>
        <w:t>A</w:t>
      </w:r>
      <w:r w:rsidR="003B0DD5" w:rsidRPr="00047A9D">
        <w:rPr>
          <w:rFonts w:ascii="Times New Roman" w:hAnsi="Times New Roman" w:cs="Times New Roman"/>
          <w:sz w:val="22"/>
          <w:szCs w:val="22"/>
        </w:rPr>
        <w:t>”</w:t>
      </w:r>
      <w:r w:rsidR="00367532" w:rsidRPr="00047A9D">
        <w:rPr>
          <w:rFonts w:ascii="Times New Roman" w:hAnsi="Times New Roman" w:cs="Times New Roman"/>
          <w:sz w:val="22"/>
          <w:szCs w:val="22"/>
        </w:rPr>
        <w:t xml:space="preserve"> Level History Options</w:t>
      </w:r>
      <w:r w:rsidR="003B0DD5" w:rsidRPr="00047A9D">
        <w:rPr>
          <w:rFonts w:ascii="Times New Roman" w:hAnsi="Times New Roman" w:cs="Times New Roman"/>
          <w:sz w:val="22"/>
          <w:szCs w:val="22"/>
        </w:rPr>
        <w:t>’</w:t>
      </w:r>
      <w:r w:rsidR="00367532" w:rsidRPr="00047A9D">
        <w:rPr>
          <w:rFonts w:ascii="Times New Roman" w:hAnsi="Times New Roman" w:cs="Times New Roman"/>
          <w:sz w:val="22"/>
          <w:szCs w:val="22"/>
        </w:rPr>
        <w:t>, 1971</w:t>
      </w:r>
      <w:r w:rsidR="000437DB" w:rsidRPr="00047A9D">
        <w:rPr>
          <w:rFonts w:ascii="Times New Roman" w:hAnsi="Times New Roman" w:cs="Times New Roman"/>
          <w:sz w:val="22"/>
          <w:szCs w:val="22"/>
        </w:rPr>
        <w:t xml:space="preserve">, </w:t>
      </w:r>
      <w:r w:rsidR="006D48BC" w:rsidRPr="00047A9D">
        <w:rPr>
          <w:rFonts w:ascii="Times New Roman" w:hAnsi="Times New Roman" w:cs="Times New Roman"/>
          <w:sz w:val="22"/>
          <w:szCs w:val="22"/>
        </w:rPr>
        <w:t>n.p</w:t>
      </w:r>
      <w:r w:rsidR="000437DB" w:rsidRPr="00047A9D">
        <w:rPr>
          <w:rFonts w:ascii="Times New Roman" w:hAnsi="Times New Roman" w:cs="Times New Roman"/>
          <w:sz w:val="22"/>
          <w:szCs w:val="22"/>
        </w:rPr>
        <w:t>.</w:t>
      </w:r>
    </w:p>
  </w:footnote>
  <w:footnote w:id="322">
    <w:p w14:paraId="0002F292" w14:textId="1C2A4763" w:rsidR="00600DF3" w:rsidRPr="00047A9D" w:rsidRDefault="00600DF3"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A1D52" w:rsidRPr="00047A9D">
        <w:rPr>
          <w:rFonts w:ascii="Times New Roman" w:hAnsi="Times New Roman" w:cs="Times New Roman"/>
          <w:sz w:val="22"/>
          <w:szCs w:val="22"/>
        </w:rPr>
        <w:t>Longden, ‘World History in England’, ‘Table 10:5 - A.E.B. “A” Level History Options’, n.p.</w:t>
      </w:r>
    </w:p>
  </w:footnote>
  <w:footnote w:id="323">
    <w:p w14:paraId="5D329781" w14:textId="508D9581" w:rsidR="00130426" w:rsidRPr="00047A9D" w:rsidRDefault="0013042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F6D27" w:rsidRPr="00047A9D">
        <w:rPr>
          <w:rFonts w:ascii="Times New Roman" w:hAnsi="Times New Roman" w:cs="Times New Roman"/>
          <w:sz w:val="22"/>
          <w:szCs w:val="22"/>
        </w:rPr>
        <w:t xml:space="preserve">Cannadine, Keating, and Sheldon, </w:t>
      </w:r>
      <w:r w:rsidR="005F6D27" w:rsidRPr="00047A9D">
        <w:rPr>
          <w:rFonts w:ascii="Times New Roman" w:hAnsi="Times New Roman" w:cs="Times New Roman"/>
          <w:i/>
          <w:sz w:val="22"/>
          <w:szCs w:val="22"/>
        </w:rPr>
        <w:t>The Right Kind</w:t>
      </w:r>
      <w:r w:rsidR="005F6D27" w:rsidRPr="00047A9D">
        <w:rPr>
          <w:rFonts w:ascii="Times New Roman" w:hAnsi="Times New Roman" w:cs="Times New Roman"/>
          <w:sz w:val="22"/>
          <w:szCs w:val="22"/>
        </w:rPr>
        <w:t>, p</w:t>
      </w:r>
      <w:r w:rsidR="00FE57D4" w:rsidRPr="00047A9D">
        <w:rPr>
          <w:rFonts w:ascii="Times New Roman" w:hAnsi="Times New Roman" w:cs="Times New Roman"/>
          <w:sz w:val="22"/>
          <w:szCs w:val="22"/>
        </w:rPr>
        <w:t>p.141-42.</w:t>
      </w:r>
    </w:p>
  </w:footnote>
  <w:footnote w:id="324">
    <w:p w14:paraId="6AA3D16F" w14:textId="520E0FB0" w:rsidR="00582732" w:rsidRPr="00047A9D" w:rsidRDefault="0058273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95130" w:rsidRPr="00047A9D">
        <w:rPr>
          <w:rFonts w:ascii="Times New Roman" w:hAnsi="Times New Roman" w:cs="Times New Roman"/>
          <w:sz w:val="22"/>
          <w:szCs w:val="22"/>
        </w:rPr>
        <w:t>Athena Syriatou, ‘Educational Policy and Educational Content: The Teaching of European History in Secondary Schools in England and Wales, 1945-1975’</w:t>
      </w:r>
      <w:r w:rsidR="00D96DED" w:rsidRPr="00047A9D">
        <w:rPr>
          <w:rFonts w:ascii="Times New Roman" w:hAnsi="Times New Roman" w:cs="Times New Roman"/>
          <w:sz w:val="22"/>
          <w:szCs w:val="22"/>
        </w:rPr>
        <w:t xml:space="preserve"> (unpublished </w:t>
      </w:r>
      <w:r w:rsidR="005D4F3D" w:rsidRPr="00047A9D">
        <w:rPr>
          <w:rFonts w:ascii="Times New Roman" w:hAnsi="Times New Roman" w:cs="Times New Roman"/>
          <w:sz w:val="22"/>
          <w:szCs w:val="22"/>
        </w:rPr>
        <w:t>PhD</w:t>
      </w:r>
      <w:r w:rsidR="00D96DED" w:rsidRPr="00047A9D">
        <w:rPr>
          <w:rFonts w:ascii="Times New Roman" w:hAnsi="Times New Roman" w:cs="Times New Roman"/>
          <w:sz w:val="22"/>
          <w:szCs w:val="22"/>
        </w:rPr>
        <w:t xml:space="preserve"> thesis, University </w:t>
      </w:r>
      <w:r w:rsidR="00A22C78" w:rsidRPr="00047A9D">
        <w:rPr>
          <w:rFonts w:ascii="Times New Roman" w:hAnsi="Times New Roman" w:cs="Times New Roman"/>
          <w:sz w:val="22"/>
          <w:szCs w:val="22"/>
        </w:rPr>
        <w:t>College</w:t>
      </w:r>
      <w:r w:rsidR="00D96DED" w:rsidRPr="00047A9D">
        <w:rPr>
          <w:rFonts w:ascii="Times New Roman" w:hAnsi="Times New Roman" w:cs="Times New Roman"/>
          <w:sz w:val="22"/>
          <w:szCs w:val="22"/>
        </w:rPr>
        <w:t xml:space="preserve"> </w:t>
      </w:r>
      <w:r w:rsidR="005D4F3D" w:rsidRPr="00047A9D">
        <w:rPr>
          <w:rFonts w:ascii="Times New Roman" w:hAnsi="Times New Roman" w:cs="Times New Roman"/>
          <w:sz w:val="22"/>
          <w:szCs w:val="22"/>
        </w:rPr>
        <w:t>London</w:t>
      </w:r>
      <w:r w:rsidR="00D96DED" w:rsidRPr="00047A9D">
        <w:rPr>
          <w:rFonts w:ascii="Times New Roman" w:hAnsi="Times New Roman" w:cs="Times New Roman"/>
          <w:sz w:val="22"/>
          <w:szCs w:val="22"/>
        </w:rPr>
        <w:t>, 19</w:t>
      </w:r>
      <w:r w:rsidR="005D4F3D" w:rsidRPr="00047A9D">
        <w:rPr>
          <w:rFonts w:ascii="Times New Roman" w:hAnsi="Times New Roman" w:cs="Times New Roman"/>
          <w:sz w:val="22"/>
          <w:szCs w:val="22"/>
        </w:rPr>
        <w:t>97</w:t>
      </w:r>
      <w:r w:rsidR="00D96DED" w:rsidRPr="00047A9D">
        <w:rPr>
          <w:rFonts w:ascii="Times New Roman" w:hAnsi="Times New Roman" w:cs="Times New Roman"/>
          <w:sz w:val="22"/>
          <w:szCs w:val="22"/>
        </w:rPr>
        <w:t>), p</w:t>
      </w:r>
      <w:r w:rsidRPr="00047A9D">
        <w:rPr>
          <w:rFonts w:ascii="Times New Roman" w:hAnsi="Times New Roman" w:cs="Times New Roman"/>
          <w:sz w:val="22"/>
          <w:szCs w:val="22"/>
        </w:rPr>
        <w:t>.140.</w:t>
      </w:r>
    </w:p>
  </w:footnote>
  <w:footnote w:id="325">
    <w:p w14:paraId="3E856C27" w14:textId="1E8143F3" w:rsidR="000044CE" w:rsidRPr="00047A9D" w:rsidRDefault="000044C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Syriatou, ‘Educational Policy’, p.140</w:t>
      </w:r>
      <w:r w:rsidRPr="00047A9D">
        <w:rPr>
          <w:rFonts w:ascii="Times New Roman" w:hAnsi="Times New Roman" w:cs="Times New Roman"/>
          <w:i/>
          <w:sz w:val="22"/>
          <w:szCs w:val="22"/>
        </w:rPr>
        <w:t>.</w:t>
      </w:r>
    </w:p>
  </w:footnote>
  <w:footnote w:id="326">
    <w:p w14:paraId="66841CC7" w14:textId="512DDD0E" w:rsidR="00E14A17" w:rsidRPr="00047A9D" w:rsidRDefault="00E14A1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85932" w:rsidRPr="00047A9D">
        <w:rPr>
          <w:rFonts w:ascii="Times New Roman" w:hAnsi="Times New Roman" w:cs="Times New Roman"/>
          <w:sz w:val="22"/>
          <w:szCs w:val="22"/>
        </w:rPr>
        <w:t xml:space="preserve">Lyall (ed.), </w:t>
      </w:r>
      <w:r w:rsidR="00D85932" w:rsidRPr="00047A9D">
        <w:rPr>
          <w:rFonts w:ascii="Times New Roman" w:hAnsi="Times New Roman" w:cs="Times New Roman"/>
          <w:i/>
          <w:sz w:val="22"/>
          <w:szCs w:val="22"/>
        </w:rPr>
        <w:t>World Perspective</w:t>
      </w:r>
      <w:r w:rsidR="00D85932" w:rsidRPr="00047A9D">
        <w:rPr>
          <w:rFonts w:ascii="Times New Roman" w:hAnsi="Times New Roman" w:cs="Times New Roman"/>
          <w:sz w:val="22"/>
          <w:szCs w:val="22"/>
        </w:rPr>
        <w:t>, p</w:t>
      </w:r>
      <w:r w:rsidR="000A08EF" w:rsidRPr="00047A9D">
        <w:rPr>
          <w:rFonts w:ascii="Times New Roman" w:hAnsi="Times New Roman" w:cs="Times New Roman"/>
          <w:sz w:val="22"/>
          <w:szCs w:val="22"/>
        </w:rPr>
        <w:t>p</w:t>
      </w:r>
      <w:r w:rsidR="00D85932" w:rsidRPr="00047A9D">
        <w:rPr>
          <w:rFonts w:ascii="Times New Roman" w:hAnsi="Times New Roman" w:cs="Times New Roman"/>
          <w:sz w:val="22"/>
          <w:szCs w:val="22"/>
        </w:rPr>
        <w:t>.</w:t>
      </w:r>
      <w:r w:rsidR="000A08EF" w:rsidRPr="00047A9D">
        <w:rPr>
          <w:rFonts w:ascii="Times New Roman" w:hAnsi="Times New Roman" w:cs="Times New Roman"/>
          <w:sz w:val="22"/>
          <w:szCs w:val="22"/>
        </w:rPr>
        <w:t xml:space="preserve"> 5, </w:t>
      </w:r>
      <w:r w:rsidR="00287AD3" w:rsidRPr="00047A9D">
        <w:rPr>
          <w:rFonts w:ascii="Times New Roman" w:hAnsi="Times New Roman" w:cs="Times New Roman"/>
          <w:sz w:val="22"/>
          <w:szCs w:val="22"/>
        </w:rPr>
        <w:t>47.</w:t>
      </w:r>
    </w:p>
  </w:footnote>
  <w:footnote w:id="327">
    <w:p w14:paraId="65F56E38" w14:textId="7520873B" w:rsidR="00530CAC" w:rsidRPr="00047A9D" w:rsidRDefault="00530CA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A08EF" w:rsidRPr="00047A9D">
        <w:rPr>
          <w:rFonts w:ascii="Times New Roman" w:hAnsi="Times New Roman" w:cs="Times New Roman"/>
          <w:sz w:val="22"/>
          <w:szCs w:val="22"/>
        </w:rPr>
        <w:t xml:space="preserve">Lyall (ed.), </w:t>
      </w:r>
      <w:r w:rsidR="000A08EF" w:rsidRPr="00047A9D">
        <w:rPr>
          <w:rFonts w:ascii="Times New Roman" w:hAnsi="Times New Roman" w:cs="Times New Roman"/>
          <w:i/>
          <w:sz w:val="22"/>
          <w:szCs w:val="22"/>
        </w:rPr>
        <w:t>World Perspective</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w:t>
      </w:r>
      <w:r w:rsidR="00894BAC" w:rsidRPr="00047A9D">
        <w:rPr>
          <w:rFonts w:ascii="Times New Roman" w:hAnsi="Times New Roman" w:cs="Times New Roman"/>
          <w:sz w:val="22"/>
          <w:szCs w:val="22"/>
        </w:rPr>
        <w:t>p</w:t>
      </w:r>
      <w:r w:rsidRPr="00047A9D">
        <w:rPr>
          <w:rFonts w:ascii="Times New Roman" w:hAnsi="Times New Roman" w:cs="Times New Roman"/>
          <w:sz w:val="22"/>
          <w:szCs w:val="22"/>
        </w:rPr>
        <w:t>.5</w:t>
      </w:r>
      <w:r w:rsidR="00894BAC" w:rsidRPr="00047A9D">
        <w:rPr>
          <w:rFonts w:ascii="Times New Roman" w:hAnsi="Times New Roman" w:cs="Times New Roman"/>
          <w:sz w:val="22"/>
          <w:szCs w:val="22"/>
        </w:rPr>
        <w:t>, 47</w:t>
      </w:r>
      <w:r w:rsidRPr="00047A9D">
        <w:rPr>
          <w:rFonts w:ascii="Times New Roman" w:hAnsi="Times New Roman" w:cs="Times New Roman"/>
          <w:sz w:val="22"/>
          <w:szCs w:val="22"/>
        </w:rPr>
        <w:t>.</w:t>
      </w:r>
    </w:p>
  </w:footnote>
  <w:footnote w:id="328">
    <w:p w14:paraId="13F0EE9F" w14:textId="7E6E1133" w:rsidR="00894BAC" w:rsidRPr="00047A9D" w:rsidRDefault="00894BA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Satia</w:t>
      </w:r>
      <w:r w:rsidRPr="00047A9D">
        <w:rPr>
          <w:rFonts w:ascii="Times New Roman" w:hAnsi="Times New Roman" w:cs="Times New Roman"/>
          <w:i/>
          <w:sz w:val="22"/>
          <w:szCs w:val="22"/>
        </w:rPr>
        <w:t xml:space="preserve">, Time’s Monster, </w:t>
      </w:r>
      <w:r w:rsidRPr="00047A9D">
        <w:rPr>
          <w:rFonts w:ascii="Times New Roman" w:hAnsi="Times New Roman" w:cs="Times New Roman"/>
          <w:sz w:val="22"/>
          <w:szCs w:val="22"/>
        </w:rPr>
        <w:t>pp.132, 145.</w:t>
      </w:r>
    </w:p>
  </w:footnote>
  <w:footnote w:id="329">
    <w:p w14:paraId="17088DD6" w14:textId="7740E611" w:rsidR="00FE3265" w:rsidRPr="00047A9D" w:rsidRDefault="00FE3265"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033C9" w:rsidRPr="00047A9D">
        <w:rPr>
          <w:rFonts w:ascii="Times New Roman" w:hAnsi="Times New Roman" w:cs="Times New Roman"/>
          <w:sz w:val="22"/>
          <w:szCs w:val="22"/>
        </w:rPr>
        <w:t xml:space="preserve">Carter, </w:t>
      </w:r>
      <w:r w:rsidR="009033C9" w:rsidRPr="00047A9D">
        <w:rPr>
          <w:rFonts w:ascii="Times New Roman" w:hAnsi="Times New Roman" w:cs="Times New Roman"/>
          <w:i/>
          <w:sz w:val="22"/>
          <w:szCs w:val="22"/>
        </w:rPr>
        <w:t>Histories of Everyday Life</w:t>
      </w:r>
      <w:r w:rsidR="009033C9" w:rsidRPr="00047A9D">
        <w:rPr>
          <w:rFonts w:ascii="Times New Roman" w:hAnsi="Times New Roman" w:cs="Times New Roman"/>
          <w:sz w:val="22"/>
          <w:szCs w:val="22"/>
        </w:rPr>
        <w:t xml:space="preserve">, </w:t>
      </w:r>
      <w:r w:rsidR="001B0EA6" w:rsidRPr="00047A9D">
        <w:rPr>
          <w:rFonts w:ascii="Times New Roman" w:hAnsi="Times New Roman" w:cs="Times New Roman"/>
          <w:sz w:val="22"/>
          <w:szCs w:val="22"/>
        </w:rPr>
        <w:t>p.227.</w:t>
      </w:r>
    </w:p>
  </w:footnote>
  <w:footnote w:id="330">
    <w:p w14:paraId="3B1F5B29" w14:textId="0394CDB6" w:rsidR="007516E1" w:rsidRPr="00047A9D" w:rsidRDefault="007516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94E4B" w:rsidRPr="00047A9D">
        <w:rPr>
          <w:rFonts w:ascii="Times New Roman" w:hAnsi="Times New Roman" w:cs="Times New Roman"/>
          <w:sz w:val="22"/>
          <w:szCs w:val="22"/>
        </w:rPr>
        <w:t xml:space="preserve">Schools Council, </w:t>
      </w:r>
      <w:r w:rsidR="00394E4B" w:rsidRPr="00047A9D">
        <w:rPr>
          <w:rFonts w:ascii="Times New Roman" w:hAnsi="Times New Roman" w:cs="Times New Roman"/>
          <w:i/>
          <w:sz w:val="22"/>
          <w:szCs w:val="22"/>
        </w:rPr>
        <w:t>The Move to European Unity</w:t>
      </w:r>
      <w:r w:rsidR="00394E4B" w:rsidRPr="00047A9D">
        <w:rPr>
          <w:rFonts w:ascii="Times New Roman" w:hAnsi="Times New Roman" w:cs="Times New Roman"/>
          <w:sz w:val="22"/>
          <w:szCs w:val="22"/>
        </w:rPr>
        <w:t xml:space="preserve"> (Edinburgh: Holmes McDougall, 1978), </w:t>
      </w:r>
      <w:r w:rsidR="00FA6AE7" w:rsidRPr="00047A9D">
        <w:rPr>
          <w:rFonts w:ascii="Times New Roman" w:hAnsi="Times New Roman" w:cs="Times New Roman"/>
          <w:sz w:val="22"/>
          <w:szCs w:val="22"/>
        </w:rPr>
        <w:t>p</w:t>
      </w:r>
      <w:r w:rsidR="00394E4B" w:rsidRPr="00047A9D">
        <w:rPr>
          <w:rFonts w:ascii="Times New Roman" w:hAnsi="Times New Roman" w:cs="Times New Roman"/>
          <w:sz w:val="22"/>
          <w:szCs w:val="22"/>
        </w:rPr>
        <w:t>p.56</w:t>
      </w:r>
      <w:r w:rsidR="00FA6AE7" w:rsidRPr="00047A9D">
        <w:rPr>
          <w:rFonts w:ascii="Times New Roman" w:hAnsi="Times New Roman" w:cs="Times New Roman"/>
          <w:sz w:val="22"/>
          <w:szCs w:val="22"/>
        </w:rPr>
        <w:t>, 67-68.</w:t>
      </w:r>
    </w:p>
  </w:footnote>
  <w:footnote w:id="331">
    <w:p w14:paraId="654D1E1B" w14:textId="2FF902F2" w:rsidR="00D936FE" w:rsidRPr="00047A9D" w:rsidRDefault="00D936F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87F07" w:rsidRPr="00047A9D">
        <w:rPr>
          <w:rFonts w:ascii="Times New Roman" w:hAnsi="Times New Roman" w:cs="Times New Roman"/>
          <w:sz w:val="22"/>
          <w:szCs w:val="22"/>
        </w:rPr>
        <w:t xml:space="preserve">Schools Council, </w:t>
      </w:r>
      <w:r w:rsidR="00487F07" w:rsidRPr="00047A9D">
        <w:rPr>
          <w:rFonts w:ascii="Times New Roman" w:hAnsi="Times New Roman" w:cs="Times New Roman"/>
          <w:i/>
          <w:sz w:val="22"/>
          <w:szCs w:val="22"/>
        </w:rPr>
        <w:t xml:space="preserve">The Move to European Unity, </w:t>
      </w:r>
      <w:r w:rsidR="00487F07" w:rsidRPr="00047A9D">
        <w:rPr>
          <w:rFonts w:ascii="Times New Roman" w:hAnsi="Times New Roman" w:cs="Times New Roman"/>
          <w:sz w:val="22"/>
          <w:szCs w:val="22"/>
        </w:rPr>
        <w:t>p.67.</w:t>
      </w:r>
    </w:p>
  </w:footnote>
  <w:footnote w:id="332">
    <w:p w14:paraId="2E4C2BD0" w14:textId="65D8FD47" w:rsidR="00A47B02" w:rsidRPr="00047A9D" w:rsidRDefault="00A47B0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For a related analysis, see </w:t>
      </w:r>
      <w:r w:rsidR="00857315" w:rsidRPr="00047A9D">
        <w:rPr>
          <w:rFonts w:ascii="Times New Roman" w:hAnsi="Times New Roman" w:cs="Times New Roman"/>
          <w:sz w:val="22"/>
          <w:szCs w:val="22"/>
        </w:rPr>
        <w:t xml:space="preserve">Samuel, </w:t>
      </w:r>
      <w:r w:rsidR="00857315" w:rsidRPr="00047A9D">
        <w:rPr>
          <w:rFonts w:ascii="Times New Roman" w:hAnsi="Times New Roman" w:cs="Times New Roman"/>
          <w:i/>
          <w:sz w:val="22"/>
          <w:szCs w:val="22"/>
        </w:rPr>
        <w:t>Island Stories</w:t>
      </w:r>
      <w:r w:rsidR="00857315" w:rsidRPr="00047A9D">
        <w:rPr>
          <w:rFonts w:ascii="Times New Roman" w:hAnsi="Times New Roman" w:cs="Times New Roman"/>
          <w:sz w:val="22"/>
          <w:szCs w:val="22"/>
        </w:rPr>
        <w:t>, p.</w:t>
      </w:r>
      <w:r w:rsidR="00F32349" w:rsidRPr="00047A9D">
        <w:rPr>
          <w:rFonts w:ascii="Times New Roman" w:hAnsi="Times New Roman" w:cs="Times New Roman"/>
          <w:sz w:val="22"/>
          <w:szCs w:val="22"/>
        </w:rPr>
        <w:t>83.</w:t>
      </w:r>
    </w:p>
  </w:footnote>
  <w:footnote w:id="333">
    <w:p w14:paraId="728C2666" w14:textId="5848216F" w:rsidR="00A236B6" w:rsidRPr="00047A9D" w:rsidRDefault="00A236B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312F6" w:rsidRPr="00047A9D">
        <w:rPr>
          <w:rFonts w:ascii="Times New Roman" w:hAnsi="Times New Roman" w:cs="Times New Roman"/>
          <w:sz w:val="22"/>
          <w:szCs w:val="22"/>
        </w:rPr>
        <w:t xml:space="preserve">Schools Council, </w:t>
      </w:r>
      <w:r w:rsidR="006312F6" w:rsidRPr="00047A9D">
        <w:rPr>
          <w:rFonts w:ascii="Times New Roman" w:hAnsi="Times New Roman" w:cs="Times New Roman"/>
          <w:i/>
          <w:sz w:val="22"/>
          <w:szCs w:val="22"/>
        </w:rPr>
        <w:t>The Irish Question: Teachers’ Guide</w:t>
      </w:r>
      <w:r w:rsidR="006312F6" w:rsidRPr="00047A9D">
        <w:rPr>
          <w:rFonts w:ascii="Times New Roman" w:hAnsi="Times New Roman" w:cs="Times New Roman"/>
          <w:sz w:val="22"/>
          <w:szCs w:val="22"/>
        </w:rPr>
        <w:t xml:space="preserve"> (Edinburgh: Holmes McDougall, 1977)</w:t>
      </w:r>
      <w:r w:rsidR="00432156" w:rsidRPr="00047A9D">
        <w:rPr>
          <w:rFonts w:ascii="Times New Roman" w:hAnsi="Times New Roman" w:cs="Times New Roman"/>
          <w:sz w:val="22"/>
          <w:szCs w:val="22"/>
        </w:rPr>
        <w:t>, p</w:t>
      </w:r>
      <w:r w:rsidR="00CA5D3F" w:rsidRPr="00047A9D">
        <w:rPr>
          <w:rFonts w:ascii="Times New Roman" w:hAnsi="Times New Roman" w:cs="Times New Roman"/>
          <w:sz w:val="22"/>
          <w:szCs w:val="22"/>
        </w:rPr>
        <w:t>p</w:t>
      </w:r>
      <w:r w:rsidR="00CD0E14" w:rsidRPr="00047A9D">
        <w:rPr>
          <w:rFonts w:ascii="Times New Roman" w:hAnsi="Times New Roman" w:cs="Times New Roman"/>
          <w:sz w:val="22"/>
          <w:szCs w:val="22"/>
        </w:rPr>
        <w:t>.</w:t>
      </w:r>
      <w:r w:rsidR="00CA5D3F" w:rsidRPr="00047A9D">
        <w:rPr>
          <w:rFonts w:ascii="Times New Roman" w:hAnsi="Times New Roman" w:cs="Times New Roman"/>
          <w:sz w:val="22"/>
          <w:szCs w:val="22"/>
        </w:rPr>
        <w:t>5</w:t>
      </w:r>
      <w:r w:rsidR="0057535A">
        <w:rPr>
          <w:rFonts w:ascii="Times New Roman" w:hAnsi="Times New Roman" w:cs="Times New Roman"/>
          <w:sz w:val="22"/>
          <w:szCs w:val="22"/>
        </w:rPr>
        <w:t>-</w:t>
      </w:r>
      <w:r w:rsidR="00CD0E14" w:rsidRPr="00047A9D">
        <w:rPr>
          <w:rFonts w:ascii="Times New Roman" w:hAnsi="Times New Roman" w:cs="Times New Roman"/>
          <w:sz w:val="22"/>
          <w:szCs w:val="22"/>
        </w:rPr>
        <w:t>7</w:t>
      </w:r>
      <w:r w:rsidR="006649EF" w:rsidRPr="00047A9D">
        <w:rPr>
          <w:rFonts w:ascii="Times New Roman" w:hAnsi="Times New Roman" w:cs="Times New Roman"/>
          <w:sz w:val="22"/>
          <w:szCs w:val="22"/>
        </w:rPr>
        <w:t>.</w:t>
      </w:r>
    </w:p>
  </w:footnote>
  <w:footnote w:id="334">
    <w:p w14:paraId="50580677" w14:textId="01FEC4CC" w:rsidR="003D739E" w:rsidRPr="00047A9D" w:rsidRDefault="003D739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48E0" w:rsidRPr="00047A9D">
        <w:rPr>
          <w:rFonts w:ascii="Times New Roman" w:hAnsi="Times New Roman" w:cs="Times New Roman"/>
          <w:sz w:val="22"/>
          <w:szCs w:val="22"/>
        </w:rPr>
        <w:t xml:space="preserve">Schools Council, </w:t>
      </w:r>
      <w:r w:rsidR="005848E0" w:rsidRPr="00047A9D">
        <w:rPr>
          <w:rFonts w:ascii="Times New Roman" w:hAnsi="Times New Roman" w:cs="Times New Roman"/>
          <w:i/>
          <w:sz w:val="22"/>
          <w:szCs w:val="22"/>
        </w:rPr>
        <w:t xml:space="preserve">The Irish Question </w:t>
      </w:r>
      <w:r w:rsidR="005848E0" w:rsidRPr="00047A9D">
        <w:rPr>
          <w:rFonts w:ascii="Times New Roman" w:hAnsi="Times New Roman" w:cs="Times New Roman"/>
          <w:sz w:val="22"/>
          <w:szCs w:val="22"/>
        </w:rPr>
        <w:t xml:space="preserve">(Edinburgh: Holmes McDougall, 1977), </w:t>
      </w:r>
      <w:r w:rsidR="00A17EF4" w:rsidRPr="00047A9D">
        <w:rPr>
          <w:rFonts w:ascii="Times New Roman" w:hAnsi="Times New Roman" w:cs="Times New Roman"/>
          <w:sz w:val="22"/>
          <w:szCs w:val="22"/>
        </w:rPr>
        <w:t>p.12.</w:t>
      </w:r>
    </w:p>
  </w:footnote>
  <w:footnote w:id="335">
    <w:p w14:paraId="35AD7C49" w14:textId="652769CD" w:rsidR="00323259" w:rsidRPr="00047A9D" w:rsidRDefault="0032325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26329" w:rsidRPr="00047A9D">
        <w:rPr>
          <w:rFonts w:ascii="Times New Roman" w:hAnsi="Times New Roman" w:cs="Times New Roman"/>
          <w:sz w:val="22"/>
          <w:szCs w:val="22"/>
        </w:rPr>
        <w:t>Schools Council</w:t>
      </w:r>
      <w:r w:rsidR="00D242DA" w:rsidRPr="00047A9D">
        <w:rPr>
          <w:rFonts w:ascii="Times New Roman" w:hAnsi="Times New Roman" w:cs="Times New Roman"/>
          <w:i/>
          <w:sz w:val="22"/>
          <w:szCs w:val="22"/>
        </w:rPr>
        <w:t>, Arab-Israeli Conflict</w:t>
      </w:r>
      <w:r w:rsidR="00D242DA" w:rsidRPr="00047A9D">
        <w:rPr>
          <w:rFonts w:ascii="Times New Roman" w:hAnsi="Times New Roman" w:cs="Times New Roman"/>
          <w:sz w:val="22"/>
          <w:szCs w:val="22"/>
        </w:rPr>
        <w:t xml:space="preserve"> (Edinburgh: Holmes McDougall, 1979), </w:t>
      </w:r>
      <w:r w:rsidR="00366EB2" w:rsidRPr="00047A9D">
        <w:rPr>
          <w:rFonts w:ascii="Times New Roman" w:hAnsi="Times New Roman" w:cs="Times New Roman"/>
          <w:sz w:val="22"/>
          <w:szCs w:val="22"/>
        </w:rPr>
        <w:t>pp.18, 21, 25-26</w:t>
      </w:r>
    </w:p>
  </w:footnote>
  <w:footnote w:id="336">
    <w:p w14:paraId="654EBEF8" w14:textId="77534D7A" w:rsidR="00DD1296" w:rsidRPr="00047A9D" w:rsidRDefault="00DD129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66EB2" w:rsidRPr="00047A9D">
        <w:rPr>
          <w:rFonts w:ascii="Times New Roman" w:hAnsi="Times New Roman" w:cs="Times New Roman"/>
          <w:sz w:val="22"/>
          <w:szCs w:val="22"/>
        </w:rPr>
        <w:t>Schools Council</w:t>
      </w:r>
      <w:r w:rsidR="00366EB2" w:rsidRPr="00047A9D">
        <w:rPr>
          <w:rFonts w:ascii="Times New Roman" w:hAnsi="Times New Roman" w:cs="Times New Roman"/>
          <w:i/>
          <w:sz w:val="22"/>
          <w:szCs w:val="22"/>
        </w:rPr>
        <w:t>, Arab-Israeli Conflict</w:t>
      </w:r>
      <w:r w:rsidR="00366EB2" w:rsidRPr="00047A9D">
        <w:rPr>
          <w:rFonts w:ascii="Times New Roman" w:hAnsi="Times New Roman" w:cs="Times New Roman"/>
          <w:sz w:val="22"/>
          <w:szCs w:val="22"/>
        </w:rPr>
        <w:t xml:space="preserve">, </w:t>
      </w:r>
      <w:r w:rsidR="00A94C0C" w:rsidRPr="00047A9D">
        <w:rPr>
          <w:rFonts w:ascii="Times New Roman" w:hAnsi="Times New Roman" w:cs="Times New Roman"/>
          <w:sz w:val="22"/>
          <w:szCs w:val="22"/>
        </w:rPr>
        <w:t>p.22.</w:t>
      </w:r>
    </w:p>
  </w:footnote>
  <w:footnote w:id="337">
    <w:p w14:paraId="3C85ADFA" w14:textId="78685AD3" w:rsidR="00A94C0C" w:rsidRPr="00047A9D" w:rsidRDefault="00A94C0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21552" w:rsidRPr="00047A9D">
        <w:rPr>
          <w:rFonts w:ascii="Times New Roman" w:hAnsi="Times New Roman" w:cs="Times New Roman"/>
          <w:sz w:val="22"/>
          <w:szCs w:val="22"/>
        </w:rPr>
        <w:t xml:space="preserve">Shemilt, </w:t>
      </w:r>
      <w:r w:rsidR="00C21552" w:rsidRPr="00047A9D">
        <w:rPr>
          <w:rFonts w:ascii="Times New Roman" w:hAnsi="Times New Roman" w:cs="Times New Roman"/>
          <w:i/>
          <w:sz w:val="22"/>
          <w:szCs w:val="22"/>
        </w:rPr>
        <w:t>History 13-16</w:t>
      </w:r>
      <w:r w:rsidR="00D43114" w:rsidRPr="00047A9D">
        <w:rPr>
          <w:rFonts w:ascii="Times New Roman" w:hAnsi="Times New Roman" w:cs="Times New Roman"/>
          <w:sz w:val="22"/>
          <w:szCs w:val="22"/>
        </w:rPr>
        <w:t>, pp.</w:t>
      </w:r>
      <w:r w:rsidR="00021EA1" w:rsidRPr="00047A9D">
        <w:rPr>
          <w:rFonts w:ascii="Times New Roman" w:hAnsi="Times New Roman" w:cs="Times New Roman"/>
          <w:sz w:val="22"/>
          <w:szCs w:val="22"/>
        </w:rPr>
        <w:t>84, 86.</w:t>
      </w:r>
    </w:p>
  </w:footnote>
  <w:footnote w:id="338">
    <w:p w14:paraId="1E58A8BE" w14:textId="5C72C827" w:rsidR="00CC0E66" w:rsidRPr="00047A9D" w:rsidRDefault="00CC0E6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47471" w:rsidRPr="00047A9D">
        <w:rPr>
          <w:rFonts w:ascii="Times New Roman" w:hAnsi="Times New Roman" w:cs="Times New Roman"/>
          <w:sz w:val="22"/>
          <w:szCs w:val="22"/>
        </w:rPr>
        <w:t xml:space="preserve">Schools Council, </w:t>
      </w:r>
      <w:r w:rsidR="00147471" w:rsidRPr="00047A9D">
        <w:rPr>
          <w:rFonts w:ascii="Times New Roman" w:hAnsi="Times New Roman" w:cs="Times New Roman"/>
          <w:i/>
          <w:sz w:val="22"/>
          <w:szCs w:val="22"/>
        </w:rPr>
        <w:t xml:space="preserve">The Move to European Unity: Teachers’ Guide </w:t>
      </w:r>
      <w:r w:rsidR="00147471" w:rsidRPr="00047A9D">
        <w:rPr>
          <w:rFonts w:ascii="Times New Roman" w:hAnsi="Times New Roman" w:cs="Times New Roman"/>
          <w:sz w:val="22"/>
          <w:szCs w:val="22"/>
        </w:rPr>
        <w:t>(Edinburgh: Holmes McDougall, 197</w:t>
      </w:r>
      <w:r w:rsidR="00740066" w:rsidRPr="00047A9D">
        <w:rPr>
          <w:rFonts w:ascii="Times New Roman" w:hAnsi="Times New Roman" w:cs="Times New Roman"/>
          <w:sz w:val="22"/>
          <w:szCs w:val="22"/>
        </w:rPr>
        <w:t>7</w:t>
      </w:r>
      <w:r w:rsidR="00147471" w:rsidRPr="00047A9D">
        <w:rPr>
          <w:rFonts w:ascii="Times New Roman" w:hAnsi="Times New Roman" w:cs="Times New Roman"/>
          <w:sz w:val="22"/>
          <w:szCs w:val="22"/>
        </w:rPr>
        <w:t>)</w:t>
      </w:r>
      <w:r w:rsidR="00F94A5B" w:rsidRPr="00047A9D">
        <w:rPr>
          <w:rFonts w:ascii="Times New Roman" w:hAnsi="Times New Roman" w:cs="Times New Roman"/>
          <w:sz w:val="22"/>
          <w:szCs w:val="22"/>
        </w:rPr>
        <w:t>, p.5.</w:t>
      </w:r>
    </w:p>
  </w:footnote>
  <w:footnote w:id="339">
    <w:p w14:paraId="4643CB48" w14:textId="762BBEE5" w:rsidR="00F94A5B" w:rsidRPr="00047A9D" w:rsidRDefault="00F94A5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E5A96" w:rsidRPr="00047A9D">
        <w:rPr>
          <w:rFonts w:ascii="Times New Roman" w:hAnsi="Times New Roman" w:cs="Times New Roman"/>
          <w:sz w:val="22"/>
          <w:szCs w:val="22"/>
        </w:rPr>
        <w:t xml:space="preserve">Bob Wolfson, ‘Schools Council History 13-16 Project: An Upper School’s Experience’, </w:t>
      </w:r>
      <w:r w:rsidR="00CE5A96" w:rsidRPr="00047A9D">
        <w:rPr>
          <w:rFonts w:ascii="Times New Roman" w:hAnsi="Times New Roman" w:cs="Times New Roman"/>
          <w:i/>
          <w:sz w:val="22"/>
          <w:szCs w:val="22"/>
        </w:rPr>
        <w:t>Teaching History</w:t>
      </w:r>
      <w:r w:rsidR="00CE5A96" w:rsidRPr="00047A9D">
        <w:rPr>
          <w:rFonts w:ascii="Times New Roman" w:hAnsi="Times New Roman" w:cs="Times New Roman"/>
          <w:sz w:val="22"/>
          <w:szCs w:val="22"/>
        </w:rPr>
        <w:t xml:space="preserve"> 27 (1980), 25-30, p.29.</w:t>
      </w:r>
    </w:p>
  </w:footnote>
  <w:footnote w:id="340">
    <w:p w14:paraId="56B71206" w14:textId="33C0F7C5" w:rsidR="00CE5A96" w:rsidRPr="00047A9D" w:rsidRDefault="00CE5A9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3193A" w:rsidRPr="00047A9D">
        <w:rPr>
          <w:rFonts w:ascii="Times New Roman" w:hAnsi="Times New Roman" w:cs="Times New Roman"/>
          <w:sz w:val="22"/>
          <w:szCs w:val="22"/>
        </w:rPr>
        <w:t>Transcript of interview with Andy Reid, p.1</w:t>
      </w:r>
      <w:r w:rsidR="00EF2896" w:rsidRPr="00047A9D">
        <w:rPr>
          <w:rFonts w:ascii="Times New Roman" w:hAnsi="Times New Roman" w:cs="Times New Roman"/>
          <w:sz w:val="22"/>
          <w:szCs w:val="22"/>
        </w:rPr>
        <w:t>1</w:t>
      </w:r>
      <w:r w:rsidR="00A3193A" w:rsidRPr="00047A9D">
        <w:rPr>
          <w:rFonts w:ascii="Times New Roman" w:hAnsi="Times New Roman" w:cs="Times New Roman"/>
          <w:sz w:val="22"/>
          <w:szCs w:val="22"/>
        </w:rPr>
        <w:t xml:space="preserve">. Interviewed by Nicola Sheldon, </w:t>
      </w:r>
      <w:r w:rsidR="00694E73" w:rsidRPr="00047A9D">
        <w:rPr>
          <w:rFonts w:ascii="Times New Roman" w:hAnsi="Times New Roman" w:cs="Times New Roman"/>
          <w:sz w:val="22"/>
          <w:szCs w:val="22"/>
        </w:rPr>
        <w:t>4 September</w:t>
      </w:r>
      <w:r w:rsidR="00A3193A" w:rsidRPr="00047A9D">
        <w:rPr>
          <w:rFonts w:ascii="Times New Roman" w:hAnsi="Times New Roman" w:cs="Times New Roman"/>
          <w:sz w:val="22"/>
          <w:szCs w:val="22"/>
        </w:rPr>
        <w:t xml:space="preserve"> 2009. Transcribed by Susan Nicholls. </w:t>
      </w:r>
      <w:r w:rsidR="008E3E55" w:rsidRPr="00047A9D">
        <w:rPr>
          <w:rFonts w:ascii="Times New Roman" w:hAnsi="Times New Roman" w:cs="Times New Roman"/>
          <w:sz w:val="22"/>
          <w:szCs w:val="22"/>
        </w:rPr>
        <w:t>IHR: HiEP</w:t>
      </w:r>
      <w:r w:rsidR="00A3193A" w:rsidRPr="00047A9D">
        <w:rPr>
          <w:rFonts w:ascii="Times New Roman" w:hAnsi="Times New Roman" w:cs="Times New Roman"/>
          <w:sz w:val="22"/>
          <w:szCs w:val="22"/>
        </w:rPr>
        <w:t>. &lt;</w:t>
      </w:r>
      <w:r w:rsidR="002E3BB5" w:rsidRPr="00047A9D">
        <w:rPr>
          <w:rFonts w:ascii="Times New Roman" w:hAnsi="Times New Roman" w:cs="Times New Roman"/>
          <w:sz w:val="22"/>
          <w:szCs w:val="22"/>
        </w:rPr>
        <w:t xml:space="preserve">https://archives.history.ac.uk/history-in-education/browse/interviews/interview-andy-reid-4-september-2009.html </w:t>
      </w:r>
      <w:r w:rsidR="00A3193A" w:rsidRPr="00047A9D">
        <w:rPr>
          <w:rFonts w:ascii="Times New Roman" w:hAnsi="Times New Roman" w:cs="Times New Roman"/>
          <w:sz w:val="22"/>
          <w:szCs w:val="22"/>
        </w:rPr>
        <w:t>&gt; [last accessed 16 January 2025].</w:t>
      </w:r>
    </w:p>
  </w:footnote>
  <w:footnote w:id="341">
    <w:p w14:paraId="4234E714" w14:textId="29F45A70" w:rsidR="0034175D" w:rsidRPr="00047A9D" w:rsidRDefault="0034175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C0286" w:rsidRPr="00047A9D">
        <w:rPr>
          <w:rFonts w:ascii="Times New Roman" w:hAnsi="Times New Roman" w:cs="Times New Roman"/>
          <w:sz w:val="22"/>
          <w:szCs w:val="22"/>
        </w:rPr>
        <w:t xml:space="preserve">Shemilt, </w:t>
      </w:r>
      <w:r w:rsidR="006C0286" w:rsidRPr="00047A9D">
        <w:rPr>
          <w:rFonts w:ascii="Times New Roman" w:hAnsi="Times New Roman" w:cs="Times New Roman"/>
          <w:i/>
          <w:sz w:val="22"/>
          <w:szCs w:val="22"/>
        </w:rPr>
        <w:t>History 13-16</w:t>
      </w:r>
      <w:r w:rsidR="006C0286" w:rsidRPr="00047A9D">
        <w:rPr>
          <w:rFonts w:ascii="Times New Roman" w:hAnsi="Times New Roman" w:cs="Times New Roman"/>
          <w:sz w:val="22"/>
          <w:szCs w:val="22"/>
        </w:rPr>
        <w:t>, p.13.</w:t>
      </w:r>
    </w:p>
  </w:footnote>
  <w:footnote w:id="342">
    <w:p w14:paraId="2A8D5AE1" w14:textId="2DC14AB2" w:rsidR="003F18BE" w:rsidRPr="00047A9D" w:rsidRDefault="003F18B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93CB3" w:rsidRPr="00047A9D">
        <w:rPr>
          <w:rFonts w:ascii="Times New Roman" w:hAnsi="Times New Roman" w:cs="Times New Roman"/>
          <w:sz w:val="22"/>
          <w:szCs w:val="22"/>
        </w:rPr>
        <w:t>Dawson,</w:t>
      </w:r>
      <w:r w:rsidR="00662739" w:rsidRPr="00047A9D">
        <w:rPr>
          <w:rFonts w:ascii="Times New Roman" w:hAnsi="Times New Roman" w:cs="Times New Roman"/>
          <w:sz w:val="22"/>
          <w:szCs w:val="22"/>
        </w:rPr>
        <w:t xml:space="preserve"> ‘The Schools Council History Project</w:t>
      </w:r>
      <w:r w:rsidR="00AF5AC1" w:rsidRPr="00047A9D">
        <w:rPr>
          <w:rFonts w:ascii="Times New Roman" w:hAnsi="Times New Roman" w:cs="Times New Roman"/>
          <w:sz w:val="22"/>
          <w:szCs w:val="22"/>
        </w:rPr>
        <w:t>’</w:t>
      </w:r>
      <w:r w:rsidR="00581C5C" w:rsidRPr="00047A9D">
        <w:rPr>
          <w:rFonts w:ascii="Times New Roman" w:hAnsi="Times New Roman" w:cs="Times New Roman"/>
          <w:sz w:val="22"/>
          <w:szCs w:val="22"/>
        </w:rPr>
        <w:t>, p.224.</w:t>
      </w:r>
    </w:p>
  </w:footnote>
  <w:footnote w:id="343">
    <w:p w14:paraId="55B30D53" w14:textId="1E08FE71" w:rsidR="00F26E51" w:rsidRPr="00047A9D" w:rsidRDefault="00F26E5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C4E91" w:rsidRPr="00047A9D">
        <w:rPr>
          <w:rFonts w:ascii="Times New Roman" w:hAnsi="Times New Roman" w:cs="Times New Roman"/>
          <w:sz w:val="22"/>
          <w:szCs w:val="22"/>
        </w:rPr>
        <w:t>Michael Storm, ‘Studies of Distant Environments in Primary Schools; Some Problems’</w:t>
      </w:r>
      <w:r w:rsidR="005C4E91" w:rsidRPr="00047A9D">
        <w:rPr>
          <w:rFonts w:ascii="Times New Roman" w:hAnsi="Times New Roman" w:cs="Times New Roman"/>
          <w:i/>
          <w:sz w:val="22"/>
          <w:szCs w:val="22"/>
        </w:rPr>
        <w:t>, Teacher’s World</w:t>
      </w:r>
      <w:r w:rsidR="00894BAC" w:rsidRPr="00047A9D">
        <w:rPr>
          <w:rFonts w:ascii="Times New Roman" w:hAnsi="Times New Roman" w:cs="Times New Roman"/>
          <w:sz w:val="22"/>
          <w:szCs w:val="22"/>
        </w:rPr>
        <w:t xml:space="preserve"> (</w:t>
      </w:r>
      <w:r w:rsidR="005C4E91" w:rsidRPr="00047A9D">
        <w:rPr>
          <w:rFonts w:ascii="Times New Roman" w:hAnsi="Times New Roman" w:cs="Times New Roman"/>
          <w:sz w:val="22"/>
          <w:szCs w:val="22"/>
        </w:rPr>
        <w:t>Summer 1971</w:t>
      </w:r>
      <w:r w:rsidR="00894BAC" w:rsidRPr="00047A9D">
        <w:rPr>
          <w:rFonts w:ascii="Times New Roman" w:hAnsi="Times New Roman" w:cs="Times New Roman"/>
          <w:sz w:val="22"/>
          <w:szCs w:val="22"/>
        </w:rPr>
        <w:t>)</w:t>
      </w:r>
      <w:r w:rsidR="005C4E91" w:rsidRPr="00047A9D">
        <w:rPr>
          <w:rFonts w:ascii="Times New Roman" w:hAnsi="Times New Roman" w:cs="Times New Roman"/>
          <w:sz w:val="22"/>
          <w:szCs w:val="22"/>
        </w:rPr>
        <w:t>, 52</w:t>
      </w:r>
      <w:r w:rsidR="009E61BF" w:rsidRPr="00047A9D">
        <w:rPr>
          <w:rFonts w:ascii="Times New Roman" w:hAnsi="Times New Roman" w:cs="Times New Roman"/>
          <w:sz w:val="22"/>
          <w:szCs w:val="22"/>
        </w:rPr>
        <w:t>.</w:t>
      </w:r>
    </w:p>
  </w:footnote>
  <w:footnote w:id="344">
    <w:p w14:paraId="20EFE5AB" w14:textId="1BC22190" w:rsidR="004734E0" w:rsidRPr="00047A9D" w:rsidRDefault="004734E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96FF3" w:rsidRPr="00047A9D">
        <w:rPr>
          <w:rFonts w:ascii="Times New Roman" w:hAnsi="Times New Roman" w:cs="Times New Roman"/>
          <w:sz w:val="22"/>
          <w:szCs w:val="22"/>
        </w:rPr>
        <w:t xml:space="preserve">Janet Hill (ed.), </w:t>
      </w:r>
      <w:r w:rsidRPr="00047A9D">
        <w:rPr>
          <w:rFonts w:ascii="Times New Roman" w:hAnsi="Times New Roman" w:cs="Times New Roman"/>
          <w:i/>
          <w:sz w:val="22"/>
          <w:szCs w:val="22"/>
        </w:rPr>
        <w:t xml:space="preserve">Books for Children: The Homelands of Immigrants in Britain, </w:t>
      </w:r>
      <w:r w:rsidR="002837C5" w:rsidRPr="00047A9D">
        <w:rPr>
          <w:rFonts w:ascii="Times New Roman" w:hAnsi="Times New Roman" w:cs="Times New Roman"/>
          <w:sz w:val="22"/>
          <w:szCs w:val="22"/>
        </w:rPr>
        <w:t xml:space="preserve">(London, </w:t>
      </w:r>
      <w:r w:rsidRPr="00047A9D">
        <w:rPr>
          <w:rFonts w:ascii="Times New Roman" w:hAnsi="Times New Roman" w:cs="Times New Roman"/>
          <w:sz w:val="22"/>
          <w:szCs w:val="22"/>
        </w:rPr>
        <w:t>Institute of Race Relations</w:t>
      </w:r>
      <w:r w:rsidR="002837C5" w:rsidRPr="00047A9D">
        <w:rPr>
          <w:rFonts w:ascii="Times New Roman" w:hAnsi="Times New Roman" w:cs="Times New Roman"/>
          <w:sz w:val="22"/>
          <w:szCs w:val="22"/>
        </w:rPr>
        <w:t xml:space="preserve">, </w:t>
      </w:r>
      <w:r w:rsidRPr="00047A9D">
        <w:rPr>
          <w:rFonts w:ascii="Times New Roman" w:hAnsi="Times New Roman" w:cs="Times New Roman"/>
          <w:sz w:val="22"/>
          <w:szCs w:val="22"/>
        </w:rPr>
        <w:t>1971)</w:t>
      </w:r>
      <w:r w:rsidR="00383A63" w:rsidRPr="00047A9D">
        <w:rPr>
          <w:rFonts w:ascii="Times New Roman" w:hAnsi="Times New Roman" w:cs="Times New Roman"/>
          <w:sz w:val="22"/>
          <w:szCs w:val="22"/>
        </w:rPr>
        <w:t>, p</w:t>
      </w:r>
      <w:r w:rsidR="003F1B6D" w:rsidRPr="00047A9D">
        <w:rPr>
          <w:rFonts w:ascii="Times New Roman" w:hAnsi="Times New Roman" w:cs="Times New Roman"/>
          <w:sz w:val="22"/>
          <w:szCs w:val="22"/>
        </w:rPr>
        <w:t>p</w:t>
      </w:r>
      <w:r w:rsidR="00383A63" w:rsidRPr="00047A9D">
        <w:rPr>
          <w:rFonts w:ascii="Times New Roman" w:hAnsi="Times New Roman" w:cs="Times New Roman"/>
          <w:sz w:val="22"/>
          <w:szCs w:val="22"/>
        </w:rPr>
        <w:t>.12</w:t>
      </w:r>
      <w:r w:rsidR="003F1B6D" w:rsidRPr="00047A9D">
        <w:rPr>
          <w:rFonts w:ascii="Times New Roman" w:hAnsi="Times New Roman" w:cs="Times New Roman"/>
          <w:sz w:val="22"/>
          <w:szCs w:val="22"/>
        </w:rPr>
        <w:t>, 13, 55</w:t>
      </w:r>
      <w:r w:rsidR="00383A63" w:rsidRPr="00047A9D">
        <w:rPr>
          <w:rFonts w:ascii="Times New Roman" w:hAnsi="Times New Roman" w:cs="Times New Roman"/>
          <w:sz w:val="22"/>
          <w:szCs w:val="22"/>
        </w:rPr>
        <w:t>.</w:t>
      </w:r>
    </w:p>
  </w:footnote>
  <w:footnote w:id="345">
    <w:p w14:paraId="4CF90E51" w14:textId="41B7ECC6" w:rsidR="00E66C3B" w:rsidRPr="00047A9D" w:rsidRDefault="00E66C3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Ann Boothr</w:t>
      </w:r>
      <w:r w:rsidR="00511010" w:rsidRPr="00047A9D">
        <w:rPr>
          <w:rFonts w:ascii="Times New Roman" w:hAnsi="Times New Roman" w:cs="Times New Roman"/>
          <w:sz w:val="22"/>
          <w:szCs w:val="22"/>
        </w:rPr>
        <w:t>o</w:t>
      </w:r>
      <w:r w:rsidRPr="00047A9D">
        <w:rPr>
          <w:rFonts w:ascii="Times New Roman" w:hAnsi="Times New Roman" w:cs="Times New Roman"/>
          <w:sz w:val="22"/>
          <w:szCs w:val="22"/>
        </w:rPr>
        <w:t>yd</w:t>
      </w:r>
      <w:r w:rsidR="00511010" w:rsidRPr="00047A9D">
        <w:rPr>
          <w:rFonts w:ascii="Times New Roman" w:hAnsi="Times New Roman" w:cs="Times New Roman"/>
          <w:sz w:val="22"/>
          <w:szCs w:val="22"/>
        </w:rPr>
        <w:t>, ‘Teachers’ Guide’</w:t>
      </w:r>
      <w:r w:rsidR="00FE4A48" w:rsidRPr="00047A9D">
        <w:rPr>
          <w:rFonts w:ascii="Times New Roman" w:hAnsi="Times New Roman" w:cs="Times New Roman"/>
          <w:sz w:val="22"/>
          <w:szCs w:val="22"/>
        </w:rPr>
        <w:t xml:space="preserve">, </w:t>
      </w:r>
      <w:r w:rsidR="00872162" w:rsidRPr="00047A9D">
        <w:rPr>
          <w:rFonts w:ascii="Times New Roman" w:hAnsi="Times New Roman" w:cs="Times New Roman"/>
          <w:sz w:val="22"/>
          <w:szCs w:val="22"/>
        </w:rPr>
        <w:t xml:space="preserve">in L.T. Allen (ed.), </w:t>
      </w:r>
      <w:r w:rsidR="00872162" w:rsidRPr="00047A9D">
        <w:rPr>
          <w:rFonts w:ascii="Times New Roman" w:hAnsi="Times New Roman" w:cs="Times New Roman"/>
          <w:i/>
          <w:sz w:val="22"/>
          <w:szCs w:val="22"/>
        </w:rPr>
        <w:t>World History Outlines: The Caribbean</w:t>
      </w:r>
      <w:r w:rsidR="00872162" w:rsidRPr="00047A9D">
        <w:rPr>
          <w:rFonts w:ascii="Times New Roman" w:hAnsi="Times New Roman" w:cs="Times New Roman"/>
          <w:sz w:val="22"/>
          <w:szCs w:val="22"/>
        </w:rPr>
        <w:t xml:space="preserve"> </w:t>
      </w:r>
      <w:r w:rsidR="00FE4A48" w:rsidRPr="00047A9D">
        <w:rPr>
          <w:rFonts w:ascii="Times New Roman" w:hAnsi="Times New Roman" w:cs="Times New Roman"/>
          <w:sz w:val="22"/>
          <w:szCs w:val="22"/>
        </w:rPr>
        <w:t>(</w:t>
      </w:r>
      <w:r w:rsidR="0044346A" w:rsidRPr="00047A9D">
        <w:rPr>
          <w:rFonts w:ascii="Times New Roman" w:hAnsi="Times New Roman" w:cs="Times New Roman"/>
          <w:sz w:val="22"/>
          <w:szCs w:val="22"/>
        </w:rPr>
        <w:t xml:space="preserve">London: </w:t>
      </w:r>
      <w:r w:rsidR="00FE4A48" w:rsidRPr="00047A9D">
        <w:rPr>
          <w:rFonts w:ascii="Times New Roman" w:hAnsi="Times New Roman" w:cs="Times New Roman"/>
          <w:sz w:val="22"/>
          <w:szCs w:val="22"/>
        </w:rPr>
        <w:t>I</w:t>
      </w:r>
      <w:r w:rsidR="0044346A" w:rsidRPr="00047A9D">
        <w:rPr>
          <w:rFonts w:ascii="Times New Roman" w:hAnsi="Times New Roman" w:cs="Times New Roman"/>
          <w:sz w:val="22"/>
          <w:szCs w:val="22"/>
        </w:rPr>
        <w:t xml:space="preserve">nner London Education Authority [hereafter ‘ILEA’] Learning Materials Service, 1977), </w:t>
      </w:r>
      <w:r w:rsidR="00FE4A48" w:rsidRPr="00047A9D">
        <w:rPr>
          <w:rFonts w:ascii="Times New Roman" w:hAnsi="Times New Roman" w:cs="Times New Roman"/>
          <w:sz w:val="22"/>
          <w:szCs w:val="22"/>
        </w:rPr>
        <w:t>p.1</w:t>
      </w:r>
      <w:r w:rsidR="001024E5" w:rsidRPr="00047A9D">
        <w:rPr>
          <w:rFonts w:ascii="Times New Roman" w:hAnsi="Times New Roman" w:cs="Times New Roman"/>
          <w:sz w:val="22"/>
          <w:szCs w:val="22"/>
        </w:rPr>
        <w:t>.</w:t>
      </w:r>
    </w:p>
  </w:footnote>
  <w:footnote w:id="346">
    <w:p w14:paraId="49D663E9" w14:textId="10A46B45" w:rsidR="001D20A0" w:rsidRPr="00047A9D" w:rsidRDefault="001D20A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Samuel, </w:t>
      </w:r>
      <w:r w:rsidRPr="00047A9D">
        <w:rPr>
          <w:rFonts w:ascii="Times New Roman" w:hAnsi="Times New Roman" w:cs="Times New Roman"/>
          <w:i/>
          <w:sz w:val="22"/>
          <w:szCs w:val="22"/>
        </w:rPr>
        <w:t xml:space="preserve">Island Stories, </w:t>
      </w:r>
      <w:r w:rsidR="001A6ED6" w:rsidRPr="00047A9D">
        <w:rPr>
          <w:rFonts w:ascii="Times New Roman" w:hAnsi="Times New Roman" w:cs="Times New Roman"/>
          <w:sz w:val="22"/>
          <w:szCs w:val="22"/>
        </w:rPr>
        <w:t>p.83.</w:t>
      </w:r>
    </w:p>
  </w:footnote>
  <w:footnote w:id="347">
    <w:p w14:paraId="4E940BC2" w14:textId="4DB41644" w:rsidR="001476C3" w:rsidRPr="00047A9D" w:rsidRDefault="001476C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F1B1F" w:rsidRPr="00047A9D">
        <w:rPr>
          <w:rFonts w:ascii="Times New Roman" w:hAnsi="Times New Roman" w:cs="Times New Roman"/>
          <w:sz w:val="22"/>
          <w:szCs w:val="22"/>
        </w:rPr>
        <w:t>‘Earliest Peoples: Sheet A3’</w:t>
      </w:r>
      <w:r w:rsidR="00D95154" w:rsidRPr="00047A9D">
        <w:rPr>
          <w:rFonts w:ascii="Times New Roman" w:hAnsi="Times New Roman" w:cs="Times New Roman"/>
          <w:sz w:val="22"/>
          <w:szCs w:val="22"/>
        </w:rPr>
        <w:t>,</w:t>
      </w:r>
      <w:r w:rsidR="00CF1B1F" w:rsidRPr="00047A9D">
        <w:rPr>
          <w:rFonts w:ascii="Times New Roman" w:hAnsi="Times New Roman" w:cs="Times New Roman"/>
          <w:sz w:val="22"/>
          <w:szCs w:val="22"/>
        </w:rPr>
        <w:t xml:space="preserve"> in Allen (ed.), </w:t>
      </w:r>
      <w:r w:rsidR="00CF1B1F" w:rsidRPr="00047A9D">
        <w:rPr>
          <w:rFonts w:ascii="Times New Roman" w:hAnsi="Times New Roman" w:cs="Times New Roman"/>
          <w:i/>
          <w:sz w:val="22"/>
          <w:szCs w:val="22"/>
        </w:rPr>
        <w:t xml:space="preserve">World History Outlines, </w:t>
      </w:r>
      <w:r w:rsidR="006D48BC" w:rsidRPr="00047A9D">
        <w:rPr>
          <w:rFonts w:ascii="Times New Roman" w:hAnsi="Times New Roman" w:cs="Times New Roman"/>
          <w:sz w:val="22"/>
          <w:szCs w:val="22"/>
        </w:rPr>
        <w:t>n.p</w:t>
      </w:r>
      <w:r w:rsidR="00CF1B1F" w:rsidRPr="00047A9D">
        <w:rPr>
          <w:rFonts w:ascii="Times New Roman" w:hAnsi="Times New Roman" w:cs="Times New Roman"/>
          <w:sz w:val="22"/>
          <w:szCs w:val="22"/>
        </w:rPr>
        <w:t xml:space="preserve">; </w:t>
      </w:r>
      <w:r w:rsidR="00FA6EEA" w:rsidRPr="00047A9D">
        <w:rPr>
          <w:rFonts w:ascii="Times New Roman" w:hAnsi="Times New Roman" w:cs="Times New Roman"/>
          <w:sz w:val="22"/>
          <w:szCs w:val="22"/>
        </w:rPr>
        <w:t xml:space="preserve">‘Land and People: Introduction Sheet A1’, </w:t>
      </w:r>
      <w:r w:rsidR="00CA11DB" w:rsidRPr="00047A9D">
        <w:rPr>
          <w:rFonts w:ascii="Times New Roman" w:hAnsi="Times New Roman" w:cs="Times New Roman"/>
          <w:sz w:val="22"/>
          <w:szCs w:val="22"/>
        </w:rPr>
        <w:t xml:space="preserve">in </w:t>
      </w:r>
      <w:r w:rsidR="00445422" w:rsidRPr="00047A9D">
        <w:rPr>
          <w:rFonts w:ascii="Times New Roman" w:hAnsi="Times New Roman" w:cs="Times New Roman"/>
          <w:sz w:val="22"/>
          <w:szCs w:val="22"/>
        </w:rPr>
        <w:t xml:space="preserve">Allen (ed.), </w:t>
      </w:r>
      <w:r w:rsidR="00FA6EEA" w:rsidRPr="00047A9D">
        <w:rPr>
          <w:rFonts w:ascii="Times New Roman" w:hAnsi="Times New Roman" w:cs="Times New Roman"/>
          <w:i/>
          <w:sz w:val="22"/>
          <w:szCs w:val="22"/>
        </w:rPr>
        <w:t xml:space="preserve">World History Outlines, </w:t>
      </w:r>
      <w:r w:rsidR="006D48BC" w:rsidRPr="00047A9D">
        <w:rPr>
          <w:rFonts w:ascii="Times New Roman" w:hAnsi="Times New Roman" w:cs="Times New Roman"/>
          <w:sz w:val="22"/>
          <w:szCs w:val="22"/>
        </w:rPr>
        <w:t>n.p</w:t>
      </w:r>
      <w:r w:rsidR="00CF1B1F" w:rsidRPr="00047A9D">
        <w:rPr>
          <w:rFonts w:ascii="Times New Roman" w:hAnsi="Times New Roman" w:cs="Times New Roman"/>
          <w:sz w:val="22"/>
          <w:szCs w:val="22"/>
        </w:rPr>
        <w:t>.</w:t>
      </w:r>
    </w:p>
  </w:footnote>
  <w:footnote w:id="348">
    <w:p w14:paraId="243C52A7" w14:textId="4A77A7A0" w:rsidR="002001FB" w:rsidRPr="00047A9D" w:rsidRDefault="002001F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FC6009" w:rsidRPr="00047A9D">
        <w:rPr>
          <w:rFonts w:ascii="Times New Roman" w:hAnsi="Times New Roman" w:cs="Times New Roman"/>
          <w:sz w:val="22"/>
          <w:szCs w:val="22"/>
        </w:rPr>
        <w:t xml:space="preserve"> ‘The Europeans: Introduction Sheet B1’</w:t>
      </w:r>
      <w:r w:rsidR="003E533C" w:rsidRPr="00047A9D">
        <w:rPr>
          <w:rFonts w:ascii="Times New Roman" w:hAnsi="Times New Roman" w:cs="Times New Roman"/>
          <w:sz w:val="22"/>
          <w:szCs w:val="22"/>
        </w:rPr>
        <w:t>,</w:t>
      </w:r>
      <w:r w:rsidRPr="00047A9D">
        <w:rPr>
          <w:rFonts w:ascii="Times New Roman" w:hAnsi="Times New Roman" w:cs="Times New Roman"/>
          <w:sz w:val="22"/>
          <w:szCs w:val="22"/>
        </w:rPr>
        <w:t xml:space="preserve"> </w:t>
      </w:r>
      <w:r w:rsidR="00FC6009" w:rsidRPr="00047A9D">
        <w:rPr>
          <w:rFonts w:ascii="Times New Roman" w:hAnsi="Times New Roman" w:cs="Times New Roman"/>
          <w:sz w:val="22"/>
          <w:szCs w:val="22"/>
        </w:rPr>
        <w:t xml:space="preserve">in Allen (ed.), </w:t>
      </w:r>
      <w:r w:rsidR="00FC6009" w:rsidRPr="00047A9D">
        <w:rPr>
          <w:rFonts w:ascii="Times New Roman" w:hAnsi="Times New Roman" w:cs="Times New Roman"/>
          <w:i/>
          <w:sz w:val="22"/>
          <w:szCs w:val="22"/>
        </w:rPr>
        <w:t xml:space="preserve">World History Outlines, </w:t>
      </w:r>
      <w:r w:rsidR="006D48BC" w:rsidRPr="00047A9D">
        <w:rPr>
          <w:rFonts w:ascii="Times New Roman" w:hAnsi="Times New Roman" w:cs="Times New Roman"/>
          <w:sz w:val="22"/>
          <w:szCs w:val="22"/>
        </w:rPr>
        <w:t>n.p</w:t>
      </w:r>
      <w:r w:rsidR="00FC6009" w:rsidRPr="00047A9D">
        <w:rPr>
          <w:rFonts w:ascii="Times New Roman" w:hAnsi="Times New Roman" w:cs="Times New Roman"/>
          <w:sz w:val="22"/>
          <w:szCs w:val="22"/>
        </w:rPr>
        <w:t xml:space="preserve">; </w:t>
      </w:r>
      <w:r w:rsidR="00B51FFD" w:rsidRPr="00047A9D">
        <w:rPr>
          <w:rFonts w:ascii="Times New Roman" w:hAnsi="Times New Roman" w:cs="Times New Roman"/>
          <w:sz w:val="22"/>
          <w:szCs w:val="22"/>
        </w:rPr>
        <w:t>‘Land and People</w:t>
      </w:r>
      <w:r w:rsidR="009724A5" w:rsidRPr="00047A9D">
        <w:rPr>
          <w:rFonts w:ascii="Times New Roman" w:hAnsi="Times New Roman" w:cs="Times New Roman"/>
          <w:sz w:val="22"/>
          <w:szCs w:val="22"/>
        </w:rPr>
        <w:t>’</w:t>
      </w:r>
      <w:r w:rsidR="00B51FFD" w:rsidRPr="00047A9D">
        <w:rPr>
          <w:rFonts w:ascii="Times New Roman" w:hAnsi="Times New Roman" w:cs="Times New Roman"/>
          <w:sz w:val="22"/>
          <w:szCs w:val="22"/>
        </w:rPr>
        <w:t xml:space="preserve">, in Allen (ed.), </w:t>
      </w:r>
      <w:r w:rsidR="00B51FFD" w:rsidRPr="00047A9D">
        <w:rPr>
          <w:rFonts w:ascii="Times New Roman" w:hAnsi="Times New Roman" w:cs="Times New Roman"/>
          <w:i/>
          <w:sz w:val="22"/>
          <w:szCs w:val="22"/>
        </w:rPr>
        <w:t xml:space="preserve">World History Outlines, </w:t>
      </w:r>
      <w:r w:rsidR="006D48BC" w:rsidRPr="00047A9D">
        <w:rPr>
          <w:rFonts w:ascii="Times New Roman" w:hAnsi="Times New Roman" w:cs="Times New Roman"/>
          <w:sz w:val="22"/>
          <w:szCs w:val="22"/>
        </w:rPr>
        <w:t>n.p</w:t>
      </w:r>
      <w:r w:rsidR="00B51FFD" w:rsidRPr="00047A9D">
        <w:rPr>
          <w:rFonts w:ascii="Times New Roman" w:hAnsi="Times New Roman" w:cs="Times New Roman"/>
          <w:sz w:val="22"/>
          <w:szCs w:val="22"/>
        </w:rPr>
        <w:t>.</w:t>
      </w:r>
    </w:p>
  </w:footnote>
  <w:footnote w:id="349">
    <w:p w14:paraId="043CF6B9" w14:textId="543051C6" w:rsidR="002001FB" w:rsidRPr="00047A9D" w:rsidRDefault="002001F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E10F6" w:rsidRPr="00047A9D">
        <w:rPr>
          <w:rFonts w:ascii="Times New Roman" w:hAnsi="Times New Roman" w:cs="Times New Roman"/>
          <w:sz w:val="22"/>
          <w:szCs w:val="22"/>
        </w:rPr>
        <w:t>‘Sugar and Slaves: Introduction Sheet C1’</w:t>
      </w:r>
      <w:r w:rsidR="003E533C" w:rsidRPr="00047A9D">
        <w:rPr>
          <w:rFonts w:ascii="Times New Roman" w:hAnsi="Times New Roman" w:cs="Times New Roman"/>
          <w:sz w:val="22"/>
          <w:szCs w:val="22"/>
        </w:rPr>
        <w:t xml:space="preserve">, in Allen (ed.), </w:t>
      </w:r>
      <w:r w:rsidR="003E533C" w:rsidRPr="00047A9D">
        <w:rPr>
          <w:rFonts w:ascii="Times New Roman" w:hAnsi="Times New Roman" w:cs="Times New Roman"/>
          <w:i/>
          <w:sz w:val="22"/>
          <w:szCs w:val="22"/>
        </w:rPr>
        <w:t xml:space="preserve">World History Outlines, </w:t>
      </w:r>
      <w:r w:rsidR="006D48BC" w:rsidRPr="00047A9D">
        <w:rPr>
          <w:rFonts w:ascii="Times New Roman" w:hAnsi="Times New Roman" w:cs="Times New Roman"/>
          <w:sz w:val="22"/>
          <w:szCs w:val="22"/>
        </w:rPr>
        <w:t>n.p</w:t>
      </w:r>
      <w:r w:rsidR="003E533C" w:rsidRPr="00047A9D">
        <w:rPr>
          <w:rFonts w:ascii="Times New Roman" w:hAnsi="Times New Roman" w:cs="Times New Roman"/>
          <w:sz w:val="22"/>
          <w:szCs w:val="22"/>
        </w:rPr>
        <w:t>.</w:t>
      </w:r>
    </w:p>
  </w:footnote>
  <w:footnote w:id="350">
    <w:p w14:paraId="272ED22C" w14:textId="2B530F9F" w:rsidR="00940B2A" w:rsidRPr="00047A9D" w:rsidRDefault="00940B2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D283C" w:rsidRPr="00047A9D">
        <w:rPr>
          <w:rFonts w:ascii="Times New Roman" w:hAnsi="Times New Roman" w:cs="Times New Roman"/>
          <w:sz w:val="22"/>
          <w:szCs w:val="22"/>
        </w:rPr>
        <w:t xml:space="preserve">‘Sugar and Slaves: Introduction Sheet C1’, in Allen (ed.), </w:t>
      </w:r>
      <w:r w:rsidR="00CD283C" w:rsidRPr="00047A9D">
        <w:rPr>
          <w:rFonts w:ascii="Times New Roman" w:hAnsi="Times New Roman" w:cs="Times New Roman"/>
          <w:i/>
          <w:sz w:val="22"/>
          <w:szCs w:val="22"/>
        </w:rPr>
        <w:t xml:space="preserve">World History Outlines, </w:t>
      </w:r>
      <w:r w:rsidR="00CD283C" w:rsidRPr="00047A9D">
        <w:rPr>
          <w:rFonts w:ascii="Times New Roman" w:hAnsi="Times New Roman" w:cs="Times New Roman"/>
          <w:sz w:val="22"/>
          <w:szCs w:val="22"/>
        </w:rPr>
        <w:t>n.p</w:t>
      </w:r>
      <w:r w:rsidR="00AE4D90" w:rsidRPr="00047A9D">
        <w:rPr>
          <w:rFonts w:ascii="Times New Roman" w:hAnsi="Times New Roman" w:cs="Times New Roman"/>
          <w:i/>
          <w:sz w:val="22"/>
          <w:szCs w:val="22"/>
        </w:rPr>
        <w:t>.</w:t>
      </w:r>
    </w:p>
  </w:footnote>
  <w:footnote w:id="351">
    <w:p w14:paraId="263D5865" w14:textId="7BED651F" w:rsidR="002F4461" w:rsidRPr="00047A9D" w:rsidRDefault="002F446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77DC1" w:rsidRPr="00047A9D">
        <w:rPr>
          <w:rFonts w:ascii="Times New Roman" w:hAnsi="Times New Roman" w:cs="Times New Roman"/>
          <w:sz w:val="22"/>
          <w:szCs w:val="22"/>
        </w:rPr>
        <w:t xml:space="preserve">‘Pupil’s Booklet B’, in </w:t>
      </w:r>
      <w:r w:rsidR="00477DC1" w:rsidRPr="00047A9D">
        <w:rPr>
          <w:rFonts w:ascii="Times New Roman" w:hAnsi="Times New Roman" w:cs="Times New Roman"/>
          <w:i/>
          <w:sz w:val="22"/>
          <w:szCs w:val="22"/>
        </w:rPr>
        <w:t>World History Themes: India, Folder B: Work</w:t>
      </w:r>
      <w:r w:rsidR="00477DC1" w:rsidRPr="00047A9D">
        <w:rPr>
          <w:rFonts w:ascii="Times New Roman" w:hAnsi="Times New Roman" w:cs="Times New Roman"/>
          <w:sz w:val="22"/>
          <w:szCs w:val="22"/>
        </w:rPr>
        <w:t xml:space="preserve"> (London: ILEA Media Resources Centre, 1972), p.4.</w:t>
      </w:r>
    </w:p>
  </w:footnote>
  <w:footnote w:id="352">
    <w:p w14:paraId="0DE12637" w14:textId="01645B38" w:rsidR="00963598" w:rsidRPr="00047A9D" w:rsidRDefault="0096359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05CD7" w:rsidRPr="00047A9D">
        <w:rPr>
          <w:rFonts w:ascii="Times New Roman" w:hAnsi="Times New Roman" w:cs="Times New Roman"/>
          <w:sz w:val="22"/>
          <w:szCs w:val="22"/>
        </w:rPr>
        <w:t xml:space="preserve">‘Indigo Workers for the British: Work B12’, in </w:t>
      </w:r>
      <w:r w:rsidR="00E05CD7" w:rsidRPr="00047A9D">
        <w:rPr>
          <w:rFonts w:ascii="Times New Roman" w:hAnsi="Times New Roman" w:cs="Times New Roman"/>
          <w:i/>
          <w:sz w:val="22"/>
          <w:szCs w:val="22"/>
        </w:rPr>
        <w:t>World History Themes</w:t>
      </w:r>
      <w:r w:rsidR="006C4A4D" w:rsidRPr="00047A9D">
        <w:rPr>
          <w:rFonts w:ascii="Times New Roman" w:hAnsi="Times New Roman" w:cs="Times New Roman"/>
          <w:sz w:val="22"/>
          <w:szCs w:val="22"/>
        </w:rPr>
        <w:t xml:space="preserve">, </w:t>
      </w:r>
      <w:r w:rsidR="006D48BC" w:rsidRPr="00047A9D">
        <w:rPr>
          <w:rFonts w:ascii="Times New Roman" w:hAnsi="Times New Roman" w:cs="Times New Roman"/>
          <w:sz w:val="22"/>
          <w:szCs w:val="22"/>
        </w:rPr>
        <w:t>n.p</w:t>
      </w:r>
      <w:r w:rsidR="006C4A4D" w:rsidRPr="00047A9D">
        <w:rPr>
          <w:rFonts w:ascii="Times New Roman" w:hAnsi="Times New Roman" w:cs="Times New Roman"/>
          <w:sz w:val="22"/>
          <w:szCs w:val="22"/>
        </w:rPr>
        <w:t>.</w:t>
      </w:r>
    </w:p>
  </w:footnote>
  <w:footnote w:id="353">
    <w:p w14:paraId="597189DE" w14:textId="298FFD10" w:rsidR="00695071" w:rsidRPr="00047A9D" w:rsidRDefault="0069507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27A08" w:rsidRPr="00047A9D">
        <w:rPr>
          <w:rFonts w:ascii="Times New Roman" w:hAnsi="Times New Roman" w:cs="Times New Roman"/>
          <w:sz w:val="22"/>
          <w:szCs w:val="22"/>
        </w:rPr>
        <w:t xml:space="preserve">‘Soldiers for the British: Work B10’, in </w:t>
      </w:r>
      <w:r w:rsidR="00527A08" w:rsidRPr="00047A9D">
        <w:rPr>
          <w:rFonts w:ascii="Times New Roman" w:hAnsi="Times New Roman" w:cs="Times New Roman"/>
          <w:i/>
          <w:sz w:val="22"/>
          <w:szCs w:val="22"/>
        </w:rPr>
        <w:t>World History Themes</w:t>
      </w:r>
      <w:r w:rsidR="00527A08" w:rsidRPr="00047A9D">
        <w:rPr>
          <w:rFonts w:ascii="Times New Roman" w:hAnsi="Times New Roman" w:cs="Times New Roman"/>
          <w:sz w:val="22"/>
          <w:szCs w:val="22"/>
        </w:rPr>
        <w:t xml:space="preserve">, </w:t>
      </w:r>
      <w:r w:rsidR="006D48BC" w:rsidRPr="00047A9D">
        <w:rPr>
          <w:rFonts w:ascii="Times New Roman" w:hAnsi="Times New Roman" w:cs="Times New Roman"/>
          <w:sz w:val="22"/>
          <w:szCs w:val="22"/>
        </w:rPr>
        <w:t>n.p</w:t>
      </w:r>
      <w:r w:rsidR="00527A08" w:rsidRPr="00047A9D">
        <w:rPr>
          <w:rFonts w:ascii="Times New Roman" w:hAnsi="Times New Roman" w:cs="Times New Roman"/>
          <w:sz w:val="22"/>
          <w:szCs w:val="22"/>
        </w:rPr>
        <w:t>.</w:t>
      </w:r>
    </w:p>
  </w:footnote>
  <w:footnote w:id="354">
    <w:p w14:paraId="140B3D67" w14:textId="5D85780A" w:rsidR="00C36212" w:rsidRPr="00047A9D" w:rsidRDefault="00C3621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Pamela Cardwell, </w:t>
      </w:r>
      <w:r w:rsidRPr="00047A9D">
        <w:rPr>
          <w:rFonts w:ascii="Times New Roman" w:hAnsi="Times New Roman" w:cs="Times New Roman"/>
          <w:i/>
          <w:sz w:val="22"/>
          <w:szCs w:val="22"/>
        </w:rPr>
        <w:t>The Indian Mutiny</w:t>
      </w:r>
      <w:r w:rsidRPr="00047A9D">
        <w:rPr>
          <w:rFonts w:ascii="Times New Roman" w:hAnsi="Times New Roman" w:cs="Times New Roman"/>
          <w:sz w:val="22"/>
          <w:szCs w:val="22"/>
        </w:rPr>
        <w:t xml:space="preserve"> (London: Longman, 1975), quoted in </w:t>
      </w:r>
      <w:r w:rsidR="00D779F5" w:rsidRPr="00047A9D">
        <w:rPr>
          <w:rFonts w:ascii="Times New Roman" w:hAnsi="Times New Roman" w:cs="Times New Roman"/>
          <w:sz w:val="22"/>
          <w:szCs w:val="22"/>
        </w:rPr>
        <w:t xml:space="preserve">Schools Council, </w:t>
      </w:r>
      <w:r w:rsidR="00D779F5" w:rsidRPr="00047A9D">
        <w:rPr>
          <w:rFonts w:ascii="Times New Roman" w:hAnsi="Times New Roman" w:cs="Times New Roman"/>
          <w:i/>
          <w:sz w:val="22"/>
          <w:szCs w:val="22"/>
        </w:rPr>
        <w:t>Education for a Multiracial Society: Curriculum and Context 5-13</w:t>
      </w:r>
      <w:r w:rsidR="00D779F5" w:rsidRPr="00047A9D">
        <w:rPr>
          <w:rFonts w:ascii="Times New Roman" w:hAnsi="Times New Roman" w:cs="Times New Roman"/>
          <w:sz w:val="22"/>
          <w:szCs w:val="22"/>
        </w:rPr>
        <w:t xml:space="preserve"> (London: Schools Council, 1981),</w:t>
      </w:r>
      <w:r w:rsidR="00D779F5">
        <w:rPr>
          <w:rFonts w:ascii="Times New Roman" w:hAnsi="Times New Roman" w:cs="Times New Roman"/>
          <w:sz w:val="22"/>
          <w:szCs w:val="22"/>
        </w:rPr>
        <w:t xml:space="preserve"> </w:t>
      </w:r>
      <w:r w:rsidRPr="00047A9D">
        <w:rPr>
          <w:rFonts w:ascii="Times New Roman" w:hAnsi="Times New Roman" w:cs="Times New Roman"/>
          <w:sz w:val="22"/>
          <w:szCs w:val="22"/>
        </w:rPr>
        <w:t>p</w:t>
      </w:r>
      <w:r w:rsidR="00CF3653" w:rsidRPr="00047A9D">
        <w:rPr>
          <w:rFonts w:ascii="Times New Roman" w:hAnsi="Times New Roman" w:cs="Times New Roman"/>
          <w:sz w:val="22"/>
          <w:szCs w:val="22"/>
        </w:rPr>
        <w:t>p.159-60.</w:t>
      </w:r>
    </w:p>
  </w:footnote>
  <w:footnote w:id="355">
    <w:p w14:paraId="7C435EA5" w14:textId="32C1949D" w:rsidR="00E2057C" w:rsidRPr="00047A9D" w:rsidRDefault="00E2057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46618" w:rsidRPr="00047A9D">
        <w:rPr>
          <w:rFonts w:ascii="Times New Roman" w:hAnsi="Times New Roman" w:cs="Times New Roman"/>
          <w:sz w:val="22"/>
          <w:szCs w:val="22"/>
        </w:rPr>
        <w:t xml:space="preserve">Earliest Peoples: Sheet A3’ in Allen (ed.), </w:t>
      </w:r>
      <w:r w:rsidR="00846618" w:rsidRPr="00047A9D">
        <w:rPr>
          <w:rFonts w:ascii="Times New Roman" w:hAnsi="Times New Roman" w:cs="Times New Roman"/>
          <w:i/>
          <w:sz w:val="22"/>
          <w:szCs w:val="22"/>
        </w:rPr>
        <w:t xml:space="preserve">World History Outlines, </w:t>
      </w:r>
      <w:r w:rsidR="006D48BC" w:rsidRPr="00047A9D">
        <w:rPr>
          <w:rFonts w:ascii="Times New Roman" w:hAnsi="Times New Roman" w:cs="Times New Roman"/>
          <w:sz w:val="22"/>
          <w:szCs w:val="22"/>
        </w:rPr>
        <w:t>n.p</w:t>
      </w:r>
      <w:r w:rsidR="00D24C5A" w:rsidRPr="00047A9D">
        <w:rPr>
          <w:rFonts w:ascii="Times New Roman" w:hAnsi="Times New Roman" w:cs="Times New Roman"/>
          <w:sz w:val="22"/>
          <w:szCs w:val="22"/>
        </w:rPr>
        <w:t xml:space="preserve">; </w:t>
      </w:r>
      <w:r w:rsidRPr="00047A9D">
        <w:rPr>
          <w:rFonts w:ascii="Times New Roman" w:hAnsi="Times New Roman" w:cs="Times New Roman"/>
          <w:sz w:val="22"/>
          <w:szCs w:val="22"/>
        </w:rPr>
        <w:t xml:space="preserve">‘Servants </w:t>
      </w:r>
      <w:r w:rsidR="00D24C5A" w:rsidRPr="00047A9D">
        <w:rPr>
          <w:rFonts w:ascii="Times New Roman" w:hAnsi="Times New Roman" w:cs="Times New Roman"/>
          <w:sz w:val="22"/>
          <w:szCs w:val="22"/>
        </w:rPr>
        <w:t>of</w:t>
      </w:r>
      <w:r w:rsidRPr="00047A9D">
        <w:rPr>
          <w:rFonts w:ascii="Times New Roman" w:hAnsi="Times New Roman" w:cs="Times New Roman"/>
          <w:sz w:val="22"/>
          <w:szCs w:val="22"/>
        </w:rPr>
        <w:t xml:space="preserve"> the British: Work B</w:t>
      </w:r>
      <w:r w:rsidR="00D24C5A" w:rsidRPr="00047A9D">
        <w:rPr>
          <w:rFonts w:ascii="Times New Roman" w:hAnsi="Times New Roman" w:cs="Times New Roman"/>
          <w:sz w:val="22"/>
          <w:szCs w:val="22"/>
        </w:rPr>
        <w:t>11</w:t>
      </w:r>
      <w:r w:rsidRPr="00047A9D">
        <w:rPr>
          <w:rFonts w:ascii="Times New Roman" w:hAnsi="Times New Roman" w:cs="Times New Roman"/>
          <w:sz w:val="22"/>
          <w:szCs w:val="22"/>
        </w:rPr>
        <w:t>’</w:t>
      </w:r>
      <w:r w:rsidR="00D24C5A" w:rsidRPr="00047A9D">
        <w:rPr>
          <w:rFonts w:ascii="Times New Roman" w:hAnsi="Times New Roman" w:cs="Times New Roman"/>
          <w:sz w:val="22"/>
          <w:szCs w:val="22"/>
        </w:rPr>
        <w:t xml:space="preserve">, </w:t>
      </w:r>
      <w:r w:rsidRPr="00047A9D">
        <w:rPr>
          <w:rFonts w:ascii="Times New Roman" w:hAnsi="Times New Roman" w:cs="Times New Roman"/>
          <w:sz w:val="22"/>
          <w:szCs w:val="22"/>
        </w:rPr>
        <w:t xml:space="preserve">in </w:t>
      </w:r>
      <w:r w:rsidRPr="00047A9D">
        <w:rPr>
          <w:rFonts w:ascii="Times New Roman" w:hAnsi="Times New Roman" w:cs="Times New Roman"/>
          <w:i/>
          <w:sz w:val="22"/>
          <w:szCs w:val="22"/>
        </w:rPr>
        <w:t>World History Themes</w:t>
      </w:r>
      <w:r w:rsidRPr="00047A9D">
        <w:rPr>
          <w:rFonts w:ascii="Times New Roman" w:hAnsi="Times New Roman" w:cs="Times New Roman"/>
          <w:sz w:val="22"/>
          <w:szCs w:val="22"/>
        </w:rPr>
        <w:t xml:space="preserve">, </w:t>
      </w:r>
      <w:r w:rsidR="006D48BC" w:rsidRPr="00047A9D">
        <w:rPr>
          <w:rFonts w:ascii="Times New Roman" w:hAnsi="Times New Roman" w:cs="Times New Roman"/>
          <w:sz w:val="22"/>
          <w:szCs w:val="22"/>
        </w:rPr>
        <w:t>n.p</w:t>
      </w:r>
      <w:r w:rsidRPr="00047A9D">
        <w:rPr>
          <w:rFonts w:ascii="Times New Roman" w:hAnsi="Times New Roman" w:cs="Times New Roman"/>
          <w:sz w:val="22"/>
          <w:szCs w:val="22"/>
        </w:rPr>
        <w:t>.</w:t>
      </w:r>
    </w:p>
  </w:footnote>
  <w:footnote w:id="356">
    <w:p w14:paraId="29C99DE0" w14:textId="4E068C95" w:rsidR="00A63E50" w:rsidRPr="00047A9D" w:rsidRDefault="00A63E5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46033" w:rsidRPr="00047A9D">
        <w:rPr>
          <w:rFonts w:ascii="Times New Roman" w:hAnsi="Times New Roman" w:cs="Times New Roman"/>
          <w:sz w:val="22"/>
          <w:szCs w:val="22"/>
        </w:rPr>
        <w:t>See Mike Davis</w:t>
      </w:r>
      <w:r w:rsidR="00246033" w:rsidRPr="00047A9D">
        <w:rPr>
          <w:rFonts w:ascii="Times New Roman" w:hAnsi="Times New Roman" w:cs="Times New Roman"/>
          <w:i/>
          <w:sz w:val="22"/>
          <w:szCs w:val="22"/>
        </w:rPr>
        <w:t>, Late Victorian Holocausts: El Niño Famines and the Making of the Third World</w:t>
      </w:r>
      <w:r w:rsidR="00246033" w:rsidRPr="00047A9D">
        <w:rPr>
          <w:rFonts w:ascii="Times New Roman" w:hAnsi="Times New Roman" w:cs="Times New Roman"/>
          <w:sz w:val="22"/>
          <w:szCs w:val="22"/>
        </w:rPr>
        <w:t xml:space="preserve"> (London: Verso, 2001)</w:t>
      </w:r>
      <w:r w:rsidR="000E0655" w:rsidRPr="00047A9D">
        <w:rPr>
          <w:rFonts w:ascii="Times New Roman" w:hAnsi="Times New Roman" w:cs="Times New Roman"/>
          <w:sz w:val="22"/>
          <w:szCs w:val="22"/>
        </w:rPr>
        <w:t xml:space="preserve">; ‘Growing More Food: Food A11’, in </w:t>
      </w:r>
      <w:r w:rsidR="000E0655" w:rsidRPr="00047A9D">
        <w:rPr>
          <w:rFonts w:ascii="Times New Roman" w:hAnsi="Times New Roman" w:cs="Times New Roman"/>
          <w:i/>
          <w:sz w:val="22"/>
          <w:szCs w:val="22"/>
        </w:rPr>
        <w:t>World History Themes: India, Folder A: Food</w:t>
      </w:r>
      <w:r w:rsidR="000E0655" w:rsidRPr="00047A9D">
        <w:rPr>
          <w:rFonts w:ascii="Times New Roman" w:hAnsi="Times New Roman" w:cs="Times New Roman"/>
          <w:sz w:val="22"/>
          <w:szCs w:val="22"/>
        </w:rPr>
        <w:t xml:space="preserve"> (London: ILEA Media Resources Centre, 1972), </w:t>
      </w:r>
      <w:r w:rsidR="006D48BC" w:rsidRPr="00047A9D">
        <w:rPr>
          <w:rFonts w:ascii="Times New Roman" w:hAnsi="Times New Roman" w:cs="Times New Roman"/>
          <w:sz w:val="22"/>
          <w:szCs w:val="22"/>
        </w:rPr>
        <w:t>n.p</w:t>
      </w:r>
      <w:r w:rsidR="000E0655" w:rsidRPr="00047A9D">
        <w:rPr>
          <w:rFonts w:ascii="Times New Roman" w:hAnsi="Times New Roman" w:cs="Times New Roman"/>
          <w:sz w:val="22"/>
          <w:szCs w:val="22"/>
        </w:rPr>
        <w:t>.</w:t>
      </w:r>
    </w:p>
  </w:footnote>
  <w:footnote w:id="357">
    <w:p w14:paraId="157EA231" w14:textId="68B7BB02" w:rsidR="00C57952" w:rsidRPr="00047A9D" w:rsidRDefault="00C5795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DD550F" w:rsidRPr="00047A9D">
        <w:rPr>
          <w:rFonts w:ascii="Times New Roman" w:hAnsi="Times New Roman" w:cs="Times New Roman"/>
          <w:sz w:val="22"/>
          <w:szCs w:val="22"/>
        </w:rPr>
        <w:t xml:space="preserve"> </w:t>
      </w:r>
      <w:r w:rsidR="00764C1B" w:rsidRPr="00047A9D">
        <w:rPr>
          <w:rFonts w:ascii="Times New Roman" w:hAnsi="Times New Roman" w:cs="Times New Roman"/>
          <w:sz w:val="22"/>
          <w:szCs w:val="22"/>
        </w:rPr>
        <w:t xml:space="preserve">Beth Bhargava, </w:t>
      </w:r>
      <w:r w:rsidR="00DD550F" w:rsidRPr="00047A9D">
        <w:rPr>
          <w:rFonts w:ascii="Times New Roman" w:hAnsi="Times New Roman" w:cs="Times New Roman"/>
          <w:sz w:val="22"/>
          <w:szCs w:val="22"/>
        </w:rPr>
        <w:t>‘</w:t>
      </w:r>
      <w:r w:rsidR="00764C1B" w:rsidRPr="00047A9D">
        <w:rPr>
          <w:rFonts w:ascii="Times New Roman" w:hAnsi="Times New Roman" w:cs="Times New Roman"/>
          <w:sz w:val="22"/>
          <w:szCs w:val="22"/>
        </w:rPr>
        <w:t xml:space="preserve">The National Front and </w:t>
      </w:r>
      <w:r w:rsidR="00DD550F" w:rsidRPr="00047A9D">
        <w:rPr>
          <w:rFonts w:ascii="Times New Roman" w:hAnsi="Times New Roman" w:cs="Times New Roman"/>
          <w:sz w:val="22"/>
          <w:szCs w:val="22"/>
        </w:rPr>
        <w:t>E</w:t>
      </w:r>
      <w:r w:rsidR="00764C1B" w:rsidRPr="00047A9D">
        <w:rPr>
          <w:rFonts w:ascii="Times New Roman" w:hAnsi="Times New Roman" w:cs="Times New Roman"/>
          <w:sz w:val="22"/>
          <w:szCs w:val="22"/>
        </w:rPr>
        <w:t xml:space="preserve">nvironmental </w:t>
      </w:r>
      <w:r w:rsidR="00DD550F" w:rsidRPr="00047A9D">
        <w:rPr>
          <w:rFonts w:ascii="Times New Roman" w:hAnsi="Times New Roman" w:cs="Times New Roman"/>
          <w:sz w:val="22"/>
          <w:szCs w:val="22"/>
        </w:rPr>
        <w:t>P</w:t>
      </w:r>
      <w:r w:rsidR="00764C1B" w:rsidRPr="00047A9D">
        <w:rPr>
          <w:rFonts w:ascii="Times New Roman" w:hAnsi="Times New Roman" w:cs="Times New Roman"/>
          <w:sz w:val="22"/>
          <w:szCs w:val="22"/>
        </w:rPr>
        <w:t>olitics, 1967–90</w:t>
      </w:r>
      <w:r w:rsidR="00DD550F" w:rsidRPr="00047A9D">
        <w:rPr>
          <w:rFonts w:ascii="Times New Roman" w:hAnsi="Times New Roman" w:cs="Times New Roman"/>
          <w:sz w:val="22"/>
          <w:szCs w:val="22"/>
        </w:rPr>
        <w:t>’</w:t>
      </w:r>
      <w:r w:rsidR="00764C1B" w:rsidRPr="00047A9D">
        <w:rPr>
          <w:rFonts w:ascii="Times New Roman" w:hAnsi="Times New Roman" w:cs="Times New Roman"/>
          <w:sz w:val="22"/>
          <w:szCs w:val="22"/>
        </w:rPr>
        <w:t>, </w:t>
      </w:r>
      <w:r w:rsidR="00764C1B" w:rsidRPr="00047A9D">
        <w:rPr>
          <w:rFonts w:ascii="Times New Roman" w:hAnsi="Times New Roman" w:cs="Times New Roman"/>
          <w:i/>
          <w:sz w:val="22"/>
          <w:szCs w:val="22"/>
        </w:rPr>
        <w:t>Modern British History</w:t>
      </w:r>
      <w:r w:rsidRPr="00047A9D">
        <w:rPr>
          <w:rFonts w:ascii="Times New Roman" w:hAnsi="Times New Roman" w:cs="Times New Roman"/>
          <w:sz w:val="22"/>
          <w:szCs w:val="22"/>
        </w:rPr>
        <w:t xml:space="preserve"> </w:t>
      </w:r>
      <w:r w:rsidR="00DD550F" w:rsidRPr="00047A9D">
        <w:rPr>
          <w:rFonts w:ascii="Times New Roman" w:hAnsi="Times New Roman" w:cs="Times New Roman"/>
          <w:sz w:val="22"/>
          <w:szCs w:val="22"/>
        </w:rPr>
        <w:t>(2024);</w:t>
      </w:r>
      <w:r w:rsidR="00E65DD7" w:rsidRPr="00047A9D">
        <w:rPr>
          <w:rFonts w:ascii="Times New Roman" w:hAnsi="Times New Roman" w:cs="Times New Roman"/>
          <w:sz w:val="22"/>
          <w:szCs w:val="22"/>
        </w:rPr>
        <w:t xml:space="preserve"> </w:t>
      </w:r>
      <w:r w:rsidR="009038A7" w:rsidRPr="00047A9D">
        <w:rPr>
          <w:rFonts w:ascii="Times New Roman" w:hAnsi="Times New Roman" w:cs="Times New Roman"/>
          <w:sz w:val="22"/>
          <w:szCs w:val="22"/>
        </w:rPr>
        <w:t xml:space="preserve">George Monbiot, ‘Population </w:t>
      </w:r>
      <w:r w:rsidR="00E74316" w:rsidRPr="00047A9D">
        <w:rPr>
          <w:rFonts w:ascii="Times New Roman" w:hAnsi="Times New Roman" w:cs="Times New Roman"/>
          <w:sz w:val="22"/>
          <w:szCs w:val="22"/>
        </w:rPr>
        <w:t xml:space="preserve">Panic Lets Rich People </w:t>
      </w:r>
      <w:r w:rsidR="004C12E5" w:rsidRPr="00047A9D">
        <w:rPr>
          <w:rFonts w:ascii="Times New Roman" w:hAnsi="Times New Roman" w:cs="Times New Roman"/>
          <w:sz w:val="22"/>
          <w:szCs w:val="22"/>
        </w:rPr>
        <w:t>O</w:t>
      </w:r>
      <w:r w:rsidR="00E74316" w:rsidRPr="00047A9D">
        <w:rPr>
          <w:rFonts w:ascii="Times New Roman" w:hAnsi="Times New Roman" w:cs="Times New Roman"/>
          <w:sz w:val="22"/>
          <w:szCs w:val="22"/>
        </w:rPr>
        <w:t xml:space="preserve">ff the Hook for the Climate Crisis </w:t>
      </w:r>
      <w:r w:rsidR="004C12E5" w:rsidRPr="00047A9D">
        <w:rPr>
          <w:rFonts w:ascii="Times New Roman" w:hAnsi="Times New Roman" w:cs="Times New Roman"/>
          <w:sz w:val="22"/>
          <w:szCs w:val="22"/>
        </w:rPr>
        <w:t>T</w:t>
      </w:r>
      <w:r w:rsidR="00E74316" w:rsidRPr="00047A9D">
        <w:rPr>
          <w:rFonts w:ascii="Times New Roman" w:hAnsi="Times New Roman" w:cs="Times New Roman"/>
          <w:sz w:val="22"/>
          <w:szCs w:val="22"/>
        </w:rPr>
        <w:t xml:space="preserve">hey </w:t>
      </w:r>
      <w:r w:rsidR="006D7098" w:rsidRPr="00047A9D">
        <w:rPr>
          <w:rFonts w:ascii="Times New Roman" w:hAnsi="Times New Roman" w:cs="Times New Roman"/>
          <w:sz w:val="22"/>
          <w:szCs w:val="22"/>
        </w:rPr>
        <w:t>A</w:t>
      </w:r>
      <w:r w:rsidR="00E74316" w:rsidRPr="00047A9D">
        <w:rPr>
          <w:rFonts w:ascii="Times New Roman" w:hAnsi="Times New Roman" w:cs="Times New Roman"/>
          <w:sz w:val="22"/>
          <w:szCs w:val="22"/>
        </w:rPr>
        <w:t xml:space="preserve">re Fuelling’, </w:t>
      </w:r>
      <w:r w:rsidR="00E74316" w:rsidRPr="00047A9D">
        <w:rPr>
          <w:rFonts w:ascii="Times New Roman" w:hAnsi="Times New Roman" w:cs="Times New Roman"/>
          <w:i/>
          <w:sz w:val="22"/>
          <w:szCs w:val="22"/>
        </w:rPr>
        <w:t xml:space="preserve">Guardian, </w:t>
      </w:r>
      <w:r w:rsidR="00913B80" w:rsidRPr="00047A9D">
        <w:rPr>
          <w:rFonts w:ascii="Times New Roman" w:hAnsi="Times New Roman" w:cs="Times New Roman"/>
          <w:sz w:val="22"/>
          <w:szCs w:val="22"/>
        </w:rPr>
        <w:t xml:space="preserve">26 August 2020 </w:t>
      </w:r>
      <w:r w:rsidR="00E82FDA" w:rsidRPr="00047A9D">
        <w:rPr>
          <w:rFonts w:ascii="Times New Roman" w:hAnsi="Times New Roman" w:cs="Times New Roman"/>
          <w:sz w:val="22"/>
          <w:szCs w:val="22"/>
        </w:rPr>
        <w:t>&lt;https://www.theguardian.com/commentisfree/2020/aug/26/panic-overpopulation-climate-crisis-consumption-environment&gt; [accessed 2 December 2022].</w:t>
      </w:r>
    </w:p>
  </w:footnote>
  <w:footnote w:id="358">
    <w:p w14:paraId="26E936FA" w14:textId="09997A69" w:rsidR="0090451B" w:rsidRPr="00047A9D" w:rsidRDefault="009045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82678" w:rsidRPr="00047A9D">
        <w:rPr>
          <w:rFonts w:ascii="Times New Roman" w:hAnsi="Times New Roman" w:cs="Times New Roman"/>
          <w:sz w:val="22"/>
          <w:szCs w:val="22"/>
        </w:rPr>
        <w:t xml:space="preserve">ILEA, </w:t>
      </w:r>
      <w:r w:rsidR="0013319E" w:rsidRPr="00047A9D">
        <w:rPr>
          <w:rFonts w:ascii="Times New Roman" w:hAnsi="Times New Roman" w:cs="Times New Roman"/>
          <w:i/>
          <w:sz w:val="22"/>
          <w:szCs w:val="22"/>
        </w:rPr>
        <w:t>Race, Sex and Class: 2. Multi-Ethnic Education in Schools</w:t>
      </w:r>
      <w:r w:rsidR="0013319E" w:rsidRPr="00047A9D">
        <w:rPr>
          <w:rFonts w:ascii="Times New Roman" w:hAnsi="Times New Roman" w:cs="Times New Roman"/>
          <w:sz w:val="22"/>
          <w:szCs w:val="22"/>
        </w:rPr>
        <w:t>, (</w:t>
      </w:r>
      <w:r w:rsidR="0066553D" w:rsidRPr="00047A9D">
        <w:rPr>
          <w:rFonts w:ascii="Times New Roman" w:hAnsi="Times New Roman" w:cs="Times New Roman"/>
          <w:sz w:val="22"/>
          <w:szCs w:val="22"/>
        </w:rPr>
        <w:t xml:space="preserve">London: </w:t>
      </w:r>
      <w:r w:rsidR="0013319E" w:rsidRPr="00047A9D">
        <w:rPr>
          <w:rFonts w:ascii="Times New Roman" w:hAnsi="Times New Roman" w:cs="Times New Roman"/>
          <w:sz w:val="22"/>
          <w:szCs w:val="22"/>
        </w:rPr>
        <w:t>ILEA, 1983)</w:t>
      </w:r>
      <w:r w:rsidR="0066553D" w:rsidRPr="00047A9D">
        <w:rPr>
          <w:rFonts w:ascii="Times New Roman" w:hAnsi="Times New Roman" w:cs="Times New Roman"/>
          <w:sz w:val="22"/>
          <w:szCs w:val="22"/>
        </w:rPr>
        <w:t>.</w:t>
      </w:r>
    </w:p>
  </w:footnote>
  <w:footnote w:id="359">
    <w:p w14:paraId="7926BB92" w14:textId="54CEE3FA" w:rsidR="0066553D" w:rsidRPr="00047A9D" w:rsidRDefault="0066553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835D4" w:rsidRPr="00047A9D">
        <w:rPr>
          <w:rFonts w:ascii="Times New Roman" w:hAnsi="Times New Roman" w:cs="Times New Roman"/>
          <w:sz w:val="22"/>
          <w:szCs w:val="22"/>
        </w:rPr>
        <w:t>‘</w:t>
      </w:r>
      <w:r w:rsidRPr="00047A9D">
        <w:rPr>
          <w:rFonts w:ascii="Times New Roman" w:hAnsi="Times New Roman" w:cs="Times New Roman"/>
          <w:sz w:val="22"/>
          <w:szCs w:val="22"/>
        </w:rPr>
        <w:t xml:space="preserve">What’s So Special About World History?’, </w:t>
      </w:r>
      <w:r w:rsidRPr="00047A9D">
        <w:rPr>
          <w:rFonts w:ascii="Times New Roman" w:hAnsi="Times New Roman" w:cs="Times New Roman"/>
          <w:i/>
          <w:sz w:val="22"/>
          <w:szCs w:val="22"/>
        </w:rPr>
        <w:t xml:space="preserve">Clio: The Newsletter of the History and Social Sciences Teachers’ Centre </w:t>
      </w:r>
      <w:r w:rsidRPr="00047A9D">
        <w:rPr>
          <w:rFonts w:ascii="Times New Roman" w:hAnsi="Times New Roman" w:cs="Times New Roman"/>
          <w:sz w:val="22"/>
          <w:szCs w:val="22"/>
        </w:rPr>
        <w:t>(Spring 1976), n.p.</w:t>
      </w:r>
    </w:p>
  </w:footnote>
  <w:footnote w:id="360">
    <w:p w14:paraId="56D5FAA6" w14:textId="31D7BA63" w:rsidR="000E2C5D" w:rsidRPr="00047A9D" w:rsidRDefault="000E2C5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95154" w:rsidRPr="00047A9D">
        <w:rPr>
          <w:rFonts w:ascii="Times New Roman" w:hAnsi="Times New Roman" w:cs="Times New Roman"/>
          <w:sz w:val="22"/>
          <w:szCs w:val="22"/>
        </w:rPr>
        <w:t xml:space="preserve">Ann Boothroyd, ‘Teachers’ Guide’, in Allen (ed.), </w:t>
      </w:r>
      <w:r w:rsidR="00D95154" w:rsidRPr="00047A9D">
        <w:rPr>
          <w:rFonts w:ascii="Times New Roman" w:hAnsi="Times New Roman" w:cs="Times New Roman"/>
          <w:i/>
          <w:sz w:val="22"/>
          <w:szCs w:val="22"/>
        </w:rPr>
        <w:t xml:space="preserve">World History Outlines, </w:t>
      </w:r>
      <w:r w:rsidR="00D95154" w:rsidRPr="00047A9D">
        <w:rPr>
          <w:rFonts w:ascii="Times New Roman" w:hAnsi="Times New Roman" w:cs="Times New Roman"/>
          <w:sz w:val="22"/>
          <w:szCs w:val="22"/>
        </w:rPr>
        <w:t>p</w:t>
      </w:r>
      <w:r w:rsidR="008F0F6D" w:rsidRPr="00047A9D">
        <w:rPr>
          <w:rFonts w:ascii="Times New Roman" w:hAnsi="Times New Roman" w:cs="Times New Roman"/>
          <w:sz w:val="22"/>
          <w:szCs w:val="22"/>
        </w:rPr>
        <w:t>p.1-2.</w:t>
      </w:r>
    </w:p>
  </w:footnote>
  <w:footnote w:id="361">
    <w:p w14:paraId="53ECDE78" w14:textId="4508D084" w:rsidR="008A502E" w:rsidRPr="00047A9D" w:rsidRDefault="008A502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30E82" w:rsidRPr="00047A9D">
        <w:rPr>
          <w:rFonts w:ascii="Times New Roman" w:hAnsi="Times New Roman" w:cs="Times New Roman"/>
          <w:sz w:val="22"/>
          <w:szCs w:val="22"/>
        </w:rPr>
        <w:t>‘What’s So Special About World History?’, n.p.</w:t>
      </w:r>
    </w:p>
  </w:footnote>
  <w:footnote w:id="362">
    <w:p w14:paraId="338988DE" w14:textId="2BE7A3DF" w:rsidR="00930E82" w:rsidRPr="00047A9D" w:rsidRDefault="00930E8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5798A" w:rsidRPr="00047A9D">
        <w:rPr>
          <w:rFonts w:ascii="Times New Roman" w:hAnsi="Times New Roman" w:cs="Times New Roman"/>
          <w:sz w:val="22"/>
          <w:szCs w:val="22"/>
        </w:rPr>
        <w:t>‘What’s So Special About World History?’, n.p.</w:t>
      </w:r>
    </w:p>
  </w:footnote>
  <w:footnote w:id="363">
    <w:p w14:paraId="25A0BE5D" w14:textId="62D33B9A" w:rsidR="00FC27C8" w:rsidRPr="00047A9D" w:rsidRDefault="00FC27C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D56F8" w:rsidRPr="00047A9D">
        <w:rPr>
          <w:rFonts w:ascii="Times New Roman" w:hAnsi="Times New Roman" w:cs="Times New Roman"/>
          <w:sz w:val="22"/>
          <w:szCs w:val="22"/>
        </w:rPr>
        <w:t>Rae Alexander</w:t>
      </w:r>
      <w:r w:rsidR="00D576ED" w:rsidRPr="00047A9D">
        <w:rPr>
          <w:rFonts w:ascii="Times New Roman" w:hAnsi="Times New Roman" w:cs="Times New Roman"/>
          <w:sz w:val="22"/>
          <w:szCs w:val="22"/>
        </w:rPr>
        <w:t xml:space="preserve">, ‘What </w:t>
      </w:r>
      <w:r w:rsidR="00CB6980" w:rsidRPr="00047A9D">
        <w:rPr>
          <w:rFonts w:ascii="Times New Roman" w:hAnsi="Times New Roman" w:cs="Times New Roman"/>
          <w:sz w:val="22"/>
          <w:szCs w:val="22"/>
        </w:rPr>
        <w:t>i</w:t>
      </w:r>
      <w:r w:rsidR="00D576ED" w:rsidRPr="00047A9D">
        <w:rPr>
          <w:rFonts w:ascii="Times New Roman" w:hAnsi="Times New Roman" w:cs="Times New Roman"/>
          <w:sz w:val="22"/>
          <w:szCs w:val="22"/>
        </w:rPr>
        <w:t>s a Racist Book?</w:t>
      </w:r>
      <w:r w:rsidR="004C12E5" w:rsidRPr="00047A9D">
        <w:rPr>
          <w:rFonts w:ascii="Times New Roman" w:hAnsi="Times New Roman" w:cs="Times New Roman"/>
          <w:sz w:val="22"/>
          <w:szCs w:val="22"/>
        </w:rPr>
        <w:t>’,</w:t>
      </w:r>
      <w:r w:rsidR="00D576ED" w:rsidRPr="00047A9D">
        <w:rPr>
          <w:rFonts w:ascii="Times New Roman" w:hAnsi="Times New Roman" w:cs="Times New Roman"/>
          <w:sz w:val="22"/>
          <w:szCs w:val="22"/>
        </w:rPr>
        <w:t xml:space="preserve"> </w:t>
      </w:r>
      <w:r w:rsidR="00D576ED" w:rsidRPr="00047A9D">
        <w:rPr>
          <w:rFonts w:ascii="Times New Roman" w:hAnsi="Times New Roman" w:cs="Times New Roman"/>
          <w:i/>
          <w:sz w:val="22"/>
          <w:szCs w:val="22"/>
        </w:rPr>
        <w:t>Interracial Books for Children</w:t>
      </w:r>
      <w:r w:rsidR="00D576ED" w:rsidRPr="00047A9D">
        <w:rPr>
          <w:rFonts w:ascii="Times New Roman" w:hAnsi="Times New Roman" w:cs="Times New Roman"/>
          <w:sz w:val="22"/>
          <w:szCs w:val="22"/>
        </w:rPr>
        <w:t xml:space="preserve"> 3 (1970),</w:t>
      </w:r>
      <w:r w:rsidR="00F1353A" w:rsidRPr="00047A9D">
        <w:rPr>
          <w:rFonts w:ascii="Times New Roman" w:hAnsi="Times New Roman" w:cs="Times New Roman"/>
          <w:sz w:val="22"/>
          <w:szCs w:val="22"/>
        </w:rPr>
        <w:t xml:space="preserve"> quoted in </w:t>
      </w:r>
      <w:r w:rsidR="00A866E7" w:rsidRPr="00047A9D">
        <w:rPr>
          <w:rFonts w:ascii="Times New Roman" w:hAnsi="Times New Roman" w:cs="Times New Roman"/>
          <w:sz w:val="22"/>
          <w:szCs w:val="22"/>
        </w:rPr>
        <w:t>Florence Davies</w:t>
      </w:r>
      <w:r w:rsidR="00A866E7" w:rsidRPr="00047A9D">
        <w:rPr>
          <w:rFonts w:ascii="Times New Roman" w:hAnsi="Times New Roman" w:cs="Times New Roman"/>
          <w:i/>
          <w:sz w:val="22"/>
          <w:szCs w:val="22"/>
        </w:rPr>
        <w:t>, Books in the School Curriculum: A Compilation and Review of Research Relating to Voluntary and Intensive Reading, A Report for the National Book League</w:t>
      </w:r>
      <w:r w:rsidR="00A866E7" w:rsidRPr="00047A9D">
        <w:rPr>
          <w:rFonts w:ascii="Times New Roman" w:hAnsi="Times New Roman" w:cs="Times New Roman"/>
          <w:sz w:val="22"/>
          <w:szCs w:val="22"/>
        </w:rPr>
        <w:t xml:space="preserve"> (</w:t>
      </w:r>
      <w:r w:rsidR="00324FF3" w:rsidRPr="00047A9D">
        <w:rPr>
          <w:rFonts w:ascii="Times New Roman" w:hAnsi="Times New Roman" w:cs="Times New Roman"/>
          <w:sz w:val="22"/>
          <w:szCs w:val="22"/>
        </w:rPr>
        <w:t xml:space="preserve">London: Publishers Association, </w:t>
      </w:r>
      <w:r w:rsidR="00A866E7" w:rsidRPr="00047A9D">
        <w:rPr>
          <w:rFonts w:ascii="Times New Roman" w:hAnsi="Times New Roman" w:cs="Times New Roman"/>
          <w:sz w:val="22"/>
          <w:szCs w:val="22"/>
        </w:rPr>
        <w:t>1986)</w:t>
      </w:r>
      <w:r w:rsidR="00102B0C" w:rsidRPr="00047A9D">
        <w:rPr>
          <w:rFonts w:ascii="Times New Roman" w:hAnsi="Times New Roman" w:cs="Times New Roman"/>
          <w:sz w:val="22"/>
          <w:szCs w:val="22"/>
        </w:rPr>
        <w:t>, p.</w:t>
      </w:r>
      <w:r w:rsidR="005704C8" w:rsidRPr="00047A9D">
        <w:rPr>
          <w:rFonts w:ascii="Times New Roman" w:hAnsi="Times New Roman" w:cs="Times New Roman"/>
          <w:sz w:val="22"/>
          <w:szCs w:val="22"/>
        </w:rPr>
        <w:t>94.</w:t>
      </w:r>
    </w:p>
  </w:footnote>
  <w:footnote w:id="364">
    <w:p w14:paraId="04522C9A" w14:textId="0D8BFCF3" w:rsidR="006D2FAC" w:rsidRPr="00047A9D" w:rsidRDefault="006D2FA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86590" w:rsidRPr="00047A9D">
        <w:rPr>
          <w:rFonts w:ascii="Times New Roman" w:hAnsi="Times New Roman" w:cs="Times New Roman"/>
          <w:sz w:val="22"/>
          <w:szCs w:val="22"/>
        </w:rPr>
        <w:t xml:space="preserve">Charles Hannam, ‘History and Prejudice’, </w:t>
      </w:r>
      <w:r w:rsidR="00286590" w:rsidRPr="00047A9D">
        <w:rPr>
          <w:rFonts w:ascii="Times New Roman" w:hAnsi="Times New Roman" w:cs="Times New Roman"/>
          <w:i/>
          <w:sz w:val="22"/>
          <w:szCs w:val="22"/>
        </w:rPr>
        <w:t>Teaching History</w:t>
      </w:r>
      <w:r w:rsidR="00286590" w:rsidRPr="00047A9D">
        <w:rPr>
          <w:rFonts w:ascii="Times New Roman" w:hAnsi="Times New Roman" w:cs="Times New Roman"/>
          <w:sz w:val="22"/>
          <w:szCs w:val="22"/>
        </w:rPr>
        <w:t xml:space="preserve"> 22 (October 1978), 21-23</w:t>
      </w:r>
      <w:r w:rsidRPr="00047A9D">
        <w:rPr>
          <w:rFonts w:ascii="Times New Roman" w:hAnsi="Times New Roman" w:cs="Times New Roman"/>
          <w:sz w:val="22"/>
          <w:szCs w:val="22"/>
        </w:rPr>
        <w:t>, p.23.</w:t>
      </w:r>
    </w:p>
  </w:footnote>
  <w:footnote w:id="365">
    <w:p w14:paraId="17B84281" w14:textId="320BC393" w:rsidR="007336AD" w:rsidRPr="00047A9D" w:rsidRDefault="007336A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E0ACF" w:rsidRPr="00047A9D">
        <w:rPr>
          <w:rFonts w:ascii="Times New Roman" w:hAnsi="Times New Roman" w:cs="Times New Roman"/>
          <w:sz w:val="22"/>
          <w:szCs w:val="22"/>
        </w:rPr>
        <w:t xml:space="preserve">Tariq Modood </w:t>
      </w:r>
      <w:r w:rsidR="00795639" w:rsidRPr="00047A9D">
        <w:rPr>
          <w:rFonts w:ascii="Times New Roman" w:hAnsi="Times New Roman" w:cs="Times New Roman"/>
          <w:sz w:val="22"/>
          <w:szCs w:val="22"/>
        </w:rPr>
        <w:t>and</w:t>
      </w:r>
      <w:r w:rsidR="004E0ACF" w:rsidRPr="00047A9D">
        <w:rPr>
          <w:rFonts w:ascii="Times New Roman" w:hAnsi="Times New Roman" w:cs="Times New Roman"/>
          <w:sz w:val="22"/>
          <w:szCs w:val="22"/>
        </w:rPr>
        <w:t xml:space="preserve"> Stephen May, ‘Multiculturalism and Education in Britain: An Internally Contested Debate’, </w:t>
      </w:r>
      <w:r w:rsidR="004E0ACF" w:rsidRPr="00047A9D">
        <w:rPr>
          <w:rFonts w:ascii="Times New Roman" w:hAnsi="Times New Roman" w:cs="Times New Roman"/>
          <w:i/>
          <w:sz w:val="22"/>
          <w:szCs w:val="22"/>
        </w:rPr>
        <w:t>International Journal of Educational Research</w:t>
      </w:r>
      <w:r w:rsidR="004E0ACF" w:rsidRPr="00047A9D">
        <w:rPr>
          <w:rFonts w:ascii="Times New Roman" w:hAnsi="Times New Roman" w:cs="Times New Roman"/>
          <w:sz w:val="22"/>
          <w:szCs w:val="22"/>
        </w:rPr>
        <w:t xml:space="preserve"> 35 (2001)</w:t>
      </w:r>
      <w:r w:rsidR="00A64A1E">
        <w:rPr>
          <w:rFonts w:ascii="Times New Roman" w:hAnsi="Times New Roman" w:cs="Times New Roman"/>
          <w:sz w:val="22"/>
          <w:szCs w:val="22"/>
        </w:rPr>
        <w:t>,</w:t>
      </w:r>
      <w:r w:rsidR="004E0ACF" w:rsidRPr="00047A9D">
        <w:rPr>
          <w:rFonts w:ascii="Times New Roman" w:hAnsi="Times New Roman" w:cs="Times New Roman"/>
          <w:sz w:val="22"/>
          <w:szCs w:val="22"/>
        </w:rPr>
        <w:t xml:space="preserve"> 305–317, pp.305-06.</w:t>
      </w:r>
    </w:p>
  </w:footnote>
  <w:footnote w:id="366">
    <w:p w14:paraId="650301E0" w14:textId="0393A948" w:rsidR="007336AD" w:rsidRPr="00047A9D" w:rsidRDefault="007336A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40878" w:rsidRPr="00047A9D">
        <w:rPr>
          <w:rFonts w:ascii="Times New Roman" w:hAnsi="Times New Roman" w:cs="Times New Roman"/>
          <w:sz w:val="22"/>
          <w:szCs w:val="22"/>
        </w:rPr>
        <w:t>Modood and May, ‘Multiculturalism and Education</w:t>
      </w:r>
      <w:r w:rsidR="005D6E5E" w:rsidRPr="00047A9D">
        <w:rPr>
          <w:rFonts w:ascii="Times New Roman" w:hAnsi="Times New Roman" w:cs="Times New Roman"/>
          <w:sz w:val="22"/>
          <w:szCs w:val="22"/>
        </w:rPr>
        <w:t>’, pp.305-06</w:t>
      </w:r>
      <w:r w:rsidR="00F9410F" w:rsidRPr="00047A9D">
        <w:rPr>
          <w:rFonts w:ascii="Times New Roman" w:hAnsi="Times New Roman" w:cs="Times New Roman"/>
          <w:sz w:val="22"/>
          <w:szCs w:val="22"/>
        </w:rPr>
        <w:t xml:space="preserve">; John Lawson and Harold Silver, </w:t>
      </w:r>
      <w:r w:rsidR="00CA17C6" w:rsidRPr="00047A9D">
        <w:rPr>
          <w:rFonts w:ascii="Times New Roman" w:hAnsi="Times New Roman" w:cs="Times New Roman"/>
          <w:i/>
          <w:sz w:val="22"/>
          <w:szCs w:val="22"/>
        </w:rPr>
        <w:t xml:space="preserve">A Social History of Education in England, </w:t>
      </w:r>
      <w:r w:rsidR="00CA17C6" w:rsidRPr="00047A9D">
        <w:rPr>
          <w:rFonts w:ascii="Times New Roman" w:hAnsi="Times New Roman" w:cs="Times New Roman"/>
          <w:sz w:val="22"/>
          <w:szCs w:val="22"/>
        </w:rPr>
        <w:t>(</w:t>
      </w:r>
      <w:r w:rsidR="004456DB" w:rsidRPr="00047A9D">
        <w:rPr>
          <w:rFonts w:ascii="Times New Roman" w:hAnsi="Times New Roman" w:cs="Times New Roman"/>
          <w:sz w:val="22"/>
          <w:szCs w:val="22"/>
        </w:rPr>
        <w:t>London: Methuen</w:t>
      </w:r>
      <w:r w:rsidR="004B336D" w:rsidRPr="00047A9D">
        <w:rPr>
          <w:rFonts w:ascii="Times New Roman" w:hAnsi="Times New Roman" w:cs="Times New Roman"/>
          <w:sz w:val="22"/>
          <w:szCs w:val="22"/>
        </w:rPr>
        <w:t>, 1973), p.448.</w:t>
      </w:r>
    </w:p>
  </w:footnote>
  <w:footnote w:id="367">
    <w:p w14:paraId="7C610F09" w14:textId="310A7246" w:rsidR="004B336D" w:rsidRPr="00047A9D" w:rsidRDefault="004B336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Lawson and Silver, </w:t>
      </w:r>
      <w:r w:rsidRPr="00047A9D">
        <w:rPr>
          <w:rFonts w:ascii="Times New Roman" w:hAnsi="Times New Roman" w:cs="Times New Roman"/>
          <w:i/>
          <w:sz w:val="22"/>
          <w:szCs w:val="22"/>
        </w:rPr>
        <w:t xml:space="preserve">Education in England, </w:t>
      </w:r>
      <w:r w:rsidRPr="00047A9D">
        <w:rPr>
          <w:rFonts w:ascii="Times New Roman" w:hAnsi="Times New Roman" w:cs="Times New Roman"/>
          <w:sz w:val="22"/>
          <w:szCs w:val="22"/>
        </w:rPr>
        <w:t>p.448.</w:t>
      </w:r>
      <w:r w:rsidR="00A668D4">
        <w:rPr>
          <w:rFonts w:ascii="Times New Roman" w:hAnsi="Times New Roman" w:cs="Times New Roman"/>
          <w:sz w:val="22"/>
          <w:szCs w:val="22"/>
        </w:rPr>
        <w:t xml:space="preserve"> To put these statistics in context, the total number of secondary school pupils in 1961 was 3.2 million; this means that ‘immigrant’ children then represented around 0.1 </w:t>
      </w:r>
      <w:r w:rsidR="00A668D4" w:rsidRPr="00A5080C">
        <w:rPr>
          <w:rFonts w:ascii="Times New Roman" w:hAnsi="Times New Roman" w:cs="Times New Roman"/>
          <w:i/>
          <w:iCs/>
          <w:sz w:val="22"/>
          <w:szCs w:val="22"/>
        </w:rPr>
        <w:t>per cent</w:t>
      </w:r>
      <w:r w:rsidR="00A668D4">
        <w:rPr>
          <w:rFonts w:ascii="Times New Roman" w:hAnsi="Times New Roman" w:cs="Times New Roman"/>
          <w:sz w:val="22"/>
          <w:szCs w:val="22"/>
        </w:rPr>
        <w:t xml:space="preserve"> of the secondary school population. However, patterns of migration meant that such students were highly geographically concentrated. See </w:t>
      </w:r>
      <w:r w:rsidR="00A668D4" w:rsidRPr="00047A9D">
        <w:rPr>
          <w:rFonts w:ascii="Times New Roman" w:hAnsi="Times New Roman" w:cs="Times New Roman"/>
          <w:sz w:val="22"/>
          <w:szCs w:val="22"/>
        </w:rPr>
        <w:t>Bolton, ‘Education: Historical Statistics’</w:t>
      </w:r>
      <w:r w:rsidR="00A668D4">
        <w:rPr>
          <w:rFonts w:ascii="Times New Roman" w:hAnsi="Times New Roman" w:cs="Times New Roman"/>
          <w:sz w:val="22"/>
          <w:szCs w:val="22"/>
        </w:rPr>
        <w:t>, p.6.</w:t>
      </w:r>
    </w:p>
  </w:footnote>
  <w:footnote w:id="368">
    <w:p w14:paraId="5D0EF194" w14:textId="6CD6B626" w:rsidR="000A18A8" w:rsidRPr="00047A9D" w:rsidRDefault="000A18A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Ambalavaner Sivanandan, ‘Racism, Education and the Black Child’, in Michelle Reeves and Jenny Hammond (eds),</w:t>
      </w:r>
      <w:r w:rsidRPr="00047A9D">
        <w:rPr>
          <w:rFonts w:ascii="Times New Roman" w:hAnsi="Times New Roman" w:cs="Times New Roman"/>
          <w:i/>
          <w:sz w:val="22"/>
          <w:szCs w:val="22"/>
        </w:rPr>
        <w:t xml:space="preserve"> Looking Beyond the Frame: Racism, Representation and Resistance</w:t>
      </w:r>
      <w:r w:rsidRPr="00047A9D">
        <w:rPr>
          <w:rFonts w:ascii="Times New Roman" w:hAnsi="Times New Roman" w:cs="Times New Roman"/>
          <w:sz w:val="22"/>
          <w:szCs w:val="22"/>
        </w:rPr>
        <w:t xml:space="preserve"> (Oxford: Third World First, 1989), 19</w:t>
      </w:r>
      <w:r w:rsidR="00D02382">
        <w:rPr>
          <w:rFonts w:ascii="Times New Roman" w:hAnsi="Times New Roman" w:cs="Times New Roman"/>
          <w:sz w:val="22"/>
          <w:szCs w:val="22"/>
        </w:rPr>
        <w:t>-</w:t>
      </w:r>
      <w:r w:rsidRPr="00047A9D">
        <w:rPr>
          <w:rFonts w:ascii="Times New Roman" w:hAnsi="Times New Roman" w:cs="Times New Roman"/>
          <w:sz w:val="22"/>
          <w:szCs w:val="22"/>
        </w:rPr>
        <w:t>24.</w:t>
      </w:r>
    </w:p>
  </w:footnote>
  <w:footnote w:id="369">
    <w:p w14:paraId="37DDBD63" w14:textId="5024058D" w:rsidR="000A18A8" w:rsidRPr="00047A9D" w:rsidRDefault="000A18A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427B7" w:rsidRPr="00047A9D">
        <w:rPr>
          <w:rFonts w:ascii="Times New Roman" w:hAnsi="Times New Roman" w:cs="Times New Roman"/>
          <w:sz w:val="22"/>
          <w:szCs w:val="22"/>
        </w:rPr>
        <w:t>Sivanandan, ‘Racism, Education and the Black Child’, in Reeves and Hammond (eds),</w:t>
      </w:r>
      <w:r w:rsidR="004427B7" w:rsidRPr="00047A9D">
        <w:rPr>
          <w:rFonts w:ascii="Times New Roman" w:hAnsi="Times New Roman" w:cs="Times New Roman"/>
          <w:i/>
          <w:sz w:val="22"/>
          <w:szCs w:val="22"/>
        </w:rPr>
        <w:t xml:space="preserve"> Looking Beyond the Frame, </w:t>
      </w:r>
      <w:r w:rsidR="004427B7" w:rsidRPr="00047A9D">
        <w:rPr>
          <w:rFonts w:ascii="Times New Roman" w:hAnsi="Times New Roman" w:cs="Times New Roman"/>
          <w:sz w:val="22"/>
          <w:szCs w:val="22"/>
        </w:rPr>
        <w:t>pp.19-20.</w:t>
      </w:r>
    </w:p>
  </w:footnote>
  <w:footnote w:id="370">
    <w:p w14:paraId="4598BD5F" w14:textId="42CEEC7C" w:rsidR="00AB6855" w:rsidRPr="00047A9D" w:rsidRDefault="00AB685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Paul Warmington, </w:t>
      </w:r>
      <w:r w:rsidRPr="00047A9D">
        <w:rPr>
          <w:rFonts w:ascii="Times New Roman" w:hAnsi="Times New Roman" w:cs="Times New Roman"/>
          <w:i/>
          <w:sz w:val="22"/>
          <w:szCs w:val="22"/>
        </w:rPr>
        <w:t>Black British Intellectuals and Education: Multiculturalism's Hidden History</w:t>
      </w:r>
      <w:r w:rsidRPr="00047A9D">
        <w:rPr>
          <w:rFonts w:ascii="Times New Roman" w:hAnsi="Times New Roman" w:cs="Times New Roman"/>
          <w:sz w:val="22"/>
          <w:szCs w:val="22"/>
        </w:rPr>
        <w:t xml:space="preserve"> (Abingdon: Routledge, 2014), p.</w:t>
      </w:r>
      <w:r w:rsidR="00921A38" w:rsidRPr="00047A9D">
        <w:rPr>
          <w:rFonts w:ascii="Times New Roman" w:hAnsi="Times New Roman" w:cs="Times New Roman"/>
          <w:sz w:val="22"/>
          <w:szCs w:val="22"/>
        </w:rPr>
        <w:t>43.</w:t>
      </w:r>
    </w:p>
  </w:footnote>
  <w:footnote w:id="371">
    <w:p w14:paraId="74972B41" w14:textId="43D2238E" w:rsidR="002C0FED" w:rsidRPr="00047A9D" w:rsidRDefault="002C0FE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50626" w:rsidRPr="00047A9D">
        <w:rPr>
          <w:rFonts w:ascii="Times New Roman" w:hAnsi="Times New Roman" w:cs="Times New Roman"/>
          <w:sz w:val="22"/>
          <w:szCs w:val="22"/>
        </w:rPr>
        <w:t xml:space="preserve">Roger Bromley, ‘Reading the </w:t>
      </w:r>
      <w:r w:rsidR="00794589" w:rsidRPr="00047A9D">
        <w:rPr>
          <w:rFonts w:ascii="Times New Roman" w:hAnsi="Times New Roman" w:cs="Times New Roman"/>
          <w:sz w:val="22"/>
          <w:szCs w:val="22"/>
        </w:rPr>
        <w:t>“</w:t>
      </w:r>
      <w:r w:rsidR="00C50626" w:rsidRPr="00047A9D">
        <w:rPr>
          <w:rFonts w:ascii="Times New Roman" w:hAnsi="Times New Roman" w:cs="Times New Roman"/>
          <w:sz w:val="22"/>
          <w:szCs w:val="22"/>
        </w:rPr>
        <w:t>Black</w:t>
      </w:r>
      <w:r w:rsidR="00794589" w:rsidRPr="00047A9D">
        <w:rPr>
          <w:rFonts w:ascii="Times New Roman" w:hAnsi="Times New Roman" w:cs="Times New Roman"/>
          <w:sz w:val="22"/>
          <w:szCs w:val="22"/>
        </w:rPr>
        <w:t>”</w:t>
      </w:r>
      <w:r w:rsidR="00C50626" w:rsidRPr="00047A9D">
        <w:rPr>
          <w:rFonts w:ascii="Times New Roman" w:hAnsi="Times New Roman" w:cs="Times New Roman"/>
          <w:sz w:val="22"/>
          <w:szCs w:val="22"/>
        </w:rPr>
        <w:t xml:space="preserve"> in the </w:t>
      </w:r>
      <w:r w:rsidR="00794589" w:rsidRPr="00047A9D">
        <w:rPr>
          <w:rFonts w:ascii="Times New Roman" w:hAnsi="Times New Roman" w:cs="Times New Roman"/>
          <w:sz w:val="22"/>
          <w:szCs w:val="22"/>
        </w:rPr>
        <w:t>“</w:t>
      </w:r>
      <w:r w:rsidR="00C50626" w:rsidRPr="00047A9D">
        <w:rPr>
          <w:rFonts w:ascii="Times New Roman" w:hAnsi="Times New Roman" w:cs="Times New Roman"/>
          <w:sz w:val="22"/>
          <w:szCs w:val="22"/>
        </w:rPr>
        <w:t>Union Jack</w:t>
      </w:r>
      <w:r w:rsidR="00794589" w:rsidRPr="00047A9D">
        <w:rPr>
          <w:rFonts w:ascii="Times New Roman" w:hAnsi="Times New Roman" w:cs="Times New Roman"/>
          <w:sz w:val="22"/>
          <w:szCs w:val="22"/>
        </w:rPr>
        <w:t>”</w:t>
      </w:r>
      <w:r w:rsidR="00C50626" w:rsidRPr="00047A9D">
        <w:rPr>
          <w:rFonts w:ascii="Times New Roman" w:hAnsi="Times New Roman" w:cs="Times New Roman"/>
          <w:sz w:val="22"/>
          <w:szCs w:val="22"/>
        </w:rPr>
        <w:t>: Institutionalising Black and Asian British Writing</w:t>
      </w:r>
      <w:r w:rsidR="00794589" w:rsidRPr="00047A9D">
        <w:rPr>
          <w:rFonts w:ascii="Times New Roman" w:hAnsi="Times New Roman" w:cs="Times New Roman"/>
          <w:sz w:val="22"/>
          <w:szCs w:val="22"/>
        </w:rPr>
        <w:t xml:space="preserve">’, </w:t>
      </w:r>
      <w:r w:rsidR="000465B6" w:rsidRPr="00047A9D">
        <w:rPr>
          <w:rFonts w:ascii="Times New Roman" w:hAnsi="Times New Roman" w:cs="Times New Roman"/>
          <w:sz w:val="22"/>
          <w:szCs w:val="22"/>
        </w:rPr>
        <w:t>i</w:t>
      </w:r>
      <w:r w:rsidRPr="00047A9D">
        <w:rPr>
          <w:rFonts w:ascii="Times New Roman" w:hAnsi="Times New Roman" w:cs="Times New Roman"/>
          <w:sz w:val="22"/>
          <w:szCs w:val="22"/>
        </w:rPr>
        <w:t>n S</w:t>
      </w:r>
      <w:r w:rsidR="00CB780B" w:rsidRPr="00047A9D">
        <w:rPr>
          <w:rFonts w:ascii="Times New Roman" w:hAnsi="Times New Roman" w:cs="Times New Roman"/>
          <w:sz w:val="22"/>
          <w:szCs w:val="22"/>
        </w:rPr>
        <w:t>usheila</w:t>
      </w:r>
      <w:r w:rsidRPr="00047A9D">
        <w:rPr>
          <w:rFonts w:ascii="Times New Roman" w:hAnsi="Times New Roman" w:cs="Times New Roman"/>
          <w:sz w:val="22"/>
          <w:szCs w:val="22"/>
        </w:rPr>
        <w:t xml:space="preserve"> Nasta </w:t>
      </w:r>
      <w:r w:rsidR="00795639" w:rsidRPr="00047A9D">
        <w:rPr>
          <w:rFonts w:ascii="Times New Roman" w:hAnsi="Times New Roman" w:cs="Times New Roman"/>
          <w:sz w:val="22"/>
          <w:szCs w:val="22"/>
        </w:rPr>
        <w:t>and</w:t>
      </w:r>
      <w:r w:rsidRPr="00047A9D">
        <w:rPr>
          <w:rFonts w:ascii="Times New Roman" w:hAnsi="Times New Roman" w:cs="Times New Roman"/>
          <w:sz w:val="22"/>
          <w:szCs w:val="22"/>
        </w:rPr>
        <w:t xml:space="preserve"> M</w:t>
      </w:r>
      <w:r w:rsidR="00CB780B" w:rsidRPr="00047A9D">
        <w:rPr>
          <w:rFonts w:ascii="Times New Roman" w:hAnsi="Times New Roman" w:cs="Times New Roman"/>
          <w:sz w:val="22"/>
          <w:szCs w:val="22"/>
        </w:rPr>
        <w:t>ark U.</w:t>
      </w:r>
      <w:r w:rsidRPr="00047A9D">
        <w:rPr>
          <w:rFonts w:ascii="Times New Roman" w:hAnsi="Times New Roman" w:cs="Times New Roman"/>
          <w:sz w:val="22"/>
          <w:szCs w:val="22"/>
        </w:rPr>
        <w:t xml:space="preserve"> Stein (</w:t>
      </w:r>
      <w:r w:rsidR="000465B6" w:rsidRPr="00047A9D">
        <w:rPr>
          <w:rFonts w:ascii="Times New Roman" w:hAnsi="Times New Roman" w:cs="Times New Roman"/>
          <w:sz w:val="22"/>
          <w:szCs w:val="22"/>
        </w:rPr>
        <w:t>e</w:t>
      </w:r>
      <w:r w:rsidRPr="00047A9D">
        <w:rPr>
          <w:rFonts w:ascii="Times New Roman" w:hAnsi="Times New Roman" w:cs="Times New Roman"/>
          <w:sz w:val="22"/>
          <w:szCs w:val="22"/>
        </w:rPr>
        <w:t xml:space="preserve">ds), </w:t>
      </w:r>
      <w:r w:rsidRPr="00047A9D">
        <w:rPr>
          <w:rFonts w:ascii="Times New Roman" w:hAnsi="Times New Roman" w:cs="Times New Roman"/>
          <w:i/>
          <w:sz w:val="22"/>
          <w:szCs w:val="22"/>
        </w:rPr>
        <w:t>The Cambridge History of Black and Asian British Writing</w:t>
      </w:r>
      <w:r w:rsidRPr="00047A9D">
        <w:rPr>
          <w:rFonts w:ascii="Times New Roman" w:hAnsi="Times New Roman" w:cs="Times New Roman"/>
          <w:sz w:val="22"/>
          <w:szCs w:val="22"/>
        </w:rPr>
        <w:t xml:space="preserve"> </w:t>
      </w:r>
      <w:r w:rsidR="000465B6" w:rsidRPr="00047A9D">
        <w:rPr>
          <w:rFonts w:ascii="Times New Roman" w:hAnsi="Times New Roman" w:cs="Times New Roman"/>
          <w:sz w:val="22"/>
          <w:szCs w:val="22"/>
        </w:rPr>
        <w:t>(</w:t>
      </w:r>
      <w:r w:rsidRPr="00047A9D">
        <w:rPr>
          <w:rFonts w:ascii="Times New Roman" w:hAnsi="Times New Roman" w:cs="Times New Roman"/>
          <w:sz w:val="22"/>
          <w:szCs w:val="22"/>
        </w:rPr>
        <w:t xml:space="preserve">Cambridge: </w:t>
      </w:r>
      <w:r w:rsidR="000A4B6D" w:rsidRPr="00047A9D">
        <w:rPr>
          <w:rFonts w:ascii="Times New Roman" w:hAnsi="Times New Roman" w:cs="Times New Roman"/>
          <w:sz w:val="22"/>
          <w:szCs w:val="22"/>
        </w:rPr>
        <w:t>CUP</w:t>
      </w:r>
      <w:r w:rsidR="000465B6" w:rsidRPr="00047A9D">
        <w:rPr>
          <w:rFonts w:ascii="Times New Roman" w:hAnsi="Times New Roman" w:cs="Times New Roman"/>
          <w:sz w:val="22"/>
          <w:szCs w:val="22"/>
        </w:rPr>
        <w:t>, 2020)</w:t>
      </w:r>
      <w:r w:rsidR="00CB780B" w:rsidRPr="00047A9D">
        <w:rPr>
          <w:rFonts w:ascii="Times New Roman" w:hAnsi="Times New Roman" w:cs="Times New Roman"/>
          <w:sz w:val="22"/>
          <w:szCs w:val="22"/>
        </w:rPr>
        <w:t xml:space="preserve">, </w:t>
      </w:r>
      <w:r w:rsidR="00794589" w:rsidRPr="00047A9D">
        <w:rPr>
          <w:rFonts w:ascii="Times New Roman" w:hAnsi="Times New Roman" w:cs="Times New Roman"/>
          <w:sz w:val="22"/>
          <w:szCs w:val="22"/>
        </w:rPr>
        <w:t>417–32</w:t>
      </w:r>
      <w:r w:rsidR="00A47DA6" w:rsidRPr="00047A9D">
        <w:rPr>
          <w:rFonts w:ascii="Times New Roman" w:hAnsi="Times New Roman" w:cs="Times New Roman"/>
          <w:sz w:val="22"/>
          <w:szCs w:val="22"/>
        </w:rPr>
        <w:t>, p.424.</w:t>
      </w:r>
    </w:p>
  </w:footnote>
  <w:footnote w:id="372">
    <w:p w14:paraId="3F069F4A" w14:textId="5A0F92E5" w:rsidR="004825F0" w:rsidRPr="00047A9D" w:rsidRDefault="004825F0"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67E5C" w:rsidRPr="00047A9D">
        <w:rPr>
          <w:rFonts w:ascii="Times New Roman" w:hAnsi="Times New Roman" w:cs="Times New Roman"/>
          <w:sz w:val="22"/>
          <w:szCs w:val="22"/>
        </w:rPr>
        <w:t xml:space="preserve">Warmington, </w:t>
      </w:r>
      <w:r w:rsidR="00767E5C" w:rsidRPr="00047A9D">
        <w:rPr>
          <w:rFonts w:ascii="Times New Roman" w:hAnsi="Times New Roman" w:cs="Times New Roman"/>
          <w:i/>
          <w:sz w:val="22"/>
          <w:szCs w:val="22"/>
        </w:rPr>
        <w:t>Black British Intellectuals</w:t>
      </w:r>
      <w:r w:rsidR="00767E5C" w:rsidRPr="00047A9D">
        <w:rPr>
          <w:rFonts w:ascii="Times New Roman" w:hAnsi="Times New Roman" w:cs="Times New Roman"/>
          <w:iCs/>
          <w:sz w:val="22"/>
          <w:szCs w:val="22"/>
        </w:rPr>
        <w:t>, p.43.</w:t>
      </w:r>
    </w:p>
  </w:footnote>
  <w:footnote w:id="373">
    <w:p w14:paraId="625CF2DC" w14:textId="78D6ECC3" w:rsidR="00171EC8" w:rsidRPr="00047A9D" w:rsidRDefault="00171EC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16443" w:rsidRPr="00047A9D">
        <w:rPr>
          <w:rFonts w:ascii="Times New Roman" w:hAnsi="Times New Roman" w:cs="Times New Roman"/>
          <w:sz w:val="22"/>
          <w:szCs w:val="22"/>
        </w:rPr>
        <w:t xml:space="preserve">Olivier Esteves, </w:t>
      </w:r>
      <w:r w:rsidR="00816443" w:rsidRPr="00047A9D">
        <w:rPr>
          <w:rFonts w:ascii="Times New Roman" w:hAnsi="Times New Roman" w:cs="Times New Roman"/>
          <w:i/>
          <w:sz w:val="22"/>
          <w:szCs w:val="22"/>
        </w:rPr>
        <w:t xml:space="preserve">The </w:t>
      </w:r>
      <w:r w:rsidR="00703047" w:rsidRPr="00047A9D">
        <w:rPr>
          <w:rFonts w:ascii="Times New Roman" w:hAnsi="Times New Roman" w:cs="Times New Roman"/>
          <w:i/>
          <w:sz w:val="22"/>
          <w:szCs w:val="22"/>
        </w:rPr>
        <w:t>“</w:t>
      </w:r>
      <w:r w:rsidR="00816443" w:rsidRPr="00047A9D">
        <w:rPr>
          <w:rFonts w:ascii="Times New Roman" w:hAnsi="Times New Roman" w:cs="Times New Roman"/>
          <w:i/>
          <w:sz w:val="22"/>
          <w:szCs w:val="22"/>
        </w:rPr>
        <w:t>Desegregation</w:t>
      </w:r>
      <w:r w:rsidR="00703047" w:rsidRPr="00047A9D">
        <w:rPr>
          <w:rFonts w:ascii="Times New Roman" w:hAnsi="Times New Roman" w:cs="Times New Roman"/>
          <w:i/>
          <w:sz w:val="22"/>
          <w:szCs w:val="22"/>
        </w:rPr>
        <w:t xml:space="preserve">” </w:t>
      </w:r>
      <w:r w:rsidR="00816443" w:rsidRPr="00047A9D">
        <w:rPr>
          <w:rFonts w:ascii="Times New Roman" w:hAnsi="Times New Roman" w:cs="Times New Roman"/>
          <w:i/>
          <w:sz w:val="22"/>
          <w:szCs w:val="22"/>
        </w:rPr>
        <w:t>of English Schools: Bussing, Race and Urban Space, 1960s–80s</w:t>
      </w:r>
      <w:r w:rsidR="00703047" w:rsidRPr="00047A9D">
        <w:rPr>
          <w:rFonts w:ascii="Times New Roman" w:hAnsi="Times New Roman" w:cs="Times New Roman"/>
          <w:sz w:val="22"/>
          <w:szCs w:val="22"/>
        </w:rPr>
        <w:t xml:space="preserve"> (Manchester: </w:t>
      </w:r>
      <w:r w:rsidR="00E14135" w:rsidRPr="00047A9D">
        <w:rPr>
          <w:rFonts w:ascii="Times New Roman" w:hAnsi="Times New Roman" w:cs="Times New Roman"/>
          <w:sz w:val="22"/>
          <w:szCs w:val="22"/>
        </w:rPr>
        <w:t>MUP</w:t>
      </w:r>
      <w:r w:rsidR="00703047" w:rsidRPr="00047A9D">
        <w:rPr>
          <w:rFonts w:ascii="Times New Roman" w:hAnsi="Times New Roman" w:cs="Times New Roman"/>
          <w:sz w:val="22"/>
          <w:szCs w:val="22"/>
        </w:rPr>
        <w:t>, 2018), p</w:t>
      </w:r>
      <w:r w:rsidR="00DB3E01" w:rsidRPr="00047A9D">
        <w:rPr>
          <w:rFonts w:ascii="Times New Roman" w:hAnsi="Times New Roman" w:cs="Times New Roman"/>
          <w:sz w:val="22"/>
          <w:szCs w:val="22"/>
        </w:rPr>
        <w:t>.42</w:t>
      </w:r>
      <w:r w:rsidR="00703047" w:rsidRPr="00047A9D">
        <w:rPr>
          <w:rFonts w:ascii="Times New Roman" w:hAnsi="Times New Roman" w:cs="Times New Roman"/>
          <w:sz w:val="22"/>
          <w:szCs w:val="22"/>
        </w:rPr>
        <w:t>.</w:t>
      </w:r>
    </w:p>
  </w:footnote>
  <w:footnote w:id="374">
    <w:p w14:paraId="675A7452" w14:textId="0DFBDF4D" w:rsidR="008C7691" w:rsidRPr="00047A9D" w:rsidRDefault="008C769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E6DB3" w:rsidRPr="00047A9D">
        <w:rPr>
          <w:rFonts w:ascii="Times New Roman" w:hAnsi="Times New Roman" w:cs="Times New Roman"/>
          <w:sz w:val="22"/>
          <w:szCs w:val="22"/>
        </w:rPr>
        <w:t xml:space="preserve">Esteves, </w:t>
      </w:r>
      <w:r w:rsidR="001E6DB3" w:rsidRPr="00047A9D">
        <w:rPr>
          <w:rFonts w:ascii="Times New Roman" w:hAnsi="Times New Roman" w:cs="Times New Roman"/>
          <w:i/>
          <w:sz w:val="22"/>
          <w:szCs w:val="22"/>
        </w:rPr>
        <w:t>The “Desegregation” of English Schools</w:t>
      </w:r>
      <w:r w:rsidR="00703047" w:rsidRPr="00047A9D">
        <w:rPr>
          <w:rFonts w:ascii="Times New Roman" w:hAnsi="Times New Roman" w:cs="Times New Roman"/>
          <w:i/>
          <w:sz w:val="22"/>
          <w:szCs w:val="22"/>
        </w:rPr>
        <w:t xml:space="preserve">, </w:t>
      </w:r>
      <w:r w:rsidR="00703047" w:rsidRPr="00047A9D">
        <w:rPr>
          <w:rFonts w:ascii="Times New Roman" w:hAnsi="Times New Roman" w:cs="Times New Roman"/>
          <w:sz w:val="22"/>
          <w:szCs w:val="22"/>
        </w:rPr>
        <w:t>p</w:t>
      </w:r>
      <w:r w:rsidR="005D6332" w:rsidRPr="00047A9D">
        <w:rPr>
          <w:rFonts w:ascii="Times New Roman" w:hAnsi="Times New Roman" w:cs="Times New Roman"/>
          <w:sz w:val="22"/>
          <w:szCs w:val="22"/>
        </w:rPr>
        <w:t>.2.</w:t>
      </w:r>
    </w:p>
  </w:footnote>
  <w:footnote w:id="375">
    <w:p w14:paraId="3C9B535D" w14:textId="53E611F6" w:rsidR="0067614D" w:rsidRPr="00047A9D" w:rsidRDefault="0067614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E6DB3" w:rsidRPr="00047A9D">
        <w:rPr>
          <w:rFonts w:ascii="Times New Roman" w:hAnsi="Times New Roman" w:cs="Times New Roman"/>
          <w:sz w:val="22"/>
          <w:szCs w:val="22"/>
        </w:rPr>
        <w:t xml:space="preserve">Esteves, </w:t>
      </w:r>
      <w:r w:rsidR="001E6DB3" w:rsidRPr="00047A9D">
        <w:rPr>
          <w:rFonts w:ascii="Times New Roman" w:hAnsi="Times New Roman" w:cs="Times New Roman"/>
          <w:i/>
          <w:sz w:val="22"/>
          <w:szCs w:val="22"/>
        </w:rPr>
        <w:t>The “Desegregation” of English Schools</w:t>
      </w:r>
      <w:r w:rsidR="00B07CF3" w:rsidRPr="00047A9D">
        <w:rPr>
          <w:rFonts w:ascii="Times New Roman" w:hAnsi="Times New Roman" w:cs="Times New Roman"/>
          <w:i/>
          <w:sz w:val="22"/>
          <w:szCs w:val="22"/>
        </w:rPr>
        <w:t xml:space="preserve">, </w:t>
      </w:r>
      <w:r w:rsidR="00B07CF3" w:rsidRPr="00047A9D">
        <w:rPr>
          <w:rFonts w:ascii="Times New Roman" w:hAnsi="Times New Roman" w:cs="Times New Roman"/>
          <w:sz w:val="22"/>
          <w:szCs w:val="22"/>
        </w:rPr>
        <w:t>p</w:t>
      </w:r>
      <w:r w:rsidRPr="00047A9D">
        <w:rPr>
          <w:rFonts w:ascii="Times New Roman" w:hAnsi="Times New Roman" w:cs="Times New Roman"/>
          <w:i/>
          <w:sz w:val="22"/>
          <w:szCs w:val="22"/>
        </w:rPr>
        <w:t>.</w:t>
      </w:r>
      <w:r w:rsidR="00B07CF3" w:rsidRPr="00047A9D">
        <w:rPr>
          <w:rFonts w:ascii="Times New Roman" w:hAnsi="Times New Roman" w:cs="Times New Roman"/>
          <w:sz w:val="22"/>
          <w:szCs w:val="22"/>
        </w:rPr>
        <w:t>42.</w:t>
      </w:r>
    </w:p>
  </w:footnote>
  <w:footnote w:id="376">
    <w:p w14:paraId="6A12151D" w14:textId="033E8401" w:rsidR="008A21B3" w:rsidRPr="00047A9D" w:rsidRDefault="008A21B3"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E0E84" w:rsidRPr="00047A9D">
        <w:rPr>
          <w:rFonts w:ascii="Times New Roman" w:hAnsi="Times New Roman" w:cs="Times New Roman"/>
          <w:sz w:val="22"/>
          <w:szCs w:val="22"/>
        </w:rPr>
        <w:t xml:space="preserve">DES, </w:t>
      </w:r>
      <w:r w:rsidR="00A94156" w:rsidRPr="00047A9D">
        <w:rPr>
          <w:rFonts w:ascii="Times New Roman" w:hAnsi="Times New Roman" w:cs="Times New Roman"/>
          <w:i/>
          <w:sz w:val="22"/>
          <w:szCs w:val="22"/>
        </w:rPr>
        <w:t>Circular 7/65</w:t>
      </w:r>
      <w:r w:rsidR="00A94156" w:rsidRPr="00047A9D">
        <w:rPr>
          <w:rFonts w:ascii="Times New Roman" w:hAnsi="Times New Roman" w:cs="Times New Roman"/>
          <w:sz w:val="22"/>
          <w:szCs w:val="22"/>
        </w:rPr>
        <w:t xml:space="preserve">: </w:t>
      </w:r>
      <w:r w:rsidR="00A94156" w:rsidRPr="00047A9D">
        <w:rPr>
          <w:rFonts w:ascii="Times New Roman" w:hAnsi="Times New Roman" w:cs="Times New Roman"/>
          <w:i/>
          <w:sz w:val="22"/>
          <w:szCs w:val="22"/>
        </w:rPr>
        <w:t xml:space="preserve">The Education of Immigrants </w:t>
      </w:r>
      <w:r w:rsidR="00A94156" w:rsidRPr="00047A9D">
        <w:rPr>
          <w:rFonts w:ascii="Times New Roman" w:hAnsi="Times New Roman" w:cs="Times New Roman"/>
          <w:sz w:val="22"/>
          <w:szCs w:val="22"/>
        </w:rPr>
        <w:t xml:space="preserve">(London: </w:t>
      </w:r>
      <w:r w:rsidR="00AE0E84" w:rsidRPr="00047A9D">
        <w:rPr>
          <w:rFonts w:ascii="Times New Roman" w:hAnsi="Times New Roman" w:cs="Times New Roman"/>
          <w:sz w:val="22"/>
          <w:szCs w:val="22"/>
        </w:rPr>
        <w:t>HMSO</w:t>
      </w:r>
      <w:r w:rsidR="00A94156" w:rsidRPr="00047A9D">
        <w:rPr>
          <w:rFonts w:ascii="Times New Roman" w:hAnsi="Times New Roman" w:cs="Times New Roman"/>
          <w:i/>
          <w:sz w:val="22"/>
          <w:szCs w:val="22"/>
        </w:rPr>
        <w:t xml:space="preserve">, </w:t>
      </w:r>
      <w:r w:rsidR="00A94156" w:rsidRPr="00047A9D">
        <w:rPr>
          <w:rFonts w:ascii="Times New Roman" w:hAnsi="Times New Roman" w:cs="Times New Roman"/>
          <w:sz w:val="22"/>
          <w:szCs w:val="22"/>
        </w:rPr>
        <w:t>1965), p</w:t>
      </w:r>
      <w:r w:rsidR="00CC0D32" w:rsidRPr="00047A9D">
        <w:rPr>
          <w:rFonts w:ascii="Times New Roman" w:hAnsi="Times New Roman" w:cs="Times New Roman"/>
          <w:sz w:val="22"/>
          <w:szCs w:val="22"/>
        </w:rPr>
        <w:t>p.1-2.</w:t>
      </w:r>
    </w:p>
  </w:footnote>
  <w:footnote w:id="377">
    <w:p w14:paraId="0DAB1D66" w14:textId="163DE280" w:rsidR="00BB39D6" w:rsidRPr="00047A9D" w:rsidRDefault="00BB39D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729D1" w:rsidRPr="00047A9D">
        <w:rPr>
          <w:rFonts w:ascii="Times New Roman" w:hAnsi="Times New Roman" w:cs="Times New Roman"/>
          <w:sz w:val="22"/>
          <w:szCs w:val="22"/>
        </w:rPr>
        <w:t>Jackson, ‘The Ties That Bind</w:t>
      </w:r>
      <w:r w:rsidR="009E2591" w:rsidRPr="00047A9D">
        <w:rPr>
          <w:rFonts w:ascii="Times New Roman" w:hAnsi="Times New Roman" w:cs="Times New Roman"/>
          <w:sz w:val="22"/>
          <w:szCs w:val="22"/>
        </w:rPr>
        <w:t xml:space="preserve">’, </w:t>
      </w:r>
      <w:r w:rsidR="00C54CD5" w:rsidRPr="00047A9D">
        <w:rPr>
          <w:rFonts w:ascii="Times New Roman" w:hAnsi="Times New Roman" w:cs="Times New Roman"/>
          <w:sz w:val="22"/>
          <w:szCs w:val="22"/>
        </w:rPr>
        <w:t>p</w:t>
      </w:r>
      <w:r w:rsidR="0056517E" w:rsidRPr="00047A9D">
        <w:rPr>
          <w:rFonts w:ascii="Times New Roman" w:hAnsi="Times New Roman" w:cs="Times New Roman"/>
          <w:sz w:val="22"/>
          <w:szCs w:val="22"/>
        </w:rPr>
        <w:t>.119.</w:t>
      </w:r>
    </w:p>
  </w:footnote>
  <w:footnote w:id="378">
    <w:p w14:paraId="2E26D1A0" w14:textId="06B0656F" w:rsidR="003235D6" w:rsidRPr="00047A9D" w:rsidRDefault="003235D6"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41EFB" w:rsidRPr="00047A9D">
        <w:rPr>
          <w:rFonts w:ascii="Times New Roman" w:hAnsi="Times New Roman" w:cs="Times New Roman"/>
          <w:sz w:val="22"/>
          <w:szCs w:val="22"/>
        </w:rPr>
        <w:t>Jackson, ‘The Ties That Bind’</w:t>
      </w:r>
      <w:r w:rsidR="006901AF" w:rsidRPr="00047A9D">
        <w:rPr>
          <w:rFonts w:ascii="Times New Roman" w:hAnsi="Times New Roman" w:cs="Times New Roman"/>
          <w:i/>
          <w:sz w:val="22"/>
          <w:szCs w:val="22"/>
        </w:rPr>
        <w:t>.</w:t>
      </w:r>
    </w:p>
  </w:footnote>
  <w:footnote w:id="379">
    <w:p w14:paraId="6A783D8C" w14:textId="17EEE248" w:rsidR="00096006" w:rsidRPr="00047A9D" w:rsidRDefault="0009600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41EFB" w:rsidRPr="00047A9D">
        <w:rPr>
          <w:rFonts w:ascii="Times New Roman" w:hAnsi="Times New Roman" w:cs="Times New Roman"/>
          <w:sz w:val="22"/>
          <w:szCs w:val="22"/>
        </w:rPr>
        <w:t>Jackson, ‘The Ties That Bind’</w:t>
      </w:r>
      <w:r w:rsidR="008041C9" w:rsidRPr="00047A9D">
        <w:rPr>
          <w:rFonts w:ascii="Times New Roman" w:hAnsi="Times New Roman" w:cs="Times New Roman"/>
          <w:i/>
          <w:sz w:val="22"/>
          <w:szCs w:val="22"/>
        </w:rPr>
        <w:t>,</w:t>
      </w:r>
      <w:r w:rsidR="008041C9" w:rsidRPr="00047A9D">
        <w:rPr>
          <w:rFonts w:ascii="Times New Roman" w:hAnsi="Times New Roman" w:cs="Times New Roman"/>
          <w:sz w:val="22"/>
          <w:szCs w:val="22"/>
        </w:rPr>
        <w:t xml:space="preserve"> p.</w:t>
      </w:r>
      <w:r w:rsidR="007D027F" w:rsidRPr="00047A9D">
        <w:rPr>
          <w:rFonts w:ascii="Times New Roman" w:hAnsi="Times New Roman" w:cs="Times New Roman"/>
          <w:sz w:val="22"/>
          <w:szCs w:val="22"/>
        </w:rPr>
        <w:t>118.</w:t>
      </w:r>
    </w:p>
  </w:footnote>
  <w:footnote w:id="380">
    <w:p w14:paraId="4728C755" w14:textId="629711D8" w:rsidR="00466BCE" w:rsidRPr="00047A9D" w:rsidRDefault="00466BC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D347B" w:rsidRPr="00047A9D">
        <w:rPr>
          <w:rFonts w:ascii="Times New Roman" w:hAnsi="Times New Roman" w:cs="Times New Roman"/>
          <w:sz w:val="22"/>
          <w:szCs w:val="22"/>
        </w:rPr>
        <w:t xml:space="preserve">Patel, </w:t>
      </w:r>
      <w:r w:rsidR="00BD347B" w:rsidRPr="00047A9D">
        <w:rPr>
          <w:rFonts w:ascii="Times New Roman" w:hAnsi="Times New Roman" w:cs="Times New Roman"/>
          <w:i/>
          <w:sz w:val="22"/>
          <w:szCs w:val="22"/>
        </w:rPr>
        <w:t xml:space="preserve">We’re Here, </w:t>
      </w:r>
      <w:r w:rsidR="00BD347B" w:rsidRPr="00047A9D">
        <w:rPr>
          <w:rFonts w:ascii="Times New Roman" w:hAnsi="Times New Roman" w:cs="Times New Roman"/>
          <w:sz w:val="22"/>
          <w:szCs w:val="22"/>
        </w:rPr>
        <w:t>p</w:t>
      </w:r>
      <w:r w:rsidRPr="00047A9D">
        <w:rPr>
          <w:rFonts w:ascii="Times New Roman" w:hAnsi="Times New Roman" w:cs="Times New Roman"/>
          <w:sz w:val="22"/>
          <w:szCs w:val="22"/>
        </w:rPr>
        <w:t>.119.</w:t>
      </w:r>
    </w:p>
  </w:footnote>
  <w:footnote w:id="381">
    <w:p w14:paraId="74973177" w14:textId="68E13FC2" w:rsidR="00BD347B" w:rsidRPr="00047A9D" w:rsidRDefault="00BD347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B4211C" w:rsidRPr="00047A9D">
        <w:rPr>
          <w:rFonts w:ascii="Times New Roman" w:hAnsi="Times New Roman" w:cs="Times New Roman"/>
          <w:sz w:val="22"/>
          <w:szCs w:val="22"/>
        </w:rPr>
        <w:t xml:space="preserve"> DES, </w:t>
      </w:r>
      <w:r w:rsidR="00B4211C" w:rsidRPr="00047A9D">
        <w:rPr>
          <w:rFonts w:ascii="Times New Roman" w:hAnsi="Times New Roman" w:cs="Times New Roman"/>
          <w:i/>
          <w:sz w:val="22"/>
          <w:szCs w:val="22"/>
        </w:rPr>
        <w:t>Circular 7/65,</w:t>
      </w:r>
      <w:r w:rsidRPr="00047A9D">
        <w:rPr>
          <w:rFonts w:ascii="Times New Roman" w:hAnsi="Times New Roman" w:cs="Times New Roman"/>
          <w:sz w:val="22"/>
          <w:szCs w:val="22"/>
        </w:rPr>
        <w:t xml:space="preserve"> </w:t>
      </w:r>
      <w:r w:rsidR="00B4211C" w:rsidRPr="00047A9D">
        <w:rPr>
          <w:rFonts w:ascii="Times New Roman" w:hAnsi="Times New Roman" w:cs="Times New Roman"/>
          <w:sz w:val="22"/>
          <w:szCs w:val="22"/>
        </w:rPr>
        <w:t>p.3</w:t>
      </w:r>
      <w:r w:rsidR="00751A3E" w:rsidRPr="00047A9D">
        <w:rPr>
          <w:rFonts w:ascii="Times New Roman" w:hAnsi="Times New Roman" w:cs="Times New Roman"/>
          <w:sz w:val="22"/>
          <w:szCs w:val="22"/>
        </w:rPr>
        <w:t>.</w:t>
      </w:r>
    </w:p>
  </w:footnote>
  <w:footnote w:id="382">
    <w:p w14:paraId="55A78477" w14:textId="77E76E83" w:rsidR="00B4211C" w:rsidRPr="00047A9D" w:rsidRDefault="00B4211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901AF" w:rsidRPr="00047A9D">
        <w:rPr>
          <w:rFonts w:ascii="Times New Roman" w:hAnsi="Times New Roman" w:cs="Times New Roman"/>
          <w:sz w:val="22"/>
          <w:szCs w:val="22"/>
        </w:rPr>
        <w:t xml:space="preserve">DES, </w:t>
      </w:r>
      <w:r w:rsidR="006901AF" w:rsidRPr="00047A9D">
        <w:rPr>
          <w:rFonts w:ascii="Times New Roman" w:hAnsi="Times New Roman" w:cs="Times New Roman"/>
          <w:i/>
          <w:sz w:val="22"/>
          <w:szCs w:val="22"/>
        </w:rPr>
        <w:t>Plowden Report</w:t>
      </w:r>
      <w:r w:rsidR="00415918" w:rsidRPr="00047A9D">
        <w:rPr>
          <w:rFonts w:ascii="Times New Roman" w:hAnsi="Times New Roman" w:cs="Times New Roman"/>
          <w:sz w:val="22"/>
          <w:szCs w:val="22"/>
        </w:rPr>
        <w:t>, p</w:t>
      </w:r>
      <w:r w:rsidR="00910BA2" w:rsidRPr="00047A9D">
        <w:rPr>
          <w:rFonts w:ascii="Times New Roman" w:hAnsi="Times New Roman" w:cs="Times New Roman"/>
          <w:sz w:val="22"/>
          <w:szCs w:val="22"/>
        </w:rPr>
        <w:t>.71</w:t>
      </w:r>
      <w:r w:rsidR="000C41D3" w:rsidRPr="00047A9D">
        <w:rPr>
          <w:rFonts w:ascii="Times New Roman" w:hAnsi="Times New Roman" w:cs="Times New Roman"/>
          <w:sz w:val="22"/>
          <w:szCs w:val="22"/>
        </w:rPr>
        <w:t>.</w:t>
      </w:r>
    </w:p>
  </w:footnote>
  <w:footnote w:id="383">
    <w:p w14:paraId="79858CEF" w14:textId="2300A7D4" w:rsidR="00724786" w:rsidRPr="00047A9D" w:rsidRDefault="0072478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96DBA" w:rsidRPr="00047A9D">
        <w:rPr>
          <w:rFonts w:ascii="Times New Roman" w:hAnsi="Times New Roman" w:cs="Times New Roman"/>
          <w:sz w:val="22"/>
          <w:szCs w:val="22"/>
        </w:rPr>
        <w:t xml:space="preserve">Bernard Coard, </w:t>
      </w:r>
      <w:r w:rsidR="00696DBA" w:rsidRPr="00047A9D">
        <w:rPr>
          <w:rFonts w:ascii="Times New Roman" w:hAnsi="Times New Roman" w:cs="Times New Roman"/>
          <w:i/>
          <w:sz w:val="22"/>
          <w:szCs w:val="22"/>
        </w:rPr>
        <w:t xml:space="preserve">How the West Indian Child is Made Educationally Subnormal in the British School System: The Scandal of the Black Child in Schools in Britain </w:t>
      </w:r>
      <w:r w:rsidR="00696DBA" w:rsidRPr="00047A9D">
        <w:rPr>
          <w:rFonts w:ascii="Times New Roman" w:hAnsi="Times New Roman" w:cs="Times New Roman"/>
          <w:sz w:val="22"/>
          <w:szCs w:val="22"/>
        </w:rPr>
        <w:t>(London: New Beacon, 19</w:t>
      </w:r>
      <w:r w:rsidR="00074FB1" w:rsidRPr="00047A9D">
        <w:rPr>
          <w:rFonts w:ascii="Times New Roman" w:hAnsi="Times New Roman" w:cs="Times New Roman"/>
          <w:sz w:val="22"/>
          <w:szCs w:val="22"/>
        </w:rPr>
        <w:t>71</w:t>
      </w:r>
      <w:r w:rsidR="00992441" w:rsidRPr="00047A9D">
        <w:rPr>
          <w:rFonts w:ascii="Times New Roman" w:hAnsi="Times New Roman" w:cs="Times New Roman"/>
          <w:sz w:val="22"/>
          <w:szCs w:val="22"/>
        </w:rPr>
        <w:t>), p</w:t>
      </w:r>
      <w:r w:rsidR="00C42B82" w:rsidRPr="00047A9D">
        <w:rPr>
          <w:rFonts w:ascii="Times New Roman" w:hAnsi="Times New Roman" w:cs="Times New Roman"/>
          <w:sz w:val="22"/>
          <w:szCs w:val="22"/>
        </w:rPr>
        <w:t>.25</w:t>
      </w:r>
      <w:r w:rsidR="00992441" w:rsidRPr="00047A9D">
        <w:rPr>
          <w:rFonts w:ascii="Times New Roman" w:hAnsi="Times New Roman" w:cs="Times New Roman"/>
          <w:sz w:val="22"/>
          <w:szCs w:val="22"/>
        </w:rPr>
        <w:t>.</w:t>
      </w:r>
    </w:p>
  </w:footnote>
  <w:footnote w:id="384">
    <w:p w14:paraId="01CD0663" w14:textId="132E4A1A" w:rsidR="00BB7602" w:rsidRPr="00047A9D" w:rsidRDefault="00BB760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Warmington, </w:t>
      </w:r>
      <w:r w:rsidRPr="00047A9D">
        <w:rPr>
          <w:rFonts w:ascii="Times New Roman" w:hAnsi="Times New Roman" w:cs="Times New Roman"/>
          <w:i/>
          <w:sz w:val="22"/>
          <w:szCs w:val="22"/>
        </w:rPr>
        <w:t xml:space="preserve">Black British Intellectuals, </w:t>
      </w:r>
      <w:r w:rsidRPr="00047A9D">
        <w:rPr>
          <w:rFonts w:ascii="Times New Roman" w:hAnsi="Times New Roman" w:cs="Times New Roman"/>
          <w:sz w:val="22"/>
          <w:szCs w:val="22"/>
        </w:rPr>
        <w:t>p.65.</w:t>
      </w:r>
    </w:p>
  </w:footnote>
  <w:footnote w:id="385">
    <w:p w14:paraId="4EAD56DC" w14:textId="77777777" w:rsidR="00FF28CD" w:rsidRPr="00047A9D" w:rsidRDefault="00FF28C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Nigel File, ‘History’, in Alma Craft and Geoff Bardell (eds), </w:t>
      </w:r>
      <w:r w:rsidRPr="00047A9D">
        <w:rPr>
          <w:rFonts w:ascii="Times New Roman" w:hAnsi="Times New Roman" w:cs="Times New Roman"/>
          <w:i/>
          <w:sz w:val="22"/>
          <w:szCs w:val="22"/>
        </w:rPr>
        <w:t>Curriculum Opportunities in a Multicultural Society</w:t>
      </w:r>
      <w:r w:rsidRPr="00047A9D">
        <w:rPr>
          <w:rFonts w:ascii="Times New Roman" w:hAnsi="Times New Roman" w:cs="Times New Roman"/>
          <w:sz w:val="22"/>
          <w:szCs w:val="22"/>
        </w:rPr>
        <w:t>, (London: Harper and Row, 1984), 3-19, p.6.</w:t>
      </w:r>
    </w:p>
  </w:footnote>
  <w:footnote w:id="386">
    <w:p w14:paraId="5BF00771" w14:textId="63C81139" w:rsidR="00330031" w:rsidRPr="00047A9D" w:rsidRDefault="0033003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Len Garrison</w:t>
      </w:r>
      <w:r w:rsidRPr="00047A9D">
        <w:rPr>
          <w:rFonts w:ascii="Times New Roman" w:hAnsi="Times New Roman" w:cs="Times New Roman"/>
          <w:i/>
          <w:sz w:val="22"/>
          <w:szCs w:val="22"/>
        </w:rPr>
        <w:t>, Black Youth, Rastafarianism, and the Identity Crisis in Britain</w:t>
      </w:r>
      <w:r w:rsidRPr="00047A9D">
        <w:rPr>
          <w:rFonts w:ascii="Times New Roman" w:hAnsi="Times New Roman" w:cs="Times New Roman"/>
          <w:sz w:val="22"/>
          <w:szCs w:val="22"/>
        </w:rPr>
        <w:t xml:space="preserve"> (London: Afro-Caribbean Education Resource Project</w:t>
      </w:r>
      <w:r w:rsidR="00CD3564" w:rsidRPr="00047A9D">
        <w:rPr>
          <w:rFonts w:ascii="Times New Roman" w:hAnsi="Times New Roman" w:cs="Times New Roman"/>
          <w:sz w:val="22"/>
          <w:szCs w:val="22"/>
        </w:rPr>
        <w:t xml:space="preserve"> [hereafter ‘ACER’]</w:t>
      </w:r>
      <w:r w:rsidRPr="00047A9D">
        <w:rPr>
          <w:rFonts w:ascii="Times New Roman" w:hAnsi="Times New Roman" w:cs="Times New Roman"/>
          <w:sz w:val="22"/>
          <w:szCs w:val="22"/>
        </w:rPr>
        <w:t>, 1979), pp.5-7.</w:t>
      </w:r>
    </w:p>
  </w:footnote>
  <w:footnote w:id="387">
    <w:p w14:paraId="053444D3" w14:textId="62719F2B" w:rsidR="00E80549" w:rsidRPr="00047A9D" w:rsidRDefault="00E8054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B38BA" w:rsidRPr="00047A9D">
        <w:rPr>
          <w:rFonts w:ascii="Times New Roman" w:hAnsi="Times New Roman" w:cs="Times New Roman"/>
          <w:sz w:val="22"/>
          <w:szCs w:val="22"/>
        </w:rPr>
        <w:t xml:space="preserve">Kehinde Andrews, </w:t>
      </w:r>
      <w:r w:rsidR="000B38BA" w:rsidRPr="00047A9D">
        <w:rPr>
          <w:rFonts w:ascii="Times New Roman" w:hAnsi="Times New Roman" w:cs="Times New Roman"/>
          <w:i/>
          <w:sz w:val="22"/>
          <w:szCs w:val="22"/>
        </w:rPr>
        <w:t>Resisting Racism: Race, Inequality, and the Black Supplementary School Movement</w:t>
      </w:r>
      <w:r w:rsidR="00075B95" w:rsidRPr="00047A9D">
        <w:rPr>
          <w:rFonts w:ascii="Times New Roman" w:hAnsi="Times New Roman" w:cs="Times New Roman"/>
          <w:sz w:val="22"/>
          <w:szCs w:val="22"/>
        </w:rPr>
        <w:t xml:space="preserve"> </w:t>
      </w:r>
      <w:r w:rsidR="000B38BA" w:rsidRPr="00047A9D">
        <w:rPr>
          <w:rFonts w:ascii="Times New Roman" w:hAnsi="Times New Roman" w:cs="Times New Roman"/>
          <w:sz w:val="22"/>
          <w:szCs w:val="22"/>
        </w:rPr>
        <w:t>(London: Institute of Education Press, 2013</w:t>
      </w:r>
      <w:r w:rsidR="00CD3564" w:rsidRPr="00047A9D">
        <w:rPr>
          <w:rFonts w:ascii="Times New Roman" w:hAnsi="Times New Roman" w:cs="Times New Roman"/>
          <w:sz w:val="22"/>
          <w:szCs w:val="22"/>
        </w:rPr>
        <w:t>)</w:t>
      </w:r>
      <w:r w:rsidR="000B38BA" w:rsidRPr="00047A9D">
        <w:rPr>
          <w:rFonts w:ascii="Times New Roman" w:hAnsi="Times New Roman" w:cs="Times New Roman"/>
          <w:sz w:val="22"/>
          <w:szCs w:val="22"/>
        </w:rPr>
        <w:t>, p</w:t>
      </w:r>
      <w:r w:rsidRPr="00047A9D">
        <w:rPr>
          <w:rFonts w:ascii="Times New Roman" w:hAnsi="Times New Roman" w:cs="Times New Roman"/>
          <w:sz w:val="22"/>
          <w:szCs w:val="22"/>
        </w:rPr>
        <w:t>.3.</w:t>
      </w:r>
    </w:p>
  </w:footnote>
  <w:footnote w:id="388">
    <w:p w14:paraId="46C6D83E" w14:textId="6DAB12E4" w:rsidR="000456B0" w:rsidRPr="00047A9D" w:rsidRDefault="000456B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Garrison</w:t>
      </w:r>
      <w:r w:rsidR="00A749CD" w:rsidRPr="00047A9D">
        <w:rPr>
          <w:rFonts w:ascii="Times New Roman" w:hAnsi="Times New Roman" w:cs="Times New Roman"/>
          <w:sz w:val="22"/>
          <w:szCs w:val="22"/>
        </w:rPr>
        <w:t>,</w:t>
      </w:r>
      <w:r w:rsidR="008B18F8" w:rsidRPr="00047A9D">
        <w:rPr>
          <w:rFonts w:ascii="Times New Roman" w:hAnsi="Times New Roman" w:cs="Times New Roman"/>
          <w:sz w:val="22"/>
          <w:szCs w:val="22"/>
        </w:rPr>
        <w:t xml:space="preserve"> </w:t>
      </w:r>
      <w:r w:rsidR="008B18F8" w:rsidRPr="00047A9D">
        <w:rPr>
          <w:rFonts w:ascii="Times New Roman" w:hAnsi="Times New Roman" w:cs="Times New Roman"/>
          <w:i/>
          <w:sz w:val="22"/>
          <w:szCs w:val="22"/>
        </w:rPr>
        <w:t xml:space="preserve">Black Youth, </w:t>
      </w:r>
      <w:r w:rsidR="008B18F8" w:rsidRPr="00047A9D">
        <w:rPr>
          <w:rFonts w:ascii="Times New Roman" w:hAnsi="Times New Roman" w:cs="Times New Roman"/>
          <w:sz w:val="22"/>
          <w:szCs w:val="22"/>
        </w:rPr>
        <w:t>p.5;</w:t>
      </w:r>
      <w:r w:rsidR="00A749CD" w:rsidRPr="00047A9D">
        <w:rPr>
          <w:rFonts w:ascii="Times New Roman" w:hAnsi="Times New Roman" w:cs="Times New Roman"/>
          <w:sz w:val="22"/>
          <w:szCs w:val="22"/>
        </w:rPr>
        <w:t xml:space="preserve"> </w:t>
      </w:r>
      <w:r w:rsidR="00D6227C" w:rsidRPr="00047A9D">
        <w:rPr>
          <w:rFonts w:ascii="Times New Roman" w:hAnsi="Times New Roman" w:cs="Times New Roman"/>
          <w:sz w:val="22"/>
          <w:szCs w:val="22"/>
        </w:rPr>
        <w:t xml:space="preserve">Mabel Tauna, ‘Some Negative Aspects of Being Black and Growing up in a White Society’, in </w:t>
      </w:r>
      <w:r w:rsidR="00AD56D4" w:rsidRPr="00047A9D">
        <w:rPr>
          <w:rFonts w:ascii="Times New Roman" w:hAnsi="Times New Roman" w:cs="Times New Roman"/>
          <w:sz w:val="22"/>
          <w:szCs w:val="22"/>
        </w:rPr>
        <w:t xml:space="preserve">Paul McGilchrist (ed.), </w:t>
      </w:r>
      <w:r w:rsidR="00AD56D4" w:rsidRPr="00047A9D">
        <w:rPr>
          <w:rFonts w:ascii="Times New Roman" w:hAnsi="Times New Roman" w:cs="Times New Roman"/>
          <w:i/>
          <w:sz w:val="22"/>
          <w:szCs w:val="22"/>
        </w:rPr>
        <w:t>Black Voices: An Anthology of ACER's Black Young Writers Competition</w:t>
      </w:r>
      <w:r w:rsidR="00AD56D4" w:rsidRPr="00047A9D">
        <w:rPr>
          <w:rFonts w:ascii="Times New Roman" w:hAnsi="Times New Roman" w:cs="Times New Roman"/>
          <w:sz w:val="22"/>
          <w:szCs w:val="22"/>
        </w:rPr>
        <w:t xml:space="preserve"> (London: ACER, 1987), </w:t>
      </w:r>
      <w:r w:rsidR="00D6227C" w:rsidRPr="00047A9D">
        <w:rPr>
          <w:rFonts w:ascii="Times New Roman" w:hAnsi="Times New Roman" w:cs="Times New Roman"/>
          <w:sz w:val="22"/>
          <w:szCs w:val="22"/>
        </w:rPr>
        <w:t xml:space="preserve">191-92, </w:t>
      </w:r>
      <w:r w:rsidR="00A749CD" w:rsidRPr="00047A9D">
        <w:rPr>
          <w:rFonts w:ascii="Times New Roman" w:hAnsi="Times New Roman" w:cs="Times New Roman"/>
          <w:sz w:val="22"/>
          <w:szCs w:val="22"/>
        </w:rPr>
        <w:t>p.191.</w:t>
      </w:r>
    </w:p>
  </w:footnote>
  <w:footnote w:id="389">
    <w:p w14:paraId="5C1A696F" w14:textId="5AAA28F4" w:rsidR="009A17E4" w:rsidRPr="00047A9D" w:rsidRDefault="009A17E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D27A3" w:rsidRPr="00047A9D">
        <w:rPr>
          <w:rFonts w:ascii="Times New Roman" w:hAnsi="Times New Roman" w:cs="Times New Roman"/>
          <w:sz w:val="22"/>
          <w:szCs w:val="22"/>
        </w:rPr>
        <w:t xml:space="preserve">Andrews, </w:t>
      </w:r>
      <w:r w:rsidR="00FD27A3" w:rsidRPr="00047A9D">
        <w:rPr>
          <w:rFonts w:ascii="Times New Roman" w:hAnsi="Times New Roman" w:cs="Times New Roman"/>
          <w:i/>
          <w:sz w:val="22"/>
          <w:szCs w:val="22"/>
        </w:rPr>
        <w:t xml:space="preserve">Resisting Racism, </w:t>
      </w:r>
      <w:r w:rsidR="00FD27A3" w:rsidRPr="00047A9D">
        <w:rPr>
          <w:rFonts w:ascii="Times New Roman" w:hAnsi="Times New Roman" w:cs="Times New Roman"/>
          <w:sz w:val="22"/>
          <w:szCs w:val="22"/>
        </w:rPr>
        <w:t>p</w:t>
      </w:r>
      <w:r w:rsidRPr="00047A9D">
        <w:rPr>
          <w:rFonts w:ascii="Times New Roman" w:hAnsi="Times New Roman" w:cs="Times New Roman"/>
          <w:sz w:val="22"/>
          <w:szCs w:val="22"/>
        </w:rPr>
        <w:t>.4</w:t>
      </w:r>
      <w:r w:rsidR="00FD27A3" w:rsidRPr="00047A9D">
        <w:rPr>
          <w:rFonts w:ascii="Times New Roman" w:hAnsi="Times New Roman" w:cs="Times New Roman"/>
          <w:sz w:val="22"/>
          <w:szCs w:val="22"/>
        </w:rPr>
        <w:t>.</w:t>
      </w:r>
    </w:p>
  </w:footnote>
  <w:footnote w:id="390">
    <w:p w14:paraId="2198AA27" w14:textId="50E66C0C" w:rsidR="00D62D01" w:rsidRPr="00047A9D" w:rsidRDefault="00D62D0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8464E" w:rsidRPr="00047A9D">
        <w:rPr>
          <w:rFonts w:ascii="Times New Roman" w:hAnsi="Times New Roman" w:cs="Times New Roman"/>
          <w:sz w:val="22"/>
          <w:szCs w:val="22"/>
        </w:rPr>
        <w:t xml:space="preserve">Andrews, </w:t>
      </w:r>
      <w:r w:rsidR="0098464E" w:rsidRPr="00047A9D">
        <w:rPr>
          <w:rFonts w:ascii="Times New Roman" w:hAnsi="Times New Roman" w:cs="Times New Roman"/>
          <w:i/>
          <w:sz w:val="22"/>
          <w:szCs w:val="22"/>
        </w:rPr>
        <w:t>Resisting Racism</w:t>
      </w:r>
      <w:r w:rsidR="00FD27A3" w:rsidRPr="00047A9D">
        <w:rPr>
          <w:rFonts w:ascii="Times New Roman" w:hAnsi="Times New Roman" w:cs="Times New Roman"/>
          <w:i/>
          <w:sz w:val="22"/>
          <w:szCs w:val="22"/>
        </w:rPr>
        <w:t xml:space="preserve">, </w:t>
      </w:r>
      <w:r w:rsidR="00FD27A3" w:rsidRPr="00047A9D">
        <w:rPr>
          <w:rFonts w:ascii="Times New Roman" w:hAnsi="Times New Roman" w:cs="Times New Roman"/>
          <w:sz w:val="22"/>
          <w:szCs w:val="22"/>
        </w:rPr>
        <w:t>p</w:t>
      </w:r>
      <w:r w:rsidRPr="00047A9D">
        <w:rPr>
          <w:rFonts w:ascii="Times New Roman" w:hAnsi="Times New Roman" w:cs="Times New Roman"/>
          <w:sz w:val="22"/>
          <w:szCs w:val="22"/>
        </w:rPr>
        <w:t>.31</w:t>
      </w:r>
      <w:r w:rsidR="0098464E" w:rsidRPr="00047A9D">
        <w:rPr>
          <w:rFonts w:ascii="Times New Roman" w:hAnsi="Times New Roman" w:cs="Times New Roman"/>
          <w:sz w:val="22"/>
          <w:szCs w:val="22"/>
        </w:rPr>
        <w:t>.</w:t>
      </w:r>
    </w:p>
  </w:footnote>
  <w:footnote w:id="391">
    <w:p w14:paraId="20A47476" w14:textId="70CBD62F" w:rsidR="00676BFE" w:rsidRPr="00047A9D" w:rsidRDefault="00676BF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24EA6" w:rsidRPr="00047A9D">
        <w:rPr>
          <w:rFonts w:ascii="Times New Roman" w:hAnsi="Times New Roman" w:cs="Times New Roman"/>
          <w:sz w:val="22"/>
          <w:szCs w:val="22"/>
        </w:rPr>
        <w:t>For a related analysis, s</w:t>
      </w:r>
      <w:r w:rsidRPr="00047A9D">
        <w:rPr>
          <w:rFonts w:ascii="Times New Roman" w:hAnsi="Times New Roman" w:cs="Times New Roman"/>
          <w:sz w:val="22"/>
          <w:szCs w:val="22"/>
        </w:rPr>
        <w:t xml:space="preserve">ee </w:t>
      </w:r>
      <w:r w:rsidR="00BB7BF3" w:rsidRPr="00047A9D">
        <w:rPr>
          <w:rFonts w:ascii="Times New Roman" w:hAnsi="Times New Roman" w:cs="Times New Roman"/>
          <w:sz w:val="22"/>
          <w:szCs w:val="22"/>
        </w:rPr>
        <w:t xml:space="preserve">Warmington, </w:t>
      </w:r>
      <w:r w:rsidR="00BB7BF3" w:rsidRPr="00047A9D">
        <w:rPr>
          <w:rFonts w:ascii="Times New Roman" w:hAnsi="Times New Roman" w:cs="Times New Roman"/>
          <w:i/>
          <w:sz w:val="22"/>
          <w:szCs w:val="22"/>
        </w:rPr>
        <w:t>Black British Intellectuals</w:t>
      </w:r>
      <w:r w:rsidR="00AB6855" w:rsidRPr="00047A9D">
        <w:rPr>
          <w:rFonts w:ascii="Times New Roman" w:hAnsi="Times New Roman" w:cs="Times New Roman"/>
          <w:i/>
          <w:sz w:val="22"/>
          <w:szCs w:val="22"/>
        </w:rPr>
        <w:t xml:space="preserve">, </w:t>
      </w:r>
      <w:r w:rsidR="00BB7BF3" w:rsidRPr="00047A9D">
        <w:rPr>
          <w:rFonts w:ascii="Times New Roman" w:hAnsi="Times New Roman" w:cs="Times New Roman"/>
          <w:sz w:val="22"/>
          <w:szCs w:val="22"/>
        </w:rPr>
        <w:t>p.</w:t>
      </w:r>
      <w:r w:rsidR="00024EA6" w:rsidRPr="00047A9D">
        <w:rPr>
          <w:rFonts w:ascii="Times New Roman" w:hAnsi="Times New Roman" w:cs="Times New Roman"/>
          <w:sz w:val="22"/>
          <w:szCs w:val="22"/>
        </w:rPr>
        <w:t>45</w:t>
      </w:r>
      <w:r w:rsidR="00DE0437">
        <w:rPr>
          <w:rFonts w:ascii="Times New Roman" w:hAnsi="Times New Roman" w:cs="Times New Roman"/>
          <w:sz w:val="22"/>
          <w:szCs w:val="22"/>
        </w:rPr>
        <w:t>.</w:t>
      </w:r>
    </w:p>
  </w:footnote>
  <w:footnote w:id="392">
    <w:p w14:paraId="05F2A249" w14:textId="5695D6A1" w:rsidR="00D633CD" w:rsidRPr="00D633CD" w:rsidRDefault="00D633CD" w:rsidP="00D839D4">
      <w:pPr>
        <w:pStyle w:val="FootnoteText"/>
        <w:spacing w:line="360" w:lineRule="auto"/>
        <w:rPr>
          <w:rFonts w:ascii="Times New Roman" w:hAnsi="Times New Roman" w:cs="Times New Roman"/>
          <w:sz w:val="22"/>
          <w:szCs w:val="22"/>
        </w:rPr>
      </w:pPr>
      <w:r w:rsidRPr="00D633CD">
        <w:rPr>
          <w:rStyle w:val="FootnoteReference"/>
          <w:rFonts w:ascii="Times New Roman" w:hAnsi="Times New Roman" w:cs="Times New Roman"/>
          <w:sz w:val="22"/>
          <w:szCs w:val="22"/>
        </w:rPr>
        <w:footnoteRef/>
      </w:r>
      <w:r w:rsidRPr="00D633CD">
        <w:rPr>
          <w:rFonts w:ascii="Times New Roman" w:hAnsi="Times New Roman" w:cs="Times New Roman"/>
          <w:sz w:val="22"/>
          <w:szCs w:val="22"/>
        </w:rPr>
        <w:t xml:space="preserve"> See Eric Hobsbawm and Terence Ranger (eds), </w:t>
      </w:r>
      <w:r w:rsidRPr="00D633CD">
        <w:rPr>
          <w:rFonts w:ascii="Times New Roman" w:hAnsi="Times New Roman" w:cs="Times New Roman"/>
          <w:i/>
          <w:sz w:val="22"/>
          <w:szCs w:val="22"/>
        </w:rPr>
        <w:t>The Invention of Tradition</w:t>
      </w:r>
      <w:r w:rsidRPr="00D633CD">
        <w:rPr>
          <w:rFonts w:ascii="Times New Roman" w:hAnsi="Times New Roman" w:cs="Times New Roman"/>
          <w:sz w:val="22"/>
          <w:szCs w:val="22"/>
        </w:rPr>
        <w:t xml:space="preserve"> (Cambridge: CUP, 1983); Benedict Anderson, </w:t>
      </w:r>
      <w:r w:rsidRPr="00D633CD">
        <w:rPr>
          <w:rFonts w:ascii="Times New Roman" w:hAnsi="Times New Roman" w:cs="Times New Roman"/>
          <w:i/>
          <w:sz w:val="22"/>
          <w:szCs w:val="22"/>
        </w:rPr>
        <w:t>Imagined Communities. Reflections on the Origins and Spread of Nationalism</w:t>
      </w:r>
      <w:r w:rsidRPr="00D633CD">
        <w:rPr>
          <w:rFonts w:ascii="Times New Roman" w:hAnsi="Times New Roman" w:cs="Times New Roman"/>
          <w:sz w:val="22"/>
          <w:szCs w:val="22"/>
        </w:rPr>
        <w:t xml:space="preserve">, rev. edn (London: Verso, 1991); David Lowenthal, </w:t>
      </w:r>
      <w:r w:rsidRPr="00D633CD">
        <w:rPr>
          <w:rFonts w:ascii="Times New Roman" w:hAnsi="Times New Roman" w:cs="Times New Roman"/>
          <w:i/>
          <w:sz w:val="22"/>
          <w:szCs w:val="22"/>
        </w:rPr>
        <w:t>The Past Is a Foreign Country - Revisited</w:t>
      </w:r>
      <w:r w:rsidRPr="00D633CD">
        <w:rPr>
          <w:rFonts w:ascii="Times New Roman" w:hAnsi="Times New Roman" w:cs="Times New Roman"/>
          <w:sz w:val="22"/>
          <w:szCs w:val="22"/>
        </w:rPr>
        <w:t xml:space="preserve"> (Cambridge: CUP, 2015).</w:t>
      </w:r>
    </w:p>
  </w:footnote>
  <w:footnote w:id="393">
    <w:p w14:paraId="3C82C95D" w14:textId="2B779C01" w:rsidR="0073067F" w:rsidRPr="00047A9D" w:rsidRDefault="0073067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230FC" w:rsidRPr="00047A9D">
        <w:rPr>
          <w:rFonts w:ascii="Times New Roman" w:hAnsi="Times New Roman" w:cs="Times New Roman"/>
          <w:sz w:val="22"/>
          <w:szCs w:val="22"/>
        </w:rPr>
        <w:t xml:space="preserve">Coard, </w:t>
      </w:r>
      <w:r w:rsidR="008230FC" w:rsidRPr="00047A9D">
        <w:rPr>
          <w:rFonts w:ascii="Times New Roman" w:hAnsi="Times New Roman" w:cs="Times New Roman"/>
          <w:i/>
          <w:sz w:val="22"/>
          <w:szCs w:val="22"/>
        </w:rPr>
        <w:t xml:space="preserve">West Indian Child, </w:t>
      </w:r>
      <w:r w:rsidR="008230FC" w:rsidRPr="00047A9D">
        <w:rPr>
          <w:rFonts w:ascii="Times New Roman" w:hAnsi="Times New Roman" w:cs="Times New Roman"/>
          <w:sz w:val="22"/>
          <w:szCs w:val="22"/>
        </w:rPr>
        <w:t>p</w:t>
      </w:r>
      <w:r w:rsidR="00622EEE" w:rsidRPr="00047A9D">
        <w:rPr>
          <w:rFonts w:ascii="Times New Roman" w:hAnsi="Times New Roman" w:cs="Times New Roman"/>
          <w:sz w:val="22"/>
          <w:szCs w:val="22"/>
        </w:rPr>
        <w:t>p</w:t>
      </w:r>
      <w:r w:rsidR="008230FC" w:rsidRPr="00047A9D">
        <w:rPr>
          <w:rFonts w:ascii="Times New Roman" w:hAnsi="Times New Roman" w:cs="Times New Roman"/>
          <w:sz w:val="22"/>
          <w:szCs w:val="22"/>
        </w:rPr>
        <w:t>.</w:t>
      </w:r>
      <w:r w:rsidR="00622EEE" w:rsidRPr="00047A9D">
        <w:rPr>
          <w:rFonts w:ascii="Times New Roman" w:hAnsi="Times New Roman" w:cs="Times New Roman"/>
          <w:sz w:val="22"/>
          <w:szCs w:val="22"/>
        </w:rPr>
        <w:t>29-</w:t>
      </w:r>
      <w:r w:rsidR="008230FC" w:rsidRPr="00047A9D">
        <w:rPr>
          <w:rFonts w:ascii="Times New Roman" w:hAnsi="Times New Roman" w:cs="Times New Roman"/>
          <w:sz w:val="22"/>
          <w:szCs w:val="22"/>
        </w:rPr>
        <w:t>30.</w:t>
      </w:r>
    </w:p>
  </w:footnote>
  <w:footnote w:id="394">
    <w:p w14:paraId="40609470" w14:textId="2B6C0870" w:rsidR="008230FC" w:rsidRPr="00047A9D" w:rsidRDefault="008230F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F60CF" w:rsidRPr="00047A9D">
        <w:rPr>
          <w:rFonts w:ascii="Times New Roman" w:hAnsi="Times New Roman" w:cs="Times New Roman"/>
          <w:sz w:val="22"/>
          <w:szCs w:val="22"/>
        </w:rPr>
        <w:t xml:space="preserve">Ann </w:t>
      </w:r>
      <w:r w:rsidR="007D1E32" w:rsidRPr="00047A9D">
        <w:rPr>
          <w:rFonts w:ascii="Times New Roman" w:hAnsi="Times New Roman" w:cs="Times New Roman"/>
          <w:sz w:val="22"/>
          <w:szCs w:val="22"/>
        </w:rPr>
        <w:t xml:space="preserve">Dummett, </w:t>
      </w:r>
      <w:r w:rsidR="00CF60CF" w:rsidRPr="00047A9D">
        <w:rPr>
          <w:rFonts w:ascii="Times New Roman" w:hAnsi="Times New Roman" w:cs="Times New Roman"/>
          <w:i/>
          <w:sz w:val="22"/>
          <w:szCs w:val="22"/>
        </w:rPr>
        <w:t xml:space="preserve">A Portrait of English Racism </w:t>
      </w:r>
      <w:r w:rsidR="00CF60CF" w:rsidRPr="00047A9D">
        <w:rPr>
          <w:rFonts w:ascii="Times New Roman" w:hAnsi="Times New Roman" w:cs="Times New Roman"/>
          <w:sz w:val="22"/>
          <w:szCs w:val="22"/>
        </w:rPr>
        <w:t>(Harmondsworth: Penguin, 1973)</w:t>
      </w:r>
      <w:r w:rsidR="007D1E32" w:rsidRPr="00047A9D">
        <w:rPr>
          <w:rFonts w:ascii="Times New Roman" w:hAnsi="Times New Roman" w:cs="Times New Roman"/>
          <w:i/>
          <w:sz w:val="22"/>
          <w:szCs w:val="22"/>
        </w:rPr>
        <w:t xml:space="preserve">, </w:t>
      </w:r>
      <w:r w:rsidR="007D1E32" w:rsidRPr="00047A9D">
        <w:rPr>
          <w:rFonts w:ascii="Times New Roman" w:hAnsi="Times New Roman" w:cs="Times New Roman"/>
          <w:sz w:val="22"/>
          <w:szCs w:val="22"/>
        </w:rPr>
        <w:t>p.</w:t>
      </w:r>
      <w:r w:rsidR="006F298E" w:rsidRPr="00047A9D">
        <w:rPr>
          <w:rFonts w:ascii="Times New Roman" w:hAnsi="Times New Roman" w:cs="Times New Roman"/>
          <w:sz w:val="22"/>
          <w:szCs w:val="22"/>
        </w:rPr>
        <w:t>266.</w:t>
      </w:r>
    </w:p>
  </w:footnote>
  <w:footnote w:id="395">
    <w:p w14:paraId="0B38FE14" w14:textId="10419CF3" w:rsidR="00CD6E65" w:rsidRPr="00047A9D" w:rsidRDefault="00CD6E6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242C0" w:rsidRPr="00047A9D">
        <w:rPr>
          <w:rFonts w:ascii="Times New Roman" w:hAnsi="Times New Roman" w:cs="Times New Roman"/>
          <w:sz w:val="22"/>
          <w:szCs w:val="22"/>
        </w:rPr>
        <w:t xml:space="preserve">Ian Baucom, </w:t>
      </w:r>
      <w:r w:rsidR="00C242C0" w:rsidRPr="00047A9D">
        <w:rPr>
          <w:rFonts w:ascii="Times New Roman" w:hAnsi="Times New Roman" w:cs="Times New Roman"/>
          <w:i/>
          <w:sz w:val="22"/>
          <w:szCs w:val="22"/>
        </w:rPr>
        <w:t>Out of Place: Englishness, Empire and the Locations of Identity</w:t>
      </w:r>
      <w:r w:rsidR="00C242C0" w:rsidRPr="00047A9D">
        <w:rPr>
          <w:rFonts w:ascii="Times New Roman" w:hAnsi="Times New Roman" w:cs="Times New Roman"/>
          <w:sz w:val="22"/>
          <w:szCs w:val="22"/>
        </w:rPr>
        <w:t xml:space="preserve"> (Princeton: Princeton University Press, 1999), quoted in Jackson, ‘Ties that Bind’, p.</w:t>
      </w:r>
      <w:r w:rsidR="00B35EA1" w:rsidRPr="00047A9D">
        <w:rPr>
          <w:rFonts w:ascii="Times New Roman" w:hAnsi="Times New Roman" w:cs="Times New Roman"/>
          <w:sz w:val="22"/>
          <w:szCs w:val="22"/>
        </w:rPr>
        <w:t>126.</w:t>
      </w:r>
    </w:p>
  </w:footnote>
  <w:footnote w:id="396">
    <w:p w14:paraId="535CD14F" w14:textId="710DE24A" w:rsidR="00CF3E0A" w:rsidRPr="00047A9D" w:rsidRDefault="00CF3E0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35EA1" w:rsidRPr="00047A9D">
        <w:rPr>
          <w:rFonts w:ascii="Times New Roman" w:hAnsi="Times New Roman" w:cs="Times New Roman"/>
          <w:sz w:val="22"/>
          <w:szCs w:val="22"/>
        </w:rPr>
        <w:t>Jackson, ‘Ties that Bind’, p.128.</w:t>
      </w:r>
    </w:p>
  </w:footnote>
  <w:footnote w:id="397">
    <w:p w14:paraId="687CDCBA" w14:textId="1CFBD20D" w:rsidR="00B35EA1" w:rsidRPr="00047A9D" w:rsidRDefault="00B35EA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B0AB5" w:rsidRPr="00047A9D">
        <w:rPr>
          <w:rFonts w:ascii="Times New Roman" w:hAnsi="Times New Roman" w:cs="Times New Roman"/>
          <w:sz w:val="22"/>
          <w:szCs w:val="22"/>
        </w:rPr>
        <w:t>Jackson, ‘Ties that Bind’</w:t>
      </w:r>
      <w:r w:rsidR="000D189C" w:rsidRPr="00047A9D">
        <w:rPr>
          <w:rFonts w:ascii="Times New Roman" w:hAnsi="Times New Roman" w:cs="Times New Roman"/>
          <w:i/>
          <w:sz w:val="22"/>
          <w:szCs w:val="22"/>
        </w:rPr>
        <w:t xml:space="preserve">, </w:t>
      </w:r>
      <w:r w:rsidR="000D189C" w:rsidRPr="00047A9D">
        <w:rPr>
          <w:rFonts w:ascii="Times New Roman" w:hAnsi="Times New Roman" w:cs="Times New Roman"/>
          <w:sz w:val="22"/>
          <w:szCs w:val="22"/>
        </w:rPr>
        <w:t>p.118.</w:t>
      </w:r>
    </w:p>
  </w:footnote>
  <w:footnote w:id="398">
    <w:p w14:paraId="2DEDAD7F" w14:textId="5FEE55AE" w:rsidR="00CF5C97" w:rsidRPr="00047A9D" w:rsidRDefault="00CF5C9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7656E" w:rsidRPr="00047A9D">
        <w:rPr>
          <w:rFonts w:ascii="Times New Roman" w:hAnsi="Times New Roman" w:cs="Times New Roman"/>
          <w:sz w:val="22"/>
          <w:szCs w:val="22"/>
        </w:rPr>
        <w:t xml:space="preserve">Sivanandan, </w:t>
      </w:r>
      <w:r w:rsidR="00E57AB4" w:rsidRPr="00047A9D">
        <w:rPr>
          <w:rFonts w:ascii="Times New Roman" w:hAnsi="Times New Roman" w:cs="Times New Roman"/>
          <w:sz w:val="22"/>
          <w:szCs w:val="22"/>
        </w:rPr>
        <w:t>‘Catching History on the Wing</w:t>
      </w:r>
      <w:r w:rsidR="00F547A7" w:rsidRPr="00047A9D">
        <w:rPr>
          <w:rFonts w:ascii="Times New Roman" w:hAnsi="Times New Roman" w:cs="Times New Roman"/>
          <w:sz w:val="22"/>
          <w:szCs w:val="22"/>
        </w:rPr>
        <w:t>’.</w:t>
      </w:r>
    </w:p>
  </w:footnote>
  <w:footnote w:id="399">
    <w:p w14:paraId="3B48F9C7" w14:textId="00D58AC3" w:rsidR="00A27190" w:rsidRPr="00047A9D" w:rsidRDefault="00A2719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E7C97" w:rsidRPr="00047A9D">
        <w:rPr>
          <w:rFonts w:ascii="Times New Roman" w:hAnsi="Times New Roman" w:cs="Times New Roman"/>
          <w:sz w:val="22"/>
          <w:szCs w:val="22"/>
        </w:rPr>
        <w:t>Jackson, ‘Ties that Bind’, p.123.</w:t>
      </w:r>
    </w:p>
  </w:footnote>
  <w:footnote w:id="400">
    <w:p w14:paraId="04EEDDB8" w14:textId="01C44FCD" w:rsidR="005E0010" w:rsidRPr="00047A9D" w:rsidRDefault="005E001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Andrews</w:t>
      </w:r>
      <w:r w:rsidR="00F86B32" w:rsidRPr="00047A9D">
        <w:rPr>
          <w:rFonts w:ascii="Times New Roman" w:hAnsi="Times New Roman" w:cs="Times New Roman"/>
          <w:sz w:val="22"/>
          <w:szCs w:val="22"/>
        </w:rPr>
        <w:t xml:space="preserve">, </w:t>
      </w:r>
      <w:r w:rsidR="00F86B32" w:rsidRPr="00047A9D">
        <w:rPr>
          <w:rFonts w:ascii="Times New Roman" w:hAnsi="Times New Roman" w:cs="Times New Roman"/>
          <w:i/>
          <w:sz w:val="22"/>
          <w:szCs w:val="22"/>
        </w:rPr>
        <w:t>Resisting Racism</w:t>
      </w:r>
      <w:r w:rsidR="00340791">
        <w:rPr>
          <w:rFonts w:ascii="Times New Roman" w:hAnsi="Times New Roman" w:cs="Times New Roman"/>
          <w:iCs/>
          <w:sz w:val="22"/>
          <w:szCs w:val="22"/>
        </w:rPr>
        <w:t>,</w:t>
      </w:r>
      <w:r w:rsidR="00F86B32" w:rsidRPr="00047A9D">
        <w:rPr>
          <w:rFonts w:ascii="Times New Roman" w:hAnsi="Times New Roman" w:cs="Times New Roman"/>
          <w:sz w:val="22"/>
          <w:szCs w:val="22"/>
        </w:rPr>
        <w:t xml:space="preserve"> </w:t>
      </w:r>
      <w:r w:rsidRPr="00047A9D">
        <w:rPr>
          <w:rFonts w:ascii="Times New Roman" w:hAnsi="Times New Roman" w:cs="Times New Roman"/>
          <w:sz w:val="22"/>
          <w:szCs w:val="22"/>
        </w:rPr>
        <w:t>pp.51-52</w:t>
      </w:r>
    </w:p>
  </w:footnote>
  <w:footnote w:id="401">
    <w:p w14:paraId="230DC80A" w14:textId="3E69F93C" w:rsidR="008C4EBE" w:rsidRPr="00047A9D" w:rsidRDefault="008C4EB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F38A5" w:rsidRPr="00047A9D">
        <w:rPr>
          <w:rFonts w:ascii="Times New Roman" w:hAnsi="Times New Roman" w:cs="Times New Roman"/>
          <w:sz w:val="22"/>
          <w:szCs w:val="22"/>
        </w:rPr>
        <w:t xml:space="preserve">Mathew Thomson, </w:t>
      </w:r>
      <w:r w:rsidR="00EF38A5" w:rsidRPr="00047A9D">
        <w:rPr>
          <w:rFonts w:ascii="Times New Roman" w:hAnsi="Times New Roman" w:cs="Times New Roman"/>
          <w:i/>
          <w:sz w:val="22"/>
          <w:szCs w:val="22"/>
        </w:rPr>
        <w:t>Lost Freedom: The Landscape of the Child and the British Post-War Settlement</w:t>
      </w:r>
      <w:r w:rsidR="00EF38A5" w:rsidRPr="00047A9D">
        <w:rPr>
          <w:rFonts w:ascii="Times New Roman" w:hAnsi="Times New Roman" w:cs="Times New Roman"/>
          <w:sz w:val="22"/>
          <w:szCs w:val="22"/>
        </w:rPr>
        <w:t xml:space="preserve"> (Oxford: OUP, 2013), </w:t>
      </w:r>
      <w:r w:rsidR="006F7261" w:rsidRPr="00047A9D">
        <w:rPr>
          <w:rFonts w:ascii="Times New Roman" w:hAnsi="Times New Roman" w:cs="Times New Roman"/>
          <w:sz w:val="22"/>
          <w:szCs w:val="22"/>
        </w:rPr>
        <w:t>p</w:t>
      </w:r>
      <w:r w:rsidRPr="00047A9D">
        <w:rPr>
          <w:rFonts w:ascii="Times New Roman" w:hAnsi="Times New Roman" w:cs="Times New Roman"/>
          <w:sz w:val="22"/>
          <w:szCs w:val="22"/>
        </w:rPr>
        <w:t>.200</w:t>
      </w:r>
      <w:r w:rsidR="00751A3E" w:rsidRPr="00047A9D">
        <w:rPr>
          <w:rFonts w:ascii="Times New Roman" w:hAnsi="Times New Roman" w:cs="Times New Roman"/>
          <w:sz w:val="22"/>
          <w:szCs w:val="22"/>
        </w:rPr>
        <w:t>.</w:t>
      </w:r>
    </w:p>
  </w:footnote>
  <w:footnote w:id="402">
    <w:p w14:paraId="23D1E969" w14:textId="0B30D51C" w:rsidR="00D67A4E" w:rsidRPr="00047A9D" w:rsidRDefault="00D67A4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72EB2" w:rsidRPr="00047A9D">
        <w:rPr>
          <w:rFonts w:ascii="Times New Roman" w:hAnsi="Times New Roman" w:cs="Times New Roman"/>
          <w:sz w:val="22"/>
          <w:szCs w:val="22"/>
        </w:rPr>
        <w:t xml:space="preserve">See </w:t>
      </w:r>
      <w:r w:rsidR="00D500A5" w:rsidRPr="00047A9D">
        <w:rPr>
          <w:rFonts w:ascii="Times New Roman" w:hAnsi="Times New Roman" w:cs="Times New Roman"/>
          <w:sz w:val="22"/>
          <w:szCs w:val="22"/>
        </w:rPr>
        <w:t xml:space="preserve">Thomson, </w:t>
      </w:r>
      <w:r w:rsidR="00D500A5" w:rsidRPr="00047A9D">
        <w:rPr>
          <w:rFonts w:ascii="Times New Roman" w:hAnsi="Times New Roman" w:cs="Times New Roman"/>
          <w:i/>
          <w:sz w:val="22"/>
          <w:szCs w:val="22"/>
        </w:rPr>
        <w:t>Lost Freedom</w:t>
      </w:r>
      <w:r w:rsidR="00272EB2" w:rsidRPr="00047A9D">
        <w:rPr>
          <w:rFonts w:ascii="Times New Roman" w:hAnsi="Times New Roman" w:cs="Times New Roman"/>
          <w:i/>
          <w:sz w:val="22"/>
          <w:szCs w:val="22"/>
        </w:rPr>
        <w:t xml:space="preserve">; </w:t>
      </w:r>
      <w:r w:rsidR="00272EB2" w:rsidRPr="00047A9D">
        <w:rPr>
          <w:rFonts w:ascii="Times New Roman" w:hAnsi="Times New Roman" w:cs="Times New Roman"/>
          <w:sz w:val="22"/>
          <w:szCs w:val="22"/>
        </w:rPr>
        <w:t>and Bhargava,</w:t>
      </w:r>
      <w:r w:rsidR="000432A4" w:rsidRPr="00047A9D">
        <w:rPr>
          <w:rFonts w:ascii="Times New Roman" w:hAnsi="Times New Roman" w:cs="Times New Roman"/>
          <w:sz w:val="22"/>
          <w:szCs w:val="22"/>
        </w:rPr>
        <w:t xml:space="preserve"> ‘</w:t>
      </w:r>
      <w:r w:rsidR="00044E24" w:rsidRPr="00047A9D">
        <w:rPr>
          <w:rFonts w:ascii="Times New Roman" w:hAnsi="Times New Roman" w:cs="Times New Roman"/>
          <w:sz w:val="22"/>
          <w:szCs w:val="22"/>
        </w:rPr>
        <w:t>All Adults Are Paper Tigers</w:t>
      </w:r>
      <w:r w:rsidR="000432A4" w:rsidRPr="00047A9D">
        <w:rPr>
          <w:rFonts w:ascii="Times New Roman" w:hAnsi="Times New Roman" w:cs="Times New Roman"/>
          <w:sz w:val="22"/>
          <w:szCs w:val="22"/>
        </w:rPr>
        <w:t>’</w:t>
      </w:r>
      <w:r w:rsidR="00744303" w:rsidRPr="00047A9D">
        <w:rPr>
          <w:rFonts w:ascii="Times New Roman" w:hAnsi="Times New Roman" w:cs="Times New Roman"/>
          <w:sz w:val="22"/>
          <w:szCs w:val="22"/>
        </w:rPr>
        <w:t>.</w:t>
      </w:r>
    </w:p>
  </w:footnote>
  <w:footnote w:id="403">
    <w:p w14:paraId="7B9497A9" w14:textId="2A193CD2" w:rsidR="00EE606F" w:rsidRPr="00047A9D" w:rsidRDefault="00EE606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141F3" w:rsidRPr="00047A9D">
        <w:rPr>
          <w:rFonts w:ascii="Times New Roman" w:hAnsi="Times New Roman" w:cs="Times New Roman"/>
          <w:sz w:val="22"/>
          <w:szCs w:val="22"/>
        </w:rPr>
        <w:t xml:space="preserve">Thomson, </w:t>
      </w:r>
      <w:r w:rsidR="00E141F3" w:rsidRPr="00047A9D">
        <w:rPr>
          <w:rFonts w:ascii="Times New Roman" w:hAnsi="Times New Roman" w:cs="Times New Roman"/>
          <w:i/>
          <w:sz w:val="22"/>
          <w:szCs w:val="22"/>
        </w:rPr>
        <w:t xml:space="preserve">Lost Freedom, </w:t>
      </w:r>
      <w:r w:rsidR="00E141F3" w:rsidRPr="00047A9D">
        <w:rPr>
          <w:rFonts w:ascii="Times New Roman" w:hAnsi="Times New Roman" w:cs="Times New Roman"/>
          <w:sz w:val="22"/>
          <w:szCs w:val="22"/>
        </w:rPr>
        <w:t>p</w:t>
      </w:r>
      <w:r w:rsidRPr="00047A9D">
        <w:rPr>
          <w:rFonts w:ascii="Times New Roman" w:hAnsi="Times New Roman" w:cs="Times New Roman"/>
          <w:sz w:val="22"/>
          <w:szCs w:val="22"/>
        </w:rPr>
        <w:t>.202</w:t>
      </w:r>
      <w:r w:rsidR="00557938" w:rsidRPr="00047A9D">
        <w:rPr>
          <w:rFonts w:ascii="Times New Roman" w:hAnsi="Times New Roman" w:cs="Times New Roman"/>
          <w:sz w:val="22"/>
          <w:szCs w:val="22"/>
        </w:rPr>
        <w:t>.</w:t>
      </w:r>
    </w:p>
  </w:footnote>
  <w:footnote w:id="404">
    <w:p w14:paraId="5D4E3237" w14:textId="624CF74B" w:rsidR="00B17B4E" w:rsidRPr="00047A9D" w:rsidRDefault="00B17B4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George Padmore Institute (hereafter ‘GPI’): </w:t>
      </w:r>
      <w:r w:rsidR="0034135F" w:rsidRPr="00047A9D">
        <w:rPr>
          <w:rFonts w:ascii="Times New Roman" w:hAnsi="Times New Roman" w:cs="Times New Roman"/>
          <w:i/>
          <w:sz w:val="22"/>
          <w:szCs w:val="22"/>
        </w:rPr>
        <w:t>New Beacon Books: General Catalogue</w:t>
      </w:r>
      <w:r w:rsidR="00050F4C" w:rsidRPr="00047A9D">
        <w:rPr>
          <w:rFonts w:ascii="Times New Roman" w:hAnsi="Times New Roman" w:cs="Times New Roman"/>
          <w:sz w:val="22"/>
          <w:szCs w:val="22"/>
        </w:rPr>
        <w:t xml:space="preserve"> (</w:t>
      </w:r>
      <w:r w:rsidR="0011420F" w:rsidRPr="00047A9D">
        <w:rPr>
          <w:rFonts w:ascii="Times New Roman" w:hAnsi="Times New Roman" w:cs="Times New Roman"/>
          <w:sz w:val="22"/>
          <w:szCs w:val="22"/>
        </w:rPr>
        <w:t>1976</w:t>
      </w:r>
      <w:r w:rsidR="00050F4C" w:rsidRPr="00047A9D">
        <w:rPr>
          <w:rFonts w:ascii="Times New Roman" w:hAnsi="Times New Roman" w:cs="Times New Roman"/>
          <w:sz w:val="22"/>
          <w:szCs w:val="22"/>
        </w:rPr>
        <w:t>)</w:t>
      </w:r>
      <w:r w:rsidR="0011420F" w:rsidRPr="00047A9D">
        <w:rPr>
          <w:rFonts w:ascii="Times New Roman" w:hAnsi="Times New Roman" w:cs="Times New Roman"/>
          <w:sz w:val="22"/>
          <w:szCs w:val="22"/>
        </w:rPr>
        <w:t>,</w:t>
      </w:r>
      <w:r w:rsidR="00190C60" w:rsidRPr="00047A9D">
        <w:rPr>
          <w:rFonts w:ascii="Times New Roman" w:hAnsi="Times New Roman" w:cs="Times New Roman"/>
          <w:sz w:val="22"/>
          <w:szCs w:val="22"/>
        </w:rPr>
        <w:t xml:space="preserve"> p.43,</w:t>
      </w:r>
      <w:r w:rsidR="00FD1AF4" w:rsidRPr="00047A9D">
        <w:rPr>
          <w:rFonts w:ascii="Times New Roman" w:hAnsi="Times New Roman" w:cs="Times New Roman"/>
          <w:sz w:val="22"/>
          <w:szCs w:val="22"/>
        </w:rPr>
        <w:t xml:space="preserve"> BEM 3/1/5/2</w:t>
      </w:r>
      <w:r w:rsidR="0097140B" w:rsidRPr="00047A9D">
        <w:rPr>
          <w:rFonts w:ascii="Times New Roman" w:hAnsi="Times New Roman" w:cs="Times New Roman"/>
          <w:sz w:val="22"/>
          <w:szCs w:val="22"/>
        </w:rPr>
        <w:t>.</w:t>
      </w:r>
    </w:p>
  </w:footnote>
  <w:footnote w:id="405">
    <w:p w14:paraId="130A8A52" w14:textId="4C0DBFE4" w:rsidR="000D2B5D" w:rsidRPr="00047A9D" w:rsidRDefault="000D2B5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10E04" w:rsidRPr="00047A9D">
        <w:rPr>
          <w:rFonts w:ascii="Times New Roman" w:hAnsi="Times New Roman" w:cs="Times New Roman"/>
          <w:sz w:val="22"/>
          <w:szCs w:val="22"/>
        </w:rPr>
        <w:t xml:space="preserve">Billy Colville and Dave Marson, </w:t>
      </w:r>
      <w:r w:rsidR="001E58C7" w:rsidRPr="00047A9D">
        <w:rPr>
          <w:rFonts w:ascii="Times New Roman" w:hAnsi="Times New Roman" w:cs="Times New Roman"/>
          <w:i/>
          <w:sz w:val="22"/>
          <w:szCs w:val="22"/>
        </w:rPr>
        <w:t xml:space="preserve">Fall in and Follow Me: A Play about the </w:t>
      </w:r>
      <w:r w:rsidR="00D10E04" w:rsidRPr="00047A9D">
        <w:rPr>
          <w:rFonts w:ascii="Times New Roman" w:hAnsi="Times New Roman" w:cs="Times New Roman"/>
          <w:i/>
          <w:sz w:val="22"/>
          <w:szCs w:val="22"/>
        </w:rPr>
        <w:t>Children’s</w:t>
      </w:r>
      <w:r w:rsidR="001E58C7" w:rsidRPr="00047A9D">
        <w:rPr>
          <w:rFonts w:ascii="Times New Roman" w:hAnsi="Times New Roman" w:cs="Times New Roman"/>
          <w:i/>
          <w:sz w:val="22"/>
          <w:szCs w:val="22"/>
        </w:rPr>
        <w:t xml:space="preserve"> Strike of 1911 as Performed at the Half Moon Theatre, Whitechapel, 10th-27th July 1973</w:t>
      </w:r>
      <w:r w:rsidR="001E58C7" w:rsidRPr="00047A9D">
        <w:rPr>
          <w:rFonts w:ascii="Times New Roman" w:hAnsi="Times New Roman" w:cs="Times New Roman"/>
          <w:sz w:val="22"/>
          <w:szCs w:val="22"/>
        </w:rPr>
        <w:t>, History Workshop Pamphlet Number Thirteen,</w:t>
      </w:r>
      <w:r w:rsidR="00070817" w:rsidRPr="00047A9D">
        <w:rPr>
          <w:rFonts w:ascii="Times New Roman" w:hAnsi="Times New Roman" w:cs="Times New Roman"/>
          <w:sz w:val="22"/>
          <w:szCs w:val="22"/>
        </w:rPr>
        <w:t xml:space="preserve"> 1973</w:t>
      </w:r>
      <w:r w:rsidR="00EB734E" w:rsidRPr="00047A9D">
        <w:rPr>
          <w:rFonts w:ascii="Times New Roman" w:hAnsi="Times New Roman" w:cs="Times New Roman"/>
          <w:sz w:val="22"/>
          <w:szCs w:val="22"/>
        </w:rPr>
        <w:t>,</w:t>
      </w:r>
      <w:r w:rsidR="00D10E04" w:rsidRPr="00047A9D">
        <w:rPr>
          <w:rFonts w:ascii="Times New Roman" w:hAnsi="Times New Roman" w:cs="Times New Roman"/>
          <w:sz w:val="22"/>
          <w:szCs w:val="22"/>
        </w:rPr>
        <w:t xml:space="preserve"> </w:t>
      </w:r>
      <w:r w:rsidR="006D48BC" w:rsidRPr="00047A9D">
        <w:rPr>
          <w:rFonts w:ascii="Times New Roman" w:hAnsi="Times New Roman" w:cs="Times New Roman"/>
          <w:sz w:val="22"/>
          <w:szCs w:val="22"/>
        </w:rPr>
        <w:t>n.p</w:t>
      </w:r>
      <w:r w:rsidR="00EB734E" w:rsidRPr="00047A9D">
        <w:rPr>
          <w:rFonts w:ascii="Times New Roman" w:hAnsi="Times New Roman" w:cs="Times New Roman"/>
          <w:sz w:val="22"/>
          <w:szCs w:val="22"/>
        </w:rPr>
        <w:t xml:space="preserve"> &lt;</w:t>
      </w:r>
      <w:r w:rsidR="0027150E" w:rsidRPr="00047A9D">
        <w:rPr>
          <w:rFonts w:ascii="Times New Roman" w:hAnsi="Times New Roman" w:cs="Times New Roman"/>
          <w:sz w:val="22"/>
          <w:szCs w:val="22"/>
        </w:rPr>
        <w:t xml:space="preserve">https://www.stagesofhalfmoon.org.uk/wp-content/uploads/2016/05/Fall-In-and-Follow-Me-Script.pdf&gt; </w:t>
      </w:r>
      <w:r w:rsidR="004D3EA9" w:rsidRPr="00047A9D">
        <w:rPr>
          <w:rFonts w:ascii="Times New Roman" w:hAnsi="Times New Roman" w:cs="Times New Roman"/>
          <w:sz w:val="22"/>
          <w:szCs w:val="22"/>
        </w:rPr>
        <w:t>[</w:t>
      </w:r>
      <w:r w:rsidR="0027150E" w:rsidRPr="00047A9D">
        <w:rPr>
          <w:rFonts w:ascii="Times New Roman" w:hAnsi="Times New Roman" w:cs="Times New Roman"/>
          <w:sz w:val="22"/>
          <w:szCs w:val="22"/>
        </w:rPr>
        <w:t>accessed 26 June 2023</w:t>
      </w:r>
      <w:r w:rsidR="004D3EA9" w:rsidRPr="00047A9D">
        <w:rPr>
          <w:rFonts w:ascii="Times New Roman" w:hAnsi="Times New Roman" w:cs="Times New Roman"/>
          <w:sz w:val="22"/>
          <w:szCs w:val="22"/>
        </w:rPr>
        <w:t>]</w:t>
      </w:r>
      <w:r w:rsidR="0027150E" w:rsidRPr="00047A9D">
        <w:rPr>
          <w:rFonts w:ascii="Times New Roman" w:hAnsi="Times New Roman" w:cs="Times New Roman"/>
          <w:sz w:val="22"/>
          <w:szCs w:val="22"/>
        </w:rPr>
        <w:t>.</w:t>
      </w:r>
    </w:p>
  </w:footnote>
  <w:footnote w:id="406">
    <w:p w14:paraId="12771264" w14:textId="44CBE668" w:rsidR="00C97FA4" w:rsidRPr="00047A9D" w:rsidRDefault="00C97FA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Carolyn Steedman, ‘State Sponsored Autobiography’, in Becky Conekin, Frank Mort, and Chris Walters (eds), </w:t>
      </w:r>
      <w:r w:rsidRPr="00047A9D">
        <w:rPr>
          <w:rFonts w:ascii="Times New Roman" w:hAnsi="Times New Roman" w:cs="Times New Roman"/>
          <w:i/>
          <w:sz w:val="22"/>
          <w:szCs w:val="22"/>
        </w:rPr>
        <w:t>Moments of Modernity: Reconstructing Britain, 1945-1964</w:t>
      </w:r>
      <w:r w:rsidRPr="00047A9D">
        <w:rPr>
          <w:rFonts w:ascii="Times New Roman" w:hAnsi="Times New Roman" w:cs="Times New Roman"/>
          <w:sz w:val="22"/>
          <w:szCs w:val="22"/>
        </w:rPr>
        <w:t xml:space="preserve"> (London: Rivers Oram, 1999), 41-54.</w:t>
      </w:r>
    </w:p>
  </w:footnote>
  <w:footnote w:id="407">
    <w:p w14:paraId="52E9CD90" w14:textId="2D39D284" w:rsidR="003141AB" w:rsidRPr="00047A9D" w:rsidRDefault="003141A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C2C97" w:rsidRPr="00047A9D">
        <w:rPr>
          <w:rFonts w:ascii="Times New Roman" w:hAnsi="Times New Roman" w:cs="Times New Roman"/>
          <w:sz w:val="22"/>
          <w:szCs w:val="22"/>
        </w:rPr>
        <w:t xml:space="preserve">Steedman, ‘State Sponsored Autobiography’, in Conekin, Mort, and Walters (eds), </w:t>
      </w:r>
      <w:r w:rsidR="003C2C97" w:rsidRPr="00047A9D">
        <w:rPr>
          <w:rFonts w:ascii="Times New Roman" w:hAnsi="Times New Roman" w:cs="Times New Roman"/>
          <w:i/>
          <w:sz w:val="22"/>
          <w:szCs w:val="22"/>
        </w:rPr>
        <w:t>Moments of Modernity</w:t>
      </w:r>
      <w:r w:rsidR="00B83A00" w:rsidRPr="00047A9D">
        <w:rPr>
          <w:rFonts w:ascii="Times New Roman" w:hAnsi="Times New Roman" w:cs="Times New Roman"/>
          <w:i/>
          <w:sz w:val="22"/>
          <w:szCs w:val="22"/>
        </w:rPr>
        <w:t xml:space="preserve">, </w:t>
      </w:r>
      <w:r w:rsidR="003853F8" w:rsidRPr="00047A9D">
        <w:rPr>
          <w:rFonts w:ascii="Times New Roman" w:hAnsi="Times New Roman" w:cs="Times New Roman"/>
          <w:sz w:val="22"/>
          <w:szCs w:val="22"/>
        </w:rPr>
        <w:t>p.49</w:t>
      </w:r>
      <w:r w:rsidR="00756E00" w:rsidRPr="00047A9D">
        <w:rPr>
          <w:rFonts w:ascii="Times New Roman" w:hAnsi="Times New Roman" w:cs="Times New Roman"/>
          <w:sz w:val="22"/>
          <w:szCs w:val="22"/>
        </w:rPr>
        <w:t xml:space="preserve">; Thomson, </w:t>
      </w:r>
      <w:r w:rsidR="00756E00" w:rsidRPr="00047A9D">
        <w:rPr>
          <w:rFonts w:ascii="Times New Roman" w:hAnsi="Times New Roman" w:cs="Times New Roman"/>
          <w:i/>
          <w:sz w:val="22"/>
          <w:szCs w:val="22"/>
        </w:rPr>
        <w:t xml:space="preserve">Lost </w:t>
      </w:r>
      <w:r w:rsidR="00CD2405" w:rsidRPr="00047A9D">
        <w:rPr>
          <w:rFonts w:ascii="Times New Roman" w:hAnsi="Times New Roman" w:cs="Times New Roman"/>
          <w:i/>
          <w:sz w:val="22"/>
          <w:szCs w:val="22"/>
        </w:rPr>
        <w:t>F</w:t>
      </w:r>
      <w:r w:rsidR="00756E00" w:rsidRPr="00047A9D">
        <w:rPr>
          <w:rFonts w:ascii="Times New Roman" w:hAnsi="Times New Roman" w:cs="Times New Roman"/>
          <w:i/>
          <w:sz w:val="22"/>
          <w:szCs w:val="22"/>
        </w:rPr>
        <w:t xml:space="preserve">reedom, </w:t>
      </w:r>
      <w:r w:rsidR="00756E00" w:rsidRPr="00047A9D">
        <w:rPr>
          <w:rFonts w:ascii="Times New Roman" w:hAnsi="Times New Roman" w:cs="Times New Roman"/>
          <w:sz w:val="22"/>
          <w:szCs w:val="22"/>
        </w:rPr>
        <w:t>p.194.</w:t>
      </w:r>
    </w:p>
  </w:footnote>
  <w:footnote w:id="408">
    <w:p w14:paraId="30AE5937" w14:textId="3D012A2F" w:rsidR="000F2B94" w:rsidRPr="00047A9D" w:rsidRDefault="000F2B9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83A00" w:rsidRPr="00047A9D">
        <w:rPr>
          <w:rFonts w:ascii="Times New Roman" w:hAnsi="Times New Roman" w:cs="Times New Roman"/>
          <w:sz w:val="22"/>
          <w:szCs w:val="22"/>
        </w:rPr>
        <w:t xml:space="preserve">Waters, </w:t>
      </w:r>
      <w:r w:rsidR="00B83A00" w:rsidRPr="00047A9D">
        <w:rPr>
          <w:rFonts w:ascii="Times New Roman" w:hAnsi="Times New Roman" w:cs="Times New Roman"/>
          <w:i/>
          <w:sz w:val="22"/>
          <w:szCs w:val="22"/>
        </w:rPr>
        <w:t>Thinking Black</w:t>
      </w:r>
      <w:r w:rsidR="007A0B2A" w:rsidRPr="00047A9D">
        <w:rPr>
          <w:rFonts w:ascii="Times New Roman" w:hAnsi="Times New Roman" w:cs="Times New Roman"/>
          <w:sz w:val="22"/>
          <w:szCs w:val="22"/>
        </w:rPr>
        <w:t>, p</w:t>
      </w:r>
      <w:r w:rsidR="00B83A00" w:rsidRPr="00047A9D">
        <w:rPr>
          <w:rFonts w:ascii="Times New Roman" w:hAnsi="Times New Roman" w:cs="Times New Roman"/>
          <w:sz w:val="22"/>
          <w:szCs w:val="22"/>
        </w:rPr>
        <w:t>.146</w:t>
      </w:r>
      <w:r w:rsidR="007A0B2A" w:rsidRPr="00047A9D">
        <w:rPr>
          <w:rFonts w:ascii="Times New Roman" w:hAnsi="Times New Roman" w:cs="Times New Roman"/>
          <w:sz w:val="22"/>
          <w:szCs w:val="22"/>
        </w:rPr>
        <w:t>.</w:t>
      </w:r>
    </w:p>
  </w:footnote>
  <w:footnote w:id="409">
    <w:p w14:paraId="78AAEDE7" w14:textId="1F36663C" w:rsidR="00A04F41" w:rsidRPr="00047A9D" w:rsidRDefault="00A04F4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93F66" w:rsidRPr="00047A9D">
        <w:rPr>
          <w:rFonts w:ascii="Times New Roman" w:hAnsi="Times New Roman" w:cs="Times New Roman"/>
          <w:sz w:val="22"/>
          <w:szCs w:val="22"/>
        </w:rPr>
        <w:t>Drayton, ‘Secondary Decolonisation</w:t>
      </w:r>
      <w:r w:rsidR="00516655" w:rsidRPr="00047A9D">
        <w:rPr>
          <w:rFonts w:ascii="Times New Roman" w:hAnsi="Times New Roman" w:cs="Times New Roman"/>
          <w:sz w:val="22"/>
          <w:szCs w:val="22"/>
        </w:rPr>
        <w:t>’,</w:t>
      </w:r>
      <w:r w:rsidR="00A93F66" w:rsidRPr="00047A9D">
        <w:rPr>
          <w:rFonts w:ascii="Times New Roman" w:hAnsi="Times New Roman" w:cs="Times New Roman"/>
          <w:sz w:val="22"/>
          <w:szCs w:val="22"/>
        </w:rPr>
        <w:t xml:space="preserve"> p.118.</w:t>
      </w:r>
    </w:p>
  </w:footnote>
  <w:footnote w:id="410">
    <w:p w14:paraId="708587C7" w14:textId="5C9B41E7" w:rsidR="00C25467" w:rsidRPr="00047A9D" w:rsidRDefault="00C2546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91665" w:rsidRPr="00047A9D">
        <w:rPr>
          <w:rFonts w:ascii="Times New Roman" w:hAnsi="Times New Roman" w:cs="Times New Roman"/>
          <w:sz w:val="22"/>
          <w:szCs w:val="22"/>
        </w:rPr>
        <w:t xml:space="preserve">Waters, </w:t>
      </w:r>
      <w:r w:rsidR="00891665" w:rsidRPr="00047A9D">
        <w:rPr>
          <w:rFonts w:ascii="Times New Roman" w:hAnsi="Times New Roman" w:cs="Times New Roman"/>
          <w:i/>
          <w:sz w:val="22"/>
          <w:szCs w:val="22"/>
        </w:rPr>
        <w:t>Thinking Black</w:t>
      </w:r>
      <w:r w:rsidR="0079599B" w:rsidRPr="00047A9D">
        <w:rPr>
          <w:rFonts w:ascii="Times New Roman" w:hAnsi="Times New Roman" w:cs="Times New Roman"/>
          <w:i/>
          <w:sz w:val="22"/>
          <w:szCs w:val="22"/>
        </w:rPr>
        <w:t xml:space="preserve">, </w:t>
      </w:r>
      <w:r w:rsidR="0079599B" w:rsidRPr="00047A9D">
        <w:rPr>
          <w:rFonts w:ascii="Times New Roman" w:hAnsi="Times New Roman" w:cs="Times New Roman"/>
          <w:sz w:val="22"/>
          <w:szCs w:val="22"/>
        </w:rPr>
        <w:t>pp.146-47.</w:t>
      </w:r>
    </w:p>
  </w:footnote>
  <w:footnote w:id="411">
    <w:p w14:paraId="06AC4F3C" w14:textId="6396B6F5" w:rsidR="005133C8" w:rsidRPr="00047A9D" w:rsidRDefault="005133C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70FAC" w:rsidRPr="00047A9D">
        <w:rPr>
          <w:rFonts w:ascii="Times New Roman" w:hAnsi="Times New Roman" w:cs="Times New Roman"/>
          <w:sz w:val="22"/>
          <w:szCs w:val="22"/>
        </w:rPr>
        <w:t xml:space="preserve">Andrews, </w:t>
      </w:r>
      <w:r w:rsidR="00070FAC" w:rsidRPr="00047A9D">
        <w:rPr>
          <w:rFonts w:ascii="Times New Roman" w:hAnsi="Times New Roman" w:cs="Times New Roman"/>
          <w:i/>
          <w:sz w:val="22"/>
          <w:szCs w:val="22"/>
        </w:rPr>
        <w:t xml:space="preserve">Resisting Racism, </w:t>
      </w:r>
      <w:r w:rsidR="00070FAC" w:rsidRPr="00047A9D">
        <w:rPr>
          <w:rFonts w:ascii="Times New Roman" w:hAnsi="Times New Roman" w:cs="Times New Roman"/>
          <w:sz w:val="22"/>
          <w:szCs w:val="22"/>
        </w:rPr>
        <w:t>p</w:t>
      </w:r>
      <w:r w:rsidR="00AC33B9" w:rsidRPr="00047A9D">
        <w:rPr>
          <w:rFonts w:ascii="Times New Roman" w:hAnsi="Times New Roman" w:cs="Times New Roman"/>
          <w:sz w:val="22"/>
          <w:szCs w:val="22"/>
        </w:rPr>
        <w:t>p</w:t>
      </w:r>
      <w:r w:rsidR="00070FAC" w:rsidRPr="00047A9D">
        <w:rPr>
          <w:rFonts w:ascii="Times New Roman" w:hAnsi="Times New Roman" w:cs="Times New Roman"/>
          <w:sz w:val="22"/>
          <w:szCs w:val="22"/>
        </w:rPr>
        <w:t>.</w:t>
      </w:r>
      <w:r w:rsidR="002C4788" w:rsidRPr="00047A9D">
        <w:rPr>
          <w:rFonts w:ascii="Times New Roman" w:hAnsi="Times New Roman" w:cs="Times New Roman"/>
          <w:sz w:val="22"/>
          <w:szCs w:val="22"/>
        </w:rPr>
        <w:t>18-</w:t>
      </w:r>
      <w:r w:rsidR="0047359A" w:rsidRPr="00047A9D">
        <w:rPr>
          <w:rFonts w:ascii="Times New Roman" w:hAnsi="Times New Roman" w:cs="Times New Roman"/>
          <w:sz w:val="22"/>
          <w:szCs w:val="22"/>
        </w:rPr>
        <w:t>19</w:t>
      </w:r>
      <w:r w:rsidR="002C4788" w:rsidRPr="00047A9D">
        <w:rPr>
          <w:rFonts w:ascii="Times New Roman" w:hAnsi="Times New Roman" w:cs="Times New Roman"/>
          <w:sz w:val="22"/>
          <w:szCs w:val="22"/>
        </w:rPr>
        <w:t>, 51</w:t>
      </w:r>
      <w:r w:rsidR="0047359A" w:rsidRPr="00047A9D">
        <w:rPr>
          <w:rFonts w:ascii="Times New Roman" w:hAnsi="Times New Roman" w:cs="Times New Roman"/>
          <w:sz w:val="22"/>
          <w:szCs w:val="22"/>
        </w:rPr>
        <w:t>.</w:t>
      </w:r>
    </w:p>
  </w:footnote>
  <w:footnote w:id="412">
    <w:p w14:paraId="1C337881" w14:textId="64D8EF82" w:rsidR="00141368" w:rsidRPr="00047A9D" w:rsidRDefault="0014136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615EB" w:rsidRPr="00047A9D">
        <w:rPr>
          <w:rFonts w:ascii="Times New Roman" w:hAnsi="Times New Roman" w:cs="Times New Roman"/>
          <w:sz w:val="22"/>
          <w:szCs w:val="22"/>
        </w:rPr>
        <w:t xml:space="preserve">GPI: </w:t>
      </w:r>
      <w:r w:rsidR="008A1B43" w:rsidRPr="00047A9D">
        <w:rPr>
          <w:rFonts w:ascii="Times New Roman" w:hAnsi="Times New Roman" w:cs="Times New Roman"/>
          <w:sz w:val="22"/>
          <w:szCs w:val="22"/>
        </w:rPr>
        <w:t>‘Dictation</w:t>
      </w:r>
      <w:r w:rsidR="004E40D1" w:rsidRPr="00047A9D">
        <w:rPr>
          <w:rFonts w:ascii="Times New Roman" w:hAnsi="Times New Roman" w:cs="Times New Roman"/>
          <w:sz w:val="22"/>
          <w:szCs w:val="22"/>
        </w:rPr>
        <w:t>: 14.01.77</w:t>
      </w:r>
      <w:r w:rsidR="008A1B43" w:rsidRPr="00047A9D">
        <w:rPr>
          <w:rFonts w:ascii="Times New Roman" w:hAnsi="Times New Roman" w:cs="Times New Roman"/>
          <w:sz w:val="22"/>
          <w:szCs w:val="22"/>
        </w:rPr>
        <w:t>’,</w:t>
      </w:r>
      <w:r w:rsidR="00050F4C" w:rsidRPr="00047A9D">
        <w:rPr>
          <w:rFonts w:ascii="Times New Roman" w:hAnsi="Times New Roman" w:cs="Times New Roman"/>
          <w:sz w:val="22"/>
          <w:szCs w:val="22"/>
        </w:rPr>
        <w:t xml:space="preserve"> 1977,</w:t>
      </w:r>
      <w:r w:rsidR="008A1B43" w:rsidRPr="00047A9D">
        <w:rPr>
          <w:rFonts w:ascii="Times New Roman" w:hAnsi="Times New Roman" w:cs="Times New Roman"/>
          <w:sz w:val="22"/>
          <w:szCs w:val="22"/>
        </w:rPr>
        <w:t xml:space="preserve"> </w:t>
      </w:r>
      <w:r w:rsidR="006B7D0E" w:rsidRPr="00047A9D">
        <w:rPr>
          <w:rFonts w:ascii="Times New Roman" w:hAnsi="Times New Roman" w:cs="Times New Roman"/>
          <w:sz w:val="22"/>
          <w:szCs w:val="22"/>
        </w:rPr>
        <w:t>BEM 3/1/6/2</w:t>
      </w:r>
      <w:r w:rsidR="005B6E1A" w:rsidRPr="00047A9D">
        <w:rPr>
          <w:rFonts w:ascii="Times New Roman" w:hAnsi="Times New Roman" w:cs="Times New Roman"/>
          <w:sz w:val="22"/>
          <w:szCs w:val="22"/>
        </w:rPr>
        <w:t xml:space="preserve">; </w:t>
      </w:r>
      <w:r w:rsidR="007E5BF7" w:rsidRPr="00047A9D">
        <w:rPr>
          <w:rFonts w:ascii="Times New Roman" w:hAnsi="Times New Roman" w:cs="Times New Roman"/>
          <w:sz w:val="22"/>
          <w:szCs w:val="22"/>
        </w:rPr>
        <w:t xml:space="preserve">Dummett, </w:t>
      </w:r>
      <w:r w:rsidR="007E5BF7" w:rsidRPr="00047A9D">
        <w:rPr>
          <w:rFonts w:ascii="Times New Roman" w:hAnsi="Times New Roman" w:cs="Times New Roman"/>
          <w:i/>
          <w:sz w:val="22"/>
          <w:szCs w:val="22"/>
        </w:rPr>
        <w:t>English Racism</w:t>
      </w:r>
      <w:r w:rsidR="007E5BF7" w:rsidRPr="00047A9D">
        <w:rPr>
          <w:rFonts w:ascii="Times New Roman" w:hAnsi="Times New Roman" w:cs="Times New Roman"/>
          <w:sz w:val="22"/>
          <w:szCs w:val="22"/>
        </w:rPr>
        <w:t>, p.262.</w:t>
      </w:r>
    </w:p>
  </w:footnote>
  <w:footnote w:id="413">
    <w:p w14:paraId="716234AF" w14:textId="7A1D8C9A" w:rsidR="00190C60" w:rsidRPr="00047A9D" w:rsidRDefault="00190C6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13A90" w:rsidRPr="00047A9D">
        <w:rPr>
          <w:rFonts w:ascii="Times New Roman" w:hAnsi="Times New Roman" w:cs="Times New Roman"/>
          <w:sz w:val="22"/>
          <w:szCs w:val="22"/>
        </w:rPr>
        <w:t>GPI: ‘George Padmore School Spelling Test</w:t>
      </w:r>
      <w:r w:rsidR="00643B55" w:rsidRPr="00047A9D">
        <w:rPr>
          <w:rFonts w:ascii="Times New Roman" w:hAnsi="Times New Roman" w:cs="Times New Roman"/>
          <w:sz w:val="22"/>
          <w:szCs w:val="22"/>
        </w:rPr>
        <w:t xml:space="preserve">: </w:t>
      </w:r>
      <w:r w:rsidR="00113A90" w:rsidRPr="00047A9D">
        <w:rPr>
          <w:rFonts w:ascii="Times New Roman" w:hAnsi="Times New Roman" w:cs="Times New Roman"/>
          <w:sz w:val="22"/>
          <w:szCs w:val="22"/>
        </w:rPr>
        <w:t>Sat 7/5/77’</w:t>
      </w:r>
      <w:r w:rsidR="00A77455">
        <w:rPr>
          <w:rFonts w:ascii="Times New Roman" w:hAnsi="Times New Roman" w:cs="Times New Roman"/>
          <w:sz w:val="22"/>
          <w:szCs w:val="22"/>
        </w:rPr>
        <w:t xml:space="preserve">, </w:t>
      </w:r>
      <w:r w:rsidR="00050F4C" w:rsidRPr="00047A9D">
        <w:rPr>
          <w:rFonts w:ascii="Times New Roman" w:hAnsi="Times New Roman" w:cs="Times New Roman"/>
          <w:sz w:val="22"/>
          <w:szCs w:val="22"/>
        </w:rPr>
        <w:t>1977</w:t>
      </w:r>
      <w:r w:rsidR="00343AF2" w:rsidRPr="00047A9D">
        <w:rPr>
          <w:rFonts w:ascii="Times New Roman" w:hAnsi="Times New Roman" w:cs="Times New Roman"/>
          <w:sz w:val="22"/>
          <w:szCs w:val="22"/>
        </w:rPr>
        <w:t>,</w:t>
      </w:r>
      <w:r w:rsidR="00113A90" w:rsidRPr="00047A9D">
        <w:rPr>
          <w:rFonts w:ascii="Times New Roman" w:hAnsi="Times New Roman" w:cs="Times New Roman"/>
          <w:sz w:val="22"/>
          <w:szCs w:val="22"/>
        </w:rPr>
        <w:t xml:space="preserve"> BEM 3/1/6/5</w:t>
      </w:r>
      <w:r w:rsidR="0081741F" w:rsidRPr="00047A9D">
        <w:rPr>
          <w:rFonts w:ascii="Times New Roman" w:hAnsi="Times New Roman" w:cs="Times New Roman"/>
          <w:sz w:val="22"/>
          <w:szCs w:val="22"/>
        </w:rPr>
        <w:t>.</w:t>
      </w:r>
    </w:p>
  </w:footnote>
  <w:footnote w:id="414">
    <w:p w14:paraId="4BB7355D" w14:textId="27B805E6" w:rsidR="00EA6FC2" w:rsidRPr="00047A9D" w:rsidRDefault="00EA6FC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E5D4B" w:rsidRPr="00047A9D">
        <w:rPr>
          <w:rFonts w:ascii="Times New Roman" w:hAnsi="Times New Roman" w:cs="Times New Roman"/>
          <w:sz w:val="22"/>
          <w:szCs w:val="22"/>
        </w:rPr>
        <w:t>London Metropolitan Archives</w:t>
      </w:r>
      <w:r w:rsidR="009F2137" w:rsidRPr="00047A9D">
        <w:rPr>
          <w:rFonts w:ascii="Times New Roman" w:hAnsi="Times New Roman" w:cs="Times New Roman"/>
          <w:sz w:val="22"/>
          <w:szCs w:val="22"/>
        </w:rPr>
        <w:t xml:space="preserve"> (hereafter ‘LMA’):</w:t>
      </w:r>
      <w:r w:rsidR="006E5D4B" w:rsidRPr="00047A9D">
        <w:rPr>
          <w:rFonts w:ascii="Times New Roman" w:hAnsi="Times New Roman" w:cs="Times New Roman"/>
          <w:sz w:val="22"/>
          <w:szCs w:val="22"/>
        </w:rPr>
        <w:t xml:space="preserve"> </w:t>
      </w:r>
      <w:r w:rsidR="006E5D4B" w:rsidRPr="00047A9D">
        <w:rPr>
          <w:rFonts w:ascii="Times New Roman" w:hAnsi="Times New Roman" w:cs="Times New Roman"/>
          <w:i/>
          <w:sz w:val="22"/>
          <w:szCs w:val="22"/>
        </w:rPr>
        <w:t>Catalogue of Supplementary Schools: London</w:t>
      </w:r>
      <w:r w:rsidR="006E5D4B" w:rsidRPr="00047A9D">
        <w:rPr>
          <w:rFonts w:ascii="Times New Roman" w:hAnsi="Times New Roman" w:cs="Times New Roman"/>
          <w:sz w:val="22"/>
          <w:szCs w:val="22"/>
        </w:rPr>
        <w:t xml:space="preserve"> (London: The Black Education Unit, 1987), LMA/4463/D/11/01/001</w:t>
      </w:r>
      <w:r w:rsidR="000A7990" w:rsidRPr="00047A9D">
        <w:rPr>
          <w:rFonts w:ascii="Times New Roman" w:hAnsi="Times New Roman" w:cs="Times New Roman"/>
          <w:sz w:val="22"/>
          <w:szCs w:val="22"/>
        </w:rPr>
        <w:t>.</w:t>
      </w:r>
    </w:p>
  </w:footnote>
  <w:footnote w:id="415">
    <w:p w14:paraId="5FB5E722" w14:textId="5CB458BB" w:rsidR="00D92A4B" w:rsidRPr="00047A9D" w:rsidRDefault="00D92A4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43B55" w:rsidRPr="00047A9D">
        <w:rPr>
          <w:rFonts w:ascii="Times New Roman" w:hAnsi="Times New Roman" w:cs="Times New Roman"/>
          <w:sz w:val="22"/>
          <w:szCs w:val="22"/>
        </w:rPr>
        <w:t>GPI: ‘</w:t>
      </w:r>
      <w:r w:rsidR="009F722C" w:rsidRPr="00047A9D">
        <w:rPr>
          <w:rFonts w:ascii="Times New Roman" w:hAnsi="Times New Roman" w:cs="Times New Roman"/>
          <w:sz w:val="22"/>
          <w:szCs w:val="22"/>
        </w:rPr>
        <w:t xml:space="preserve">Books of the George Padmore School </w:t>
      </w:r>
      <w:r w:rsidR="00643B55" w:rsidRPr="00047A9D">
        <w:rPr>
          <w:rFonts w:ascii="Times New Roman" w:hAnsi="Times New Roman" w:cs="Times New Roman"/>
          <w:sz w:val="22"/>
          <w:szCs w:val="22"/>
        </w:rPr>
        <w:t>f</w:t>
      </w:r>
      <w:r w:rsidR="009F722C" w:rsidRPr="00047A9D">
        <w:rPr>
          <w:rFonts w:ascii="Times New Roman" w:hAnsi="Times New Roman" w:cs="Times New Roman"/>
          <w:sz w:val="22"/>
          <w:szCs w:val="22"/>
        </w:rPr>
        <w:t>rom 7-11 Ages (Juniors)</w:t>
      </w:r>
      <w:r w:rsidR="00643B55" w:rsidRPr="00047A9D">
        <w:rPr>
          <w:rFonts w:ascii="Times New Roman" w:hAnsi="Times New Roman" w:cs="Times New Roman"/>
          <w:sz w:val="22"/>
          <w:szCs w:val="22"/>
        </w:rPr>
        <w:t>’,</w:t>
      </w:r>
      <w:r w:rsidR="009F722C" w:rsidRPr="00047A9D">
        <w:rPr>
          <w:rFonts w:ascii="Times New Roman" w:hAnsi="Times New Roman" w:cs="Times New Roman"/>
          <w:sz w:val="22"/>
          <w:szCs w:val="22"/>
        </w:rPr>
        <w:t xml:space="preserve"> </w:t>
      </w:r>
      <w:r w:rsidR="001D39C5" w:rsidRPr="00047A9D">
        <w:rPr>
          <w:rFonts w:ascii="Times New Roman" w:hAnsi="Times New Roman" w:cs="Times New Roman"/>
          <w:sz w:val="22"/>
          <w:szCs w:val="22"/>
        </w:rPr>
        <w:t xml:space="preserve">n.d. (but 1972-1976), </w:t>
      </w:r>
      <w:r w:rsidR="009F722C" w:rsidRPr="00047A9D">
        <w:rPr>
          <w:rFonts w:ascii="Times New Roman" w:hAnsi="Times New Roman" w:cs="Times New Roman"/>
          <w:sz w:val="22"/>
          <w:szCs w:val="22"/>
        </w:rPr>
        <w:t>BEM 3/1/5/2</w:t>
      </w:r>
      <w:r w:rsidR="001D39C5" w:rsidRPr="00047A9D">
        <w:rPr>
          <w:rFonts w:ascii="Times New Roman" w:hAnsi="Times New Roman" w:cs="Times New Roman"/>
          <w:sz w:val="22"/>
          <w:szCs w:val="22"/>
        </w:rPr>
        <w:t>.</w:t>
      </w:r>
    </w:p>
  </w:footnote>
  <w:footnote w:id="416">
    <w:p w14:paraId="2F27436B" w14:textId="5AA7E668" w:rsidR="00A6458B" w:rsidRPr="00047A9D" w:rsidRDefault="00A6458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A56F8" w:rsidRPr="00047A9D">
        <w:rPr>
          <w:rFonts w:ascii="Times New Roman" w:hAnsi="Times New Roman" w:cs="Times New Roman"/>
          <w:sz w:val="22"/>
          <w:szCs w:val="22"/>
        </w:rPr>
        <w:t xml:space="preserve">Karen Sands-O’Connor, ‘The Culture Supplement: Black British Supplementary Schools for Children of Windrush’, </w:t>
      </w:r>
      <w:r w:rsidR="008A56F8" w:rsidRPr="00047A9D">
        <w:rPr>
          <w:rFonts w:ascii="Times New Roman" w:hAnsi="Times New Roman" w:cs="Times New Roman"/>
          <w:i/>
          <w:sz w:val="22"/>
          <w:szCs w:val="22"/>
        </w:rPr>
        <w:t>The Race to Read</w:t>
      </w:r>
      <w:r w:rsidR="00A5596F" w:rsidRPr="00047A9D">
        <w:rPr>
          <w:rFonts w:ascii="Times New Roman" w:hAnsi="Times New Roman" w:cs="Times New Roman"/>
          <w:i/>
          <w:sz w:val="22"/>
          <w:szCs w:val="22"/>
        </w:rPr>
        <w:t xml:space="preserve">, </w:t>
      </w:r>
      <w:r w:rsidR="00F16B6D" w:rsidRPr="00047A9D">
        <w:rPr>
          <w:rFonts w:ascii="Times New Roman" w:hAnsi="Times New Roman" w:cs="Times New Roman"/>
          <w:sz w:val="22"/>
          <w:szCs w:val="22"/>
        </w:rPr>
        <w:t>19 June 2018</w:t>
      </w:r>
      <w:r w:rsidR="00A77455">
        <w:rPr>
          <w:rFonts w:ascii="Times New Roman" w:hAnsi="Times New Roman" w:cs="Times New Roman"/>
          <w:sz w:val="22"/>
          <w:szCs w:val="22"/>
        </w:rPr>
        <w:t>,</w:t>
      </w:r>
      <w:r w:rsidR="00F16B6D" w:rsidRPr="00047A9D">
        <w:rPr>
          <w:rFonts w:ascii="Times New Roman" w:hAnsi="Times New Roman" w:cs="Times New Roman"/>
          <w:sz w:val="22"/>
          <w:szCs w:val="22"/>
        </w:rPr>
        <w:t xml:space="preserve"> &lt;</w:t>
      </w:r>
      <w:r w:rsidR="00CB7EE6" w:rsidRPr="00047A9D">
        <w:rPr>
          <w:rFonts w:ascii="Times New Roman" w:hAnsi="Times New Roman" w:cs="Times New Roman"/>
          <w:sz w:val="22"/>
          <w:szCs w:val="22"/>
        </w:rPr>
        <w:t>https://theracetoread.wordpress.com/2018/06/19/the-culture-supplement-black-british-supplementary-schools-for-children-of-windrush/</w:t>
      </w:r>
      <w:r w:rsidR="00F16B6D" w:rsidRPr="00047A9D">
        <w:rPr>
          <w:rFonts w:ascii="Times New Roman" w:hAnsi="Times New Roman" w:cs="Times New Roman"/>
          <w:sz w:val="22"/>
          <w:szCs w:val="22"/>
        </w:rPr>
        <w:t>&gt; [accessed 24 June 2023].</w:t>
      </w:r>
    </w:p>
  </w:footnote>
  <w:footnote w:id="417">
    <w:p w14:paraId="2BE507C8" w14:textId="1BEBB5EB" w:rsidR="00B92C8F" w:rsidRPr="00047A9D" w:rsidRDefault="00B92C8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E035E" w:rsidRPr="00047A9D">
        <w:rPr>
          <w:rFonts w:ascii="Times New Roman" w:hAnsi="Times New Roman" w:cs="Times New Roman"/>
          <w:sz w:val="22"/>
          <w:szCs w:val="22"/>
        </w:rPr>
        <w:t xml:space="preserve"> For contemporary accounts of this problem, see</w:t>
      </w:r>
      <w:r w:rsidR="00BC5363" w:rsidRPr="00047A9D">
        <w:rPr>
          <w:rFonts w:ascii="Times New Roman" w:hAnsi="Times New Roman" w:cs="Times New Roman"/>
          <w:sz w:val="22"/>
          <w:szCs w:val="22"/>
        </w:rPr>
        <w:t xml:space="preserve"> University College London Institute of Education (hereafter </w:t>
      </w:r>
      <w:r w:rsidR="009046A1" w:rsidRPr="00047A9D">
        <w:rPr>
          <w:rFonts w:ascii="Times New Roman" w:hAnsi="Times New Roman" w:cs="Times New Roman"/>
          <w:sz w:val="22"/>
          <w:szCs w:val="22"/>
        </w:rPr>
        <w:t>‘</w:t>
      </w:r>
      <w:r w:rsidR="00BC5363" w:rsidRPr="00047A9D">
        <w:rPr>
          <w:rFonts w:ascii="Times New Roman" w:hAnsi="Times New Roman" w:cs="Times New Roman"/>
          <w:sz w:val="22"/>
          <w:szCs w:val="22"/>
        </w:rPr>
        <w:t>IoE</w:t>
      </w:r>
      <w:r w:rsidR="009046A1" w:rsidRPr="00047A9D">
        <w:rPr>
          <w:rFonts w:ascii="Times New Roman" w:hAnsi="Times New Roman" w:cs="Times New Roman"/>
          <w:sz w:val="22"/>
          <w:szCs w:val="22"/>
        </w:rPr>
        <w:t>’</w:t>
      </w:r>
      <w:r w:rsidR="00BC5363" w:rsidRPr="00047A9D">
        <w:rPr>
          <w:rFonts w:ascii="Times New Roman" w:hAnsi="Times New Roman" w:cs="Times New Roman"/>
          <w:sz w:val="22"/>
          <w:szCs w:val="22"/>
        </w:rPr>
        <w:t>): N</w:t>
      </w:r>
      <w:r w:rsidR="00BE1675" w:rsidRPr="00047A9D">
        <w:rPr>
          <w:rFonts w:ascii="Times New Roman" w:hAnsi="Times New Roman" w:cs="Times New Roman"/>
          <w:sz w:val="22"/>
          <w:szCs w:val="22"/>
        </w:rPr>
        <w:t xml:space="preserve">ational </w:t>
      </w:r>
      <w:r w:rsidR="00BC5363" w:rsidRPr="00047A9D">
        <w:rPr>
          <w:rFonts w:ascii="Times New Roman" w:hAnsi="Times New Roman" w:cs="Times New Roman"/>
          <w:sz w:val="22"/>
          <w:szCs w:val="22"/>
        </w:rPr>
        <w:t>A</w:t>
      </w:r>
      <w:r w:rsidR="00BE1675" w:rsidRPr="00047A9D">
        <w:rPr>
          <w:rFonts w:ascii="Times New Roman" w:hAnsi="Times New Roman" w:cs="Times New Roman"/>
          <w:sz w:val="22"/>
          <w:szCs w:val="22"/>
        </w:rPr>
        <w:t xml:space="preserve">ssociation for </w:t>
      </w:r>
      <w:r w:rsidR="00BC5363" w:rsidRPr="00047A9D">
        <w:rPr>
          <w:rFonts w:ascii="Times New Roman" w:hAnsi="Times New Roman" w:cs="Times New Roman"/>
          <w:sz w:val="22"/>
          <w:szCs w:val="22"/>
        </w:rPr>
        <w:t>M</w:t>
      </w:r>
      <w:r w:rsidR="00BE1675" w:rsidRPr="00047A9D">
        <w:rPr>
          <w:rFonts w:ascii="Times New Roman" w:hAnsi="Times New Roman" w:cs="Times New Roman"/>
          <w:sz w:val="22"/>
          <w:szCs w:val="22"/>
        </w:rPr>
        <w:t xml:space="preserve">ultiracial </w:t>
      </w:r>
      <w:r w:rsidR="00BC5363" w:rsidRPr="00047A9D">
        <w:rPr>
          <w:rFonts w:ascii="Times New Roman" w:hAnsi="Times New Roman" w:cs="Times New Roman"/>
          <w:sz w:val="22"/>
          <w:szCs w:val="22"/>
        </w:rPr>
        <w:t>E</w:t>
      </w:r>
      <w:r w:rsidR="00BE1675" w:rsidRPr="00047A9D">
        <w:rPr>
          <w:rFonts w:ascii="Times New Roman" w:hAnsi="Times New Roman" w:cs="Times New Roman"/>
          <w:sz w:val="22"/>
          <w:szCs w:val="22"/>
        </w:rPr>
        <w:t>ducation</w:t>
      </w:r>
      <w:r w:rsidR="00265E61" w:rsidRPr="00047A9D">
        <w:rPr>
          <w:rFonts w:ascii="Times New Roman" w:hAnsi="Times New Roman" w:cs="Times New Roman"/>
          <w:sz w:val="22"/>
          <w:szCs w:val="22"/>
        </w:rPr>
        <w:t xml:space="preserve"> (NAME)</w:t>
      </w:r>
      <w:r w:rsidR="00BC5363" w:rsidRPr="00047A9D">
        <w:rPr>
          <w:rFonts w:ascii="Times New Roman" w:hAnsi="Times New Roman" w:cs="Times New Roman"/>
          <w:sz w:val="22"/>
          <w:szCs w:val="22"/>
        </w:rPr>
        <w:t xml:space="preserve">: London Branch, </w:t>
      </w:r>
      <w:r w:rsidR="00BC5363" w:rsidRPr="00047A9D">
        <w:rPr>
          <w:rFonts w:ascii="Times New Roman" w:hAnsi="Times New Roman" w:cs="Times New Roman"/>
          <w:i/>
          <w:sz w:val="22"/>
          <w:szCs w:val="22"/>
        </w:rPr>
        <w:t>African History: What do we Teach?</w:t>
      </w:r>
      <w:r w:rsidR="00673085" w:rsidRPr="00047A9D">
        <w:rPr>
          <w:rFonts w:ascii="Times New Roman" w:hAnsi="Times New Roman" w:cs="Times New Roman"/>
          <w:i/>
          <w:sz w:val="22"/>
          <w:szCs w:val="22"/>
        </w:rPr>
        <w:t xml:space="preserve"> </w:t>
      </w:r>
      <w:r w:rsidR="00673085" w:rsidRPr="00047A9D">
        <w:rPr>
          <w:rFonts w:ascii="Times New Roman" w:hAnsi="Times New Roman" w:cs="Times New Roman"/>
          <w:sz w:val="22"/>
          <w:szCs w:val="22"/>
        </w:rPr>
        <w:t xml:space="preserve">(London: NAME, n.d. but possibly 1977), </w:t>
      </w:r>
      <w:r w:rsidR="00BC5363" w:rsidRPr="00047A9D">
        <w:rPr>
          <w:rFonts w:ascii="Times New Roman" w:hAnsi="Times New Roman" w:cs="Times New Roman"/>
          <w:sz w:val="22"/>
          <w:szCs w:val="22"/>
        </w:rPr>
        <w:t>p.2, MF/9/79</w:t>
      </w:r>
      <w:r w:rsidR="004E71D5" w:rsidRPr="00047A9D">
        <w:rPr>
          <w:rFonts w:ascii="Times New Roman" w:hAnsi="Times New Roman" w:cs="Times New Roman"/>
          <w:sz w:val="22"/>
          <w:szCs w:val="22"/>
        </w:rPr>
        <w:t>;</w:t>
      </w:r>
      <w:r w:rsidR="002E035E" w:rsidRPr="00047A9D">
        <w:rPr>
          <w:rFonts w:ascii="Times New Roman" w:hAnsi="Times New Roman" w:cs="Times New Roman"/>
          <w:sz w:val="22"/>
          <w:szCs w:val="22"/>
        </w:rPr>
        <w:t xml:space="preserve"> </w:t>
      </w:r>
      <w:r w:rsidR="00C2299F" w:rsidRPr="00047A9D">
        <w:rPr>
          <w:rFonts w:ascii="Times New Roman" w:hAnsi="Times New Roman" w:cs="Times New Roman"/>
          <w:sz w:val="22"/>
          <w:szCs w:val="22"/>
        </w:rPr>
        <w:t xml:space="preserve">Derek Jones, ‘A Black British Childhood’, in McGilchrist (ed.), </w:t>
      </w:r>
      <w:r w:rsidR="00C2299F" w:rsidRPr="00047A9D">
        <w:rPr>
          <w:rFonts w:ascii="Times New Roman" w:hAnsi="Times New Roman" w:cs="Times New Roman"/>
          <w:i/>
          <w:sz w:val="22"/>
          <w:szCs w:val="22"/>
        </w:rPr>
        <w:t>Black Voices</w:t>
      </w:r>
      <w:r w:rsidR="00D6227C" w:rsidRPr="00047A9D">
        <w:rPr>
          <w:rFonts w:ascii="Times New Roman" w:hAnsi="Times New Roman" w:cs="Times New Roman"/>
          <w:i/>
          <w:sz w:val="22"/>
          <w:szCs w:val="22"/>
        </w:rPr>
        <w:t xml:space="preserve">, </w:t>
      </w:r>
      <w:r w:rsidR="00C2299F" w:rsidRPr="00047A9D">
        <w:rPr>
          <w:rFonts w:ascii="Times New Roman" w:hAnsi="Times New Roman" w:cs="Times New Roman"/>
          <w:sz w:val="22"/>
          <w:szCs w:val="22"/>
        </w:rPr>
        <w:t>229-30, p.229.</w:t>
      </w:r>
    </w:p>
  </w:footnote>
  <w:footnote w:id="418">
    <w:p w14:paraId="5A1B0338" w14:textId="14EB0889" w:rsidR="00AA519C" w:rsidRPr="00047A9D" w:rsidRDefault="00AA519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GPI: </w:t>
      </w:r>
      <w:r w:rsidR="00C2226F" w:rsidRPr="00047A9D">
        <w:rPr>
          <w:rFonts w:ascii="Times New Roman" w:hAnsi="Times New Roman" w:cs="Times New Roman"/>
          <w:sz w:val="22"/>
          <w:szCs w:val="22"/>
        </w:rPr>
        <w:t>R. La Rose, ‘The Emancipation of the British Slaves’,</w:t>
      </w:r>
      <w:r w:rsidR="008C3B29" w:rsidRPr="00047A9D">
        <w:rPr>
          <w:rFonts w:ascii="Times New Roman" w:hAnsi="Times New Roman" w:cs="Times New Roman"/>
          <w:sz w:val="22"/>
          <w:szCs w:val="22"/>
        </w:rPr>
        <w:t xml:space="preserve"> n.d. (but 1973-1978), </w:t>
      </w:r>
      <w:r w:rsidR="00C2226F" w:rsidRPr="00047A9D">
        <w:rPr>
          <w:rFonts w:ascii="Times New Roman" w:hAnsi="Times New Roman" w:cs="Times New Roman"/>
          <w:sz w:val="22"/>
          <w:szCs w:val="22"/>
        </w:rPr>
        <w:t>BEM 3/1/6/1</w:t>
      </w:r>
      <w:r w:rsidR="008C3B29" w:rsidRPr="00047A9D">
        <w:rPr>
          <w:rFonts w:ascii="Times New Roman" w:hAnsi="Times New Roman" w:cs="Times New Roman"/>
          <w:sz w:val="22"/>
          <w:szCs w:val="22"/>
        </w:rPr>
        <w:t>.</w:t>
      </w:r>
    </w:p>
  </w:footnote>
  <w:footnote w:id="419">
    <w:p w14:paraId="14F65800" w14:textId="2EF3DCD8" w:rsidR="008F71A9" w:rsidRPr="00047A9D" w:rsidRDefault="008F71A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54D06" w:rsidRPr="00047A9D">
        <w:rPr>
          <w:rFonts w:ascii="Times New Roman" w:hAnsi="Times New Roman" w:cs="Times New Roman"/>
          <w:sz w:val="22"/>
          <w:szCs w:val="22"/>
        </w:rPr>
        <w:t>GPI: ‘Books of the George Padmore School from 7-11 Ages (Juniors).</w:t>
      </w:r>
    </w:p>
  </w:footnote>
  <w:footnote w:id="420">
    <w:p w14:paraId="7FC8C01C" w14:textId="50AB8583" w:rsidR="00E778DE" w:rsidRPr="00047A9D" w:rsidRDefault="00E778D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45E8F" w:rsidRPr="00047A9D">
        <w:rPr>
          <w:rFonts w:ascii="Times New Roman" w:hAnsi="Times New Roman" w:cs="Times New Roman"/>
          <w:sz w:val="22"/>
          <w:szCs w:val="22"/>
        </w:rPr>
        <w:t xml:space="preserve">Vic Reid, </w:t>
      </w:r>
      <w:r w:rsidR="00945E8F" w:rsidRPr="00047A9D">
        <w:rPr>
          <w:rFonts w:ascii="Times New Roman" w:hAnsi="Times New Roman" w:cs="Times New Roman"/>
          <w:i/>
          <w:sz w:val="22"/>
          <w:szCs w:val="22"/>
        </w:rPr>
        <w:t>The Young Warriors</w:t>
      </w:r>
      <w:r w:rsidR="00945E8F" w:rsidRPr="00047A9D">
        <w:rPr>
          <w:rFonts w:ascii="Times New Roman" w:hAnsi="Times New Roman" w:cs="Times New Roman"/>
          <w:sz w:val="22"/>
          <w:szCs w:val="22"/>
        </w:rPr>
        <w:t xml:space="preserve">, </w:t>
      </w:r>
      <w:r w:rsidR="008F71A9" w:rsidRPr="00047A9D">
        <w:rPr>
          <w:rFonts w:ascii="Times New Roman" w:hAnsi="Times New Roman" w:cs="Times New Roman"/>
          <w:sz w:val="22"/>
          <w:szCs w:val="22"/>
        </w:rPr>
        <w:t>a</w:t>
      </w:r>
      <w:r w:rsidR="00945E8F" w:rsidRPr="00047A9D">
        <w:rPr>
          <w:rFonts w:ascii="Times New Roman" w:hAnsi="Times New Roman" w:cs="Times New Roman"/>
          <w:sz w:val="22"/>
          <w:szCs w:val="22"/>
        </w:rPr>
        <w:t>br. ed. (London: Longman, 1967), pp.3-6.</w:t>
      </w:r>
    </w:p>
  </w:footnote>
  <w:footnote w:id="421">
    <w:p w14:paraId="039C93B5" w14:textId="364360D1" w:rsidR="00A75716" w:rsidRPr="00047A9D" w:rsidRDefault="00A7571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76894" w:rsidRPr="00047A9D">
        <w:rPr>
          <w:rFonts w:ascii="Times New Roman" w:hAnsi="Times New Roman" w:cs="Times New Roman"/>
          <w:sz w:val="22"/>
          <w:szCs w:val="22"/>
        </w:rPr>
        <w:t xml:space="preserve">Waters, </w:t>
      </w:r>
      <w:r w:rsidR="00176894" w:rsidRPr="00047A9D">
        <w:rPr>
          <w:rFonts w:ascii="Times New Roman" w:hAnsi="Times New Roman" w:cs="Times New Roman"/>
          <w:i/>
          <w:sz w:val="22"/>
          <w:szCs w:val="22"/>
        </w:rPr>
        <w:t xml:space="preserve">Thinking Black, </w:t>
      </w:r>
      <w:r w:rsidR="00176894" w:rsidRPr="00047A9D">
        <w:rPr>
          <w:rFonts w:ascii="Times New Roman" w:hAnsi="Times New Roman" w:cs="Times New Roman"/>
          <w:sz w:val="22"/>
          <w:szCs w:val="22"/>
        </w:rPr>
        <w:t>p.153.</w:t>
      </w:r>
    </w:p>
  </w:footnote>
  <w:footnote w:id="422">
    <w:p w14:paraId="18B85B41" w14:textId="763F045C" w:rsidR="00B92C8F" w:rsidRPr="00047A9D" w:rsidRDefault="00B92C8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03639" w:rsidRPr="00047A9D">
        <w:rPr>
          <w:rFonts w:ascii="Times New Roman" w:hAnsi="Times New Roman" w:cs="Times New Roman"/>
          <w:sz w:val="22"/>
          <w:szCs w:val="22"/>
        </w:rPr>
        <w:t xml:space="preserve">Waters, </w:t>
      </w:r>
      <w:r w:rsidR="00603639" w:rsidRPr="00047A9D">
        <w:rPr>
          <w:rFonts w:ascii="Times New Roman" w:hAnsi="Times New Roman" w:cs="Times New Roman"/>
          <w:i/>
          <w:sz w:val="22"/>
          <w:szCs w:val="22"/>
        </w:rPr>
        <w:t>Thinking Black</w:t>
      </w:r>
      <w:r w:rsidR="00872D68" w:rsidRPr="00047A9D">
        <w:rPr>
          <w:rFonts w:ascii="Times New Roman" w:hAnsi="Times New Roman" w:cs="Times New Roman"/>
          <w:i/>
          <w:sz w:val="22"/>
          <w:szCs w:val="22"/>
        </w:rPr>
        <w:t xml:space="preserve">, </w:t>
      </w:r>
      <w:r w:rsidR="00872D68" w:rsidRPr="00047A9D">
        <w:rPr>
          <w:rFonts w:ascii="Times New Roman" w:hAnsi="Times New Roman" w:cs="Times New Roman"/>
          <w:sz w:val="22"/>
          <w:szCs w:val="22"/>
        </w:rPr>
        <w:t>p</w:t>
      </w:r>
      <w:r w:rsidRPr="00047A9D">
        <w:rPr>
          <w:rFonts w:ascii="Times New Roman" w:hAnsi="Times New Roman" w:cs="Times New Roman"/>
          <w:sz w:val="22"/>
          <w:szCs w:val="22"/>
        </w:rPr>
        <w:t>.150</w:t>
      </w:r>
      <w:r w:rsidR="00A77455">
        <w:rPr>
          <w:rFonts w:ascii="Times New Roman" w:hAnsi="Times New Roman" w:cs="Times New Roman"/>
          <w:sz w:val="22"/>
          <w:szCs w:val="22"/>
        </w:rPr>
        <w:t>.</w:t>
      </w:r>
    </w:p>
  </w:footnote>
  <w:footnote w:id="423">
    <w:p w14:paraId="1861D78F" w14:textId="396E0B3C" w:rsidR="00E70A12" w:rsidRPr="00047A9D" w:rsidRDefault="00E70A1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832B4" w:rsidRPr="00047A9D">
        <w:rPr>
          <w:rFonts w:ascii="Times New Roman" w:hAnsi="Times New Roman" w:cs="Times New Roman"/>
          <w:sz w:val="22"/>
          <w:szCs w:val="22"/>
        </w:rPr>
        <w:t>LMA:</w:t>
      </w:r>
      <w:r w:rsidR="00DD0227" w:rsidRPr="00047A9D">
        <w:rPr>
          <w:rFonts w:ascii="Times New Roman" w:hAnsi="Times New Roman" w:cs="Times New Roman"/>
          <w:sz w:val="22"/>
          <w:szCs w:val="22"/>
        </w:rPr>
        <w:t xml:space="preserve"> </w:t>
      </w:r>
      <w:r w:rsidR="00DD0227" w:rsidRPr="00047A9D">
        <w:rPr>
          <w:rFonts w:ascii="Times New Roman" w:hAnsi="Times New Roman" w:cs="Times New Roman"/>
          <w:i/>
          <w:sz w:val="22"/>
          <w:szCs w:val="22"/>
        </w:rPr>
        <w:t>Ahfiwe: Journal of the Ahfiwe School and Abeng</w:t>
      </w:r>
      <w:r w:rsidR="00DD0227" w:rsidRPr="00047A9D">
        <w:rPr>
          <w:rFonts w:ascii="Times New Roman" w:hAnsi="Times New Roman" w:cs="Times New Roman"/>
          <w:sz w:val="22"/>
          <w:szCs w:val="22"/>
        </w:rPr>
        <w:t xml:space="preserve"> 1</w:t>
      </w:r>
      <w:r w:rsidR="00E43A8C" w:rsidRPr="00047A9D">
        <w:rPr>
          <w:rFonts w:ascii="Times New Roman" w:hAnsi="Times New Roman" w:cs="Times New Roman"/>
          <w:sz w:val="22"/>
          <w:szCs w:val="22"/>
        </w:rPr>
        <w:t xml:space="preserve">, </w:t>
      </w:r>
      <w:r w:rsidR="000C1DCC" w:rsidRPr="00047A9D">
        <w:rPr>
          <w:rFonts w:ascii="Times New Roman" w:hAnsi="Times New Roman" w:cs="Times New Roman"/>
          <w:sz w:val="22"/>
          <w:szCs w:val="22"/>
        </w:rPr>
        <w:t>n.d. (but 1974-1978</w:t>
      </w:r>
      <w:r w:rsidR="00E431FB" w:rsidRPr="00047A9D">
        <w:rPr>
          <w:rFonts w:ascii="Times New Roman" w:hAnsi="Times New Roman" w:cs="Times New Roman"/>
          <w:sz w:val="22"/>
          <w:szCs w:val="22"/>
        </w:rPr>
        <w:t xml:space="preserve">), </w:t>
      </w:r>
      <w:r w:rsidR="00D832B4" w:rsidRPr="00047A9D">
        <w:rPr>
          <w:rFonts w:ascii="Times New Roman" w:hAnsi="Times New Roman" w:cs="Times New Roman"/>
          <w:sz w:val="22"/>
          <w:szCs w:val="22"/>
        </w:rPr>
        <w:t>LMA/4463/D/10/01/002</w:t>
      </w:r>
      <w:r w:rsidR="00DD0227" w:rsidRPr="00047A9D">
        <w:rPr>
          <w:rFonts w:ascii="Times New Roman" w:hAnsi="Times New Roman" w:cs="Times New Roman"/>
          <w:sz w:val="22"/>
          <w:szCs w:val="22"/>
        </w:rPr>
        <w:t>.</w:t>
      </w:r>
    </w:p>
  </w:footnote>
  <w:footnote w:id="424">
    <w:p w14:paraId="3710329A" w14:textId="3A471BA1" w:rsidR="009E3B1D" w:rsidRPr="00047A9D" w:rsidRDefault="009E3B1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659C1" w:rsidRPr="00047A9D">
        <w:rPr>
          <w:rFonts w:ascii="Times New Roman" w:hAnsi="Times New Roman" w:cs="Times New Roman"/>
          <w:sz w:val="22"/>
          <w:szCs w:val="22"/>
        </w:rPr>
        <w:t xml:space="preserve">Janet Morris, ‘Black’, in </w:t>
      </w:r>
      <w:r w:rsidR="008A1E61" w:rsidRPr="00047A9D">
        <w:rPr>
          <w:rFonts w:ascii="Times New Roman" w:hAnsi="Times New Roman" w:cs="Times New Roman"/>
          <w:i/>
          <w:sz w:val="22"/>
          <w:szCs w:val="22"/>
        </w:rPr>
        <w:t xml:space="preserve">Ahfiwe </w:t>
      </w:r>
      <w:r w:rsidR="008A1E61" w:rsidRPr="00047A9D">
        <w:rPr>
          <w:rFonts w:ascii="Times New Roman" w:hAnsi="Times New Roman" w:cs="Times New Roman"/>
          <w:sz w:val="22"/>
          <w:szCs w:val="22"/>
        </w:rPr>
        <w:t>1</w:t>
      </w:r>
      <w:r w:rsidR="006659C1" w:rsidRPr="00047A9D">
        <w:rPr>
          <w:rFonts w:ascii="Times New Roman" w:hAnsi="Times New Roman" w:cs="Times New Roman"/>
          <w:sz w:val="22"/>
          <w:szCs w:val="22"/>
        </w:rPr>
        <w:t xml:space="preserve">, </w:t>
      </w:r>
      <w:r w:rsidR="00B169A6" w:rsidRPr="00047A9D">
        <w:rPr>
          <w:rFonts w:ascii="Times New Roman" w:hAnsi="Times New Roman" w:cs="Times New Roman"/>
          <w:sz w:val="22"/>
          <w:szCs w:val="22"/>
        </w:rPr>
        <w:t>p.5</w:t>
      </w:r>
      <w:r w:rsidR="006659C1" w:rsidRPr="00047A9D">
        <w:rPr>
          <w:rFonts w:ascii="Times New Roman" w:hAnsi="Times New Roman" w:cs="Times New Roman"/>
          <w:sz w:val="22"/>
          <w:szCs w:val="22"/>
        </w:rPr>
        <w:t>.</w:t>
      </w:r>
    </w:p>
  </w:footnote>
  <w:footnote w:id="425">
    <w:p w14:paraId="489856DC" w14:textId="39D418B8" w:rsidR="007D5D4B" w:rsidRPr="00047A9D" w:rsidRDefault="007D5D4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169A6" w:rsidRPr="00047A9D">
        <w:rPr>
          <w:rFonts w:ascii="Times New Roman" w:hAnsi="Times New Roman" w:cs="Times New Roman"/>
          <w:sz w:val="22"/>
          <w:szCs w:val="22"/>
        </w:rPr>
        <w:t xml:space="preserve">Evelyn G. Christie, </w:t>
      </w:r>
      <w:r w:rsidR="00C41E5F" w:rsidRPr="00047A9D">
        <w:rPr>
          <w:rFonts w:ascii="Times New Roman" w:hAnsi="Times New Roman" w:cs="Times New Roman"/>
          <w:sz w:val="22"/>
          <w:szCs w:val="22"/>
        </w:rPr>
        <w:t xml:space="preserve">‘Lissen Sisters’, in </w:t>
      </w:r>
      <w:r w:rsidR="008A1E61" w:rsidRPr="00047A9D">
        <w:rPr>
          <w:rFonts w:ascii="Times New Roman" w:hAnsi="Times New Roman" w:cs="Times New Roman"/>
          <w:i/>
          <w:sz w:val="22"/>
          <w:szCs w:val="22"/>
        </w:rPr>
        <w:t xml:space="preserve">Ahfiwe </w:t>
      </w:r>
      <w:r w:rsidR="008A1E61" w:rsidRPr="00047A9D">
        <w:rPr>
          <w:rFonts w:ascii="Times New Roman" w:hAnsi="Times New Roman" w:cs="Times New Roman"/>
          <w:sz w:val="22"/>
          <w:szCs w:val="22"/>
        </w:rPr>
        <w:t>1</w:t>
      </w:r>
      <w:r w:rsidR="00C41E5F" w:rsidRPr="00047A9D">
        <w:rPr>
          <w:rFonts w:ascii="Times New Roman" w:hAnsi="Times New Roman" w:cs="Times New Roman"/>
          <w:i/>
          <w:sz w:val="22"/>
          <w:szCs w:val="22"/>
        </w:rPr>
        <w:t xml:space="preserve">, </w:t>
      </w:r>
      <w:r w:rsidR="00BA2B3D" w:rsidRPr="00047A9D">
        <w:rPr>
          <w:rFonts w:ascii="Times New Roman" w:hAnsi="Times New Roman" w:cs="Times New Roman"/>
          <w:sz w:val="22"/>
          <w:szCs w:val="22"/>
        </w:rPr>
        <w:t xml:space="preserve">8-9, </w:t>
      </w:r>
      <w:r w:rsidR="00101EA7" w:rsidRPr="00047A9D">
        <w:rPr>
          <w:rFonts w:ascii="Times New Roman" w:hAnsi="Times New Roman" w:cs="Times New Roman"/>
          <w:sz w:val="22"/>
          <w:szCs w:val="22"/>
        </w:rPr>
        <w:t>p.9.</w:t>
      </w:r>
    </w:p>
  </w:footnote>
  <w:footnote w:id="426">
    <w:p w14:paraId="59591242" w14:textId="27600AB1" w:rsidR="00560CD2" w:rsidRPr="00047A9D" w:rsidRDefault="00560CD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B087E" w:rsidRPr="00047A9D">
        <w:rPr>
          <w:rFonts w:ascii="Times New Roman" w:hAnsi="Times New Roman" w:cs="Times New Roman"/>
          <w:sz w:val="22"/>
          <w:szCs w:val="22"/>
        </w:rPr>
        <w:t>LMA: ‘This is Queen Mother Moore School’,</w:t>
      </w:r>
      <w:r w:rsidR="00E431FB" w:rsidRPr="00047A9D">
        <w:rPr>
          <w:rFonts w:ascii="Times New Roman" w:hAnsi="Times New Roman" w:cs="Times New Roman"/>
          <w:sz w:val="22"/>
          <w:szCs w:val="22"/>
        </w:rPr>
        <w:t xml:space="preserve"> n.d, n.p., </w:t>
      </w:r>
      <w:r w:rsidR="00BB087E" w:rsidRPr="00047A9D">
        <w:rPr>
          <w:rFonts w:ascii="Times New Roman" w:hAnsi="Times New Roman" w:cs="Times New Roman"/>
          <w:sz w:val="22"/>
          <w:szCs w:val="22"/>
        </w:rPr>
        <w:t>LMA/4774/C/01/07/002</w:t>
      </w:r>
      <w:r w:rsidR="00E431FB" w:rsidRPr="00047A9D">
        <w:rPr>
          <w:rFonts w:ascii="Times New Roman" w:hAnsi="Times New Roman" w:cs="Times New Roman"/>
          <w:sz w:val="22"/>
          <w:szCs w:val="22"/>
        </w:rPr>
        <w:t>.</w:t>
      </w:r>
    </w:p>
  </w:footnote>
  <w:footnote w:id="427">
    <w:p w14:paraId="07DCE3E7" w14:textId="6395CBE3" w:rsidR="003D6D45" w:rsidRPr="00047A9D" w:rsidRDefault="003D6D4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D1A61" w:rsidRPr="00047A9D">
        <w:rPr>
          <w:rFonts w:ascii="Times New Roman" w:hAnsi="Times New Roman" w:cs="Times New Roman"/>
          <w:sz w:val="22"/>
          <w:szCs w:val="22"/>
        </w:rPr>
        <w:t xml:space="preserve">Walter Rodney, </w:t>
      </w:r>
      <w:r w:rsidR="009D1A61" w:rsidRPr="00047A9D">
        <w:rPr>
          <w:rFonts w:ascii="Times New Roman" w:hAnsi="Times New Roman" w:cs="Times New Roman"/>
          <w:i/>
          <w:sz w:val="22"/>
          <w:szCs w:val="22"/>
        </w:rPr>
        <w:t>The Groundings with My Brothers</w:t>
      </w:r>
      <w:r w:rsidR="009D1A61" w:rsidRPr="00047A9D">
        <w:rPr>
          <w:rFonts w:ascii="Times New Roman" w:hAnsi="Times New Roman" w:cs="Times New Roman"/>
          <w:sz w:val="22"/>
          <w:szCs w:val="22"/>
        </w:rPr>
        <w:t xml:space="preserve"> (London: Bogle-L'Ouverture Publications, 1975).</w:t>
      </w:r>
    </w:p>
  </w:footnote>
  <w:footnote w:id="428">
    <w:p w14:paraId="032EFAFB" w14:textId="5599CA85" w:rsidR="00560CD2" w:rsidRPr="00047A9D" w:rsidRDefault="00560CD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B01E3" w:rsidRPr="00047A9D">
        <w:rPr>
          <w:rFonts w:ascii="Times New Roman" w:hAnsi="Times New Roman" w:cs="Times New Roman"/>
          <w:sz w:val="22"/>
          <w:szCs w:val="22"/>
        </w:rPr>
        <w:t xml:space="preserve">Kevin Okoth, ‘The Revolutionary Legacy of Walter Rodney’s “Groundings”’, </w:t>
      </w:r>
      <w:r w:rsidR="006B01E3" w:rsidRPr="00047A9D">
        <w:rPr>
          <w:rFonts w:ascii="Times New Roman" w:hAnsi="Times New Roman" w:cs="Times New Roman"/>
          <w:i/>
          <w:sz w:val="22"/>
          <w:szCs w:val="22"/>
        </w:rPr>
        <w:t>Verso</w:t>
      </w:r>
      <w:r w:rsidR="006B01E3" w:rsidRPr="00047A9D">
        <w:rPr>
          <w:rFonts w:ascii="Times New Roman" w:hAnsi="Times New Roman" w:cs="Times New Roman"/>
          <w:sz w:val="22"/>
          <w:szCs w:val="22"/>
        </w:rPr>
        <w:t>, 13 June 2019 &lt;https://www.versobooks.com/en-gb/blogs/news/4351-the-revolutionary-legacy-of-walter-rodney-s-groundings&gt; [accessed 24 June 2023].</w:t>
      </w:r>
    </w:p>
  </w:footnote>
  <w:footnote w:id="429">
    <w:p w14:paraId="7F6208EE" w14:textId="34E6BB41" w:rsidR="00115926" w:rsidRPr="00047A9D" w:rsidRDefault="0011592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‘This is Queen Mother Moore School’</w:t>
      </w:r>
      <w:r w:rsidR="00DB39B7">
        <w:rPr>
          <w:rFonts w:ascii="Times New Roman" w:hAnsi="Times New Roman" w:cs="Times New Roman"/>
          <w:sz w:val="22"/>
          <w:szCs w:val="22"/>
        </w:rPr>
        <w:t>, n.p</w:t>
      </w:r>
      <w:r w:rsidRPr="00047A9D">
        <w:rPr>
          <w:rFonts w:ascii="Times New Roman" w:hAnsi="Times New Roman" w:cs="Times New Roman"/>
          <w:sz w:val="22"/>
          <w:szCs w:val="22"/>
        </w:rPr>
        <w:t>.</w:t>
      </w:r>
    </w:p>
  </w:footnote>
  <w:footnote w:id="430">
    <w:p w14:paraId="7BDF1D1F" w14:textId="6702693C" w:rsidR="001147DC" w:rsidRPr="00047A9D" w:rsidRDefault="001147D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‘This is Queen Mother Moore School’</w:t>
      </w:r>
      <w:r w:rsidR="00DB39B7">
        <w:rPr>
          <w:rFonts w:ascii="Times New Roman" w:hAnsi="Times New Roman" w:cs="Times New Roman"/>
          <w:sz w:val="22"/>
          <w:szCs w:val="22"/>
        </w:rPr>
        <w:t>, n.p</w:t>
      </w:r>
      <w:r w:rsidRPr="00047A9D">
        <w:rPr>
          <w:rFonts w:ascii="Times New Roman" w:hAnsi="Times New Roman" w:cs="Times New Roman"/>
          <w:sz w:val="22"/>
          <w:szCs w:val="22"/>
        </w:rPr>
        <w:t>.</w:t>
      </w:r>
    </w:p>
  </w:footnote>
  <w:footnote w:id="431">
    <w:p w14:paraId="60894C71" w14:textId="590E3CB5" w:rsidR="00C44CB7" w:rsidRPr="00047A9D" w:rsidRDefault="00C44CB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A0C4C" w:rsidRPr="00047A9D">
        <w:rPr>
          <w:rFonts w:ascii="Times New Roman" w:hAnsi="Times New Roman" w:cs="Times New Roman"/>
          <w:sz w:val="22"/>
          <w:szCs w:val="22"/>
        </w:rPr>
        <w:t xml:space="preserve">IoE: </w:t>
      </w:r>
      <w:r w:rsidR="00CA0C4C" w:rsidRPr="00047A9D">
        <w:rPr>
          <w:rFonts w:ascii="Times New Roman" w:hAnsi="Times New Roman" w:cs="Times New Roman"/>
          <w:i/>
          <w:sz w:val="22"/>
          <w:szCs w:val="22"/>
        </w:rPr>
        <w:t>ACER Project: Annual Report 1979-1980</w:t>
      </w:r>
      <w:r w:rsidR="00CA0C4C" w:rsidRPr="00047A9D">
        <w:rPr>
          <w:rFonts w:ascii="Times New Roman" w:hAnsi="Times New Roman" w:cs="Times New Roman"/>
          <w:sz w:val="22"/>
          <w:szCs w:val="22"/>
        </w:rPr>
        <w:t>, p.3</w:t>
      </w:r>
      <w:r w:rsidR="00315393" w:rsidRPr="00047A9D">
        <w:rPr>
          <w:rFonts w:ascii="Times New Roman" w:hAnsi="Times New Roman" w:cs="Times New Roman"/>
          <w:sz w:val="22"/>
          <w:szCs w:val="22"/>
        </w:rPr>
        <w:t>, MF/2/27</w:t>
      </w:r>
      <w:r w:rsidR="00CA0C4C" w:rsidRPr="00047A9D">
        <w:rPr>
          <w:rFonts w:ascii="Times New Roman" w:hAnsi="Times New Roman" w:cs="Times New Roman"/>
          <w:sz w:val="22"/>
          <w:szCs w:val="22"/>
        </w:rPr>
        <w:t>.</w:t>
      </w:r>
    </w:p>
  </w:footnote>
  <w:footnote w:id="432">
    <w:p w14:paraId="319810C2" w14:textId="73C83C0E" w:rsidR="00B92C8F" w:rsidRPr="00047A9D" w:rsidRDefault="00B92C8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450E2" w:rsidRPr="00047A9D">
        <w:rPr>
          <w:rFonts w:ascii="Times New Roman" w:hAnsi="Times New Roman" w:cs="Times New Roman"/>
          <w:sz w:val="22"/>
          <w:szCs w:val="22"/>
        </w:rPr>
        <w:t xml:space="preserve">McGilchrist (ed.), </w:t>
      </w:r>
      <w:r w:rsidR="009450E2" w:rsidRPr="00047A9D">
        <w:rPr>
          <w:rFonts w:ascii="Times New Roman" w:hAnsi="Times New Roman" w:cs="Times New Roman"/>
          <w:i/>
          <w:sz w:val="22"/>
          <w:szCs w:val="22"/>
        </w:rPr>
        <w:t xml:space="preserve">Black Voices, </w:t>
      </w:r>
      <w:r w:rsidRPr="00047A9D">
        <w:rPr>
          <w:rFonts w:ascii="Times New Roman" w:hAnsi="Times New Roman" w:cs="Times New Roman"/>
          <w:sz w:val="22"/>
          <w:szCs w:val="22"/>
        </w:rPr>
        <w:t>p.261</w:t>
      </w:r>
      <w:r w:rsidR="00805AF7" w:rsidRPr="00047A9D">
        <w:rPr>
          <w:rFonts w:ascii="Times New Roman" w:hAnsi="Times New Roman" w:cs="Times New Roman"/>
          <w:sz w:val="22"/>
          <w:szCs w:val="22"/>
        </w:rPr>
        <w:t>.</w:t>
      </w:r>
    </w:p>
  </w:footnote>
  <w:footnote w:id="433">
    <w:p w14:paraId="2B81D6B7" w14:textId="514ABFB3" w:rsidR="00FD0350" w:rsidRPr="00047A9D" w:rsidRDefault="00FD035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05AF7" w:rsidRPr="00047A9D">
        <w:rPr>
          <w:rFonts w:ascii="Times New Roman" w:hAnsi="Times New Roman" w:cs="Times New Roman"/>
          <w:sz w:val="22"/>
          <w:szCs w:val="22"/>
        </w:rPr>
        <w:t>Ngugi wa Thiong</w:t>
      </w:r>
      <w:r w:rsidR="007E3463" w:rsidRPr="00047A9D">
        <w:rPr>
          <w:rFonts w:ascii="Times New Roman" w:hAnsi="Times New Roman" w:cs="Times New Roman"/>
          <w:sz w:val="22"/>
          <w:szCs w:val="22"/>
        </w:rPr>
        <w:t>’</w:t>
      </w:r>
      <w:r w:rsidR="00805AF7" w:rsidRPr="00047A9D">
        <w:rPr>
          <w:rFonts w:ascii="Times New Roman" w:hAnsi="Times New Roman" w:cs="Times New Roman"/>
          <w:sz w:val="22"/>
          <w:szCs w:val="22"/>
        </w:rPr>
        <w:t>o,</w:t>
      </w:r>
      <w:r w:rsidR="007E3463" w:rsidRPr="00047A9D">
        <w:rPr>
          <w:rFonts w:ascii="Times New Roman" w:hAnsi="Times New Roman" w:cs="Times New Roman"/>
          <w:sz w:val="22"/>
          <w:szCs w:val="22"/>
        </w:rPr>
        <w:t xml:space="preserve"> ‘</w:t>
      </w:r>
      <w:r w:rsidR="00805AF7" w:rsidRPr="00047A9D">
        <w:rPr>
          <w:rFonts w:ascii="Times New Roman" w:hAnsi="Times New Roman" w:cs="Times New Roman"/>
          <w:sz w:val="22"/>
          <w:szCs w:val="22"/>
        </w:rPr>
        <w:t>A Call for Action</w:t>
      </w:r>
      <w:r w:rsidR="007E3463" w:rsidRPr="00047A9D">
        <w:rPr>
          <w:rFonts w:ascii="Times New Roman" w:hAnsi="Times New Roman" w:cs="Times New Roman"/>
          <w:sz w:val="22"/>
          <w:szCs w:val="22"/>
        </w:rPr>
        <w:t>’</w:t>
      </w:r>
      <w:r w:rsidR="00805AF7" w:rsidRPr="00047A9D">
        <w:rPr>
          <w:rFonts w:ascii="Times New Roman" w:hAnsi="Times New Roman" w:cs="Times New Roman"/>
          <w:sz w:val="22"/>
          <w:szCs w:val="22"/>
        </w:rPr>
        <w:t xml:space="preserve">, </w:t>
      </w:r>
      <w:r w:rsidR="007E3463" w:rsidRPr="00047A9D">
        <w:rPr>
          <w:rFonts w:ascii="Times New Roman" w:hAnsi="Times New Roman" w:cs="Times New Roman"/>
          <w:sz w:val="22"/>
          <w:szCs w:val="22"/>
        </w:rPr>
        <w:t xml:space="preserve">in </w:t>
      </w:r>
      <w:r w:rsidR="00603639" w:rsidRPr="00047A9D">
        <w:rPr>
          <w:rFonts w:ascii="Times New Roman" w:hAnsi="Times New Roman" w:cs="Times New Roman"/>
          <w:sz w:val="22"/>
          <w:szCs w:val="22"/>
        </w:rPr>
        <w:t xml:space="preserve">McGilchrist (ed.), </w:t>
      </w:r>
      <w:r w:rsidR="00603639" w:rsidRPr="00047A9D">
        <w:rPr>
          <w:rFonts w:ascii="Times New Roman" w:hAnsi="Times New Roman" w:cs="Times New Roman"/>
          <w:i/>
          <w:sz w:val="22"/>
          <w:szCs w:val="22"/>
        </w:rPr>
        <w:t>Black Voices</w:t>
      </w:r>
      <w:r w:rsidR="007E3463" w:rsidRPr="00047A9D">
        <w:rPr>
          <w:rFonts w:ascii="Times New Roman" w:hAnsi="Times New Roman" w:cs="Times New Roman"/>
          <w:i/>
          <w:sz w:val="22"/>
          <w:szCs w:val="22"/>
        </w:rPr>
        <w:t xml:space="preserve">, </w:t>
      </w:r>
      <w:r w:rsidR="00805AF7" w:rsidRPr="00047A9D">
        <w:rPr>
          <w:rFonts w:ascii="Times New Roman" w:hAnsi="Times New Roman" w:cs="Times New Roman"/>
          <w:sz w:val="22"/>
          <w:szCs w:val="22"/>
        </w:rPr>
        <w:t>vii-ix, p.vii.</w:t>
      </w:r>
    </w:p>
  </w:footnote>
  <w:footnote w:id="434">
    <w:p w14:paraId="31C7BBB8" w14:textId="7DE1C112" w:rsidR="00B92C8F" w:rsidRPr="00047A9D" w:rsidRDefault="00B92C8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756E5" w:rsidRPr="00047A9D">
        <w:rPr>
          <w:rFonts w:ascii="Times New Roman" w:hAnsi="Times New Roman" w:cs="Times New Roman"/>
          <w:sz w:val="22"/>
          <w:szCs w:val="22"/>
        </w:rPr>
        <w:t xml:space="preserve">McGilchrist (ed.), </w:t>
      </w:r>
      <w:r w:rsidR="003756E5" w:rsidRPr="00047A9D">
        <w:rPr>
          <w:rFonts w:ascii="Times New Roman" w:hAnsi="Times New Roman" w:cs="Times New Roman"/>
          <w:i/>
          <w:sz w:val="22"/>
          <w:szCs w:val="22"/>
        </w:rPr>
        <w:t>Black Voices</w:t>
      </w:r>
      <w:r w:rsidR="006E6835" w:rsidRPr="00047A9D">
        <w:rPr>
          <w:rFonts w:ascii="Times New Roman" w:hAnsi="Times New Roman" w:cs="Times New Roman"/>
          <w:i/>
          <w:sz w:val="22"/>
          <w:szCs w:val="22"/>
        </w:rPr>
        <w:t xml:space="preserve">, </w:t>
      </w:r>
      <w:r w:rsidR="006E6835" w:rsidRPr="00047A9D">
        <w:rPr>
          <w:rFonts w:ascii="Times New Roman" w:hAnsi="Times New Roman" w:cs="Times New Roman"/>
          <w:sz w:val="22"/>
          <w:szCs w:val="22"/>
        </w:rPr>
        <w:t>p</w:t>
      </w:r>
      <w:r w:rsidRPr="00047A9D">
        <w:rPr>
          <w:rFonts w:ascii="Times New Roman" w:hAnsi="Times New Roman" w:cs="Times New Roman"/>
          <w:sz w:val="22"/>
          <w:szCs w:val="22"/>
        </w:rPr>
        <w:t>.4</w:t>
      </w:r>
      <w:r w:rsidR="006E6835" w:rsidRPr="00047A9D">
        <w:rPr>
          <w:rFonts w:ascii="Times New Roman" w:hAnsi="Times New Roman" w:cs="Times New Roman"/>
          <w:sz w:val="22"/>
          <w:szCs w:val="22"/>
        </w:rPr>
        <w:t>.</w:t>
      </w:r>
    </w:p>
  </w:footnote>
  <w:footnote w:id="435">
    <w:p w14:paraId="56794222" w14:textId="42769510" w:rsidR="00B92C8F" w:rsidRPr="00047A9D" w:rsidRDefault="00B92C8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94293" w:rsidRPr="00047A9D">
        <w:rPr>
          <w:rFonts w:ascii="Times New Roman" w:hAnsi="Times New Roman" w:cs="Times New Roman"/>
          <w:sz w:val="22"/>
          <w:szCs w:val="22"/>
        </w:rPr>
        <w:t>Farida Leander, ‘</w:t>
      </w:r>
      <w:r w:rsidR="00F71539" w:rsidRPr="00047A9D">
        <w:rPr>
          <w:rFonts w:ascii="Times New Roman" w:hAnsi="Times New Roman" w:cs="Times New Roman"/>
          <w:sz w:val="22"/>
          <w:szCs w:val="22"/>
        </w:rPr>
        <w:t>What Makes a Black Person Black?</w:t>
      </w:r>
      <w:r w:rsidR="00394293" w:rsidRPr="00047A9D">
        <w:rPr>
          <w:rFonts w:ascii="Times New Roman" w:hAnsi="Times New Roman" w:cs="Times New Roman"/>
          <w:sz w:val="22"/>
          <w:szCs w:val="22"/>
        </w:rPr>
        <w:t xml:space="preserve">’, in </w:t>
      </w:r>
      <w:r w:rsidR="002908EF" w:rsidRPr="00047A9D">
        <w:rPr>
          <w:rFonts w:ascii="Times New Roman" w:hAnsi="Times New Roman" w:cs="Times New Roman"/>
          <w:sz w:val="22"/>
          <w:szCs w:val="22"/>
        </w:rPr>
        <w:t xml:space="preserve">McGilchrist (ed.), </w:t>
      </w:r>
      <w:r w:rsidR="002908EF" w:rsidRPr="00047A9D">
        <w:rPr>
          <w:rFonts w:ascii="Times New Roman" w:hAnsi="Times New Roman" w:cs="Times New Roman"/>
          <w:i/>
          <w:sz w:val="22"/>
          <w:szCs w:val="22"/>
        </w:rPr>
        <w:t>Black Voices</w:t>
      </w:r>
      <w:r w:rsidR="00394293" w:rsidRPr="00047A9D">
        <w:rPr>
          <w:rFonts w:ascii="Times New Roman" w:hAnsi="Times New Roman" w:cs="Times New Roman"/>
          <w:i/>
          <w:sz w:val="22"/>
          <w:szCs w:val="22"/>
        </w:rPr>
        <w:t xml:space="preserve">, </w:t>
      </w:r>
      <w:r w:rsidR="00DA41D1" w:rsidRPr="00047A9D">
        <w:rPr>
          <w:rFonts w:ascii="Times New Roman" w:hAnsi="Times New Roman" w:cs="Times New Roman"/>
          <w:sz w:val="22"/>
          <w:szCs w:val="22"/>
        </w:rPr>
        <w:t xml:space="preserve">15-18, </w:t>
      </w:r>
      <w:r w:rsidR="00394293" w:rsidRPr="00047A9D">
        <w:rPr>
          <w:rFonts w:ascii="Times New Roman" w:hAnsi="Times New Roman" w:cs="Times New Roman"/>
          <w:sz w:val="22"/>
          <w:szCs w:val="22"/>
        </w:rPr>
        <w:t>p</w:t>
      </w:r>
      <w:r w:rsidRPr="00047A9D">
        <w:rPr>
          <w:rFonts w:ascii="Times New Roman" w:hAnsi="Times New Roman" w:cs="Times New Roman"/>
          <w:sz w:val="22"/>
          <w:szCs w:val="22"/>
        </w:rPr>
        <w:t>.17. See Andrews</w:t>
      </w:r>
      <w:r w:rsidR="00E74FF8" w:rsidRPr="00047A9D">
        <w:rPr>
          <w:rFonts w:ascii="Times New Roman" w:hAnsi="Times New Roman" w:cs="Times New Roman"/>
          <w:sz w:val="22"/>
          <w:szCs w:val="22"/>
        </w:rPr>
        <w:t xml:space="preserve">, </w:t>
      </w:r>
      <w:r w:rsidR="00E74FF8" w:rsidRPr="00047A9D">
        <w:rPr>
          <w:rFonts w:ascii="Times New Roman" w:hAnsi="Times New Roman" w:cs="Times New Roman"/>
          <w:i/>
          <w:sz w:val="22"/>
          <w:szCs w:val="22"/>
        </w:rPr>
        <w:t>Resisting Racism,</w:t>
      </w:r>
      <w:r w:rsidRPr="00047A9D">
        <w:rPr>
          <w:rFonts w:ascii="Times New Roman" w:hAnsi="Times New Roman" w:cs="Times New Roman"/>
          <w:sz w:val="22"/>
          <w:szCs w:val="22"/>
        </w:rPr>
        <w:t xml:space="preserve"> for related analysis.</w:t>
      </w:r>
    </w:p>
  </w:footnote>
  <w:footnote w:id="436">
    <w:p w14:paraId="04EAE65A" w14:textId="1A05EE41" w:rsidR="00B92C8F" w:rsidRPr="00047A9D" w:rsidRDefault="00B92C8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E0D30" w:rsidRPr="00047A9D">
        <w:rPr>
          <w:rFonts w:ascii="Times New Roman" w:hAnsi="Times New Roman" w:cs="Times New Roman"/>
          <w:sz w:val="22"/>
          <w:szCs w:val="22"/>
        </w:rPr>
        <w:t xml:space="preserve">Sharon Ellis, </w:t>
      </w:r>
      <w:r w:rsidR="00BA2893" w:rsidRPr="00047A9D">
        <w:rPr>
          <w:rFonts w:ascii="Times New Roman" w:hAnsi="Times New Roman" w:cs="Times New Roman"/>
          <w:sz w:val="22"/>
          <w:szCs w:val="22"/>
        </w:rPr>
        <w:t>‘“Labour Says You're Black but Conservative say You're British.” Conservative Election Advertisement 1983</w:t>
      </w:r>
      <w:r w:rsidR="00DE0D30" w:rsidRPr="00047A9D">
        <w:rPr>
          <w:rFonts w:ascii="Times New Roman" w:hAnsi="Times New Roman" w:cs="Times New Roman"/>
          <w:sz w:val="22"/>
          <w:szCs w:val="22"/>
        </w:rPr>
        <w:t xml:space="preserve">’, in </w:t>
      </w:r>
      <w:r w:rsidR="002908EF" w:rsidRPr="00047A9D">
        <w:rPr>
          <w:rFonts w:ascii="Times New Roman" w:hAnsi="Times New Roman" w:cs="Times New Roman"/>
          <w:sz w:val="22"/>
          <w:szCs w:val="22"/>
        </w:rPr>
        <w:t xml:space="preserve">McGilchrist (ed.), </w:t>
      </w:r>
      <w:r w:rsidR="002908EF" w:rsidRPr="00047A9D">
        <w:rPr>
          <w:rFonts w:ascii="Times New Roman" w:hAnsi="Times New Roman" w:cs="Times New Roman"/>
          <w:i/>
          <w:sz w:val="22"/>
          <w:szCs w:val="22"/>
        </w:rPr>
        <w:t>Black Voices</w:t>
      </w:r>
      <w:r w:rsidR="00DE0D30" w:rsidRPr="00047A9D">
        <w:rPr>
          <w:rFonts w:ascii="Times New Roman" w:hAnsi="Times New Roman" w:cs="Times New Roman"/>
          <w:i/>
          <w:sz w:val="22"/>
          <w:szCs w:val="22"/>
        </w:rPr>
        <w:t>,</w:t>
      </w:r>
      <w:r w:rsidR="00BA2893" w:rsidRPr="00047A9D">
        <w:rPr>
          <w:rFonts w:ascii="Times New Roman" w:hAnsi="Times New Roman" w:cs="Times New Roman"/>
          <w:i/>
          <w:sz w:val="22"/>
          <w:szCs w:val="22"/>
        </w:rPr>
        <w:t xml:space="preserve"> </w:t>
      </w:r>
      <w:r w:rsidR="00BA2893" w:rsidRPr="00047A9D">
        <w:rPr>
          <w:rFonts w:ascii="Times New Roman" w:hAnsi="Times New Roman" w:cs="Times New Roman"/>
          <w:sz w:val="22"/>
          <w:szCs w:val="22"/>
        </w:rPr>
        <w:t>226-28,</w:t>
      </w:r>
      <w:r w:rsidR="00DE0D30" w:rsidRPr="00047A9D">
        <w:rPr>
          <w:rFonts w:ascii="Times New Roman" w:hAnsi="Times New Roman" w:cs="Times New Roman"/>
          <w:i/>
          <w:sz w:val="22"/>
          <w:szCs w:val="22"/>
        </w:rPr>
        <w:t xml:space="preserve"> </w:t>
      </w:r>
      <w:r w:rsidR="00B94391" w:rsidRPr="00047A9D">
        <w:rPr>
          <w:rFonts w:ascii="Times New Roman" w:hAnsi="Times New Roman" w:cs="Times New Roman"/>
          <w:sz w:val="22"/>
          <w:szCs w:val="22"/>
        </w:rPr>
        <w:t>p</w:t>
      </w:r>
      <w:r w:rsidRPr="00047A9D">
        <w:rPr>
          <w:rFonts w:ascii="Times New Roman" w:hAnsi="Times New Roman" w:cs="Times New Roman"/>
          <w:sz w:val="22"/>
          <w:szCs w:val="22"/>
        </w:rPr>
        <w:t>.226</w:t>
      </w:r>
      <w:r w:rsidR="00BA2893" w:rsidRPr="00047A9D">
        <w:rPr>
          <w:rFonts w:ascii="Times New Roman" w:hAnsi="Times New Roman" w:cs="Times New Roman"/>
          <w:sz w:val="22"/>
          <w:szCs w:val="22"/>
        </w:rPr>
        <w:t>.</w:t>
      </w:r>
    </w:p>
  </w:footnote>
  <w:footnote w:id="437">
    <w:p w14:paraId="4293AF8F" w14:textId="732C06DD" w:rsidR="00B92C8F" w:rsidRPr="00047A9D" w:rsidRDefault="00B92C8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A2893" w:rsidRPr="00047A9D">
        <w:rPr>
          <w:rFonts w:ascii="Times New Roman" w:hAnsi="Times New Roman" w:cs="Times New Roman"/>
          <w:sz w:val="22"/>
          <w:szCs w:val="22"/>
        </w:rPr>
        <w:t xml:space="preserve">Derek Jones, </w:t>
      </w:r>
      <w:r w:rsidR="00536112" w:rsidRPr="00047A9D">
        <w:rPr>
          <w:rFonts w:ascii="Times New Roman" w:hAnsi="Times New Roman" w:cs="Times New Roman"/>
          <w:sz w:val="22"/>
          <w:szCs w:val="22"/>
        </w:rPr>
        <w:t xml:space="preserve">‘A Black British Childhood’, in </w:t>
      </w:r>
      <w:r w:rsidR="00603639" w:rsidRPr="00047A9D">
        <w:rPr>
          <w:rFonts w:ascii="Times New Roman" w:hAnsi="Times New Roman" w:cs="Times New Roman"/>
          <w:sz w:val="22"/>
          <w:szCs w:val="22"/>
        </w:rPr>
        <w:t xml:space="preserve">McGilchrist (ed.), </w:t>
      </w:r>
      <w:r w:rsidR="00603639" w:rsidRPr="00047A9D">
        <w:rPr>
          <w:rFonts w:ascii="Times New Roman" w:hAnsi="Times New Roman" w:cs="Times New Roman"/>
          <w:i/>
          <w:sz w:val="22"/>
          <w:szCs w:val="22"/>
        </w:rPr>
        <w:t>Black Voices</w:t>
      </w:r>
      <w:r w:rsidR="00536112" w:rsidRPr="00047A9D">
        <w:rPr>
          <w:rFonts w:ascii="Times New Roman" w:hAnsi="Times New Roman" w:cs="Times New Roman"/>
          <w:i/>
          <w:sz w:val="22"/>
          <w:szCs w:val="22"/>
        </w:rPr>
        <w:t xml:space="preserve">, </w:t>
      </w:r>
      <w:r w:rsidR="00536112" w:rsidRPr="00047A9D">
        <w:rPr>
          <w:rFonts w:ascii="Times New Roman" w:hAnsi="Times New Roman" w:cs="Times New Roman"/>
          <w:sz w:val="22"/>
          <w:szCs w:val="22"/>
        </w:rPr>
        <w:t>229-30, p</w:t>
      </w:r>
      <w:r w:rsidRPr="00047A9D">
        <w:rPr>
          <w:rFonts w:ascii="Times New Roman" w:hAnsi="Times New Roman" w:cs="Times New Roman"/>
          <w:sz w:val="22"/>
          <w:szCs w:val="22"/>
        </w:rPr>
        <w:t>.229.</w:t>
      </w:r>
    </w:p>
  </w:footnote>
  <w:footnote w:id="438">
    <w:p w14:paraId="28AF4832" w14:textId="72E935D1" w:rsidR="00865591" w:rsidRPr="00047A9D" w:rsidRDefault="0086559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54711" w:rsidRPr="00047A9D">
        <w:rPr>
          <w:rFonts w:ascii="Times New Roman" w:hAnsi="Times New Roman" w:cs="Times New Roman"/>
          <w:sz w:val="22"/>
          <w:szCs w:val="22"/>
        </w:rPr>
        <w:t>Stuart Ramsay (Director),</w:t>
      </w:r>
      <w:r w:rsidR="00E54711" w:rsidRPr="00047A9D">
        <w:rPr>
          <w:rFonts w:ascii="Times New Roman" w:hAnsi="Times New Roman" w:cs="Times New Roman"/>
          <w:i/>
          <w:sz w:val="22"/>
          <w:szCs w:val="22"/>
        </w:rPr>
        <w:t xml:space="preserve"> When Bob Marley Came to Britain, </w:t>
      </w:r>
      <w:r w:rsidR="00E54711" w:rsidRPr="00047A9D">
        <w:rPr>
          <w:rFonts w:ascii="Times New Roman" w:hAnsi="Times New Roman" w:cs="Times New Roman"/>
          <w:sz w:val="22"/>
          <w:szCs w:val="22"/>
        </w:rPr>
        <w:t>Wise Owl Films, 2020.</w:t>
      </w:r>
    </w:p>
  </w:footnote>
  <w:footnote w:id="439">
    <w:p w14:paraId="5626CC04" w14:textId="4B010208" w:rsidR="00354161" w:rsidRPr="00047A9D" w:rsidRDefault="0035416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Garrison, </w:t>
      </w:r>
      <w:r w:rsidRPr="00047A9D">
        <w:rPr>
          <w:rFonts w:ascii="Times New Roman" w:hAnsi="Times New Roman" w:cs="Times New Roman"/>
          <w:i/>
          <w:sz w:val="22"/>
          <w:szCs w:val="22"/>
        </w:rPr>
        <w:t xml:space="preserve">Black Youth, </w:t>
      </w:r>
      <w:r w:rsidRPr="00047A9D">
        <w:rPr>
          <w:rFonts w:ascii="Times New Roman" w:hAnsi="Times New Roman" w:cs="Times New Roman"/>
          <w:sz w:val="22"/>
          <w:szCs w:val="22"/>
        </w:rPr>
        <w:t>p</w:t>
      </w:r>
      <w:r w:rsidR="00301681" w:rsidRPr="00047A9D">
        <w:rPr>
          <w:rFonts w:ascii="Times New Roman" w:hAnsi="Times New Roman" w:cs="Times New Roman"/>
          <w:sz w:val="22"/>
          <w:szCs w:val="22"/>
        </w:rPr>
        <w:t>p</w:t>
      </w:r>
      <w:r w:rsidRPr="00047A9D">
        <w:rPr>
          <w:rFonts w:ascii="Times New Roman" w:hAnsi="Times New Roman" w:cs="Times New Roman"/>
          <w:sz w:val="22"/>
          <w:szCs w:val="22"/>
        </w:rPr>
        <w:t>.</w:t>
      </w:r>
      <w:r w:rsidR="00857D46" w:rsidRPr="00047A9D">
        <w:rPr>
          <w:rFonts w:ascii="Times New Roman" w:hAnsi="Times New Roman" w:cs="Times New Roman"/>
          <w:sz w:val="22"/>
          <w:szCs w:val="22"/>
        </w:rPr>
        <w:t>1</w:t>
      </w:r>
      <w:r w:rsidR="00301681" w:rsidRPr="00047A9D">
        <w:rPr>
          <w:rFonts w:ascii="Times New Roman" w:hAnsi="Times New Roman" w:cs="Times New Roman"/>
          <w:sz w:val="22"/>
          <w:szCs w:val="22"/>
        </w:rPr>
        <w:t>, 6-7</w:t>
      </w:r>
      <w:r w:rsidR="00857D46" w:rsidRPr="00047A9D">
        <w:rPr>
          <w:rFonts w:ascii="Times New Roman" w:hAnsi="Times New Roman" w:cs="Times New Roman"/>
          <w:sz w:val="22"/>
          <w:szCs w:val="22"/>
        </w:rPr>
        <w:t>.</w:t>
      </w:r>
    </w:p>
  </w:footnote>
  <w:footnote w:id="440">
    <w:p w14:paraId="279F234C" w14:textId="35E4B00E" w:rsidR="00D30CD6" w:rsidRPr="00047A9D" w:rsidRDefault="00D30CD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74D32" w:rsidRPr="00047A9D">
        <w:rPr>
          <w:rFonts w:ascii="Times New Roman" w:hAnsi="Times New Roman" w:cs="Times New Roman"/>
          <w:sz w:val="22"/>
          <w:szCs w:val="22"/>
        </w:rPr>
        <w:t xml:space="preserve">Garrison, </w:t>
      </w:r>
      <w:r w:rsidR="00574D32" w:rsidRPr="00047A9D">
        <w:rPr>
          <w:rFonts w:ascii="Times New Roman" w:hAnsi="Times New Roman" w:cs="Times New Roman"/>
          <w:i/>
          <w:sz w:val="22"/>
          <w:szCs w:val="22"/>
        </w:rPr>
        <w:t>Black Youth</w:t>
      </w:r>
      <w:r w:rsidR="008A6A67" w:rsidRPr="00047A9D">
        <w:rPr>
          <w:rFonts w:ascii="Times New Roman" w:hAnsi="Times New Roman" w:cs="Times New Roman"/>
          <w:i/>
          <w:sz w:val="22"/>
          <w:szCs w:val="22"/>
        </w:rPr>
        <w:t xml:space="preserve">, </w:t>
      </w:r>
      <w:r w:rsidR="008A6A67" w:rsidRPr="00047A9D">
        <w:rPr>
          <w:rFonts w:ascii="Times New Roman" w:hAnsi="Times New Roman" w:cs="Times New Roman"/>
          <w:sz w:val="22"/>
          <w:szCs w:val="22"/>
        </w:rPr>
        <w:t>pp.10, 11.</w:t>
      </w:r>
    </w:p>
  </w:footnote>
  <w:footnote w:id="441">
    <w:p w14:paraId="3A583314" w14:textId="5067D49D" w:rsidR="006C5338" w:rsidRPr="00047A9D" w:rsidRDefault="006C533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95CE1" w:rsidRPr="00047A9D">
        <w:rPr>
          <w:rFonts w:ascii="Times New Roman" w:hAnsi="Times New Roman" w:cs="Times New Roman"/>
          <w:sz w:val="22"/>
          <w:szCs w:val="22"/>
        </w:rPr>
        <w:t xml:space="preserve">First articulated in a televised lecture in 1962, subsequently published as Hugh Trevor-Roper, </w:t>
      </w:r>
      <w:r w:rsidR="00295CE1" w:rsidRPr="00047A9D">
        <w:rPr>
          <w:rFonts w:ascii="Times New Roman" w:hAnsi="Times New Roman" w:cs="Times New Roman"/>
          <w:i/>
          <w:sz w:val="22"/>
          <w:szCs w:val="22"/>
        </w:rPr>
        <w:t xml:space="preserve">The Rise of Christian Europe </w:t>
      </w:r>
      <w:r w:rsidR="00295CE1" w:rsidRPr="00047A9D">
        <w:rPr>
          <w:rFonts w:ascii="Times New Roman" w:hAnsi="Times New Roman" w:cs="Times New Roman"/>
          <w:sz w:val="22"/>
          <w:szCs w:val="22"/>
        </w:rPr>
        <w:t>(London: Thames and Hudson, 1965), p.9.</w:t>
      </w:r>
      <w:r w:rsidR="00F74ECD" w:rsidRPr="00047A9D">
        <w:rPr>
          <w:rFonts w:ascii="Times New Roman" w:hAnsi="Times New Roman" w:cs="Times New Roman"/>
          <w:sz w:val="22"/>
          <w:szCs w:val="22"/>
        </w:rPr>
        <w:t xml:space="preserve"> </w:t>
      </w:r>
      <w:r w:rsidR="00295CE1" w:rsidRPr="00047A9D">
        <w:rPr>
          <w:rFonts w:ascii="Times New Roman" w:hAnsi="Times New Roman" w:cs="Times New Roman"/>
          <w:sz w:val="22"/>
          <w:szCs w:val="22"/>
        </w:rPr>
        <w:t>See</w:t>
      </w:r>
      <w:r w:rsidR="00F74ECD" w:rsidRPr="00047A9D">
        <w:rPr>
          <w:rFonts w:ascii="Times New Roman" w:hAnsi="Times New Roman" w:cs="Times New Roman"/>
          <w:sz w:val="22"/>
          <w:szCs w:val="22"/>
        </w:rPr>
        <w:t xml:space="preserve"> also</w:t>
      </w:r>
      <w:r w:rsidR="00295CE1" w:rsidRPr="00047A9D">
        <w:rPr>
          <w:rFonts w:ascii="Times New Roman" w:hAnsi="Times New Roman" w:cs="Times New Roman"/>
          <w:sz w:val="22"/>
          <w:szCs w:val="22"/>
        </w:rPr>
        <w:t xml:space="preserve"> Hugh Trevor-Roper, ‘The Past and Present: History and Sociology’, </w:t>
      </w:r>
      <w:r w:rsidR="00295CE1" w:rsidRPr="00047A9D">
        <w:rPr>
          <w:rFonts w:ascii="Times New Roman" w:hAnsi="Times New Roman" w:cs="Times New Roman"/>
          <w:i/>
          <w:sz w:val="22"/>
          <w:szCs w:val="22"/>
        </w:rPr>
        <w:t>Past and Present</w:t>
      </w:r>
      <w:r w:rsidR="00295CE1" w:rsidRPr="00047A9D">
        <w:rPr>
          <w:rFonts w:ascii="Times New Roman" w:hAnsi="Times New Roman" w:cs="Times New Roman"/>
          <w:sz w:val="22"/>
          <w:szCs w:val="22"/>
        </w:rPr>
        <w:t xml:space="preserve"> 42 (1969)</w:t>
      </w:r>
      <w:r w:rsidR="00F74ECD" w:rsidRPr="00047A9D">
        <w:rPr>
          <w:rFonts w:ascii="Times New Roman" w:hAnsi="Times New Roman" w:cs="Times New Roman"/>
          <w:sz w:val="22"/>
          <w:szCs w:val="22"/>
        </w:rPr>
        <w:t>,</w:t>
      </w:r>
      <w:r w:rsidR="00295CE1" w:rsidRPr="00047A9D">
        <w:rPr>
          <w:rFonts w:ascii="Times New Roman" w:hAnsi="Times New Roman" w:cs="Times New Roman"/>
          <w:sz w:val="22"/>
          <w:szCs w:val="22"/>
        </w:rPr>
        <w:t xml:space="preserve"> 3-17.</w:t>
      </w:r>
    </w:p>
  </w:footnote>
  <w:footnote w:id="442">
    <w:p w14:paraId="064E8ECD" w14:textId="17312684" w:rsidR="00865591" w:rsidRPr="00047A9D" w:rsidRDefault="0086559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72954" w:rsidRPr="00047A9D">
        <w:rPr>
          <w:rFonts w:ascii="Times New Roman" w:hAnsi="Times New Roman" w:cs="Times New Roman"/>
          <w:sz w:val="22"/>
          <w:szCs w:val="22"/>
        </w:rPr>
        <w:t xml:space="preserve">Garrison, </w:t>
      </w:r>
      <w:r w:rsidR="00572954" w:rsidRPr="00047A9D">
        <w:rPr>
          <w:rFonts w:ascii="Times New Roman" w:hAnsi="Times New Roman" w:cs="Times New Roman"/>
          <w:i/>
          <w:sz w:val="22"/>
          <w:szCs w:val="22"/>
        </w:rPr>
        <w:t xml:space="preserve">Black Youth, </w:t>
      </w:r>
      <w:r w:rsidR="00572954" w:rsidRPr="00047A9D">
        <w:rPr>
          <w:rFonts w:ascii="Times New Roman" w:hAnsi="Times New Roman" w:cs="Times New Roman"/>
          <w:sz w:val="22"/>
          <w:szCs w:val="22"/>
        </w:rPr>
        <w:t>p.26</w:t>
      </w:r>
      <w:r w:rsidR="00971DC8" w:rsidRPr="00047A9D">
        <w:rPr>
          <w:rFonts w:ascii="Times New Roman" w:hAnsi="Times New Roman" w:cs="Times New Roman"/>
          <w:i/>
          <w:sz w:val="22"/>
          <w:szCs w:val="22"/>
        </w:rPr>
        <w:t>.</w:t>
      </w:r>
    </w:p>
  </w:footnote>
  <w:footnote w:id="443">
    <w:p w14:paraId="0EC8FDE8" w14:textId="4F256F39" w:rsidR="00865591" w:rsidRPr="00047A9D" w:rsidRDefault="0086559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06481" w:rsidRPr="00047A9D">
        <w:rPr>
          <w:rFonts w:ascii="Times New Roman" w:hAnsi="Times New Roman" w:cs="Times New Roman"/>
          <w:sz w:val="22"/>
          <w:szCs w:val="22"/>
        </w:rPr>
        <w:t>Leander, ‘What Makes a Black Person Black</w:t>
      </w:r>
      <w:r w:rsidR="00C34002" w:rsidRPr="00047A9D">
        <w:rPr>
          <w:rFonts w:ascii="Times New Roman" w:hAnsi="Times New Roman" w:cs="Times New Roman"/>
          <w:sz w:val="22"/>
          <w:szCs w:val="22"/>
        </w:rPr>
        <w:t>?</w:t>
      </w:r>
      <w:r w:rsidR="00306481" w:rsidRPr="00047A9D">
        <w:rPr>
          <w:rFonts w:ascii="Times New Roman" w:hAnsi="Times New Roman" w:cs="Times New Roman"/>
          <w:sz w:val="22"/>
          <w:szCs w:val="22"/>
        </w:rPr>
        <w:t>’, p</w:t>
      </w:r>
      <w:r w:rsidRPr="00047A9D">
        <w:rPr>
          <w:rFonts w:ascii="Times New Roman" w:hAnsi="Times New Roman" w:cs="Times New Roman"/>
          <w:sz w:val="22"/>
          <w:szCs w:val="22"/>
        </w:rPr>
        <w:t>.17</w:t>
      </w:r>
      <w:r w:rsidR="00306481" w:rsidRPr="00047A9D">
        <w:rPr>
          <w:rFonts w:ascii="Times New Roman" w:hAnsi="Times New Roman" w:cs="Times New Roman"/>
          <w:sz w:val="22"/>
          <w:szCs w:val="22"/>
        </w:rPr>
        <w:t>.</w:t>
      </w:r>
    </w:p>
  </w:footnote>
  <w:footnote w:id="444">
    <w:p w14:paraId="36C2E8E0" w14:textId="6A9742CB" w:rsidR="00B92C8F" w:rsidRPr="00047A9D" w:rsidRDefault="00B92C8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A557DF" w:rsidRPr="00047A9D">
        <w:rPr>
          <w:rFonts w:ascii="Times New Roman" w:hAnsi="Times New Roman" w:cs="Times New Roman"/>
          <w:sz w:val="22"/>
          <w:szCs w:val="22"/>
        </w:rPr>
        <w:t xml:space="preserve"> J. Ellis,</w:t>
      </w:r>
      <w:r w:rsidR="008678F5" w:rsidRPr="00047A9D">
        <w:rPr>
          <w:rFonts w:ascii="Times New Roman" w:hAnsi="Times New Roman" w:cs="Times New Roman"/>
          <w:sz w:val="22"/>
          <w:szCs w:val="22"/>
        </w:rPr>
        <w:t xml:space="preserve"> ‘</w:t>
      </w:r>
      <w:r w:rsidR="007B236C" w:rsidRPr="00047A9D">
        <w:rPr>
          <w:rFonts w:ascii="Times New Roman" w:hAnsi="Times New Roman" w:cs="Times New Roman"/>
          <w:sz w:val="22"/>
          <w:szCs w:val="22"/>
        </w:rPr>
        <w:t>Britain is my Home, but Africa is Part of my Heritage Because...</w:t>
      </w:r>
      <w:r w:rsidR="008678F5" w:rsidRPr="00047A9D">
        <w:rPr>
          <w:rFonts w:ascii="Times New Roman" w:hAnsi="Times New Roman" w:cs="Times New Roman"/>
          <w:sz w:val="22"/>
          <w:szCs w:val="22"/>
        </w:rPr>
        <w:t>’</w:t>
      </w:r>
      <w:r w:rsidR="007B236C" w:rsidRPr="00047A9D">
        <w:rPr>
          <w:rFonts w:ascii="Times New Roman" w:hAnsi="Times New Roman" w:cs="Times New Roman"/>
          <w:sz w:val="22"/>
          <w:szCs w:val="22"/>
        </w:rPr>
        <w:t>,</w:t>
      </w:r>
      <w:r w:rsidR="008678F5" w:rsidRPr="00047A9D">
        <w:rPr>
          <w:rFonts w:ascii="Times New Roman" w:hAnsi="Times New Roman" w:cs="Times New Roman"/>
          <w:sz w:val="22"/>
          <w:szCs w:val="22"/>
        </w:rPr>
        <w:t xml:space="preserve"> in McGilchrist (ed.), </w:t>
      </w:r>
      <w:r w:rsidR="008678F5" w:rsidRPr="00047A9D">
        <w:rPr>
          <w:rFonts w:ascii="Times New Roman" w:hAnsi="Times New Roman" w:cs="Times New Roman"/>
          <w:i/>
          <w:sz w:val="22"/>
          <w:szCs w:val="22"/>
        </w:rPr>
        <w:t>Black Voices</w:t>
      </w:r>
      <w:r w:rsidR="00B775E8" w:rsidRPr="00047A9D">
        <w:rPr>
          <w:rFonts w:ascii="Times New Roman" w:hAnsi="Times New Roman" w:cs="Times New Roman"/>
          <w:i/>
          <w:sz w:val="22"/>
          <w:szCs w:val="22"/>
        </w:rPr>
        <w:t>,</w:t>
      </w:r>
      <w:r w:rsidR="007B236C" w:rsidRPr="00047A9D">
        <w:rPr>
          <w:rFonts w:ascii="Times New Roman" w:hAnsi="Times New Roman" w:cs="Times New Roman"/>
          <w:sz w:val="22"/>
          <w:szCs w:val="22"/>
        </w:rPr>
        <w:t xml:space="preserve"> 88-90, p.88</w:t>
      </w:r>
      <w:r w:rsidR="00B775E8" w:rsidRPr="00047A9D">
        <w:rPr>
          <w:rFonts w:ascii="Times New Roman" w:hAnsi="Times New Roman" w:cs="Times New Roman"/>
          <w:sz w:val="22"/>
          <w:szCs w:val="22"/>
        </w:rPr>
        <w:t>;</w:t>
      </w:r>
      <w:r w:rsidRPr="00047A9D">
        <w:rPr>
          <w:rFonts w:ascii="Times New Roman" w:hAnsi="Times New Roman" w:cs="Times New Roman"/>
          <w:sz w:val="22"/>
          <w:szCs w:val="22"/>
        </w:rPr>
        <w:t xml:space="preserve"> </w:t>
      </w:r>
      <w:r w:rsidR="00B775E8" w:rsidRPr="00047A9D">
        <w:rPr>
          <w:rFonts w:ascii="Times New Roman" w:hAnsi="Times New Roman" w:cs="Times New Roman"/>
          <w:sz w:val="22"/>
          <w:szCs w:val="22"/>
        </w:rPr>
        <w:t xml:space="preserve">James A. </w:t>
      </w:r>
      <w:r w:rsidRPr="00047A9D">
        <w:rPr>
          <w:rFonts w:ascii="Times New Roman" w:hAnsi="Times New Roman" w:cs="Times New Roman"/>
          <w:sz w:val="22"/>
          <w:szCs w:val="22"/>
        </w:rPr>
        <w:t xml:space="preserve">Hijiya, </w:t>
      </w:r>
      <w:r w:rsidR="00B775E8" w:rsidRPr="00047A9D">
        <w:rPr>
          <w:rFonts w:ascii="Times New Roman" w:hAnsi="Times New Roman" w:cs="Times New Roman"/>
          <w:sz w:val="22"/>
          <w:szCs w:val="22"/>
        </w:rPr>
        <w:t>‘</w:t>
      </w:r>
      <w:r w:rsidRPr="00047A9D">
        <w:rPr>
          <w:rFonts w:ascii="Times New Roman" w:hAnsi="Times New Roman" w:cs="Times New Roman"/>
          <w:sz w:val="22"/>
          <w:szCs w:val="22"/>
        </w:rPr>
        <w:t>Roots: Family and Ethnicity in the 1970s</w:t>
      </w:r>
      <w:r w:rsidR="00B775E8" w:rsidRPr="00047A9D">
        <w:rPr>
          <w:rFonts w:ascii="Times New Roman" w:hAnsi="Times New Roman" w:cs="Times New Roman"/>
          <w:sz w:val="22"/>
          <w:szCs w:val="22"/>
        </w:rPr>
        <w:t>’,</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American Quarterly</w:t>
      </w:r>
      <w:r w:rsidR="00B775E8" w:rsidRPr="00047A9D">
        <w:rPr>
          <w:rFonts w:ascii="Times New Roman" w:hAnsi="Times New Roman" w:cs="Times New Roman"/>
          <w:sz w:val="22"/>
          <w:szCs w:val="22"/>
        </w:rPr>
        <w:t xml:space="preserve"> </w:t>
      </w:r>
      <w:r w:rsidRPr="00047A9D">
        <w:rPr>
          <w:rFonts w:ascii="Times New Roman" w:hAnsi="Times New Roman" w:cs="Times New Roman"/>
          <w:sz w:val="22"/>
          <w:szCs w:val="22"/>
        </w:rPr>
        <w:t>30</w:t>
      </w:r>
      <w:r w:rsidR="00F90227" w:rsidRPr="00047A9D">
        <w:rPr>
          <w:rFonts w:ascii="Times New Roman" w:hAnsi="Times New Roman" w:cs="Times New Roman"/>
          <w:sz w:val="22"/>
          <w:szCs w:val="22"/>
        </w:rPr>
        <w:t>.</w:t>
      </w:r>
      <w:r w:rsidRPr="00047A9D">
        <w:rPr>
          <w:rFonts w:ascii="Times New Roman" w:hAnsi="Times New Roman" w:cs="Times New Roman"/>
          <w:sz w:val="22"/>
          <w:szCs w:val="22"/>
        </w:rPr>
        <w:t>4</w:t>
      </w:r>
      <w:r w:rsidR="002F37C9" w:rsidRPr="00047A9D">
        <w:rPr>
          <w:rFonts w:ascii="Times New Roman" w:hAnsi="Times New Roman" w:cs="Times New Roman"/>
          <w:sz w:val="22"/>
          <w:szCs w:val="22"/>
        </w:rPr>
        <w:t xml:space="preserve"> (</w:t>
      </w:r>
      <w:r w:rsidRPr="00047A9D">
        <w:rPr>
          <w:rFonts w:ascii="Times New Roman" w:hAnsi="Times New Roman" w:cs="Times New Roman"/>
          <w:sz w:val="22"/>
          <w:szCs w:val="22"/>
        </w:rPr>
        <w:t>1978</w:t>
      </w:r>
      <w:r w:rsidR="002F37C9" w:rsidRPr="00047A9D">
        <w:rPr>
          <w:rFonts w:ascii="Times New Roman" w:hAnsi="Times New Roman" w:cs="Times New Roman"/>
          <w:sz w:val="22"/>
          <w:szCs w:val="22"/>
        </w:rPr>
        <w:t>)</w:t>
      </w:r>
      <w:r w:rsidR="004B0EDE" w:rsidRPr="00047A9D">
        <w:rPr>
          <w:rFonts w:ascii="Times New Roman" w:hAnsi="Times New Roman" w:cs="Times New Roman"/>
          <w:sz w:val="22"/>
          <w:szCs w:val="22"/>
        </w:rPr>
        <w:t>,</w:t>
      </w:r>
      <w:r w:rsidRPr="00047A9D">
        <w:rPr>
          <w:rFonts w:ascii="Times New Roman" w:hAnsi="Times New Roman" w:cs="Times New Roman"/>
          <w:sz w:val="22"/>
          <w:szCs w:val="22"/>
        </w:rPr>
        <w:t xml:space="preserve"> 548–56; </w:t>
      </w:r>
      <w:r w:rsidR="004A28BD" w:rsidRPr="00047A9D">
        <w:rPr>
          <w:rFonts w:ascii="Times New Roman" w:hAnsi="Times New Roman" w:cs="Times New Roman"/>
          <w:sz w:val="22"/>
          <w:szCs w:val="22"/>
        </w:rPr>
        <w:t>John Dugdale, 'Roots of the problem: the controversial history of Alex Haley</w:t>
      </w:r>
      <w:r w:rsidR="00805AA3" w:rsidRPr="00047A9D">
        <w:rPr>
          <w:rFonts w:ascii="Times New Roman" w:hAnsi="Times New Roman" w:cs="Times New Roman"/>
          <w:sz w:val="22"/>
          <w:szCs w:val="22"/>
        </w:rPr>
        <w:t>’</w:t>
      </w:r>
      <w:r w:rsidR="004A28BD" w:rsidRPr="00047A9D">
        <w:rPr>
          <w:rFonts w:ascii="Times New Roman" w:hAnsi="Times New Roman" w:cs="Times New Roman"/>
          <w:sz w:val="22"/>
          <w:szCs w:val="22"/>
        </w:rPr>
        <w:t xml:space="preserve">s book', </w:t>
      </w:r>
      <w:r w:rsidR="004A28BD" w:rsidRPr="00047A9D">
        <w:rPr>
          <w:rFonts w:ascii="Times New Roman" w:hAnsi="Times New Roman" w:cs="Times New Roman"/>
          <w:i/>
          <w:sz w:val="22"/>
          <w:szCs w:val="22"/>
        </w:rPr>
        <w:t>Guardian</w:t>
      </w:r>
      <w:r w:rsidR="004A28BD" w:rsidRPr="00047A9D">
        <w:rPr>
          <w:rFonts w:ascii="Times New Roman" w:hAnsi="Times New Roman" w:cs="Times New Roman"/>
          <w:sz w:val="22"/>
          <w:szCs w:val="22"/>
        </w:rPr>
        <w:t>, 9 February 2017</w:t>
      </w:r>
      <w:r w:rsidR="00A77455">
        <w:rPr>
          <w:rFonts w:ascii="Times New Roman" w:hAnsi="Times New Roman" w:cs="Times New Roman"/>
          <w:sz w:val="22"/>
          <w:szCs w:val="22"/>
        </w:rPr>
        <w:t>,</w:t>
      </w:r>
      <w:r w:rsidR="004A28BD" w:rsidRPr="00047A9D">
        <w:rPr>
          <w:rFonts w:ascii="Times New Roman" w:hAnsi="Times New Roman" w:cs="Times New Roman"/>
          <w:sz w:val="22"/>
          <w:szCs w:val="22"/>
        </w:rPr>
        <w:t xml:space="preserve"> &lt;https://www.theguardian.com/books/booksblog/2017/feb/09/alex-haley-roots-reputation-authenticity&gt; [accessed 25 June 2023].</w:t>
      </w:r>
    </w:p>
  </w:footnote>
  <w:footnote w:id="445">
    <w:p w14:paraId="636B72B0" w14:textId="68A31136" w:rsidR="00093D5E" w:rsidRPr="00047A9D" w:rsidRDefault="00093D5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316E" w:rsidRPr="00047A9D">
        <w:rPr>
          <w:rFonts w:ascii="Times New Roman" w:hAnsi="Times New Roman" w:cs="Times New Roman"/>
          <w:sz w:val="22"/>
          <w:szCs w:val="22"/>
        </w:rPr>
        <w:t>Leonard (Levi Tafari) Kelly</w:t>
      </w:r>
      <w:r w:rsidR="000A3E26" w:rsidRPr="00047A9D">
        <w:rPr>
          <w:rFonts w:ascii="Times New Roman" w:hAnsi="Times New Roman" w:cs="Times New Roman"/>
          <w:sz w:val="22"/>
          <w:szCs w:val="22"/>
        </w:rPr>
        <w:t>, ‘Black Roots in Babylon’</w:t>
      </w:r>
      <w:r w:rsidR="001D4C3F" w:rsidRPr="00047A9D">
        <w:rPr>
          <w:rFonts w:ascii="Times New Roman" w:hAnsi="Times New Roman" w:cs="Times New Roman"/>
          <w:sz w:val="22"/>
          <w:szCs w:val="22"/>
        </w:rPr>
        <w:t xml:space="preserve">, McGilchrist (ed.), </w:t>
      </w:r>
      <w:r w:rsidR="001D4C3F" w:rsidRPr="00047A9D">
        <w:rPr>
          <w:rFonts w:ascii="Times New Roman" w:hAnsi="Times New Roman" w:cs="Times New Roman"/>
          <w:i/>
          <w:sz w:val="22"/>
          <w:szCs w:val="22"/>
        </w:rPr>
        <w:t>Black Voices</w:t>
      </w:r>
      <w:r w:rsidR="001D4C3F" w:rsidRPr="00047A9D">
        <w:rPr>
          <w:rFonts w:ascii="Times New Roman" w:hAnsi="Times New Roman" w:cs="Times New Roman"/>
          <w:sz w:val="22"/>
          <w:szCs w:val="22"/>
        </w:rPr>
        <w:t>, 54-55</w:t>
      </w:r>
      <w:r w:rsidR="00DB1EC0" w:rsidRPr="00047A9D">
        <w:rPr>
          <w:rFonts w:ascii="Times New Roman" w:hAnsi="Times New Roman" w:cs="Times New Roman"/>
          <w:sz w:val="22"/>
          <w:szCs w:val="22"/>
        </w:rPr>
        <w:t>, p.</w:t>
      </w:r>
      <w:r w:rsidRPr="00047A9D">
        <w:rPr>
          <w:rFonts w:ascii="Times New Roman" w:hAnsi="Times New Roman" w:cs="Times New Roman"/>
          <w:sz w:val="22"/>
          <w:szCs w:val="22"/>
        </w:rPr>
        <w:t>54.</w:t>
      </w:r>
    </w:p>
  </w:footnote>
  <w:footnote w:id="446">
    <w:p w14:paraId="17556F35" w14:textId="7B25D10B" w:rsidR="00FE438E" w:rsidRPr="00047A9D" w:rsidRDefault="00FE438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149DA" w:rsidRPr="00047A9D">
        <w:rPr>
          <w:rFonts w:ascii="Times New Roman" w:hAnsi="Times New Roman" w:cs="Times New Roman"/>
          <w:sz w:val="22"/>
          <w:szCs w:val="22"/>
        </w:rPr>
        <w:t xml:space="preserve">Sharon Ellis, ‘What it Means to be Black and British’, in McGilchrist (ed.), </w:t>
      </w:r>
      <w:r w:rsidR="003149DA" w:rsidRPr="00047A9D">
        <w:rPr>
          <w:rFonts w:ascii="Times New Roman" w:hAnsi="Times New Roman" w:cs="Times New Roman"/>
          <w:i/>
          <w:sz w:val="22"/>
          <w:szCs w:val="22"/>
        </w:rPr>
        <w:t>Black Voices</w:t>
      </w:r>
      <w:r w:rsidR="003149DA" w:rsidRPr="00047A9D">
        <w:rPr>
          <w:rFonts w:ascii="Times New Roman" w:hAnsi="Times New Roman" w:cs="Times New Roman"/>
          <w:sz w:val="22"/>
          <w:szCs w:val="22"/>
        </w:rPr>
        <w:t>, 189-90,</w:t>
      </w:r>
      <w:r w:rsidR="003149DA" w:rsidRPr="00047A9D">
        <w:rPr>
          <w:rFonts w:ascii="Times New Roman" w:hAnsi="Times New Roman" w:cs="Times New Roman"/>
          <w:i/>
          <w:sz w:val="22"/>
          <w:szCs w:val="22"/>
        </w:rPr>
        <w:t xml:space="preserve"> </w:t>
      </w:r>
      <w:r w:rsidR="003149DA" w:rsidRPr="00047A9D">
        <w:rPr>
          <w:rFonts w:ascii="Times New Roman" w:hAnsi="Times New Roman" w:cs="Times New Roman"/>
          <w:sz w:val="22"/>
          <w:szCs w:val="22"/>
        </w:rPr>
        <w:t>p.189.</w:t>
      </w:r>
    </w:p>
  </w:footnote>
  <w:footnote w:id="447">
    <w:p w14:paraId="54884FE5" w14:textId="73152C1C" w:rsidR="004463F0" w:rsidRPr="00047A9D" w:rsidRDefault="004463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60E7D" w:rsidRPr="00047A9D">
        <w:rPr>
          <w:rFonts w:ascii="Times New Roman" w:hAnsi="Times New Roman" w:cs="Times New Roman"/>
          <w:sz w:val="22"/>
          <w:szCs w:val="22"/>
        </w:rPr>
        <w:t>Ellis, ‘Labour Says You're Black’,</w:t>
      </w:r>
      <w:r w:rsidR="00BB6A77" w:rsidRPr="00047A9D">
        <w:rPr>
          <w:rFonts w:ascii="Times New Roman" w:hAnsi="Times New Roman" w:cs="Times New Roman"/>
          <w:sz w:val="22"/>
          <w:szCs w:val="22"/>
        </w:rPr>
        <w:t xml:space="preserve"> in McGilchrist (ed.), </w:t>
      </w:r>
      <w:r w:rsidR="00BB6A77" w:rsidRPr="00047A9D">
        <w:rPr>
          <w:rFonts w:ascii="Times New Roman" w:hAnsi="Times New Roman" w:cs="Times New Roman"/>
          <w:i/>
          <w:sz w:val="22"/>
          <w:szCs w:val="22"/>
        </w:rPr>
        <w:t>Black Voices,</w:t>
      </w:r>
      <w:r w:rsidR="00660E7D" w:rsidRPr="00047A9D">
        <w:rPr>
          <w:rFonts w:ascii="Times New Roman" w:hAnsi="Times New Roman" w:cs="Times New Roman"/>
          <w:i/>
          <w:sz w:val="22"/>
          <w:szCs w:val="22"/>
        </w:rPr>
        <w:t xml:space="preserve"> </w:t>
      </w:r>
      <w:r w:rsidR="00660E7D" w:rsidRPr="00047A9D">
        <w:rPr>
          <w:rFonts w:ascii="Times New Roman" w:hAnsi="Times New Roman" w:cs="Times New Roman"/>
          <w:sz w:val="22"/>
          <w:szCs w:val="22"/>
        </w:rPr>
        <w:t>p.226.</w:t>
      </w:r>
    </w:p>
  </w:footnote>
  <w:footnote w:id="448">
    <w:p w14:paraId="5EED968E" w14:textId="11566A74" w:rsidR="00725C2D" w:rsidRPr="00047A9D" w:rsidRDefault="00725C2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35D69" w:rsidRPr="00047A9D">
        <w:rPr>
          <w:rFonts w:ascii="Times New Roman" w:hAnsi="Times New Roman" w:cs="Times New Roman"/>
          <w:sz w:val="22"/>
          <w:szCs w:val="22"/>
        </w:rPr>
        <w:t xml:space="preserve">Ellis, ‘Labour Says You're Black’, in McGilchrist (ed.), </w:t>
      </w:r>
      <w:r w:rsidR="00435D69" w:rsidRPr="00047A9D">
        <w:rPr>
          <w:rFonts w:ascii="Times New Roman" w:hAnsi="Times New Roman" w:cs="Times New Roman"/>
          <w:i/>
          <w:sz w:val="22"/>
          <w:szCs w:val="22"/>
        </w:rPr>
        <w:t>Black Voices</w:t>
      </w:r>
      <w:r w:rsidR="004B5746" w:rsidRPr="00047A9D">
        <w:rPr>
          <w:rFonts w:ascii="Times New Roman" w:hAnsi="Times New Roman" w:cs="Times New Roman"/>
          <w:i/>
          <w:sz w:val="22"/>
          <w:szCs w:val="22"/>
        </w:rPr>
        <w:t xml:space="preserve">, </w:t>
      </w:r>
      <w:r w:rsidR="004B5746" w:rsidRPr="00047A9D">
        <w:rPr>
          <w:rFonts w:ascii="Times New Roman" w:hAnsi="Times New Roman" w:cs="Times New Roman"/>
          <w:sz w:val="22"/>
          <w:szCs w:val="22"/>
        </w:rPr>
        <w:t>p.228.</w:t>
      </w:r>
    </w:p>
  </w:footnote>
  <w:footnote w:id="449">
    <w:p w14:paraId="045F79CB" w14:textId="4BCE4994" w:rsidR="00FC0BF2" w:rsidRPr="00047A9D" w:rsidRDefault="00FC0BF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C51F0" w:rsidRPr="00047A9D">
        <w:rPr>
          <w:rFonts w:ascii="Times New Roman" w:hAnsi="Times New Roman" w:cs="Times New Roman"/>
          <w:sz w:val="22"/>
          <w:szCs w:val="22"/>
        </w:rPr>
        <w:t>C. Brown, ‘</w:t>
      </w:r>
      <w:r w:rsidR="00235799" w:rsidRPr="00047A9D">
        <w:rPr>
          <w:rFonts w:ascii="Times New Roman" w:hAnsi="Times New Roman" w:cs="Times New Roman"/>
          <w:sz w:val="22"/>
          <w:szCs w:val="22"/>
        </w:rPr>
        <w:t>Should We Protect, Share, or Lose Our Culture and Lifestyle in Britain?</w:t>
      </w:r>
      <w:r w:rsidR="008C51F0" w:rsidRPr="00047A9D">
        <w:rPr>
          <w:rFonts w:ascii="Times New Roman" w:hAnsi="Times New Roman" w:cs="Times New Roman"/>
          <w:sz w:val="22"/>
          <w:szCs w:val="22"/>
        </w:rPr>
        <w:t xml:space="preserve">’, in McGilchrist (ed.), </w:t>
      </w:r>
      <w:r w:rsidR="008C51F0" w:rsidRPr="00047A9D">
        <w:rPr>
          <w:rFonts w:ascii="Times New Roman" w:hAnsi="Times New Roman" w:cs="Times New Roman"/>
          <w:i/>
          <w:sz w:val="22"/>
          <w:szCs w:val="22"/>
        </w:rPr>
        <w:t>Black Voices</w:t>
      </w:r>
      <w:r w:rsidR="008C51F0" w:rsidRPr="00047A9D">
        <w:rPr>
          <w:rFonts w:ascii="Times New Roman" w:hAnsi="Times New Roman" w:cs="Times New Roman"/>
          <w:sz w:val="22"/>
          <w:szCs w:val="22"/>
        </w:rPr>
        <w:t>,</w:t>
      </w:r>
      <w:r w:rsidR="001A7D18" w:rsidRPr="00047A9D">
        <w:rPr>
          <w:rFonts w:ascii="Times New Roman" w:hAnsi="Times New Roman" w:cs="Times New Roman"/>
          <w:sz w:val="22"/>
          <w:szCs w:val="22"/>
        </w:rPr>
        <w:t xml:space="preserve"> 80-81</w:t>
      </w:r>
      <w:r w:rsidR="008C51F0" w:rsidRPr="00047A9D">
        <w:rPr>
          <w:rFonts w:ascii="Times New Roman" w:hAnsi="Times New Roman" w:cs="Times New Roman"/>
          <w:sz w:val="22"/>
          <w:szCs w:val="22"/>
        </w:rPr>
        <w:t>,</w:t>
      </w:r>
      <w:r w:rsidR="001A7D18" w:rsidRPr="00047A9D">
        <w:rPr>
          <w:rFonts w:ascii="Times New Roman" w:hAnsi="Times New Roman" w:cs="Times New Roman"/>
          <w:sz w:val="22"/>
          <w:szCs w:val="22"/>
        </w:rPr>
        <w:t xml:space="preserve"> </w:t>
      </w:r>
      <w:r w:rsidR="008C51F0" w:rsidRPr="00047A9D">
        <w:rPr>
          <w:rFonts w:ascii="Times New Roman" w:hAnsi="Times New Roman" w:cs="Times New Roman"/>
          <w:sz w:val="22"/>
          <w:szCs w:val="22"/>
        </w:rPr>
        <w:t>p</w:t>
      </w:r>
      <w:r w:rsidR="00C411A0" w:rsidRPr="00047A9D">
        <w:rPr>
          <w:rFonts w:ascii="Times New Roman" w:hAnsi="Times New Roman" w:cs="Times New Roman"/>
          <w:sz w:val="22"/>
          <w:szCs w:val="22"/>
        </w:rPr>
        <w:t>.80</w:t>
      </w:r>
      <w:r w:rsidR="001A7D18" w:rsidRPr="00047A9D">
        <w:rPr>
          <w:rFonts w:ascii="Times New Roman" w:hAnsi="Times New Roman" w:cs="Times New Roman"/>
          <w:sz w:val="22"/>
          <w:szCs w:val="22"/>
        </w:rPr>
        <w:t>.</w:t>
      </w:r>
    </w:p>
  </w:footnote>
  <w:footnote w:id="450">
    <w:p w14:paraId="30B4C3F0" w14:textId="24EB769F" w:rsidR="009D3A80" w:rsidRPr="00047A9D" w:rsidRDefault="009D3A8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B42FC" w:rsidRPr="00047A9D">
        <w:rPr>
          <w:rFonts w:ascii="Times New Roman" w:hAnsi="Times New Roman" w:cs="Times New Roman"/>
          <w:sz w:val="22"/>
          <w:szCs w:val="22"/>
        </w:rPr>
        <w:t xml:space="preserve">Janet </w:t>
      </w:r>
      <w:r w:rsidR="00660A74" w:rsidRPr="00047A9D">
        <w:rPr>
          <w:rFonts w:ascii="Times New Roman" w:hAnsi="Times New Roman" w:cs="Times New Roman"/>
          <w:sz w:val="22"/>
          <w:szCs w:val="22"/>
        </w:rPr>
        <w:t>Brown</w:t>
      </w:r>
      <w:r w:rsidR="003B42FC" w:rsidRPr="00047A9D">
        <w:rPr>
          <w:rFonts w:ascii="Times New Roman" w:hAnsi="Times New Roman" w:cs="Times New Roman"/>
          <w:sz w:val="22"/>
          <w:szCs w:val="22"/>
        </w:rPr>
        <w:t xml:space="preserve">, </w:t>
      </w:r>
      <w:r w:rsidR="00FC19CC" w:rsidRPr="00047A9D">
        <w:rPr>
          <w:rFonts w:ascii="Times New Roman" w:hAnsi="Times New Roman" w:cs="Times New Roman"/>
          <w:sz w:val="22"/>
          <w:szCs w:val="22"/>
        </w:rPr>
        <w:t>‘</w:t>
      </w:r>
      <w:r w:rsidR="00361868" w:rsidRPr="00047A9D">
        <w:rPr>
          <w:rFonts w:ascii="Times New Roman" w:hAnsi="Times New Roman" w:cs="Times New Roman"/>
          <w:sz w:val="22"/>
          <w:szCs w:val="22"/>
        </w:rPr>
        <w:t>Colour and Race is a Problem for White British Society.</w:t>
      </w:r>
      <w:r w:rsidR="00FC19CC" w:rsidRPr="00047A9D">
        <w:rPr>
          <w:rFonts w:ascii="Times New Roman" w:hAnsi="Times New Roman" w:cs="Times New Roman"/>
          <w:sz w:val="22"/>
          <w:szCs w:val="22"/>
        </w:rPr>
        <w:t xml:space="preserve">’, </w:t>
      </w:r>
      <w:r w:rsidR="00CD3BEA" w:rsidRPr="00047A9D">
        <w:rPr>
          <w:rFonts w:ascii="Times New Roman" w:hAnsi="Times New Roman" w:cs="Times New Roman"/>
          <w:sz w:val="22"/>
          <w:szCs w:val="22"/>
        </w:rPr>
        <w:t xml:space="preserve">in </w:t>
      </w:r>
      <w:r w:rsidR="00FC19CC" w:rsidRPr="00047A9D">
        <w:rPr>
          <w:rFonts w:ascii="Times New Roman" w:hAnsi="Times New Roman" w:cs="Times New Roman"/>
          <w:sz w:val="22"/>
          <w:szCs w:val="22"/>
        </w:rPr>
        <w:t xml:space="preserve">McGilchrist (ed.), </w:t>
      </w:r>
      <w:r w:rsidR="00FC19CC" w:rsidRPr="00047A9D">
        <w:rPr>
          <w:rFonts w:ascii="Times New Roman" w:hAnsi="Times New Roman" w:cs="Times New Roman"/>
          <w:i/>
          <w:sz w:val="22"/>
          <w:szCs w:val="22"/>
        </w:rPr>
        <w:t>Black Voices</w:t>
      </w:r>
      <w:r w:rsidR="00FC19CC" w:rsidRPr="00047A9D">
        <w:rPr>
          <w:rFonts w:ascii="Times New Roman" w:hAnsi="Times New Roman" w:cs="Times New Roman"/>
          <w:sz w:val="22"/>
          <w:szCs w:val="22"/>
        </w:rPr>
        <w:t xml:space="preserve">, </w:t>
      </w:r>
      <w:r w:rsidR="00660A74" w:rsidRPr="00047A9D">
        <w:rPr>
          <w:rFonts w:ascii="Times New Roman" w:hAnsi="Times New Roman" w:cs="Times New Roman"/>
          <w:sz w:val="22"/>
          <w:szCs w:val="22"/>
        </w:rPr>
        <w:t>206-08</w:t>
      </w:r>
      <w:r w:rsidR="00FC19CC" w:rsidRPr="00047A9D">
        <w:rPr>
          <w:rFonts w:ascii="Times New Roman" w:hAnsi="Times New Roman" w:cs="Times New Roman"/>
          <w:sz w:val="22"/>
          <w:szCs w:val="22"/>
        </w:rPr>
        <w:t>, p</w:t>
      </w:r>
      <w:r w:rsidR="00C411A0" w:rsidRPr="00047A9D">
        <w:rPr>
          <w:rFonts w:ascii="Times New Roman" w:hAnsi="Times New Roman" w:cs="Times New Roman"/>
          <w:sz w:val="22"/>
          <w:szCs w:val="22"/>
        </w:rPr>
        <w:t>.207</w:t>
      </w:r>
      <w:r w:rsidR="008032B3" w:rsidRPr="00047A9D">
        <w:rPr>
          <w:rFonts w:ascii="Times New Roman" w:hAnsi="Times New Roman" w:cs="Times New Roman"/>
          <w:sz w:val="22"/>
          <w:szCs w:val="22"/>
        </w:rPr>
        <w:t>.</w:t>
      </w:r>
    </w:p>
  </w:footnote>
  <w:footnote w:id="451">
    <w:p w14:paraId="279B635B" w14:textId="56FB989B" w:rsidR="00E75455" w:rsidRPr="00343683" w:rsidRDefault="00E75455" w:rsidP="00D839D4">
      <w:pPr>
        <w:pStyle w:val="FootnoteText"/>
        <w:spacing w:line="360" w:lineRule="auto"/>
        <w:rPr>
          <w:rFonts w:ascii="Times New Roman" w:hAnsi="Times New Roman" w:cs="Times New Roman"/>
          <w:sz w:val="22"/>
          <w:szCs w:val="22"/>
        </w:rPr>
      </w:pPr>
      <w:r w:rsidRPr="00343683">
        <w:rPr>
          <w:rStyle w:val="FootnoteReference"/>
          <w:rFonts w:ascii="Times New Roman" w:hAnsi="Times New Roman" w:cs="Times New Roman"/>
          <w:sz w:val="22"/>
          <w:szCs w:val="22"/>
        </w:rPr>
        <w:footnoteRef/>
      </w:r>
      <w:r w:rsidRPr="00343683">
        <w:rPr>
          <w:rFonts w:ascii="Times New Roman" w:hAnsi="Times New Roman" w:cs="Times New Roman"/>
          <w:sz w:val="22"/>
          <w:szCs w:val="22"/>
        </w:rPr>
        <w:t xml:space="preserve"> </w:t>
      </w:r>
      <w:r w:rsidR="005B7A64" w:rsidRPr="00343683">
        <w:rPr>
          <w:rFonts w:ascii="Times New Roman" w:hAnsi="Times New Roman" w:cs="Times New Roman"/>
          <w:sz w:val="22"/>
          <w:szCs w:val="22"/>
        </w:rPr>
        <w:t>Robert Hewison,</w:t>
      </w:r>
      <w:r w:rsidR="00120A35" w:rsidRPr="00343683">
        <w:rPr>
          <w:rFonts w:ascii="Times New Roman" w:hAnsi="Times New Roman" w:cs="Times New Roman"/>
          <w:sz w:val="22"/>
          <w:szCs w:val="22"/>
        </w:rPr>
        <w:t xml:space="preserve"> </w:t>
      </w:r>
      <w:r w:rsidR="00120A35" w:rsidRPr="00343683">
        <w:rPr>
          <w:rFonts w:ascii="Times New Roman" w:hAnsi="Times New Roman" w:cs="Times New Roman"/>
          <w:i/>
          <w:sz w:val="22"/>
          <w:szCs w:val="22"/>
        </w:rPr>
        <w:t>The Heritage Industry: Britain in a Climate of Decline</w:t>
      </w:r>
      <w:r w:rsidR="00120A35" w:rsidRPr="00343683">
        <w:rPr>
          <w:rFonts w:ascii="Times New Roman" w:hAnsi="Times New Roman" w:cs="Times New Roman"/>
          <w:sz w:val="22"/>
          <w:szCs w:val="22"/>
        </w:rPr>
        <w:t xml:space="preserve"> (London: Methuen, 1987).</w:t>
      </w:r>
    </w:p>
  </w:footnote>
  <w:footnote w:id="452">
    <w:p w14:paraId="511DF83A" w14:textId="43E563B7" w:rsidR="00EF2F08" w:rsidRPr="00CA2C72" w:rsidRDefault="00EF2F08" w:rsidP="00D839D4">
      <w:pPr>
        <w:pStyle w:val="FootnoteText"/>
        <w:spacing w:line="360" w:lineRule="auto"/>
        <w:rPr>
          <w:rFonts w:ascii="Times New Roman" w:hAnsi="Times New Roman" w:cs="Times New Roman"/>
          <w:sz w:val="22"/>
          <w:szCs w:val="22"/>
        </w:rPr>
      </w:pPr>
      <w:r w:rsidRPr="00CA2C72">
        <w:rPr>
          <w:rStyle w:val="FootnoteReference"/>
          <w:rFonts w:ascii="Times New Roman" w:hAnsi="Times New Roman" w:cs="Times New Roman"/>
          <w:sz w:val="22"/>
          <w:szCs w:val="22"/>
        </w:rPr>
        <w:footnoteRef/>
      </w:r>
      <w:r w:rsidRPr="00CA2C72">
        <w:rPr>
          <w:rFonts w:ascii="Times New Roman" w:hAnsi="Times New Roman" w:cs="Times New Roman"/>
          <w:sz w:val="22"/>
          <w:szCs w:val="22"/>
        </w:rPr>
        <w:t xml:space="preserve"> </w:t>
      </w:r>
      <w:r w:rsidR="00CA2C72" w:rsidRPr="00CA2C72">
        <w:rPr>
          <w:rFonts w:ascii="Times New Roman" w:hAnsi="Times New Roman" w:cs="Times New Roman"/>
          <w:sz w:val="22"/>
          <w:szCs w:val="22"/>
        </w:rPr>
        <w:t xml:space="preserve">David Lowenthal, ‘The Past Made Present’, </w:t>
      </w:r>
      <w:r w:rsidR="00CA2C72" w:rsidRPr="00CA2C72">
        <w:rPr>
          <w:rFonts w:ascii="Times New Roman" w:hAnsi="Times New Roman" w:cs="Times New Roman"/>
          <w:i/>
          <w:sz w:val="22"/>
          <w:szCs w:val="22"/>
        </w:rPr>
        <w:t>Historically Speaking</w:t>
      </w:r>
      <w:r w:rsidR="00CA2C72" w:rsidRPr="00CA2C72">
        <w:rPr>
          <w:rFonts w:ascii="Times New Roman" w:hAnsi="Times New Roman" w:cs="Times New Roman"/>
          <w:sz w:val="22"/>
          <w:szCs w:val="22"/>
        </w:rPr>
        <w:t xml:space="preserve"> 13.4 (2012), 2-6.</w:t>
      </w:r>
    </w:p>
  </w:footnote>
  <w:footnote w:id="453">
    <w:p w14:paraId="4471B972" w14:textId="55A414B4" w:rsidR="00522F45" w:rsidRPr="00047A9D" w:rsidRDefault="008032B3" w:rsidP="00D839D4">
      <w:pPr>
        <w:pStyle w:val="FootnoteText"/>
        <w:spacing w:line="360" w:lineRule="auto"/>
        <w:rPr>
          <w:rFonts w:ascii="Times New Roman" w:hAnsi="Times New Roman" w:cs="Times New Roman"/>
          <w:sz w:val="22"/>
          <w:szCs w:val="22"/>
        </w:rPr>
      </w:pPr>
      <w:r w:rsidRPr="00343683">
        <w:rPr>
          <w:rStyle w:val="FootnoteReference"/>
          <w:rFonts w:ascii="Times New Roman" w:hAnsi="Times New Roman" w:cs="Times New Roman"/>
          <w:sz w:val="22"/>
          <w:szCs w:val="22"/>
        </w:rPr>
        <w:footnoteRef/>
      </w:r>
      <w:r w:rsidRPr="00343683">
        <w:rPr>
          <w:rFonts w:ascii="Times New Roman" w:hAnsi="Times New Roman" w:cs="Times New Roman"/>
          <w:sz w:val="22"/>
          <w:szCs w:val="22"/>
        </w:rPr>
        <w:t xml:space="preserve"> </w:t>
      </w:r>
      <w:r w:rsidR="00A508BA" w:rsidRPr="00343683">
        <w:rPr>
          <w:rFonts w:ascii="Times New Roman" w:hAnsi="Times New Roman" w:cs="Times New Roman"/>
          <w:sz w:val="22"/>
          <w:szCs w:val="22"/>
        </w:rPr>
        <w:t xml:space="preserve">Hewison, </w:t>
      </w:r>
      <w:r w:rsidR="00A508BA" w:rsidRPr="00343683">
        <w:rPr>
          <w:rFonts w:ascii="Times New Roman" w:hAnsi="Times New Roman" w:cs="Times New Roman"/>
          <w:i/>
          <w:sz w:val="22"/>
          <w:szCs w:val="22"/>
        </w:rPr>
        <w:t>The Heritage</w:t>
      </w:r>
      <w:r w:rsidR="00A508BA" w:rsidRPr="00047A9D">
        <w:rPr>
          <w:rFonts w:ascii="Times New Roman" w:hAnsi="Times New Roman" w:cs="Times New Roman"/>
          <w:i/>
          <w:sz w:val="22"/>
          <w:szCs w:val="22"/>
        </w:rPr>
        <w:t xml:space="preserve"> Industry, </w:t>
      </w:r>
      <w:r w:rsidR="00A508BA" w:rsidRPr="00047A9D">
        <w:rPr>
          <w:rFonts w:ascii="Times New Roman" w:hAnsi="Times New Roman" w:cs="Times New Roman"/>
          <w:sz w:val="22"/>
          <w:szCs w:val="22"/>
        </w:rPr>
        <w:t>p.</w:t>
      </w:r>
      <w:r w:rsidR="001B755F" w:rsidRPr="00047A9D">
        <w:rPr>
          <w:rFonts w:ascii="Times New Roman" w:hAnsi="Times New Roman" w:cs="Times New Roman"/>
          <w:sz w:val="22"/>
          <w:szCs w:val="22"/>
        </w:rPr>
        <w:t>10.</w:t>
      </w:r>
    </w:p>
  </w:footnote>
  <w:footnote w:id="454">
    <w:p w14:paraId="2CA75153" w14:textId="69DF061D" w:rsidR="00522F45" w:rsidRPr="00047A9D" w:rsidRDefault="003A7ACB" w:rsidP="00D839D4">
      <w:pPr>
        <w:spacing w:line="360" w:lineRule="auto"/>
        <w:rPr>
          <w:rFonts w:ascii="Times New Roman" w:hAnsi="Times New Roman" w:cs="Times New Roman"/>
          <w:szCs w:val="22"/>
        </w:rPr>
      </w:pPr>
      <w:r w:rsidRPr="00047A9D">
        <w:rPr>
          <w:rStyle w:val="FootnoteReference"/>
          <w:rFonts w:ascii="Times New Roman" w:hAnsi="Times New Roman" w:cs="Times New Roman"/>
          <w:szCs w:val="22"/>
        </w:rPr>
        <w:footnoteRef/>
      </w:r>
      <w:r w:rsidRPr="00047A9D">
        <w:rPr>
          <w:rFonts w:ascii="Times New Roman" w:hAnsi="Times New Roman" w:cs="Times New Roman"/>
          <w:szCs w:val="22"/>
        </w:rPr>
        <w:t xml:space="preserve"> </w:t>
      </w:r>
      <w:r w:rsidR="00FA6268" w:rsidRPr="00047A9D">
        <w:rPr>
          <w:rFonts w:ascii="Times New Roman" w:hAnsi="Times New Roman" w:cs="Times New Roman"/>
          <w:szCs w:val="22"/>
        </w:rPr>
        <w:t xml:space="preserve">Jean Baudrillard, </w:t>
      </w:r>
      <w:r w:rsidRPr="00047A9D">
        <w:rPr>
          <w:rFonts w:ascii="Times New Roman" w:hAnsi="Times New Roman" w:cs="Times New Roman"/>
          <w:i/>
          <w:szCs w:val="22"/>
        </w:rPr>
        <w:t>The Illusion of the End</w:t>
      </w:r>
      <w:r w:rsidR="00886E5A" w:rsidRPr="00047A9D">
        <w:rPr>
          <w:rFonts w:ascii="Times New Roman" w:hAnsi="Times New Roman" w:cs="Times New Roman"/>
          <w:szCs w:val="22"/>
        </w:rPr>
        <w:t xml:space="preserve"> (Stanford: Stanford University Press,</w:t>
      </w:r>
      <w:r w:rsidR="00FA6268" w:rsidRPr="00047A9D">
        <w:rPr>
          <w:rFonts w:ascii="Times New Roman" w:hAnsi="Times New Roman" w:cs="Times New Roman"/>
          <w:szCs w:val="22"/>
        </w:rPr>
        <w:t xml:space="preserve"> </w:t>
      </w:r>
      <w:r w:rsidRPr="00047A9D">
        <w:rPr>
          <w:rFonts w:ascii="Times New Roman" w:hAnsi="Times New Roman" w:cs="Times New Roman"/>
          <w:szCs w:val="22"/>
        </w:rPr>
        <w:t>1994</w:t>
      </w:r>
      <w:r w:rsidR="00886E5A" w:rsidRPr="00047A9D">
        <w:rPr>
          <w:rFonts w:ascii="Times New Roman" w:hAnsi="Times New Roman" w:cs="Times New Roman"/>
          <w:szCs w:val="22"/>
        </w:rPr>
        <w:t>)</w:t>
      </w:r>
      <w:r w:rsidR="00FA6268" w:rsidRPr="00047A9D">
        <w:rPr>
          <w:rFonts w:ascii="Times New Roman" w:hAnsi="Times New Roman" w:cs="Times New Roman"/>
          <w:szCs w:val="22"/>
        </w:rPr>
        <w:t>, p.23.</w:t>
      </w:r>
    </w:p>
  </w:footnote>
  <w:footnote w:id="455">
    <w:p w14:paraId="532BBB73" w14:textId="7D367228" w:rsidR="00DD43D3" w:rsidRPr="00047A9D" w:rsidRDefault="00DD43D3" w:rsidP="00D839D4">
      <w:pPr>
        <w:pStyle w:val="NoSpacing"/>
        <w:spacing w:line="360" w:lineRule="auto"/>
        <w:rPr>
          <w:sz w:val="22"/>
        </w:rPr>
      </w:pPr>
      <w:r w:rsidRPr="00047A9D">
        <w:rPr>
          <w:rStyle w:val="FootnoteReference"/>
          <w:sz w:val="22"/>
        </w:rPr>
        <w:footnoteRef/>
      </w:r>
      <w:r w:rsidRPr="00047A9D">
        <w:rPr>
          <w:sz w:val="22"/>
        </w:rPr>
        <w:t xml:space="preserve"> Paul Gilroy, </w:t>
      </w:r>
      <w:r w:rsidRPr="00047A9D">
        <w:rPr>
          <w:i/>
          <w:iCs w:val="0"/>
          <w:sz w:val="22"/>
        </w:rPr>
        <w:t>Small Acts</w:t>
      </w:r>
      <w:r w:rsidR="00B64B4C" w:rsidRPr="00047A9D">
        <w:rPr>
          <w:i/>
          <w:iCs w:val="0"/>
          <w:sz w:val="22"/>
        </w:rPr>
        <w:t xml:space="preserve">: Thoughts on </w:t>
      </w:r>
      <w:r w:rsidR="00BC5F98" w:rsidRPr="00047A9D">
        <w:rPr>
          <w:i/>
          <w:iCs w:val="0"/>
          <w:sz w:val="22"/>
        </w:rPr>
        <w:t>the Politics of Black Cultures</w:t>
      </w:r>
      <w:r w:rsidR="007C6371" w:rsidRPr="00047A9D">
        <w:rPr>
          <w:sz w:val="22"/>
        </w:rPr>
        <w:t xml:space="preserve"> (London: Serpent’s Tail, 1993)</w:t>
      </w:r>
      <w:r w:rsidR="00565988" w:rsidRPr="00047A9D">
        <w:rPr>
          <w:sz w:val="22"/>
        </w:rPr>
        <w:t xml:space="preserve">, </w:t>
      </w:r>
      <w:r w:rsidRPr="00047A9D">
        <w:rPr>
          <w:sz w:val="22"/>
        </w:rPr>
        <w:t>p.37</w:t>
      </w:r>
      <w:r w:rsidR="007C6371" w:rsidRPr="00047A9D">
        <w:rPr>
          <w:sz w:val="22"/>
        </w:rPr>
        <w:t>.</w:t>
      </w:r>
    </w:p>
  </w:footnote>
  <w:footnote w:id="456">
    <w:p w14:paraId="21290CFC" w14:textId="3F27DA54" w:rsidR="00DD470C" w:rsidRPr="00047A9D" w:rsidRDefault="00DD470C" w:rsidP="00D839D4">
      <w:pPr>
        <w:pStyle w:val="NoSpacing"/>
        <w:spacing w:line="360" w:lineRule="auto"/>
        <w:rPr>
          <w:sz w:val="22"/>
        </w:rPr>
      </w:pPr>
      <w:r w:rsidRPr="00047A9D">
        <w:rPr>
          <w:rStyle w:val="FootnoteReference"/>
          <w:sz w:val="22"/>
        </w:rPr>
        <w:footnoteRef/>
      </w:r>
      <w:r w:rsidRPr="00047A9D">
        <w:rPr>
          <w:sz w:val="22"/>
        </w:rPr>
        <w:t xml:space="preserve"> </w:t>
      </w:r>
      <w:r w:rsidR="00187311" w:rsidRPr="00047A9D">
        <w:rPr>
          <w:sz w:val="22"/>
        </w:rPr>
        <w:t xml:space="preserve">Garrison, </w:t>
      </w:r>
      <w:r w:rsidR="00187311" w:rsidRPr="00047A9D">
        <w:rPr>
          <w:i/>
          <w:iCs w:val="0"/>
          <w:sz w:val="22"/>
        </w:rPr>
        <w:t>Black Youth</w:t>
      </w:r>
      <w:r w:rsidR="00187311" w:rsidRPr="00047A9D">
        <w:rPr>
          <w:sz w:val="22"/>
        </w:rPr>
        <w:t>, p.</w:t>
      </w:r>
      <w:r w:rsidR="00051EBA" w:rsidRPr="00047A9D">
        <w:rPr>
          <w:sz w:val="22"/>
        </w:rPr>
        <w:t>6.</w:t>
      </w:r>
    </w:p>
  </w:footnote>
  <w:footnote w:id="457">
    <w:p w14:paraId="20DF3AC8" w14:textId="53BB90D8" w:rsidR="007A506E" w:rsidRPr="00047A9D" w:rsidRDefault="007A506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677D4" w:rsidRPr="00047A9D">
        <w:rPr>
          <w:rFonts w:ascii="Times New Roman" w:hAnsi="Times New Roman" w:cs="Times New Roman"/>
          <w:sz w:val="22"/>
          <w:szCs w:val="22"/>
        </w:rPr>
        <w:t>Laxmi Jamdagni, Mal</w:t>
      </w:r>
      <w:r w:rsidR="00427081" w:rsidRPr="00047A9D">
        <w:rPr>
          <w:rFonts w:ascii="Times New Roman" w:hAnsi="Times New Roman" w:cs="Times New Roman"/>
          <w:sz w:val="22"/>
          <w:szCs w:val="22"/>
        </w:rPr>
        <w:t xml:space="preserve"> </w:t>
      </w:r>
      <w:r w:rsidR="00A677D4" w:rsidRPr="00047A9D">
        <w:rPr>
          <w:rFonts w:ascii="Times New Roman" w:hAnsi="Times New Roman" w:cs="Times New Roman"/>
          <w:sz w:val="22"/>
          <w:szCs w:val="22"/>
        </w:rPr>
        <w:t xml:space="preserve">Phillips-Bell, and </w:t>
      </w:r>
      <w:r w:rsidR="00427081" w:rsidRPr="00047A9D">
        <w:rPr>
          <w:rFonts w:ascii="Times New Roman" w:hAnsi="Times New Roman" w:cs="Times New Roman"/>
          <w:sz w:val="22"/>
          <w:szCs w:val="22"/>
        </w:rPr>
        <w:t xml:space="preserve">Job </w:t>
      </w:r>
      <w:r w:rsidR="00A677D4" w:rsidRPr="00047A9D">
        <w:rPr>
          <w:rFonts w:ascii="Times New Roman" w:hAnsi="Times New Roman" w:cs="Times New Roman"/>
          <w:sz w:val="22"/>
          <w:szCs w:val="22"/>
        </w:rPr>
        <w:t>Ward</w:t>
      </w:r>
      <w:r w:rsidR="00427081" w:rsidRPr="00047A9D">
        <w:rPr>
          <w:rFonts w:ascii="Times New Roman" w:hAnsi="Times New Roman" w:cs="Times New Roman"/>
          <w:sz w:val="22"/>
          <w:szCs w:val="22"/>
        </w:rPr>
        <w:t xml:space="preserve">, </w:t>
      </w:r>
      <w:r w:rsidR="00A677D4" w:rsidRPr="00047A9D">
        <w:rPr>
          <w:rFonts w:ascii="Times New Roman" w:hAnsi="Times New Roman" w:cs="Times New Roman"/>
          <w:i/>
          <w:sz w:val="22"/>
          <w:szCs w:val="22"/>
        </w:rPr>
        <w:t xml:space="preserve">Talking </w:t>
      </w:r>
      <w:r w:rsidR="00427081" w:rsidRPr="00047A9D">
        <w:rPr>
          <w:rFonts w:ascii="Times New Roman" w:hAnsi="Times New Roman" w:cs="Times New Roman"/>
          <w:i/>
          <w:sz w:val="22"/>
          <w:szCs w:val="22"/>
        </w:rPr>
        <w:t>Chalk:</w:t>
      </w:r>
      <w:r w:rsidR="00A677D4" w:rsidRPr="00047A9D">
        <w:rPr>
          <w:rFonts w:ascii="Times New Roman" w:hAnsi="Times New Roman" w:cs="Times New Roman"/>
          <w:i/>
          <w:sz w:val="22"/>
          <w:szCs w:val="22"/>
        </w:rPr>
        <w:t xml:space="preserve"> Black Pupils, Parents and Teachers Speak About Education</w:t>
      </w:r>
      <w:r w:rsidR="00427081" w:rsidRPr="00047A9D">
        <w:rPr>
          <w:rFonts w:ascii="Times New Roman" w:hAnsi="Times New Roman" w:cs="Times New Roman"/>
          <w:sz w:val="22"/>
          <w:szCs w:val="22"/>
        </w:rPr>
        <w:t xml:space="preserve"> (</w:t>
      </w:r>
      <w:r w:rsidR="00A677D4" w:rsidRPr="00047A9D">
        <w:rPr>
          <w:rFonts w:ascii="Times New Roman" w:hAnsi="Times New Roman" w:cs="Times New Roman"/>
          <w:sz w:val="22"/>
          <w:szCs w:val="22"/>
        </w:rPr>
        <w:t>Birmingham: A</w:t>
      </w:r>
      <w:r w:rsidR="00F07098" w:rsidRPr="00047A9D">
        <w:rPr>
          <w:rFonts w:ascii="Times New Roman" w:hAnsi="Times New Roman" w:cs="Times New Roman"/>
          <w:sz w:val="22"/>
          <w:szCs w:val="22"/>
        </w:rPr>
        <w:t xml:space="preserve">ll </w:t>
      </w:r>
      <w:r w:rsidR="00A677D4" w:rsidRPr="00047A9D">
        <w:rPr>
          <w:rFonts w:ascii="Times New Roman" w:hAnsi="Times New Roman" w:cs="Times New Roman"/>
          <w:sz w:val="22"/>
          <w:szCs w:val="22"/>
        </w:rPr>
        <w:t>F</w:t>
      </w:r>
      <w:r w:rsidR="00F07098" w:rsidRPr="00047A9D">
        <w:rPr>
          <w:rFonts w:ascii="Times New Roman" w:hAnsi="Times New Roman" w:cs="Times New Roman"/>
          <w:sz w:val="22"/>
          <w:szCs w:val="22"/>
        </w:rPr>
        <w:t xml:space="preserve">aiths for </w:t>
      </w:r>
      <w:r w:rsidR="00A677D4" w:rsidRPr="00047A9D">
        <w:rPr>
          <w:rFonts w:ascii="Times New Roman" w:hAnsi="Times New Roman" w:cs="Times New Roman"/>
          <w:sz w:val="22"/>
          <w:szCs w:val="22"/>
        </w:rPr>
        <w:t>O</w:t>
      </w:r>
      <w:r w:rsidR="00F07098" w:rsidRPr="00047A9D">
        <w:rPr>
          <w:rFonts w:ascii="Times New Roman" w:hAnsi="Times New Roman" w:cs="Times New Roman"/>
          <w:sz w:val="22"/>
          <w:szCs w:val="22"/>
        </w:rPr>
        <w:t xml:space="preserve">ne </w:t>
      </w:r>
      <w:r w:rsidR="00A677D4" w:rsidRPr="00047A9D">
        <w:rPr>
          <w:rFonts w:ascii="Times New Roman" w:hAnsi="Times New Roman" w:cs="Times New Roman"/>
          <w:sz w:val="22"/>
          <w:szCs w:val="22"/>
        </w:rPr>
        <w:t>R</w:t>
      </w:r>
      <w:r w:rsidR="00F07098" w:rsidRPr="00047A9D">
        <w:rPr>
          <w:rFonts w:ascii="Times New Roman" w:hAnsi="Times New Roman" w:cs="Times New Roman"/>
          <w:sz w:val="22"/>
          <w:szCs w:val="22"/>
        </w:rPr>
        <w:t>ace [AFFOR]</w:t>
      </w:r>
      <w:r w:rsidR="00A677D4" w:rsidRPr="00047A9D">
        <w:rPr>
          <w:rFonts w:ascii="Times New Roman" w:hAnsi="Times New Roman" w:cs="Times New Roman"/>
          <w:sz w:val="22"/>
          <w:szCs w:val="22"/>
        </w:rPr>
        <w:t>, 1982</w:t>
      </w:r>
      <w:r w:rsidR="00427081" w:rsidRPr="00047A9D">
        <w:rPr>
          <w:rFonts w:ascii="Times New Roman" w:hAnsi="Times New Roman" w:cs="Times New Roman"/>
          <w:sz w:val="22"/>
          <w:szCs w:val="22"/>
        </w:rPr>
        <w:t>)</w:t>
      </w:r>
      <w:r w:rsidR="00B566EB" w:rsidRPr="00047A9D">
        <w:rPr>
          <w:rFonts w:ascii="Times New Roman" w:hAnsi="Times New Roman" w:cs="Times New Roman"/>
          <w:sz w:val="22"/>
          <w:szCs w:val="22"/>
        </w:rPr>
        <w:t>, p.4.</w:t>
      </w:r>
    </w:p>
  </w:footnote>
  <w:footnote w:id="458">
    <w:p w14:paraId="40AA7ECA" w14:textId="318C3EDE" w:rsidR="003F2972" w:rsidRPr="00047A9D" w:rsidRDefault="003F297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DE3A09" w:rsidRPr="00047A9D">
        <w:rPr>
          <w:rFonts w:ascii="Times New Roman" w:hAnsi="Times New Roman" w:cs="Times New Roman"/>
          <w:sz w:val="22"/>
          <w:szCs w:val="22"/>
        </w:rPr>
        <w:t xml:space="preserve"> Jacqueline Deacon, ‘How Can Black Young People Take Control of Their Own Lives and Destinies in Britain?</w:t>
      </w:r>
      <w:r w:rsidR="00CD3BEA" w:rsidRPr="00047A9D">
        <w:rPr>
          <w:rFonts w:ascii="Times New Roman" w:hAnsi="Times New Roman" w:cs="Times New Roman"/>
          <w:sz w:val="22"/>
          <w:szCs w:val="22"/>
        </w:rPr>
        <w:t>’</w:t>
      </w:r>
      <w:r w:rsidR="00B566EB" w:rsidRPr="00047A9D">
        <w:rPr>
          <w:rFonts w:ascii="Times New Roman" w:hAnsi="Times New Roman" w:cs="Times New Roman"/>
          <w:i/>
          <w:sz w:val="22"/>
          <w:szCs w:val="22"/>
        </w:rPr>
        <w:t>,</w:t>
      </w:r>
      <w:r w:rsidR="00CD3BEA" w:rsidRPr="00047A9D">
        <w:rPr>
          <w:rFonts w:ascii="Times New Roman" w:hAnsi="Times New Roman" w:cs="Times New Roman"/>
          <w:i/>
          <w:sz w:val="22"/>
          <w:szCs w:val="22"/>
        </w:rPr>
        <w:t xml:space="preserve"> </w:t>
      </w:r>
      <w:r w:rsidR="00CD3BEA" w:rsidRPr="00047A9D">
        <w:rPr>
          <w:rFonts w:ascii="Times New Roman" w:hAnsi="Times New Roman" w:cs="Times New Roman"/>
          <w:sz w:val="22"/>
          <w:szCs w:val="22"/>
        </w:rPr>
        <w:t>in</w:t>
      </w:r>
      <w:r w:rsidR="00CD3BEA" w:rsidRPr="00047A9D">
        <w:rPr>
          <w:rFonts w:ascii="Times New Roman" w:hAnsi="Times New Roman" w:cs="Times New Roman"/>
          <w:i/>
          <w:sz w:val="22"/>
          <w:szCs w:val="22"/>
        </w:rPr>
        <w:t xml:space="preserve"> </w:t>
      </w:r>
      <w:r w:rsidR="00CD3BEA" w:rsidRPr="00047A9D">
        <w:rPr>
          <w:rFonts w:ascii="Times New Roman" w:hAnsi="Times New Roman" w:cs="Times New Roman"/>
          <w:sz w:val="22"/>
          <w:szCs w:val="22"/>
        </w:rPr>
        <w:t xml:space="preserve">McGilchrist (ed.), </w:t>
      </w:r>
      <w:r w:rsidR="00CD3BEA" w:rsidRPr="00047A9D">
        <w:rPr>
          <w:rFonts w:ascii="Times New Roman" w:hAnsi="Times New Roman" w:cs="Times New Roman"/>
          <w:i/>
          <w:sz w:val="22"/>
          <w:szCs w:val="22"/>
        </w:rPr>
        <w:t>Black Voices</w:t>
      </w:r>
      <w:r w:rsidR="00CD3BEA" w:rsidRPr="00047A9D">
        <w:rPr>
          <w:rFonts w:ascii="Times New Roman" w:hAnsi="Times New Roman" w:cs="Times New Roman"/>
          <w:sz w:val="22"/>
          <w:szCs w:val="22"/>
        </w:rPr>
        <w:t>, 305-07,</w:t>
      </w:r>
      <w:r w:rsidR="00CD3BEA" w:rsidRPr="00047A9D">
        <w:rPr>
          <w:rFonts w:ascii="Times New Roman" w:hAnsi="Times New Roman" w:cs="Times New Roman"/>
          <w:i/>
          <w:sz w:val="22"/>
          <w:szCs w:val="22"/>
        </w:rPr>
        <w:t xml:space="preserve"> </w:t>
      </w:r>
      <w:r w:rsidR="00B566EB" w:rsidRPr="00047A9D">
        <w:rPr>
          <w:rFonts w:ascii="Times New Roman" w:hAnsi="Times New Roman" w:cs="Times New Roman"/>
          <w:sz w:val="22"/>
          <w:szCs w:val="22"/>
        </w:rPr>
        <w:t>p</w:t>
      </w:r>
      <w:r w:rsidRPr="00047A9D">
        <w:rPr>
          <w:rFonts w:ascii="Times New Roman" w:hAnsi="Times New Roman" w:cs="Times New Roman"/>
          <w:sz w:val="22"/>
          <w:szCs w:val="22"/>
        </w:rPr>
        <w:t>.306</w:t>
      </w:r>
      <w:r w:rsidR="00CD3BEA" w:rsidRPr="00047A9D">
        <w:rPr>
          <w:rFonts w:ascii="Times New Roman" w:hAnsi="Times New Roman" w:cs="Times New Roman"/>
          <w:sz w:val="22"/>
          <w:szCs w:val="22"/>
        </w:rPr>
        <w:t>.</w:t>
      </w:r>
    </w:p>
  </w:footnote>
  <w:footnote w:id="459">
    <w:p w14:paraId="04829DAD" w14:textId="31348BEA" w:rsidR="009F67A1" w:rsidRPr="00047A9D" w:rsidRDefault="009F67A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3454EC" w:rsidRPr="00047A9D">
        <w:rPr>
          <w:rFonts w:ascii="Times New Roman" w:hAnsi="Times New Roman" w:cs="Times New Roman"/>
          <w:sz w:val="22"/>
          <w:szCs w:val="22"/>
        </w:rPr>
        <w:t xml:space="preserve"> Deacon</w:t>
      </w:r>
      <w:r w:rsidR="00282E4C" w:rsidRPr="00047A9D">
        <w:rPr>
          <w:rFonts w:ascii="Times New Roman" w:hAnsi="Times New Roman" w:cs="Times New Roman"/>
          <w:sz w:val="22"/>
          <w:szCs w:val="22"/>
        </w:rPr>
        <w:t>,</w:t>
      </w:r>
      <w:r w:rsidR="003454EC" w:rsidRPr="00047A9D">
        <w:rPr>
          <w:rFonts w:ascii="Times New Roman" w:hAnsi="Times New Roman" w:cs="Times New Roman"/>
          <w:sz w:val="22"/>
          <w:szCs w:val="22"/>
        </w:rPr>
        <w:t xml:space="preserve"> ‘Black Young People’, in McGilchrist (ed.), </w:t>
      </w:r>
      <w:r w:rsidR="003454EC" w:rsidRPr="00047A9D">
        <w:rPr>
          <w:rFonts w:ascii="Times New Roman" w:hAnsi="Times New Roman" w:cs="Times New Roman"/>
          <w:i/>
          <w:sz w:val="22"/>
          <w:szCs w:val="22"/>
        </w:rPr>
        <w:t>Black Voices</w:t>
      </w:r>
      <w:r w:rsidR="003454EC" w:rsidRPr="00047A9D">
        <w:rPr>
          <w:rFonts w:ascii="Times New Roman" w:hAnsi="Times New Roman" w:cs="Times New Roman"/>
          <w:sz w:val="22"/>
          <w:szCs w:val="22"/>
        </w:rPr>
        <w:t>,</w:t>
      </w:r>
      <w:r w:rsidR="00282E4C" w:rsidRPr="00047A9D">
        <w:rPr>
          <w:rFonts w:ascii="Times New Roman" w:hAnsi="Times New Roman" w:cs="Times New Roman"/>
          <w:sz w:val="22"/>
          <w:szCs w:val="22"/>
        </w:rPr>
        <w:t xml:space="preserve"> p.306.</w:t>
      </w:r>
    </w:p>
  </w:footnote>
  <w:footnote w:id="460">
    <w:p w14:paraId="62D05AA6" w14:textId="1CC9A358" w:rsidR="00282E4C" w:rsidRPr="00047A9D" w:rsidRDefault="00282E4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D3BEA" w:rsidRPr="00047A9D">
        <w:rPr>
          <w:rFonts w:ascii="Times New Roman" w:hAnsi="Times New Roman" w:cs="Times New Roman"/>
          <w:sz w:val="22"/>
          <w:szCs w:val="22"/>
        </w:rPr>
        <w:t xml:space="preserve">Jamdagni, Phillips-Bell, and Ward, </w:t>
      </w:r>
      <w:r w:rsidR="00CD3BEA" w:rsidRPr="00047A9D">
        <w:rPr>
          <w:rFonts w:ascii="Times New Roman" w:hAnsi="Times New Roman" w:cs="Times New Roman"/>
          <w:i/>
          <w:sz w:val="22"/>
          <w:szCs w:val="22"/>
        </w:rPr>
        <w:t>Talking Chalk</w:t>
      </w:r>
      <w:r w:rsidR="004719E2" w:rsidRPr="00047A9D">
        <w:rPr>
          <w:rFonts w:ascii="Times New Roman" w:hAnsi="Times New Roman" w:cs="Times New Roman"/>
          <w:i/>
          <w:sz w:val="22"/>
          <w:szCs w:val="22"/>
        </w:rPr>
        <w:t>,</w:t>
      </w:r>
      <w:r w:rsidR="00A71444" w:rsidRPr="00047A9D">
        <w:rPr>
          <w:rFonts w:ascii="Times New Roman" w:hAnsi="Times New Roman" w:cs="Times New Roman"/>
          <w:i/>
          <w:sz w:val="22"/>
          <w:szCs w:val="22"/>
        </w:rPr>
        <w:t xml:space="preserve"> </w:t>
      </w:r>
      <w:r w:rsidR="00A71444" w:rsidRPr="00047A9D">
        <w:rPr>
          <w:rFonts w:ascii="Times New Roman" w:hAnsi="Times New Roman" w:cs="Times New Roman"/>
          <w:sz w:val="22"/>
          <w:szCs w:val="22"/>
        </w:rPr>
        <w:t>p.14.</w:t>
      </w:r>
    </w:p>
  </w:footnote>
  <w:footnote w:id="461">
    <w:p w14:paraId="0C59808D" w14:textId="140061ED" w:rsidR="007738B2" w:rsidRPr="00047A9D" w:rsidRDefault="007738B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53DBC" w:rsidRPr="00047A9D">
        <w:rPr>
          <w:rFonts w:ascii="Times New Roman" w:hAnsi="Times New Roman" w:cs="Times New Roman"/>
          <w:sz w:val="22"/>
          <w:szCs w:val="22"/>
        </w:rPr>
        <w:t>Jamdagni, Phillips-Bell, and Ward</w:t>
      </w:r>
      <w:r w:rsidR="00281F00" w:rsidRPr="00047A9D">
        <w:rPr>
          <w:rFonts w:ascii="Times New Roman" w:hAnsi="Times New Roman" w:cs="Times New Roman"/>
          <w:i/>
          <w:sz w:val="22"/>
          <w:szCs w:val="22"/>
        </w:rPr>
        <w:t>,</w:t>
      </w:r>
      <w:r w:rsidR="005B15CD" w:rsidRPr="00047A9D">
        <w:rPr>
          <w:rFonts w:ascii="Times New Roman" w:hAnsi="Times New Roman" w:cs="Times New Roman"/>
          <w:i/>
          <w:sz w:val="22"/>
          <w:szCs w:val="22"/>
        </w:rPr>
        <w:t xml:space="preserve"> </w:t>
      </w:r>
      <w:r w:rsidR="005B15CD" w:rsidRPr="00047A9D">
        <w:rPr>
          <w:rFonts w:ascii="Times New Roman" w:hAnsi="Times New Roman" w:cs="Times New Roman"/>
          <w:sz w:val="22"/>
          <w:szCs w:val="22"/>
        </w:rPr>
        <w:t>p.25.</w:t>
      </w:r>
    </w:p>
  </w:footnote>
  <w:footnote w:id="462">
    <w:p w14:paraId="0F7901D3" w14:textId="0309257C" w:rsidR="00281F00" w:rsidRPr="00047A9D" w:rsidRDefault="00281F0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F3E14" w:rsidRPr="00047A9D">
        <w:rPr>
          <w:rFonts w:ascii="Times New Roman" w:hAnsi="Times New Roman" w:cs="Times New Roman"/>
          <w:sz w:val="22"/>
          <w:szCs w:val="22"/>
        </w:rPr>
        <w:t>Jamdagni, Phillips-Bell, and Ward</w:t>
      </w:r>
      <w:r w:rsidRPr="00047A9D">
        <w:rPr>
          <w:rFonts w:ascii="Times New Roman" w:hAnsi="Times New Roman" w:cs="Times New Roman"/>
          <w:i/>
          <w:sz w:val="22"/>
          <w:szCs w:val="22"/>
        </w:rPr>
        <w:t>,</w:t>
      </w:r>
      <w:r w:rsidR="006C2877" w:rsidRPr="00047A9D">
        <w:rPr>
          <w:rFonts w:ascii="Times New Roman" w:hAnsi="Times New Roman" w:cs="Times New Roman"/>
          <w:i/>
          <w:sz w:val="22"/>
          <w:szCs w:val="22"/>
        </w:rPr>
        <w:t xml:space="preserve"> </w:t>
      </w:r>
      <w:r w:rsidR="006C2877" w:rsidRPr="00047A9D">
        <w:rPr>
          <w:rFonts w:ascii="Times New Roman" w:hAnsi="Times New Roman" w:cs="Times New Roman"/>
          <w:sz w:val="22"/>
          <w:szCs w:val="22"/>
        </w:rPr>
        <w:t>p</w:t>
      </w:r>
      <w:r w:rsidR="007F3E14" w:rsidRPr="00047A9D">
        <w:rPr>
          <w:rFonts w:ascii="Times New Roman" w:hAnsi="Times New Roman" w:cs="Times New Roman"/>
          <w:sz w:val="22"/>
          <w:szCs w:val="22"/>
        </w:rPr>
        <w:t>p</w:t>
      </w:r>
      <w:r w:rsidR="006C2877" w:rsidRPr="00047A9D">
        <w:rPr>
          <w:rFonts w:ascii="Times New Roman" w:hAnsi="Times New Roman" w:cs="Times New Roman"/>
          <w:sz w:val="22"/>
          <w:szCs w:val="22"/>
        </w:rPr>
        <w:t>.</w:t>
      </w:r>
      <w:r w:rsidR="007F3E14" w:rsidRPr="00047A9D">
        <w:rPr>
          <w:rFonts w:ascii="Times New Roman" w:hAnsi="Times New Roman" w:cs="Times New Roman"/>
          <w:sz w:val="22"/>
          <w:szCs w:val="22"/>
        </w:rPr>
        <w:t xml:space="preserve">10, </w:t>
      </w:r>
      <w:r w:rsidR="006C2877" w:rsidRPr="00047A9D">
        <w:rPr>
          <w:rFonts w:ascii="Times New Roman" w:hAnsi="Times New Roman" w:cs="Times New Roman"/>
          <w:sz w:val="22"/>
          <w:szCs w:val="22"/>
        </w:rPr>
        <w:t>18.</w:t>
      </w:r>
    </w:p>
  </w:footnote>
  <w:footnote w:id="463">
    <w:p w14:paraId="73803DEA" w14:textId="2553A094" w:rsidR="00180243" w:rsidRPr="00047A9D" w:rsidRDefault="0018024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F3E14" w:rsidRPr="00047A9D">
        <w:rPr>
          <w:rFonts w:ascii="Times New Roman" w:hAnsi="Times New Roman" w:cs="Times New Roman"/>
          <w:sz w:val="22"/>
          <w:szCs w:val="22"/>
        </w:rPr>
        <w:t>Jamdagni, Phillips-Bell, and Ward</w:t>
      </w:r>
      <w:r w:rsidR="00281F00" w:rsidRPr="00047A9D">
        <w:rPr>
          <w:rFonts w:ascii="Times New Roman" w:hAnsi="Times New Roman" w:cs="Times New Roman"/>
          <w:i/>
          <w:sz w:val="22"/>
          <w:szCs w:val="22"/>
        </w:rPr>
        <w:t xml:space="preserve">, </w:t>
      </w:r>
      <w:r w:rsidR="00281F00" w:rsidRPr="00047A9D">
        <w:rPr>
          <w:rFonts w:ascii="Times New Roman" w:hAnsi="Times New Roman" w:cs="Times New Roman"/>
          <w:sz w:val="22"/>
          <w:szCs w:val="22"/>
        </w:rPr>
        <w:t>p</w:t>
      </w:r>
      <w:r w:rsidRPr="00047A9D">
        <w:rPr>
          <w:rFonts w:ascii="Times New Roman" w:hAnsi="Times New Roman" w:cs="Times New Roman"/>
          <w:sz w:val="22"/>
          <w:szCs w:val="22"/>
        </w:rPr>
        <w:t>.35</w:t>
      </w:r>
      <w:r w:rsidR="006C0015" w:rsidRPr="00047A9D">
        <w:rPr>
          <w:rFonts w:ascii="Times New Roman" w:hAnsi="Times New Roman" w:cs="Times New Roman"/>
          <w:sz w:val="22"/>
          <w:szCs w:val="22"/>
        </w:rPr>
        <w:t>.</w:t>
      </w:r>
    </w:p>
  </w:footnote>
  <w:footnote w:id="464">
    <w:p w14:paraId="39997526" w14:textId="39D9B752" w:rsidR="00504101" w:rsidRPr="00047A9D" w:rsidRDefault="0050410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332D5" w:rsidRPr="00047A9D">
        <w:rPr>
          <w:rFonts w:ascii="Times New Roman" w:hAnsi="Times New Roman" w:cs="Times New Roman"/>
          <w:sz w:val="22"/>
          <w:szCs w:val="22"/>
        </w:rPr>
        <w:t>Susan Rigg, ‘</w:t>
      </w:r>
      <w:r w:rsidR="007D310E" w:rsidRPr="00047A9D">
        <w:rPr>
          <w:rFonts w:ascii="Times New Roman" w:hAnsi="Times New Roman" w:cs="Times New Roman"/>
          <w:sz w:val="22"/>
          <w:szCs w:val="22"/>
        </w:rPr>
        <w:t>What Makes a Black Person Black?</w:t>
      </w:r>
      <w:r w:rsidR="00B332D5" w:rsidRPr="00047A9D">
        <w:rPr>
          <w:rFonts w:ascii="Times New Roman" w:hAnsi="Times New Roman" w:cs="Times New Roman"/>
          <w:sz w:val="22"/>
          <w:szCs w:val="22"/>
        </w:rPr>
        <w:t xml:space="preserve">’, in McGilchrist (ed.), </w:t>
      </w:r>
      <w:r w:rsidR="00B332D5" w:rsidRPr="00047A9D">
        <w:rPr>
          <w:rFonts w:ascii="Times New Roman" w:hAnsi="Times New Roman" w:cs="Times New Roman"/>
          <w:i/>
          <w:sz w:val="22"/>
          <w:szCs w:val="22"/>
        </w:rPr>
        <w:t>Black Voices</w:t>
      </w:r>
      <w:r w:rsidR="00B332D5" w:rsidRPr="00047A9D">
        <w:rPr>
          <w:rFonts w:ascii="Times New Roman" w:hAnsi="Times New Roman" w:cs="Times New Roman"/>
          <w:sz w:val="22"/>
          <w:szCs w:val="22"/>
        </w:rPr>
        <w:t>,</w:t>
      </w:r>
      <w:r w:rsidR="002F225C" w:rsidRPr="00047A9D">
        <w:rPr>
          <w:rFonts w:ascii="Times New Roman" w:hAnsi="Times New Roman" w:cs="Times New Roman"/>
          <w:sz w:val="22"/>
          <w:szCs w:val="22"/>
        </w:rPr>
        <w:t xml:space="preserve"> </w:t>
      </w:r>
      <w:r w:rsidR="007D310E" w:rsidRPr="00047A9D">
        <w:rPr>
          <w:rFonts w:ascii="Times New Roman" w:hAnsi="Times New Roman" w:cs="Times New Roman"/>
          <w:sz w:val="22"/>
          <w:szCs w:val="22"/>
        </w:rPr>
        <w:t>46-47</w:t>
      </w:r>
      <w:r w:rsidR="002F225C" w:rsidRPr="00047A9D">
        <w:rPr>
          <w:rFonts w:ascii="Times New Roman" w:hAnsi="Times New Roman" w:cs="Times New Roman"/>
          <w:sz w:val="22"/>
          <w:szCs w:val="22"/>
        </w:rPr>
        <w:t>, p</w:t>
      </w:r>
      <w:r w:rsidR="00F97430" w:rsidRPr="00047A9D">
        <w:rPr>
          <w:rFonts w:ascii="Times New Roman" w:hAnsi="Times New Roman" w:cs="Times New Roman"/>
          <w:sz w:val="22"/>
          <w:szCs w:val="22"/>
        </w:rPr>
        <w:t>.47.</w:t>
      </w:r>
    </w:p>
  </w:footnote>
  <w:footnote w:id="465">
    <w:p w14:paraId="63B767DE" w14:textId="6173CEDC" w:rsidR="00EB546B" w:rsidRPr="00047A9D" w:rsidRDefault="00EB546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Jamdagni, Phillips-Bell, and Ward, </w:t>
      </w:r>
      <w:r w:rsidRPr="00047A9D">
        <w:rPr>
          <w:rFonts w:ascii="Times New Roman" w:hAnsi="Times New Roman" w:cs="Times New Roman"/>
          <w:i/>
          <w:sz w:val="22"/>
          <w:szCs w:val="22"/>
        </w:rPr>
        <w:t>Talking Chalk</w:t>
      </w:r>
      <w:r w:rsidRPr="00047A9D">
        <w:rPr>
          <w:rFonts w:ascii="Times New Roman" w:hAnsi="Times New Roman" w:cs="Times New Roman"/>
          <w:sz w:val="22"/>
          <w:szCs w:val="22"/>
        </w:rPr>
        <w:t>, p.</w:t>
      </w:r>
      <w:r w:rsidR="00714663" w:rsidRPr="00047A9D">
        <w:rPr>
          <w:rFonts w:ascii="Times New Roman" w:hAnsi="Times New Roman" w:cs="Times New Roman"/>
          <w:sz w:val="22"/>
          <w:szCs w:val="22"/>
        </w:rPr>
        <w:t>58.</w:t>
      </w:r>
    </w:p>
  </w:footnote>
  <w:footnote w:id="466">
    <w:p w14:paraId="1AEBDCB3" w14:textId="3B53735B" w:rsidR="002F6FA4" w:rsidRPr="00047A9D" w:rsidRDefault="002F6FA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Rigg</w:t>
      </w:r>
      <w:r w:rsidR="00142AFB" w:rsidRPr="00047A9D">
        <w:rPr>
          <w:rFonts w:ascii="Times New Roman" w:hAnsi="Times New Roman" w:cs="Times New Roman"/>
          <w:sz w:val="22"/>
          <w:szCs w:val="22"/>
        </w:rPr>
        <w:t xml:space="preserve">, ‘Black Person’, McGilchrist (ed.), </w:t>
      </w:r>
      <w:r w:rsidR="00142AFB" w:rsidRPr="00047A9D">
        <w:rPr>
          <w:rFonts w:ascii="Times New Roman" w:hAnsi="Times New Roman" w:cs="Times New Roman"/>
          <w:i/>
          <w:sz w:val="22"/>
          <w:szCs w:val="22"/>
        </w:rPr>
        <w:t xml:space="preserve">Black Voices, </w:t>
      </w:r>
      <w:r w:rsidR="00142AFB" w:rsidRPr="00047A9D">
        <w:rPr>
          <w:rFonts w:ascii="Times New Roman" w:hAnsi="Times New Roman" w:cs="Times New Roman"/>
          <w:sz w:val="22"/>
          <w:szCs w:val="22"/>
        </w:rPr>
        <w:t>p.</w:t>
      </w:r>
      <w:r w:rsidR="0096758A" w:rsidRPr="00047A9D">
        <w:rPr>
          <w:rFonts w:ascii="Times New Roman" w:hAnsi="Times New Roman" w:cs="Times New Roman"/>
          <w:sz w:val="22"/>
          <w:szCs w:val="22"/>
        </w:rPr>
        <w:t>47.</w:t>
      </w:r>
    </w:p>
  </w:footnote>
  <w:footnote w:id="467">
    <w:p w14:paraId="3E047437" w14:textId="2851CB12" w:rsidR="0096758A" w:rsidRPr="00047A9D" w:rsidRDefault="0096758A"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B0537" w:rsidRPr="00047A9D">
        <w:rPr>
          <w:rFonts w:ascii="Times New Roman" w:hAnsi="Times New Roman" w:cs="Times New Roman"/>
          <w:sz w:val="22"/>
          <w:szCs w:val="22"/>
        </w:rPr>
        <w:t xml:space="preserve">Rigg, ‘Black Person’, McGilchrist (ed.), </w:t>
      </w:r>
      <w:r w:rsidR="00AB0537" w:rsidRPr="00047A9D">
        <w:rPr>
          <w:rFonts w:ascii="Times New Roman" w:hAnsi="Times New Roman" w:cs="Times New Roman"/>
          <w:i/>
          <w:sz w:val="22"/>
          <w:szCs w:val="22"/>
        </w:rPr>
        <w:t xml:space="preserve">Black Voices, </w:t>
      </w:r>
      <w:r w:rsidR="00AB0537" w:rsidRPr="00047A9D">
        <w:rPr>
          <w:rFonts w:ascii="Times New Roman" w:hAnsi="Times New Roman" w:cs="Times New Roman"/>
          <w:sz w:val="22"/>
          <w:szCs w:val="22"/>
        </w:rPr>
        <w:t>p.47</w:t>
      </w:r>
      <w:r w:rsidRPr="00047A9D">
        <w:rPr>
          <w:rFonts w:ascii="Times New Roman" w:hAnsi="Times New Roman" w:cs="Times New Roman"/>
          <w:i/>
          <w:sz w:val="22"/>
          <w:szCs w:val="22"/>
        </w:rPr>
        <w:t>.</w:t>
      </w:r>
    </w:p>
  </w:footnote>
  <w:footnote w:id="468">
    <w:p w14:paraId="24A7672B" w14:textId="791BD1E8" w:rsidR="006C0015" w:rsidRPr="00047A9D" w:rsidRDefault="006C001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32B75" w:rsidRPr="00047A9D">
        <w:rPr>
          <w:rFonts w:ascii="Times New Roman" w:hAnsi="Times New Roman" w:cs="Times New Roman"/>
          <w:sz w:val="22"/>
          <w:szCs w:val="22"/>
        </w:rPr>
        <w:t xml:space="preserve">Jamdagni, Phillips-Bell, and Ward, </w:t>
      </w:r>
      <w:r w:rsidR="00032B75" w:rsidRPr="00047A9D">
        <w:rPr>
          <w:rFonts w:ascii="Times New Roman" w:hAnsi="Times New Roman" w:cs="Times New Roman"/>
          <w:i/>
          <w:sz w:val="22"/>
          <w:szCs w:val="22"/>
        </w:rPr>
        <w:t xml:space="preserve">Talking Chalk, </w:t>
      </w:r>
      <w:r w:rsidR="00032B75" w:rsidRPr="00047A9D">
        <w:rPr>
          <w:rFonts w:ascii="Times New Roman" w:hAnsi="Times New Roman" w:cs="Times New Roman"/>
          <w:sz w:val="22"/>
          <w:szCs w:val="22"/>
        </w:rPr>
        <w:t>p</w:t>
      </w:r>
      <w:r w:rsidRPr="00047A9D">
        <w:rPr>
          <w:rFonts w:ascii="Times New Roman" w:hAnsi="Times New Roman" w:cs="Times New Roman"/>
          <w:sz w:val="22"/>
          <w:szCs w:val="22"/>
        </w:rPr>
        <w:t>.44.</w:t>
      </w:r>
    </w:p>
  </w:footnote>
  <w:footnote w:id="469">
    <w:p w14:paraId="790CAAB3" w14:textId="682903AD" w:rsidR="008A4C1B" w:rsidRPr="00047A9D" w:rsidRDefault="008A4C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0575B" w:rsidRPr="00047A9D">
        <w:rPr>
          <w:rFonts w:ascii="Times New Roman" w:hAnsi="Times New Roman" w:cs="Times New Roman"/>
          <w:sz w:val="22"/>
          <w:szCs w:val="22"/>
        </w:rPr>
        <w:t xml:space="preserve">Pratibha Parmar and Nadira </w:t>
      </w:r>
      <w:r w:rsidR="00A2215E" w:rsidRPr="00047A9D">
        <w:rPr>
          <w:rFonts w:ascii="Times New Roman" w:hAnsi="Times New Roman" w:cs="Times New Roman"/>
          <w:sz w:val="22"/>
          <w:szCs w:val="22"/>
        </w:rPr>
        <w:t>Mirza</w:t>
      </w:r>
      <w:r w:rsidR="00F13147" w:rsidRPr="00047A9D">
        <w:rPr>
          <w:rFonts w:ascii="Times New Roman" w:hAnsi="Times New Roman" w:cs="Times New Roman"/>
          <w:sz w:val="22"/>
          <w:szCs w:val="22"/>
        </w:rPr>
        <w:t>,</w:t>
      </w:r>
      <w:r w:rsidR="00A2215E" w:rsidRPr="00047A9D">
        <w:rPr>
          <w:rFonts w:ascii="Times New Roman" w:hAnsi="Times New Roman" w:cs="Times New Roman"/>
          <w:sz w:val="22"/>
          <w:szCs w:val="22"/>
        </w:rPr>
        <w:t xml:space="preserve"> ‘Growing Angry, Growing Strong’,</w:t>
      </w:r>
      <w:r w:rsidR="00F13147" w:rsidRPr="00047A9D">
        <w:rPr>
          <w:rFonts w:ascii="Times New Roman" w:hAnsi="Times New Roman" w:cs="Times New Roman"/>
          <w:sz w:val="22"/>
          <w:szCs w:val="22"/>
        </w:rPr>
        <w:t xml:space="preserve"> in Susan Hemmings (ed.),</w:t>
      </w:r>
      <w:r w:rsidR="00F13147" w:rsidRPr="00047A9D">
        <w:rPr>
          <w:rFonts w:ascii="Times New Roman" w:hAnsi="Times New Roman" w:cs="Times New Roman"/>
          <w:i/>
          <w:sz w:val="22"/>
          <w:szCs w:val="22"/>
        </w:rPr>
        <w:t xml:space="preserve"> Girls are Powerful: Young Women’s Writings from Spare Rib</w:t>
      </w:r>
      <w:r w:rsidR="00F13147" w:rsidRPr="00047A9D">
        <w:rPr>
          <w:rFonts w:ascii="Times New Roman" w:hAnsi="Times New Roman" w:cs="Times New Roman"/>
          <w:sz w:val="22"/>
          <w:szCs w:val="22"/>
        </w:rPr>
        <w:t xml:space="preserve"> (London: Sheba, 1982)</w:t>
      </w:r>
      <w:r w:rsidR="00346F19" w:rsidRPr="00047A9D">
        <w:rPr>
          <w:rFonts w:ascii="Times New Roman" w:hAnsi="Times New Roman" w:cs="Times New Roman"/>
          <w:sz w:val="22"/>
          <w:szCs w:val="22"/>
        </w:rPr>
        <w:t>,</w:t>
      </w:r>
      <w:r w:rsidR="00A2215E" w:rsidRPr="00047A9D">
        <w:rPr>
          <w:rFonts w:ascii="Times New Roman" w:hAnsi="Times New Roman" w:cs="Times New Roman"/>
          <w:sz w:val="22"/>
          <w:szCs w:val="22"/>
        </w:rPr>
        <w:t xml:space="preserve"> 143-50,</w:t>
      </w:r>
      <w:r w:rsidR="00346F19" w:rsidRPr="00047A9D">
        <w:rPr>
          <w:rFonts w:ascii="Times New Roman" w:hAnsi="Times New Roman" w:cs="Times New Roman"/>
          <w:sz w:val="22"/>
          <w:szCs w:val="22"/>
        </w:rPr>
        <w:t xml:space="preserve"> p.145.</w:t>
      </w:r>
    </w:p>
  </w:footnote>
  <w:footnote w:id="470">
    <w:p w14:paraId="200EB939" w14:textId="2043E4B2" w:rsidR="00F13147" w:rsidRPr="00047A9D" w:rsidRDefault="00F1314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82623" w:rsidRPr="00047A9D">
        <w:rPr>
          <w:rFonts w:ascii="Times New Roman" w:hAnsi="Times New Roman" w:cs="Times New Roman"/>
          <w:sz w:val="22"/>
          <w:szCs w:val="22"/>
        </w:rPr>
        <w:t xml:space="preserve">Jamdagni, Phillips-Bell, and Ward, </w:t>
      </w:r>
      <w:r w:rsidR="00682623" w:rsidRPr="00047A9D">
        <w:rPr>
          <w:rFonts w:ascii="Times New Roman" w:hAnsi="Times New Roman" w:cs="Times New Roman"/>
          <w:i/>
          <w:sz w:val="22"/>
          <w:szCs w:val="22"/>
        </w:rPr>
        <w:t xml:space="preserve">Talking Chalk, </w:t>
      </w:r>
      <w:r w:rsidR="00682623" w:rsidRPr="00047A9D">
        <w:rPr>
          <w:rFonts w:ascii="Times New Roman" w:hAnsi="Times New Roman" w:cs="Times New Roman"/>
          <w:sz w:val="22"/>
          <w:szCs w:val="22"/>
        </w:rPr>
        <w:t>pp.13, 62.</w:t>
      </w:r>
    </w:p>
  </w:footnote>
  <w:footnote w:id="471">
    <w:p w14:paraId="23A77135" w14:textId="341FEFF5" w:rsidR="00E970FF" w:rsidRPr="00047A9D" w:rsidRDefault="00E970F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D73028" w:rsidRPr="00047A9D">
        <w:rPr>
          <w:rFonts w:ascii="Times New Roman" w:hAnsi="Times New Roman" w:cs="Times New Roman"/>
          <w:sz w:val="22"/>
          <w:szCs w:val="22"/>
        </w:rPr>
        <w:t xml:space="preserve"> </w:t>
      </w:r>
      <w:r w:rsidR="00D41AED" w:rsidRPr="00047A9D">
        <w:rPr>
          <w:rFonts w:ascii="Times New Roman" w:hAnsi="Times New Roman" w:cs="Times New Roman"/>
          <w:sz w:val="22"/>
          <w:szCs w:val="22"/>
        </w:rPr>
        <w:t xml:space="preserve">Jamdagni, Phillips-Bell, and Ward, </w:t>
      </w:r>
      <w:r w:rsidR="00D41AED" w:rsidRPr="00047A9D">
        <w:rPr>
          <w:rFonts w:ascii="Times New Roman" w:hAnsi="Times New Roman" w:cs="Times New Roman"/>
          <w:i/>
          <w:sz w:val="22"/>
          <w:szCs w:val="22"/>
        </w:rPr>
        <w:t xml:space="preserve">Talking Chalk, </w:t>
      </w:r>
      <w:r w:rsidR="00D41AED" w:rsidRPr="00047A9D">
        <w:rPr>
          <w:rFonts w:ascii="Times New Roman" w:hAnsi="Times New Roman" w:cs="Times New Roman"/>
          <w:sz w:val="22"/>
          <w:szCs w:val="22"/>
        </w:rPr>
        <w:t>p.24.</w:t>
      </w:r>
    </w:p>
  </w:footnote>
  <w:footnote w:id="472">
    <w:p w14:paraId="7B2E9FF2" w14:textId="087EE0B0" w:rsidR="00F63D94" w:rsidRPr="00047A9D" w:rsidRDefault="00F63D9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B0A3D" w:rsidRPr="00047A9D">
        <w:rPr>
          <w:rFonts w:ascii="Times New Roman" w:hAnsi="Times New Roman" w:cs="Times New Roman"/>
          <w:sz w:val="22"/>
          <w:szCs w:val="22"/>
        </w:rPr>
        <w:t xml:space="preserve">Jamdagni, Phillips-Bell, and Ward, </w:t>
      </w:r>
      <w:r w:rsidR="000B0A3D" w:rsidRPr="00047A9D">
        <w:rPr>
          <w:rFonts w:ascii="Times New Roman" w:hAnsi="Times New Roman" w:cs="Times New Roman"/>
          <w:i/>
          <w:sz w:val="22"/>
          <w:szCs w:val="22"/>
        </w:rPr>
        <w:t>Talking Chalk</w:t>
      </w:r>
      <w:r w:rsidR="00C2296B" w:rsidRPr="00047A9D">
        <w:rPr>
          <w:rFonts w:ascii="Times New Roman" w:hAnsi="Times New Roman" w:cs="Times New Roman"/>
          <w:i/>
          <w:sz w:val="22"/>
          <w:szCs w:val="22"/>
        </w:rPr>
        <w:t xml:space="preserve">, </w:t>
      </w:r>
      <w:r w:rsidR="00C2296B" w:rsidRPr="00047A9D">
        <w:rPr>
          <w:rFonts w:ascii="Times New Roman" w:hAnsi="Times New Roman" w:cs="Times New Roman"/>
          <w:sz w:val="22"/>
          <w:szCs w:val="22"/>
        </w:rPr>
        <w:t>p</w:t>
      </w:r>
      <w:r w:rsidRPr="00047A9D">
        <w:rPr>
          <w:rFonts w:ascii="Times New Roman" w:hAnsi="Times New Roman" w:cs="Times New Roman"/>
          <w:sz w:val="22"/>
          <w:szCs w:val="22"/>
        </w:rPr>
        <w:t>.35</w:t>
      </w:r>
      <w:r w:rsidR="00343683">
        <w:rPr>
          <w:rFonts w:ascii="Times New Roman" w:hAnsi="Times New Roman" w:cs="Times New Roman"/>
          <w:sz w:val="22"/>
          <w:szCs w:val="22"/>
        </w:rPr>
        <w:t>.</w:t>
      </w:r>
    </w:p>
  </w:footnote>
  <w:footnote w:id="473">
    <w:p w14:paraId="6F8DD32B" w14:textId="77777777" w:rsidR="00291C33" w:rsidRPr="00047A9D" w:rsidRDefault="00291C33" w:rsidP="00D839D4">
      <w:pPr>
        <w:pStyle w:val="NoSpacing"/>
        <w:spacing w:line="360" w:lineRule="auto"/>
        <w:rPr>
          <w:sz w:val="22"/>
        </w:rPr>
      </w:pPr>
      <w:r w:rsidRPr="00047A9D">
        <w:rPr>
          <w:rStyle w:val="FootnoteReference"/>
          <w:sz w:val="22"/>
        </w:rPr>
        <w:footnoteRef/>
      </w:r>
      <w:r w:rsidRPr="00047A9D">
        <w:rPr>
          <w:sz w:val="22"/>
        </w:rPr>
        <w:t xml:space="preserve"> Tony Gordon and Tony Atta, ‘Education and Schooling’, in Central Manchester Caribbean English Project</w:t>
      </w:r>
      <w:r w:rsidRPr="00047A9D">
        <w:rPr>
          <w:i/>
          <w:sz w:val="22"/>
        </w:rPr>
        <w:t>, Triangular Minds: Black Youth on Identity</w:t>
      </w:r>
      <w:r w:rsidRPr="00047A9D">
        <w:rPr>
          <w:sz w:val="22"/>
        </w:rPr>
        <w:t xml:space="preserve"> (Manchester: Manchester Education Committee, 1986), 72-75, p.72.</w:t>
      </w:r>
    </w:p>
  </w:footnote>
  <w:footnote w:id="474">
    <w:p w14:paraId="05A1A028" w14:textId="77777777" w:rsidR="009A16B4" w:rsidRPr="00047A9D" w:rsidRDefault="009A16B4" w:rsidP="00D839D4">
      <w:pPr>
        <w:pStyle w:val="NoSpacing"/>
        <w:spacing w:line="360" w:lineRule="auto"/>
        <w:rPr>
          <w:sz w:val="22"/>
        </w:rPr>
      </w:pPr>
      <w:r w:rsidRPr="00047A9D">
        <w:rPr>
          <w:rStyle w:val="FootnoteReference"/>
          <w:sz w:val="22"/>
        </w:rPr>
        <w:footnoteRef/>
      </w:r>
      <w:r w:rsidRPr="00047A9D">
        <w:rPr>
          <w:sz w:val="22"/>
        </w:rPr>
        <w:t xml:space="preserve"> Sonia Hammond and Judy Craven, ‘The Early Struggles’, in Central Manchester Caribbean English Project</w:t>
      </w:r>
      <w:r w:rsidRPr="00047A9D">
        <w:rPr>
          <w:i/>
          <w:sz w:val="22"/>
        </w:rPr>
        <w:t>, Triangular Minds</w:t>
      </w:r>
      <w:r w:rsidRPr="00047A9D">
        <w:rPr>
          <w:sz w:val="22"/>
        </w:rPr>
        <w:t>, 27-31, pp.29-30.</w:t>
      </w:r>
    </w:p>
  </w:footnote>
  <w:footnote w:id="475">
    <w:p w14:paraId="277EE356" w14:textId="06FBFF99" w:rsidR="009A3CD2" w:rsidRPr="00047A9D" w:rsidRDefault="009A3CD2" w:rsidP="00D839D4">
      <w:pPr>
        <w:pStyle w:val="NoSpacing"/>
        <w:spacing w:line="360" w:lineRule="auto"/>
        <w:rPr>
          <w:sz w:val="22"/>
        </w:rPr>
      </w:pPr>
      <w:r w:rsidRPr="00047A9D">
        <w:rPr>
          <w:rStyle w:val="FootnoteReference"/>
          <w:sz w:val="22"/>
        </w:rPr>
        <w:footnoteRef/>
      </w:r>
      <w:r w:rsidRPr="00047A9D">
        <w:rPr>
          <w:sz w:val="22"/>
        </w:rPr>
        <w:t xml:space="preserve"> </w:t>
      </w:r>
      <w:r w:rsidR="00A24F3A" w:rsidRPr="00047A9D">
        <w:rPr>
          <w:sz w:val="22"/>
        </w:rPr>
        <w:t xml:space="preserve">Marc Ferro, </w:t>
      </w:r>
      <w:r w:rsidR="00A24F3A" w:rsidRPr="00047A9D">
        <w:rPr>
          <w:i/>
          <w:sz w:val="22"/>
        </w:rPr>
        <w:t>The Use and Abuse of History</w:t>
      </w:r>
      <w:r w:rsidR="00A24F3A" w:rsidRPr="00047A9D">
        <w:rPr>
          <w:sz w:val="22"/>
        </w:rPr>
        <w:t xml:space="preserve"> (London: Routledge Classics, 2003), p.x.</w:t>
      </w:r>
    </w:p>
  </w:footnote>
  <w:footnote w:id="476">
    <w:p w14:paraId="74F26FEF" w14:textId="4C4AECAA" w:rsidR="00845ACB" w:rsidRPr="00047A9D" w:rsidRDefault="00845AC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40C24" w:rsidRPr="00047A9D">
        <w:rPr>
          <w:rFonts w:ascii="Times New Roman" w:hAnsi="Times New Roman" w:cs="Times New Roman"/>
          <w:sz w:val="22"/>
          <w:szCs w:val="22"/>
        </w:rPr>
        <w:t xml:space="preserve">Rabina Khan, </w:t>
      </w:r>
      <w:r w:rsidR="00240C24" w:rsidRPr="00047A9D">
        <w:rPr>
          <w:rFonts w:ascii="Times New Roman" w:hAnsi="Times New Roman" w:cs="Times New Roman"/>
          <w:i/>
          <w:sz w:val="22"/>
          <w:szCs w:val="22"/>
        </w:rPr>
        <w:t xml:space="preserve">My Hair is Pink Under This Veil </w:t>
      </w:r>
      <w:r w:rsidR="00240C24" w:rsidRPr="00047A9D">
        <w:rPr>
          <w:rFonts w:ascii="Times New Roman" w:hAnsi="Times New Roman" w:cs="Times New Roman"/>
          <w:sz w:val="22"/>
          <w:szCs w:val="22"/>
        </w:rPr>
        <w:t>(</w:t>
      </w:r>
      <w:r w:rsidR="0033560A" w:rsidRPr="00047A9D">
        <w:rPr>
          <w:rFonts w:ascii="Times New Roman" w:hAnsi="Times New Roman" w:cs="Times New Roman"/>
          <w:sz w:val="22"/>
          <w:szCs w:val="22"/>
        </w:rPr>
        <w:t xml:space="preserve">Hull: Biteback, 2021), </w:t>
      </w:r>
      <w:r w:rsidR="00024416" w:rsidRPr="00047A9D">
        <w:rPr>
          <w:rFonts w:ascii="Times New Roman" w:hAnsi="Times New Roman" w:cs="Times New Roman"/>
          <w:sz w:val="22"/>
          <w:szCs w:val="22"/>
        </w:rPr>
        <w:t>p</w:t>
      </w:r>
      <w:r w:rsidR="005A7154" w:rsidRPr="00047A9D">
        <w:rPr>
          <w:rFonts w:ascii="Times New Roman" w:hAnsi="Times New Roman" w:cs="Times New Roman"/>
          <w:sz w:val="22"/>
          <w:szCs w:val="22"/>
        </w:rPr>
        <w:t>p</w:t>
      </w:r>
      <w:r w:rsidR="00024416" w:rsidRPr="00047A9D">
        <w:rPr>
          <w:rFonts w:ascii="Times New Roman" w:hAnsi="Times New Roman" w:cs="Times New Roman"/>
          <w:sz w:val="22"/>
          <w:szCs w:val="22"/>
        </w:rPr>
        <w:t>.</w:t>
      </w:r>
      <w:r w:rsidR="005A7154" w:rsidRPr="00047A9D">
        <w:rPr>
          <w:rFonts w:ascii="Times New Roman" w:hAnsi="Times New Roman" w:cs="Times New Roman"/>
          <w:sz w:val="22"/>
          <w:szCs w:val="22"/>
        </w:rPr>
        <w:t>17-</w:t>
      </w:r>
      <w:r w:rsidR="00240C24" w:rsidRPr="00047A9D">
        <w:rPr>
          <w:rFonts w:ascii="Times New Roman" w:hAnsi="Times New Roman" w:cs="Times New Roman"/>
          <w:sz w:val="22"/>
          <w:szCs w:val="22"/>
        </w:rPr>
        <w:t>18, 57</w:t>
      </w:r>
      <w:r w:rsidR="00DB2CFE" w:rsidRPr="00047A9D">
        <w:rPr>
          <w:rFonts w:ascii="Times New Roman" w:hAnsi="Times New Roman" w:cs="Times New Roman"/>
          <w:sz w:val="22"/>
          <w:szCs w:val="22"/>
        </w:rPr>
        <w:t>.</w:t>
      </w:r>
    </w:p>
  </w:footnote>
  <w:footnote w:id="477">
    <w:p w14:paraId="6DE5C7D5" w14:textId="72185F13" w:rsidR="005B4CC3" w:rsidRPr="00047A9D" w:rsidRDefault="005B4CC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A7154" w:rsidRPr="00047A9D">
        <w:rPr>
          <w:rFonts w:ascii="Times New Roman" w:hAnsi="Times New Roman" w:cs="Times New Roman"/>
          <w:sz w:val="22"/>
          <w:szCs w:val="22"/>
        </w:rPr>
        <w:t xml:space="preserve">Khan, </w:t>
      </w:r>
      <w:r w:rsidR="005A7154" w:rsidRPr="00047A9D">
        <w:rPr>
          <w:rFonts w:ascii="Times New Roman" w:hAnsi="Times New Roman" w:cs="Times New Roman"/>
          <w:i/>
          <w:sz w:val="22"/>
          <w:szCs w:val="22"/>
        </w:rPr>
        <w:t>My Hair is Pink</w:t>
      </w:r>
      <w:r w:rsidR="00223D39" w:rsidRPr="00047A9D">
        <w:rPr>
          <w:rFonts w:ascii="Times New Roman" w:hAnsi="Times New Roman" w:cs="Times New Roman"/>
          <w:sz w:val="22"/>
          <w:szCs w:val="22"/>
        </w:rPr>
        <w:t>, p</w:t>
      </w:r>
      <w:r w:rsidR="00D0032E" w:rsidRPr="00047A9D">
        <w:rPr>
          <w:rFonts w:ascii="Times New Roman" w:hAnsi="Times New Roman" w:cs="Times New Roman"/>
          <w:sz w:val="22"/>
          <w:szCs w:val="22"/>
        </w:rPr>
        <w:t>p.16-17.</w:t>
      </w:r>
    </w:p>
  </w:footnote>
  <w:footnote w:id="478">
    <w:p w14:paraId="4929F878" w14:textId="3ACB757A" w:rsidR="004342C5" w:rsidRPr="00047A9D" w:rsidRDefault="004342C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030B1" w:rsidRPr="00047A9D">
        <w:rPr>
          <w:rFonts w:ascii="Times New Roman" w:hAnsi="Times New Roman" w:cs="Times New Roman"/>
          <w:sz w:val="22"/>
          <w:szCs w:val="22"/>
        </w:rPr>
        <w:t xml:space="preserve">Jones, ‘Black British Childhood’, in McGilchrist (ed.), </w:t>
      </w:r>
      <w:r w:rsidR="001030B1" w:rsidRPr="00047A9D">
        <w:rPr>
          <w:rFonts w:ascii="Times New Roman" w:hAnsi="Times New Roman" w:cs="Times New Roman"/>
          <w:i/>
          <w:sz w:val="22"/>
          <w:szCs w:val="22"/>
        </w:rPr>
        <w:t xml:space="preserve">Black Voices, </w:t>
      </w:r>
      <w:r w:rsidR="001030B1" w:rsidRPr="00047A9D">
        <w:rPr>
          <w:rFonts w:ascii="Times New Roman" w:hAnsi="Times New Roman" w:cs="Times New Roman"/>
          <w:sz w:val="22"/>
          <w:szCs w:val="22"/>
        </w:rPr>
        <w:t>p.229.</w:t>
      </w:r>
    </w:p>
  </w:footnote>
  <w:footnote w:id="479">
    <w:p w14:paraId="3D605B25" w14:textId="4CBBB6ED" w:rsidR="00836790" w:rsidRPr="00047A9D" w:rsidRDefault="0083679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97D37" w:rsidRPr="00047A9D">
        <w:rPr>
          <w:rFonts w:ascii="Times New Roman" w:hAnsi="Times New Roman" w:cs="Times New Roman"/>
          <w:sz w:val="22"/>
          <w:szCs w:val="22"/>
        </w:rPr>
        <w:t xml:space="preserve">Jones, ‘Black British Childhood’, in McGilchrist (ed.), </w:t>
      </w:r>
      <w:r w:rsidR="00A97D37" w:rsidRPr="00047A9D">
        <w:rPr>
          <w:rFonts w:ascii="Times New Roman" w:hAnsi="Times New Roman" w:cs="Times New Roman"/>
          <w:i/>
          <w:sz w:val="22"/>
          <w:szCs w:val="22"/>
        </w:rPr>
        <w:t xml:space="preserve">Black Voices, </w:t>
      </w:r>
      <w:r w:rsidR="00A97D37" w:rsidRPr="00047A9D">
        <w:rPr>
          <w:rFonts w:ascii="Times New Roman" w:hAnsi="Times New Roman" w:cs="Times New Roman"/>
          <w:sz w:val="22"/>
          <w:szCs w:val="22"/>
        </w:rPr>
        <w:t>p.229</w:t>
      </w:r>
      <w:r w:rsidR="00E60350" w:rsidRPr="00047A9D">
        <w:rPr>
          <w:rFonts w:ascii="Times New Roman" w:hAnsi="Times New Roman" w:cs="Times New Roman"/>
          <w:i/>
          <w:sz w:val="22"/>
          <w:szCs w:val="22"/>
        </w:rPr>
        <w:t>.</w:t>
      </w:r>
    </w:p>
  </w:footnote>
  <w:footnote w:id="480">
    <w:p w14:paraId="68233DFD" w14:textId="080C67C8" w:rsidR="00A7101A" w:rsidRPr="00EF2F08" w:rsidRDefault="00A7101A" w:rsidP="00D839D4">
      <w:pPr>
        <w:pStyle w:val="FootnoteText"/>
        <w:spacing w:line="360" w:lineRule="auto"/>
        <w:rPr>
          <w:rFonts w:ascii="Times New Roman" w:hAnsi="Times New Roman" w:cs="Times New Roman"/>
          <w:sz w:val="22"/>
          <w:szCs w:val="22"/>
        </w:rPr>
      </w:pPr>
      <w:r w:rsidRPr="00EF2F08">
        <w:rPr>
          <w:rStyle w:val="FootnoteReference"/>
          <w:rFonts w:ascii="Times New Roman" w:hAnsi="Times New Roman" w:cs="Times New Roman"/>
          <w:sz w:val="22"/>
          <w:szCs w:val="22"/>
        </w:rPr>
        <w:footnoteRef/>
      </w:r>
      <w:r w:rsidRPr="00EF2F08">
        <w:rPr>
          <w:rFonts w:ascii="Times New Roman" w:hAnsi="Times New Roman" w:cs="Times New Roman"/>
          <w:sz w:val="22"/>
          <w:szCs w:val="22"/>
        </w:rPr>
        <w:t xml:space="preserve"> </w:t>
      </w:r>
      <w:r w:rsidR="00EF2F08" w:rsidRPr="00EF2F08">
        <w:rPr>
          <w:rFonts w:ascii="Times New Roman" w:hAnsi="Times New Roman" w:cs="Times New Roman"/>
          <w:sz w:val="22"/>
          <w:szCs w:val="22"/>
        </w:rPr>
        <w:t xml:space="preserve">Anandi Ramamurthy (ed.), </w:t>
      </w:r>
      <w:r w:rsidR="00EF2F08" w:rsidRPr="00EF2F08">
        <w:rPr>
          <w:rFonts w:ascii="Times New Roman" w:hAnsi="Times New Roman" w:cs="Times New Roman"/>
          <w:i/>
          <w:sz w:val="22"/>
          <w:szCs w:val="22"/>
        </w:rPr>
        <w:t>Kala Tara: A History of the Asian Youth Movements in the 1970s and 1980s</w:t>
      </w:r>
      <w:r w:rsidR="00EF2F08" w:rsidRPr="00EF2F08">
        <w:rPr>
          <w:rFonts w:ascii="Times New Roman" w:hAnsi="Times New Roman" w:cs="Times New Roman"/>
          <w:sz w:val="22"/>
          <w:szCs w:val="22"/>
        </w:rPr>
        <w:t xml:space="preserve"> (University of Central Lancashire: Second Generation Asians Resisting Racism Project, 2007), p.12. Available at &lt; https://www.tandana.org/kalatara2000.pdf&gt; [accessed 19 January 2024].</w:t>
      </w:r>
    </w:p>
  </w:footnote>
  <w:footnote w:id="481">
    <w:p w14:paraId="4E6708DD" w14:textId="66E77EC6" w:rsidR="00C40122" w:rsidRPr="00047A9D" w:rsidRDefault="00C40122"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51EFF" w:rsidRPr="00047A9D">
        <w:rPr>
          <w:rFonts w:ascii="Times New Roman" w:hAnsi="Times New Roman" w:cs="Times New Roman"/>
          <w:sz w:val="22"/>
          <w:szCs w:val="22"/>
        </w:rPr>
        <w:t xml:space="preserve">Ramamurthy (ed.), </w:t>
      </w:r>
      <w:r w:rsidR="00351EFF" w:rsidRPr="00047A9D">
        <w:rPr>
          <w:rFonts w:ascii="Times New Roman" w:hAnsi="Times New Roman" w:cs="Times New Roman"/>
          <w:i/>
          <w:sz w:val="22"/>
          <w:szCs w:val="22"/>
        </w:rPr>
        <w:t xml:space="preserve">Kala Tara, </w:t>
      </w:r>
      <w:r w:rsidR="00351EFF" w:rsidRPr="00047A9D">
        <w:rPr>
          <w:rFonts w:ascii="Times New Roman" w:hAnsi="Times New Roman" w:cs="Times New Roman"/>
          <w:iCs/>
          <w:sz w:val="22"/>
          <w:szCs w:val="22"/>
        </w:rPr>
        <w:t>p.12.</w:t>
      </w:r>
    </w:p>
  </w:footnote>
  <w:footnote w:id="482">
    <w:p w14:paraId="32629286"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David Edgington, </w:t>
      </w:r>
      <w:r w:rsidRPr="00047A9D">
        <w:rPr>
          <w:rFonts w:ascii="Times New Roman" w:hAnsi="Times New Roman" w:cs="Times New Roman"/>
          <w:i/>
          <w:sz w:val="22"/>
          <w:szCs w:val="22"/>
        </w:rPr>
        <w:t>The Role of History in Multicultural Education</w:t>
      </w:r>
      <w:r w:rsidRPr="00047A9D">
        <w:rPr>
          <w:rFonts w:ascii="Times New Roman" w:hAnsi="Times New Roman" w:cs="Times New Roman"/>
          <w:sz w:val="22"/>
          <w:szCs w:val="22"/>
        </w:rPr>
        <w:t xml:space="preserve"> (London: Extramural Division, School of Oriental and African Studies, 1982), p.9.</w:t>
      </w:r>
    </w:p>
  </w:footnote>
  <w:footnote w:id="483">
    <w:p w14:paraId="0A9BE8A3" w14:textId="63F65BCC"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Local Government Act 196</w:t>
      </w:r>
      <w:r w:rsidRPr="00047A9D">
        <w:rPr>
          <w:rFonts w:ascii="Times New Roman" w:hAnsi="Times New Roman" w:cs="Times New Roman"/>
          <w:sz w:val="22"/>
          <w:szCs w:val="22"/>
        </w:rPr>
        <w:t>6 (London: HMSO, 1966), Chapter 42, p.12</w:t>
      </w:r>
      <w:r w:rsidR="00CA2C72">
        <w:rPr>
          <w:rFonts w:ascii="Times New Roman" w:hAnsi="Times New Roman" w:cs="Times New Roman"/>
          <w:sz w:val="22"/>
          <w:szCs w:val="22"/>
        </w:rPr>
        <w:t>,</w:t>
      </w:r>
      <w:r w:rsidRPr="00047A9D">
        <w:rPr>
          <w:rFonts w:ascii="Times New Roman" w:hAnsi="Times New Roman" w:cs="Times New Roman"/>
          <w:sz w:val="22"/>
          <w:szCs w:val="22"/>
        </w:rPr>
        <w:t xml:space="preserve"> &lt;http://www.educationengland.org.uk/documents/acts/1966-local-government-act.html&gt; [accessed 14 July 2023].</w:t>
      </w:r>
    </w:p>
  </w:footnote>
  <w:footnote w:id="484">
    <w:p w14:paraId="1A387368"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Sivanandan, ‘Racism, Education and the Black Child’, pp.20-21, 23.</w:t>
      </w:r>
    </w:p>
  </w:footnote>
  <w:footnote w:id="485">
    <w:p w14:paraId="02B02D7C" w14:textId="6782BDEB"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36920" w:rsidRPr="00047A9D">
        <w:rPr>
          <w:rFonts w:ascii="Times New Roman" w:hAnsi="Times New Roman" w:cs="Times New Roman"/>
          <w:sz w:val="22"/>
          <w:szCs w:val="22"/>
        </w:rPr>
        <w:t xml:space="preserve">Farrukh Dhondy, Barbara Beese and Leila Hassan (eds), </w:t>
      </w:r>
      <w:r w:rsidR="00436920" w:rsidRPr="00047A9D">
        <w:rPr>
          <w:rFonts w:ascii="Times New Roman" w:hAnsi="Times New Roman" w:cs="Times New Roman"/>
          <w:i/>
          <w:sz w:val="22"/>
          <w:szCs w:val="22"/>
        </w:rPr>
        <w:t xml:space="preserve">The Black Explosion in British </w:t>
      </w:r>
      <w:r w:rsidR="00436920" w:rsidRPr="00047A9D">
        <w:rPr>
          <w:rFonts w:ascii="Times New Roman" w:hAnsi="Times New Roman" w:cs="Times New Roman"/>
          <w:sz w:val="22"/>
          <w:szCs w:val="22"/>
        </w:rPr>
        <w:t>Schools, 2</w:t>
      </w:r>
      <w:r w:rsidR="00436920" w:rsidRPr="00047A9D">
        <w:rPr>
          <w:rFonts w:ascii="Times New Roman" w:hAnsi="Times New Roman" w:cs="Times New Roman"/>
          <w:sz w:val="22"/>
          <w:szCs w:val="22"/>
          <w:vertAlign w:val="superscript"/>
        </w:rPr>
        <w:t>nd</w:t>
      </w:r>
      <w:r w:rsidR="00436920" w:rsidRPr="00047A9D">
        <w:rPr>
          <w:rFonts w:ascii="Times New Roman" w:hAnsi="Times New Roman" w:cs="Times New Roman"/>
          <w:sz w:val="22"/>
          <w:szCs w:val="22"/>
        </w:rPr>
        <w:t xml:space="preserve"> edn (London: Race Today, 1985)</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 xml:space="preserve">p.31; Fabio Rojas, </w:t>
      </w:r>
      <w:r w:rsidRPr="00047A9D">
        <w:rPr>
          <w:rFonts w:ascii="Times New Roman" w:hAnsi="Times New Roman" w:cs="Times New Roman"/>
          <w:i/>
          <w:sz w:val="22"/>
          <w:szCs w:val="22"/>
        </w:rPr>
        <w:t xml:space="preserve">From Black Power to Black Studies: How a Radical Social Movement Became an Academic Discipline </w:t>
      </w:r>
      <w:r w:rsidRPr="00047A9D">
        <w:rPr>
          <w:rFonts w:ascii="Times New Roman" w:hAnsi="Times New Roman" w:cs="Times New Roman"/>
          <w:sz w:val="22"/>
          <w:szCs w:val="22"/>
        </w:rPr>
        <w:t>(Baltimore: John Hopkins University Press, 2010).</w:t>
      </w:r>
    </w:p>
  </w:footnote>
  <w:footnote w:id="486">
    <w:p w14:paraId="3BCD9336"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Edgington, </w:t>
      </w:r>
      <w:r w:rsidRPr="00047A9D">
        <w:rPr>
          <w:rFonts w:ascii="Times New Roman" w:hAnsi="Times New Roman" w:cs="Times New Roman"/>
          <w:i/>
          <w:sz w:val="22"/>
          <w:szCs w:val="22"/>
        </w:rPr>
        <w:t>Role of History</w:t>
      </w:r>
      <w:r w:rsidRPr="00047A9D">
        <w:rPr>
          <w:rFonts w:ascii="Times New Roman" w:hAnsi="Times New Roman" w:cs="Times New Roman"/>
          <w:sz w:val="22"/>
          <w:szCs w:val="22"/>
        </w:rPr>
        <w:t>, p.17.</w:t>
      </w:r>
    </w:p>
  </w:footnote>
  <w:footnote w:id="487">
    <w:p w14:paraId="58955C0E"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Garrison, </w:t>
      </w:r>
      <w:r w:rsidRPr="00047A9D">
        <w:rPr>
          <w:rFonts w:ascii="Times New Roman" w:hAnsi="Times New Roman" w:cs="Times New Roman"/>
          <w:i/>
          <w:sz w:val="22"/>
          <w:szCs w:val="22"/>
        </w:rPr>
        <w:t xml:space="preserve">Black Youth, </w:t>
      </w:r>
      <w:r w:rsidRPr="00047A9D">
        <w:rPr>
          <w:rFonts w:ascii="Times New Roman" w:hAnsi="Times New Roman" w:cs="Times New Roman"/>
          <w:sz w:val="22"/>
          <w:szCs w:val="22"/>
        </w:rPr>
        <w:t>pp.36-37.</w:t>
      </w:r>
    </w:p>
  </w:footnote>
  <w:footnote w:id="488">
    <w:p w14:paraId="66F67A67" w14:textId="0FCDD167" w:rsidR="00F44D74" w:rsidRPr="00047A9D" w:rsidRDefault="00F44D7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Bryan, Dadzie, and Scafe, </w:t>
      </w:r>
      <w:r w:rsidRPr="00047A9D">
        <w:rPr>
          <w:rFonts w:ascii="Times New Roman" w:hAnsi="Times New Roman" w:cs="Times New Roman"/>
          <w:i/>
          <w:sz w:val="22"/>
          <w:szCs w:val="22"/>
        </w:rPr>
        <w:t>Heart of the Race</w:t>
      </w:r>
      <w:r w:rsidRPr="00047A9D">
        <w:rPr>
          <w:rFonts w:ascii="Times New Roman" w:hAnsi="Times New Roman" w:cs="Times New Roman"/>
          <w:sz w:val="22"/>
          <w:szCs w:val="22"/>
        </w:rPr>
        <w:t>, p.74</w:t>
      </w:r>
      <w:r w:rsidR="00DE3CA7">
        <w:rPr>
          <w:rFonts w:ascii="Times New Roman" w:hAnsi="Times New Roman" w:cs="Times New Roman"/>
          <w:sz w:val="22"/>
          <w:szCs w:val="22"/>
        </w:rPr>
        <w:t>.</w:t>
      </w:r>
    </w:p>
  </w:footnote>
  <w:footnote w:id="489">
    <w:p w14:paraId="79463BF8" w14:textId="77777777" w:rsidR="00B536F2" w:rsidRPr="00047A9D" w:rsidRDefault="00B536F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Carter, </w:t>
      </w:r>
      <w:r w:rsidRPr="00047A9D">
        <w:rPr>
          <w:rFonts w:ascii="Times New Roman" w:hAnsi="Times New Roman" w:cs="Times New Roman"/>
          <w:i/>
          <w:iCs/>
          <w:sz w:val="22"/>
          <w:szCs w:val="22"/>
        </w:rPr>
        <w:t xml:space="preserve">Histories of Everyday Life, </w:t>
      </w:r>
      <w:r w:rsidRPr="00047A9D">
        <w:rPr>
          <w:rFonts w:ascii="Times New Roman" w:hAnsi="Times New Roman" w:cs="Times New Roman"/>
          <w:sz w:val="22"/>
          <w:szCs w:val="22"/>
        </w:rPr>
        <w:t>p.230.</w:t>
      </w:r>
    </w:p>
  </w:footnote>
  <w:footnote w:id="490">
    <w:p w14:paraId="1E56B4CA" w14:textId="752D1181"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62519" w:rsidRPr="00047A9D">
        <w:rPr>
          <w:rFonts w:ascii="Times New Roman" w:hAnsi="Times New Roman" w:cs="Times New Roman"/>
          <w:sz w:val="22"/>
          <w:szCs w:val="22"/>
        </w:rPr>
        <w:t xml:space="preserve">Waters, </w:t>
      </w:r>
      <w:r w:rsidR="00F62519" w:rsidRPr="00047A9D">
        <w:rPr>
          <w:rFonts w:ascii="Times New Roman" w:hAnsi="Times New Roman" w:cs="Times New Roman"/>
          <w:i/>
          <w:sz w:val="22"/>
          <w:szCs w:val="22"/>
        </w:rPr>
        <w:t xml:space="preserve">Thinking Black, </w:t>
      </w:r>
      <w:r w:rsidR="00F62519" w:rsidRPr="00047A9D">
        <w:rPr>
          <w:rFonts w:ascii="Times New Roman" w:hAnsi="Times New Roman" w:cs="Times New Roman"/>
          <w:sz w:val="22"/>
          <w:szCs w:val="22"/>
        </w:rPr>
        <w:t>p.156.</w:t>
      </w:r>
    </w:p>
  </w:footnote>
  <w:footnote w:id="491">
    <w:p w14:paraId="7F62640C" w14:textId="65E72459"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Martin Kettle and Lucy Hodges, </w:t>
      </w:r>
      <w:r w:rsidRPr="00047A9D">
        <w:rPr>
          <w:rFonts w:ascii="Times New Roman" w:hAnsi="Times New Roman" w:cs="Times New Roman"/>
          <w:i/>
          <w:sz w:val="22"/>
          <w:szCs w:val="22"/>
        </w:rPr>
        <w:t>Uprising! Police, the People and the Riots in Britain's Cities</w:t>
      </w:r>
      <w:r w:rsidRPr="00047A9D">
        <w:rPr>
          <w:rFonts w:ascii="Times New Roman" w:hAnsi="Times New Roman" w:cs="Times New Roman"/>
          <w:sz w:val="22"/>
          <w:szCs w:val="22"/>
        </w:rPr>
        <w:t xml:space="preserve"> (London: Pan, 1982); Kenneth Leech, </w:t>
      </w:r>
      <w:r w:rsidRPr="00047A9D">
        <w:rPr>
          <w:rFonts w:ascii="Times New Roman" w:hAnsi="Times New Roman" w:cs="Times New Roman"/>
          <w:i/>
          <w:sz w:val="22"/>
          <w:szCs w:val="22"/>
        </w:rPr>
        <w:t>Struggle in Babylon</w:t>
      </w:r>
      <w:r w:rsidRPr="00047A9D">
        <w:rPr>
          <w:rFonts w:ascii="Times New Roman" w:hAnsi="Times New Roman" w:cs="Times New Roman"/>
          <w:sz w:val="22"/>
          <w:szCs w:val="22"/>
        </w:rPr>
        <w:t xml:space="preserve"> (London: Sheldon Press, 1988); Evan Smith, ‘Conflicting Narratives of Black Youth Rebellion in Modern Britain’, </w:t>
      </w:r>
      <w:r w:rsidRPr="00047A9D">
        <w:rPr>
          <w:rFonts w:ascii="Times New Roman" w:hAnsi="Times New Roman" w:cs="Times New Roman"/>
          <w:i/>
          <w:sz w:val="22"/>
          <w:szCs w:val="22"/>
        </w:rPr>
        <w:t>Ethnicity and Race in a Changing World</w:t>
      </w:r>
      <w:r w:rsidRPr="00047A9D">
        <w:rPr>
          <w:rFonts w:ascii="Times New Roman" w:hAnsi="Times New Roman" w:cs="Times New Roman"/>
          <w:sz w:val="22"/>
          <w:szCs w:val="22"/>
        </w:rPr>
        <w:t xml:space="preserve"> 2.1 (2010)</w:t>
      </w:r>
      <w:r w:rsidR="00DE3CA7">
        <w:rPr>
          <w:rFonts w:ascii="Times New Roman" w:hAnsi="Times New Roman" w:cs="Times New Roman"/>
          <w:sz w:val="22"/>
          <w:szCs w:val="22"/>
        </w:rPr>
        <w:t>,</w:t>
      </w:r>
      <w:r w:rsidRPr="00047A9D">
        <w:rPr>
          <w:rFonts w:ascii="Times New Roman" w:hAnsi="Times New Roman" w:cs="Times New Roman"/>
          <w:sz w:val="22"/>
          <w:szCs w:val="22"/>
        </w:rPr>
        <w:t xml:space="preserve"> 16-31. </w:t>
      </w:r>
    </w:p>
  </w:footnote>
  <w:footnote w:id="492">
    <w:p w14:paraId="7CA5292D" w14:textId="2B545914"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9B0BD8" w:rsidRPr="00047A9D">
        <w:rPr>
          <w:rFonts w:ascii="Times New Roman" w:hAnsi="Times New Roman" w:cs="Times New Roman"/>
          <w:sz w:val="22"/>
          <w:szCs w:val="22"/>
        </w:rPr>
        <w:t xml:space="preserve"> </w:t>
      </w:r>
      <w:r w:rsidRPr="00047A9D">
        <w:rPr>
          <w:rFonts w:ascii="Times New Roman" w:hAnsi="Times New Roman" w:cs="Times New Roman"/>
          <w:sz w:val="22"/>
          <w:szCs w:val="22"/>
        </w:rPr>
        <w:t xml:space="preserve">Tomlinson, </w:t>
      </w:r>
      <w:r w:rsidRPr="00047A9D">
        <w:rPr>
          <w:rFonts w:ascii="Times New Roman" w:hAnsi="Times New Roman" w:cs="Times New Roman"/>
          <w:i/>
          <w:sz w:val="22"/>
          <w:szCs w:val="22"/>
        </w:rPr>
        <w:t xml:space="preserve">Education and </w:t>
      </w:r>
      <w:r w:rsidRPr="00047A9D">
        <w:rPr>
          <w:rFonts w:ascii="Times New Roman" w:hAnsi="Times New Roman" w:cs="Times New Roman"/>
          <w:sz w:val="22"/>
          <w:szCs w:val="22"/>
        </w:rPr>
        <w:t>Race</w:t>
      </w:r>
      <w:r w:rsidR="009B0BD8" w:rsidRPr="00047A9D">
        <w:rPr>
          <w:rFonts w:ascii="Times New Roman" w:hAnsi="Times New Roman" w:cs="Times New Roman"/>
          <w:sz w:val="22"/>
          <w:szCs w:val="22"/>
        </w:rPr>
        <w:t xml:space="preserve">, </w:t>
      </w:r>
      <w:r w:rsidRPr="00047A9D">
        <w:rPr>
          <w:rFonts w:ascii="Times New Roman" w:hAnsi="Times New Roman" w:cs="Times New Roman"/>
          <w:sz w:val="22"/>
          <w:szCs w:val="22"/>
        </w:rPr>
        <w:t>p.107.</w:t>
      </w:r>
    </w:p>
  </w:footnote>
  <w:footnote w:id="493">
    <w:p w14:paraId="67299742"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Jamdagni, Phillips-Bell, and Ward, </w:t>
      </w:r>
      <w:r w:rsidRPr="00047A9D">
        <w:rPr>
          <w:rFonts w:ascii="Times New Roman" w:hAnsi="Times New Roman" w:cs="Times New Roman"/>
          <w:i/>
          <w:sz w:val="22"/>
          <w:szCs w:val="22"/>
        </w:rPr>
        <w:t xml:space="preserve">Talking Chalk, </w:t>
      </w:r>
      <w:r w:rsidRPr="00047A9D">
        <w:rPr>
          <w:rFonts w:ascii="Times New Roman" w:hAnsi="Times New Roman" w:cs="Times New Roman"/>
          <w:sz w:val="22"/>
          <w:szCs w:val="22"/>
        </w:rPr>
        <w:t>p.29.</w:t>
      </w:r>
    </w:p>
  </w:footnote>
  <w:footnote w:id="494">
    <w:p w14:paraId="419CBF2E" w14:textId="5F4F5510"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E4F16" w:rsidRPr="00047A9D">
        <w:rPr>
          <w:rFonts w:ascii="Times New Roman" w:hAnsi="Times New Roman" w:cs="Times New Roman"/>
          <w:sz w:val="22"/>
          <w:szCs w:val="22"/>
        </w:rPr>
        <w:t>Jamdagni, Phillips-Bell, and Ward</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p.44.</w:t>
      </w:r>
    </w:p>
  </w:footnote>
  <w:footnote w:id="495">
    <w:p w14:paraId="6E029C7C" w14:textId="3E1C0BB1" w:rsidR="00D13652" w:rsidRPr="00047A9D" w:rsidRDefault="00D1365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51ED2" w:rsidRPr="00047A9D">
        <w:rPr>
          <w:rFonts w:ascii="Times New Roman" w:hAnsi="Times New Roman" w:cs="Times New Roman"/>
          <w:sz w:val="22"/>
          <w:szCs w:val="22"/>
        </w:rPr>
        <w:t xml:space="preserve">Beverley Bryan, Stella Dadzie, and Suzanne Scafe, </w:t>
      </w:r>
      <w:r w:rsidR="00D51ED2" w:rsidRPr="00047A9D">
        <w:rPr>
          <w:rFonts w:ascii="Times New Roman" w:hAnsi="Times New Roman" w:cs="Times New Roman"/>
          <w:i/>
          <w:sz w:val="22"/>
          <w:szCs w:val="22"/>
        </w:rPr>
        <w:t xml:space="preserve">The Heart of the Race: Black Women's Lives in Britain, </w:t>
      </w:r>
      <w:r w:rsidR="00D51ED2" w:rsidRPr="00047A9D">
        <w:rPr>
          <w:rFonts w:ascii="Times New Roman" w:hAnsi="Times New Roman" w:cs="Times New Roman"/>
          <w:sz w:val="22"/>
          <w:szCs w:val="22"/>
        </w:rPr>
        <w:t>2</w:t>
      </w:r>
      <w:r w:rsidR="00D51ED2" w:rsidRPr="00047A9D">
        <w:rPr>
          <w:rFonts w:ascii="Times New Roman" w:hAnsi="Times New Roman" w:cs="Times New Roman"/>
          <w:sz w:val="22"/>
          <w:szCs w:val="22"/>
          <w:vertAlign w:val="superscript"/>
        </w:rPr>
        <w:t>nd</w:t>
      </w:r>
      <w:r w:rsidR="00D51ED2" w:rsidRPr="00047A9D">
        <w:rPr>
          <w:rFonts w:ascii="Times New Roman" w:hAnsi="Times New Roman" w:cs="Times New Roman"/>
          <w:sz w:val="22"/>
          <w:szCs w:val="22"/>
        </w:rPr>
        <w:t xml:space="preserve"> edn, (London: Verso, 2018)</w:t>
      </w:r>
      <w:r w:rsidR="007977F8" w:rsidRPr="00047A9D">
        <w:rPr>
          <w:rFonts w:ascii="Times New Roman" w:hAnsi="Times New Roman" w:cs="Times New Roman"/>
          <w:sz w:val="22"/>
          <w:szCs w:val="22"/>
        </w:rPr>
        <w:t>, p.74.</w:t>
      </w:r>
    </w:p>
  </w:footnote>
  <w:footnote w:id="496">
    <w:p w14:paraId="355F1962" w14:textId="6F6A528E"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Alan Sykes, </w:t>
      </w:r>
      <w:r w:rsidRPr="00047A9D">
        <w:rPr>
          <w:rFonts w:ascii="Times New Roman" w:hAnsi="Times New Roman" w:cs="Times New Roman"/>
          <w:i/>
          <w:sz w:val="22"/>
          <w:szCs w:val="22"/>
        </w:rPr>
        <w:t>The Radical Right in Britain: Social Imperialism to the BNP</w:t>
      </w:r>
      <w:r w:rsidRPr="00047A9D">
        <w:rPr>
          <w:rFonts w:ascii="Times New Roman" w:hAnsi="Times New Roman" w:cs="Times New Roman"/>
          <w:sz w:val="22"/>
          <w:szCs w:val="22"/>
        </w:rPr>
        <w:t xml:space="preserve"> (Basingstoke and New York: Palgrave Macmillan, 2005), pp.107-08.</w:t>
      </w:r>
    </w:p>
  </w:footnote>
  <w:footnote w:id="497">
    <w:p w14:paraId="1C5D9DFE"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DES, </w:t>
      </w:r>
      <w:r w:rsidRPr="00047A9D">
        <w:rPr>
          <w:rFonts w:ascii="Times New Roman" w:hAnsi="Times New Roman" w:cs="Times New Roman"/>
          <w:i/>
          <w:sz w:val="22"/>
          <w:szCs w:val="22"/>
        </w:rPr>
        <w:t>West Indian Children in our Schools: Interim report of the Committee of Inquiry into the Education of Children from Ethnic Minority Groups</w:t>
      </w:r>
      <w:r w:rsidRPr="00047A9D">
        <w:rPr>
          <w:rFonts w:ascii="Times New Roman" w:hAnsi="Times New Roman" w:cs="Times New Roman"/>
          <w:sz w:val="22"/>
          <w:szCs w:val="22"/>
        </w:rPr>
        <w:t xml:space="preserve"> (the ‘Rampton Report’) (London: HMSO, 1981), p.29.</w:t>
      </w:r>
    </w:p>
  </w:footnote>
  <w:footnote w:id="498">
    <w:p w14:paraId="4E82E77F"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Chris Proctor, </w:t>
      </w:r>
      <w:r w:rsidRPr="00047A9D">
        <w:rPr>
          <w:rFonts w:ascii="Times New Roman" w:hAnsi="Times New Roman" w:cs="Times New Roman"/>
          <w:i/>
          <w:sz w:val="22"/>
          <w:szCs w:val="22"/>
        </w:rPr>
        <w:t>Racist Textbooks</w:t>
      </w:r>
      <w:r w:rsidRPr="00047A9D">
        <w:rPr>
          <w:rFonts w:ascii="Times New Roman" w:hAnsi="Times New Roman" w:cs="Times New Roman"/>
          <w:sz w:val="22"/>
          <w:szCs w:val="22"/>
        </w:rPr>
        <w:t xml:space="preserve"> (London: National Union of Students, 1975), pp.10, 12; Warmington, </w:t>
      </w:r>
      <w:r w:rsidRPr="00047A9D">
        <w:rPr>
          <w:rFonts w:ascii="Times New Roman" w:hAnsi="Times New Roman" w:cs="Times New Roman"/>
          <w:i/>
          <w:sz w:val="22"/>
          <w:szCs w:val="22"/>
        </w:rPr>
        <w:t xml:space="preserve">Black British Intellectuals, </w:t>
      </w:r>
      <w:r w:rsidRPr="00047A9D">
        <w:rPr>
          <w:rFonts w:ascii="Times New Roman" w:hAnsi="Times New Roman" w:cs="Times New Roman"/>
          <w:sz w:val="22"/>
          <w:szCs w:val="22"/>
        </w:rPr>
        <w:t>p.86.</w:t>
      </w:r>
    </w:p>
  </w:footnote>
  <w:footnote w:id="499">
    <w:p w14:paraId="0EF7E541"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Sally Tomlinson, </w:t>
      </w:r>
      <w:r w:rsidRPr="00047A9D">
        <w:rPr>
          <w:rFonts w:ascii="Times New Roman" w:hAnsi="Times New Roman" w:cs="Times New Roman"/>
          <w:i/>
          <w:sz w:val="22"/>
          <w:szCs w:val="22"/>
        </w:rPr>
        <w:t xml:space="preserve">Multicultural Education in White Schools </w:t>
      </w:r>
      <w:r w:rsidRPr="00047A9D">
        <w:rPr>
          <w:rFonts w:ascii="Times New Roman" w:hAnsi="Times New Roman" w:cs="Times New Roman"/>
          <w:sz w:val="22"/>
          <w:szCs w:val="22"/>
        </w:rPr>
        <w:t>(London: Batsford, 1990), p.87.</w:t>
      </w:r>
    </w:p>
  </w:footnote>
  <w:footnote w:id="500">
    <w:p w14:paraId="4378BA14" w14:textId="599C217F" w:rsidR="00675167" w:rsidRPr="00047A9D" w:rsidRDefault="0067516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Edgington, </w:t>
      </w:r>
      <w:r w:rsidRPr="00047A9D">
        <w:rPr>
          <w:rFonts w:ascii="Times New Roman" w:hAnsi="Times New Roman" w:cs="Times New Roman"/>
          <w:i/>
          <w:sz w:val="22"/>
          <w:szCs w:val="22"/>
        </w:rPr>
        <w:t>Role of History</w:t>
      </w:r>
      <w:r w:rsidRPr="00047A9D">
        <w:rPr>
          <w:rFonts w:ascii="Times New Roman" w:hAnsi="Times New Roman" w:cs="Times New Roman"/>
          <w:sz w:val="22"/>
          <w:szCs w:val="22"/>
        </w:rPr>
        <w:t xml:space="preserve">, p.13; and File, </w:t>
      </w:r>
      <w:r w:rsidRPr="00047A9D">
        <w:rPr>
          <w:rFonts w:ascii="Times New Roman" w:hAnsi="Times New Roman" w:cs="Times New Roman"/>
          <w:i/>
          <w:sz w:val="22"/>
          <w:szCs w:val="22"/>
        </w:rPr>
        <w:t>Assessment in a Multicultural Societ</w:t>
      </w:r>
      <w:r w:rsidR="00B947C1" w:rsidRPr="00047A9D">
        <w:rPr>
          <w:rFonts w:ascii="Times New Roman" w:hAnsi="Times New Roman" w:cs="Times New Roman"/>
          <w:i/>
          <w:sz w:val="22"/>
          <w:szCs w:val="22"/>
        </w:rPr>
        <w:t>y</w:t>
      </w:r>
      <w:r w:rsidRPr="00047A9D">
        <w:rPr>
          <w:rFonts w:ascii="Times New Roman" w:hAnsi="Times New Roman" w:cs="Times New Roman"/>
          <w:sz w:val="22"/>
          <w:szCs w:val="22"/>
        </w:rPr>
        <w:t>, p.15.</w:t>
      </w:r>
    </w:p>
  </w:footnote>
  <w:footnote w:id="501">
    <w:p w14:paraId="6A5D13BC" w14:textId="1B874874"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2455A" w:rsidRPr="00047A9D">
        <w:rPr>
          <w:rFonts w:ascii="Times New Roman" w:hAnsi="Times New Roman" w:cs="Times New Roman"/>
          <w:sz w:val="22"/>
          <w:szCs w:val="22"/>
        </w:rPr>
        <w:t xml:space="preserve">Edgington, </w:t>
      </w:r>
      <w:r w:rsidR="0002455A" w:rsidRPr="00047A9D">
        <w:rPr>
          <w:rFonts w:ascii="Times New Roman" w:hAnsi="Times New Roman" w:cs="Times New Roman"/>
          <w:i/>
          <w:sz w:val="22"/>
          <w:szCs w:val="22"/>
        </w:rPr>
        <w:t>Role of History</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p.12.</w:t>
      </w:r>
    </w:p>
  </w:footnote>
  <w:footnote w:id="502">
    <w:p w14:paraId="3139AC94" w14:textId="2F73F561" w:rsidR="0054363E" w:rsidRPr="00047A9D" w:rsidRDefault="0054363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F141B" w:rsidRPr="00047A9D">
        <w:rPr>
          <w:rFonts w:ascii="Times New Roman" w:hAnsi="Times New Roman" w:cs="Times New Roman"/>
          <w:sz w:val="22"/>
          <w:szCs w:val="22"/>
        </w:rPr>
        <w:t>Ann Low-Beer, ‘The Sins of Omission’</w:t>
      </w:r>
      <w:r w:rsidR="00FF141B" w:rsidRPr="00047A9D">
        <w:rPr>
          <w:rFonts w:ascii="Times New Roman" w:hAnsi="Times New Roman" w:cs="Times New Roman"/>
          <w:i/>
          <w:sz w:val="22"/>
          <w:szCs w:val="22"/>
        </w:rPr>
        <w:t>, Teaching History</w:t>
      </w:r>
      <w:r w:rsidR="00FF141B" w:rsidRPr="00047A9D">
        <w:rPr>
          <w:rFonts w:ascii="Times New Roman" w:hAnsi="Times New Roman" w:cs="Times New Roman"/>
          <w:sz w:val="22"/>
          <w:szCs w:val="22"/>
        </w:rPr>
        <w:t xml:space="preserve"> 22 (October 1978), p. 17.</w:t>
      </w:r>
    </w:p>
  </w:footnote>
  <w:footnote w:id="503">
    <w:p w14:paraId="7BEBD05A" w14:textId="4F73AB6B"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Carter, </w:t>
      </w:r>
      <w:r w:rsidRPr="00047A9D">
        <w:rPr>
          <w:rFonts w:ascii="Times New Roman" w:hAnsi="Times New Roman" w:cs="Times New Roman"/>
          <w:i/>
          <w:sz w:val="22"/>
          <w:szCs w:val="22"/>
        </w:rPr>
        <w:t>Histories of Everyday Life</w:t>
      </w:r>
      <w:r w:rsidR="00C83E2E"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p.202.</w:t>
      </w:r>
    </w:p>
  </w:footnote>
  <w:footnote w:id="504">
    <w:p w14:paraId="20A4FE24" w14:textId="787E7306"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A.M. Dyer, </w:t>
      </w:r>
      <w:r w:rsidRPr="00047A9D">
        <w:rPr>
          <w:rFonts w:ascii="Times New Roman" w:hAnsi="Times New Roman" w:cs="Times New Roman"/>
          <w:i/>
          <w:sz w:val="22"/>
          <w:szCs w:val="22"/>
        </w:rPr>
        <w:t xml:space="preserve">History in a Multi-Cultural Society: Teaching of History Discussion Paper 2 </w:t>
      </w:r>
      <w:r w:rsidRPr="00047A9D">
        <w:rPr>
          <w:rFonts w:ascii="Times New Roman" w:hAnsi="Times New Roman" w:cs="Times New Roman"/>
          <w:sz w:val="22"/>
          <w:szCs w:val="22"/>
        </w:rPr>
        <w:t xml:space="preserve">(London: </w:t>
      </w:r>
      <w:r w:rsidR="006C471E" w:rsidRPr="00047A9D">
        <w:rPr>
          <w:rFonts w:ascii="Times New Roman" w:hAnsi="Times New Roman" w:cs="Times New Roman"/>
          <w:sz w:val="22"/>
          <w:szCs w:val="22"/>
        </w:rPr>
        <w:t>HA</w:t>
      </w:r>
      <w:r w:rsidRPr="00047A9D">
        <w:rPr>
          <w:rFonts w:ascii="Times New Roman" w:hAnsi="Times New Roman" w:cs="Times New Roman"/>
          <w:sz w:val="22"/>
          <w:szCs w:val="22"/>
        </w:rPr>
        <w:t>, 1982), p.2.</w:t>
      </w:r>
    </w:p>
  </w:footnote>
  <w:footnote w:id="505">
    <w:p w14:paraId="74B65EDA"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Tomlinson, </w:t>
      </w:r>
      <w:r w:rsidRPr="00047A9D">
        <w:rPr>
          <w:rFonts w:ascii="Times New Roman" w:hAnsi="Times New Roman" w:cs="Times New Roman"/>
          <w:i/>
          <w:sz w:val="22"/>
          <w:szCs w:val="22"/>
        </w:rPr>
        <w:t xml:space="preserve">Ethnic Minorities, </w:t>
      </w:r>
      <w:r w:rsidRPr="00047A9D">
        <w:rPr>
          <w:rFonts w:ascii="Times New Roman" w:hAnsi="Times New Roman" w:cs="Times New Roman"/>
          <w:sz w:val="22"/>
          <w:szCs w:val="22"/>
        </w:rPr>
        <w:t>p.89.</w:t>
      </w:r>
    </w:p>
  </w:footnote>
  <w:footnote w:id="506">
    <w:p w14:paraId="44D63D5F" w14:textId="77777777" w:rsidR="00CC4043" w:rsidRPr="00047A9D" w:rsidRDefault="00CC404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File, ‘History’, in Craft and Bardell (eds), </w:t>
      </w:r>
      <w:r w:rsidRPr="00047A9D">
        <w:rPr>
          <w:rFonts w:ascii="Times New Roman" w:hAnsi="Times New Roman" w:cs="Times New Roman"/>
          <w:i/>
          <w:sz w:val="22"/>
          <w:szCs w:val="22"/>
        </w:rPr>
        <w:t xml:space="preserve">Curriculum Opportunities, </w:t>
      </w:r>
      <w:r w:rsidRPr="00047A9D">
        <w:rPr>
          <w:rFonts w:ascii="Times New Roman" w:hAnsi="Times New Roman" w:cs="Times New Roman"/>
          <w:sz w:val="22"/>
          <w:szCs w:val="22"/>
        </w:rPr>
        <w:t>p.6.</w:t>
      </w:r>
    </w:p>
  </w:footnote>
  <w:footnote w:id="507">
    <w:p w14:paraId="2CF9E659" w14:textId="4DA7DD03" w:rsidR="00B56929" w:rsidRPr="00B56929" w:rsidRDefault="00B56929" w:rsidP="00D839D4">
      <w:pPr>
        <w:pStyle w:val="FootnoteText"/>
        <w:spacing w:line="360" w:lineRule="auto"/>
        <w:rPr>
          <w:rFonts w:ascii="Times New Roman" w:hAnsi="Times New Roman" w:cs="Times New Roman"/>
          <w:sz w:val="22"/>
          <w:szCs w:val="22"/>
        </w:rPr>
      </w:pPr>
      <w:r w:rsidRPr="00B56929">
        <w:rPr>
          <w:rStyle w:val="FootnoteReference"/>
          <w:rFonts w:ascii="Times New Roman" w:hAnsi="Times New Roman" w:cs="Times New Roman"/>
          <w:sz w:val="22"/>
          <w:szCs w:val="22"/>
        </w:rPr>
        <w:footnoteRef/>
      </w:r>
      <w:r w:rsidRPr="00B56929">
        <w:rPr>
          <w:rFonts w:ascii="Times New Roman" w:hAnsi="Times New Roman" w:cs="Times New Roman"/>
          <w:sz w:val="22"/>
          <w:szCs w:val="22"/>
        </w:rPr>
        <w:t xml:space="preserve"> Douglas Thorburn, ‘Teaching Caribbean History in the Second Year’, </w:t>
      </w:r>
      <w:r w:rsidRPr="00B56929">
        <w:rPr>
          <w:rFonts w:ascii="Times New Roman" w:hAnsi="Times New Roman" w:cs="Times New Roman"/>
          <w:i/>
          <w:sz w:val="22"/>
          <w:szCs w:val="22"/>
        </w:rPr>
        <w:t xml:space="preserve">Clio </w:t>
      </w:r>
      <w:r w:rsidRPr="00B56929">
        <w:rPr>
          <w:rFonts w:ascii="Times New Roman" w:hAnsi="Times New Roman" w:cs="Times New Roman"/>
          <w:sz w:val="22"/>
          <w:szCs w:val="22"/>
        </w:rPr>
        <w:t>1.4 (Summer 1981), 12-14, p.12.</w:t>
      </w:r>
    </w:p>
  </w:footnote>
  <w:footnote w:id="508">
    <w:p w14:paraId="1F78FF83" w14:textId="77777777"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DES, </w:t>
      </w:r>
      <w:r w:rsidRPr="00047A9D">
        <w:rPr>
          <w:rFonts w:ascii="Times New Roman" w:hAnsi="Times New Roman" w:cs="Times New Roman"/>
          <w:i/>
          <w:sz w:val="22"/>
          <w:szCs w:val="22"/>
        </w:rPr>
        <w:t>Rampton Report</w:t>
      </w:r>
      <w:r w:rsidRPr="00047A9D">
        <w:rPr>
          <w:rFonts w:ascii="Times New Roman" w:hAnsi="Times New Roman" w:cs="Times New Roman"/>
          <w:sz w:val="22"/>
          <w:szCs w:val="22"/>
        </w:rPr>
        <w:t>, p.12.</w:t>
      </w:r>
    </w:p>
  </w:footnote>
  <w:footnote w:id="509">
    <w:p w14:paraId="7FEF15F5" w14:textId="0DC26989" w:rsidR="00795F1B" w:rsidRPr="00047A9D" w:rsidRDefault="00795F1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Elaine M. Brittan, </w:t>
      </w:r>
      <w:r w:rsidRPr="00047A9D">
        <w:rPr>
          <w:rFonts w:ascii="Times New Roman" w:hAnsi="Times New Roman" w:cs="Times New Roman"/>
          <w:i/>
          <w:sz w:val="22"/>
          <w:szCs w:val="22"/>
        </w:rPr>
        <w:t>Education for a Multiracial Society: An Evaluation of the Project</w:t>
      </w:r>
      <w:r w:rsidRPr="00047A9D">
        <w:rPr>
          <w:rFonts w:ascii="Times New Roman" w:hAnsi="Times New Roman" w:cs="Times New Roman"/>
          <w:sz w:val="22"/>
          <w:szCs w:val="22"/>
        </w:rPr>
        <w:t xml:space="preserve"> (Schools Council, 1983), p</w:t>
      </w:r>
      <w:r w:rsidR="00353A95" w:rsidRPr="00047A9D">
        <w:rPr>
          <w:rFonts w:ascii="Times New Roman" w:hAnsi="Times New Roman" w:cs="Times New Roman"/>
          <w:sz w:val="22"/>
          <w:szCs w:val="22"/>
        </w:rPr>
        <w:t>p</w:t>
      </w:r>
      <w:r w:rsidRPr="00047A9D">
        <w:rPr>
          <w:rFonts w:ascii="Times New Roman" w:hAnsi="Times New Roman" w:cs="Times New Roman"/>
          <w:sz w:val="22"/>
          <w:szCs w:val="22"/>
        </w:rPr>
        <w:t>.5</w:t>
      </w:r>
      <w:r w:rsidR="00353A95" w:rsidRPr="00047A9D">
        <w:rPr>
          <w:rFonts w:ascii="Times New Roman" w:hAnsi="Times New Roman" w:cs="Times New Roman"/>
          <w:sz w:val="22"/>
          <w:szCs w:val="22"/>
        </w:rPr>
        <w:t>0-52</w:t>
      </w:r>
      <w:r w:rsidRPr="00047A9D">
        <w:rPr>
          <w:rFonts w:ascii="Times New Roman" w:hAnsi="Times New Roman" w:cs="Times New Roman"/>
          <w:sz w:val="22"/>
          <w:szCs w:val="22"/>
        </w:rPr>
        <w:t>.</w:t>
      </w:r>
    </w:p>
  </w:footnote>
  <w:footnote w:id="510">
    <w:p w14:paraId="51044D90" w14:textId="63E6D112" w:rsidR="001C184B" w:rsidRPr="00047A9D" w:rsidRDefault="001C184B"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CHTTG</w:t>
      </w:r>
      <w:r w:rsidRPr="00047A9D">
        <w:rPr>
          <w:rFonts w:ascii="Times New Roman" w:hAnsi="Times New Roman" w:cs="Times New Roman"/>
          <w:i/>
          <w:sz w:val="22"/>
          <w:szCs w:val="22"/>
        </w:rPr>
        <w:t xml:space="preserve">, Teaching of History, </w:t>
      </w:r>
      <w:r w:rsidRPr="00047A9D">
        <w:rPr>
          <w:rFonts w:ascii="Times New Roman" w:hAnsi="Times New Roman" w:cs="Times New Roman"/>
          <w:sz w:val="22"/>
          <w:szCs w:val="22"/>
        </w:rPr>
        <w:t>pp.45-46.</w:t>
      </w:r>
    </w:p>
  </w:footnote>
  <w:footnote w:id="511">
    <w:p w14:paraId="31AE4FE1" w14:textId="4DBCBF1B" w:rsidR="00C17512" w:rsidRPr="00047A9D" w:rsidRDefault="00C1751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054DC" w:rsidRPr="00047A9D">
        <w:rPr>
          <w:rFonts w:ascii="Times New Roman" w:hAnsi="Times New Roman" w:cs="Times New Roman"/>
          <w:sz w:val="22"/>
          <w:szCs w:val="22"/>
        </w:rPr>
        <w:t xml:space="preserve">Proctor, </w:t>
      </w:r>
      <w:r w:rsidR="00D054DC" w:rsidRPr="00047A9D">
        <w:rPr>
          <w:rFonts w:ascii="Times New Roman" w:hAnsi="Times New Roman" w:cs="Times New Roman"/>
          <w:i/>
          <w:sz w:val="22"/>
          <w:szCs w:val="22"/>
        </w:rPr>
        <w:t xml:space="preserve">Racist Textbooks, </w:t>
      </w:r>
      <w:r w:rsidR="0034273E" w:rsidRPr="00047A9D">
        <w:rPr>
          <w:rFonts w:ascii="Times New Roman" w:hAnsi="Times New Roman" w:cs="Times New Roman"/>
          <w:sz w:val="22"/>
          <w:szCs w:val="22"/>
        </w:rPr>
        <w:t>p.36.</w:t>
      </w:r>
    </w:p>
  </w:footnote>
  <w:footnote w:id="512">
    <w:p w14:paraId="18B1A894" w14:textId="3D46D15D" w:rsidR="00347EB4" w:rsidRPr="00047A9D" w:rsidRDefault="00347EB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F39AA" w:rsidRPr="00047A9D">
        <w:rPr>
          <w:rFonts w:ascii="Times New Roman" w:hAnsi="Times New Roman" w:cs="Times New Roman"/>
          <w:sz w:val="22"/>
          <w:szCs w:val="22"/>
        </w:rPr>
        <w:t xml:space="preserve">Proctor, </w:t>
      </w:r>
      <w:r w:rsidR="000F39AA" w:rsidRPr="00047A9D">
        <w:rPr>
          <w:rFonts w:ascii="Times New Roman" w:hAnsi="Times New Roman" w:cs="Times New Roman"/>
          <w:i/>
          <w:sz w:val="22"/>
          <w:szCs w:val="22"/>
        </w:rPr>
        <w:t>Racist Textbooks</w:t>
      </w:r>
      <w:r w:rsidR="00EC270D" w:rsidRPr="00047A9D">
        <w:rPr>
          <w:rFonts w:ascii="Times New Roman" w:hAnsi="Times New Roman" w:cs="Times New Roman"/>
          <w:i/>
          <w:sz w:val="22"/>
          <w:szCs w:val="22"/>
        </w:rPr>
        <w:t xml:space="preserve">, </w:t>
      </w:r>
      <w:r w:rsidR="00EC270D" w:rsidRPr="00047A9D">
        <w:rPr>
          <w:rFonts w:ascii="Times New Roman" w:hAnsi="Times New Roman" w:cs="Times New Roman"/>
          <w:sz w:val="22"/>
          <w:szCs w:val="22"/>
        </w:rPr>
        <w:t>p.7.</w:t>
      </w:r>
    </w:p>
  </w:footnote>
  <w:footnote w:id="513">
    <w:p w14:paraId="13608F6F" w14:textId="12333891" w:rsidR="00CD0609" w:rsidRPr="00047A9D" w:rsidRDefault="00CD060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15423" w:rsidRPr="00047A9D">
        <w:rPr>
          <w:rFonts w:ascii="Times New Roman" w:hAnsi="Times New Roman" w:cs="Times New Roman"/>
          <w:sz w:val="22"/>
          <w:szCs w:val="22"/>
        </w:rPr>
        <w:t xml:space="preserve">Lydia White, </w:t>
      </w:r>
      <w:r w:rsidR="00A15423" w:rsidRPr="00047A9D">
        <w:rPr>
          <w:rFonts w:ascii="Times New Roman" w:hAnsi="Times New Roman" w:cs="Times New Roman"/>
          <w:i/>
          <w:sz w:val="22"/>
          <w:szCs w:val="22"/>
        </w:rPr>
        <w:t>Impact: World Development in British Education</w:t>
      </w:r>
      <w:r w:rsidR="00A15423" w:rsidRPr="00047A9D">
        <w:rPr>
          <w:rFonts w:ascii="Times New Roman" w:hAnsi="Times New Roman" w:cs="Times New Roman"/>
          <w:sz w:val="22"/>
          <w:szCs w:val="22"/>
        </w:rPr>
        <w:t xml:space="preserve"> (London: Voluntary Committee on Overseas Aid and Development Education Unit, 1971)</w:t>
      </w:r>
      <w:r w:rsidR="00EC270D" w:rsidRPr="00047A9D">
        <w:rPr>
          <w:rFonts w:ascii="Times New Roman" w:hAnsi="Times New Roman" w:cs="Times New Roman"/>
          <w:sz w:val="22"/>
          <w:szCs w:val="22"/>
        </w:rPr>
        <w:t>,</w:t>
      </w:r>
      <w:r w:rsidRPr="00047A9D">
        <w:rPr>
          <w:rFonts w:ascii="Times New Roman" w:hAnsi="Times New Roman" w:cs="Times New Roman"/>
          <w:sz w:val="22"/>
          <w:szCs w:val="22"/>
        </w:rPr>
        <w:t xml:space="preserve"> p.3.</w:t>
      </w:r>
    </w:p>
  </w:footnote>
  <w:footnote w:id="514">
    <w:p w14:paraId="2E89EA7C" w14:textId="06447B24" w:rsidR="00301679" w:rsidRPr="00047A9D" w:rsidRDefault="0030167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A6F71" w:rsidRPr="00047A9D">
        <w:rPr>
          <w:rFonts w:ascii="Times New Roman" w:hAnsi="Times New Roman" w:cs="Times New Roman"/>
          <w:sz w:val="22"/>
          <w:szCs w:val="22"/>
        </w:rPr>
        <w:t xml:space="preserve">Proctor, </w:t>
      </w:r>
      <w:r w:rsidR="005A6F71" w:rsidRPr="00047A9D">
        <w:rPr>
          <w:rFonts w:ascii="Times New Roman" w:hAnsi="Times New Roman" w:cs="Times New Roman"/>
          <w:i/>
          <w:sz w:val="22"/>
          <w:szCs w:val="22"/>
        </w:rPr>
        <w:t xml:space="preserve">Racist Textbooks, </w:t>
      </w:r>
      <w:r w:rsidR="005A6F71" w:rsidRPr="00047A9D">
        <w:rPr>
          <w:rFonts w:ascii="Times New Roman" w:hAnsi="Times New Roman" w:cs="Times New Roman"/>
          <w:sz w:val="22"/>
          <w:szCs w:val="22"/>
        </w:rPr>
        <w:t>p.13.</w:t>
      </w:r>
    </w:p>
  </w:footnote>
  <w:footnote w:id="515">
    <w:p w14:paraId="3E2D86A6" w14:textId="52F341E6" w:rsidR="00476B5C" w:rsidRPr="00047A9D" w:rsidRDefault="00476B5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Dorothy Kuya, </w:t>
      </w:r>
      <w:r w:rsidR="006E2090" w:rsidRPr="00047A9D">
        <w:rPr>
          <w:rFonts w:ascii="Times New Roman" w:hAnsi="Times New Roman" w:cs="Times New Roman"/>
          <w:sz w:val="22"/>
          <w:szCs w:val="22"/>
        </w:rPr>
        <w:t xml:space="preserve">‘The Unacceptable Face of Publishing’, </w:t>
      </w:r>
      <w:r w:rsidR="006E2090" w:rsidRPr="00047A9D">
        <w:rPr>
          <w:rFonts w:ascii="Times New Roman" w:hAnsi="Times New Roman" w:cs="Times New Roman"/>
          <w:i/>
          <w:sz w:val="22"/>
          <w:szCs w:val="22"/>
        </w:rPr>
        <w:t>The Times Educational Supplement</w:t>
      </w:r>
      <w:r w:rsidR="00CE150A" w:rsidRPr="00047A9D">
        <w:rPr>
          <w:rFonts w:ascii="Times New Roman" w:hAnsi="Times New Roman" w:cs="Times New Roman"/>
          <w:i/>
          <w:sz w:val="22"/>
          <w:szCs w:val="22"/>
        </w:rPr>
        <w:t xml:space="preserve"> </w:t>
      </w:r>
      <w:r w:rsidR="00CE150A" w:rsidRPr="00047A9D">
        <w:rPr>
          <w:rFonts w:ascii="Times New Roman" w:hAnsi="Times New Roman" w:cs="Times New Roman"/>
          <w:sz w:val="22"/>
          <w:szCs w:val="22"/>
        </w:rPr>
        <w:t>(TES)</w:t>
      </w:r>
      <w:r w:rsidR="006E2090" w:rsidRPr="00047A9D">
        <w:rPr>
          <w:rFonts w:ascii="Times New Roman" w:hAnsi="Times New Roman" w:cs="Times New Roman"/>
          <w:sz w:val="22"/>
          <w:szCs w:val="22"/>
        </w:rPr>
        <w:t xml:space="preserve"> 3242</w:t>
      </w:r>
      <w:r w:rsidR="00A93B14" w:rsidRPr="00047A9D">
        <w:rPr>
          <w:rFonts w:ascii="Times New Roman" w:hAnsi="Times New Roman" w:cs="Times New Roman"/>
          <w:sz w:val="22"/>
          <w:szCs w:val="22"/>
        </w:rPr>
        <w:t xml:space="preserve">, 22 July </w:t>
      </w:r>
      <w:r w:rsidR="006E2090" w:rsidRPr="00047A9D">
        <w:rPr>
          <w:rFonts w:ascii="Times New Roman" w:hAnsi="Times New Roman" w:cs="Times New Roman"/>
          <w:sz w:val="22"/>
          <w:szCs w:val="22"/>
        </w:rPr>
        <w:t>1977</w:t>
      </w:r>
      <w:r w:rsidR="00A93B14" w:rsidRPr="00047A9D">
        <w:rPr>
          <w:rFonts w:ascii="Times New Roman" w:hAnsi="Times New Roman" w:cs="Times New Roman"/>
          <w:sz w:val="22"/>
          <w:szCs w:val="22"/>
        </w:rPr>
        <w:t xml:space="preserve">, </w:t>
      </w:r>
      <w:r w:rsidR="006E2090" w:rsidRPr="00047A9D">
        <w:rPr>
          <w:rFonts w:ascii="Times New Roman" w:hAnsi="Times New Roman" w:cs="Times New Roman"/>
          <w:sz w:val="22"/>
          <w:szCs w:val="22"/>
        </w:rPr>
        <w:t>16</w:t>
      </w:r>
      <w:r w:rsidR="00B56929">
        <w:rPr>
          <w:rFonts w:ascii="Times New Roman" w:hAnsi="Times New Roman" w:cs="Times New Roman"/>
          <w:sz w:val="22"/>
          <w:szCs w:val="22"/>
        </w:rPr>
        <w:t>, p.16</w:t>
      </w:r>
      <w:r w:rsidR="00A93B14" w:rsidRPr="00047A9D">
        <w:rPr>
          <w:rFonts w:ascii="Times New Roman" w:hAnsi="Times New Roman" w:cs="Times New Roman"/>
          <w:sz w:val="22"/>
          <w:szCs w:val="22"/>
        </w:rPr>
        <w:t>.</w:t>
      </w:r>
    </w:p>
  </w:footnote>
  <w:footnote w:id="516">
    <w:p w14:paraId="4AA68EEC" w14:textId="77777777" w:rsidR="00580394" w:rsidRPr="00047A9D" w:rsidRDefault="0058039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Killingray, ‘African History’, p.7.</w:t>
      </w:r>
    </w:p>
  </w:footnote>
  <w:footnote w:id="517">
    <w:p w14:paraId="4204BCE2" w14:textId="7051C4AD" w:rsidR="00073C9E" w:rsidRPr="00047A9D" w:rsidRDefault="00073C9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F058A" w:rsidRPr="00047A9D">
        <w:rPr>
          <w:rFonts w:ascii="Times New Roman" w:hAnsi="Times New Roman" w:cs="Times New Roman"/>
          <w:sz w:val="22"/>
          <w:szCs w:val="22"/>
        </w:rPr>
        <w:t>For a small selection see</w:t>
      </w:r>
      <w:r w:rsidR="00914C38" w:rsidRPr="00047A9D">
        <w:rPr>
          <w:rFonts w:ascii="Times New Roman" w:hAnsi="Times New Roman" w:cs="Times New Roman"/>
          <w:sz w:val="22"/>
          <w:szCs w:val="22"/>
        </w:rPr>
        <w:t xml:space="preserve"> File, </w:t>
      </w:r>
      <w:r w:rsidR="00914C38" w:rsidRPr="00047A9D">
        <w:rPr>
          <w:rFonts w:ascii="Times New Roman" w:hAnsi="Times New Roman" w:cs="Times New Roman"/>
          <w:i/>
          <w:sz w:val="22"/>
          <w:szCs w:val="22"/>
        </w:rPr>
        <w:t xml:space="preserve">Assessment in a Multicultural Society, </w:t>
      </w:r>
      <w:r w:rsidR="00914C38" w:rsidRPr="00047A9D">
        <w:rPr>
          <w:rFonts w:ascii="Times New Roman" w:hAnsi="Times New Roman" w:cs="Times New Roman"/>
          <w:sz w:val="22"/>
          <w:szCs w:val="22"/>
        </w:rPr>
        <w:t xml:space="preserve">p.44; Alma Craft and Gillian Klein, </w:t>
      </w:r>
      <w:r w:rsidR="00914C38" w:rsidRPr="00047A9D">
        <w:rPr>
          <w:rFonts w:ascii="Times New Roman" w:hAnsi="Times New Roman" w:cs="Times New Roman"/>
          <w:i/>
          <w:sz w:val="22"/>
          <w:szCs w:val="22"/>
        </w:rPr>
        <w:t>Agenda for Multicultural Teaching</w:t>
      </w:r>
      <w:r w:rsidR="00914C38" w:rsidRPr="00047A9D">
        <w:rPr>
          <w:rFonts w:ascii="Times New Roman" w:hAnsi="Times New Roman" w:cs="Times New Roman"/>
          <w:sz w:val="22"/>
          <w:szCs w:val="22"/>
        </w:rPr>
        <w:t xml:space="preserve"> (York: Longman, 1986), p.13;</w:t>
      </w:r>
      <w:r w:rsidR="009F058A" w:rsidRPr="00047A9D">
        <w:rPr>
          <w:rFonts w:ascii="Times New Roman" w:hAnsi="Times New Roman" w:cs="Times New Roman"/>
          <w:sz w:val="22"/>
          <w:szCs w:val="22"/>
        </w:rPr>
        <w:t xml:space="preserve"> </w:t>
      </w:r>
      <w:r w:rsidR="00507D74" w:rsidRPr="00047A9D">
        <w:rPr>
          <w:rFonts w:ascii="Times New Roman" w:hAnsi="Times New Roman" w:cs="Times New Roman"/>
          <w:sz w:val="22"/>
          <w:szCs w:val="22"/>
        </w:rPr>
        <w:t xml:space="preserve">IoE: NAME, </w:t>
      </w:r>
      <w:r w:rsidR="00507D74" w:rsidRPr="00047A9D">
        <w:rPr>
          <w:rFonts w:ascii="Times New Roman" w:hAnsi="Times New Roman" w:cs="Times New Roman"/>
          <w:i/>
          <w:sz w:val="22"/>
          <w:szCs w:val="22"/>
        </w:rPr>
        <w:t xml:space="preserve">African History </w:t>
      </w:r>
      <w:r w:rsidR="00507D74" w:rsidRPr="00047A9D">
        <w:rPr>
          <w:rFonts w:ascii="Times New Roman" w:hAnsi="Times New Roman" w:cs="Times New Roman"/>
          <w:sz w:val="22"/>
          <w:szCs w:val="22"/>
        </w:rPr>
        <w:t>London: NAME, 1977?), p.5, MF/8/79;</w:t>
      </w:r>
      <w:r w:rsidR="001070FB" w:rsidRPr="00047A9D">
        <w:rPr>
          <w:rFonts w:ascii="Times New Roman" w:hAnsi="Times New Roman" w:cs="Times New Roman"/>
          <w:sz w:val="22"/>
          <w:szCs w:val="22"/>
        </w:rPr>
        <w:t xml:space="preserve"> </w:t>
      </w:r>
      <w:r w:rsidR="0008526B" w:rsidRPr="00047A9D">
        <w:rPr>
          <w:rFonts w:ascii="Times New Roman" w:hAnsi="Times New Roman" w:cs="Times New Roman"/>
          <w:sz w:val="22"/>
          <w:szCs w:val="22"/>
        </w:rPr>
        <w:t>‘</w:t>
      </w:r>
      <w:r w:rsidR="001070FB" w:rsidRPr="00047A9D">
        <w:rPr>
          <w:rFonts w:ascii="Times New Roman" w:hAnsi="Times New Roman" w:cs="Times New Roman"/>
          <w:sz w:val="22"/>
          <w:szCs w:val="22"/>
        </w:rPr>
        <w:t xml:space="preserve">The Chinese Slant’, </w:t>
      </w:r>
      <w:r w:rsidR="001070FB" w:rsidRPr="00047A9D">
        <w:rPr>
          <w:rFonts w:ascii="Times New Roman" w:hAnsi="Times New Roman" w:cs="Times New Roman"/>
          <w:i/>
          <w:sz w:val="22"/>
          <w:szCs w:val="22"/>
        </w:rPr>
        <w:t xml:space="preserve">Clio </w:t>
      </w:r>
      <w:r w:rsidR="001070FB" w:rsidRPr="00047A9D">
        <w:rPr>
          <w:rFonts w:ascii="Times New Roman" w:hAnsi="Times New Roman" w:cs="Times New Roman"/>
          <w:sz w:val="22"/>
          <w:szCs w:val="22"/>
        </w:rPr>
        <w:t>(Autumn 1976), n.p</w:t>
      </w:r>
      <w:r w:rsidR="0008526B" w:rsidRPr="00047A9D">
        <w:rPr>
          <w:rFonts w:ascii="Times New Roman" w:hAnsi="Times New Roman" w:cs="Times New Roman"/>
          <w:sz w:val="22"/>
          <w:szCs w:val="22"/>
        </w:rPr>
        <w:t>.;</w:t>
      </w:r>
      <w:r w:rsidR="00507D74" w:rsidRPr="00047A9D">
        <w:rPr>
          <w:rFonts w:ascii="Times New Roman" w:hAnsi="Times New Roman" w:cs="Times New Roman"/>
          <w:sz w:val="22"/>
          <w:szCs w:val="22"/>
        </w:rPr>
        <w:t xml:space="preserve"> </w:t>
      </w:r>
      <w:r w:rsidR="000C5F26" w:rsidRPr="00047A9D">
        <w:rPr>
          <w:rFonts w:ascii="Times New Roman" w:hAnsi="Times New Roman" w:cs="Times New Roman"/>
          <w:sz w:val="22"/>
          <w:szCs w:val="22"/>
        </w:rPr>
        <w:t xml:space="preserve">David Killingray, ‘African History in the Classroom’, </w:t>
      </w:r>
      <w:r w:rsidR="000C5F26" w:rsidRPr="00047A9D">
        <w:rPr>
          <w:rFonts w:ascii="Times New Roman" w:hAnsi="Times New Roman" w:cs="Times New Roman"/>
          <w:i/>
          <w:sz w:val="22"/>
          <w:szCs w:val="22"/>
        </w:rPr>
        <w:t>Teaching History</w:t>
      </w:r>
      <w:r w:rsidR="000C5F26" w:rsidRPr="00047A9D">
        <w:rPr>
          <w:rFonts w:ascii="Times New Roman" w:hAnsi="Times New Roman" w:cs="Times New Roman"/>
          <w:sz w:val="22"/>
          <w:szCs w:val="22"/>
        </w:rPr>
        <w:t xml:space="preserve"> 17 (1977), 7-8, 14, p.7</w:t>
      </w:r>
      <w:r w:rsidR="00C34610" w:rsidRPr="00047A9D">
        <w:rPr>
          <w:rFonts w:ascii="Times New Roman" w:hAnsi="Times New Roman" w:cs="Times New Roman"/>
          <w:sz w:val="22"/>
          <w:szCs w:val="22"/>
        </w:rPr>
        <w:t xml:space="preserve">; </w:t>
      </w:r>
      <w:r w:rsidR="0079506D" w:rsidRPr="00047A9D">
        <w:rPr>
          <w:rFonts w:ascii="Times New Roman" w:hAnsi="Times New Roman" w:cs="Times New Roman"/>
          <w:sz w:val="22"/>
          <w:szCs w:val="22"/>
        </w:rPr>
        <w:t xml:space="preserve">John Mason, ‘World History — a review of books for the upper school’, </w:t>
      </w:r>
      <w:r w:rsidR="0079506D" w:rsidRPr="00047A9D">
        <w:rPr>
          <w:rFonts w:ascii="Times New Roman" w:hAnsi="Times New Roman" w:cs="Times New Roman"/>
          <w:i/>
          <w:sz w:val="22"/>
          <w:szCs w:val="22"/>
        </w:rPr>
        <w:t>Teaching History</w:t>
      </w:r>
      <w:r w:rsidR="0079506D" w:rsidRPr="00047A9D">
        <w:rPr>
          <w:rFonts w:ascii="Times New Roman" w:hAnsi="Times New Roman" w:cs="Times New Roman"/>
          <w:sz w:val="22"/>
          <w:szCs w:val="22"/>
        </w:rPr>
        <w:t xml:space="preserve"> 20 (1978)</w:t>
      </w:r>
      <w:r w:rsidR="00615E6B">
        <w:rPr>
          <w:rFonts w:ascii="Times New Roman" w:hAnsi="Times New Roman" w:cs="Times New Roman"/>
          <w:sz w:val="22"/>
          <w:szCs w:val="22"/>
        </w:rPr>
        <w:t>,</w:t>
      </w:r>
      <w:r w:rsidR="0079506D" w:rsidRPr="00047A9D">
        <w:rPr>
          <w:rFonts w:ascii="Times New Roman" w:hAnsi="Times New Roman" w:cs="Times New Roman"/>
          <w:sz w:val="22"/>
          <w:szCs w:val="22"/>
        </w:rPr>
        <w:t xml:space="preserve"> 29-30</w:t>
      </w:r>
      <w:r w:rsidR="000C3395" w:rsidRPr="00047A9D">
        <w:rPr>
          <w:rFonts w:ascii="Times New Roman" w:hAnsi="Times New Roman" w:cs="Times New Roman"/>
          <w:sz w:val="22"/>
          <w:szCs w:val="22"/>
        </w:rPr>
        <w:t>, p.30</w:t>
      </w:r>
      <w:r w:rsidR="00914C38" w:rsidRPr="00047A9D">
        <w:rPr>
          <w:rFonts w:ascii="Times New Roman" w:hAnsi="Times New Roman" w:cs="Times New Roman"/>
          <w:sz w:val="22"/>
          <w:szCs w:val="22"/>
        </w:rPr>
        <w:t>.</w:t>
      </w:r>
    </w:p>
  </w:footnote>
  <w:footnote w:id="518">
    <w:p w14:paraId="2D9CAB6B" w14:textId="65412814" w:rsidR="00AE2BE3" w:rsidRPr="00047A9D" w:rsidRDefault="00AE2BE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Killingray, ‘African History’, p.7.</w:t>
      </w:r>
    </w:p>
  </w:footnote>
  <w:footnote w:id="519">
    <w:p w14:paraId="7DEE8973" w14:textId="0C3DE499" w:rsidR="00235CD9" w:rsidRPr="00047A9D" w:rsidRDefault="00235CD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26EAD" w:rsidRPr="00047A9D">
        <w:rPr>
          <w:rFonts w:ascii="Times New Roman" w:hAnsi="Times New Roman" w:cs="Times New Roman"/>
          <w:sz w:val="22"/>
          <w:szCs w:val="22"/>
        </w:rPr>
        <w:t xml:space="preserve">David W. Hicks, </w:t>
      </w:r>
      <w:r w:rsidR="00C26EAD" w:rsidRPr="00047A9D">
        <w:rPr>
          <w:rFonts w:ascii="Times New Roman" w:hAnsi="Times New Roman" w:cs="Times New Roman"/>
          <w:i/>
          <w:sz w:val="22"/>
          <w:szCs w:val="22"/>
        </w:rPr>
        <w:t>Minorities: A Teacher</w:t>
      </w:r>
      <w:r w:rsidR="00D83870" w:rsidRPr="00047A9D">
        <w:rPr>
          <w:rFonts w:ascii="Times New Roman" w:hAnsi="Times New Roman" w:cs="Times New Roman"/>
          <w:i/>
          <w:sz w:val="22"/>
          <w:szCs w:val="22"/>
        </w:rPr>
        <w:t>’</w:t>
      </w:r>
      <w:r w:rsidR="00C26EAD" w:rsidRPr="00047A9D">
        <w:rPr>
          <w:rFonts w:ascii="Times New Roman" w:hAnsi="Times New Roman" w:cs="Times New Roman"/>
          <w:i/>
          <w:sz w:val="22"/>
          <w:szCs w:val="22"/>
        </w:rPr>
        <w:t xml:space="preserve">s </w:t>
      </w:r>
      <w:r w:rsidR="00D83870" w:rsidRPr="00047A9D">
        <w:rPr>
          <w:rFonts w:ascii="Times New Roman" w:hAnsi="Times New Roman" w:cs="Times New Roman"/>
          <w:i/>
          <w:sz w:val="22"/>
          <w:szCs w:val="22"/>
        </w:rPr>
        <w:t>R</w:t>
      </w:r>
      <w:r w:rsidR="00C26EAD" w:rsidRPr="00047A9D">
        <w:rPr>
          <w:rFonts w:ascii="Times New Roman" w:hAnsi="Times New Roman" w:cs="Times New Roman"/>
          <w:i/>
          <w:sz w:val="22"/>
          <w:szCs w:val="22"/>
        </w:rPr>
        <w:t xml:space="preserve">esource Book for the </w:t>
      </w:r>
      <w:r w:rsidR="00AF6F2F" w:rsidRPr="00047A9D">
        <w:rPr>
          <w:rFonts w:ascii="Times New Roman" w:hAnsi="Times New Roman" w:cs="Times New Roman"/>
          <w:i/>
          <w:sz w:val="22"/>
          <w:szCs w:val="22"/>
        </w:rPr>
        <w:t>M</w:t>
      </w:r>
      <w:r w:rsidR="00C26EAD" w:rsidRPr="00047A9D">
        <w:rPr>
          <w:rFonts w:ascii="Times New Roman" w:hAnsi="Times New Roman" w:cs="Times New Roman"/>
          <w:i/>
          <w:sz w:val="22"/>
          <w:szCs w:val="22"/>
        </w:rPr>
        <w:t>ulti-</w:t>
      </w:r>
      <w:r w:rsidR="00AF6F2F" w:rsidRPr="00047A9D">
        <w:rPr>
          <w:rFonts w:ascii="Times New Roman" w:hAnsi="Times New Roman" w:cs="Times New Roman"/>
          <w:i/>
          <w:sz w:val="22"/>
          <w:szCs w:val="22"/>
        </w:rPr>
        <w:t>E</w:t>
      </w:r>
      <w:r w:rsidR="00C26EAD" w:rsidRPr="00047A9D">
        <w:rPr>
          <w:rFonts w:ascii="Times New Roman" w:hAnsi="Times New Roman" w:cs="Times New Roman"/>
          <w:i/>
          <w:sz w:val="22"/>
          <w:szCs w:val="22"/>
        </w:rPr>
        <w:t>thnic Curriculum</w:t>
      </w:r>
      <w:r w:rsidR="00C26EAD" w:rsidRPr="00047A9D">
        <w:rPr>
          <w:rFonts w:ascii="Times New Roman" w:hAnsi="Times New Roman" w:cs="Times New Roman"/>
          <w:sz w:val="22"/>
          <w:szCs w:val="22"/>
        </w:rPr>
        <w:t xml:space="preserve"> (London: Heinemann, 1981), pp. 92, 106</w:t>
      </w:r>
      <w:r w:rsidR="00D83870" w:rsidRPr="00047A9D">
        <w:rPr>
          <w:rFonts w:ascii="Times New Roman" w:hAnsi="Times New Roman" w:cs="Times New Roman"/>
          <w:sz w:val="22"/>
          <w:szCs w:val="22"/>
        </w:rPr>
        <w:t xml:space="preserve">; </w:t>
      </w:r>
      <w:r w:rsidR="003468C8" w:rsidRPr="00047A9D">
        <w:rPr>
          <w:rFonts w:ascii="Times New Roman" w:hAnsi="Times New Roman" w:cs="Times New Roman"/>
          <w:sz w:val="22"/>
          <w:szCs w:val="22"/>
        </w:rPr>
        <w:t xml:space="preserve">Edgington, </w:t>
      </w:r>
      <w:r w:rsidR="003468C8" w:rsidRPr="00047A9D">
        <w:rPr>
          <w:rFonts w:ascii="Times New Roman" w:hAnsi="Times New Roman" w:cs="Times New Roman"/>
          <w:i/>
          <w:sz w:val="22"/>
          <w:szCs w:val="22"/>
        </w:rPr>
        <w:t>Role of History</w:t>
      </w:r>
      <w:r w:rsidR="003468C8" w:rsidRPr="00047A9D">
        <w:rPr>
          <w:rFonts w:ascii="Times New Roman" w:hAnsi="Times New Roman" w:cs="Times New Roman"/>
          <w:sz w:val="22"/>
          <w:szCs w:val="22"/>
        </w:rPr>
        <w:t>, pp.</w:t>
      </w:r>
      <w:r w:rsidR="00181CDB" w:rsidRPr="00047A9D">
        <w:rPr>
          <w:rFonts w:ascii="Times New Roman" w:hAnsi="Times New Roman" w:cs="Times New Roman"/>
          <w:sz w:val="22"/>
          <w:szCs w:val="22"/>
        </w:rPr>
        <w:t>17, 19.</w:t>
      </w:r>
    </w:p>
  </w:footnote>
  <w:footnote w:id="520">
    <w:p w14:paraId="4E48FC83" w14:textId="77777777" w:rsidR="00766C7D" w:rsidRPr="00047A9D" w:rsidRDefault="00766C7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File, ‘History’, in Craft and Bardell (eds), </w:t>
      </w:r>
      <w:r w:rsidRPr="00047A9D">
        <w:rPr>
          <w:rFonts w:ascii="Times New Roman" w:hAnsi="Times New Roman" w:cs="Times New Roman"/>
          <w:i/>
          <w:sz w:val="22"/>
          <w:szCs w:val="22"/>
        </w:rPr>
        <w:t xml:space="preserve">Curriculum Opportunities, </w:t>
      </w:r>
      <w:r w:rsidRPr="00047A9D">
        <w:rPr>
          <w:rFonts w:ascii="Times New Roman" w:hAnsi="Times New Roman" w:cs="Times New Roman"/>
          <w:sz w:val="22"/>
          <w:szCs w:val="22"/>
        </w:rPr>
        <w:t>p.17.</w:t>
      </w:r>
    </w:p>
  </w:footnote>
  <w:footnote w:id="521">
    <w:p w14:paraId="610C1AD5" w14:textId="77777777" w:rsidR="00766C7D" w:rsidRPr="00047A9D" w:rsidRDefault="00766C7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IoE: NAME, </w:t>
      </w:r>
      <w:r w:rsidRPr="00047A9D">
        <w:rPr>
          <w:rFonts w:ascii="Times New Roman" w:hAnsi="Times New Roman" w:cs="Times New Roman"/>
          <w:i/>
          <w:sz w:val="22"/>
          <w:szCs w:val="22"/>
        </w:rPr>
        <w:t xml:space="preserve">African History </w:t>
      </w:r>
      <w:r w:rsidRPr="00047A9D">
        <w:rPr>
          <w:rFonts w:ascii="Times New Roman" w:hAnsi="Times New Roman" w:cs="Times New Roman"/>
          <w:sz w:val="22"/>
          <w:szCs w:val="22"/>
        </w:rPr>
        <w:t>London: NAME, 1977?), p.1, MF/8/79.</w:t>
      </w:r>
    </w:p>
  </w:footnote>
  <w:footnote w:id="522">
    <w:p w14:paraId="44A76230" w14:textId="77777777" w:rsidR="008D030B" w:rsidRPr="00047A9D" w:rsidRDefault="008D030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‘The Atlantic Slave Trade and the Historian’, </w:t>
      </w:r>
      <w:r w:rsidRPr="00047A9D">
        <w:rPr>
          <w:rFonts w:ascii="Times New Roman" w:hAnsi="Times New Roman" w:cs="Times New Roman"/>
          <w:i/>
          <w:sz w:val="22"/>
          <w:szCs w:val="22"/>
        </w:rPr>
        <w:t xml:space="preserve">Clio </w:t>
      </w:r>
      <w:r w:rsidRPr="00047A9D">
        <w:rPr>
          <w:rFonts w:ascii="Times New Roman" w:hAnsi="Times New Roman" w:cs="Times New Roman"/>
          <w:sz w:val="22"/>
          <w:szCs w:val="22"/>
        </w:rPr>
        <w:t>(Autumn 1979), n.p.</w:t>
      </w:r>
    </w:p>
  </w:footnote>
  <w:footnote w:id="523">
    <w:p w14:paraId="5FECF1D0" w14:textId="0BF31A9C" w:rsidR="009F058A" w:rsidRPr="00047A9D" w:rsidRDefault="009F058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11BEB" w:rsidRPr="00047A9D">
        <w:rPr>
          <w:rFonts w:ascii="Times New Roman" w:hAnsi="Times New Roman" w:cs="Times New Roman"/>
          <w:sz w:val="22"/>
          <w:szCs w:val="22"/>
        </w:rPr>
        <w:t xml:space="preserve">Schools Council, </w:t>
      </w:r>
      <w:r w:rsidR="00011BEB" w:rsidRPr="00047A9D">
        <w:rPr>
          <w:rFonts w:ascii="Times New Roman" w:hAnsi="Times New Roman" w:cs="Times New Roman"/>
          <w:i/>
          <w:sz w:val="22"/>
          <w:szCs w:val="22"/>
        </w:rPr>
        <w:t>Education for a Multiracial Society</w:t>
      </w:r>
      <w:r w:rsidR="0027046C" w:rsidRPr="00047A9D">
        <w:rPr>
          <w:rFonts w:ascii="Times New Roman" w:hAnsi="Times New Roman" w:cs="Times New Roman"/>
          <w:sz w:val="22"/>
          <w:szCs w:val="22"/>
        </w:rPr>
        <w:t>,</w:t>
      </w:r>
      <w:r w:rsidR="00011BEB" w:rsidRPr="00047A9D">
        <w:rPr>
          <w:rFonts w:ascii="Times New Roman" w:hAnsi="Times New Roman" w:cs="Times New Roman"/>
          <w:i/>
          <w:sz w:val="22"/>
          <w:szCs w:val="22"/>
        </w:rPr>
        <w:t xml:space="preserve"> </w:t>
      </w:r>
      <w:r w:rsidR="00011BEB" w:rsidRPr="00047A9D">
        <w:rPr>
          <w:rFonts w:ascii="Times New Roman" w:hAnsi="Times New Roman" w:cs="Times New Roman"/>
          <w:sz w:val="22"/>
          <w:szCs w:val="22"/>
        </w:rPr>
        <w:t>p.89</w:t>
      </w:r>
      <w:r w:rsidR="00615E6B">
        <w:rPr>
          <w:rFonts w:ascii="Times New Roman" w:hAnsi="Times New Roman" w:cs="Times New Roman"/>
          <w:sz w:val="22"/>
          <w:szCs w:val="22"/>
        </w:rPr>
        <w:t>.</w:t>
      </w:r>
    </w:p>
  </w:footnote>
  <w:footnote w:id="524">
    <w:p w14:paraId="6FF64D0B" w14:textId="77777777" w:rsidR="0067106F" w:rsidRPr="00047A9D" w:rsidRDefault="0067106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IoE: NAME, </w:t>
      </w:r>
      <w:r w:rsidRPr="00047A9D">
        <w:rPr>
          <w:rFonts w:ascii="Times New Roman" w:hAnsi="Times New Roman" w:cs="Times New Roman"/>
          <w:i/>
          <w:sz w:val="22"/>
          <w:szCs w:val="22"/>
        </w:rPr>
        <w:t xml:space="preserve">African History </w:t>
      </w:r>
      <w:r w:rsidRPr="00047A9D">
        <w:rPr>
          <w:rFonts w:ascii="Times New Roman" w:hAnsi="Times New Roman" w:cs="Times New Roman"/>
          <w:sz w:val="22"/>
          <w:szCs w:val="22"/>
        </w:rPr>
        <w:t>London: NAME, 1977?), pp.1-3, MF/8/79.</w:t>
      </w:r>
    </w:p>
  </w:footnote>
  <w:footnote w:id="525">
    <w:p w14:paraId="6BAEB87D" w14:textId="77777777" w:rsidR="00CA2BBE" w:rsidRPr="00047A9D" w:rsidRDefault="00CA2BB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Samuel, </w:t>
      </w:r>
      <w:r w:rsidRPr="00047A9D">
        <w:rPr>
          <w:rFonts w:ascii="Times New Roman" w:hAnsi="Times New Roman" w:cs="Times New Roman"/>
          <w:i/>
          <w:sz w:val="22"/>
          <w:szCs w:val="22"/>
        </w:rPr>
        <w:t>Theatres of Memory</w:t>
      </w:r>
      <w:r w:rsidRPr="00047A9D">
        <w:rPr>
          <w:rFonts w:ascii="Times New Roman" w:hAnsi="Times New Roman" w:cs="Times New Roman"/>
          <w:sz w:val="22"/>
          <w:szCs w:val="22"/>
        </w:rPr>
        <w:t>, p.278.</w:t>
      </w:r>
    </w:p>
  </w:footnote>
  <w:footnote w:id="526">
    <w:p w14:paraId="28E88A19" w14:textId="77777777" w:rsidR="00CA2BBE" w:rsidRPr="00047A9D" w:rsidRDefault="00CA2BB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David Edgington, ‘The Role of History in Multi-cultural Education’,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xml:space="preserve"> 32 (1982) 3-5, p.3.</w:t>
      </w:r>
    </w:p>
  </w:footnote>
  <w:footnote w:id="527">
    <w:p w14:paraId="52594965" w14:textId="6A78512E" w:rsidR="00CC52EA" w:rsidRPr="00047A9D" w:rsidRDefault="00CC52E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65CC5" w:rsidRPr="00047A9D">
        <w:rPr>
          <w:rFonts w:ascii="Times New Roman" w:hAnsi="Times New Roman" w:cs="Times New Roman"/>
          <w:sz w:val="22"/>
          <w:szCs w:val="22"/>
        </w:rPr>
        <w:t>Edgington, ‘The Role of History in Multi-cultural Education’, p.3.</w:t>
      </w:r>
    </w:p>
  </w:footnote>
  <w:footnote w:id="528">
    <w:p w14:paraId="02D6AB6E" w14:textId="77777777" w:rsidR="00A40BE2" w:rsidRPr="00047A9D" w:rsidRDefault="00A40BE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Edgington, </w:t>
      </w:r>
      <w:r w:rsidRPr="00047A9D">
        <w:rPr>
          <w:rFonts w:ascii="Times New Roman" w:hAnsi="Times New Roman" w:cs="Times New Roman"/>
          <w:i/>
          <w:sz w:val="22"/>
          <w:szCs w:val="22"/>
        </w:rPr>
        <w:t>Role of History</w:t>
      </w:r>
      <w:r w:rsidRPr="00047A9D">
        <w:rPr>
          <w:rFonts w:ascii="Times New Roman" w:hAnsi="Times New Roman" w:cs="Times New Roman"/>
          <w:sz w:val="22"/>
          <w:szCs w:val="22"/>
        </w:rPr>
        <w:t>, p.15.</w:t>
      </w:r>
    </w:p>
  </w:footnote>
  <w:footnote w:id="529">
    <w:p w14:paraId="031C4CA1" w14:textId="4DB0047F" w:rsidR="00103829" w:rsidRPr="00047A9D" w:rsidRDefault="00103829"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92880" w:rsidRPr="00047A9D">
        <w:rPr>
          <w:rFonts w:ascii="Times New Roman" w:hAnsi="Times New Roman" w:cs="Times New Roman"/>
          <w:sz w:val="22"/>
          <w:szCs w:val="22"/>
        </w:rPr>
        <w:t xml:space="preserve">John Langdon-Davies, </w:t>
      </w:r>
      <w:r w:rsidR="00192880" w:rsidRPr="00047A9D">
        <w:rPr>
          <w:rFonts w:ascii="Times New Roman" w:hAnsi="Times New Roman" w:cs="Times New Roman"/>
          <w:i/>
          <w:sz w:val="22"/>
          <w:szCs w:val="22"/>
        </w:rPr>
        <w:t xml:space="preserve">The Indian Mutiny: Jackdaw No. 22, a Collection of Contemporary Documents </w:t>
      </w:r>
      <w:r w:rsidR="00192880" w:rsidRPr="00047A9D">
        <w:rPr>
          <w:rFonts w:ascii="Times New Roman" w:hAnsi="Times New Roman" w:cs="Times New Roman"/>
          <w:sz w:val="22"/>
          <w:szCs w:val="22"/>
        </w:rPr>
        <w:t>(</w:t>
      </w:r>
      <w:r w:rsidR="009E5FEF" w:rsidRPr="00047A9D">
        <w:rPr>
          <w:rFonts w:ascii="Times New Roman" w:hAnsi="Times New Roman" w:cs="Times New Roman"/>
          <w:sz w:val="22"/>
          <w:szCs w:val="22"/>
        </w:rPr>
        <w:t xml:space="preserve">London: </w:t>
      </w:r>
      <w:r w:rsidR="00192880" w:rsidRPr="00047A9D">
        <w:rPr>
          <w:rFonts w:ascii="Times New Roman" w:hAnsi="Times New Roman" w:cs="Times New Roman"/>
          <w:sz w:val="22"/>
          <w:szCs w:val="22"/>
        </w:rPr>
        <w:t>Jackdaw,</w:t>
      </w:r>
      <w:r w:rsidR="00CB3F79" w:rsidRPr="00047A9D">
        <w:rPr>
          <w:rFonts w:ascii="Times New Roman" w:hAnsi="Times New Roman" w:cs="Times New Roman"/>
          <w:sz w:val="22"/>
          <w:szCs w:val="22"/>
        </w:rPr>
        <w:t xml:space="preserve"> Jonathan Cape, </w:t>
      </w:r>
      <w:r w:rsidR="00192880" w:rsidRPr="00047A9D">
        <w:rPr>
          <w:rFonts w:ascii="Times New Roman" w:hAnsi="Times New Roman" w:cs="Times New Roman"/>
          <w:sz w:val="22"/>
          <w:szCs w:val="22"/>
        </w:rPr>
        <w:t>1966</w:t>
      </w:r>
      <w:r w:rsidR="00CB3F79" w:rsidRPr="00047A9D">
        <w:rPr>
          <w:rFonts w:ascii="Times New Roman" w:hAnsi="Times New Roman" w:cs="Times New Roman"/>
          <w:sz w:val="22"/>
          <w:szCs w:val="22"/>
        </w:rPr>
        <w:t>), quoted in Dumm</w:t>
      </w:r>
      <w:r w:rsidR="008A1E92" w:rsidRPr="00047A9D">
        <w:rPr>
          <w:rFonts w:ascii="Times New Roman" w:hAnsi="Times New Roman" w:cs="Times New Roman"/>
          <w:sz w:val="22"/>
          <w:szCs w:val="22"/>
        </w:rPr>
        <w:t xml:space="preserve">ett, </w:t>
      </w:r>
      <w:r w:rsidR="008A1E92" w:rsidRPr="00047A9D">
        <w:rPr>
          <w:rFonts w:ascii="Times New Roman" w:hAnsi="Times New Roman" w:cs="Times New Roman"/>
          <w:i/>
          <w:sz w:val="22"/>
          <w:szCs w:val="22"/>
        </w:rPr>
        <w:t xml:space="preserve">English Racism, </w:t>
      </w:r>
      <w:r w:rsidR="008A1E92" w:rsidRPr="00047A9D">
        <w:rPr>
          <w:rFonts w:ascii="Times New Roman" w:hAnsi="Times New Roman" w:cs="Times New Roman"/>
          <w:sz w:val="22"/>
          <w:szCs w:val="22"/>
        </w:rPr>
        <w:t>p</w:t>
      </w:r>
      <w:r w:rsidRPr="00047A9D">
        <w:rPr>
          <w:rFonts w:ascii="Times New Roman" w:hAnsi="Times New Roman" w:cs="Times New Roman"/>
          <w:sz w:val="22"/>
          <w:szCs w:val="22"/>
        </w:rPr>
        <w:t>.277.</w:t>
      </w:r>
    </w:p>
  </w:footnote>
  <w:footnote w:id="530">
    <w:p w14:paraId="6FB45D3B" w14:textId="77777777" w:rsidR="00103829" w:rsidRPr="00047A9D" w:rsidRDefault="0010382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Gopal, </w:t>
      </w:r>
      <w:r w:rsidRPr="00047A9D">
        <w:rPr>
          <w:rFonts w:ascii="Times New Roman" w:hAnsi="Times New Roman" w:cs="Times New Roman"/>
          <w:i/>
          <w:sz w:val="22"/>
          <w:szCs w:val="22"/>
        </w:rPr>
        <w:t>Insurgent Empire</w:t>
      </w:r>
      <w:r w:rsidRPr="00047A9D">
        <w:rPr>
          <w:rFonts w:ascii="Times New Roman" w:hAnsi="Times New Roman" w:cs="Times New Roman"/>
          <w:sz w:val="22"/>
          <w:szCs w:val="22"/>
        </w:rPr>
        <w:t>.</w:t>
      </w:r>
    </w:p>
  </w:footnote>
  <w:footnote w:id="531">
    <w:p w14:paraId="61D13A07" w14:textId="77777777" w:rsidR="00321CB1" w:rsidRPr="00047A9D" w:rsidRDefault="00321CB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Edgington, </w:t>
      </w:r>
      <w:r w:rsidRPr="00047A9D">
        <w:rPr>
          <w:rFonts w:ascii="Times New Roman" w:hAnsi="Times New Roman" w:cs="Times New Roman"/>
          <w:i/>
          <w:sz w:val="22"/>
          <w:szCs w:val="22"/>
        </w:rPr>
        <w:t>Role of History</w:t>
      </w:r>
      <w:r w:rsidRPr="00047A9D">
        <w:rPr>
          <w:rFonts w:ascii="Times New Roman" w:hAnsi="Times New Roman" w:cs="Times New Roman"/>
          <w:sz w:val="22"/>
          <w:szCs w:val="22"/>
        </w:rPr>
        <w:t>, p.16.</w:t>
      </w:r>
    </w:p>
  </w:footnote>
  <w:footnote w:id="532">
    <w:p w14:paraId="1DA7DCC4" w14:textId="29A06F60" w:rsidR="008A1E92" w:rsidRPr="00047A9D" w:rsidRDefault="008A1E9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942DA" w:rsidRPr="00047A9D">
        <w:rPr>
          <w:rFonts w:ascii="Times New Roman" w:hAnsi="Times New Roman" w:cs="Times New Roman"/>
          <w:sz w:val="22"/>
          <w:szCs w:val="22"/>
        </w:rPr>
        <w:t xml:space="preserve">IoE: NAME, </w:t>
      </w:r>
      <w:r w:rsidR="003942DA" w:rsidRPr="00047A9D">
        <w:rPr>
          <w:rFonts w:ascii="Times New Roman" w:hAnsi="Times New Roman" w:cs="Times New Roman"/>
          <w:i/>
          <w:sz w:val="22"/>
          <w:szCs w:val="22"/>
        </w:rPr>
        <w:t xml:space="preserve">African History </w:t>
      </w:r>
      <w:r w:rsidR="003942DA" w:rsidRPr="00047A9D">
        <w:rPr>
          <w:rFonts w:ascii="Times New Roman" w:hAnsi="Times New Roman" w:cs="Times New Roman"/>
          <w:sz w:val="22"/>
          <w:szCs w:val="22"/>
        </w:rPr>
        <w:t>London: NAME, 1977?), p.4, MF/8/79</w:t>
      </w:r>
      <w:r w:rsidR="00350137" w:rsidRPr="00047A9D">
        <w:rPr>
          <w:rFonts w:ascii="Times New Roman" w:hAnsi="Times New Roman" w:cs="Times New Roman"/>
          <w:sz w:val="22"/>
          <w:szCs w:val="22"/>
        </w:rPr>
        <w:t>.</w:t>
      </w:r>
    </w:p>
  </w:footnote>
  <w:footnote w:id="533">
    <w:p w14:paraId="0091CA77" w14:textId="77777777" w:rsidR="006B1CFC" w:rsidRPr="00047A9D" w:rsidRDefault="006B1CFC"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IoE: NAME, </w:t>
      </w:r>
      <w:r w:rsidRPr="00047A9D">
        <w:rPr>
          <w:rFonts w:ascii="Times New Roman" w:hAnsi="Times New Roman" w:cs="Times New Roman"/>
          <w:i/>
          <w:sz w:val="22"/>
          <w:szCs w:val="22"/>
        </w:rPr>
        <w:t xml:space="preserve">African History </w:t>
      </w:r>
      <w:r w:rsidRPr="00047A9D">
        <w:rPr>
          <w:rFonts w:ascii="Times New Roman" w:hAnsi="Times New Roman" w:cs="Times New Roman"/>
          <w:sz w:val="22"/>
          <w:szCs w:val="22"/>
        </w:rPr>
        <w:t xml:space="preserve">London: NAME, 1977?), p.5, MF/8/79; Proctor, </w:t>
      </w:r>
      <w:r w:rsidRPr="00047A9D">
        <w:rPr>
          <w:rFonts w:ascii="Times New Roman" w:hAnsi="Times New Roman" w:cs="Times New Roman"/>
          <w:i/>
          <w:sz w:val="22"/>
          <w:szCs w:val="22"/>
        </w:rPr>
        <w:t>Racist Textbooks</w:t>
      </w:r>
      <w:r w:rsidRPr="00047A9D">
        <w:rPr>
          <w:rFonts w:ascii="Times New Roman" w:hAnsi="Times New Roman" w:cs="Times New Roman"/>
          <w:sz w:val="22"/>
          <w:szCs w:val="22"/>
        </w:rPr>
        <w:t xml:space="preserve">, pp.15, 18-20; ‘Ten Quick Ways to Analyse Children’s Books for Racism’, (adapted from ‘Ten Quick Ways to Analyse Children’s Books for Racism and Sexism’, by the United States of America-based Council on Interracial Books for Children) in ACER, </w:t>
      </w:r>
      <w:r w:rsidRPr="00047A9D">
        <w:rPr>
          <w:rFonts w:ascii="Times New Roman" w:hAnsi="Times New Roman" w:cs="Times New Roman"/>
          <w:i/>
          <w:sz w:val="22"/>
          <w:szCs w:val="22"/>
        </w:rPr>
        <w:t xml:space="preserve">Images and Reflections: Education and the Afro-Caribbean Child </w:t>
      </w:r>
      <w:r w:rsidRPr="00047A9D">
        <w:rPr>
          <w:rFonts w:ascii="Times New Roman" w:hAnsi="Times New Roman" w:cs="Times New Roman"/>
          <w:sz w:val="22"/>
          <w:szCs w:val="22"/>
        </w:rPr>
        <w:t xml:space="preserve">(London: ACER, 1984), 33-35; and ‘Techniques of Identifying Racism in Children's Books’ (extract from 'Racism in Children's and School Textbooks', World Council of Churches), in ACER, </w:t>
      </w:r>
      <w:r w:rsidRPr="00047A9D">
        <w:rPr>
          <w:rFonts w:ascii="Times New Roman" w:hAnsi="Times New Roman" w:cs="Times New Roman"/>
          <w:i/>
          <w:sz w:val="22"/>
          <w:szCs w:val="22"/>
        </w:rPr>
        <w:t xml:space="preserve">Images and Reflections, </w:t>
      </w:r>
      <w:r w:rsidRPr="00047A9D">
        <w:rPr>
          <w:rFonts w:ascii="Times New Roman" w:hAnsi="Times New Roman" w:cs="Times New Roman"/>
          <w:sz w:val="22"/>
          <w:szCs w:val="22"/>
        </w:rPr>
        <w:t>43-46</w:t>
      </w:r>
      <w:r w:rsidRPr="00047A9D">
        <w:rPr>
          <w:rFonts w:ascii="Times New Roman" w:hAnsi="Times New Roman" w:cs="Times New Roman"/>
          <w:i/>
          <w:sz w:val="22"/>
          <w:szCs w:val="22"/>
        </w:rPr>
        <w:t>.</w:t>
      </w:r>
    </w:p>
  </w:footnote>
  <w:footnote w:id="534">
    <w:p w14:paraId="7410DDF7" w14:textId="77777777" w:rsidR="006B1CFC" w:rsidRPr="00047A9D" w:rsidRDefault="006B1CF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‘Techniques of Identifying Racism’ in ACER, </w:t>
      </w:r>
      <w:r w:rsidRPr="00047A9D">
        <w:rPr>
          <w:rFonts w:ascii="Times New Roman" w:hAnsi="Times New Roman" w:cs="Times New Roman"/>
          <w:i/>
          <w:sz w:val="22"/>
          <w:szCs w:val="22"/>
        </w:rPr>
        <w:t>Images and Reflections,</w:t>
      </w:r>
      <w:r w:rsidRPr="00047A9D">
        <w:rPr>
          <w:rFonts w:ascii="Times New Roman" w:hAnsi="Times New Roman" w:cs="Times New Roman"/>
          <w:sz w:val="22"/>
          <w:szCs w:val="22"/>
        </w:rPr>
        <w:t xml:space="preserve"> p.43.</w:t>
      </w:r>
    </w:p>
  </w:footnote>
  <w:footnote w:id="535">
    <w:p w14:paraId="4620496A" w14:textId="77777777" w:rsidR="006B1CFC" w:rsidRPr="00047A9D" w:rsidRDefault="006B1CF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Proctor, </w:t>
      </w:r>
      <w:r w:rsidRPr="00047A9D">
        <w:rPr>
          <w:rFonts w:ascii="Times New Roman" w:hAnsi="Times New Roman" w:cs="Times New Roman"/>
          <w:i/>
          <w:sz w:val="22"/>
          <w:szCs w:val="22"/>
        </w:rPr>
        <w:t>Racist Textbooks</w:t>
      </w:r>
      <w:r w:rsidRPr="00047A9D">
        <w:rPr>
          <w:rFonts w:ascii="Times New Roman" w:hAnsi="Times New Roman" w:cs="Times New Roman"/>
          <w:sz w:val="22"/>
          <w:szCs w:val="22"/>
        </w:rPr>
        <w:t>, p.21.</w:t>
      </w:r>
    </w:p>
  </w:footnote>
  <w:footnote w:id="536">
    <w:p w14:paraId="5FAD301D" w14:textId="77777777" w:rsidR="006B1CFC" w:rsidRPr="00047A9D" w:rsidRDefault="006B1CF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File, ‘History’, in Craft and Bardell (eds), </w:t>
      </w:r>
      <w:r w:rsidRPr="00047A9D">
        <w:rPr>
          <w:rFonts w:ascii="Times New Roman" w:hAnsi="Times New Roman" w:cs="Times New Roman"/>
          <w:i/>
          <w:sz w:val="22"/>
          <w:szCs w:val="22"/>
        </w:rPr>
        <w:t>Curriculum Opportunities</w:t>
      </w:r>
      <w:r w:rsidRPr="00047A9D">
        <w:rPr>
          <w:rFonts w:ascii="Times New Roman" w:hAnsi="Times New Roman" w:cs="Times New Roman"/>
          <w:sz w:val="22"/>
          <w:szCs w:val="22"/>
        </w:rPr>
        <w:t>, p.17.</w:t>
      </w:r>
    </w:p>
  </w:footnote>
  <w:footnote w:id="537">
    <w:p w14:paraId="121BA2C0" w14:textId="37D4B2D2" w:rsidR="006B1CFC" w:rsidRPr="00047A9D" w:rsidRDefault="006B1CF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NUT, </w:t>
      </w:r>
      <w:r w:rsidRPr="00047A9D">
        <w:rPr>
          <w:rFonts w:ascii="Times New Roman" w:hAnsi="Times New Roman" w:cs="Times New Roman"/>
          <w:i/>
          <w:sz w:val="22"/>
          <w:szCs w:val="22"/>
        </w:rPr>
        <w:t>In Black and White: Guidelines for Teachers on Racial Stereotyping in Textbooks and Learning Materials</w:t>
      </w:r>
      <w:r w:rsidRPr="00047A9D">
        <w:rPr>
          <w:rFonts w:ascii="Times New Roman" w:hAnsi="Times New Roman" w:cs="Times New Roman"/>
          <w:sz w:val="22"/>
          <w:szCs w:val="22"/>
        </w:rPr>
        <w:t>, rev. edn (London: NUT, 1982), p.4</w:t>
      </w:r>
      <w:r w:rsidR="0085658E">
        <w:rPr>
          <w:rFonts w:ascii="Times New Roman" w:hAnsi="Times New Roman" w:cs="Times New Roman"/>
          <w:sz w:val="22"/>
          <w:szCs w:val="22"/>
        </w:rPr>
        <w:t>.</w:t>
      </w:r>
    </w:p>
  </w:footnote>
  <w:footnote w:id="538">
    <w:p w14:paraId="493F6DE6" w14:textId="77777777" w:rsidR="006B1CFC" w:rsidRPr="00047A9D" w:rsidRDefault="006B1CF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‘Ten Quick Ways’ in </w:t>
      </w:r>
      <w:r w:rsidRPr="00047A9D">
        <w:rPr>
          <w:rFonts w:ascii="Times New Roman" w:hAnsi="Times New Roman" w:cs="Times New Roman"/>
          <w:i/>
          <w:sz w:val="22"/>
          <w:szCs w:val="22"/>
        </w:rPr>
        <w:t xml:space="preserve">Images and Reflections, </w:t>
      </w:r>
      <w:r w:rsidRPr="00047A9D">
        <w:rPr>
          <w:rFonts w:ascii="Times New Roman" w:hAnsi="Times New Roman" w:cs="Times New Roman"/>
          <w:sz w:val="22"/>
          <w:szCs w:val="22"/>
        </w:rPr>
        <w:t>p.35.</w:t>
      </w:r>
    </w:p>
  </w:footnote>
  <w:footnote w:id="539">
    <w:p w14:paraId="2380E4FB" w14:textId="0305A883" w:rsidR="00933AB6" w:rsidRPr="00047A9D" w:rsidRDefault="00933AB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F5DE5" w:rsidRPr="00047A9D">
        <w:rPr>
          <w:rFonts w:ascii="Times New Roman" w:hAnsi="Times New Roman" w:cs="Times New Roman"/>
          <w:sz w:val="22"/>
          <w:szCs w:val="22"/>
        </w:rPr>
        <w:t>Thorburn, ‘Teaching Caribbean History’, p.</w:t>
      </w:r>
      <w:r w:rsidR="00052626" w:rsidRPr="00047A9D">
        <w:rPr>
          <w:rFonts w:ascii="Times New Roman" w:hAnsi="Times New Roman" w:cs="Times New Roman"/>
          <w:sz w:val="22"/>
          <w:szCs w:val="22"/>
        </w:rPr>
        <w:t>12.</w:t>
      </w:r>
      <w:r w:rsidR="009026F8" w:rsidRPr="00047A9D">
        <w:rPr>
          <w:rFonts w:ascii="Times New Roman" w:hAnsi="Times New Roman" w:cs="Times New Roman"/>
          <w:sz w:val="22"/>
          <w:szCs w:val="22"/>
        </w:rPr>
        <w:t xml:space="preserve"> See also David Killingray, </w:t>
      </w:r>
      <w:r w:rsidR="0089456D" w:rsidRPr="00047A9D">
        <w:rPr>
          <w:rFonts w:ascii="Times New Roman" w:hAnsi="Times New Roman" w:cs="Times New Roman"/>
          <w:sz w:val="22"/>
          <w:szCs w:val="22"/>
        </w:rPr>
        <w:t xml:space="preserve">‘Contrary to Popular Belief There is No Shortage of School Books on African History’, </w:t>
      </w:r>
      <w:r w:rsidR="0089456D" w:rsidRPr="00047A9D">
        <w:rPr>
          <w:rFonts w:ascii="Times New Roman" w:hAnsi="Times New Roman" w:cs="Times New Roman"/>
          <w:i/>
          <w:sz w:val="22"/>
          <w:szCs w:val="22"/>
        </w:rPr>
        <w:t>Teaching History</w:t>
      </w:r>
      <w:r w:rsidR="0089456D" w:rsidRPr="00047A9D">
        <w:rPr>
          <w:rFonts w:ascii="Times New Roman" w:hAnsi="Times New Roman" w:cs="Times New Roman"/>
          <w:sz w:val="22"/>
          <w:szCs w:val="22"/>
        </w:rPr>
        <w:t xml:space="preserve"> 17 (February 1977)</w:t>
      </w:r>
      <w:r w:rsidR="003A71B1" w:rsidRPr="00047A9D">
        <w:rPr>
          <w:rFonts w:ascii="Times New Roman" w:hAnsi="Times New Roman" w:cs="Times New Roman"/>
          <w:sz w:val="22"/>
          <w:szCs w:val="22"/>
        </w:rPr>
        <w:t xml:space="preserve"> </w:t>
      </w:r>
      <w:r w:rsidR="0089456D" w:rsidRPr="00047A9D">
        <w:rPr>
          <w:rFonts w:ascii="Times New Roman" w:hAnsi="Times New Roman" w:cs="Times New Roman"/>
          <w:sz w:val="22"/>
          <w:szCs w:val="22"/>
        </w:rPr>
        <w:t>13-14, 18.</w:t>
      </w:r>
    </w:p>
  </w:footnote>
  <w:footnote w:id="540">
    <w:p w14:paraId="52C18C90" w14:textId="5946F560" w:rsidR="004F347C" w:rsidRPr="00047A9D" w:rsidRDefault="004F347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8480B" w:rsidRPr="00047A9D">
        <w:rPr>
          <w:rFonts w:ascii="Times New Roman" w:hAnsi="Times New Roman" w:cs="Times New Roman"/>
          <w:sz w:val="22"/>
          <w:szCs w:val="22"/>
        </w:rPr>
        <w:t>Thorburn, ‘Teaching Caribbean History’</w:t>
      </w:r>
      <w:r w:rsidR="00A574E5" w:rsidRPr="00047A9D">
        <w:rPr>
          <w:rFonts w:ascii="Times New Roman" w:hAnsi="Times New Roman" w:cs="Times New Roman"/>
          <w:i/>
          <w:sz w:val="22"/>
          <w:szCs w:val="22"/>
        </w:rPr>
        <w:t xml:space="preserve">, </w:t>
      </w:r>
      <w:r w:rsidR="00A574E5" w:rsidRPr="00047A9D">
        <w:rPr>
          <w:rFonts w:ascii="Times New Roman" w:hAnsi="Times New Roman" w:cs="Times New Roman"/>
          <w:sz w:val="22"/>
          <w:szCs w:val="22"/>
        </w:rPr>
        <w:t>p.13.</w:t>
      </w:r>
    </w:p>
  </w:footnote>
  <w:footnote w:id="541">
    <w:p w14:paraId="24034B7C" w14:textId="75DCE68C" w:rsidR="007D64C4" w:rsidRPr="00047A9D" w:rsidRDefault="007D64C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E6A5F" w:rsidRPr="00047A9D">
        <w:rPr>
          <w:rFonts w:ascii="Times New Roman" w:hAnsi="Times New Roman" w:cs="Times New Roman"/>
          <w:sz w:val="22"/>
          <w:szCs w:val="22"/>
        </w:rPr>
        <w:t xml:space="preserve">File, ‘History’ in </w:t>
      </w:r>
      <w:r w:rsidR="00484B95" w:rsidRPr="00047A9D">
        <w:rPr>
          <w:rFonts w:ascii="Times New Roman" w:hAnsi="Times New Roman" w:cs="Times New Roman"/>
          <w:sz w:val="22"/>
          <w:szCs w:val="22"/>
        </w:rPr>
        <w:t xml:space="preserve">Craft and Bardell (eds), </w:t>
      </w:r>
      <w:r w:rsidR="00484B95" w:rsidRPr="00047A9D">
        <w:rPr>
          <w:rFonts w:ascii="Times New Roman" w:hAnsi="Times New Roman" w:cs="Times New Roman"/>
          <w:i/>
          <w:sz w:val="22"/>
          <w:szCs w:val="22"/>
        </w:rPr>
        <w:t xml:space="preserve">Curriculum Opportunities, </w:t>
      </w:r>
      <w:r w:rsidR="002418C3" w:rsidRPr="00047A9D">
        <w:rPr>
          <w:rFonts w:ascii="Times New Roman" w:hAnsi="Times New Roman" w:cs="Times New Roman"/>
          <w:sz w:val="22"/>
          <w:szCs w:val="22"/>
        </w:rPr>
        <w:t>p</w:t>
      </w:r>
      <w:r w:rsidR="00484B95" w:rsidRPr="00047A9D">
        <w:rPr>
          <w:rFonts w:ascii="Times New Roman" w:hAnsi="Times New Roman" w:cs="Times New Roman"/>
          <w:sz w:val="22"/>
          <w:szCs w:val="22"/>
        </w:rPr>
        <w:t>p.9-10</w:t>
      </w:r>
      <w:r w:rsidR="0085658E">
        <w:rPr>
          <w:rFonts w:ascii="Times New Roman" w:hAnsi="Times New Roman" w:cs="Times New Roman"/>
          <w:sz w:val="22"/>
          <w:szCs w:val="22"/>
        </w:rPr>
        <w:t>.</w:t>
      </w:r>
    </w:p>
  </w:footnote>
  <w:footnote w:id="542">
    <w:p w14:paraId="4272371E" w14:textId="3BBC51F2" w:rsidR="002418C3" w:rsidRPr="00047A9D" w:rsidRDefault="002418C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Thorburn, ‘Teaching Caribbean History’, p.12.</w:t>
      </w:r>
    </w:p>
  </w:footnote>
  <w:footnote w:id="543">
    <w:p w14:paraId="22AA6ECA" w14:textId="2AF7CE42" w:rsidR="002418C3" w:rsidRPr="00047A9D" w:rsidRDefault="002418C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E3E61" w:rsidRPr="00047A9D">
        <w:rPr>
          <w:rFonts w:ascii="Times New Roman" w:hAnsi="Times New Roman" w:cs="Times New Roman"/>
          <w:sz w:val="22"/>
          <w:szCs w:val="22"/>
        </w:rPr>
        <w:t xml:space="preserve">Schools Council, </w:t>
      </w:r>
      <w:r w:rsidR="00CE3E61" w:rsidRPr="00047A9D">
        <w:rPr>
          <w:rFonts w:ascii="Times New Roman" w:hAnsi="Times New Roman" w:cs="Times New Roman"/>
          <w:i/>
          <w:sz w:val="22"/>
          <w:szCs w:val="22"/>
        </w:rPr>
        <w:t xml:space="preserve">Education for a Multiracial Society, </w:t>
      </w:r>
      <w:r w:rsidR="00CE3E61" w:rsidRPr="00047A9D">
        <w:rPr>
          <w:rFonts w:ascii="Times New Roman" w:hAnsi="Times New Roman" w:cs="Times New Roman"/>
          <w:sz w:val="22"/>
          <w:szCs w:val="22"/>
        </w:rPr>
        <w:t>p</w:t>
      </w:r>
      <w:r w:rsidR="006F33A3" w:rsidRPr="00047A9D">
        <w:rPr>
          <w:rFonts w:ascii="Times New Roman" w:hAnsi="Times New Roman" w:cs="Times New Roman"/>
          <w:sz w:val="22"/>
          <w:szCs w:val="22"/>
        </w:rPr>
        <w:t>p.90-91.</w:t>
      </w:r>
    </w:p>
  </w:footnote>
  <w:footnote w:id="544">
    <w:p w14:paraId="7102F322" w14:textId="6DD67596" w:rsidR="002B6173" w:rsidRPr="00047A9D" w:rsidRDefault="002B617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71830" w:rsidRPr="00047A9D">
        <w:rPr>
          <w:rFonts w:ascii="Times New Roman" w:hAnsi="Times New Roman" w:cs="Times New Roman"/>
          <w:sz w:val="22"/>
          <w:szCs w:val="22"/>
        </w:rPr>
        <w:t xml:space="preserve">David Warnes, ‘The Home-brewed Textbook’, </w:t>
      </w:r>
      <w:r w:rsidR="00371830" w:rsidRPr="00047A9D">
        <w:rPr>
          <w:rFonts w:ascii="Times New Roman" w:hAnsi="Times New Roman" w:cs="Times New Roman"/>
          <w:i/>
          <w:sz w:val="22"/>
          <w:szCs w:val="22"/>
        </w:rPr>
        <w:t>Teaching History</w:t>
      </w:r>
      <w:r w:rsidR="00371830" w:rsidRPr="00047A9D">
        <w:rPr>
          <w:rFonts w:ascii="Times New Roman" w:hAnsi="Times New Roman" w:cs="Times New Roman"/>
          <w:sz w:val="22"/>
          <w:szCs w:val="22"/>
        </w:rPr>
        <w:t xml:space="preserve"> 31 (1981)</w:t>
      </w:r>
      <w:r w:rsidR="0085658E">
        <w:rPr>
          <w:rFonts w:ascii="Times New Roman" w:hAnsi="Times New Roman" w:cs="Times New Roman"/>
          <w:sz w:val="22"/>
          <w:szCs w:val="22"/>
        </w:rPr>
        <w:t xml:space="preserve">, </w:t>
      </w:r>
      <w:r w:rsidR="00371830" w:rsidRPr="00047A9D">
        <w:rPr>
          <w:rFonts w:ascii="Times New Roman" w:hAnsi="Times New Roman" w:cs="Times New Roman"/>
          <w:sz w:val="22"/>
          <w:szCs w:val="22"/>
        </w:rPr>
        <w:t>26-27, p.26.</w:t>
      </w:r>
    </w:p>
  </w:footnote>
  <w:footnote w:id="545">
    <w:p w14:paraId="69AE3006" w14:textId="77FD9403" w:rsidR="00371830" w:rsidRPr="00047A9D" w:rsidRDefault="00371830"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A0A71" w:rsidRPr="00047A9D">
        <w:rPr>
          <w:rFonts w:ascii="Times New Roman" w:hAnsi="Times New Roman" w:cs="Times New Roman"/>
          <w:sz w:val="22"/>
          <w:szCs w:val="22"/>
        </w:rPr>
        <w:t>Warnes, ‘Home-brewed Textbook’, p.26</w:t>
      </w:r>
      <w:r w:rsidR="007E2F69" w:rsidRPr="00047A9D">
        <w:rPr>
          <w:rFonts w:ascii="Times New Roman" w:hAnsi="Times New Roman" w:cs="Times New Roman"/>
          <w:i/>
          <w:sz w:val="22"/>
          <w:szCs w:val="22"/>
        </w:rPr>
        <w:t>.</w:t>
      </w:r>
    </w:p>
  </w:footnote>
  <w:footnote w:id="546">
    <w:p w14:paraId="5AA7855D" w14:textId="26DD30F8" w:rsidR="005A6FC1" w:rsidRPr="00047A9D" w:rsidRDefault="005A6FC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C7F5B" w:rsidRPr="00047A9D">
        <w:rPr>
          <w:rFonts w:ascii="Times New Roman" w:hAnsi="Times New Roman" w:cs="Times New Roman"/>
          <w:sz w:val="22"/>
          <w:szCs w:val="22"/>
        </w:rPr>
        <w:t>Warnes, ‘Home-brewed Textbook’, p.27.</w:t>
      </w:r>
    </w:p>
  </w:footnote>
  <w:footnote w:id="547">
    <w:p w14:paraId="584ED083" w14:textId="4BBA6A92" w:rsidR="00A665B0" w:rsidRPr="00047A9D" w:rsidRDefault="00A665B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62B01" w:rsidRPr="00047A9D">
        <w:rPr>
          <w:rFonts w:ascii="Times New Roman" w:hAnsi="Times New Roman" w:cs="Times New Roman"/>
          <w:sz w:val="22"/>
          <w:szCs w:val="22"/>
        </w:rPr>
        <w:t xml:space="preserve">‘Fair’s Fair’, </w:t>
      </w:r>
      <w:r w:rsidR="00262B01" w:rsidRPr="00047A9D">
        <w:rPr>
          <w:rFonts w:ascii="Times New Roman" w:hAnsi="Times New Roman" w:cs="Times New Roman"/>
          <w:i/>
          <w:sz w:val="22"/>
          <w:szCs w:val="22"/>
        </w:rPr>
        <w:t xml:space="preserve">Clio </w:t>
      </w:r>
      <w:r w:rsidR="00262B01" w:rsidRPr="00047A9D">
        <w:rPr>
          <w:rFonts w:ascii="Times New Roman" w:hAnsi="Times New Roman" w:cs="Times New Roman"/>
          <w:sz w:val="22"/>
          <w:szCs w:val="22"/>
        </w:rPr>
        <w:t xml:space="preserve">(Autumn 1976), </w:t>
      </w:r>
      <w:r w:rsidR="006D48BC" w:rsidRPr="00047A9D">
        <w:rPr>
          <w:rFonts w:ascii="Times New Roman" w:hAnsi="Times New Roman" w:cs="Times New Roman"/>
          <w:sz w:val="22"/>
          <w:szCs w:val="22"/>
        </w:rPr>
        <w:t>n.p</w:t>
      </w:r>
      <w:r w:rsidR="00262B01" w:rsidRPr="00047A9D">
        <w:rPr>
          <w:rFonts w:ascii="Times New Roman" w:hAnsi="Times New Roman" w:cs="Times New Roman"/>
          <w:sz w:val="22"/>
          <w:szCs w:val="22"/>
        </w:rPr>
        <w:t>.</w:t>
      </w:r>
    </w:p>
  </w:footnote>
  <w:footnote w:id="548">
    <w:p w14:paraId="26950FDE" w14:textId="204C4F18" w:rsidR="00A665B0" w:rsidRPr="00047A9D" w:rsidRDefault="00A665B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Warnes, ‘Home-brewed Textbook’, p.</w:t>
      </w:r>
      <w:r w:rsidR="004B47F6" w:rsidRPr="00047A9D">
        <w:rPr>
          <w:rFonts w:ascii="Times New Roman" w:hAnsi="Times New Roman" w:cs="Times New Roman"/>
          <w:sz w:val="22"/>
          <w:szCs w:val="22"/>
        </w:rPr>
        <w:t>27.</w:t>
      </w:r>
    </w:p>
  </w:footnote>
  <w:footnote w:id="549">
    <w:p w14:paraId="31D35BC4" w14:textId="76B1CA53" w:rsidR="00385CAC" w:rsidRPr="00047A9D" w:rsidRDefault="00385CA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Edgington, </w:t>
      </w:r>
      <w:r w:rsidR="006166BC" w:rsidRPr="00047A9D">
        <w:rPr>
          <w:rFonts w:ascii="Times New Roman" w:hAnsi="Times New Roman" w:cs="Times New Roman"/>
          <w:i/>
          <w:sz w:val="22"/>
          <w:szCs w:val="22"/>
        </w:rPr>
        <w:t>Role of History</w:t>
      </w:r>
      <w:r w:rsidR="006166BC" w:rsidRPr="00047A9D">
        <w:rPr>
          <w:rFonts w:ascii="Times New Roman" w:hAnsi="Times New Roman" w:cs="Times New Roman"/>
          <w:sz w:val="22"/>
          <w:szCs w:val="22"/>
        </w:rPr>
        <w:t>, p.26.</w:t>
      </w:r>
    </w:p>
  </w:footnote>
  <w:footnote w:id="550">
    <w:p w14:paraId="267FB70E" w14:textId="5769F626" w:rsidR="004937BC" w:rsidRPr="00047A9D" w:rsidRDefault="004937B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018EB" w:rsidRPr="00047A9D">
        <w:rPr>
          <w:rFonts w:ascii="Times New Roman" w:hAnsi="Times New Roman" w:cs="Times New Roman"/>
          <w:sz w:val="22"/>
          <w:szCs w:val="22"/>
        </w:rPr>
        <w:t xml:space="preserve">Dhondy, Beese, and Hassan, </w:t>
      </w:r>
      <w:r w:rsidR="007018EB" w:rsidRPr="00047A9D">
        <w:rPr>
          <w:rFonts w:ascii="Times New Roman" w:hAnsi="Times New Roman" w:cs="Times New Roman"/>
          <w:i/>
          <w:sz w:val="22"/>
          <w:szCs w:val="22"/>
        </w:rPr>
        <w:t xml:space="preserve">Black Explosion, </w:t>
      </w:r>
      <w:r w:rsidR="007018EB" w:rsidRPr="00047A9D">
        <w:rPr>
          <w:rFonts w:ascii="Times New Roman" w:hAnsi="Times New Roman" w:cs="Times New Roman"/>
          <w:sz w:val="22"/>
          <w:szCs w:val="22"/>
        </w:rPr>
        <w:t>p.32.</w:t>
      </w:r>
    </w:p>
  </w:footnote>
  <w:footnote w:id="551">
    <w:p w14:paraId="4E2A4C71" w14:textId="1A4899F0" w:rsidR="00D630A6" w:rsidRPr="00047A9D" w:rsidRDefault="00D630A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85C37" w:rsidRPr="00047A9D">
        <w:rPr>
          <w:rFonts w:ascii="Times New Roman" w:hAnsi="Times New Roman" w:cs="Times New Roman"/>
          <w:sz w:val="22"/>
          <w:szCs w:val="22"/>
        </w:rPr>
        <w:t xml:space="preserve">Nigel File and Donald Hinds, ‘World History at Tulse Hill School’, in Martin Straker-Welds (ed.), </w:t>
      </w:r>
      <w:r w:rsidR="00485C37" w:rsidRPr="00047A9D">
        <w:rPr>
          <w:rFonts w:ascii="Times New Roman" w:hAnsi="Times New Roman" w:cs="Times New Roman"/>
          <w:i/>
          <w:sz w:val="22"/>
          <w:szCs w:val="22"/>
        </w:rPr>
        <w:t>Education for a Multicultural Society: Case Studies in ILEA Schools</w:t>
      </w:r>
      <w:r w:rsidR="00485C37" w:rsidRPr="00047A9D">
        <w:rPr>
          <w:rFonts w:ascii="Times New Roman" w:hAnsi="Times New Roman" w:cs="Times New Roman"/>
          <w:sz w:val="22"/>
          <w:szCs w:val="22"/>
        </w:rPr>
        <w:t xml:space="preserve"> (London: Bell &amp; Hyman, 1984), 84-90</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p.87.</w:t>
      </w:r>
    </w:p>
  </w:footnote>
  <w:footnote w:id="552">
    <w:p w14:paraId="22A9AB70" w14:textId="61415047" w:rsidR="006070F9" w:rsidRPr="00047A9D" w:rsidRDefault="006070F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E1124" w:rsidRPr="00047A9D">
        <w:rPr>
          <w:rFonts w:ascii="Times New Roman" w:hAnsi="Times New Roman" w:cs="Times New Roman"/>
          <w:sz w:val="22"/>
          <w:szCs w:val="22"/>
        </w:rPr>
        <w:t xml:space="preserve">Carter, </w:t>
      </w:r>
      <w:r w:rsidR="00CE1124" w:rsidRPr="00047A9D">
        <w:rPr>
          <w:rFonts w:ascii="Times New Roman" w:hAnsi="Times New Roman" w:cs="Times New Roman"/>
          <w:i/>
          <w:iCs/>
          <w:sz w:val="22"/>
          <w:szCs w:val="22"/>
        </w:rPr>
        <w:t>Histories of Everyday Life</w:t>
      </w:r>
      <w:r w:rsidR="00CE1124" w:rsidRPr="00047A9D">
        <w:rPr>
          <w:rFonts w:ascii="Times New Roman" w:hAnsi="Times New Roman" w:cs="Times New Roman"/>
          <w:sz w:val="22"/>
          <w:szCs w:val="22"/>
        </w:rPr>
        <w:t>, pp.203, 218, 223, 230, 238.</w:t>
      </w:r>
    </w:p>
  </w:footnote>
  <w:footnote w:id="553">
    <w:p w14:paraId="0BC036B7" w14:textId="55B5F626" w:rsidR="00F64B55" w:rsidRPr="00047A9D" w:rsidRDefault="00F64B5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A6CF4" w:rsidRPr="00047A9D">
        <w:rPr>
          <w:rFonts w:ascii="Times New Roman" w:hAnsi="Times New Roman" w:cs="Times New Roman"/>
          <w:sz w:val="22"/>
          <w:szCs w:val="22"/>
        </w:rPr>
        <w:t xml:space="preserve">File and Hinds, ‘World History’, in Straker-Welds (ed.), </w:t>
      </w:r>
      <w:r w:rsidR="000A6CF4" w:rsidRPr="00047A9D">
        <w:rPr>
          <w:rFonts w:ascii="Times New Roman" w:hAnsi="Times New Roman" w:cs="Times New Roman"/>
          <w:i/>
          <w:sz w:val="22"/>
          <w:szCs w:val="22"/>
        </w:rPr>
        <w:t>Education for a Multicultural Society</w:t>
      </w:r>
      <w:r w:rsidR="001E1C0B" w:rsidRPr="00047A9D">
        <w:rPr>
          <w:rFonts w:ascii="Times New Roman" w:hAnsi="Times New Roman" w:cs="Times New Roman"/>
          <w:i/>
          <w:sz w:val="22"/>
          <w:szCs w:val="22"/>
        </w:rPr>
        <w:t xml:space="preserve">, </w:t>
      </w:r>
      <w:r w:rsidR="001E1C0B" w:rsidRPr="00047A9D">
        <w:rPr>
          <w:rFonts w:ascii="Times New Roman" w:hAnsi="Times New Roman" w:cs="Times New Roman"/>
          <w:sz w:val="22"/>
          <w:szCs w:val="22"/>
        </w:rPr>
        <w:t>p</w:t>
      </w:r>
      <w:r w:rsidR="00670C7E" w:rsidRPr="00047A9D">
        <w:rPr>
          <w:rFonts w:ascii="Times New Roman" w:hAnsi="Times New Roman" w:cs="Times New Roman"/>
          <w:sz w:val="22"/>
          <w:szCs w:val="22"/>
        </w:rPr>
        <w:t>p</w:t>
      </w:r>
      <w:r w:rsidR="001E1C0B" w:rsidRPr="00047A9D">
        <w:rPr>
          <w:rFonts w:ascii="Times New Roman" w:hAnsi="Times New Roman" w:cs="Times New Roman"/>
          <w:sz w:val="22"/>
          <w:szCs w:val="22"/>
        </w:rPr>
        <w:t>.84</w:t>
      </w:r>
      <w:r w:rsidR="00A82D40" w:rsidRPr="00047A9D">
        <w:rPr>
          <w:rFonts w:ascii="Times New Roman" w:hAnsi="Times New Roman" w:cs="Times New Roman"/>
          <w:sz w:val="22"/>
          <w:szCs w:val="22"/>
        </w:rPr>
        <w:t>-85</w:t>
      </w:r>
      <w:r w:rsidR="001E1C0B" w:rsidRPr="00047A9D">
        <w:rPr>
          <w:rFonts w:ascii="Times New Roman" w:hAnsi="Times New Roman" w:cs="Times New Roman"/>
          <w:sz w:val="22"/>
          <w:szCs w:val="22"/>
        </w:rPr>
        <w:t>.</w:t>
      </w:r>
    </w:p>
  </w:footnote>
  <w:footnote w:id="554">
    <w:p w14:paraId="025EECAA" w14:textId="0154C259" w:rsidR="001546E0" w:rsidRPr="00047A9D" w:rsidRDefault="001546E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A6CF4" w:rsidRPr="00047A9D">
        <w:rPr>
          <w:rFonts w:ascii="Times New Roman" w:hAnsi="Times New Roman" w:cs="Times New Roman"/>
          <w:sz w:val="22"/>
          <w:szCs w:val="22"/>
        </w:rPr>
        <w:t xml:space="preserve">File and Hinds, ‘World History’, in Straker-Welds (ed.), </w:t>
      </w:r>
      <w:r w:rsidR="000A6CF4" w:rsidRPr="00047A9D">
        <w:rPr>
          <w:rFonts w:ascii="Times New Roman" w:hAnsi="Times New Roman" w:cs="Times New Roman"/>
          <w:i/>
          <w:sz w:val="22"/>
          <w:szCs w:val="22"/>
        </w:rPr>
        <w:t>Education for a Multicultural Society</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p.89.</w:t>
      </w:r>
    </w:p>
  </w:footnote>
  <w:footnote w:id="555">
    <w:p w14:paraId="52BBB7B4" w14:textId="27789FE4" w:rsidR="00434537" w:rsidRPr="00047A9D" w:rsidRDefault="0043453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95DB4" w:rsidRPr="00047A9D">
        <w:rPr>
          <w:rFonts w:ascii="Times New Roman" w:hAnsi="Times New Roman" w:cs="Times New Roman"/>
          <w:sz w:val="22"/>
          <w:szCs w:val="22"/>
        </w:rPr>
        <w:t xml:space="preserve">Nigel File and Chris Power, </w:t>
      </w:r>
      <w:r w:rsidR="006C77C5" w:rsidRPr="00047A9D">
        <w:rPr>
          <w:rFonts w:ascii="Times New Roman" w:hAnsi="Times New Roman" w:cs="Times New Roman"/>
          <w:i/>
          <w:sz w:val="22"/>
          <w:szCs w:val="22"/>
        </w:rPr>
        <w:t>Black Settlers in Britain, 1555-1958</w:t>
      </w:r>
      <w:r w:rsidR="00E749A2" w:rsidRPr="00047A9D">
        <w:rPr>
          <w:rFonts w:ascii="Times New Roman" w:hAnsi="Times New Roman" w:cs="Times New Roman"/>
          <w:i/>
          <w:sz w:val="22"/>
          <w:szCs w:val="22"/>
        </w:rPr>
        <w:t xml:space="preserve"> </w:t>
      </w:r>
      <w:r w:rsidR="00E749A2" w:rsidRPr="00047A9D">
        <w:rPr>
          <w:rFonts w:ascii="Times New Roman" w:hAnsi="Times New Roman" w:cs="Times New Roman"/>
          <w:sz w:val="22"/>
          <w:szCs w:val="22"/>
        </w:rPr>
        <w:t>(London</w:t>
      </w:r>
      <w:r w:rsidR="00E814CE" w:rsidRPr="00047A9D">
        <w:rPr>
          <w:rFonts w:ascii="Times New Roman" w:hAnsi="Times New Roman" w:cs="Times New Roman"/>
          <w:sz w:val="22"/>
          <w:szCs w:val="22"/>
        </w:rPr>
        <w:t>: Heinemann Educational, 1981), p</w:t>
      </w:r>
      <w:r w:rsidR="0044098A" w:rsidRPr="00047A9D">
        <w:rPr>
          <w:rFonts w:ascii="Times New Roman" w:hAnsi="Times New Roman" w:cs="Times New Roman"/>
          <w:sz w:val="22"/>
          <w:szCs w:val="22"/>
        </w:rPr>
        <w:t>.91.</w:t>
      </w:r>
    </w:p>
  </w:footnote>
  <w:footnote w:id="556">
    <w:p w14:paraId="2B260FE2" w14:textId="23475EC2" w:rsidR="00D21F00" w:rsidRPr="00047A9D" w:rsidRDefault="00D21F0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E1C0C" w:rsidRPr="00047A9D">
        <w:rPr>
          <w:rFonts w:ascii="Times New Roman" w:hAnsi="Times New Roman" w:cs="Times New Roman"/>
          <w:sz w:val="22"/>
          <w:szCs w:val="22"/>
        </w:rPr>
        <w:t xml:space="preserve">File and Power, </w:t>
      </w:r>
      <w:r w:rsidR="008E1C0C" w:rsidRPr="00047A9D">
        <w:rPr>
          <w:rFonts w:ascii="Times New Roman" w:hAnsi="Times New Roman" w:cs="Times New Roman"/>
          <w:i/>
          <w:sz w:val="22"/>
          <w:szCs w:val="22"/>
        </w:rPr>
        <w:t>Black Settlers</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w:t>
      </w:r>
      <w:r w:rsidR="00107495" w:rsidRPr="00047A9D">
        <w:rPr>
          <w:rFonts w:ascii="Times New Roman" w:hAnsi="Times New Roman" w:cs="Times New Roman"/>
          <w:sz w:val="22"/>
          <w:szCs w:val="22"/>
        </w:rPr>
        <w:t>p.2</w:t>
      </w:r>
      <w:r w:rsidR="00AD59B0" w:rsidRPr="00047A9D">
        <w:rPr>
          <w:rFonts w:ascii="Times New Roman" w:hAnsi="Times New Roman" w:cs="Times New Roman"/>
          <w:sz w:val="22"/>
          <w:szCs w:val="22"/>
        </w:rPr>
        <w:t xml:space="preserve">, </w:t>
      </w:r>
      <w:r w:rsidR="00107495" w:rsidRPr="00047A9D">
        <w:rPr>
          <w:rFonts w:ascii="Times New Roman" w:hAnsi="Times New Roman" w:cs="Times New Roman"/>
          <w:sz w:val="22"/>
          <w:szCs w:val="22"/>
        </w:rPr>
        <w:t>3</w:t>
      </w:r>
      <w:r w:rsidR="00AD59B0" w:rsidRPr="00047A9D">
        <w:rPr>
          <w:rFonts w:ascii="Times New Roman" w:hAnsi="Times New Roman" w:cs="Times New Roman"/>
          <w:sz w:val="22"/>
          <w:szCs w:val="22"/>
        </w:rPr>
        <w:t>, 58, 61</w:t>
      </w:r>
      <w:r w:rsidR="00107495" w:rsidRPr="00047A9D">
        <w:rPr>
          <w:rFonts w:ascii="Times New Roman" w:hAnsi="Times New Roman" w:cs="Times New Roman"/>
          <w:sz w:val="22"/>
          <w:szCs w:val="22"/>
        </w:rPr>
        <w:t>.</w:t>
      </w:r>
    </w:p>
  </w:footnote>
  <w:footnote w:id="557">
    <w:p w14:paraId="2FEFE30F" w14:textId="1A53D999" w:rsidR="00D21F00" w:rsidRPr="00047A9D" w:rsidRDefault="00D21F0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E1C0C" w:rsidRPr="00047A9D">
        <w:rPr>
          <w:rFonts w:ascii="Times New Roman" w:hAnsi="Times New Roman" w:cs="Times New Roman"/>
          <w:sz w:val="22"/>
          <w:szCs w:val="22"/>
        </w:rPr>
        <w:t xml:space="preserve">File and Power, </w:t>
      </w:r>
      <w:r w:rsidR="008E1C0C" w:rsidRPr="00047A9D">
        <w:rPr>
          <w:rFonts w:ascii="Times New Roman" w:hAnsi="Times New Roman" w:cs="Times New Roman"/>
          <w:i/>
          <w:sz w:val="22"/>
          <w:szCs w:val="22"/>
        </w:rPr>
        <w:t>Black Settlers</w:t>
      </w:r>
      <w:r w:rsidR="00284814" w:rsidRPr="00047A9D">
        <w:rPr>
          <w:rFonts w:ascii="Times New Roman" w:hAnsi="Times New Roman" w:cs="Times New Roman"/>
          <w:i/>
          <w:sz w:val="22"/>
          <w:szCs w:val="22"/>
        </w:rPr>
        <w:t xml:space="preserve">, </w:t>
      </w:r>
      <w:r w:rsidR="00284814" w:rsidRPr="00047A9D">
        <w:rPr>
          <w:rFonts w:ascii="Times New Roman" w:hAnsi="Times New Roman" w:cs="Times New Roman"/>
          <w:sz w:val="22"/>
          <w:szCs w:val="22"/>
        </w:rPr>
        <w:t>p.</w:t>
      </w:r>
      <w:r w:rsidR="0042184A" w:rsidRPr="00047A9D">
        <w:rPr>
          <w:rFonts w:ascii="Times New Roman" w:hAnsi="Times New Roman" w:cs="Times New Roman"/>
          <w:sz w:val="22"/>
          <w:szCs w:val="22"/>
        </w:rPr>
        <w:t>iv</w:t>
      </w:r>
      <w:r w:rsidR="0085658E">
        <w:rPr>
          <w:rFonts w:ascii="Times New Roman" w:hAnsi="Times New Roman" w:cs="Times New Roman"/>
          <w:sz w:val="22"/>
          <w:szCs w:val="22"/>
        </w:rPr>
        <w:t>.</w:t>
      </w:r>
    </w:p>
  </w:footnote>
  <w:footnote w:id="558">
    <w:p w14:paraId="01CC9BB0" w14:textId="103D9A29" w:rsidR="007D1716" w:rsidRPr="00047A9D" w:rsidRDefault="007D171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67144" w:rsidRPr="00047A9D">
        <w:rPr>
          <w:rFonts w:ascii="Times New Roman" w:hAnsi="Times New Roman" w:cs="Times New Roman"/>
          <w:sz w:val="22"/>
          <w:szCs w:val="22"/>
        </w:rPr>
        <w:t xml:space="preserve">File and Power, </w:t>
      </w:r>
      <w:r w:rsidR="00A67144" w:rsidRPr="00047A9D">
        <w:rPr>
          <w:rFonts w:ascii="Times New Roman" w:hAnsi="Times New Roman" w:cs="Times New Roman"/>
          <w:i/>
          <w:sz w:val="22"/>
          <w:szCs w:val="22"/>
        </w:rPr>
        <w:t>Black Settlers</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w:t>
      </w:r>
      <w:r w:rsidR="00E1572C" w:rsidRPr="00047A9D">
        <w:rPr>
          <w:rFonts w:ascii="Times New Roman" w:hAnsi="Times New Roman" w:cs="Times New Roman"/>
          <w:sz w:val="22"/>
          <w:szCs w:val="22"/>
        </w:rPr>
        <w:t>86.</w:t>
      </w:r>
    </w:p>
  </w:footnote>
  <w:footnote w:id="559">
    <w:p w14:paraId="64A5A7D1" w14:textId="2B632867" w:rsidR="007D1716" w:rsidRPr="00047A9D" w:rsidRDefault="007D171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67144" w:rsidRPr="00047A9D">
        <w:rPr>
          <w:rFonts w:ascii="Times New Roman" w:hAnsi="Times New Roman" w:cs="Times New Roman"/>
          <w:sz w:val="22"/>
          <w:szCs w:val="22"/>
        </w:rPr>
        <w:t xml:space="preserve">File and Power, </w:t>
      </w:r>
      <w:r w:rsidR="00A67144" w:rsidRPr="00047A9D">
        <w:rPr>
          <w:rFonts w:ascii="Times New Roman" w:hAnsi="Times New Roman" w:cs="Times New Roman"/>
          <w:i/>
          <w:sz w:val="22"/>
          <w:szCs w:val="22"/>
        </w:rPr>
        <w:t>Black Settlers</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w:t>
      </w:r>
      <w:r w:rsidR="00462597" w:rsidRPr="00047A9D">
        <w:rPr>
          <w:rFonts w:ascii="Times New Roman" w:hAnsi="Times New Roman" w:cs="Times New Roman"/>
          <w:sz w:val="22"/>
          <w:szCs w:val="22"/>
        </w:rPr>
        <w:t>92.</w:t>
      </w:r>
    </w:p>
  </w:footnote>
  <w:footnote w:id="560">
    <w:p w14:paraId="3B51ABB1" w14:textId="574EE412" w:rsidR="00D459DB" w:rsidRPr="00047A9D" w:rsidRDefault="00D459D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E7F34" w:rsidRPr="00047A9D">
        <w:rPr>
          <w:rFonts w:ascii="Times New Roman" w:hAnsi="Times New Roman" w:cs="Times New Roman"/>
          <w:sz w:val="22"/>
          <w:szCs w:val="22"/>
        </w:rPr>
        <w:t xml:space="preserve">E.P. Thompson, </w:t>
      </w:r>
      <w:r w:rsidR="001E7F34" w:rsidRPr="00047A9D">
        <w:rPr>
          <w:rFonts w:ascii="Times New Roman" w:hAnsi="Times New Roman" w:cs="Times New Roman"/>
          <w:i/>
          <w:sz w:val="22"/>
          <w:szCs w:val="22"/>
        </w:rPr>
        <w:t>The Making of the English Working Class</w:t>
      </w:r>
      <w:r w:rsidR="001E7F34" w:rsidRPr="00047A9D">
        <w:rPr>
          <w:rFonts w:ascii="Times New Roman" w:hAnsi="Times New Roman" w:cs="Times New Roman"/>
          <w:sz w:val="22"/>
          <w:szCs w:val="22"/>
        </w:rPr>
        <w:t>, 3rd edn</w:t>
      </w:r>
      <w:r w:rsidR="00C60135" w:rsidRPr="00047A9D">
        <w:rPr>
          <w:rFonts w:ascii="Times New Roman" w:hAnsi="Times New Roman" w:cs="Times New Roman"/>
          <w:sz w:val="22"/>
          <w:szCs w:val="22"/>
        </w:rPr>
        <w:t xml:space="preserve"> (London: Penguin, 1980), p.12.</w:t>
      </w:r>
    </w:p>
  </w:footnote>
  <w:footnote w:id="561">
    <w:p w14:paraId="16145C26" w14:textId="650CAE64" w:rsidR="00976F85" w:rsidRPr="00047A9D" w:rsidRDefault="00976F85" w:rsidP="00D839D4">
      <w:pPr>
        <w:pStyle w:val="FootnoteText"/>
        <w:spacing w:line="360" w:lineRule="auto"/>
        <w:rPr>
          <w:rFonts w:ascii="Times New Roman" w:hAnsi="Times New Roman" w:cs="Times New Roman"/>
          <w:sz w:val="22"/>
          <w:szCs w:val="22"/>
          <w:u w:val="single"/>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E6C80" w:rsidRPr="00047A9D">
        <w:rPr>
          <w:rFonts w:ascii="Times New Roman" w:hAnsi="Times New Roman" w:cs="Times New Roman"/>
          <w:sz w:val="22"/>
          <w:szCs w:val="22"/>
        </w:rPr>
        <w:t xml:space="preserve">File and Power, </w:t>
      </w:r>
      <w:r w:rsidR="001E6C80" w:rsidRPr="00047A9D">
        <w:rPr>
          <w:rFonts w:ascii="Times New Roman" w:hAnsi="Times New Roman" w:cs="Times New Roman"/>
          <w:i/>
          <w:sz w:val="22"/>
          <w:szCs w:val="22"/>
        </w:rPr>
        <w:t xml:space="preserve">Black Settlers, </w:t>
      </w:r>
      <w:r w:rsidR="001E6C80" w:rsidRPr="00047A9D">
        <w:rPr>
          <w:rFonts w:ascii="Times New Roman" w:hAnsi="Times New Roman" w:cs="Times New Roman"/>
          <w:sz w:val="22"/>
          <w:szCs w:val="22"/>
        </w:rPr>
        <w:t>p.92.</w:t>
      </w:r>
    </w:p>
  </w:footnote>
  <w:footnote w:id="562">
    <w:p w14:paraId="1B8CF9AA" w14:textId="72218D42" w:rsidR="00E316E8" w:rsidRPr="00047A9D" w:rsidRDefault="00E316E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File and Hinds, ‘World History’, in Straker-Welds (ed.), </w:t>
      </w:r>
      <w:r w:rsidRPr="00047A9D">
        <w:rPr>
          <w:rFonts w:ascii="Times New Roman" w:hAnsi="Times New Roman" w:cs="Times New Roman"/>
          <w:i/>
          <w:sz w:val="22"/>
          <w:szCs w:val="22"/>
        </w:rPr>
        <w:t xml:space="preserve">Education for a Multicultural Society, </w:t>
      </w:r>
      <w:r w:rsidRPr="00047A9D">
        <w:rPr>
          <w:rFonts w:ascii="Times New Roman" w:hAnsi="Times New Roman" w:cs="Times New Roman"/>
          <w:sz w:val="22"/>
          <w:szCs w:val="22"/>
        </w:rPr>
        <w:t>p.87.</w:t>
      </w:r>
    </w:p>
  </w:footnote>
  <w:footnote w:id="563">
    <w:p w14:paraId="43435CA5" w14:textId="0A7B0721" w:rsidR="006F364E" w:rsidRPr="00047A9D" w:rsidRDefault="006F364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560E5" w:rsidRPr="00047A9D">
        <w:rPr>
          <w:rFonts w:ascii="Times New Roman" w:hAnsi="Times New Roman" w:cs="Times New Roman"/>
          <w:sz w:val="22"/>
          <w:szCs w:val="22"/>
        </w:rPr>
        <w:t xml:space="preserve">Peter Traves, ‘Humanities in Hackney Downs School’, in Straker-Welds (ed.), </w:t>
      </w:r>
      <w:r w:rsidR="00D560E5" w:rsidRPr="00047A9D">
        <w:rPr>
          <w:rFonts w:ascii="Times New Roman" w:hAnsi="Times New Roman" w:cs="Times New Roman"/>
          <w:i/>
          <w:sz w:val="22"/>
          <w:szCs w:val="22"/>
        </w:rPr>
        <w:t xml:space="preserve">Education for a Multicultural Society, </w:t>
      </w:r>
      <w:r w:rsidR="00D560E5" w:rsidRPr="00047A9D">
        <w:rPr>
          <w:rFonts w:ascii="Times New Roman" w:hAnsi="Times New Roman" w:cs="Times New Roman"/>
          <w:sz w:val="22"/>
          <w:szCs w:val="22"/>
        </w:rPr>
        <w:t>p.81.</w:t>
      </w:r>
    </w:p>
  </w:footnote>
  <w:footnote w:id="564">
    <w:p w14:paraId="5167615B" w14:textId="6CFF2034" w:rsidR="001776C6" w:rsidRPr="00047A9D" w:rsidRDefault="001776C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443E1" w:rsidRPr="00047A9D">
        <w:rPr>
          <w:rFonts w:ascii="Times New Roman" w:hAnsi="Times New Roman" w:cs="Times New Roman"/>
          <w:sz w:val="22"/>
          <w:szCs w:val="22"/>
        </w:rPr>
        <w:t xml:space="preserve">Sylvia L. Collicott, </w:t>
      </w:r>
      <w:r w:rsidR="00A644E9" w:rsidRPr="00047A9D">
        <w:rPr>
          <w:rFonts w:ascii="Times New Roman" w:hAnsi="Times New Roman" w:cs="Times New Roman"/>
          <w:sz w:val="22"/>
          <w:szCs w:val="22"/>
        </w:rPr>
        <w:t>‘</w:t>
      </w:r>
      <w:r w:rsidR="00A443E1" w:rsidRPr="00047A9D">
        <w:rPr>
          <w:rFonts w:ascii="Times New Roman" w:hAnsi="Times New Roman" w:cs="Times New Roman"/>
          <w:sz w:val="22"/>
          <w:szCs w:val="22"/>
        </w:rPr>
        <w:t>The Resourceful History Teacher: A look at the Use of History Resources in the Classroom</w:t>
      </w:r>
      <w:r w:rsidR="00A644E9" w:rsidRPr="00047A9D">
        <w:rPr>
          <w:rFonts w:ascii="Times New Roman" w:hAnsi="Times New Roman" w:cs="Times New Roman"/>
          <w:sz w:val="22"/>
          <w:szCs w:val="22"/>
        </w:rPr>
        <w:t xml:space="preserve">’, </w:t>
      </w:r>
      <w:r w:rsidR="004E69FB" w:rsidRPr="00047A9D">
        <w:rPr>
          <w:rFonts w:ascii="Times New Roman" w:hAnsi="Times New Roman" w:cs="Times New Roman"/>
          <w:i/>
          <w:sz w:val="22"/>
          <w:szCs w:val="22"/>
        </w:rPr>
        <w:t>Clio: Anti-Racist Issue</w:t>
      </w:r>
      <w:r w:rsidR="004E69FB" w:rsidRPr="00047A9D">
        <w:rPr>
          <w:rFonts w:ascii="Times New Roman" w:hAnsi="Times New Roman" w:cs="Times New Roman"/>
          <w:sz w:val="22"/>
          <w:szCs w:val="22"/>
        </w:rPr>
        <w:t xml:space="preserve"> 6</w:t>
      </w:r>
      <w:r w:rsidR="002D09D6" w:rsidRPr="00047A9D">
        <w:rPr>
          <w:rFonts w:ascii="Times New Roman" w:hAnsi="Times New Roman" w:cs="Times New Roman"/>
          <w:sz w:val="22"/>
          <w:szCs w:val="22"/>
        </w:rPr>
        <w:t>.</w:t>
      </w:r>
      <w:r w:rsidR="004E69FB" w:rsidRPr="00047A9D">
        <w:rPr>
          <w:rFonts w:ascii="Times New Roman" w:hAnsi="Times New Roman" w:cs="Times New Roman"/>
          <w:sz w:val="22"/>
          <w:szCs w:val="22"/>
        </w:rPr>
        <w:t>1 (Spring 1986), 1-6, p.4</w:t>
      </w:r>
      <w:r w:rsidR="002D09D6" w:rsidRPr="00047A9D">
        <w:rPr>
          <w:rFonts w:ascii="Times New Roman" w:hAnsi="Times New Roman" w:cs="Times New Roman"/>
          <w:sz w:val="22"/>
          <w:szCs w:val="22"/>
        </w:rPr>
        <w:t>.</w:t>
      </w:r>
    </w:p>
  </w:footnote>
  <w:footnote w:id="565">
    <w:p w14:paraId="189DFDE5" w14:textId="36C7E89A" w:rsidR="00307A3A" w:rsidRPr="00047A9D" w:rsidRDefault="00307A3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Collicott’s own extensive research into Haringey’s colonial entanglements were published as</w:t>
      </w:r>
      <w:r w:rsidRPr="00047A9D">
        <w:rPr>
          <w:rFonts w:ascii="Times New Roman" w:hAnsi="Times New Roman" w:cs="Times New Roman"/>
          <w:i/>
          <w:sz w:val="22"/>
          <w:szCs w:val="22"/>
        </w:rPr>
        <w:t xml:space="preserve"> Connections: Local-National-World Links</w:t>
      </w:r>
      <w:r w:rsidRPr="00047A9D">
        <w:rPr>
          <w:rFonts w:ascii="Times New Roman" w:hAnsi="Times New Roman" w:cs="Times New Roman"/>
          <w:sz w:val="22"/>
          <w:szCs w:val="22"/>
        </w:rPr>
        <w:t xml:space="preserve"> (Haringey Community Information Service and the Multi-Cultural Curriculum Support Group: London, 1986). The research was supported several familiar names, including Len Garrison and Paul McGilchrist (both involved in the BEM via ACER), and Chris Power (formerly of Tulse Hill, later an advisor to Haringey Borough on multiculturalism).</w:t>
      </w:r>
    </w:p>
  </w:footnote>
  <w:footnote w:id="566">
    <w:p w14:paraId="7EEBD917" w14:textId="0CEDFD43" w:rsidR="0038358E" w:rsidRPr="00047A9D" w:rsidRDefault="0038358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92794" w:rsidRPr="00047A9D">
        <w:rPr>
          <w:rFonts w:ascii="Times New Roman" w:hAnsi="Times New Roman" w:cs="Times New Roman"/>
          <w:sz w:val="22"/>
          <w:szCs w:val="22"/>
        </w:rPr>
        <w:t>Transcript</w:t>
      </w:r>
      <w:r w:rsidR="00507CED" w:rsidRPr="00047A9D">
        <w:rPr>
          <w:rFonts w:ascii="Times New Roman" w:hAnsi="Times New Roman" w:cs="Times New Roman"/>
          <w:sz w:val="22"/>
          <w:szCs w:val="22"/>
        </w:rPr>
        <w:t xml:space="preserve"> of interview with </w:t>
      </w:r>
      <w:r w:rsidR="00F92794" w:rsidRPr="00047A9D">
        <w:rPr>
          <w:rFonts w:ascii="Times New Roman" w:hAnsi="Times New Roman" w:cs="Times New Roman"/>
          <w:sz w:val="22"/>
          <w:szCs w:val="22"/>
        </w:rPr>
        <w:t>Patricia Anne Dawson,</w:t>
      </w:r>
      <w:r w:rsidR="004C3899" w:rsidRPr="00047A9D">
        <w:rPr>
          <w:rFonts w:ascii="Times New Roman" w:hAnsi="Times New Roman" w:cs="Times New Roman"/>
          <w:sz w:val="22"/>
          <w:szCs w:val="22"/>
        </w:rPr>
        <w:t xml:space="preserve"> pp.18-19. Interviewed by </w:t>
      </w:r>
      <w:r w:rsidR="00E15E8E" w:rsidRPr="00047A9D">
        <w:rPr>
          <w:rFonts w:ascii="Times New Roman" w:hAnsi="Times New Roman" w:cs="Times New Roman"/>
          <w:sz w:val="22"/>
          <w:szCs w:val="22"/>
        </w:rPr>
        <w:t xml:space="preserve">Dr Nicola Sheldon, </w:t>
      </w:r>
      <w:r w:rsidR="00F92794" w:rsidRPr="00047A9D">
        <w:rPr>
          <w:rFonts w:ascii="Times New Roman" w:hAnsi="Times New Roman" w:cs="Times New Roman"/>
          <w:sz w:val="22"/>
          <w:szCs w:val="22"/>
        </w:rPr>
        <w:t>12 April 2010</w:t>
      </w:r>
      <w:r w:rsidR="00E15E8E" w:rsidRPr="00047A9D">
        <w:rPr>
          <w:rFonts w:ascii="Times New Roman" w:hAnsi="Times New Roman" w:cs="Times New Roman"/>
          <w:sz w:val="22"/>
          <w:szCs w:val="22"/>
        </w:rPr>
        <w:t>.</w:t>
      </w:r>
      <w:r w:rsidR="00FC24C4" w:rsidRPr="00047A9D">
        <w:rPr>
          <w:rFonts w:ascii="Times New Roman" w:hAnsi="Times New Roman" w:cs="Times New Roman"/>
          <w:sz w:val="22"/>
          <w:szCs w:val="22"/>
        </w:rPr>
        <w:t xml:space="preserve"> Institute of Historical Research (IHR): ‘History in Education Project’ (hereafter ‘HiEP’). Transcribed by</w:t>
      </w:r>
      <w:r w:rsidR="004E0720" w:rsidRPr="00047A9D">
        <w:rPr>
          <w:rFonts w:ascii="Times New Roman" w:hAnsi="Times New Roman" w:cs="Times New Roman"/>
          <w:sz w:val="22"/>
          <w:szCs w:val="22"/>
        </w:rPr>
        <w:t xml:space="preserve"> PageSix Transcription Services</w:t>
      </w:r>
      <w:r w:rsidR="00FC24C4" w:rsidRPr="00047A9D">
        <w:rPr>
          <w:rFonts w:ascii="Times New Roman" w:hAnsi="Times New Roman" w:cs="Times New Roman"/>
          <w:sz w:val="22"/>
          <w:szCs w:val="22"/>
        </w:rPr>
        <w:t xml:space="preserve">. </w:t>
      </w:r>
      <w:r w:rsidR="00072533" w:rsidRPr="00047A9D">
        <w:rPr>
          <w:rFonts w:ascii="Times New Roman" w:hAnsi="Times New Roman" w:cs="Times New Roman"/>
          <w:sz w:val="22"/>
          <w:szCs w:val="22"/>
        </w:rPr>
        <w:t>&lt;</w:t>
      </w:r>
      <w:r w:rsidR="000F2F62" w:rsidRPr="00047A9D">
        <w:rPr>
          <w:rFonts w:ascii="Times New Roman" w:hAnsi="Times New Roman" w:cs="Times New Roman"/>
          <w:sz w:val="22"/>
          <w:szCs w:val="22"/>
        </w:rPr>
        <w:t>https://archives.history.ac.uk/history-in-education/browse/interviews/interview-patricia-dawson-12-april-2010.html</w:t>
      </w:r>
      <w:r w:rsidR="00072533" w:rsidRPr="00047A9D">
        <w:rPr>
          <w:rFonts w:ascii="Times New Roman" w:hAnsi="Times New Roman" w:cs="Times New Roman"/>
          <w:sz w:val="22"/>
          <w:szCs w:val="22"/>
        </w:rPr>
        <w:t>&gt; [</w:t>
      </w:r>
      <w:r w:rsidR="00FC24C4" w:rsidRPr="00047A9D">
        <w:rPr>
          <w:rFonts w:ascii="Times New Roman" w:hAnsi="Times New Roman" w:cs="Times New Roman"/>
          <w:sz w:val="22"/>
          <w:szCs w:val="22"/>
        </w:rPr>
        <w:t xml:space="preserve">last </w:t>
      </w:r>
      <w:r w:rsidR="00072533" w:rsidRPr="00047A9D">
        <w:rPr>
          <w:rFonts w:ascii="Times New Roman" w:hAnsi="Times New Roman" w:cs="Times New Roman"/>
          <w:sz w:val="22"/>
          <w:szCs w:val="22"/>
        </w:rPr>
        <w:t>accessed 12 January 2024]</w:t>
      </w:r>
      <w:r w:rsidR="008E1B74" w:rsidRPr="00047A9D">
        <w:rPr>
          <w:rFonts w:ascii="Times New Roman" w:hAnsi="Times New Roman" w:cs="Times New Roman"/>
          <w:sz w:val="22"/>
          <w:szCs w:val="22"/>
        </w:rPr>
        <w:t>.</w:t>
      </w:r>
    </w:p>
  </w:footnote>
  <w:footnote w:id="567">
    <w:p w14:paraId="60AA618F" w14:textId="2BE5C4C3" w:rsidR="0004557B" w:rsidRPr="00047A9D" w:rsidRDefault="0004557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67448" w:rsidRPr="00047A9D">
        <w:rPr>
          <w:rFonts w:ascii="Times New Roman" w:hAnsi="Times New Roman" w:cs="Times New Roman"/>
          <w:sz w:val="22"/>
          <w:szCs w:val="22"/>
        </w:rPr>
        <w:t xml:space="preserve">Elyse Dodgson, ‘Drama for a Multicultural Society’, in Straker-Welds (ed.), </w:t>
      </w:r>
      <w:r w:rsidR="00C67448" w:rsidRPr="00047A9D">
        <w:rPr>
          <w:rFonts w:ascii="Times New Roman" w:hAnsi="Times New Roman" w:cs="Times New Roman"/>
          <w:i/>
          <w:sz w:val="22"/>
          <w:szCs w:val="22"/>
        </w:rPr>
        <w:t>Education for a Multicultural Society,</w:t>
      </w:r>
      <w:r w:rsidR="00C67448" w:rsidRPr="00047A9D">
        <w:rPr>
          <w:rFonts w:ascii="Times New Roman" w:hAnsi="Times New Roman" w:cs="Times New Roman"/>
          <w:sz w:val="22"/>
          <w:szCs w:val="22"/>
        </w:rPr>
        <w:t xml:space="preserve"> p</w:t>
      </w:r>
      <w:r w:rsidR="005A1837" w:rsidRPr="00047A9D">
        <w:rPr>
          <w:rFonts w:ascii="Times New Roman" w:hAnsi="Times New Roman" w:cs="Times New Roman"/>
          <w:sz w:val="22"/>
          <w:szCs w:val="22"/>
        </w:rPr>
        <w:t>p</w:t>
      </w:r>
      <w:r w:rsidR="00535EFB" w:rsidRPr="00047A9D">
        <w:rPr>
          <w:rFonts w:ascii="Times New Roman" w:hAnsi="Times New Roman" w:cs="Times New Roman"/>
          <w:sz w:val="22"/>
          <w:szCs w:val="22"/>
        </w:rPr>
        <w:t>.131</w:t>
      </w:r>
      <w:r w:rsidR="005A1837" w:rsidRPr="00047A9D">
        <w:rPr>
          <w:rFonts w:ascii="Times New Roman" w:hAnsi="Times New Roman" w:cs="Times New Roman"/>
          <w:sz w:val="22"/>
          <w:szCs w:val="22"/>
        </w:rPr>
        <w:t>-3</w:t>
      </w:r>
      <w:r w:rsidR="00340F45" w:rsidRPr="00047A9D">
        <w:rPr>
          <w:rFonts w:ascii="Times New Roman" w:hAnsi="Times New Roman" w:cs="Times New Roman"/>
          <w:sz w:val="22"/>
          <w:szCs w:val="22"/>
        </w:rPr>
        <w:t>3</w:t>
      </w:r>
      <w:r w:rsidR="00C67448" w:rsidRPr="00047A9D">
        <w:rPr>
          <w:rFonts w:ascii="Times New Roman" w:hAnsi="Times New Roman" w:cs="Times New Roman"/>
          <w:sz w:val="22"/>
          <w:szCs w:val="22"/>
        </w:rPr>
        <w:t>.</w:t>
      </w:r>
    </w:p>
  </w:footnote>
  <w:footnote w:id="568">
    <w:p w14:paraId="7B3820BD" w14:textId="17396E3E" w:rsidR="0075277B" w:rsidRPr="00047A9D" w:rsidRDefault="0075277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956F3" w:rsidRPr="00047A9D">
        <w:rPr>
          <w:rFonts w:ascii="Times New Roman" w:hAnsi="Times New Roman" w:cs="Times New Roman"/>
          <w:sz w:val="22"/>
          <w:szCs w:val="22"/>
        </w:rPr>
        <w:t>I</w:t>
      </w:r>
      <w:r w:rsidR="00C72264" w:rsidRPr="00047A9D">
        <w:rPr>
          <w:rFonts w:ascii="Times New Roman" w:hAnsi="Times New Roman" w:cs="Times New Roman"/>
          <w:sz w:val="22"/>
          <w:szCs w:val="22"/>
        </w:rPr>
        <w:t>n 1983, V</w:t>
      </w:r>
      <w:r w:rsidRPr="00047A9D">
        <w:rPr>
          <w:rFonts w:ascii="Times New Roman" w:hAnsi="Times New Roman" w:cs="Times New Roman"/>
          <w:sz w:val="22"/>
          <w:szCs w:val="22"/>
        </w:rPr>
        <w:t xml:space="preserve">auxhall Manor </w:t>
      </w:r>
      <w:r w:rsidR="00C72264" w:rsidRPr="00047A9D">
        <w:rPr>
          <w:rFonts w:ascii="Times New Roman" w:hAnsi="Times New Roman" w:cs="Times New Roman"/>
          <w:sz w:val="22"/>
          <w:szCs w:val="22"/>
        </w:rPr>
        <w:t>would</w:t>
      </w:r>
      <w:r w:rsidRPr="00047A9D">
        <w:rPr>
          <w:rFonts w:ascii="Times New Roman" w:hAnsi="Times New Roman" w:cs="Times New Roman"/>
          <w:sz w:val="22"/>
          <w:szCs w:val="22"/>
        </w:rPr>
        <w:t xml:space="preserve"> be amalgamated with </w:t>
      </w:r>
      <w:r w:rsidR="0096287C" w:rsidRPr="00047A9D">
        <w:rPr>
          <w:rFonts w:ascii="Times New Roman" w:hAnsi="Times New Roman" w:cs="Times New Roman"/>
          <w:sz w:val="22"/>
          <w:szCs w:val="22"/>
        </w:rPr>
        <w:t xml:space="preserve">a local boys’ school to become Lilian Baylis School. </w:t>
      </w:r>
      <w:r w:rsidR="00C72264" w:rsidRPr="00047A9D">
        <w:rPr>
          <w:rFonts w:ascii="Times New Roman" w:hAnsi="Times New Roman" w:cs="Times New Roman"/>
          <w:sz w:val="22"/>
          <w:szCs w:val="22"/>
        </w:rPr>
        <w:t>Lilian Baylis</w:t>
      </w:r>
      <w:r w:rsidR="00F20016" w:rsidRPr="00047A9D">
        <w:rPr>
          <w:rFonts w:ascii="Times New Roman" w:hAnsi="Times New Roman" w:cs="Times New Roman"/>
          <w:sz w:val="22"/>
          <w:szCs w:val="22"/>
        </w:rPr>
        <w:t xml:space="preserve"> </w:t>
      </w:r>
      <w:r w:rsidR="00C72264" w:rsidRPr="00047A9D">
        <w:rPr>
          <w:rFonts w:ascii="Times New Roman" w:hAnsi="Times New Roman" w:cs="Times New Roman"/>
          <w:sz w:val="22"/>
          <w:szCs w:val="22"/>
        </w:rPr>
        <w:t xml:space="preserve">subsequently developed its own reputation for radical </w:t>
      </w:r>
      <w:r w:rsidR="007C198B" w:rsidRPr="00047A9D">
        <w:rPr>
          <w:rFonts w:ascii="Times New Roman" w:hAnsi="Times New Roman" w:cs="Times New Roman"/>
          <w:sz w:val="22"/>
          <w:szCs w:val="22"/>
        </w:rPr>
        <w:t xml:space="preserve">anti-racist </w:t>
      </w:r>
      <w:r w:rsidR="00C72264" w:rsidRPr="00047A9D">
        <w:rPr>
          <w:rFonts w:ascii="Times New Roman" w:hAnsi="Times New Roman" w:cs="Times New Roman"/>
          <w:sz w:val="22"/>
          <w:szCs w:val="22"/>
        </w:rPr>
        <w:t>educational</w:t>
      </w:r>
      <w:r w:rsidR="007C198B" w:rsidRPr="00047A9D">
        <w:rPr>
          <w:rFonts w:ascii="Times New Roman" w:hAnsi="Times New Roman" w:cs="Times New Roman"/>
          <w:sz w:val="22"/>
          <w:szCs w:val="22"/>
        </w:rPr>
        <w:t xml:space="preserve">, attracting the ire of the right-wing press. See ‘Where Pupils Learn Protest’, </w:t>
      </w:r>
      <w:r w:rsidR="007C198B" w:rsidRPr="00047A9D">
        <w:rPr>
          <w:rFonts w:ascii="Times New Roman" w:hAnsi="Times New Roman" w:cs="Times New Roman"/>
          <w:i/>
          <w:sz w:val="22"/>
          <w:szCs w:val="22"/>
        </w:rPr>
        <w:t>Daily Express</w:t>
      </w:r>
      <w:r w:rsidR="007C198B" w:rsidRPr="00047A9D">
        <w:rPr>
          <w:rFonts w:ascii="Times New Roman" w:hAnsi="Times New Roman" w:cs="Times New Roman"/>
          <w:sz w:val="22"/>
          <w:szCs w:val="22"/>
        </w:rPr>
        <w:t>, 10 June 1986, p.13.</w:t>
      </w:r>
    </w:p>
  </w:footnote>
  <w:footnote w:id="569">
    <w:p w14:paraId="6B08FFD6" w14:textId="08538A5F" w:rsidR="0070626B" w:rsidRPr="00047A9D" w:rsidRDefault="0070626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421D6" w:rsidRPr="00047A9D">
        <w:rPr>
          <w:rFonts w:ascii="Times New Roman" w:hAnsi="Times New Roman" w:cs="Times New Roman"/>
          <w:sz w:val="22"/>
          <w:szCs w:val="22"/>
        </w:rPr>
        <w:t xml:space="preserve">Elyse Dodgson, ‘From Oral History to Drama’, </w:t>
      </w:r>
      <w:r w:rsidR="00D421D6" w:rsidRPr="00047A9D">
        <w:rPr>
          <w:rFonts w:ascii="Times New Roman" w:hAnsi="Times New Roman" w:cs="Times New Roman"/>
          <w:i/>
          <w:sz w:val="22"/>
          <w:szCs w:val="22"/>
        </w:rPr>
        <w:t>Oral History</w:t>
      </w:r>
      <w:r w:rsidR="00D421D6" w:rsidRPr="00047A9D">
        <w:rPr>
          <w:rFonts w:ascii="Times New Roman" w:hAnsi="Times New Roman" w:cs="Times New Roman"/>
          <w:sz w:val="22"/>
          <w:szCs w:val="22"/>
        </w:rPr>
        <w:t xml:space="preserve"> 12.2 (1984), 47–53, p</w:t>
      </w:r>
      <w:r w:rsidR="00B44001" w:rsidRPr="00047A9D">
        <w:rPr>
          <w:rFonts w:ascii="Times New Roman" w:hAnsi="Times New Roman" w:cs="Times New Roman"/>
          <w:sz w:val="22"/>
          <w:szCs w:val="22"/>
        </w:rPr>
        <w:t>p.</w:t>
      </w:r>
      <w:r w:rsidR="00D421D6" w:rsidRPr="00047A9D">
        <w:rPr>
          <w:rFonts w:ascii="Times New Roman" w:hAnsi="Times New Roman" w:cs="Times New Roman"/>
          <w:sz w:val="22"/>
          <w:szCs w:val="22"/>
        </w:rPr>
        <w:t>47</w:t>
      </w:r>
      <w:r w:rsidR="00CB3FC9" w:rsidRPr="00047A9D">
        <w:rPr>
          <w:rFonts w:ascii="Times New Roman" w:hAnsi="Times New Roman" w:cs="Times New Roman"/>
          <w:sz w:val="22"/>
          <w:szCs w:val="22"/>
        </w:rPr>
        <w:t>-4</w:t>
      </w:r>
      <w:r w:rsidR="00B44001" w:rsidRPr="00047A9D">
        <w:rPr>
          <w:rFonts w:ascii="Times New Roman" w:hAnsi="Times New Roman" w:cs="Times New Roman"/>
          <w:sz w:val="22"/>
          <w:szCs w:val="22"/>
        </w:rPr>
        <w:t>9</w:t>
      </w:r>
      <w:r w:rsidR="00D421D6" w:rsidRPr="00047A9D">
        <w:rPr>
          <w:rFonts w:ascii="Times New Roman" w:hAnsi="Times New Roman" w:cs="Times New Roman"/>
          <w:sz w:val="22"/>
          <w:szCs w:val="22"/>
        </w:rPr>
        <w:t>.</w:t>
      </w:r>
    </w:p>
  </w:footnote>
  <w:footnote w:id="570">
    <w:p w14:paraId="16A21C20" w14:textId="7A72C7B5" w:rsidR="00C44353" w:rsidRPr="00047A9D" w:rsidRDefault="00C4435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D363A" w:rsidRPr="00047A9D">
        <w:rPr>
          <w:rFonts w:ascii="Times New Roman" w:hAnsi="Times New Roman" w:cs="Times New Roman"/>
          <w:sz w:val="22"/>
          <w:szCs w:val="22"/>
        </w:rPr>
        <w:t>Dodgson, ‘Drama</w:t>
      </w:r>
      <w:r w:rsidR="00B95723" w:rsidRPr="00047A9D">
        <w:rPr>
          <w:rFonts w:ascii="Times New Roman" w:hAnsi="Times New Roman" w:cs="Times New Roman"/>
          <w:sz w:val="22"/>
          <w:szCs w:val="22"/>
        </w:rPr>
        <w:t>’</w:t>
      </w:r>
      <w:r w:rsidR="001D363A" w:rsidRPr="00047A9D">
        <w:rPr>
          <w:rFonts w:ascii="Times New Roman" w:hAnsi="Times New Roman" w:cs="Times New Roman"/>
          <w:sz w:val="22"/>
          <w:szCs w:val="22"/>
        </w:rPr>
        <w:t xml:space="preserve">, in Straker-Welds (ed.), </w:t>
      </w:r>
      <w:r w:rsidR="001D363A" w:rsidRPr="00047A9D">
        <w:rPr>
          <w:rFonts w:ascii="Times New Roman" w:hAnsi="Times New Roman" w:cs="Times New Roman"/>
          <w:i/>
          <w:sz w:val="22"/>
          <w:szCs w:val="22"/>
        </w:rPr>
        <w:t>Education for a Multicultural Society,</w:t>
      </w:r>
      <w:r w:rsidR="001D363A" w:rsidRPr="00047A9D">
        <w:rPr>
          <w:rFonts w:ascii="Times New Roman" w:hAnsi="Times New Roman" w:cs="Times New Roman"/>
          <w:sz w:val="22"/>
          <w:szCs w:val="22"/>
        </w:rPr>
        <w:t xml:space="preserve"> pp.29-30</w:t>
      </w:r>
      <w:r w:rsidR="0015399B" w:rsidRPr="00047A9D">
        <w:rPr>
          <w:rFonts w:ascii="Times New Roman" w:hAnsi="Times New Roman" w:cs="Times New Roman"/>
          <w:sz w:val="22"/>
          <w:szCs w:val="22"/>
        </w:rPr>
        <w:t>, 33</w:t>
      </w:r>
      <w:r w:rsidR="001D363A" w:rsidRPr="00047A9D">
        <w:rPr>
          <w:rFonts w:ascii="Times New Roman" w:hAnsi="Times New Roman" w:cs="Times New Roman"/>
          <w:sz w:val="22"/>
          <w:szCs w:val="22"/>
        </w:rPr>
        <w:t>.</w:t>
      </w:r>
    </w:p>
  </w:footnote>
  <w:footnote w:id="571">
    <w:p w14:paraId="52117060" w14:textId="4F3D5C2B" w:rsidR="00B558E3" w:rsidRPr="00047A9D" w:rsidRDefault="00B558E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9010A9" w:rsidRPr="00047A9D">
        <w:rPr>
          <w:rFonts w:ascii="Times New Roman" w:hAnsi="Times New Roman" w:cs="Times New Roman"/>
          <w:sz w:val="22"/>
          <w:szCs w:val="22"/>
        </w:rPr>
        <w:t xml:space="preserve"> </w:t>
      </w:r>
      <w:r w:rsidR="00B44B80" w:rsidRPr="00047A9D">
        <w:rPr>
          <w:rFonts w:ascii="Times New Roman" w:hAnsi="Times New Roman" w:cs="Times New Roman"/>
          <w:sz w:val="22"/>
          <w:szCs w:val="22"/>
        </w:rPr>
        <w:t xml:space="preserve">Elyse Dodgson, </w:t>
      </w:r>
      <w:r w:rsidR="0096738A" w:rsidRPr="00047A9D">
        <w:rPr>
          <w:rFonts w:ascii="Times New Roman" w:hAnsi="Times New Roman" w:cs="Times New Roman"/>
          <w:i/>
          <w:sz w:val="22"/>
          <w:szCs w:val="22"/>
        </w:rPr>
        <w:t>Motherland: West Indian women to Britain in the 1950s</w:t>
      </w:r>
      <w:r w:rsidR="00B44B80" w:rsidRPr="00047A9D">
        <w:rPr>
          <w:rFonts w:ascii="Times New Roman" w:hAnsi="Times New Roman" w:cs="Times New Roman"/>
          <w:i/>
          <w:sz w:val="22"/>
          <w:szCs w:val="22"/>
        </w:rPr>
        <w:t xml:space="preserve"> </w:t>
      </w:r>
      <w:r w:rsidR="00B44B80" w:rsidRPr="00047A9D">
        <w:rPr>
          <w:rFonts w:ascii="Times New Roman" w:hAnsi="Times New Roman" w:cs="Times New Roman"/>
          <w:sz w:val="22"/>
          <w:szCs w:val="22"/>
        </w:rPr>
        <w:t>(Oxford: Heinemann Educational, 1984), p.2.</w:t>
      </w:r>
    </w:p>
  </w:footnote>
  <w:footnote w:id="572">
    <w:p w14:paraId="330E7D5F" w14:textId="1DCF70F7" w:rsidR="00C41C4B" w:rsidRPr="00047A9D" w:rsidRDefault="00C41C4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13C30" w:rsidRPr="00047A9D">
        <w:rPr>
          <w:rFonts w:ascii="Times New Roman" w:hAnsi="Times New Roman" w:cs="Times New Roman"/>
          <w:sz w:val="22"/>
          <w:szCs w:val="22"/>
        </w:rPr>
        <w:t xml:space="preserve">The play is also documented in </w:t>
      </w:r>
      <w:r w:rsidR="008F36F1" w:rsidRPr="00047A9D">
        <w:rPr>
          <w:rFonts w:ascii="Times New Roman" w:hAnsi="Times New Roman" w:cs="Times New Roman"/>
          <w:sz w:val="22"/>
          <w:szCs w:val="22"/>
        </w:rPr>
        <w:t>Marcia Arboine</w:t>
      </w:r>
      <w:r w:rsidR="003E2026" w:rsidRPr="00047A9D">
        <w:rPr>
          <w:rFonts w:ascii="Times New Roman" w:hAnsi="Times New Roman" w:cs="Times New Roman"/>
          <w:sz w:val="22"/>
          <w:szCs w:val="22"/>
        </w:rPr>
        <w:t xml:space="preserve"> </w:t>
      </w:r>
      <w:r w:rsidR="003E2026" w:rsidRPr="00047A9D">
        <w:rPr>
          <w:rFonts w:ascii="Times New Roman" w:hAnsi="Times New Roman" w:cs="Times New Roman"/>
          <w:i/>
          <w:sz w:val="22"/>
          <w:szCs w:val="22"/>
        </w:rPr>
        <w:t>et al.</w:t>
      </w:r>
      <w:r w:rsidR="008F36F1" w:rsidRPr="00047A9D">
        <w:rPr>
          <w:rFonts w:ascii="Times New Roman" w:hAnsi="Times New Roman" w:cs="Times New Roman"/>
          <w:i/>
          <w:sz w:val="22"/>
          <w:szCs w:val="22"/>
        </w:rPr>
        <w:t>,</w:t>
      </w:r>
      <w:r w:rsidR="008F36F1" w:rsidRPr="00047A9D">
        <w:rPr>
          <w:rFonts w:ascii="Times New Roman" w:hAnsi="Times New Roman" w:cs="Times New Roman"/>
          <w:sz w:val="22"/>
          <w:szCs w:val="22"/>
        </w:rPr>
        <w:t xml:space="preserve"> ‘Motherland’, </w:t>
      </w:r>
      <w:r w:rsidR="008F36F1" w:rsidRPr="00047A9D">
        <w:rPr>
          <w:rFonts w:ascii="Times New Roman" w:hAnsi="Times New Roman" w:cs="Times New Roman"/>
          <w:i/>
          <w:sz w:val="22"/>
          <w:szCs w:val="22"/>
        </w:rPr>
        <w:t>Ambit</w:t>
      </w:r>
      <w:r w:rsidR="008F36F1" w:rsidRPr="00047A9D">
        <w:rPr>
          <w:rFonts w:ascii="Times New Roman" w:hAnsi="Times New Roman" w:cs="Times New Roman"/>
          <w:sz w:val="22"/>
          <w:szCs w:val="22"/>
        </w:rPr>
        <w:t xml:space="preserve"> </w:t>
      </w:r>
      <w:r w:rsidR="00160046" w:rsidRPr="00047A9D">
        <w:rPr>
          <w:rFonts w:ascii="Times New Roman" w:hAnsi="Times New Roman" w:cs="Times New Roman"/>
          <w:sz w:val="22"/>
          <w:szCs w:val="22"/>
        </w:rPr>
        <w:t xml:space="preserve">19 </w:t>
      </w:r>
      <w:r w:rsidR="008F36F1" w:rsidRPr="00047A9D">
        <w:rPr>
          <w:rFonts w:ascii="Times New Roman" w:hAnsi="Times New Roman" w:cs="Times New Roman"/>
          <w:sz w:val="22"/>
          <w:szCs w:val="22"/>
        </w:rPr>
        <w:t>(1982</w:t>
      </w:r>
      <w:r w:rsidR="00160046" w:rsidRPr="00047A9D">
        <w:rPr>
          <w:rFonts w:ascii="Times New Roman" w:hAnsi="Times New Roman" w:cs="Times New Roman"/>
          <w:sz w:val="22"/>
          <w:szCs w:val="22"/>
        </w:rPr>
        <w:t xml:space="preserve">), </w:t>
      </w:r>
      <w:r w:rsidR="008F36F1" w:rsidRPr="00047A9D">
        <w:rPr>
          <w:rFonts w:ascii="Times New Roman" w:hAnsi="Times New Roman" w:cs="Times New Roman"/>
          <w:sz w:val="22"/>
          <w:szCs w:val="22"/>
        </w:rPr>
        <w:t xml:space="preserve">26-48; and </w:t>
      </w:r>
      <w:r w:rsidR="00B13C30" w:rsidRPr="00047A9D">
        <w:rPr>
          <w:rFonts w:ascii="Times New Roman" w:hAnsi="Times New Roman" w:cs="Times New Roman"/>
          <w:sz w:val="22"/>
          <w:szCs w:val="22"/>
        </w:rPr>
        <w:t xml:space="preserve">Elyse Dodgson, ‘From Oral History to Drama’, </w:t>
      </w:r>
      <w:r w:rsidR="00B13C30" w:rsidRPr="00047A9D">
        <w:rPr>
          <w:rFonts w:ascii="Times New Roman" w:hAnsi="Times New Roman" w:cs="Times New Roman"/>
          <w:i/>
          <w:sz w:val="22"/>
          <w:szCs w:val="22"/>
        </w:rPr>
        <w:t>Oral History</w:t>
      </w:r>
      <w:r w:rsidR="00B13C30" w:rsidRPr="00047A9D">
        <w:rPr>
          <w:rFonts w:ascii="Times New Roman" w:hAnsi="Times New Roman" w:cs="Times New Roman"/>
          <w:sz w:val="22"/>
          <w:szCs w:val="22"/>
        </w:rPr>
        <w:t xml:space="preserve"> </w:t>
      </w:r>
      <w:r w:rsidR="00160046" w:rsidRPr="00047A9D">
        <w:rPr>
          <w:rFonts w:ascii="Times New Roman" w:hAnsi="Times New Roman" w:cs="Times New Roman"/>
          <w:sz w:val="22"/>
          <w:szCs w:val="22"/>
        </w:rPr>
        <w:t xml:space="preserve">12.2 </w:t>
      </w:r>
      <w:r w:rsidR="00B13C30" w:rsidRPr="00047A9D">
        <w:rPr>
          <w:rFonts w:ascii="Times New Roman" w:hAnsi="Times New Roman" w:cs="Times New Roman"/>
          <w:sz w:val="22"/>
          <w:szCs w:val="22"/>
        </w:rPr>
        <w:t>(Autumn 1984), 47-53</w:t>
      </w:r>
      <w:r w:rsidR="0085658E">
        <w:rPr>
          <w:rFonts w:ascii="Times New Roman" w:hAnsi="Times New Roman" w:cs="Times New Roman"/>
          <w:sz w:val="22"/>
          <w:szCs w:val="22"/>
        </w:rPr>
        <w:t>.</w:t>
      </w:r>
    </w:p>
  </w:footnote>
  <w:footnote w:id="573">
    <w:p w14:paraId="06B31EB4" w14:textId="5E6B62E7" w:rsidR="00A617D5" w:rsidRPr="00047A9D" w:rsidRDefault="00A617D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A7689" w:rsidRPr="00047A9D">
        <w:rPr>
          <w:rFonts w:ascii="Times New Roman" w:hAnsi="Times New Roman" w:cs="Times New Roman"/>
          <w:sz w:val="22"/>
          <w:szCs w:val="22"/>
        </w:rPr>
        <w:t>Caroline Adams, ‘“</w:t>
      </w:r>
      <w:r w:rsidRPr="00047A9D">
        <w:rPr>
          <w:rFonts w:ascii="Times New Roman" w:hAnsi="Times New Roman" w:cs="Times New Roman"/>
          <w:sz w:val="22"/>
          <w:szCs w:val="22"/>
        </w:rPr>
        <w:t>Navy men</w:t>
      </w:r>
      <w:r w:rsidR="003A7689" w:rsidRPr="00047A9D">
        <w:rPr>
          <w:rFonts w:ascii="Times New Roman" w:hAnsi="Times New Roman" w:cs="Times New Roman"/>
          <w:sz w:val="22"/>
          <w:szCs w:val="22"/>
        </w:rPr>
        <w:t>”</w:t>
      </w:r>
      <w:r w:rsidRPr="00047A9D">
        <w:rPr>
          <w:rFonts w:ascii="Times New Roman" w:hAnsi="Times New Roman" w:cs="Times New Roman"/>
          <w:sz w:val="22"/>
          <w:szCs w:val="22"/>
        </w:rPr>
        <w:t xml:space="preserve">: Lives of </w:t>
      </w:r>
      <w:r w:rsidR="003A7689" w:rsidRPr="00047A9D">
        <w:rPr>
          <w:rFonts w:ascii="Times New Roman" w:hAnsi="Times New Roman" w:cs="Times New Roman"/>
          <w:sz w:val="22"/>
          <w:szCs w:val="22"/>
        </w:rPr>
        <w:t>E</w:t>
      </w:r>
      <w:r w:rsidRPr="00047A9D">
        <w:rPr>
          <w:rFonts w:ascii="Times New Roman" w:hAnsi="Times New Roman" w:cs="Times New Roman"/>
          <w:sz w:val="22"/>
          <w:szCs w:val="22"/>
        </w:rPr>
        <w:t>arly Bangladeshi Settlers in Britain</w:t>
      </w:r>
      <w:r w:rsidR="003A7689" w:rsidRPr="00047A9D">
        <w:rPr>
          <w:rFonts w:ascii="Times New Roman" w:hAnsi="Times New Roman" w:cs="Times New Roman"/>
          <w:sz w:val="22"/>
          <w:szCs w:val="22"/>
        </w:rPr>
        <w:t>’</w:t>
      </w:r>
      <w:r w:rsidRPr="00047A9D">
        <w:rPr>
          <w:rFonts w:ascii="Times New Roman" w:hAnsi="Times New Roman" w:cs="Times New Roman"/>
          <w:sz w:val="22"/>
          <w:szCs w:val="22"/>
        </w:rPr>
        <w:t xml:space="preserve">, </w:t>
      </w:r>
      <w:r w:rsidR="003A7689" w:rsidRPr="00047A9D">
        <w:rPr>
          <w:rFonts w:ascii="Times New Roman" w:hAnsi="Times New Roman" w:cs="Times New Roman"/>
          <w:i/>
          <w:sz w:val="22"/>
          <w:szCs w:val="22"/>
        </w:rPr>
        <w:t>Clio</w:t>
      </w:r>
      <w:r w:rsidR="003A7689" w:rsidRPr="00047A9D">
        <w:rPr>
          <w:rFonts w:ascii="Times New Roman" w:hAnsi="Times New Roman" w:cs="Times New Roman"/>
          <w:sz w:val="22"/>
          <w:szCs w:val="22"/>
        </w:rPr>
        <w:t xml:space="preserve"> 3</w:t>
      </w:r>
      <w:r w:rsidR="003B68E7" w:rsidRPr="00047A9D">
        <w:rPr>
          <w:rFonts w:ascii="Times New Roman" w:hAnsi="Times New Roman" w:cs="Times New Roman"/>
          <w:sz w:val="22"/>
          <w:szCs w:val="22"/>
        </w:rPr>
        <w:t>.</w:t>
      </w:r>
      <w:r w:rsidR="00175B8C" w:rsidRPr="00047A9D">
        <w:rPr>
          <w:rFonts w:ascii="Times New Roman" w:hAnsi="Times New Roman" w:cs="Times New Roman"/>
          <w:sz w:val="22"/>
          <w:szCs w:val="22"/>
        </w:rPr>
        <w:t>1 (</w:t>
      </w:r>
      <w:r w:rsidR="003A7689" w:rsidRPr="00047A9D">
        <w:rPr>
          <w:rFonts w:ascii="Times New Roman" w:hAnsi="Times New Roman" w:cs="Times New Roman"/>
          <w:sz w:val="22"/>
          <w:szCs w:val="22"/>
        </w:rPr>
        <w:t>Autumn 1982</w:t>
      </w:r>
      <w:r w:rsidR="00175B8C" w:rsidRPr="00047A9D">
        <w:rPr>
          <w:rFonts w:ascii="Times New Roman" w:hAnsi="Times New Roman" w:cs="Times New Roman"/>
          <w:sz w:val="22"/>
          <w:szCs w:val="22"/>
        </w:rPr>
        <w:t xml:space="preserve">), </w:t>
      </w:r>
      <w:r w:rsidRPr="00047A9D">
        <w:rPr>
          <w:rFonts w:ascii="Times New Roman" w:hAnsi="Times New Roman" w:cs="Times New Roman"/>
          <w:sz w:val="22"/>
          <w:szCs w:val="22"/>
        </w:rPr>
        <w:t>pp.30-31.</w:t>
      </w:r>
    </w:p>
  </w:footnote>
  <w:footnote w:id="574">
    <w:p w14:paraId="7A478DD0" w14:textId="1C35990E" w:rsidR="007D395A" w:rsidRPr="00047A9D" w:rsidRDefault="007D395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321F5" w:rsidRPr="00047A9D">
        <w:rPr>
          <w:rFonts w:ascii="Times New Roman" w:hAnsi="Times New Roman" w:cs="Times New Roman"/>
          <w:sz w:val="22"/>
          <w:szCs w:val="22"/>
        </w:rPr>
        <w:t xml:space="preserve">File and Power, </w:t>
      </w:r>
      <w:r w:rsidR="00B321F5" w:rsidRPr="00047A9D">
        <w:rPr>
          <w:rFonts w:ascii="Times New Roman" w:hAnsi="Times New Roman" w:cs="Times New Roman"/>
          <w:i/>
          <w:sz w:val="22"/>
          <w:szCs w:val="22"/>
        </w:rPr>
        <w:t>Black Settlers</w:t>
      </w:r>
      <w:r w:rsidR="00B321F5" w:rsidRPr="00047A9D">
        <w:rPr>
          <w:rFonts w:ascii="Times New Roman" w:hAnsi="Times New Roman" w:cs="Times New Roman"/>
          <w:sz w:val="22"/>
          <w:szCs w:val="22"/>
        </w:rPr>
        <w:t>, p.92.</w:t>
      </w:r>
    </w:p>
  </w:footnote>
  <w:footnote w:id="575">
    <w:p w14:paraId="74AFAECE" w14:textId="45E95438" w:rsidR="00B321F5" w:rsidRPr="00047A9D" w:rsidRDefault="00B321F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8480A" w:rsidRPr="00047A9D">
        <w:rPr>
          <w:rFonts w:ascii="Times New Roman" w:hAnsi="Times New Roman" w:cs="Times New Roman"/>
          <w:sz w:val="22"/>
          <w:szCs w:val="22"/>
        </w:rPr>
        <w:t xml:space="preserve">Carter, </w:t>
      </w:r>
      <w:r w:rsidR="00D8480A" w:rsidRPr="00047A9D">
        <w:rPr>
          <w:rFonts w:ascii="Times New Roman" w:hAnsi="Times New Roman" w:cs="Times New Roman"/>
          <w:i/>
          <w:sz w:val="22"/>
          <w:szCs w:val="22"/>
        </w:rPr>
        <w:t>Histories of Everyday Life</w:t>
      </w:r>
      <w:r w:rsidR="00D8480A" w:rsidRPr="00047A9D">
        <w:rPr>
          <w:rFonts w:ascii="Times New Roman" w:hAnsi="Times New Roman" w:cs="Times New Roman"/>
          <w:sz w:val="22"/>
          <w:szCs w:val="22"/>
        </w:rPr>
        <w:t>, p</w:t>
      </w:r>
      <w:r w:rsidR="00ED0BC3" w:rsidRPr="00047A9D">
        <w:rPr>
          <w:rFonts w:ascii="Times New Roman" w:hAnsi="Times New Roman" w:cs="Times New Roman"/>
          <w:sz w:val="22"/>
          <w:szCs w:val="22"/>
        </w:rPr>
        <w:t>p</w:t>
      </w:r>
      <w:r w:rsidR="00D8480A" w:rsidRPr="00047A9D">
        <w:rPr>
          <w:rFonts w:ascii="Times New Roman" w:hAnsi="Times New Roman" w:cs="Times New Roman"/>
          <w:sz w:val="22"/>
          <w:szCs w:val="22"/>
        </w:rPr>
        <w:t>.</w:t>
      </w:r>
      <w:r w:rsidR="0063333F" w:rsidRPr="00047A9D">
        <w:rPr>
          <w:rFonts w:ascii="Times New Roman" w:hAnsi="Times New Roman" w:cs="Times New Roman"/>
          <w:sz w:val="22"/>
          <w:szCs w:val="22"/>
        </w:rPr>
        <w:t>23</w:t>
      </w:r>
      <w:r w:rsidR="00833239" w:rsidRPr="00047A9D">
        <w:rPr>
          <w:rFonts w:ascii="Times New Roman" w:hAnsi="Times New Roman" w:cs="Times New Roman"/>
          <w:sz w:val="22"/>
          <w:szCs w:val="22"/>
        </w:rPr>
        <w:t>7-3</w:t>
      </w:r>
      <w:r w:rsidR="0063333F" w:rsidRPr="00047A9D">
        <w:rPr>
          <w:rFonts w:ascii="Times New Roman" w:hAnsi="Times New Roman" w:cs="Times New Roman"/>
          <w:sz w:val="22"/>
          <w:szCs w:val="22"/>
        </w:rPr>
        <w:t>8.</w:t>
      </w:r>
    </w:p>
  </w:footnote>
  <w:footnote w:id="576">
    <w:p w14:paraId="1B988DAC" w14:textId="5361942A" w:rsidR="00A643F4" w:rsidRPr="00047A9D" w:rsidRDefault="00A643F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The ILEA chastised schools for this form of teaching </w:t>
      </w:r>
      <w:r w:rsidR="007E7AC0" w:rsidRPr="00047A9D">
        <w:rPr>
          <w:rFonts w:ascii="Times New Roman" w:hAnsi="Times New Roman" w:cs="Times New Roman"/>
          <w:sz w:val="22"/>
          <w:szCs w:val="22"/>
        </w:rPr>
        <w:t xml:space="preserve">but failed to make the connection with multi-cultural education. See ILEA, </w:t>
      </w:r>
      <w:r w:rsidR="007E7AC0" w:rsidRPr="00047A9D">
        <w:rPr>
          <w:rFonts w:ascii="Times New Roman" w:hAnsi="Times New Roman" w:cs="Times New Roman"/>
          <w:i/>
          <w:sz w:val="22"/>
          <w:szCs w:val="22"/>
        </w:rPr>
        <w:t>Race</w:t>
      </w:r>
      <w:r w:rsidR="007E7AC0" w:rsidRPr="00047A9D">
        <w:rPr>
          <w:rFonts w:ascii="Times New Roman" w:hAnsi="Times New Roman" w:cs="Times New Roman"/>
          <w:sz w:val="22"/>
          <w:szCs w:val="22"/>
        </w:rPr>
        <w:t xml:space="preserve">, </w:t>
      </w:r>
      <w:r w:rsidR="007E7AC0" w:rsidRPr="00047A9D">
        <w:rPr>
          <w:rFonts w:ascii="Times New Roman" w:hAnsi="Times New Roman" w:cs="Times New Roman"/>
          <w:i/>
          <w:sz w:val="22"/>
          <w:szCs w:val="22"/>
        </w:rPr>
        <w:t>Sex and Class: 3. A Policy for Equality: Race</w:t>
      </w:r>
      <w:r w:rsidR="007E7AC0" w:rsidRPr="00047A9D">
        <w:rPr>
          <w:rFonts w:ascii="Times New Roman" w:hAnsi="Times New Roman" w:cs="Times New Roman"/>
          <w:sz w:val="22"/>
          <w:szCs w:val="22"/>
        </w:rPr>
        <w:t xml:space="preserve"> (London: ILEA, 1983), p.5.</w:t>
      </w:r>
    </w:p>
  </w:footnote>
  <w:footnote w:id="577">
    <w:p w14:paraId="1B596481" w14:textId="02C88E76" w:rsidR="000F0850" w:rsidRPr="00047A9D" w:rsidRDefault="000F085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Schools Council, </w:t>
      </w:r>
      <w:r w:rsidRPr="00047A9D">
        <w:rPr>
          <w:rFonts w:ascii="Times New Roman" w:hAnsi="Times New Roman" w:cs="Times New Roman"/>
          <w:i/>
          <w:sz w:val="22"/>
          <w:szCs w:val="22"/>
        </w:rPr>
        <w:t>Education for a Multiracial Society</w:t>
      </w:r>
      <w:r w:rsidRPr="00047A9D">
        <w:rPr>
          <w:rFonts w:ascii="Times New Roman" w:hAnsi="Times New Roman" w:cs="Times New Roman"/>
          <w:sz w:val="22"/>
          <w:szCs w:val="22"/>
        </w:rPr>
        <w:t>, pp.</w:t>
      </w:r>
      <w:r w:rsidR="00634BB6" w:rsidRPr="00047A9D">
        <w:rPr>
          <w:rFonts w:ascii="Times New Roman" w:hAnsi="Times New Roman" w:cs="Times New Roman"/>
          <w:sz w:val="22"/>
          <w:szCs w:val="22"/>
        </w:rPr>
        <w:t>80-81.</w:t>
      </w:r>
    </w:p>
  </w:footnote>
  <w:footnote w:id="578">
    <w:p w14:paraId="0FD81DDC" w14:textId="09F009E9" w:rsidR="00634BB6" w:rsidRPr="00047A9D" w:rsidRDefault="00634BB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F6741" w:rsidRPr="00047A9D">
        <w:rPr>
          <w:rFonts w:ascii="Times New Roman" w:hAnsi="Times New Roman" w:cs="Times New Roman"/>
          <w:sz w:val="22"/>
          <w:szCs w:val="22"/>
        </w:rPr>
        <w:t xml:space="preserve">Carter, </w:t>
      </w:r>
      <w:r w:rsidR="00EF6741" w:rsidRPr="00047A9D">
        <w:rPr>
          <w:rFonts w:ascii="Times New Roman" w:hAnsi="Times New Roman" w:cs="Times New Roman"/>
          <w:i/>
          <w:sz w:val="22"/>
          <w:szCs w:val="22"/>
        </w:rPr>
        <w:t>Histories of Everyday Life</w:t>
      </w:r>
      <w:r w:rsidR="00EF6741" w:rsidRPr="00047A9D">
        <w:rPr>
          <w:rFonts w:ascii="Times New Roman" w:hAnsi="Times New Roman" w:cs="Times New Roman"/>
          <w:sz w:val="22"/>
          <w:szCs w:val="22"/>
        </w:rPr>
        <w:t>, pp.237-38.</w:t>
      </w:r>
    </w:p>
  </w:footnote>
  <w:footnote w:id="579">
    <w:p w14:paraId="46727F01" w14:textId="01A6517F" w:rsidR="00EF6741" w:rsidRPr="00047A9D" w:rsidRDefault="00EF674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Schools Council, </w:t>
      </w:r>
      <w:r w:rsidRPr="00047A9D">
        <w:rPr>
          <w:rFonts w:ascii="Times New Roman" w:hAnsi="Times New Roman" w:cs="Times New Roman"/>
          <w:i/>
          <w:sz w:val="22"/>
          <w:szCs w:val="22"/>
        </w:rPr>
        <w:t>Education for a Multiracial Society</w:t>
      </w:r>
      <w:r w:rsidRPr="00047A9D">
        <w:rPr>
          <w:rFonts w:ascii="Times New Roman" w:hAnsi="Times New Roman" w:cs="Times New Roman"/>
          <w:sz w:val="22"/>
          <w:szCs w:val="22"/>
        </w:rPr>
        <w:t>, p.81.</w:t>
      </w:r>
    </w:p>
  </w:footnote>
  <w:footnote w:id="580">
    <w:p w14:paraId="06F52A90" w14:textId="4F617A83" w:rsidR="00287EB4" w:rsidRPr="00047A9D" w:rsidRDefault="00287EB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Barry Troyna, ‘Beyond Multiculturalism: Towards the Enactment of Anti-Racist Education in Policy, Provision and Pedagogy’</w:t>
      </w:r>
      <w:r w:rsidRPr="00047A9D">
        <w:rPr>
          <w:rFonts w:ascii="Times New Roman" w:hAnsi="Times New Roman" w:cs="Times New Roman"/>
          <w:i/>
          <w:sz w:val="22"/>
          <w:szCs w:val="22"/>
        </w:rPr>
        <w:t>, Oxford Review of Education</w:t>
      </w:r>
      <w:r w:rsidRPr="00047A9D">
        <w:rPr>
          <w:rFonts w:ascii="Times New Roman" w:hAnsi="Times New Roman" w:cs="Times New Roman"/>
          <w:sz w:val="22"/>
          <w:szCs w:val="22"/>
        </w:rPr>
        <w:t xml:space="preserve"> 13</w:t>
      </w:r>
      <w:r w:rsidR="005C6CD2" w:rsidRPr="00047A9D">
        <w:rPr>
          <w:rFonts w:ascii="Times New Roman" w:hAnsi="Times New Roman" w:cs="Times New Roman"/>
          <w:sz w:val="22"/>
          <w:szCs w:val="22"/>
        </w:rPr>
        <w:t>.</w:t>
      </w:r>
      <w:r w:rsidRPr="00047A9D">
        <w:rPr>
          <w:rFonts w:ascii="Times New Roman" w:hAnsi="Times New Roman" w:cs="Times New Roman"/>
          <w:sz w:val="22"/>
          <w:szCs w:val="22"/>
        </w:rPr>
        <w:t>3 (1987), 307-320, p.318.</w:t>
      </w:r>
    </w:p>
  </w:footnote>
  <w:footnote w:id="581">
    <w:p w14:paraId="3EC5ECA0" w14:textId="499AF17C" w:rsidR="00C71AED" w:rsidRPr="00047A9D" w:rsidRDefault="00C71AE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1235B" w:rsidRPr="00047A9D">
        <w:rPr>
          <w:rFonts w:ascii="Times New Roman" w:hAnsi="Times New Roman" w:cs="Times New Roman"/>
          <w:sz w:val="22"/>
          <w:szCs w:val="22"/>
        </w:rPr>
        <w:t>Institute of Race Relations</w:t>
      </w:r>
      <w:r w:rsidR="00556060" w:rsidRPr="00047A9D">
        <w:rPr>
          <w:rFonts w:ascii="Times New Roman" w:hAnsi="Times New Roman" w:cs="Times New Roman"/>
          <w:sz w:val="22"/>
          <w:szCs w:val="22"/>
        </w:rPr>
        <w:t xml:space="preserve"> (IRR)</w:t>
      </w:r>
      <w:r w:rsidR="00E1235B" w:rsidRPr="00047A9D">
        <w:rPr>
          <w:rFonts w:ascii="Times New Roman" w:hAnsi="Times New Roman" w:cs="Times New Roman"/>
          <w:sz w:val="22"/>
          <w:szCs w:val="22"/>
        </w:rPr>
        <w:t xml:space="preserve">, </w:t>
      </w:r>
      <w:r w:rsidR="00E1235B" w:rsidRPr="00047A9D">
        <w:rPr>
          <w:rFonts w:ascii="Times New Roman" w:hAnsi="Times New Roman" w:cs="Times New Roman"/>
          <w:i/>
          <w:sz w:val="22"/>
          <w:szCs w:val="22"/>
        </w:rPr>
        <w:t>Roots of Racism</w:t>
      </w:r>
      <w:r w:rsidR="005204FA" w:rsidRPr="00047A9D">
        <w:rPr>
          <w:rFonts w:ascii="Times New Roman" w:hAnsi="Times New Roman" w:cs="Times New Roman"/>
          <w:sz w:val="22"/>
          <w:szCs w:val="22"/>
        </w:rPr>
        <w:t xml:space="preserve">: </w:t>
      </w:r>
      <w:r w:rsidR="005204FA" w:rsidRPr="00047A9D">
        <w:rPr>
          <w:rFonts w:ascii="Times New Roman" w:hAnsi="Times New Roman" w:cs="Times New Roman"/>
          <w:i/>
          <w:sz w:val="22"/>
          <w:szCs w:val="22"/>
        </w:rPr>
        <w:t xml:space="preserve">Book One </w:t>
      </w:r>
      <w:r w:rsidR="00E1235B" w:rsidRPr="00047A9D">
        <w:rPr>
          <w:rFonts w:ascii="Times New Roman" w:hAnsi="Times New Roman" w:cs="Times New Roman"/>
          <w:sz w:val="22"/>
          <w:szCs w:val="22"/>
        </w:rPr>
        <w:t>(</w:t>
      </w:r>
      <w:r w:rsidR="00556060" w:rsidRPr="00047A9D">
        <w:rPr>
          <w:rFonts w:ascii="Times New Roman" w:hAnsi="Times New Roman" w:cs="Times New Roman"/>
          <w:sz w:val="22"/>
          <w:szCs w:val="22"/>
        </w:rPr>
        <w:t>London: IRR, 1982), p.iv</w:t>
      </w:r>
      <w:r w:rsidR="00974FE8" w:rsidRPr="00047A9D">
        <w:rPr>
          <w:rFonts w:ascii="Times New Roman" w:hAnsi="Times New Roman" w:cs="Times New Roman"/>
          <w:sz w:val="22"/>
          <w:szCs w:val="22"/>
        </w:rPr>
        <w:t xml:space="preserve"> (introduction by Ambalavaner Sivanandan).</w:t>
      </w:r>
    </w:p>
  </w:footnote>
  <w:footnote w:id="582">
    <w:p w14:paraId="61ECC923" w14:textId="43F4F9E1" w:rsidR="007C15AE" w:rsidRPr="00047A9D" w:rsidRDefault="007C15A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F3100" w:rsidRPr="00047A9D">
        <w:rPr>
          <w:rFonts w:ascii="Times New Roman" w:hAnsi="Times New Roman" w:cs="Times New Roman"/>
          <w:sz w:val="22"/>
          <w:szCs w:val="22"/>
        </w:rPr>
        <w:t xml:space="preserve">IRR, </w:t>
      </w:r>
      <w:r w:rsidR="00DF3100" w:rsidRPr="00047A9D">
        <w:rPr>
          <w:rFonts w:ascii="Times New Roman" w:hAnsi="Times New Roman" w:cs="Times New Roman"/>
          <w:i/>
          <w:sz w:val="22"/>
          <w:szCs w:val="22"/>
        </w:rPr>
        <w:t>Roots of Racism</w:t>
      </w:r>
      <w:r w:rsidR="00DF3100" w:rsidRPr="00047A9D">
        <w:rPr>
          <w:rFonts w:ascii="Times New Roman" w:hAnsi="Times New Roman" w:cs="Times New Roman"/>
          <w:sz w:val="22"/>
          <w:szCs w:val="22"/>
        </w:rPr>
        <w:t xml:space="preserve">: </w:t>
      </w:r>
      <w:r w:rsidR="00DF3100" w:rsidRPr="00047A9D">
        <w:rPr>
          <w:rFonts w:ascii="Times New Roman" w:hAnsi="Times New Roman" w:cs="Times New Roman"/>
          <w:i/>
          <w:sz w:val="22"/>
          <w:szCs w:val="22"/>
        </w:rPr>
        <w:t>Book One</w:t>
      </w:r>
      <w:r w:rsidR="00BC1870" w:rsidRPr="00047A9D">
        <w:rPr>
          <w:rFonts w:ascii="Times New Roman" w:hAnsi="Times New Roman" w:cs="Times New Roman"/>
          <w:sz w:val="22"/>
          <w:szCs w:val="22"/>
        </w:rPr>
        <w:t>, p.iv</w:t>
      </w:r>
      <w:r w:rsidR="00EF70AC" w:rsidRPr="00047A9D">
        <w:rPr>
          <w:rFonts w:ascii="Times New Roman" w:hAnsi="Times New Roman" w:cs="Times New Roman"/>
          <w:i/>
          <w:sz w:val="22"/>
          <w:szCs w:val="22"/>
        </w:rPr>
        <w:t xml:space="preserve">; </w:t>
      </w:r>
      <w:r w:rsidR="00D66885" w:rsidRPr="00047A9D">
        <w:rPr>
          <w:rFonts w:ascii="Times New Roman" w:hAnsi="Times New Roman" w:cs="Times New Roman"/>
          <w:sz w:val="22"/>
          <w:szCs w:val="22"/>
        </w:rPr>
        <w:t xml:space="preserve">Sally Tomlinson, </w:t>
      </w:r>
      <w:r w:rsidR="00D66885" w:rsidRPr="00047A9D">
        <w:rPr>
          <w:rFonts w:ascii="Times New Roman" w:hAnsi="Times New Roman" w:cs="Times New Roman"/>
          <w:i/>
          <w:sz w:val="22"/>
          <w:szCs w:val="22"/>
        </w:rPr>
        <w:t>Ethnic Minorities in British Schools: A Review of the Literature, 1960-1982</w:t>
      </w:r>
      <w:r w:rsidR="00D66885" w:rsidRPr="00047A9D">
        <w:rPr>
          <w:rFonts w:ascii="Times New Roman" w:hAnsi="Times New Roman" w:cs="Times New Roman"/>
          <w:sz w:val="22"/>
          <w:szCs w:val="22"/>
        </w:rPr>
        <w:t xml:space="preserve"> (London: Heinemann, 1983)</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pp.96-97.</w:t>
      </w:r>
    </w:p>
  </w:footnote>
  <w:footnote w:id="583">
    <w:p w14:paraId="3AC827DA" w14:textId="16EC9514" w:rsidR="00F01399" w:rsidRPr="00047A9D" w:rsidRDefault="00F0139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File and Hinds, ‘World History</w:t>
      </w:r>
      <w:r w:rsidR="00AE37A0" w:rsidRPr="00047A9D">
        <w:rPr>
          <w:rFonts w:ascii="Times New Roman" w:hAnsi="Times New Roman" w:cs="Times New Roman"/>
          <w:sz w:val="22"/>
          <w:szCs w:val="22"/>
        </w:rPr>
        <w:t>’</w:t>
      </w:r>
      <w:r w:rsidRPr="00047A9D">
        <w:rPr>
          <w:rFonts w:ascii="Times New Roman" w:hAnsi="Times New Roman" w:cs="Times New Roman"/>
          <w:sz w:val="22"/>
          <w:szCs w:val="22"/>
        </w:rPr>
        <w:t xml:space="preserve">, in Straker-Welds (ed.), </w:t>
      </w:r>
      <w:r w:rsidRPr="00047A9D">
        <w:rPr>
          <w:rFonts w:ascii="Times New Roman" w:hAnsi="Times New Roman" w:cs="Times New Roman"/>
          <w:i/>
          <w:sz w:val="22"/>
          <w:szCs w:val="22"/>
        </w:rPr>
        <w:t>Education for a Multicultural Society</w:t>
      </w:r>
      <w:r w:rsidR="00AE37A0" w:rsidRPr="00047A9D">
        <w:rPr>
          <w:rFonts w:ascii="Times New Roman" w:hAnsi="Times New Roman" w:cs="Times New Roman"/>
          <w:i/>
          <w:sz w:val="22"/>
          <w:szCs w:val="22"/>
        </w:rPr>
        <w:t xml:space="preserve">, </w:t>
      </w:r>
      <w:r w:rsidR="00AE37A0" w:rsidRPr="00047A9D">
        <w:rPr>
          <w:rFonts w:ascii="Times New Roman" w:hAnsi="Times New Roman" w:cs="Times New Roman"/>
          <w:sz w:val="22"/>
          <w:szCs w:val="22"/>
        </w:rPr>
        <w:t>p</w:t>
      </w:r>
      <w:r w:rsidR="00DA7F13" w:rsidRPr="00047A9D">
        <w:rPr>
          <w:rFonts w:ascii="Times New Roman" w:hAnsi="Times New Roman" w:cs="Times New Roman"/>
          <w:sz w:val="22"/>
          <w:szCs w:val="22"/>
        </w:rPr>
        <w:t>.90.</w:t>
      </w:r>
    </w:p>
  </w:footnote>
  <w:footnote w:id="584">
    <w:p w14:paraId="2E0D6A0A" w14:textId="227994F0" w:rsidR="00790BC7" w:rsidRPr="00047A9D" w:rsidRDefault="00790BC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A740CF" w:rsidRPr="00047A9D">
        <w:rPr>
          <w:rFonts w:ascii="Times New Roman" w:hAnsi="Times New Roman" w:cs="Times New Roman"/>
          <w:sz w:val="22"/>
          <w:szCs w:val="22"/>
        </w:rPr>
        <w:t xml:space="preserve"> </w:t>
      </w:r>
      <w:r w:rsidR="00A15D39" w:rsidRPr="00047A9D">
        <w:rPr>
          <w:rFonts w:ascii="Times New Roman" w:hAnsi="Times New Roman" w:cs="Times New Roman"/>
          <w:sz w:val="22"/>
          <w:szCs w:val="22"/>
        </w:rPr>
        <w:t>I</w:t>
      </w:r>
      <w:r w:rsidR="00762585" w:rsidRPr="00047A9D">
        <w:rPr>
          <w:rFonts w:ascii="Times New Roman" w:hAnsi="Times New Roman" w:cs="Times New Roman"/>
          <w:sz w:val="22"/>
          <w:szCs w:val="22"/>
        </w:rPr>
        <w:t xml:space="preserve">oE: All London Teachers Against Racism and Fascism (‘ALTARF’), </w:t>
      </w:r>
      <w:r w:rsidR="008157A8" w:rsidRPr="00047A9D">
        <w:rPr>
          <w:rFonts w:ascii="Times New Roman" w:hAnsi="Times New Roman" w:cs="Times New Roman"/>
          <w:i/>
          <w:sz w:val="22"/>
          <w:szCs w:val="22"/>
        </w:rPr>
        <w:t xml:space="preserve">Teaching and Racism: An ALTARF Discussion Document, </w:t>
      </w:r>
      <w:r w:rsidR="008157A8" w:rsidRPr="00047A9D">
        <w:rPr>
          <w:rFonts w:ascii="Times New Roman" w:hAnsi="Times New Roman" w:cs="Times New Roman"/>
          <w:sz w:val="22"/>
          <w:szCs w:val="22"/>
        </w:rPr>
        <w:t>2</w:t>
      </w:r>
      <w:r w:rsidR="008157A8" w:rsidRPr="00047A9D">
        <w:rPr>
          <w:rFonts w:ascii="Times New Roman" w:hAnsi="Times New Roman" w:cs="Times New Roman"/>
          <w:sz w:val="22"/>
          <w:szCs w:val="22"/>
          <w:vertAlign w:val="superscript"/>
        </w:rPr>
        <w:t>nd</w:t>
      </w:r>
      <w:r w:rsidR="00A740CF" w:rsidRPr="00047A9D">
        <w:rPr>
          <w:rFonts w:ascii="Times New Roman" w:hAnsi="Times New Roman" w:cs="Times New Roman"/>
          <w:sz w:val="22"/>
          <w:szCs w:val="22"/>
        </w:rPr>
        <w:t xml:space="preserve"> </w:t>
      </w:r>
      <w:r w:rsidR="008157A8" w:rsidRPr="00047A9D">
        <w:rPr>
          <w:rFonts w:ascii="Times New Roman" w:hAnsi="Times New Roman" w:cs="Times New Roman"/>
          <w:sz w:val="22"/>
          <w:szCs w:val="22"/>
        </w:rPr>
        <w:t>edn (London: ALTARF, 1979),</w:t>
      </w:r>
      <w:r w:rsidR="008D4A65" w:rsidRPr="00047A9D">
        <w:rPr>
          <w:rFonts w:ascii="Times New Roman" w:hAnsi="Times New Roman" w:cs="Times New Roman"/>
          <w:sz w:val="22"/>
          <w:szCs w:val="22"/>
        </w:rPr>
        <w:t xml:space="preserve"> pp.7-8,</w:t>
      </w:r>
      <w:r w:rsidR="008157A8" w:rsidRPr="00047A9D">
        <w:rPr>
          <w:rFonts w:ascii="Times New Roman" w:hAnsi="Times New Roman" w:cs="Times New Roman"/>
          <w:sz w:val="22"/>
          <w:szCs w:val="22"/>
        </w:rPr>
        <w:t xml:space="preserve"> </w:t>
      </w:r>
      <w:r w:rsidR="00A740CF" w:rsidRPr="00047A9D">
        <w:rPr>
          <w:rFonts w:ascii="Times New Roman" w:hAnsi="Times New Roman" w:cs="Times New Roman"/>
          <w:sz w:val="22"/>
          <w:szCs w:val="22"/>
        </w:rPr>
        <w:t>MF 8/40</w:t>
      </w:r>
      <w:r w:rsidRPr="00047A9D">
        <w:rPr>
          <w:rFonts w:ascii="Times New Roman" w:hAnsi="Times New Roman" w:cs="Times New Roman"/>
          <w:sz w:val="22"/>
          <w:szCs w:val="22"/>
        </w:rPr>
        <w:t>.</w:t>
      </w:r>
    </w:p>
  </w:footnote>
  <w:footnote w:id="585">
    <w:p w14:paraId="4295FCC3" w14:textId="2F0B10B2" w:rsidR="00994BC4" w:rsidRPr="00047A9D" w:rsidRDefault="00994BC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5493E" w:rsidRPr="00047A9D">
        <w:rPr>
          <w:rFonts w:ascii="Times New Roman" w:hAnsi="Times New Roman" w:cs="Times New Roman"/>
          <w:sz w:val="22"/>
          <w:szCs w:val="22"/>
        </w:rPr>
        <w:t xml:space="preserve">IRR, </w:t>
      </w:r>
      <w:r w:rsidR="00A5493E" w:rsidRPr="00047A9D">
        <w:rPr>
          <w:rFonts w:ascii="Times New Roman" w:hAnsi="Times New Roman" w:cs="Times New Roman"/>
          <w:i/>
          <w:sz w:val="22"/>
          <w:szCs w:val="22"/>
        </w:rPr>
        <w:t>Roots of Racism</w:t>
      </w:r>
      <w:r w:rsidR="00BF00D8" w:rsidRPr="00047A9D">
        <w:rPr>
          <w:rFonts w:ascii="Times New Roman" w:hAnsi="Times New Roman" w:cs="Times New Roman"/>
          <w:i/>
          <w:sz w:val="22"/>
          <w:szCs w:val="22"/>
        </w:rPr>
        <w:t>: Book One</w:t>
      </w:r>
      <w:r w:rsidR="00A5493E" w:rsidRPr="00047A9D">
        <w:rPr>
          <w:rFonts w:ascii="Times New Roman" w:hAnsi="Times New Roman" w:cs="Times New Roman"/>
          <w:i/>
          <w:sz w:val="22"/>
          <w:szCs w:val="22"/>
        </w:rPr>
        <w:t xml:space="preserve">, </w:t>
      </w:r>
      <w:r w:rsidR="00A5493E" w:rsidRPr="00047A9D">
        <w:rPr>
          <w:rFonts w:ascii="Times New Roman" w:hAnsi="Times New Roman" w:cs="Times New Roman"/>
          <w:sz w:val="22"/>
          <w:szCs w:val="22"/>
        </w:rPr>
        <w:t>p</w:t>
      </w:r>
      <w:r w:rsidR="00284255" w:rsidRPr="00047A9D">
        <w:rPr>
          <w:rFonts w:ascii="Times New Roman" w:hAnsi="Times New Roman" w:cs="Times New Roman"/>
          <w:sz w:val="22"/>
          <w:szCs w:val="22"/>
        </w:rPr>
        <w:t>p</w:t>
      </w:r>
      <w:r w:rsidR="00A5493E" w:rsidRPr="00047A9D">
        <w:rPr>
          <w:rFonts w:ascii="Times New Roman" w:hAnsi="Times New Roman" w:cs="Times New Roman"/>
          <w:sz w:val="22"/>
          <w:szCs w:val="22"/>
        </w:rPr>
        <w:t>.iv</w:t>
      </w:r>
      <w:r w:rsidR="00284255" w:rsidRPr="00047A9D">
        <w:rPr>
          <w:rFonts w:ascii="Times New Roman" w:hAnsi="Times New Roman" w:cs="Times New Roman"/>
          <w:sz w:val="22"/>
          <w:szCs w:val="22"/>
        </w:rPr>
        <w:t xml:space="preserve">, 21-27. </w:t>
      </w:r>
      <w:r w:rsidR="00867A2A" w:rsidRPr="00047A9D">
        <w:rPr>
          <w:rFonts w:ascii="Times New Roman" w:hAnsi="Times New Roman" w:cs="Times New Roman"/>
          <w:sz w:val="22"/>
          <w:szCs w:val="22"/>
        </w:rPr>
        <w:t>See also</w:t>
      </w:r>
      <w:r w:rsidR="00237D4F" w:rsidRPr="00047A9D">
        <w:rPr>
          <w:rFonts w:ascii="Times New Roman" w:hAnsi="Times New Roman" w:cs="Times New Roman"/>
          <w:sz w:val="22"/>
          <w:szCs w:val="22"/>
        </w:rPr>
        <w:t xml:space="preserve"> IRR, </w:t>
      </w:r>
      <w:r w:rsidR="00237D4F" w:rsidRPr="00047A9D">
        <w:rPr>
          <w:rFonts w:ascii="Times New Roman" w:hAnsi="Times New Roman" w:cs="Times New Roman"/>
          <w:i/>
          <w:sz w:val="22"/>
          <w:szCs w:val="22"/>
        </w:rPr>
        <w:t xml:space="preserve">How Racism Came to Britain: Book Three </w:t>
      </w:r>
      <w:r w:rsidR="00237D4F" w:rsidRPr="00047A9D">
        <w:rPr>
          <w:rFonts w:ascii="Times New Roman" w:hAnsi="Times New Roman" w:cs="Times New Roman"/>
          <w:sz w:val="22"/>
          <w:szCs w:val="22"/>
        </w:rPr>
        <w:t>(London: IRR, 1985).</w:t>
      </w:r>
    </w:p>
  </w:footnote>
  <w:footnote w:id="586">
    <w:p w14:paraId="7339405A" w14:textId="33B73908" w:rsidR="00031792" w:rsidRPr="00047A9D" w:rsidRDefault="0003179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64701" w:rsidRPr="00047A9D">
        <w:rPr>
          <w:rFonts w:ascii="Times New Roman" w:hAnsi="Times New Roman" w:cs="Times New Roman"/>
          <w:sz w:val="22"/>
          <w:szCs w:val="22"/>
        </w:rPr>
        <w:t xml:space="preserve">IRR, </w:t>
      </w:r>
      <w:r w:rsidR="00364701" w:rsidRPr="00047A9D">
        <w:rPr>
          <w:rFonts w:ascii="Times New Roman" w:hAnsi="Times New Roman" w:cs="Times New Roman"/>
          <w:i/>
          <w:sz w:val="22"/>
          <w:szCs w:val="22"/>
        </w:rPr>
        <w:t>Roots of Racism</w:t>
      </w:r>
      <w:r w:rsidR="00CC093E" w:rsidRPr="00047A9D">
        <w:rPr>
          <w:rFonts w:ascii="Times New Roman" w:hAnsi="Times New Roman" w:cs="Times New Roman"/>
          <w:i/>
          <w:sz w:val="22"/>
          <w:szCs w:val="22"/>
        </w:rPr>
        <w:t>: Book One</w:t>
      </w:r>
      <w:r w:rsidR="00364701" w:rsidRPr="00047A9D">
        <w:rPr>
          <w:rFonts w:ascii="Times New Roman" w:hAnsi="Times New Roman" w:cs="Times New Roman"/>
          <w:sz w:val="22"/>
          <w:szCs w:val="22"/>
        </w:rPr>
        <w:t>, pp.17-20.</w:t>
      </w:r>
    </w:p>
  </w:footnote>
  <w:footnote w:id="587">
    <w:p w14:paraId="0D20B99B" w14:textId="2CEEACD7" w:rsidR="003411CA" w:rsidRPr="00047A9D" w:rsidRDefault="003411C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A59F2" w:rsidRPr="00047A9D">
        <w:rPr>
          <w:rFonts w:ascii="Times New Roman" w:hAnsi="Times New Roman" w:cs="Times New Roman"/>
          <w:sz w:val="22"/>
          <w:szCs w:val="22"/>
        </w:rPr>
        <w:t xml:space="preserve">ILEA, </w:t>
      </w:r>
      <w:r w:rsidR="00AA59F2" w:rsidRPr="00047A9D">
        <w:rPr>
          <w:rFonts w:ascii="Times New Roman" w:hAnsi="Times New Roman" w:cs="Times New Roman"/>
          <w:i/>
          <w:sz w:val="22"/>
          <w:szCs w:val="22"/>
        </w:rPr>
        <w:t>Race</w:t>
      </w:r>
      <w:r w:rsidR="00AA59F2" w:rsidRPr="00047A9D">
        <w:rPr>
          <w:rFonts w:ascii="Times New Roman" w:hAnsi="Times New Roman" w:cs="Times New Roman"/>
          <w:sz w:val="22"/>
          <w:szCs w:val="22"/>
        </w:rPr>
        <w:t xml:space="preserve">, </w:t>
      </w:r>
      <w:r w:rsidR="00AA59F2" w:rsidRPr="00047A9D">
        <w:rPr>
          <w:rFonts w:ascii="Times New Roman" w:hAnsi="Times New Roman" w:cs="Times New Roman"/>
          <w:i/>
          <w:sz w:val="22"/>
          <w:szCs w:val="22"/>
        </w:rPr>
        <w:t>Sex and Class: 4. Anti-Racist Statement and Guidelines</w:t>
      </w:r>
      <w:r w:rsidR="00AA59F2" w:rsidRPr="00047A9D">
        <w:rPr>
          <w:rFonts w:ascii="Times New Roman" w:hAnsi="Times New Roman" w:cs="Times New Roman"/>
          <w:sz w:val="22"/>
          <w:szCs w:val="22"/>
        </w:rPr>
        <w:t xml:space="preserve"> (London: ILEA, 1983), p.</w:t>
      </w:r>
      <w:r w:rsidR="005C7675" w:rsidRPr="00047A9D">
        <w:rPr>
          <w:rFonts w:ascii="Times New Roman" w:hAnsi="Times New Roman" w:cs="Times New Roman"/>
          <w:sz w:val="22"/>
          <w:szCs w:val="22"/>
        </w:rPr>
        <w:t>4.</w:t>
      </w:r>
    </w:p>
  </w:footnote>
  <w:footnote w:id="588">
    <w:p w14:paraId="141ADD03" w14:textId="7E7E3B94" w:rsidR="00CA7928" w:rsidRPr="00047A9D" w:rsidRDefault="00CA792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66FB2" w:rsidRPr="00047A9D">
        <w:rPr>
          <w:rFonts w:ascii="Times New Roman" w:hAnsi="Times New Roman" w:cs="Times New Roman"/>
          <w:sz w:val="22"/>
          <w:szCs w:val="22"/>
        </w:rPr>
        <w:t xml:space="preserve">ILEA, </w:t>
      </w:r>
      <w:r w:rsidR="00A66FB2" w:rsidRPr="00047A9D">
        <w:rPr>
          <w:rFonts w:ascii="Times New Roman" w:hAnsi="Times New Roman" w:cs="Times New Roman"/>
          <w:i/>
          <w:sz w:val="22"/>
          <w:szCs w:val="22"/>
        </w:rPr>
        <w:t>Race, Sex and Class: 2</w:t>
      </w:r>
      <w:r w:rsidR="00A66FB2" w:rsidRPr="00047A9D">
        <w:rPr>
          <w:rFonts w:ascii="Times New Roman" w:hAnsi="Times New Roman" w:cs="Times New Roman"/>
          <w:sz w:val="22"/>
          <w:szCs w:val="22"/>
        </w:rPr>
        <w:t>, p</w:t>
      </w:r>
      <w:r w:rsidR="003879F2" w:rsidRPr="00047A9D">
        <w:rPr>
          <w:rFonts w:ascii="Times New Roman" w:hAnsi="Times New Roman" w:cs="Times New Roman"/>
          <w:sz w:val="22"/>
          <w:szCs w:val="22"/>
        </w:rPr>
        <w:t xml:space="preserve">p.6, </w:t>
      </w:r>
      <w:r w:rsidR="00EA1862" w:rsidRPr="00047A9D">
        <w:rPr>
          <w:rFonts w:ascii="Times New Roman" w:hAnsi="Times New Roman" w:cs="Times New Roman"/>
          <w:sz w:val="22"/>
          <w:szCs w:val="22"/>
        </w:rPr>
        <w:t>8, 16.</w:t>
      </w:r>
    </w:p>
  </w:footnote>
  <w:footnote w:id="589">
    <w:p w14:paraId="5BDC1E9E" w14:textId="14A37D02" w:rsidR="00DB5B72" w:rsidRPr="00047A9D" w:rsidRDefault="00DB5B7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A6FCD" w:rsidRPr="00047A9D">
        <w:rPr>
          <w:rFonts w:ascii="Times New Roman" w:hAnsi="Times New Roman" w:cs="Times New Roman"/>
          <w:sz w:val="22"/>
          <w:szCs w:val="22"/>
        </w:rPr>
        <w:t xml:space="preserve">John Twitchin and Clare Demuth, </w:t>
      </w:r>
      <w:r w:rsidR="000A6FCD" w:rsidRPr="00047A9D">
        <w:rPr>
          <w:rFonts w:ascii="Times New Roman" w:hAnsi="Times New Roman" w:cs="Times New Roman"/>
          <w:i/>
          <w:sz w:val="22"/>
          <w:szCs w:val="22"/>
        </w:rPr>
        <w:t>Multicultural Education: Extended Edition</w:t>
      </w:r>
      <w:r w:rsidR="000A6FCD" w:rsidRPr="00047A9D">
        <w:rPr>
          <w:rFonts w:ascii="Times New Roman" w:hAnsi="Times New Roman" w:cs="Times New Roman"/>
          <w:sz w:val="22"/>
          <w:szCs w:val="22"/>
        </w:rPr>
        <w:t xml:space="preserve"> (London: BBC, 1981), </w:t>
      </w:r>
      <w:r w:rsidRPr="00047A9D">
        <w:rPr>
          <w:rFonts w:ascii="Times New Roman" w:hAnsi="Times New Roman" w:cs="Times New Roman"/>
          <w:sz w:val="22"/>
          <w:szCs w:val="22"/>
        </w:rPr>
        <w:t>p.176.</w:t>
      </w:r>
    </w:p>
  </w:footnote>
  <w:footnote w:id="590">
    <w:p w14:paraId="18C275F9" w14:textId="35B59BBA" w:rsidR="009A49C9" w:rsidRPr="00047A9D" w:rsidRDefault="009A49C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06AC9" w:rsidRPr="00047A9D">
        <w:rPr>
          <w:rFonts w:ascii="Times New Roman" w:hAnsi="Times New Roman" w:cs="Times New Roman"/>
          <w:sz w:val="22"/>
          <w:szCs w:val="22"/>
        </w:rPr>
        <w:t xml:space="preserve">Christine Halsall, ‘Whose World is the World’, </w:t>
      </w:r>
      <w:r w:rsidR="00506AC9" w:rsidRPr="00047A9D">
        <w:rPr>
          <w:rFonts w:ascii="Times New Roman" w:hAnsi="Times New Roman" w:cs="Times New Roman"/>
          <w:i/>
          <w:sz w:val="22"/>
          <w:szCs w:val="22"/>
        </w:rPr>
        <w:t>The Poster-Film Collective</w:t>
      </w:r>
      <w:r w:rsidR="00506AC9" w:rsidRPr="00047A9D">
        <w:rPr>
          <w:rFonts w:ascii="Times New Roman" w:hAnsi="Times New Roman" w:cs="Times New Roman"/>
          <w:sz w:val="22"/>
          <w:szCs w:val="22"/>
        </w:rPr>
        <w:t xml:space="preserve"> &lt;https://www.poster-collective.org/team-3-1&gt; </w:t>
      </w:r>
      <w:r w:rsidR="00D86279" w:rsidRPr="00047A9D">
        <w:rPr>
          <w:rFonts w:ascii="Times New Roman" w:hAnsi="Times New Roman" w:cs="Times New Roman"/>
          <w:sz w:val="22"/>
          <w:szCs w:val="22"/>
        </w:rPr>
        <w:t>[accessed 12 January 2024].</w:t>
      </w:r>
    </w:p>
  </w:footnote>
  <w:footnote w:id="591">
    <w:p w14:paraId="3434EEA8" w14:textId="6415FA9A" w:rsidR="006213AC" w:rsidRPr="00047A9D" w:rsidRDefault="006213A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5264B" w:rsidRPr="00047A9D">
        <w:rPr>
          <w:rFonts w:ascii="Times New Roman" w:hAnsi="Times New Roman" w:cs="Times New Roman"/>
          <w:sz w:val="22"/>
          <w:szCs w:val="22"/>
        </w:rPr>
        <w:t>Association for Curriculum Development</w:t>
      </w:r>
      <w:r w:rsidR="0076559C" w:rsidRPr="00047A9D">
        <w:rPr>
          <w:rFonts w:ascii="Times New Roman" w:hAnsi="Times New Roman" w:cs="Times New Roman"/>
          <w:sz w:val="22"/>
          <w:szCs w:val="22"/>
        </w:rPr>
        <w:t xml:space="preserve"> (ACD)</w:t>
      </w:r>
      <w:r w:rsidR="00F5264B" w:rsidRPr="00047A9D">
        <w:rPr>
          <w:rFonts w:ascii="Times New Roman" w:hAnsi="Times New Roman" w:cs="Times New Roman"/>
          <w:sz w:val="22"/>
          <w:szCs w:val="22"/>
        </w:rPr>
        <w:t xml:space="preserve">, </w:t>
      </w:r>
      <w:r w:rsidR="0076559C" w:rsidRPr="00047A9D">
        <w:rPr>
          <w:rFonts w:ascii="Times New Roman" w:hAnsi="Times New Roman" w:cs="Times New Roman"/>
          <w:i/>
          <w:sz w:val="22"/>
          <w:szCs w:val="22"/>
        </w:rPr>
        <w:t xml:space="preserve">A History of Racism </w:t>
      </w:r>
      <w:r w:rsidR="0076559C" w:rsidRPr="00047A9D">
        <w:rPr>
          <w:rFonts w:ascii="Times New Roman" w:hAnsi="Times New Roman" w:cs="Times New Roman"/>
          <w:sz w:val="22"/>
          <w:szCs w:val="22"/>
        </w:rPr>
        <w:t xml:space="preserve">(London: ACD, </w:t>
      </w:r>
      <w:r w:rsidR="00A73720" w:rsidRPr="00047A9D">
        <w:rPr>
          <w:rFonts w:ascii="Times New Roman" w:hAnsi="Times New Roman" w:cs="Times New Roman"/>
          <w:sz w:val="22"/>
          <w:szCs w:val="22"/>
        </w:rPr>
        <w:t>1992), n.p.</w:t>
      </w:r>
    </w:p>
  </w:footnote>
  <w:footnote w:id="592">
    <w:p w14:paraId="2D615E2A" w14:textId="2751A63D" w:rsidR="00056782" w:rsidRPr="00047A9D" w:rsidRDefault="0005678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A3C3F" w:rsidRPr="00047A9D">
        <w:rPr>
          <w:rFonts w:ascii="Times New Roman" w:hAnsi="Times New Roman" w:cs="Times New Roman"/>
          <w:i/>
          <w:sz w:val="22"/>
          <w:szCs w:val="22"/>
        </w:rPr>
        <w:t>Clio: Ethnicity and Culture Issue</w:t>
      </w:r>
      <w:r w:rsidR="00BA3C3F" w:rsidRPr="00047A9D">
        <w:rPr>
          <w:rFonts w:ascii="Times New Roman" w:hAnsi="Times New Roman" w:cs="Times New Roman"/>
          <w:sz w:val="22"/>
          <w:szCs w:val="22"/>
        </w:rPr>
        <w:t xml:space="preserve"> 1.4 (Summer 1981); </w:t>
      </w:r>
      <w:r w:rsidR="00BA3C3F" w:rsidRPr="00047A9D">
        <w:rPr>
          <w:rFonts w:ascii="Times New Roman" w:hAnsi="Times New Roman" w:cs="Times New Roman"/>
          <w:i/>
          <w:sz w:val="22"/>
          <w:szCs w:val="22"/>
        </w:rPr>
        <w:t>Clio: Anti-Racist Issue</w:t>
      </w:r>
      <w:r w:rsidR="00BA3C3F" w:rsidRPr="00047A9D">
        <w:rPr>
          <w:rFonts w:ascii="Times New Roman" w:hAnsi="Times New Roman" w:cs="Times New Roman"/>
          <w:sz w:val="22"/>
          <w:szCs w:val="22"/>
        </w:rPr>
        <w:t xml:space="preserve"> 6.1 (Spring 1986);</w:t>
      </w:r>
      <w:r w:rsidR="00494EC6" w:rsidRPr="00047A9D">
        <w:rPr>
          <w:rFonts w:ascii="Times New Roman" w:hAnsi="Times New Roman" w:cs="Times New Roman"/>
          <w:sz w:val="22"/>
          <w:szCs w:val="22"/>
        </w:rPr>
        <w:t xml:space="preserve"> </w:t>
      </w:r>
      <w:r w:rsidR="00807208" w:rsidRPr="00047A9D">
        <w:rPr>
          <w:rFonts w:ascii="Times New Roman" w:hAnsi="Times New Roman" w:cs="Times New Roman"/>
          <w:sz w:val="22"/>
          <w:szCs w:val="22"/>
        </w:rPr>
        <w:t>Halsall, ‘Whose World is the World’</w:t>
      </w:r>
      <w:r w:rsidR="00BA3C3F" w:rsidRPr="00047A9D">
        <w:rPr>
          <w:rFonts w:ascii="Times New Roman" w:hAnsi="Times New Roman" w:cs="Times New Roman"/>
          <w:sz w:val="22"/>
          <w:szCs w:val="22"/>
        </w:rPr>
        <w:t>.</w:t>
      </w:r>
    </w:p>
  </w:footnote>
  <w:footnote w:id="593">
    <w:p w14:paraId="62556407" w14:textId="3B0432E3" w:rsidR="009462EA" w:rsidRPr="00047A9D" w:rsidRDefault="009462E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ACD, </w:t>
      </w:r>
      <w:r w:rsidRPr="00047A9D">
        <w:rPr>
          <w:rFonts w:ascii="Times New Roman" w:hAnsi="Times New Roman" w:cs="Times New Roman"/>
          <w:i/>
          <w:sz w:val="22"/>
          <w:szCs w:val="22"/>
        </w:rPr>
        <w:t xml:space="preserve">History of Racism, </w:t>
      </w:r>
      <w:r w:rsidRPr="00047A9D">
        <w:rPr>
          <w:rFonts w:ascii="Times New Roman" w:hAnsi="Times New Roman" w:cs="Times New Roman"/>
          <w:sz w:val="22"/>
          <w:szCs w:val="22"/>
        </w:rPr>
        <w:t>n.p.</w:t>
      </w:r>
    </w:p>
  </w:footnote>
  <w:footnote w:id="594">
    <w:p w14:paraId="3611318D" w14:textId="7CCDB53B" w:rsidR="00494EC6" w:rsidRPr="00047A9D" w:rsidRDefault="00494EC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65D6E" w:rsidRPr="00047A9D">
        <w:rPr>
          <w:rFonts w:ascii="Times New Roman" w:hAnsi="Times New Roman" w:cs="Times New Roman"/>
          <w:sz w:val="22"/>
          <w:szCs w:val="22"/>
        </w:rPr>
        <w:t xml:space="preserve">ACD, </w:t>
      </w:r>
      <w:r w:rsidR="00965D6E" w:rsidRPr="00047A9D">
        <w:rPr>
          <w:rFonts w:ascii="Times New Roman" w:hAnsi="Times New Roman" w:cs="Times New Roman"/>
          <w:i/>
          <w:sz w:val="22"/>
          <w:szCs w:val="22"/>
        </w:rPr>
        <w:t xml:space="preserve">History of Racism, </w:t>
      </w:r>
      <w:r w:rsidR="005133DD" w:rsidRPr="00047A9D">
        <w:rPr>
          <w:rFonts w:ascii="Times New Roman" w:hAnsi="Times New Roman" w:cs="Times New Roman"/>
          <w:sz w:val="22"/>
          <w:szCs w:val="22"/>
        </w:rPr>
        <w:t>n.p.</w:t>
      </w:r>
    </w:p>
  </w:footnote>
  <w:footnote w:id="595">
    <w:p w14:paraId="4438B61F" w14:textId="545DAB8F" w:rsidR="00D25AC8" w:rsidRPr="00047A9D" w:rsidRDefault="00D25AC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C093E" w:rsidRPr="00047A9D">
        <w:rPr>
          <w:rFonts w:ascii="Times New Roman" w:hAnsi="Times New Roman" w:cs="Times New Roman"/>
          <w:sz w:val="22"/>
          <w:szCs w:val="22"/>
        </w:rPr>
        <w:t xml:space="preserve">ACD, </w:t>
      </w:r>
      <w:r w:rsidR="00CC093E" w:rsidRPr="00047A9D">
        <w:rPr>
          <w:rFonts w:ascii="Times New Roman" w:hAnsi="Times New Roman" w:cs="Times New Roman"/>
          <w:i/>
          <w:sz w:val="22"/>
          <w:szCs w:val="22"/>
        </w:rPr>
        <w:t>History of Racism</w:t>
      </w:r>
      <w:r w:rsidR="000D5F02" w:rsidRPr="00047A9D">
        <w:rPr>
          <w:rFonts w:ascii="Times New Roman" w:hAnsi="Times New Roman" w:cs="Times New Roman"/>
          <w:i/>
          <w:sz w:val="22"/>
          <w:szCs w:val="22"/>
        </w:rPr>
        <w:t xml:space="preserve">, </w:t>
      </w:r>
      <w:r w:rsidR="000D5F02" w:rsidRPr="00047A9D">
        <w:rPr>
          <w:rFonts w:ascii="Times New Roman" w:hAnsi="Times New Roman" w:cs="Times New Roman"/>
          <w:sz w:val="22"/>
          <w:szCs w:val="22"/>
        </w:rPr>
        <w:t xml:space="preserve">pp.23-25; </w:t>
      </w:r>
      <w:r w:rsidR="00F30A74" w:rsidRPr="00047A9D">
        <w:rPr>
          <w:rFonts w:ascii="Times New Roman" w:hAnsi="Times New Roman" w:cs="Times New Roman"/>
          <w:sz w:val="22"/>
          <w:szCs w:val="22"/>
        </w:rPr>
        <w:t xml:space="preserve">IRR, </w:t>
      </w:r>
      <w:r w:rsidR="009037C6" w:rsidRPr="00047A9D">
        <w:rPr>
          <w:rFonts w:ascii="Times New Roman" w:hAnsi="Times New Roman" w:cs="Times New Roman"/>
          <w:i/>
          <w:sz w:val="22"/>
          <w:szCs w:val="22"/>
        </w:rPr>
        <w:t xml:space="preserve">Patterns of </w:t>
      </w:r>
      <w:r w:rsidR="0015238A" w:rsidRPr="00047A9D">
        <w:rPr>
          <w:rFonts w:ascii="Times New Roman" w:hAnsi="Times New Roman" w:cs="Times New Roman"/>
          <w:i/>
          <w:sz w:val="22"/>
          <w:szCs w:val="22"/>
        </w:rPr>
        <w:t>Racism</w:t>
      </w:r>
      <w:r w:rsidR="009037C6" w:rsidRPr="00047A9D">
        <w:rPr>
          <w:rFonts w:ascii="Times New Roman" w:hAnsi="Times New Roman" w:cs="Times New Roman"/>
          <w:i/>
          <w:sz w:val="22"/>
          <w:szCs w:val="22"/>
        </w:rPr>
        <w:t xml:space="preserve">: Book Two </w:t>
      </w:r>
      <w:r w:rsidR="009037C6" w:rsidRPr="00047A9D">
        <w:rPr>
          <w:rFonts w:ascii="Times New Roman" w:hAnsi="Times New Roman" w:cs="Times New Roman"/>
          <w:sz w:val="22"/>
          <w:szCs w:val="22"/>
        </w:rPr>
        <w:t>(London: IRR, 1982), pp.</w:t>
      </w:r>
      <w:r w:rsidR="0068252E" w:rsidRPr="00047A9D">
        <w:rPr>
          <w:rFonts w:ascii="Times New Roman" w:hAnsi="Times New Roman" w:cs="Times New Roman"/>
          <w:sz w:val="22"/>
          <w:szCs w:val="22"/>
        </w:rPr>
        <w:t xml:space="preserve">25, </w:t>
      </w:r>
      <w:r w:rsidR="00F91618" w:rsidRPr="00047A9D">
        <w:rPr>
          <w:rFonts w:ascii="Times New Roman" w:hAnsi="Times New Roman" w:cs="Times New Roman"/>
          <w:sz w:val="22"/>
          <w:szCs w:val="22"/>
        </w:rPr>
        <w:t xml:space="preserve">35, 36, 41; </w:t>
      </w:r>
      <w:r w:rsidR="007B706C" w:rsidRPr="00047A9D">
        <w:rPr>
          <w:rFonts w:ascii="Times New Roman" w:hAnsi="Times New Roman" w:cs="Times New Roman"/>
          <w:sz w:val="22"/>
          <w:szCs w:val="22"/>
        </w:rPr>
        <w:t xml:space="preserve">Schools Council, </w:t>
      </w:r>
      <w:r w:rsidR="007B706C" w:rsidRPr="00047A9D">
        <w:rPr>
          <w:rFonts w:ascii="Times New Roman" w:hAnsi="Times New Roman" w:cs="Times New Roman"/>
          <w:i/>
          <w:sz w:val="22"/>
          <w:szCs w:val="22"/>
        </w:rPr>
        <w:t>Education for a Multiracial Society</w:t>
      </w:r>
      <w:r w:rsidR="007B706C" w:rsidRPr="00047A9D">
        <w:rPr>
          <w:rFonts w:ascii="Times New Roman" w:hAnsi="Times New Roman" w:cs="Times New Roman"/>
          <w:sz w:val="22"/>
          <w:szCs w:val="22"/>
        </w:rPr>
        <w:t>, pp.7</w:t>
      </w:r>
      <w:r w:rsidR="00332851" w:rsidRPr="00047A9D">
        <w:rPr>
          <w:rFonts w:ascii="Times New Roman" w:hAnsi="Times New Roman" w:cs="Times New Roman"/>
          <w:sz w:val="22"/>
          <w:szCs w:val="22"/>
        </w:rPr>
        <w:t xml:space="preserve">4, </w:t>
      </w:r>
      <w:r w:rsidR="007B706C" w:rsidRPr="00047A9D">
        <w:rPr>
          <w:rFonts w:ascii="Times New Roman" w:hAnsi="Times New Roman" w:cs="Times New Roman"/>
          <w:sz w:val="22"/>
          <w:szCs w:val="22"/>
        </w:rPr>
        <w:t>80.</w:t>
      </w:r>
    </w:p>
  </w:footnote>
  <w:footnote w:id="596">
    <w:p w14:paraId="22AB2B61" w14:textId="39307AE8" w:rsidR="00CA1661" w:rsidRPr="00047A9D" w:rsidRDefault="00CA166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5238A" w:rsidRPr="00047A9D">
        <w:rPr>
          <w:rFonts w:ascii="Times New Roman" w:hAnsi="Times New Roman" w:cs="Times New Roman"/>
          <w:sz w:val="22"/>
          <w:szCs w:val="22"/>
        </w:rPr>
        <w:t xml:space="preserve">ACD, </w:t>
      </w:r>
      <w:r w:rsidR="0015238A" w:rsidRPr="00047A9D">
        <w:rPr>
          <w:rFonts w:ascii="Times New Roman" w:hAnsi="Times New Roman" w:cs="Times New Roman"/>
          <w:i/>
          <w:sz w:val="22"/>
          <w:szCs w:val="22"/>
        </w:rPr>
        <w:t xml:space="preserve">History of Racism, </w:t>
      </w:r>
      <w:r w:rsidR="0015238A" w:rsidRPr="00047A9D">
        <w:rPr>
          <w:rFonts w:ascii="Times New Roman" w:hAnsi="Times New Roman" w:cs="Times New Roman"/>
          <w:sz w:val="22"/>
          <w:szCs w:val="22"/>
        </w:rPr>
        <w:t>pp.</w:t>
      </w:r>
      <w:r w:rsidR="00054E73" w:rsidRPr="00047A9D">
        <w:rPr>
          <w:rFonts w:ascii="Times New Roman" w:hAnsi="Times New Roman" w:cs="Times New Roman"/>
          <w:sz w:val="22"/>
          <w:szCs w:val="22"/>
        </w:rPr>
        <w:t xml:space="preserve">23, </w:t>
      </w:r>
      <w:r w:rsidR="0015238A" w:rsidRPr="00047A9D">
        <w:rPr>
          <w:rFonts w:ascii="Times New Roman" w:hAnsi="Times New Roman" w:cs="Times New Roman"/>
          <w:sz w:val="22"/>
          <w:szCs w:val="22"/>
        </w:rPr>
        <w:t>64</w:t>
      </w:r>
      <w:r w:rsidR="00054E73" w:rsidRPr="00047A9D">
        <w:rPr>
          <w:rFonts w:ascii="Times New Roman" w:hAnsi="Times New Roman" w:cs="Times New Roman"/>
          <w:sz w:val="22"/>
          <w:szCs w:val="22"/>
        </w:rPr>
        <w:t>.</w:t>
      </w:r>
    </w:p>
  </w:footnote>
  <w:footnote w:id="597">
    <w:p w14:paraId="40C62B88" w14:textId="69A2DFC5" w:rsidR="00054E73" w:rsidRPr="00047A9D" w:rsidRDefault="00054E7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A0BE5" w:rsidRPr="00047A9D">
        <w:rPr>
          <w:rFonts w:ascii="Times New Roman" w:hAnsi="Times New Roman" w:cs="Times New Roman"/>
          <w:sz w:val="22"/>
          <w:szCs w:val="22"/>
        </w:rPr>
        <w:t xml:space="preserve">Traves, ‘Humanities’, in Straker-Welds (ed.), </w:t>
      </w:r>
      <w:r w:rsidR="006A0BE5" w:rsidRPr="00047A9D">
        <w:rPr>
          <w:rFonts w:ascii="Times New Roman" w:hAnsi="Times New Roman" w:cs="Times New Roman"/>
          <w:i/>
          <w:sz w:val="22"/>
          <w:szCs w:val="22"/>
        </w:rPr>
        <w:t xml:space="preserve">Education for a Multicultural Society, </w:t>
      </w:r>
      <w:r w:rsidR="006A0BE5" w:rsidRPr="00047A9D">
        <w:rPr>
          <w:rFonts w:ascii="Times New Roman" w:hAnsi="Times New Roman" w:cs="Times New Roman"/>
          <w:sz w:val="22"/>
          <w:szCs w:val="22"/>
        </w:rPr>
        <w:t>pp.</w:t>
      </w:r>
      <w:r w:rsidR="00027F19" w:rsidRPr="00047A9D">
        <w:rPr>
          <w:rFonts w:ascii="Times New Roman" w:hAnsi="Times New Roman" w:cs="Times New Roman"/>
          <w:sz w:val="22"/>
          <w:szCs w:val="22"/>
        </w:rPr>
        <w:t>80-81</w:t>
      </w:r>
      <w:r w:rsidR="002B3CA6" w:rsidRPr="00047A9D">
        <w:rPr>
          <w:rFonts w:ascii="Times New Roman" w:hAnsi="Times New Roman" w:cs="Times New Roman"/>
          <w:sz w:val="22"/>
          <w:szCs w:val="22"/>
        </w:rPr>
        <w:t>, 83.</w:t>
      </w:r>
    </w:p>
  </w:footnote>
  <w:footnote w:id="598">
    <w:p w14:paraId="0383C755" w14:textId="4509FBBE" w:rsidR="00FE7B06" w:rsidRPr="00047A9D" w:rsidRDefault="00FE7B0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A7354" w:rsidRPr="00047A9D">
        <w:rPr>
          <w:rFonts w:ascii="Times New Roman" w:hAnsi="Times New Roman" w:cs="Times New Roman"/>
          <w:sz w:val="22"/>
          <w:szCs w:val="22"/>
        </w:rPr>
        <w:t>‘Who We Were’, Big Flame: 1970-1984, April 2009 &lt;https://bigflameuk.wordpress.com/about/&gt; [accessed 12 January 2024].</w:t>
      </w:r>
    </w:p>
  </w:footnote>
  <w:footnote w:id="599">
    <w:p w14:paraId="7EF1760A" w14:textId="5CE735A4" w:rsidR="00510563" w:rsidRPr="00047A9D" w:rsidRDefault="0051056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81F90" w:rsidRPr="00047A9D">
        <w:rPr>
          <w:rFonts w:ascii="Times New Roman" w:hAnsi="Times New Roman" w:cs="Times New Roman"/>
          <w:sz w:val="22"/>
          <w:szCs w:val="22"/>
        </w:rPr>
        <w:t xml:space="preserve">Big Flame, </w:t>
      </w:r>
      <w:r w:rsidR="00C81F90" w:rsidRPr="00047A9D">
        <w:rPr>
          <w:rFonts w:ascii="Times New Roman" w:hAnsi="Times New Roman" w:cs="Times New Roman"/>
          <w:i/>
          <w:sz w:val="22"/>
          <w:szCs w:val="22"/>
        </w:rPr>
        <w:t>The Past Against Our Future: Fighting Racism and Fascism</w:t>
      </w:r>
      <w:r w:rsidR="00C81F90" w:rsidRPr="00047A9D">
        <w:rPr>
          <w:rFonts w:ascii="Times New Roman" w:hAnsi="Times New Roman" w:cs="Times New Roman"/>
          <w:sz w:val="22"/>
          <w:szCs w:val="22"/>
        </w:rPr>
        <w:t xml:space="preserve"> (Liverpool: Big Flame, 1979), p</w:t>
      </w:r>
      <w:r w:rsidRPr="00047A9D">
        <w:rPr>
          <w:rFonts w:ascii="Times New Roman" w:hAnsi="Times New Roman" w:cs="Times New Roman"/>
          <w:sz w:val="22"/>
          <w:szCs w:val="22"/>
        </w:rPr>
        <w:t>.2</w:t>
      </w:r>
      <w:r w:rsidR="00AA7354" w:rsidRPr="00047A9D">
        <w:rPr>
          <w:rFonts w:ascii="Times New Roman" w:hAnsi="Times New Roman" w:cs="Times New Roman"/>
          <w:sz w:val="22"/>
          <w:szCs w:val="22"/>
        </w:rPr>
        <w:t>.</w:t>
      </w:r>
    </w:p>
  </w:footnote>
  <w:footnote w:id="600">
    <w:p w14:paraId="5CEB3483" w14:textId="0E6A9F2A" w:rsidR="00C63CC8" w:rsidRPr="00047A9D" w:rsidRDefault="00C63CC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D1962" w:rsidRPr="00047A9D">
        <w:rPr>
          <w:rFonts w:ascii="Times New Roman" w:hAnsi="Times New Roman" w:cs="Times New Roman"/>
          <w:sz w:val="22"/>
          <w:szCs w:val="22"/>
        </w:rPr>
        <w:t>LMA: London Auschwitz Education Group (LA</w:t>
      </w:r>
      <w:r w:rsidR="00B07316">
        <w:rPr>
          <w:rFonts w:ascii="Times New Roman" w:hAnsi="Times New Roman" w:cs="Times New Roman"/>
          <w:sz w:val="22"/>
          <w:szCs w:val="22"/>
        </w:rPr>
        <w:t>E</w:t>
      </w:r>
      <w:r w:rsidR="006D1962" w:rsidRPr="00047A9D">
        <w:rPr>
          <w:rFonts w:ascii="Times New Roman" w:hAnsi="Times New Roman" w:cs="Times New Roman"/>
          <w:sz w:val="22"/>
          <w:szCs w:val="22"/>
        </w:rPr>
        <w:t>G),</w:t>
      </w:r>
      <w:r w:rsidR="00960322" w:rsidRPr="00047A9D">
        <w:rPr>
          <w:rFonts w:ascii="Times New Roman" w:hAnsi="Times New Roman" w:cs="Times New Roman"/>
          <w:sz w:val="22"/>
          <w:szCs w:val="22"/>
        </w:rPr>
        <w:t xml:space="preserve"> ‘</w:t>
      </w:r>
      <w:r w:rsidR="006D1962" w:rsidRPr="00047A9D">
        <w:rPr>
          <w:rFonts w:ascii="Times New Roman" w:hAnsi="Times New Roman" w:cs="Times New Roman"/>
          <w:sz w:val="22"/>
          <w:szCs w:val="22"/>
        </w:rPr>
        <w:t>About the Pack</w:t>
      </w:r>
      <w:r w:rsidR="00960322" w:rsidRPr="00047A9D">
        <w:rPr>
          <w:rFonts w:ascii="Times New Roman" w:hAnsi="Times New Roman" w:cs="Times New Roman"/>
          <w:sz w:val="22"/>
          <w:szCs w:val="22"/>
        </w:rPr>
        <w:t>’</w:t>
      </w:r>
      <w:r w:rsidR="006D1962" w:rsidRPr="00047A9D">
        <w:rPr>
          <w:rFonts w:ascii="Times New Roman" w:hAnsi="Times New Roman" w:cs="Times New Roman"/>
          <w:sz w:val="22"/>
          <w:szCs w:val="22"/>
        </w:rPr>
        <w:t xml:space="preserve">, in </w:t>
      </w:r>
      <w:r w:rsidR="006D1962" w:rsidRPr="00047A9D">
        <w:rPr>
          <w:rFonts w:ascii="Times New Roman" w:hAnsi="Times New Roman" w:cs="Times New Roman"/>
          <w:i/>
          <w:sz w:val="22"/>
          <w:szCs w:val="22"/>
        </w:rPr>
        <w:t>Auschwitz: Yesterday</w:t>
      </w:r>
      <w:r w:rsidR="00960322" w:rsidRPr="00047A9D">
        <w:rPr>
          <w:rFonts w:ascii="Times New Roman" w:hAnsi="Times New Roman" w:cs="Times New Roman"/>
          <w:i/>
          <w:sz w:val="22"/>
          <w:szCs w:val="22"/>
        </w:rPr>
        <w:t>’</w:t>
      </w:r>
      <w:r w:rsidR="006D1962" w:rsidRPr="00047A9D">
        <w:rPr>
          <w:rFonts w:ascii="Times New Roman" w:hAnsi="Times New Roman" w:cs="Times New Roman"/>
          <w:i/>
          <w:sz w:val="22"/>
          <w:szCs w:val="22"/>
        </w:rPr>
        <w:t>s Racism - A Pack of Materials for Teachers (</w:t>
      </w:r>
      <w:r w:rsidR="006D1962" w:rsidRPr="00047A9D">
        <w:rPr>
          <w:rFonts w:ascii="Times New Roman" w:hAnsi="Times New Roman" w:cs="Times New Roman"/>
          <w:sz w:val="22"/>
          <w:szCs w:val="22"/>
        </w:rPr>
        <w:t>London: LA</w:t>
      </w:r>
      <w:r w:rsidR="00B07316">
        <w:rPr>
          <w:rFonts w:ascii="Times New Roman" w:hAnsi="Times New Roman" w:cs="Times New Roman"/>
          <w:sz w:val="22"/>
          <w:szCs w:val="22"/>
        </w:rPr>
        <w:t>E</w:t>
      </w:r>
      <w:r w:rsidR="006D1962" w:rsidRPr="00047A9D">
        <w:rPr>
          <w:rFonts w:ascii="Times New Roman" w:hAnsi="Times New Roman" w:cs="Times New Roman"/>
          <w:sz w:val="22"/>
          <w:szCs w:val="22"/>
        </w:rPr>
        <w:t>G, 1982), n.p., ILEA/S/LR/10/262</w:t>
      </w:r>
      <w:r w:rsidR="00960322" w:rsidRPr="00047A9D">
        <w:rPr>
          <w:rFonts w:ascii="Times New Roman" w:hAnsi="Times New Roman" w:cs="Times New Roman"/>
          <w:sz w:val="22"/>
          <w:szCs w:val="22"/>
        </w:rPr>
        <w:t>.</w:t>
      </w:r>
    </w:p>
  </w:footnote>
  <w:footnote w:id="601">
    <w:p w14:paraId="2291DBE6" w14:textId="1DFE6313" w:rsidR="00BD6FD4" w:rsidRPr="00047A9D" w:rsidRDefault="00BD6FD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The work of the London Auschwitz Education Group was principally funded by contributions from the </w:t>
      </w:r>
      <w:r w:rsidR="00475699" w:rsidRPr="00047A9D">
        <w:rPr>
          <w:rFonts w:ascii="Times New Roman" w:hAnsi="Times New Roman" w:cs="Times New Roman"/>
          <w:sz w:val="22"/>
          <w:szCs w:val="22"/>
        </w:rPr>
        <w:t>GLC</w:t>
      </w:r>
      <w:r w:rsidRPr="00047A9D">
        <w:rPr>
          <w:rFonts w:ascii="Times New Roman" w:hAnsi="Times New Roman" w:cs="Times New Roman"/>
          <w:sz w:val="22"/>
          <w:szCs w:val="22"/>
        </w:rPr>
        <w:t xml:space="preserve"> and the ILEA, which gives strong reason to believe that such resources were widely distributed within schools in the Greater London area.</w:t>
      </w:r>
    </w:p>
  </w:footnote>
  <w:footnote w:id="602">
    <w:p w14:paraId="2A395FB3" w14:textId="538085E3" w:rsidR="009205B7" w:rsidRPr="00047A9D" w:rsidRDefault="009205B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34F5F" w:rsidRPr="00047A9D">
        <w:rPr>
          <w:rFonts w:ascii="Times New Roman" w:hAnsi="Times New Roman" w:cs="Times New Roman"/>
          <w:sz w:val="22"/>
          <w:szCs w:val="22"/>
        </w:rPr>
        <w:t xml:space="preserve">LMA: Frank Green, ‘Why Teach the Holocaust?’, in </w:t>
      </w:r>
      <w:r w:rsidR="00434F5F" w:rsidRPr="00047A9D">
        <w:rPr>
          <w:rFonts w:ascii="Times New Roman" w:hAnsi="Times New Roman" w:cs="Times New Roman"/>
          <w:i/>
          <w:sz w:val="22"/>
          <w:szCs w:val="22"/>
        </w:rPr>
        <w:t>Auschwitz: Yesterday’s Racism</w:t>
      </w:r>
      <w:r w:rsidR="00434F5F" w:rsidRPr="00047A9D">
        <w:rPr>
          <w:rFonts w:ascii="Times New Roman" w:hAnsi="Times New Roman" w:cs="Times New Roman"/>
          <w:sz w:val="22"/>
          <w:szCs w:val="22"/>
        </w:rPr>
        <w:t>, n.p., ILEA/S/LR/10/262.</w:t>
      </w:r>
    </w:p>
  </w:footnote>
  <w:footnote w:id="603">
    <w:p w14:paraId="39547292" w14:textId="3988F990" w:rsidR="006F3CF3" w:rsidRPr="00047A9D" w:rsidRDefault="006F3CF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LMA: LA</w:t>
      </w:r>
      <w:r w:rsidR="00B07316">
        <w:rPr>
          <w:rFonts w:ascii="Times New Roman" w:hAnsi="Times New Roman" w:cs="Times New Roman"/>
          <w:sz w:val="22"/>
          <w:szCs w:val="22"/>
        </w:rPr>
        <w:t>E</w:t>
      </w:r>
      <w:r w:rsidRPr="00047A9D">
        <w:rPr>
          <w:rFonts w:ascii="Times New Roman" w:hAnsi="Times New Roman" w:cs="Times New Roman"/>
          <w:sz w:val="22"/>
          <w:szCs w:val="22"/>
        </w:rPr>
        <w:t xml:space="preserve">G, ‘About the Pack’, in </w:t>
      </w:r>
      <w:r w:rsidRPr="00047A9D">
        <w:rPr>
          <w:rFonts w:ascii="Times New Roman" w:hAnsi="Times New Roman" w:cs="Times New Roman"/>
          <w:i/>
          <w:sz w:val="22"/>
          <w:szCs w:val="22"/>
        </w:rPr>
        <w:t xml:space="preserve">Auschwitz: Yesterday’s Racism, </w:t>
      </w:r>
      <w:r w:rsidRPr="00047A9D">
        <w:rPr>
          <w:rFonts w:ascii="Times New Roman" w:hAnsi="Times New Roman" w:cs="Times New Roman"/>
          <w:sz w:val="22"/>
          <w:szCs w:val="22"/>
        </w:rPr>
        <w:t>n.p., ILEA/S/LR/10/262.</w:t>
      </w:r>
    </w:p>
  </w:footnote>
  <w:footnote w:id="604">
    <w:p w14:paraId="1D983180" w14:textId="3AF08AB5" w:rsidR="00F938FC" w:rsidRPr="00047A9D" w:rsidRDefault="00F938F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D1926" w:rsidRPr="00047A9D">
        <w:rPr>
          <w:rFonts w:ascii="Times New Roman" w:hAnsi="Times New Roman" w:cs="Times New Roman"/>
          <w:sz w:val="22"/>
          <w:szCs w:val="22"/>
        </w:rPr>
        <w:t xml:space="preserve">LMA: Frank Green, ‘Why Teach the Holocaust?’, in </w:t>
      </w:r>
      <w:r w:rsidR="00DD1926" w:rsidRPr="00047A9D">
        <w:rPr>
          <w:rFonts w:ascii="Times New Roman" w:hAnsi="Times New Roman" w:cs="Times New Roman"/>
          <w:i/>
          <w:sz w:val="22"/>
          <w:szCs w:val="22"/>
        </w:rPr>
        <w:t>Auschwitz: Yesterday’s Racism</w:t>
      </w:r>
      <w:r w:rsidR="00DD1926" w:rsidRPr="00047A9D">
        <w:rPr>
          <w:rFonts w:ascii="Times New Roman" w:hAnsi="Times New Roman" w:cs="Times New Roman"/>
          <w:sz w:val="22"/>
          <w:szCs w:val="22"/>
        </w:rPr>
        <w:t>, n.p., ILEA/S/LR/10/262</w:t>
      </w:r>
      <w:r w:rsidR="006C62A6" w:rsidRPr="00047A9D">
        <w:rPr>
          <w:rFonts w:ascii="Times New Roman" w:hAnsi="Times New Roman" w:cs="Times New Roman"/>
          <w:i/>
          <w:sz w:val="22"/>
          <w:szCs w:val="22"/>
        </w:rPr>
        <w:t>.</w:t>
      </w:r>
    </w:p>
  </w:footnote>
  <w:footnote w:id="605">
    <w:p w14:paraId="53336282" w14:textId="255D6B72" w:rsidR="004C7BB6" w:rsidRPr="00047A9D" w:rsidRDefault="004C7BB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E08E8" w:rsidRPr="00047A9D">
        <w:rPr>
          <w:rFonts w:ascii="Times New Roman" w:hAnsi="Times New Roman" w:cs="Times New Roman"/>
          <w:sz w:val="22"/>
          <w:szCs w:val="22"/>
        </w:rPr>
        <w:t xml:space="preserve">LMA: Shirley Murgraff, </w:t>
      </w:r>
      <w:r w:rsidR="005E08E8" w:rsidRPr="00047A9D">
        <w:rPr>
          <w:rFonts w:ascii="Times New Roman" w:hAnsi="Times New Roman" w:cs="Times New Roman"/>
          <w:i/>
          <w:sz w:val="22"/>
          <w:szCs w:val="22"/>
        </w:rPr>
        <w:t>A Teacher</w:t>
      </w:r>
      <w:r w:rsidR="009D4ADE" w:rsidRPr="00047A9D">
        <w:rPr>
          <w:rFonts w:ascii="Times New Roman" w:hAnsi="Times New Roman" w:cs="Times New Roman"/>
          <w:i/>
          <w:sz w:val="22"/>
          <w:szCs w:val="22"/>
        </w:rPr>
        <w:t>’</w:t>
      </w:r>
      <w:r w:rsidR="005E08E8" w:rsidRPr="00047A9D">
        <w:rPr>
          <w:rFonts w:ascii="Times New Roman" w:hAnsi="Times New Roman" w:cs="Times New Roman"/>
          <w:i/>
          <w:sz w:val="22"/>
          <w:szCs w:val="22"/>
        </w:rPr>
        <w:t>s Guide to the Auschwitz Materials</w:t>
      </w:r>
      <w:r w:rsidR="005E08E8" w:rsidRPr="00047A9D">
        <w:rPr>
          <w:rFonts w:ascii="Times New Roman" w:hAnsi="Times New Roman" w:cs="Times New Roman"/>
          <w:sz w:val="22"/>
          <w:szCs w:val="22"/>
        </w:rPr>
        <w:t xml:space="preserve"> (London: ILEA Learning Resources Branch,</w:t>
      </w:r>
      <w:r w:rsidR="004A0074" w:rsidRPr="00047A9D">
        <w:rPr>
          <w:rFonts w:ascii="Times New Roman" w:hAnsi="Times New Roman" w:cs="Times New Roman"/>
          <w:sz w:val="22"/>
          <w:szCs w:val="22"/>
        </w:rPr>
        <w:t xml:space="preserve"> likely</w:t>
      </w:r>
      <w:r w:rsidR="005E08E8" w:rsidRPr="00047A9D">
        <w:rPr>
          <w:rFonts w:ascii="Times New Roman" w:hAnsi="Times New Roman" w:cs="Times New Roman"/>
          <w:sz w:val="22"/>
          <w:szCs w:val="22"/>
        </w:rPr>
        <w:t xml:space="preserve"> 1989), p.3, ILEA/S/LR/10/261</w:t>
      </w:r>
      <w:r w:rsidR="004A0074" w:rsidRPr="00047A9D">
        <w:rPr>
          <w:rFonts w:ascii="Times New Roman" w:hAnsi="Times New Roman" w:cs="Times New Roman"/>
          <w:sz w:val="22"/>
          <w:szCs w:val="22"/>
        </w:rPr>
        <w:t>.</w:t>
      </w:r>
      <w:r w:rsidR="00E62A50" w:rsidRPr="00047A9D">
        <w:rPr>
          <w:rFonts w:ascii="Times New Roman" w:hAnsi="Times New Roman" w:cs="Times New Roman"/>
          <w:sz w:val="22"/>
          <w:szCs w:val="22"/>
        </w:rPr>
        <w:t xml:space="preserve"> As this implies, the </w:t>
      </w:r>
      <w:r w:rsidR="004B7A94" w:rsidRPr="00047A9D">
        <w:rPr>
          <w:rFonts w:ascii="Times New Roman" w:hAnsi="Times New Roman" w:cs="Times New Roman"/>
          <w:sz w:val="22"/>
          <w:szCs w:val="22"/>
        </w:rPr>
        <w:t>LA</w:t>
      </w:r>
      <w:r w:rsidR="00B07316">
        <w:rPr>
          <w:rFonts w:ascii="Times New Roman" w:hAnsi="Times New Roman" w:cs="Times New Roman"/>
          <w:sz w:val="22"/>
          <w:szCs w:val="22"/>
        </w:rPr>
        <w:t>E</w:t>
      </w:r>
      <w:r w:rsidR="004B7A94" w:rsidRPr="00047A9D">
        <w:rPr>
          <w:rFonts w:ascii="Times New Roman" w:hAnsi="Times New Roman" w:cs="Times New Roman"/>
          <w:sz w:val="22"/>
          <w:szCs w:val="22"/>
        </w:rPr>
        <w:t xml:space="preserve">G viewed the Holocaust </w:t>
      </w:r>
      <w:r w:rsidR="00756EDA" w:rsidRPr="00047A9D">
        <w:rPr>
          <w:rFonts w:ascii="Times New Roman" w:hAnsi="Times New Roman" w:cs="Times New Roman"/>
          <w:sz w:val="22"/>
          <w:szCs w:val="22"/>
        </w:rPr>
        <w:t>exclusively</w:t>
      </w:r>
      <w:r w:rsidR="00F07F2F" w:rsidRPr="00047A9D">
        <w:rPr>
          <w:rFonts w:ascii="Times New Roman" w:hAnsi="Times New Roman" w:cs="Times New Roman"/>
          <w:sz w:val="22"/>
          <w:szCs w:val="22"/>
        </w:rPr>
        <w:t xml:space="preserve"> </w:t>
      </w:r>
      <w:r w:rsidR="004B7A94" w:rsidRPr="00047A9D">
        <w:rPr>
          <w:rFonts w:ascii="Times New Roman" w:hAnsi="Times New Roman" w:cs="Times New Roman"/>
          <w:sz w:val="22"/>
          <w:szCs w:val="22"/>
        </w:rPr>
        <w:t xml:space="preserve">as a genocide against </w:t>
      </w:r>
      <w:r w:rsidR="00F07F2F" w:rsidRPr="00047A9D">
        <w:rPr>
          <w:rFonts w:ascii="Times New Roman" w:hAnsi="Times New Roman" w:cs="Times New Roman"/>
          <w:sz w:val="22"/>
          <w:szCs w:val="22"/>
        </w:rPr>
        <w:t>the Jewish people</w:t>
      </w:r>
      <w:r w:rsidR="006B734B" w:rsidRPr="00047A9D">
        <w:rPr>
          <w:rFonts w:ascii="Times New Roman" w:hAnsi="Times New Roman" w:cs="Times New Roman"/>
          <w:sz w:val="22"/>
          <w:szCs w:val="22"/>
        </w:rPr>
        <w:t xml:space="preserve">, and the </w:t>
      </w:r>
      <w:r w:rsidR="004D10B6" w:rsidRPr="00047A9D">
        <w:rPr>
          <w:rFonts w:ascii="Times New Roman" w:hAnsi="Times New Roman" w:cs="Times New Roman"/>
          <w:sz w:val="22"/>
          <w:szCs w:val="22"/>
        </w:rPr>
        <w:t>persecution of</w:t>
      </w:r>
      <w:r w:rsidR="009D4ADE" w:rsidRPr="00047A9D">
        <w:rPr>
          <w:rFonts w:ascii="Times New Roman" w:hAnsi="Times New Roman" w:cs="Times New Roman"/>
          <w:sz w:val="22"/>
          <w:szCs w:val="22"/>
        </w:rPr>
        <w:t xml:space="preserve"> other groups (e.g.</w:t>
      </w:r>
      <w:r w:rsidR="004D10B6" w:rsidRPr="00047A9D">
        <w:rPr>
          <w:rFonts w:ascii="Times New Roman" w:hAnsi="Times New Roman" w:cs="Times New Roman"/>
          <w:sz w:val="22"/>
          <w:szCs w:val="22"/>
        </w:rPr>
        <w:t xml:space="preserve"> the Roma</w:t>
      </w:r>
      <w:r w:rsidR="009D4ADE" w:rsidRPr="00047A9D">
        <w:rPr>
          <w:rFonts w:ascii="Times New Roman" w:hAnsi="Times New Roman" w:cs="Times New Roman"/>
          <w:sz w:val="22"/>
          <w:szCs w:val="22"/>
        </w:rPr>
        <w:t>)</w:t>
      </w:r>
      <w:r w:rsidR="004D10B6" w:rsidRPr="00047A9D">
        <w:rPr>
          <w:rFonts w:ascii="Times New Roman" w:hAnsi="Times New Roman" w:cs="Times New Roman"/>
          <w:sz w:val="22"/>
          <w:szCs w:val="22"/>
        </w:rPr>
        <w:t xml:space="preserve"> was largely ignored.</w:t>
      </w:r>
    </w:p>
  </w:footnote>
  <w:footnote w:id="606">
    <w:p w14:paraId="12520BFF" w14:textId="6403006D" w:rsidR="001F1EC4" w:rsidRPr="00047A9D" w:rsidRDefault="001F1EC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35545" w:rsidRPr="00047A9D">
        <w:rPr>
          <w:rFonts w:ascii="Times New Roman" w:hAnsi="Times New Roman" w:cs="Times New Roman"/>
          <w:sz w:val="22"/>
          <w:szCs w:val="22"/>
        </w:rPr>
        <w:t xml:space="preserve">LMA: Frank Green, ‘Why Teach the Holocaust?’, in </w:t>
      </w:r>
      <w:r w:rsidR="00235545" w:rsidRPr="00047A9D">
        <w:rPr>
          <w:rFonts w:ascii="Times New Roman" w:hAnsi="Times New Roman" w:cs="Times New Roman"/>
          <w:i/>
          <w:sz w:val="22"/>
          <w:szCs w:val="22"/>
        </w:rPr>
        <w:t>Auschwitz: Yesterday’s Racism</w:t>
      </w:r>
      <w:r w:rsidR="00235545" w:rsidRPr="00047A9D">
        <w:rPr>
          <w:rFonts w:ascii="Times New Roman" w:hAnsi="Times New Roman" w:cs="Times New Roman"/>
          <w:sz w:val="22"/>
          <w:szCs w:val="22"/>
        </w:rPr>
        <w:t>, n.p., ILEA/S/LR/10/262</w:t>
      </w:r>
      <w:r w:rsidR="00235545" w:rsidRPr="00047A9D">
        <w:rPr>
          <w:rFonts w:ascii="Times New Roman" w:hAnsi="Times New Roman" w:cs="Times New Roman"/>
          <w:i/>
          <w:sz w:val="22"/>
          <w:szCs w:val="22"/>
        </w:rPr>
        <w:t>.</w:t>
      </w:r>
    </w:p>
  </w:footnote>
  <w:footnote w:id="607">
    <w:p w14:paraId="68D1FDC4" w14:textId="2B160BF1" w:rsidR="00FE12BB" w:rsidRPr="00047A9D" w:rsidRDefault="00FE12B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56992" w:rsidRPr="00047A9D">
        <w:rPr>
          <w:rFonts w:ascii="Times New Roman" w:hAnsi="Times New Roman" w:cs="Times New Roman"/>
          <w:sz w:val="22"/>
          <w:szCs w:val="22"/>
        </w:rPr>
        <w:t>Jürgen Zimmerer</w:t>
      </w:r>
      <w:r w:rsidR="00235545" w:rsidRPr="00047A9D">
        <w:rPr>
          <w:rFonts w:ascii="Times New Roman" w:hAnsi="Times New Roman" w:cs="Times New Roman"/>
          <w:sz w:val="22"/>
          <w:szCs w:val="22"/>
        </w:rPr>
        <w:t>, ‘</w:t>
      </w:r>
      <w:r w:rsidR="00F56992" w:rsidRPr="00047A9D">
        <w:rPr>
          <w:rFonts w:ascii="Times New Roman" w:hAnsi="Times New Roman" w:cs="Times New Roman"/>
          <w:sz w:val="22"/>
          <w:szCs w:val="22"/>
        </w:rPr>
        <w:t xml:space="preserve">The </w:t>
      </w:r>
      <w:r w:rsidR="00F04E97" w:rsidRPr="00047A9D">
        <w:rPr>
          <w:rFonts w:ascii="Times New Roman" w:hAnsi="Times New Roman" w:cs="Times New Roman"/>
          <w:sz w:val="22"/>
          <w:szCs w:val="22"/>
        </w:rPr>
        <w:t>B</w:t>
      </w:r>
      <w:r w:rsidR="00F56992" w:rsidRPr="00047A9D">
        <w:rPr>
          <w:rFonts w:ascii="Times New Roman" w:hAnsi="Times New Roman" w:cs="Times New Roman"/>
          <w:sz w:val="22"/>
          <w:szCs w:val="22"/>
        </w:rPr>
        <w:t xml:space="preserve">irth of the </w:t>
      </w:r>
      <w:r w:rsidR="00F56992" w:rsidRPr="00047A9D">
        <w:rPr>
          <w:rFonts w:ascii="Times New Roman" w:hAnsi="Times New Roman" w:cs="Times New Roman"/>
          <w:i/>
          <w:sz w:val="22"/>
          <w:szCs w:val="22"/>
        </w:rPr>
        <w:t>Ostland</w:t>
      </w:r>
      <w:r w:rsidR="00F56992" w:rsidRPr="00047A9D">
        <w:rPr>
          <w:rFonts w:ascii="Times New Roman" w:hAnsi="Times New Roman" w:cs="Times New Roman"/>
          <w:sz w:val="22"/>
          <w:szCs w:val="22"/>
        </w:rPr>
        <w:t xml:space="preserve"> </w:t>
      </w:r>
      <w:r w:rsidR="00F04E97" w:rsidRPr="00047A9D">
        <w:rPr>
          <w:rFonts w:ascii="Times New Roman" w:hAnsi="Times New Roman" w:cs="Times New Roman"/>
          <w:sz w:val="22"/>
          <w:szCs w:val="22"/>
        </w:rPr>
        <w:t>o</w:t>
      </w:r>
      <w:r w:rsidR="00F56992" w:rsidRPr="00047A9D">
        <w:rPr>
          <w:rFonts w:ascii="Times New Roman" w:hAnsi="Times New Roman" w:cs="Times New Roman"/>
          <w:sz w:val="22"/>
          <w:szCs w:val="22"/>
        </w:rPr>
        <w:t xml:space="preserve">ut of the </w:t>
      </w:r>
      <w:r w:rsidR="00F04E97" w:rsidRPr="00047A9D">
        <w:rPr>
          <w:rFonts w:ascii="Times New Roman" w:hAnsi="Times New Roman" w:cs="Times New Roman"/>
          <w:sz w:val="22"/>
          <w:szCs w:val="22"/>
        </w:rPr>
        <w:t>S</w:t>
      </w:r>
      <w:r w:rsidR="00F56992" w:rsidRPr="00047A9D">
        <w:rPr>
          <w:rFonts w:ascii="Times New Roman" w:hAnsi="Times New Roman" w:cs="Times New Roman"/>
          <w:sz w:val="22"/>
          <w:szCs w:val="22"/>
        </w:rPr>
        <w:t xml:space="preserve">pirit of </w:t>
      </w:r>
      <w:r w:rsidR="00F04E97" w:rsidRPr="00047A9D">
        <w:rPr>
          <w:rFonts w:ascii="Times New Roman" w:hAnsi="Times New Roman" w:cs="Times New Roman"/>
          <w:sz w:val="22"/>
          <w:szCs w:val="22"/>
        </w:rPr>
        <w:t>C</w:t>
      </w:r>
      <w:r w:rsidR="00F56992" w:rsidRPr="00047A9D">
        <w:rPr>
          <w:rFonts w:ascii="Times New Roman" w:hAnsi="Times New Roman" w:cs="Times New Roman"/>
          <w:sz w:val="22"/>
          <w:szCs w:val="22"/>
        </w:rPr>
        <w:t xml:space="preserve">olonialism: </w:t>
      </w:r>
      <w:r w:rsidR="00F04E97" w:rsidRPr="00047A9D">
        <w:rPr>
          <w:rFonts w:ascii="Times New Roman" w:hAnsi="Times New Roman" w:cs="Times New Roman"/>
          <w:sz w:val="22"/>
          <w:szCs w:val="22"/>
        </w:rPr>
        <w:t>A</w:t>
      </w:r>
      <w:r w:rsidR="00F56992" w:rsidRPr="00047A9D">
        <w:rPr>
          <w:rFonts w:ascii="Times New Roman" w:hAnsi="Times New Roman" w:cs="Times New Roman"/>
          <w:sz w:val="22"/>
          <w:szCs w:val="22"/>
        </w:rPr>
        <w:t xml:space="preserve"> </w:t>
      </w:r>
      <w:r w:rsidR="00F04E97" w:rsidRPr="00047A9D">
        <w:rPr>
          <w:rFonts w:ascii="Times New Roman" w:hAnsi="Times New Roman" w:cs="Times New Roman"/>
          <w:sz w:val="22"/>
          <w:szCs w:val="22"/>
        </w:rPr>
        <w:t>P</w:t>
      </w:r>
      <w:r w:rsidR="00F56992" w:rsidRPr="00047A9D">
        <w:rPr>
          <w:rFonts w:ascii="Times New Roman" w:hAnsi="Times New Roman" w:cs="Times New Roman"/>
          <w:sz w:val="22"/>
          <w:szCs w:val="22"/>
        </w:rPr>
        <w:t xml:space="preserve">ostcolonial </w:t>
      </w:r>
      <w:r w:rsidR="00F04E97" w:rsidRPr="00047A9D">
        <w:rPr>
          <w:rFonts w:ascii="Times New Roman" w:hAnsi="Times New Roman" w:cs="Times New Roman"/>
          <w:sz w:val="22"/>
          <w:szCs w:val="22"/>
        </w:rPr>
        <w:t>P</w:t>
      </w:r>
      <w:r w:rsidR="00F56992" w:rsidRPr="00047A9D">
        <w:rPr>
          <w:rFonts w:ascii="Times New Roman" w:hAnsi="Times New Roman" w:cs="Times New Roman"/>
          <w:sz w:val="22"/>
          <w:szCs w:val="22"/>
        </w:rPr>
        <w:t xml:space="preserve">erspective on the Nazi </w:t>
      </w:r>
      <w:r w:rsidR="00F04E97" w:rsidRPr="00047A9D">
        <w:rPr>
          <w:rFonts w:ascii="Times New Roman" w:hAnsi="Times New Roman" w:cs="Times New Roman"/>
          <w:sz w:val="22"/>
          <w:szCs w:val="22"/>
        </w:rPr>
        <w:t>P</w:t>
      </w:r>
      <w:r w:rsidR="00F56992" w:rsidRPr="00047A9D">
        <w:rPr>
          <w:rFonts w:ascii="Times New Roman" w:hAnsi="Times New Roman" w:cs="Times New Roman"/>
          <w:sz w:val="22"/>
          <w:szCs w:val="22"/>
        </w:rPr>
        <w:t xml:space="preserve">olicy of </w:t>
      </w:r>
      <w:r w:rsidR="00F04E97" w:rsidRPr="00047A9D">
        <w:rPr>
          <w:rFonts w:ascii="Times New Roman" w:hAnsi="Times New Roman" w:cs="Times New Roman"/>
          <w:sz w:val="22"/>
          <w:szCs w:val="22"/>
        </w:rPr>
        <w:t>C</w:t>
      </w:r>
      <w:r w:rsidR="00F56992" w:rsidRPr="00047A9D">
        <w:rPr>
          <w:rFonts w:ascii="Times New Roman" w:hAnsi="Times New Roman" w:cs="Times New Roman"/>
          <w:sz w:val="22"/>
          <w:szCs w:val="22"/>
        </w:rPr>
        <w:t xml:space="preserve">onquest and </w:t>
      </w:r>
      <w:r w:rsidR="00F04E97" w:rsidRPr="00047A9D">
        <w:rPr>
          <w:rFonts w:ascii="Times New Roman" w:hAnsi="Times New Roman" w:cs="Times New Roman"/>
          <w:sz w:val="22"/>
          <w:szCs w:val="22"/>
        </w:rPr>
        <w:t>E</w:t>
      </w:r>
      <w:r w:rsidR="00F56992" w:rsidRPr="00047A9D">
        <w:rPr>
          <w:rFonts w:ascii="Times New Roman" w:hAnsi="Times New Roman" w:cs="Times New Roman"/>
          <w:sz w:val="22"/>
          <w:szCs w:val="22"/>
        </w:rPr>
        <w:t>xtermination</w:t>
      </w:r>
      <w:r w:rsidR="00F04E97" w:rsidRPr="00047A9D">
        <w:rPr>
          <w:rFonts w:ascii="Times New Roman" w:hAnsi="Times New Roman" w:cs="Times New Roman"/>
          <w:sz w:val="22"/>
          <w:szCs w:val="22"/>
        </w:rPr>
        <w:t>’</w:t>
      </w:r>
      <w:r w:rsidR="00F56992" w:rsidRPr="00047A9D">
        <w:rPr>
          <w:rFonts w:ascii="Times New Roman" w:hAnsi="Times New Roman" w:cs="Times New Roman"/>
          <w:sz w:val="22"/>
          <w:szCs w:val="22"/>
        </w:rPr>
        <w:t xml:space="preserve">, </w:t>
      </w:r>
      <w:r w:rsidR="00F56992" w:rsidRPr="00047A9D">
        <w:rPr>
          <w:rFonts w:ascii="Times New Roman" w:hAnsi="Times New Roman" w:cs="Times New Roman"/>
          <w:i/>
          <w:sz w:val="22"/>
          <w:szCs w:val="22"/>
        </w:rPr>
        <w:t>Patterns of Prejudice</w:t>
      </w:r>
      <w:r w:rsidR="00F04E97" w:rsidRPr="00047A9D">
        <w:rPr>
          <w:rFonts w:ascii="Times New Roman" w:hAnsi="Times New Roman" w:cs="Times New Roman"/>
          <w:sz w:val="22"/>
          <w:szCs w:val="22"/>
        </w:rPr>
        <w:t xml:space="preserve"> </w:t>
      </w:r>
      <w:r w:rsidR="00F56992" w:rsidRPr="00047A9D">
        <w:rPr>
          <w:rFonts w:ascii="Times New Roman" w:hAnsi="Times New Roman" w:cs="Times New Roman"/>
          <w:sz w:val="22"/>
          <w:szCs w:val="22"/>
        </w:rPr>
        <w:t>39</w:t>
      </w:r>
      <w:r w:rsidR="00F04E97" w:rsidRPr="00047A9D">
        <w:rPr>
          <w:rFonts w:ascii="Times New Roman" w:hAnsi="Times New Roman" w:cs="Times New Roman"/>
          <w:sz w:val="22"/>
          <w:szCs w:val="22"/>
        </w:rPr>
        <w:t>.</w:t>
      </w:r>
      <w:r w:rsidR="00F56992" w:rsidRPr="00047A9D">
        <w:rPr>
          <w:rFonts w:ascii="Times New Roman" w:hAnsi="Times New Roman" w:cs="Times New Roman"/>
          <w:sz w:val="22"/>
          <w:szCs w:val="22"/>
        </w:rPr>
        <w:t>2</w:t>
      </w:r>
      <w:r w:rsidR="00F04E97" w:rsidRPr="00047A9D">
        <w:rPr>
          <w:rFonts w:ascii="Times New Roman" w:hAnsi="Times New Roman" w:cs="Times New Roman"/>
          <w:sz w:val="22"/>
          <w:szCs w:val="22"/>
        </w:rPr>
        <w:t xml:space="preserve"> (2005)</w:t>
      </w:r>
      <w:r w:rsidR="001831B5" w:rsidRPr="00047A9D">
        <w:rPr>
          <w:rFonts w:ascii="Times New Roman" w:hAnsi="Times New Roman" w:cs="Times New Roman"/>
          <w:sz w:val="22"/>
          <w:szCs w:val="22"/>
        </w:rPr>
        <w:t>,</w:t>
      </w:r>
      <w:r w:rsidR="00F56992" w:rsidRPr="00047A9D">
        <w:rPr>
          <w:rFonts w:ascii="Times New Roman" w:hAnsi="Times New Roman" w:cs="Times New Roman"/>
          <w:sz w:val="22"/>
          <w:szCs w:val="22"/>
        </w:rPr>
        <w:t xml:space="preserve"> 197-219, pp.198-99.</w:t>
      </w:r>
    </w:p>
  </w:footnote>
  <w:footnote w:id="608">
    <w:p w14:paraId="1C8704D5" w14:textId="4F1B1A29" w:rsidR="00AA7354" w:rsidRPr="00047A9D" w:rsidRDefault="00AA735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82BE2" w:rsidRPr="00047A9D">
        <w:rPr>
          <w:rFonts w:ascii="Times New Roman" w:hAnsi="Times New Roman" w:cs="Times New Roman"/>
          <w:sz w:val="22"/>
          <w:szCs w:val="22"/>
        </w:rPr>
        <w:t xml:space="preserve">LMA: Frank Green, ‘Why Teach the Holocaust?’, in </w:t>
      </w:r>
      <w:r w:rsidR="00882BE2" w:rsidRPr="00047A9D">
        <w:rPr>
          <w:rFonts w:ascii="Times New Roman" w:hAnsi="Times New Roman" w:cs="Times New Roman"/>
          <w:i/>
          <w:sz w:val="22"/>
          <w:szCs w:val="22"/>
        </w:rPr>
        <w:t>Auschwitz: Yesterday’s Racism</w:t>
      </w:r>
      <w:r w:rsidR="00882BE2" w:rsidRPr="00047A9D">
        <w:rPr>
          <w:rFonts w:ascii="Times New Roman" w:hAnsi="Times New Roman" w:cs="Times New Roman"/>
          <w:sz w:val="22"/>
          <w:szCs w:val="22"/>
        </w:rPr>
        <w:t>, n.p.</w:t>
      </w:r>
    </w:p>
  </w:footnote>
  <w:footnote w:id="609">
    <w:p w14:paraId="0D431A02" w14:textId="75C2B7B8" w:rsidR="00E24597" w:rsidRPr="00047A9D" w:rsidRDefault="00E2459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BC29BA" w:rsidRPr="00047A9D">
        <w:rPr>
          <w:rFonts w:ascii="Times New Roman" w:hAnsi="Times New Roman" w:cs="Times New Roman"/>
          <w:sz w:val="22"/>
          <w:szCs w:val="22"/>
        </w:rPr>
        <w:t xml:space="preserve"> </w:t>
      </w:r>
      <w:r w:rsidR="00EC09A2" w:rsidRPr="00047A9D">
        <w:rPr>
          <w:rFonts w:ascii="Times New Roman" w:hAnsi="Times New Roman" w:cs="Times New Roman"/>
          <w:sz w:val="22"/>
          <w:szCs w:val="22"/>
        </w:rPr>
        <w:t>Michael</w:t>
      </w:r>
      <w:r w:rsidR="00BC29BA" w:rsidRPr="00047A9D">
        <w:rPr>
          <w:rFonts w:ascii="Times New Roman" w:hAnsi="Times New Roman" w:cs="Times New Roman"/>
          <w:sz w:val="22"/>
          <w:szCs w:val="22"/>
        </w:rPr>
        <w:t xml:space="preserve"> Rothberg, </w:t>
      </w:r>
      <w:r w:rsidR="00EC09A2" w:rsidRPr="00047A9D">
        <w:rPr>
          <w:rFonts w:ascii="Times New Roman" w:hAnsi="Times New Roman" w:cs="Times New Roman"/>
          <w:i/>
          <w:sz w:val="22"/>
          <w:szCs w:val="22"/>
        </w:rPr>
        <w:t xml:space="preserve">Multidirectional Memory: Remembering the Holocaust </w:t>
      </w:r>
      <w:r w:rsidR="00BC29BA" w:rsidRPr="00047A9D">
        <w:rPr>
          <w:rFonts w:ascii="Times New Roman" w:hAnsi="Times New Roman" w:cs="Times New Roman"/>
          <w:i/>
          <w:sz w:val="22"/>
          <w:szCs w:val="22"/>
        </w:rPr>
        <w:t>i</w:t>
      </w:r>
      <w:r w:rsidR="00EC09A2" w:rsidRPr="00047A9D">
        <w:rPr>
          <w:rFonts w:ascii="Times New Roman" w:hAnsi="Times New Roman" w:cs="Times New Roman"/>
          <w:i/>
          <w:sz w:val="22"/>
          <w:szCs w:val="22"/>
        </w:rPr>
        <w:t>n the Age of Decolonization</w:t>
      </w:r>
      <w:r w:rsidR="00BC29BA" w:rsidRPr="00047A9D">
        <w:rPr>
          <w:rFonts w:ascii="Times New Roman" w:hAnsi="Times New Roman" w:cs="Times New Roman"/>
          <w:sz w:val="22"/>
          <w:szCs w:val="22"/>
        </w:rPr>
        <w:t xml:space="preserve"> (</w:t>
      </w:r>
      <w:r w:rsidR="00EC09A2" w:rsidRPr="00047A9D">
        <w:rPr>
          <w:rFonts w:ascii="Times New Roman" w:hAnsi="Times New Roman" w:cs="Times New Roman"/>
          <w:sz w:val="22"/>
          <w:szCs w:val="22"/>
        </w:rPr>
        <w:t>Stanford, Calif</w:t>
      </w:r>
      <w:r w:rsidR="00BC29BA" w:rsidRPr="00047A9D">
        <w:rPr>
          <w:rFonts w:ascii="Times New Roman" w:hAnsi="Times New Roman" w:cs="Times New Roman"/>
          <w:sz w:val="22"/>
          <w:szCs w:val="22"/>
        </w:rPr>
        <w:t>ornia</w:t>
      </w:r>
      <w:r w:rsidR="00EC09A2" w:rsidRPr="00047A9D">
        <w:rPr>
          <w:rFonts w:ascii="Times New Roman" w:hAnsi="Times New Roman" w:cs="Times New Roman"/>
          <w:sz w:val="22"/>
          <w:szCs w:val="22"/>
        </w:rPr>
        <w:t>: Stanford University Press, 2009</w:t>
      </w:r>
      <w:r w:rsidR="001F271D" w:rsidRPr="00047A9D">
        <w:rPr>
          <w:rFonts w:ascii="Times New Roman" w:hAnsi="Times New Roman" w:cs="Times New Roman"/>
          <w:sz w:val="22"/>
          <w:szCs w:val="22"/>
        </w:rPr>
        <w:t>), p</w:t>
      </w:r>
      <w:r w:rsidR="000D6E40" w:rsidRPr="00047A9D">
        <w:rPr>
          <w:rFonts w:ascii="Times New Roman" w:hAnsi="Times New Roman" w:cs="Times New Roman"/>
          <w:sz w:val="22"/>
          <w:szCs w:val="22"/>
        </w:rPr>
        <w:t>p</w:t>
      </w:r>
      <w:r w:rsidR="001F271D" w:rsidRPr="00047A9D">
        <w:rPr>
          <w:rFonts w:ascii="Times New Roman" w:hAnsi="Times New Roman" w:cs="Times New Roman"/>
          <w:sz w:val="22"/>
          <w:szCs w:val="22"/>
        </w:rPr>
        <w:t>.7</w:t>
      </w:r>
      <w:r w:rsidR="000D6E40" w:rsidRPr="00047A9D">
        <w:rPr>
          <w:rFonts w:ascii="Times New Roman" w:hAnsi="Times New Roman" w:cs="Times New Roman"/>
          <w:sz w:val="22"/>
          <w:szCs w:val="22"/>
        </w:rPr>
        <w:t xml:space="preserve">, 25; </w:t>
      </w:r>
      <w:r w:rsidR="000007DC" w:rsidRPr="00047A9D">
        <w:rPr>
          <w:rFonts w:ascii="Times New Roman" w:hAnsi="Times New Roman" w:cs="Times New Roman"/>
          <w:sz w:val="22"/>
          <w:szCs w:val="22"/>
        </w:rPr>
        <w:t xml:space="preserve">Michael Rothberg ‘Multidirectional Memory’, in </w:t>
      </w:r>
      <w:r w:rsidR="000007DC" w:rsidRPr="00047A9D">
        <w:rPr>
          <w:rFonts w:ascii="Times New Roman" w:hAnsi="Times New Roman" w:cs="Times New Roman"/>
          <w:i/>
          <w:sz w:val="22"/>
          <w:szCs w:val="22"/>
        </w:rPr>
        <w:t>Testimony Between History and Memory</w:t>
      </w:r>
      <w:r w:rsidR="000007DC" w:rsidRPr="00047A9D">
        <w:rPr>
          <w:rFonts w:ascii="Times New Roman" w:hAnsi="Times New Roman" w:cs="Times New Roman"/>
          <w:sz w:val="22"/>
          <w:szCs w:val="22"/>
        </w:rPr>
        <w:t xml:space="preserve"> 119 (December 2014), </w:t>
      </w:r>
      <w:r w:rsidR="00476B6E" w:rsidRPr="00047A9D">
        <w:rPr>
          <w:rFonts w:ascii="Times New Roman" w:hAnsi="Times New Roman" w:cs="Times New Roman"/>
          <w:sz w:val="22"/>
          <w:szCs w:val="22"/>
        </w:rPr>
        <w:t xml:space="preserve">172-83, </w:t>
      </w:r>
      <w:r w:rsidR="00E7178A" w:rsidRPr="00047A9D">
        <w:rPr>
          <w:rFonts w:ascii="Times New Roman" w:hAnsi="Times New Roman" w:cs="Times New Roman"/>
          <w:sz w:val="22"/>
          <w:szCs w:val="22"/>
        </w:rPr>
        <w:t>p.176.</w:t>
      </w:r>
    </w:p>
  </w:footnote>
  <w:footnote w:id="610">
    <w:p w14:paraId="44A96BD0" w14:textId="4BC65F67" w:rsidR="00A64202" w:rsidRPr="00047A9D" w:rsidRDefault="00A6420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D22F7" w:rsidRPr="00047A9D">
        <w:rPr>
          <w:rFonts w:ascii="Times New Roman" w:hAnsi="Times New Roman" w:cs="Times New Roman"/>
          <w:sz w:val="22"/>
          <w:szCs w:val="22"/>
        </w:rPr>
        <w:t>M</w:t>
      </w:r>
      <w:r w:rsidR="00986C64" w:rsidRPr="00047A9D">
        <w:rPr>
          <w:rFonts w:ascii="Times New Roman" w:hAnsi="Times New Roman" w:cs="Times New Roman"/>
          <w:sz w:val="22"/>
          <w:szCs w:val="22"/>
        </w:rPr>
        <w:t xml:space="preserve">iriam Hansen, </w:t>
      </w:r>
      <w:r w:rsidR="00FD22F7" w:rsidRPr="00047A9D">
        <w:rPr>
          <w:rFonts w:ascii="Times New Roman" w:hAnsi="Times New Roman" w:cs="Times New Roman"/>
          <w:sz w:val="22"/>
          <w:szCs w:val="22"/>
        </w:rPr>
        <w:t>‘</w:t>
      </w:r>
      <w:r w:rsidR="00FD22F7" w:rsidRPr="00047A9D">
        <w:rPr>
          <w:rFonts w:ascii="Times New Roman" w:hAnsi="Times New Roman" w:cs="Times New Roman"/>
          <w:i/>
          <w:sz w:val="22"/>
          <w:szCs w:val="22"/>
        </w:rPr>
        <w:t>Schindler’s</w:t>
      </w:r>
      <w:r w:rsidR="00986C64" w:rsidRPr="00047A9D">
        <w:rPr>
          <w:rFonts w:ascii="Times New Roman" w:hAnsi="Times New Roman" w:cs="Times New Roman"/>
          <w:i/>
          <w:sz w:val="22"/>
          <w:szCs w:val="22"/>
        </w:rPr>
        <w:t xml:space="preserve"> List</w:t>
      </w:r>
      <w:r w:rsidR="00986C64" w:rsidRPr="00047A9D">
        <w:rPr>
          <w:rFonts w:ascii="Times New Roman" w:hAnsi="Times New Roman" w:cs="Times New Roman"/>
          <w:sz w:val="22"/>
          <w:szCs w:val="22"/>
        </w:rPr>
        <w:t xml:space="preserve"> </w:t>
      </w:r>
      <w:r w:rsidR="00FD22F7" w:rsidRPr="00047A9D">
        <w:rPr>
          <w:rFonts w:ascii="Times New Roman" w:hAnsi="Times New Roman" w:cs="Times New Roman"/>
          <w:sz w:val="22"/>
          <w:szCs w:val="22"/>
        </w:rPr>
        <w:t>i</w:t>
      </w:r>
      <w:r w:rsidR="00986C64" w:rsidRPr="00047A9D">
        <w:rPr>
          <w:rFonts w:ascii="Times New Roman" w:hAnsi="Times New Roman" w:cs="Times New Roman"/>
          <w:sz w:val="22"/>
          <w:szCs w:val="22"/>
        </w:rPr>
        <w:t xml:space="preserve">s </w:t>
      </w:r>
      <w:r w:rsidR="00FD22F7" w:rsidRPr="00047A9D">
        <w:rPr>
          <w:rFonts w:ascii="Times New Roman" w:hAnsi="Times New Roman" w:cs="Times New Roman"/>
          <w:sz w:val="22"/>
          <w:szCs w:val="22"/>
        </w:rPr>
        <w:t>n</w:t>
      </w:r>
      <w:r w:rsidR="00986C64" w:rsidRPr="00047A9D">
        <w:rPr>
          <w:rFonts w:ascii="Times New Roman" w:hAnsi="Times New Roman" w:cs="Times New Roman"/>
          <w:sz w:val="22"/>
          <w:szCs w:val="22"/>
        </w:rPr>
        <w:t xml:space="preserve">ot </w:t>
      </w:r>
      <w:r w:rsidR="00986C64" w:rsidRPr="00047A9D">
        <w:rPr>
          <w:rFonts w:ascii="Times New Roman" w:hAnsi="Times New Roman" w:cs="Times New Roman"/>
          <w:i/>
          <w:sz w:val="22"/>
          <w:szCs w:val="22"/>
        </w:rPr>
        <w:t>Shoah</w:t>
      </w:r>
      <w:r w:rsidR="00986C64" w:rsidRPr="00047A9D">
        <w:rPr>
          <w:rFonts w:ascii="Times New Roman" w:hAnsi="Times New Roman" w:cs="Times New Roman"/>
          <w:sz w:val="22"/>
          <w:szCs w:val="22"/>
        </w:rPr>
        <w:t>: The Second Commandment, Popular Modernism, and Public Memory</w:t>
      </w:r>
      <w:r w:rsidR="00FD22F7" w:rsidRPr="00047A9D">
        <w:rPr>
          <w:rFonts w:ascii="Times New Roman" w:hAnsi="Times New Roman" w:cs="Times New Roman"/>
          <w:sz w:val="22"/>
          <w:szCs w:val="22"/>
        </w:rPr>
        <w:t>’,</w:t>
      </w:r>
      <w:r w:rsidR="00986C64" w:rsidRPr="00047A9D">
        <w:rPr>
          <w:rFonts w:ascii="Times New Roman" w:hAnsi="Times New Roman" w:cs="Times New Roman"/>
          <w:sz w:val="22"/>
          <w:szCs w:val="22"/>
        </w:rPr>
        <w:t xml:space="preserve"> Critical Inquiry 22.2 (1996)</w:t>
      </w:r>
      <w:r w:rsidR="00FD22F7" w:rsidRPr="00047A9D">
        <w:rPr>
          <w:rFonts w:ascii="Times New Roman" w:hAnsi="Times New Roman" w:cs="Times New Roman"/>
          <w:sz w:val="22"/>
          <w:szCs w:val="22"/>
        </w:rPr>
        <w:t xml:space="preserve">, </w:t>
      </w:r>
      <w:r w:rsidR="00203D4B" w:rsidRPr="00047A9D">
        <w:rPr>
          <w:rFonts w:ascii="Times New Roman" w:hAnsi="Times New Roman" w:cs="Times New Roman"/>
          <w:sz w:val="22"/>
          <w:szCs w:val="22"/>
        </w:rPr>
        <w:t xml:space="preserve">292-312, </w:t>
      </w:r>
      <w:r w:rsidR="003A1885" w:rsidRPr="00047A9D">
        <w:rPr>
          <w:rFonts w:ascii="Times New Roman" w:hAnsi="Times New Roman" w:cs="Times New Roman"/>
          <w:sz w:val="22"/>
          <w:szCs w:val="22"/>
        </w:rPr>
        <w:t>p.311.</w:t>
      </w:r>
    </w:p>
  </w:footnote>
  <w:footnote w:id="611">
    <w:p w14:paraId="77440C0A" w14:textId="538A5F92" w:rsidR="004A67BD" w:rsidRPr="00047A9D" w:rsidRDefault="004A67B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E253C" w:rsidRPr="00047A9D">
        <w:rPr>
          <w:rFonts w:ascii="Times New Roman" w:hAnsi="Times New Roman" w:cs="Times New Roman"/>
          <w:sz w:val="22"/>
          <w:szCs w:val="22"/>
        </w:rPr>
        <w:t>Rothberg</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 xml:space="preserve">Multidirectional Memory, </w:t>
      </w:r>
      <w:r w:rsidRPr="00047A9D">
        <w:rPr>
          <w:rFonts w:ascii="Times New Roman" w:hAnsi="Times New Roman" w:cs="Times New Roman"/>
          <w:sz w:val="22"/>
          <w:szCs w:val="22"/>
        </w:rPr>
        <w:t>p.12.</w:t>
      </w:r>
    </w:p>
  </w:footnote>
  <w:footnote w:id="612">
    <w:p w14:paraId="1FB64ADE" w14:textId="77777777" w:rsidR="009335E5" w:rsidRPr="00047A9D" w:rsidRDefault="009335E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Gillian Klein, ‘Race Relations in the School Curriculum: Rationale and Resources’, </w:t>
      </w:r>
      <w:r w:rsidRPr="00047A9D">
        <w:rPr>
          <w:rFonts w:ascii="Times New Roman" w:hAnsi="Times New Roman" w:cs="Times New Roman"/>
          <w:i/>
          <w:sz w:val="22"/>
          <w:szCs w:val="22"/>
        </w:rPr>
        <w:t>Briefing: An Independent Review of Social and Political Trends</w:t>
      </w:r>
      <w:r w:rsidRPr="00047A9D">
        <w:rPr>
          <w:rFonts w:ascii="Times New Roman" w:hAnsi="Times New Roman" w:cs="Times New Roman"/>
          <w:sz w:val="22"/>
          <w:szCs w:val="22"/>
        </w:rPr>
        <w:t xml:space="preserve"> 2.9 (November 1983), n.p.</w:t>
      </w:r>
    </w:p>
  </w:footnote>
  <w:footnote w:id="613">
    <w:p w14:paraId="2F62DABA" w14:textId="77777777" w:rsidR="009335E5" w:rsidRPr="00047A9D" w:rsidRDefault="009335E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LMA: ‘[Fact Sheet] 7.5: British Collaborators’, in </w:t>
      </w:r>
      <w:r w:rsidRPr="00047A9D">
        <w:rPr>
          <w:rFonts w:ascii="Times New Roman" w:hAnsi="Times New Roman" w:cs="Times New Roman"/>
          <w:i/>
          <w:sz w:val="22"/>
          <w:szCs w:val="22"/>
        </w:rPr>
        <w:t>Auschwitz: Yesterday’s Racism</w:t>
      </w:r>
      <w:r w:rsidRPr="00047A9D">
        <w:rPr>
          <w:rFonts w:ascii="Times New Roman" w:hAnsi="Times New Roman" w:cs="Times New Roman"/>
          <w:sz w:val="22"/>
          <w:szCs w:val="22"/>
        </w:rPr>
        <w:t>, ILEA/S/LR/10/262</w:t>
      </w:r>
      <w:r w:rsidRPr="00047A9D">
        <w:rPr>
          <w:rFonts w:ascii="Times New Roman" w:hAnsi="Times New Roman" w:cs="Times New Roman"/>
          <w:i/>
          <w:sz w:val="22"/>
          <w:szCs w:val="22"/>
        </w:rPr>
        <w:t>.</w:t>
      </w:r>
    </w:p>
  </w:footnote>
  <w:footnote w:id="614">
    <w:p w14:paraId="7E6DCE42" w14:textId="77777777" w:rsidR="009335E5" w:rsidRPr="00047A9D" w:rsidRDefault="009335E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File and Hinds, ‘World History’, in Straker-Welds (ed.), </w:t>
      </w:r>
      <w:r w:rsidRPr="00047A9D">
        <w:rPr>
          <w:rFonts w:ascii="Times New Roman" w:hAnsi="Times New Roman" w:cs="Times New Roman"/>
          <w:i/>
          <w:sz w:val="22"/>
          <w:szCs w:val="22"/>
        </w:rPr>
        <w:t xml:space="preserve">Education for a Multicultural Society, </w:t>
      </w:r>
      <w:r w:rsidRPr="00047A9D">
        <w:rPr>
          <w:rFonts w:ascii="Times New Roman" w:hAnsi="Times New Roman" w:cs="Times New Roman"/>
          <w:sz w:val="22"/>
          <w:szCs w:val="22"/>
        </w:rPr>
        <w:t>p.90.</w:t>
      </w:r>
    </w:p>
  </w:footnote>
  <w:footnote w:id="615">
    <w:p w14:paraId="558EBF20" w14:textId="06D85858" w:rsidR="009335E5" w:rsidRPr="00047A9D" w:rsidRDefault="009335E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Peter Farrar, ‘Report: Teaching the Holocaust’, </w:t>
      </w:r>
      <w:r w:rsidRPr="00047A9D">
        <w:rPr>
          <w:rFonts w:ascii="Times New Roman" w:hAnsi="Times New Roman" w:cs="Times New Roman"/>
          <w:i/>
          <w:sz w:val="22"/>
          <w:szCs w:val="22"/>
        </w:rPr>
        <w:t xml:space="preserve">Teaching History </w:t>
      </w:r>
      <w:r w:rsidRPr="00047A9D">
        <w:rPr>
          <w:rFonts w:ascii="Times New Roman" w:hAnsi="Times New Roman" w:cs="Times New Roman"/>
          <w:sz w:val="22"/>
          <w:szCs w:val="22"/>
        </w:rPr>
        <w:t>35 (February 1983), 24</w:t>
      </w:r>
      <w:r w:rsidR="0082338C">
        <w:rPr>
          <w:rFonts w:ascii="Times New Roman" w:hAnsi="Times New Roman" w:cs="Times New Roman"/>
          <w:sz w:val="22"/>
          <w:szCs w:val="22"/>
        </w:rPr>
        <w:t>, p.24</w:t>
      </w:r>
      <w:r w:rsidRPr="00047A9D">
        <w:rPr>
          <w:rFonts w:ascii="Times New Roman" w:hAnsi="Times New Roman" w:cs="Times New Roman"/>
          <w:sz w:val="22"/>
          <w:szCs w:val="22"/>
        </w:rPr>
        <w:t>.</w:t>
      </w:r>
    </w:p>
  </w:footnote>
  <w:footnote w:id="616">
    <w:p w14:paraId="03DDCEC2" w14:textId="5FCAA4A0" w:rsidR="006E253C" w:rsidRPr="00047A9D" w:rsidRDefault="006E253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660B6" w:rsidRPr="00047A9D">
        <w:rPr>
          <w:rFonts w:ascii="Times New Roman" w:hAnsi="Times New Roman" w:cs="Times New Roman"/>
          <w:sz w:val="22"/>
          <w:szCs w:val="22"/>
        </w:rPr>
        <w:t xml:space="preserve">File, ‘History’, in </w:t>
      </w:r>
      <w:r w:rsidRPr="00047A9D">
        <w:rPr>
          <w:rFonts w:ascii="Times New Roman" w:hAnsi="Times New Roman" w:cs="Times New Roman"/>
          <w:sz w:val="22"/>
          <w:szCs w:val="22"/>
        </w:rPr>
        <w:t xml:space="preserve">Craft and Bardell (eds), </w:t>
      </w:r>
      <w:r w:rsidRPr="00047A9D">
        <w:rPr>
          <w:rFonts w:ascii="Times New Roman" w:hAnsi="Times New Roman" w:cs="Times New Roman"/>
          <w:i/>
          <w:sz w:val="22"/>
          <w:szCs w:val="22"/>
        </w:rPr>
        <w:t xml:space="preserve">Curriculum Opportunities, </w:t>
      </w:r>
      <w:r w:rsidRPr="00047A9D">
        <w:rPr>
          <w:rFonts w:ascii="Times New Roman" w:hAnsi="Times New Roman" w:cs="Times New Roman"/>
          <w:sz w:val="22"/>
          <w:szCs w:val="22"/>
        </w:rPr>
        <w:t>p.</w:t>
      </w:r>
      <w:r w:rsidR="00F660B6" w:rsidRPr="00047A9D">
        <w:rPr>
          <w:rFonts w:ascii="Times New Roman" w:hAnsi="Times New Roman" w:cs="Times New Roman"/>
          <w:sz w:val="22"/>
          <w:szCs w:val="22"/>
        </w:rPr>
        <w:t>15.</w:t>
      </w:r>
    </w:p>
  </w:footnote>
  <w:footnote w:id="617">
    <w:p w14:paraId="2C4D8452" w14:textId="60C03288" w:rsidR="00C164A3" w:rsidRPr="00047A9D" w:rsidRDefault="00C164A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File, ‘History’, in Craft and Bardell (eds), </w:t>
      </w:r>
      <w:r w:rsidRPr="00047A9D">
        <w:rPr>
          <w:rFonts w:ascii="Times New Roman" w:hAnsi="Times New Roman" w:cs="Times New Roman"/>
          <w:i/>
          <w:sz w:val="22"/>
          <w:szCs w:val="22"/>
        </w:rPr>
        <w:t xml:space="preserve">Curriculum Opportunities, </w:t>
      </w:r>
      <w:r w:rsidRPr="00047A9D">
        <w:rPr>
          <w:rFonts w:ascii="Times New Roman" w:hAnsi="Times New Roman" w:cs="Times New Roman"/>
          <w:sz w:val="22"/>
          <w:szCs w:val="22"/>
        </w:rPr>
        <w:t>p.15.</w:t>
      </w:r>
    </w:p>
  </w:footnote>
  <w:footnote w:id="618">
    <w:p w14:paraId="389246E1" w14:textId="2E5FAE82" w:rsidR="00AA0F70" w:rsidRPr="00047A9D" w:rsidRDefault="00AA0F7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047B3" w:rsidRPr="00047A9D">
        <w:rPr>
          <w:rFonts w:ascii="Times New Roman" w:hAnsi="Times New Roman" w:cs="Times New Roman"/>
          <w:sz w:val="22"/>
          <w:szCs w:val="22"/>
        </w:rPr>
        <w:t xml:space="preserve">Brittan, </w:t>
      </w:r>
      <w:r w:rsidR="007047B3" w:rsidRPr="00047A9D">
        <w:rPr>
          <w:rFonts w:ascii="Times New Roman" w:hAnsi="Times New Roman" w:cs="Times New Roman"/>
          <w:i/>
          <w:sz w:val="22"/>
          <w:szCs w:val="22"/>
        </w:rPr>
        <w:t>Education for a Multiracial Society</w:t>
      </w:r>
      <w:r w:rsidR="00741262" w:rsidRPr="00047A9D">
        <w:rPr>
          <w:rFonts w:ascii="Times New Roman" w:hAnsi="Times New Roman" w:cs="Times New Roman"/>
          <w:sz w:val="22"/>
          <w:szCs w:val="22"/>
        </w:rPr>
        <w:t xml:space="preserve">, </w:t>
      </w:r>
      <w:r w:rsidR="007F2A58" w:rsidRPr="00047A9D">
        <w:rPr>
          <w:rFonts w:ascii="Times New Roman" w:hAnsi="Times New Roman" w:cs="Times New Roman"/>
          <w:sz w:val="22"/>
          <w:szCs w:val="22"/>
        </w:rPr>
        <w:t>p.153.</w:t>
      </w:r>
    </w:p>
  </w:footnote>
  <w:footnote w:id="619">
    <w:p w14:paraId="66CBCA58" w14:textId="55F547FE" w:rsidR="00ED2A52" w:rsidRPr="00047A9D" w:rsidRDefault="00ED2A5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Gaine, </w:t>
      </w:r>
      <w:r w:rsidRPr="00047A9D">
        <w:rPr>
          <w:rFonts w:ascii="Times New Roman" w:hAnsi="Times New Roman" w:cs="Times New Roman"/>
          <w:i/>
          <w:sz w:val="22"/>
          <w:szCs w:val="22"/>
        </w:rPr>
        <w:t>No Problem Here.</w:t>
      </w:r>
    </w:p>
  </w:footnote>
  <w:footnote w:id="620">
    <w:p w14:paraId="20892248" w14:textId="502AACCD" w:rsidR="00741262" w:rsidRPr="00047A9D" w:rsidRDefault="0074126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C4C37" w:rsidRPr="00047A9D">
        <w:rPr>
          <w:rFonts w:ascii="Times New Roman" w:hAnsi="Times New Roman" w:cs="Times New Roman"/>
          <w:sz w:val="22"/>
          <w:szCs w:val="22"/>
        </w:rPr>
        <w:t xml:space="preserve">The ILEA issued specific guidelines on the teaching of controversial subjects. See </w:t>
      </w:r>
      <w:r w:rsidR="00B84EAB" w:rsidRPr="00047A9D">
        <w:rPr>
          <w:rFonts w:ascii="Times New Roman" w:hAnsi="Times New Roman" w:cs="Times New Roman"/>
          <w:sz w:val="22"/>
          <w:szCs w:val="22"/>
        </w:rPr>
        <w:t>ILEA</w:t>
      </w:r>
      <w:r w:rsidR="00A37507" w:rsidRPr="00047A9D">
        <w:rPr>
          <w:rFonts w:ascii="Times New Roman" w:hAnsi="Times New Roman" w:cs="Times New Roman"/>
          <w:sz w:val="22"/>
          <w:szCs w:val="22"/>
        </w:rPr>
        <w:t xml:space="preserve">, </w:t>
      </w:r>
      <w:r w:rsidR="00A37507" w:rsidRPr="00047A9D">
        <w:rPr>
          <w:rFonts w:ascii="Times New Roman" w:hAnsi="Times New Roman" w:cs="Times New Roman"/>
          <w:i/>
          <w:sz w:val="22"/>
          <w:szCs w:val="22"/>
        </w:rPr>
        <w:t>The Teaching of Controversial Issues in Schools: Advice from the Inspectorate</w:t>
      </w:r>
      <w:r w:rsidR="00A37507" w:rsidRPr="00047A9D">
        <w:rPr>
          <w:rFonts w:ascii="Times New Roman" w:hAnsi="Times New Roman" w:cs="Times New Roman"/>
          <w:sz w:val="22"/>
          <w:szCs w:val="22"/>
        </w:rPr>
        <w:t xml:space="preserve"> (London:</w:t>
      </w:r>
      <w:r w:rsidR="003D4B13" w:rsidRPr="00047A9D">
        <w:rPr>
          <w:rFonts w:ascii="Times New Roman" w:hAnsi="Times New Roman" w:cs="Times New Roman"/>
          <w:sz w:val="22"/>
          <w:szCs w:val="22"/>
        </w:rPr>
        <w:t xml:space="preserve"> </w:t>
      </w:r>
      <w:r w:rsidR="00A37507" w:rsidRPr="00047A9D">
        <w:rPr>
          <w:rFonts w:ascii="Times New Roman" w:hAnsi="Times New Roman" w:cs="Times New Roman"/>
          <w:sz w:val="22"/>
          <w:szCs w:val="22"/>
        </w:rPr>
        <w:t>ILEA, 1986)</w:t>
      </w:r>
      <w:r w:rsidR="00371714" w:rsidRPr="00047A9D">
        <w:rPr>
          <w:rFonts w:ascii="Times New Roman" w:hAnsi="Times New Roman" w:cs="Times New Roman"/>
          <w:sz w:val="22"/>
          <w:szCs w:val="22"/>
        </w:rPr>
        <w:t>.</w:t>
      </w:r>
    </w:p>
  </w:footnote>
  <w:footnote w:id="621">
    <w:p w14:paraId="2BBCAF47" w14:textId="7FC08285" w:rsidR="00FF51EA" w:rsidRPr="00047A9D" w:rsidRDefault="00FF51E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77B5B" w:rsidRPr="00047A9D">
        <w:rPr>
          <w:rFonts w:ascii="Times New Roman" w:hAnsi="Times New Roman" w:cs="Times New Roman"/>
          <w:sz w:val="22"/>
          <w:szCs w:val="22"/>
        </w:rPr>
        <w:t xml:space="preserve">Keith Joseph, </w:t>
      </w:r>
      <w:r w:rsidR="001D435B" w:rsidRPr="00047A9D">
        <w:rPr>
          <w:rFonts w:ascii="Times New Roman" w:hAnsi="Times New Roman" w:cs="Times New Roman"/>
          <w:sz w:val="22"/>
          <w:szCs w:val="22"/>
        </w:rPr>
        <w:t>‘</w:t>
      </w:r>
      <w:r w:rsidR="00377B5B" w:rsidRPr="00047A9D">
        <w:rPr>
          <w:rFonts w:ascii="Times New Roman" w:hAnsi="Times New Roman" w:cs="Times New Roman"/>
          <w:sz w:val="22"/>
          <w:szCs w:val="22"/>
        </w:rPr>
        <w:t>Educating People for Peace: Report of a One Day Conference on Peace Education in Schools</w:t>
      </w:r>
      <w:r w:rsidR="001D435B" w:rsidRPr="00047A9D">
        <w:rPr>
          <w:rFonts w:ascii="Times New Roman" w:hAnsi="Times New Roman" w:cs="Times New Roman"/>
          <w:sz w:val="22"/>
          <w:szCs w:val="22"/>
        </w:rPr>
        <w:t>’</w:t>
      </w:r>
      <w:r w:rsidR="00377B5B" w:rsidRPr="00047A9D">
        <w:rPr>
          <w:rFonts w:ascii="Times New Roman" w:hAnsi="Times New Roman" w:cs="Times New Roman"/>
          <w:sz w:val="22"/>
          <w:szCs w:val="22"/>
        </w:rPr>
        <w:t>, 3 March 1984, p.5, quoted in ILEA</w:t>
      </w:r>
      <w:r w:rsidR="00377B5B" w:rsidRPr="00047A9D">
        <w:rPr>
          <w:rFonts w:ascii="Times New Roman" w:hAnsi="Times New Roman" w:cs="Times New Roman"/>
          <w:i/>
          <w:sz w:val="22"/>
          <w:szCs w:val="22"/>
        </w:rPr>
        <w:t xml:space="preserve">, Teaching of Controversial Issues </w:t>
      </w:r>
      <w:r w:rsidR="00377B5B" w:rsidRPr="00047A9D">
        <w:rPr>
          <w:rFonts w:ascii="Times New Roman" w:hAnsi="Times New Roman" w:cs="Times New Roman"/>
          <w:sz w:val="22"/>
          <w:szCs w:val="22"/>
        </w:rPr>
        <w:t>(</w:t>
      </w:r>
      <w:r w:rsidR="001D435B" w:rsidRPr="00047A9D">
        <w:rPr>
          <w:rFonts w:ascii="Times New Roman" w:hAnsi="Times New Roman" w:cs="Times New Roman"/>
          <w:sz w:val="22"/>
          <w:szCs w:val="22"/>
        </w:rPr>
        <w:t>1986</w:t>
      </w:r>
      <w:r w:rsidR="00377B5B" w:rsidRPr="00047A9D">
        <w:rPr>
          <w:rFonts w:ascii="Times New Roman" w:hAnsi="Times New Roman" w:cs="Times New Roman"/>
          <w:sz w:val="22"/>
          <w:szCs w:val="22"/>
        </w:rPr>
        <w:t>), p.12.</w:t>
      </w:r>
    </w:p>
  </w:footnote>
  <w:footnote w:id="622">
    <w:p w14:paraId="64DB3FDB" w14:textId="34C1D0F5" w:rsidR="00976604" w:rsidRPr="00047A9D" w:rsidRDefault="0049134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76604" w:rsidRPr="00047A9D">
        <w:rPr>
          <w:rFonts w:ascii="Times New Roman" w:hAnsi="Times New Roman" w:cs="Times New Roman"/>
          <w:sz w:val="22"/>
          <w:szCs w:val="22"/>
        </w:rPr>
        <w:t xml:space="preserve">Sarah Marsh, ‘The Top 10 Most Popular History Topics Taught to A-Level Students – In Pictures’, </w:t>
      </w:r>
      <w:r w:rsidR="00976604" w:rsidRPr="00047A9D">
        <w:rPr>
          <w:rFonts w:ascii="Times New Roman" w:hAnsi="Times New Roman" w:cs="Times New Roman"/>
          <w:i/>
          <w:sz w:val="22"/>
          <w:szCs w:val="22"/>
        </w:rPr>
        <w:t>Guardian</w:t>
      </w:r>
      <w:r w:rsidR="00976604" w:rsidRPr="00047A9D">
        <w:rPr>
          <w:rFonts w:ascii="Times New Roman" w:hAnsi="Times New Roman" w:cs="Times New Roman"/>
          <w:sz w:val="22"/>
          <w:szCs w:val="22"/>
        </w:rPr>
        <w:t>, 13 August 2014</w:t>
      </w:r>
      <w:r w:rsidR="0082338C">
        <w:rPr>
          <w:rFonts w:ascii="Times New Roman" w:hAnsi="Times New Roman" w:cs="Times New Roman"/>
          <w:sz w:val="22"/>
          <w:szCs w:val="22"/>
        </w:rPr>
        <w:t>,</w:t>
      </w:r>
    </w:p>
    <w:p w14:paraId="14747657" w14:textId="3AA1B871" w:rsidR="00491349" w:rsidRPr="00047A9D" w:rsidRDefault="00976604" w:rsidP="00D839D4">
      <w:pPr>
        <w:pStyle w:val="FootnoteText"/>
        <w:spacing w:line="360" w:lineRule="auto"/>
        <w:rPr>
          <w:rFonts w:ascii="Times New Roman" w:hAnsi="Times New Roman" w:cs="Times New Roman"/>
          <w:sz w:val="22"/>
          <w:szCs w:val="22"/>
        </w:rPr>
      </w:pPr>
      <w:r w:rsidRPr="00047A9D">
        <w:rPr>
          <w:rFonts w:ascii="Times New Roman" w:hAnsi="Times New Roman" w:cs="Times New Roman"/>
          <w:sz w:val="22"/>
          <w:szCs w:val="22"/>
        </w:rPr>
        <w:t>&lt;https://www.theguardian.com/teacher-network/teacher-blog/gallery/2014/aug/13/top-10-most-popular-history-topics-alevel-students&gt; [accessed 14 January 2024]. Similarly, an open survey of people who had studied history within the British education system, which gained 56,467 responses, found that no topic with a substantial focus on race and racism ranked in the top seven most studied topics. However, number eight on the list was ‘The Civil Rights Movement’, which 23,790 people claimed to have studied. The study was conducted by the Impact of Omission. Raw and collated data can be downloaded from Impact of Omission, ‘Survey’, 1 March 2021</w:t>
      </w:r>
      <w:r w:rsidR="0082338C">
        <w:rPr>
          <w:rFonts w:ascii="Times New Roman" w:hAnsi="Times New Roman" w:cs="Times New Roman"/>
          <w:sz w:val="22"/>
          <w:szCs w:val="22"/>
        </w:rPr>
        <w:t xml:space="preserve">, </w:t>
      </w:r>
      <w:r w:rsidRPr="00047A9D">
        <w:rPr>
          <w:rFonts w:ascii="Times New Roman" w:hAnsi="Times New Roman" w:cs="Times New Roman"/>
          <w:sz w:val="22"/>
          <w:szCs w:val="22"/>
        </w:rPr>
        <w:t>&lt;https://impactofomission.squarespace.com/survey&gt; [accessed 14 January 2024].</w:t>
      </w:r>
    </w:p>
  </w:footnote>
  <w:footnote w:id="623">
    <w:p w14:paraId="199AD6F2" w14:textId="72F24B6C" w:rsidR="002155D6" w:rsidRPr="00047A9D" w:rsidRDefault="004443A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D69E1" w:rsidRPr="00047A9D">
        <w:rPr>
          <w:rFonts w:ascii="Times New Roman" w:hAnsi="Times New Roman" w:cs="Times New Roman"/>
          <w:sz w:val="22"/>
          <w:szCs w:val="22"/>
        </w:rPr>
        <w:t xml:space="preserve">Katherine Burn and Richard Harris, </w:t>
      </w:r>
      <w:r w:rsidR="009D69E1" w:rsidRPr="00047A9D">
        <w:rPr>
          <w:rFonts w:ascii="Times New Roman" w:hAnsi="Times New Roman" w:cs="Times New Roman"/>
          <w:i/>
          <w:sz w:val="22"/>
          <w:szCs w:val="22"/>
        </w:rPr>
        <w:t>Historical Association Secondary Survey 2021</w:t>
      </w:r>
      <w:r w:rsidR="009D69E1" w:rsidRPr="00047A9D">
        <w:rPr>
          <w:rFonts w:ascii="Times New Roman" w:hAnsi="Times New Roman" w:cs="Times New Roman"/>
          <w:sz w:val="22"/>
          <w:szCs w:val="22"/>
        </w:rPr>
        <w:t xml:space="preserve">, pp.2, 19, downloaded from ‘Historical Association Secondary Survey 2021: Annual Survey Report on History in Secondary Schools’, </w:t>
      </w:r>
      <w:r w:rsidR="009D69E1" w:rsidRPr="00047A9D">
        <w:rPr>
          <w:rFonts w:ascii="Times New Roman" w:hAnsi="Times New Roman" w:cs="Times New Roman"/>
          <w:i/>
          <w:sz w:val="22"/>
          <w:szCs w:val="22"/>
        </w:rPr>
        <w:t>Historical Association</w:t>
      </w:r>
      <w:r w:rsidR="009D69E1" w:rsidRPr="00047A9D">
        <w:rPr>
          <w:rFonts w:ascii="Times New Roman" w:hAnsi="Times New Roman" w:cs="Times New Roman"/>
          <w:sz w:val="22"/>
          <w:szCs w:val="22"/>
        </w:rPr>
        <w:t>, 22 October 2021</w:t>
      </w:r>
      <w:r w:rsidR="0082338C">
        <w:rPr>
          <w:rFonts w:ascii="Times New Roman" w:hAnsi="Times New Roman" w:cs="Times New Roman"/>
          <w:sz w:val="22"/>
          <w:szCs w:val="22"/>
        </w:rPr>
        <w:t xml:space="preserve">, </w:t>
      </w:r>
      <w:r w:rsidR="007A3ADA" w:rsidRPr="00047A9D">
        <w:rPr>
          <w:rFonts w:ascii="Times New Roman" w:hAnsi="Times New Roman" w:cs="Times New Roman"/>
          <w:sz w:val="22"/>
          <w:szCs w:val="22"/>
        </w:rPr>
        <w:t>&lt;https://www.history.org.uk/secondary/categories/409/news/4014/historical-association-secondary-survey-2021&gt; [accessed 14 January 2024].</w:t>
      </w:r>
    </w:p>
  </w:footnote>
  <w:footnote w:id="624">
    <w:p w14:paraId="52A1EE0D" w14:textId="6DCCB398" w:rsidR="003E5501" w:rsidRPr="00047A9D" w:rsidRDefault="003E550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61A01" w:rsidRPr="00047A9D">
        <w:rPr>
          <w:rFonts w:ascii="Times New Roman" w:hAnsi="Times New Roman" w:cs="Times New Roman"/>
          <w:sz w:val="22"/>
          <w:szCs w:val="22"/>
        </w:rPr>
        <w:t xml:space="preserve">Reni Eddo-Lodge, </w:t>
      </w:r>
      <w:r w:rsidR="00C83748" w:rsidRPr="00047A9D">
        <w:rPr>
          <w:rFonts w:ascii="Times New Roman" w:hAnsi="Times New Roman" w:cs="Times New Roman"/>
          <w:i/>
          <w:sz w:val="22"/>
          <w:szCs w:val="22"/>
        </w:rPr>
        <w:t>Why I'm No Longer Talking to White People about Race</w:t>
      </w:r>
      <w:r w:rsidR="00661A01" w:rsidRPr="00047A9D">
        <w:rPr>
          <w:rFonts w:ascii="Times New Roman" w:hAnsi="Times New Roman" w:cs="Times New Roman"/>
          <w:i/>
          <w:sz w:val="22"/>
          <w:szCs w:val="22"/>
        </w:rPr>
        <w:t xml:space="preserve"> </w:t>
      </w:r>
      <w:r w:rsidR="00661A01" w:rsidRPr="00047A9D">
        <w:rPr>
          <w:rFonts w:ascii="Times New Roman" w:hAnsi="Times New Roman" w:cs="Times New Roman"/>
          <w:sz w:val="22"/>
          <w:szCs w:val="22"/>
        </w:rPr>
        <w:t>(</w:t>
      </w:r>
      <w:r w:rsidR="00403435" w:rsidRPr="00047A9D">
        <w:rPr>
          <w:rFonts w:ascii="Times New Roman" w:hAnsi="Times New Roman" w:cs="Times New Roman"/>
          <w:sz w:val="22"/>
          <w:szCs w:val="22"/>
        </w:rPr>
        <w:t>London: Bloomsbury Circus, 2017), p.1.</w:t>
      </w:r>
    </w:p>
  </w:footnote>
  <w:footnote w:id="625">
    <w:p w14:paraId="2B6F26D5" w14:textId="1ACEE89B" w:rsidR="00636156" w:rsidRPr="00047A9D" w:rsidRDefault="0063615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45E02" w:rsidRPr="00047A9D">
        <w:rPr>
          <w:rFonts w:ascii="Times New Roman" w:hAnsi="Times New Roman" w:cs="Times New Roman"/>
          <w:sz w:val="22"/>
          <w:szCs w:val="22"/>
        </w:rPr>
        <w:t xml:space="preserve">Webster, </w:t>
      </w:r>
      <w:r w:rsidR="00045E02" w:rsidRPr="00047A9D">
        <w:rPr>
          <w:rFonts w:ascii="Times New Roman" w:hAnsi="Times New Roman" w:cs="Times New Roman"/>
          <w:i/>
          <w:sz w:val="22"/>
          <w:szCs w:val="22"/>
        </w:rPr>
        <w:t>Englishness and Empire</w:t>
      </w:r>
      <w:r w:rsidR="00045E02" w:rsidRPr="00047A9D">
        <w:rPr>
          <w:rFonts w:ascii="Times New Roman" w:hAnsi="Times New Roman" w:cs="Times New Roman"/>
          <w:sz w:val="22"/>
          <w:szCs w:val="22"/>
        </w:rPr>
        <w:t>, pp.165, 173.</w:t>
      </w:r>
    </w:p>
  </w:footnote>
  <w:footnote w:id="626">
    <w:p w14:paraId="083C010A" w14:textId="77777777" w:rsidR="00E76653" w:rsidRPr="00047A9D" w:rsidRDefault="00E7665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Paul Goalen, ‘Multiculturalism and the Lower School History Syllabus: Towards a Practical Approach’,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xml:space="preserve"> 53 (October 1988), 8-16, p.13. For a related perspective, see Michelle Gordon, ‘Prospects for a Bewältigung of Extreme Violence in Britain’s Imperial Past’, </w:t>
      </w:r>
      <w:r w:rsidRPr="00047A9D">
        <w:rPr>
          <w:rFonts w:ascii="Times New Roman" w:hAnsi="Times New Roman" w:cs="Times New Roman"/>
          <w:i/>
          <w:sz w:val="22"/>
          <w:szCs w:val="22"/>
        </w:rPr>
        <w:t>Modern Languages Open</w:t>
      </w:r>
      <w:r w:rsidRPr="00047A9D">
        <w:rPr>
          <w:rFonts w:ascii="Times New Roman" w:hAnsi="Times New Roman" w:cs="Times New Roman"/>
          <w:sz w:val="22"/>
          <w:szCs w:val="22"/>
        </w:rPr>
        <w:t xml:space="preserve"> 1.1 (2020), 1–17.</w:t>
      </w:r>
    </w:p>
  </w:footnote>
  <w:footnote w:id="627">
    <w:p w14:paraId="13D8782A" w14:textId="544458DB" w:rsidR="00483D56" w:rsidRPr="00047A9D" w:rsidRDefault="00483D5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B12C4" w:rsidRPr="00047A9D">
        <w:rPr>
          <w:rFonts w:ascii="Times New Roman" w:hAnsi="Times New Roman" w:cs="Times New Roman"/>
          <w:sz w:val="22"/>
          <w:szCs w:val="22"/>
        </w:rPr>
        <w:t>Ambalavaner Sivanandan</w:t>
      </w:r>
      <w:r w:rsidR="006B12C4" w:rsidRPr="00047A9D">
        <w:rPr>
          <w:rFonts w:ascii="Times New Roman" w:hAnsi="Times New Roman" w:cs="Times New Roman"/>
          <w:i/>
          <w:sz w:val="22"/>
          <w:szCs w:val="22"/>
        </w:rPr>
        <w:t>, Catching History on the Wing: Race, Culture and Globalisation</w:t>
      </w:r>
      <w:r w:rsidR="006B12C4" w:rsidRPr="00047A9D">
        <w:rPr>
          <w:rFonts w:ascii="Times New Roman" w:hAnsi="Times New Roman" w:cs="Times New Roman"/>
          <w:sz w:val="22"/>
          <w:szCs w:val="22"/>
        </w:rPr>
        <w:t xml:space="preserve"> (London: Pluto, 2008), pp.147-48</w:t>
      </w:r>
      <w:r w:rsidR="00CD3187" w:rsidRPr="00047A9D">
        <w:rPr>
          <w:rFonts w:ascii="Times New Roman" w:hAnsi="Times New Roman" w:cs="Times New Roman"/>
          <w:sz w:val="22"/>
          <w:szCs w:val="22"/>
        </w:rPr>
        <w:t xml:space="preserve">, 157; Ambalavaner Sivanandan interviewed by Lou Kushnick and Paul Grant for </w:t>
      </w:r>
      <w:r w:rsidR="00CD3187" w:rsidRPr="00047A9D">
        <w:rPr>
          <w:rFonts w:ascii="Times New Roman" w:hAnsi="Times New Roman" w:cs="Times New Roman"/>
          <w:i/>
          <w:sz w:val="22"/>
          <w:szCs w:val="22"/>
        </w:rPr>
        <w:t>Against the Odds: Scholars who Challenged Racism in the Twentieth Century</w:t>
      </w:r>
      <w:r w:rsidR="00CD3187" w:rsidRPr="00047A9D">
        <w:rPr>
          <w:rFonts w:ascii="Times New Roman" w:hAnsi="Times New Roman" w:cs="Times New Roman"/>
          <w:sz w:val="22"/>
          <w:szCs w:val="22"/>
        </w:rPr>
        <w:t>, ‘Catching History on the Wing: A. Sivanandan as Activist, Teacher, Rebel’, 19 March 2001</w:t>
      </w:r>
      <w:r w:rsidR="0082338C">
        <w:rPr>
          <w:rFonts w:ascii="Times New Roman" w:hAnsi="Times New Roman" w:cs="Times New Roman"/>
          <w:sz w:val="22"/>
          <w:szCs w:val="22"/>
        </w:rPr>
        <w:t>,</w:t>
      </w:r>
      <w:r w:rsidR="00CD3187" w:rsidRPr="00047A9D">
        <w:rPr>
          <w:rFonts w:ascii="Times New Roman" w:hAnsi="Times New Roman" w:cs="Times New Roman"/>
          <w:sz w:val="22"/>
          <w:szCs w:val="22"/>
        </w:rPr>
        <w:t xml:space="preserve"> &lt;https://asivanandan.com/catching-history-on-the-wing-a-sivanandan-as-activist-teacher-and-rebel/&gt; [accessed 15 January 2024].</w:t>
      </w:r>
    </w:p>
  </w:footnote>
  <w:footnote w:id="628">
    <w:p w14:paraId="44444C74" w14:textId="76571E1D" w:rsidR="004633BC" w:rsidRPr="00047A9D" w:rsidRDefault="004633BC"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A5C21" w:rsidRPr="00047A9D">
        <w:rPr>
          <w:rFonts w:ascii="Times New Roman" w:hAnsi="Times New Roman" w:cs="Times New Roman"/>
          <w:sz w:val="22"/>
          <w:szCs w:val="22"/>
        </w:rPr>
        <w:t>Sivanandan</w:t>
      </w:r>
      <w:r w:rsidR="004A5C21" w:rsidRPr="00047A9D">
        <w:rPr>
          <w:rFonts w:ascii="Times New Roman" w:hAnsi="Times New Roman" w:cs="Times New Roman"/>
          <w:i/>
          <w:sz w:val="22"/>
          <w:szCs w:val="22"/>
        </w:rPr>
        <w:t>, Catching History</w:t>
      </w:r>
      <w:r w:rsidR="00BF6F25" w:rsidRPr="00047A9D">
        <w:rPr>
          <w:rFonts w:ascii="Times New Roman" w:hAnsi="Times New Roman" w:cs="Times New Roman"/>
          <w:iCs/>
          <w:sz w:val="22"/>
          <w:szCs w:val="22"/>
        </w:rPr>
        <w:t>, p.153.</w:t>
      </w:r>
    </w:p>
  </w:footnote>
  <w:footnote w:id="629">
    <w:p w14:paraId="533AC79F" w14:textId="2AFDA4CE" w:rsidR="004F0359" w:rsidRPr="00047A9D" w:rsidRDefault="004F035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43BF1" w:rsidRPr="00047A9D">
        <w:rPr>
          <w:rFonts w:ascii="Times New Roman" w:hAnsi="Times New Roman" w:cs="Times New Roman"/>
          <w:sz w:val="22"/>
          <w:szCs w:val="22"/>
        </w:rPr>
        <w:t xml:space="preserve">DES, </w:t>
      </w:r>
      <w:r w:rsidR="00943BF1" w:rsidRPr="00047A9D">
        <w:rPr>
          <w:rFonts w:ascii="Times New Roman" w:hAnsi="Times New Roman" w:cs="Times New Roman"/>
          <w:i/>
          <w:sz w:val="22"/>
          <w:szCs w:val="22"/>
        </w:rPr>
        <w:t>Rampton Report</w:t>
      </w:r>
      <w:r w:rsidR="00943BF1" w:rsidRPr="00047A9D">
        <w:rPr>
          <w:rFonts w:ascii="Times New Roman" w:hAnsi="Times New Roman" w:cs="Times New Roman"/>
          <w:sz w:val="22"/>
          <w:szCs w:val="22"/>
        </w:rPr>
        <w:t>, p</w:t>
      </w:r>
      <w:r w:rsidR="005D728A" w:rsidRPr="00047A9D">
        <w:rPr>
          <w:rFonts w:ascii="Times New Roman" w:hAnsi="Times New Roman" w:cs="Times New Roman"/>
          <w:sz w:val="22"/>
          <w:szCs w:val="22"/>
        </w:rPr>
        <w:t>.12.</w:t>
      </w:r>
    </w:p>
  </w:footnote>
  <w:footnote w:id="630">
    <w:p w14:paraId="07F260E5" w14:textId="49CE357D" w:rsidR="00D4609B" w:rsidRPr="00047A9D" w:rsidRDefault="00D4609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The following analysis is indebted to</w:t>
      </w:r>
      <w:r w:rsidR="00BB5B90" w:rsidRPr="00047A9D">
        <w:rPr>
          <w:rFonts w:ascii="Times New Roman" w:hAnsi="Times New Roman" w:cs="Times New Roman"/>
          <w:sz w:val="22"/>
          <w:szCs w:val="22"/>
        </w:rPr>
        <w:t xml:space="preserve"> Azfar Shafi and Ilyas Nagdee,</w:t>
      </w:r>
      <w:r w:rsidRPr="00047A9D">
        <w:rPr>
          <w:rFonts w:ascii="Times New Roman" w:hAnsi="Times New Roman" w:cs="Times New Roman"/>
          <w:sz w:val="22"/>
          <w:szCs w:val="22"/>
        </w:rPr>
        <w:t xml:space="preserve"> </w:t>
      </w:r>
      <w:r w:rsidR="00BB5B90" w:rsidRPr="00047A9D">
        <w:rPr>
          <w:rFonts w:ascii="Times New Roman" w:hAnsi="Times New Roman" w:cs="Times New Roman"/>
          <w:i/>
          <w:sz w:val="22"/>
          <w:szCs w:val="22"/>
        </w:rPr>
        <w:t>Race to the Bottom: Reclaiming Antiracism</w:t>
      </w:r>
      <w:r w:rsidR="00BB5B90" w:rsidRPr="00047A9D">
        <w:rPr>
          <w:rFonts w:ascii="Times New Roman" w:hAnsi="Times New Roman" w:cs="Times New Roman"/>
          <w:sz w:val="22"/>
          <w:szCs w:val="22"/>
        </w:rPr>
        <w:t xml:space="preserve"> (London: Pluto Press, 2022)</w:t>
      </w:r>
      <w:r w:rsidR="008C03F5" w:rsidRPr="00047A9D">
        <w:rPr>
          <w:rFonts w:ascii="Times New Roman" w:hAnsi="Times New Roman" w:cs="Times New Roman"/>
          <w:sz w:val="22"/>
          <w:szCs w:val="22"/>
        </w:rPr>
        <w:t xml:space="preserve">, </w:t>
      </w:r>
      <w:r w:rsidR="00D10672" w:rsidRPr="00047A9D">
        <w:rPr>
          <w:rFonts w:ascii="Times New Roman" w:hAnsi="Times New Roman" w:cs="Times New Roman"/>
          <w:sz w:val="22"/>
          <w:szCs w:val="22"/>
        </w:rPr>
        <w:t xml:space="preserve">especially pp.51, </w:t>
      </w:r>
      <w:r w:rsidR="00AC502B" w:rsidRPr="00047A9D">
        <w:rPr>
          <w:rFonts w:ascii="Times New Roman" w:hAnsi="Times New Roman" w:cs="Times New Roman"/>
          <w:sz w:val="22"/>
          <w:szCs w:val="22"/>
        </w:rPr>
        <w:t>59</w:t>
      </w:r>
      <w:r w:rsidR="009339D7" w:rsidRPr="00047A9D">
        <w:rPr>
          <w:rFonts w:ascii="Times New Roman" w:hAnsi="Times New Roman" w:cs="Times New Roman"/>
          <w:sz w:val="22"/>
          <w:szCs w:val="22"/>
        </w:rPr>
        <w:t>, 127-30.</w:t>
      </w:r>
    </w:p>
  </w:footnote>
  <w:footnote w:id="631">
    <w:p w14:paraId="5612B157" w14:textId="689D4945" w:rsidR="006231D7" w:rsidRPr="00047A9D" w:rsidRDefault="006231D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0A6E" w:rsidRPr="00047A9D">
        <w:rPr>
          <w:rFonts w:ascii="Times New Roman" w:hAnsi="Times New Roman" w:cs="Times New Roman"/>
          <w:sz w:val="22"/>
          <w:szCs w:val="22"/>
        </w:rPr>
        <w:t xml:space="preserve">Sivanandan, </w:t>
      </w:r>
      <w:r w:rsidR="00580A6E" w:rsidRPr="00047A9D">
        <w:rPr>
          <w:rFonts w:ascii="Times New Roman" w:hAnsi="Times New Roman" w:cs="Times New Roman"/>
          <w:i/>
          <w:sz w:val="22"/>
          <w:szCs w:val="22"/>
        </w:rPr>
        <w:t>Catching History</w:t>
      </w:r>
      <w:r w:rsidR="00580A6E" w:rsidRPr="00047A9D">
        <w:rPr>
          <w:rFonts w:ascii="Times New Roman" w:hAnsi="Times New Roman" w:cs="Times New Roman"/>
          <w:sz w:val="22"/>
          <w:szCs w:val="22"/>
        </w:rPr>
        <w:t>, p.146.</w:t>
      </w:r>
    </w:p>
  </w:footnote>
  <w:footnote w:id="632">
    <w:p w14:paraId="3F5D6EB4" w14:textId="7238D482" w:rsidR="009A036F" w:rsidRPr="00047A9D" w:rsidRDefault="009A036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A1894" w:rsidRPr="00047A9D">
        <w:rPr>
          <w:rFonts w:ascii="Times New Roman" w:hAnsi="Times New Roman" w:cs="Times New Roman"/>
          <w:i/>
          <w:sz w:val="22"/>
          <w:szCs w:val="22"/>
        </w:rPr>
        <w:t xml:space="preserve">The Scarman Report: </w:t>
      </w:r>
      <w:r w:rsidR="00E535A8" w:rsidRPr="00047A9D">
        <w:rPr>
          <w:rFonts w:ascii="Times New Roman" w:hAnsi="Times New Roman" w:cs="Times New Roman"/>
          <w:i/>
          <w:sz w:val="22"/>
          <w:szCs w:val="22"/>
        </w:rPr>
        <w:t xml:space="preserve">The Brixton Disorders 10-12 April 1981. </w:t>
      </w:r>
      <w:r w:rsidR="00DA1894" w:rsidRPr="00047A9D">
        <w:rPr>
          <w:rFonts w:ascii="Times New Roman" w:hAnsi="Times New Roman" w:cs="Times New Roman"/>
          <w:i/>
          <w:sz w:val="22"/>
          <w:szCs w:val="22"/>
        </w:rPr>
        <w:t>Report of an Inquiry by the Right Honourable the Lord Scarman, OBE</w:t>
      </w:r>
      <w:r w:rsidR="008A48B1" w:rsidRPr="00047A9D">
        <w:rPr>
          <w:rFonts w:ascii="Times New Roman" w:hAnsi="Times New Roman" w:cs="Times New Roman"/>
          <w:i/>
          <w:sz w:val="22"/>
          <w:szCs w:val="22"/>
        </w:rPr>
        <w:t>,</w:t>
      </w:r>
      <w:r w:rsidR="00DA1894" w:rsidRPr="00047A9D">
        <w:rPr>
          <w:rFonts w:ascii="Times New Roman" w:hAnsi="Times New Roman" w:cs="Times New Roman"/>
          <w:i/>
          <w:sz w:val="22"/>
          <w:szCs w:val="22"/>
        </w:rPr>
        <w:t xml:space="preserve"> Presented to Parliament by the Secretary of State for the Home Department by Command of her Majesty November 1981</w:t>
      </w:r>
      <w:r w:rsidR="00DA1894" w:rsidRPr="00047A9D">
        <w:rPr>
          <w:rFonts w:ascii="Times New Roman" w:hAnsi="Times New Roman" w:cs="Times New Roman"/>
          <w:sz w:val="22"/>
          <w:szCs w:val="22"/>
        </w:rPr>
        <w:t>, 2</w:t>
      </w:r>
      <w:r w:rsidR="00DA1894" w:rsidRPr="00047A9D">
        <w:rPr>
          <w:rFonts w:ascii="Times New Roman" w:hAnsi="Times New Roman" w:cs="Times New Roman"/>
          <w:sz w:val="22"/>
          <w:szCs w:val="22"/>
          <w:vertAlign w:val="superscript"/>
        </w:rPr>
        <w:t>nd</w:t>
      </w:r>
      <w:r w:rsidR="008A48B1" w:rsidRPr="00047A9D">
        <w:rPr>
          <w:rFonts w:ascii="Times New Roman" w:hAnsi="Times New Roman" w:cs="Times New Roman"/>
          <w:sz w:val="22"/>
          <w:szCs w:val="22"/>
        </w:rPr>
        <w:t xml:space="preserve"> </w:t>
      </w:r>
      <w:r w:rsidR="00DA1894" w:rsidRPr="00047A9D">
        <w:rPr>
          <w:rFonts w:ascii="Times New Roman" w:hAnsi="Times New Roman" w:cs="Times New Roman"/>
          <w:sz w:val="22"/>
          <w:szCs w:val="22"/>
        </w:rPr>
        <w:t>edn, (Harmondsworth: Penguin, 1986), p</w:t>
      </w:r>
      <w:r w:rsidR="001F6BE4" w:rsidRPr="00047A9D">
        <w:rPr>
          <w:rFonts w:ascii="Times New Roman" w:hAnsi="Times New Roman" w:cs="Times New Roman"/>
          <w:sz w:val="22"/>
          <w:szCs w:val="22"/>
        </w:rPr>
        <w:t>p</w:t>
      </w:r>
      <w:r w:rsidR="00DA1894" w:rsidRPr="00047A9D">
        <w:rPr>
          <w:rFonts w:ascii="Times New Roman" w:hAnsi="Times New Roman" w:cs="Times New Roman"/>
          <w:sz w:val="22"/>
          <w:szCs w:val="22"/>
        </w:rPr>
        <w:t>.105</w:t>
      </w:r>
      <w:r w:rsidR="001F6BE4" w:rsidRPr="00047A9D">
        <w:rPr>
          <w:rFonts w:ascii="Times New Roman" w:hAnsi="Times New Roman" w:cs="Times New Roman"/>
          <w:sz w:val="22"/>
          <w:szCs w:val="22"/>
        </w:rPr>
        <w:t>, 126</w:t>
      </w:r>
      <w:r w:rsidR="00DA1894" w:rsidRPr="00047A9D">
        <w:rPr>
          <w:rFonts w:ascii="Times New Roman" w:hAnsi="Times New Roman" w:cs="Times New Roman"/>
          <w:sz w:val="22"/>
          <w:szCs w:val="22"/>
        </w:rPr>
        <w:t>.</w:t>
      </w:r>
      <w:r w:rsidR="008A48B1" w:rsidRPr="00047A9D">
        <w:rPr>
          <w:rFonts w:ascii="Times New Roman" w:hAnsi="Times New Roman" w:cs="Times New Roman"/>
          <w:sz w:val="22"/>
          <w:szCs w:val="22"/>
        </w:rPr>
        <w:t xml:space="preserve"> </w:t>
      </w:r>
      <w:r w:rsidR="00245B68" w:rsidRPr="00047A9D">
        <w:rPr>
          <w:rFonts w:ascii="Times New Roman" w:hAnsi="Times New Roman" w:cs="Times New Roman"/>
          <w:sz w:val="22"/>
          <w:szCs w:val="22"/>
        </w:rPr>
        <w:t>The</w:t>
      </w:r>
      <w:r w:rsidR="002036F3" w:rsidRPr="00047A9D">
        <w:rPr>
          <w:rFonts w:ascii="Times New Roman" w:hAnsi="Times New Roman" w:cs="Times New Roman"/>
          <w:sz w:val="22"/>
          <w:szCs w:val="22"/>
        </w:rPr>
        <w:t xml:space="preserve"> latter assertion - that</w:t>
      </w:r>
      <w:r w:rsidR="00245B68" w:rsidRPr="00047A9D">
        <w:rPr>
          <w:rFonts w:ascii="Times New Roman" w:hAnsi="Times New Roman" w:cs="Times New Roman"/>
          <w:sz w:val="22"/>
          <w:szCs w:val="22"/>
        </w:rPr>
        <w:t xml:space="preserve"> racism within the force </w:t>
      </w:r>
      <w:r w:rsidR="00FD3F88" w:rsidRPr="00047A9D">
        <w:rPr>
          <w:rFonts w:ascii="Times New Roman" w:hAnsi="Times New Roman" w:cs="Times New Roman"/>
          <w:sz w:val="22"/>
          <w:szCs w:val="22"/>
        </w:rPr>
        <w:t xml:space="preserve">has </w:t>
      </w:r>
      <w:r w:rsidR="002036F3" w:rsidRPr="00047A9D">
        <w:rPr>
          <w:rFonts w:ascii="Times New Roman" w:hAnsi="Times New Roman" w:cs="Times New Roman"/>
          <w:sz w:val="22"/>
          <w:szCs w:val="22"/>
        </w:rPr>
        <w:t>play</w:t>
      </w:r>
      <w:r w:rsidR="00FD3F88" w:rsidRPr="00047A9D">
        <w:rPr>
          <w:rFonts w:ascii="Times New Roman" w:hAnsi="Times New Roman" w:cs="Times New Roman"/>
          <w:sz w:val="22"/>
          <w:szCs w:val="22"/>
        </w:rPr>
        <w:t>ed</w:t>
      </w:r>
      <w:r w:rsidR="002036F3" w:rsidRPr="00047A9D">
        <w:rPr>
          <w:rFonts w:ascii="Times New Roman" w:hAnsi="Times New Roman" w:cs="Times New Roman"/>
          <w:sz w:val="22"/>
          <w:szCs w:val="22"/>
        </w:rPr>
        <w:t xml:space="preserve"> a part in influencing its decisions</w:t>
      </w:r>
      <w:r w:rsidR="00245B68" w:rsidRPr="00047A9D">
        <w:rPr>
          <w:rFonts w:ascii="Times New Roman" w:hAnsi="Times New Roman" w:cs="Times New Roman"/>
          <w:sz w:val="22"/>
          <w:szCs w:val="22"/>
        </w:rPr>
        <w:t xml:space="preserve"> </w:t>
      </w:r>
      <w:r w:rsidR="002036F3" w:rsidRPr="00047A9D">
        <w:rPr>
          <w:rFonts w:ascii="Times New Roman" w:hAnsi="Times New Roman" w:cs="Times New Roman"/>
          <w:sz w:val="22"/>
          <w:szCs w:val="22"/>
        </w:rPr>
        <w:t>–</w:t>
      </w:r>
      <w:r w:rsidRPr="00047A9D">
        <w:rPr>
          <w:rFonts w:ascii="Times New Roman" w:hAnsi="Times New Roman" w:cs="Times New Roman"/>
          <w:sz w:val="22"/>
          <w:szCs w:val="22"/>
        </w:rPr>
        <w:t xml:space="preserve"> would</w:t>
      </w:r>
      <w:r w:rsidR="002036F3" w:rsidRPr="00047A9D">
        <w:rPr>
          <w:rFonts w:ascii="Times New Roman" w:hAnsi="Times New Roman" w:cs="Times New Roman"/>
          <w:sz w:val="22"/>
          <w:szCs w:val="22"/>
        </w:rPr>
        <w:t xml:space="preserve"> subsequently </w:t>
      </w:r>
      <w:r w:rsidRPr="00047A9D">
        <w:rPr>
          <w:rFonts w:ascii="Times New Roman" w:hAnsi="Times New Roman" w:cs="Times New Roman"/>
          <w:sz w:val="22"/>
          <w:szCs w:val="22"/>
        </w:rPr>
        <w:t>be acknowledged in the M</w:t>
      </w:r>
      <w:r w:rsidR="001A6C8A" w:rsidRPr="00047A9D">
        <w:rPr>
          <w:rFonts w:ascii="Times New Roman" w:hAnsi="Times New Roman" w:cs="Times New Roman"/>
          <w:sz w:val="22"/>
          <w:szCs w:val="22"/>
        </w:rPr>
        <w:t xml:space="preserve">acpherson report, which </w:t>
      </w:r>
      <w:r w:rsidR="006C005B" w:rsidRPr="00047A9D">
        <w:rPr>
          <w:rFonts w:ascii="Times New Roman" w:hAnsi="Times New Roman" w:cs="Times New Roman"/>
          <w:sz w:val="22"/>
          <w:szCs w:val="22"/>
        </w:rPr>
        <w:t xml:space="preserve">determined that the </w:t>
      </w:r>
      <w:r w:rsidR="00341D31" w:rsidRPr="00047A9D">
        <w:rPr>
          <w:rFonts w:ascii="Times New Roman" w:hAnsi="Times New Roman" w:cs="Times New Roman"/>
          <w:sz w:val="22"/>
          <w:szCs w:val="22"/>
        </w:rPr>
        <w:t>Metropolitan</w:t>
      </w:r>
      <w:r w:rsidR="006C005B" w:rsidRPr="00047A9D">
        <w:rPr>
          <w:rFonts w:ascii="Times New Roman" w:hAnsi="Times New Roman" w:cs="Times New Roman"/>
          <w:sz w:val="22"/>
          <w:szCs w:val="22"/>
        </w:rPr>
        <w:t xml:space="preserve"> Police</w:t>
      </w:r>
      <w:r w:rsidR="00FD3F88" w:rsidRPr="00047A9D">
        <w:rPr>
          <w:rFonts w:ascii="Times New Roman" w:hAnsi="Times New Roman" w:cs="Times New Roman"/>
          <w:sz w:val="22"/>
          <w:szCs w:val="22"/>
        </w:rPr>
        <w:t>’s</w:t>
      </w:r>
      <w:r w:rsidR="006C005B" w:rsidRPr="00047A9D">
        <w:rPr>
          <w:rFonts w:ascii="Times New Roman" w:hAnsi="Times New Roman" w:cs="Times New Roman"/>
          <w:sz w:val="22"/>
          <w:szCs w:val="22"/>
        </w:rPr>
        <w:t xml:space="preserve"> investigation into the death of Stephen Lawrence </w:t>
      </w:r>
      <w:r w:rsidR="0098095F" w:rsidRPr="00047A9D">
        <w:rPr>
          <w:rFonts w:ascii="Times New Roman" w:hAnsi="Times New Roman" w:cs="Times New Roman"/>
          <w:sz w:val="22"/>
          <w:szCs w:val="22"/>
        </w:rPr>
        <w:t>was</w:t>
      </w:r>
      <w:r w:rsidR="006C005B" w:rsidRPr="00047A9D">
        <w:rPr>
          <w:rFonts w:ascii="Times New Roman" w:hAnsi="Times New Roman" w:cs="Times New Roman"/>
          <w:sz w:val="22"/>
          <w:szCs w:val="22"/>
        </w:rPr>
        <w:t xml:space="preserve"> </w:t>
      </w:r>
      <w:r w:rsidR="0098095F" w:rsidRPr="00047A9D">
        <w:rPr>
          <w:rFonts w:ascii="Times New Roman" w:hAnsi="Times New Roman" w:cs="Times New Roman"/>
          <w:sz w:val="22"/>
          <w:szCs w:val="22"/>
        </w:rPr>
        <w:t>‘</w:t>
      </w:r>
      <w:r w:rsidR="006C005B" w:rsidRPr="00047A9D">
        <w:rPr>
          <w:rFonts w:ascii="Times New Roman" w:hAnsi="Times New Roman" w:cs="Times New Roman"/>
          <w:sz w:val="22"/>
          <w:szCs w:val="22"/>
        </w:rPr>
        <w:t>marred by a combination of professional incompetence, institutional racism and a failure of leadership</w:t>
      </w:r>
      <w:r w:rsidR="0098095F" w:rsidRPr="00047A9D">
        <w:rPr>
          <w:rFonts w:ascii="Times New Roman" w:hAnsi="Times New Roman" w:cs="Times New Roman"/>
          <w:sz w:val="22"/>
          <w:szCs w:val="22"/>
        </w:rPr>
        <w:t>’. The former</w:t>
      </w:r>
      <w:r w:rsidR="004610E3" w:rsidRPr="00047A9D">
        <w:rPr>
          <w:rFonts w:ascii="Times New Roman" w:hAnsi="Times New Roman" w:cs="Times New Roman"/>
          <w:sz w:val="22"/>
          <w:szCs w:val="22"/>
        </w:rPr>
        <w:t xml:space="preserve"> claim</w:t>
      </w:r>
      <w:r w:rsidR="0098095F" w:rsidRPr="00047A9D">
        <w:rPr>
          <w:rFonts w:ascii="Times New Roman" w:hAnsi="Times New Roman" w:cs="Times New Roman"/>
          <w:sz w:val="22"/>
          <w:szCs w:val="22"/>
        </w:rPr>
        <w:t xml:space="preserve"> has </w:t>
      </w:r>
      <w:r w:rsidR="00341D31" w:rsidRPr="00047A9D">
        <w:rPr>
          <w:rFonts w:ascii="Times New Roman" w:hAnsi="Times New Roman" w:cs="Times New Roman"/>
          <w:sz w:val="22"/>
          <w:szCs w:val="22"/>
        </w:rPr>
        <w:t>–</w:t>
      </w:r>
      <w:r w:rsidR="0098095F" w:rsidRPr="00047A9D">
        <w:rPr>
          <w:rFonts w:ascii="Times New Roman" w:hAnsi="Times New Roman" w:cs="Times New Roman"/>
          <w:sz w:val="22"/>
          <w:szCs w:val="22"/>
        </w:rPr>
        <w:t xml:space="preserve"> uns</w:t>
      </w:r>
      <w:r w:rsidR="00341D31" w:rsidRPr="00047A9D">
        <w:rPr>
          <w:rFonts w:ascii="Times New Roman" w:hAnsi="Times New Roman" w:cs="Times New Roman"/>
          <w:sz w:val="22"/>
          <w:szCs w:val="22"/>
        </w:rPr>
        <w:t xml:space="preserve">urprisingly – </w:t>
      </w:r>
      <w:r w:rsidR="0098095F" w:rsidRPr="00047A9D">
        <w:rPr>
          <w:rFonts w:ascii="Times New Roman" w:hAnsi="Times New Roman" w:cs="Times New Roman"/>
          <w:sz w:val="22"/>
          <w:szCs w:val="22"/>
        </w:rPr>
        <w:t>never</w:t>
      </w:r>
      <w:r w:rsidR="00341D31" w:rsidRPr="00047A9D">
        <w:rPr>
          <w:rFonts w:ascii="Times New Roman" w:hAnsi="Times New Roman" w:cs="Times New Roman"/>
          <w:sz w:val="22"/>
          <w:szCs w:val="22"/>
        </w:rPr>
        <w:t xml:space="preserve"> </w:t>
      </w:r>
      <w:r w:rsidR="0098095F" w:rsidRPr="00047A9D">
        <w:rPr>
          <w:rFonts w:ascii="Times New Roman" w:hAnsi="Times New Roman" w:cs="Times New Roman"/>
          <w:sz w:val="22"/>
          <w:szCs w:val="22"/>
        </w:rPr>
        <w:t>been acknowledged by the state</w:t>
      </w:r>
      <w:r w:rsidR="00A73105" w:rsidRPr="00047A9D">
        <w:rPr>
          <w:rFonts w:ascii="Times New Roman" w:hAnsi="Times New Roman" w:cs="Times New Roman"/>
          <w:sz w:val="22"/>
          <w:szCs w:val="22"/>
        </w:rPr>
        <w:t>.</w:t>
      </w:r>
      <w:r w:rsidR="00634045" w:rsidRPr="00047A9D">
        <w:rPr>
          <w:rFonts w:ascii="Times New Roman" w:hAnsi="Times New Roman" w:cs="Times New Roman"/>
          <w:sz w:val="22"/>
          <w:szCs w:val="22"/>
        </w:rPr>
        <w:t xml:space="preserve"> See Home Office, </w:t>
      </w:r>
      <w:r w:rsidR="00634045" w:rsidRPr="00047A9D">
        <w:rPr>
          <w:rFonts w:ascii="Times New Roman" w:hAnsi="Times New Roman" w:cs="Times New Roman"/>
          <w:i/>
          <w:sz w:val="22"/>
          <w:szCs w:val="22"/>
        </w:rPr>
        <w:t>The Stephen Lawrence Inquiry: Report of an Inquiry by Sir William Macpherson of Cluny</w:t>
      </w:r>
      <w:r w:rsidR="00634045" w:rsidRPr="00047A9D">
        <w:rPr>
          <w:rFonts w:ascii="Times New Roman" w:hAnsi="Times New Roman" w:cs="Times New Roman"/>
          <w:sz w:val="22"/>
          <w:szCs w:val="22"/>
        </w:rPr>
        <w:t>, Cm</w:t>
      </w:r>
      <w:r w:rsidR="00AD2352" w:rsidRPr="00047A9D">
        <w:rPr>
          <w:rFonts w:ascii="Times New Roman" w:hAnsi="Times New Roman" w:cs="Times New Roman"/>
          <w:sz w:val="22"/>
          <w:szCs w:val="22"/>
        </w:rPr>
        <w:t>.</w:t>
      </w:r>
      <w:r w:rsidR="00634045" w:rsidRPr="00047A9D">
        <w:rPr>
          <w:rFonts w:ascii="Times New Roman" w:hAnsi="Times New Roman" w:cs="Times New Roman"/>
          <w:sz w:val="22"/>
          <w:szCs w:val="22"/>
        </w:rPr>
        <w:t>4262-I, February 1999, recommendations 12 and 14.</w:t>
      </w:r>
    </w:p>
  </w:footnote>
  <w:footnote w:id="633">
    <w:p w14:paraId="4B2666CC" w14:textId="4E0E40C2" w:rsidR="000B6303" w:rsidRPr="00047A9D" w:rsidRDefault="000B630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24766" w:rsidRPr="00047A9D">
        <w:rPr>
          <w:rFonts w:ascii="Times New Roman" w:hAnsi="Times New Roman" w:cs="Times New Roman"/>
          <w:sz w:val="22"/>
          <w:szCs w:val="22"/>
        </w:rPr>
        <w:t xml:space="preserve">Sivanandan, </w:t>
      </w:r>
      <w:r w:rsidR="00724766" w:rsidRPr="00047A9D">
        <w:rPr>
          <w:rFonts w:ascii="Times New Roman" w:hAnsi="Times New Roman" w:cs="Times New Roman"/>
          <w:i/>
          <w:sz w:val="22"/>
          <w:szCs w:val="22"/>
        </w:rPr>
        <w:t>Catching History</w:t>
      </w:r>
      <w:r w:rsidR="00724766" w:rsidRPr="00047A9D">
        <w:rPr>
          <w:rFonts w:ascii="Times New Roman" w:hAnsi="Times New Roman" w:cs="Times New Roman"/>
          <w:sz w:val="22"/>
          <w:szCs w:val="22"/>
        </w:rPr>
        <w:t>, p.144.</w:t>
      </w:r>
    </w:p>
  </w:footnote>
  <w:footnote w:id="634">
    <w:p w14:paraId="6F0DDA11" w14:textId="4DE6BF67" w:rsidR="00A116AE" w:rsidRPr="00047A9D" w:rsidRDefault="00A116A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D30DE" w:rsidRPr="00047A9D">
        <w:rPr>
          <w:rFonts w:ascii="Times New Roman" w:hAnsi="Times New Roman" w:cs="Times New Roman"/>
          <w:i/>
          <w:sz w:val="22"/>
          <w:szCs w:val="22"/>
        </w:rPr>
        <w:t xml:space="preserve">Scarman Report, </w:t>
      </w:r>
      <w:r w:rsidR="001D30DE" w:rsidRPr="00047A9D">
        <w:rPr>
          <w:rFonts w:ascii="Times New Roman" w:hAnsi="Times New Roman" w:cs="Times New Roman"/>
          <w:sz w:val="22"/>
          <w:szCs w:val="22"/>
        </w:rPr>
        <w:t>p</w:t>
      </w:r>
      <w:r w:rsidRPr="00047A9D">
        <w:rPr>
          <w:rFonts w:ascii="Times New Roman" w:hAnsi="Times New Roman" w:cs="Times New Roman"/>
          <w:sz w:val="22"/>
          <w:szCs w:val="22"/>
        </w:rPr>
        <w:t>.27</w:t>
      </w:r>
      <w:r w:rsidR="001D30DE" w:rsidRPr="00047A9D">
        <w:rPr>
          <w:rFonts w:ascii="Times New Roman" w:hAnsi="Times New Roman" w:cs="Times New Roman"/>
          <w:sz w:val="22"/>
          <w:szCs w:val="22"/>
        </w:rPr>
        <w:t>.</w:t>
      </w:r>
    </w:p>
  </w:footnote>
  <w:footnote w:id="635">
    <w:p w14:paraId="5AC1CF77" w14:textId="41FA7E5D" w:rsidR="00661804" w:rsidRPr="00047A9D" w:rsidRDefault="0066180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B4B1B" w:rsidRPr="00047A9D">
        <w:rPr>
          <w:rFonts w:ascii="Times New Roman" w:hAnsi="Times New Roman" w:cs="Times New Roman"/>
          <w:i/>
          <w:sz w:val="22"/>
          <w:szCs w:val="22"/>
        </w:rPr>
        <w:t>Scarman Report</w:t>
      </w:r>
      <w:r w:rsidR="001D30DE"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w:t>
      </w:r>
      <w:r w:rsidR="001D30DE" w:rsidRPr="00047A9D">
        <w:rPr>
          <w:rFonts w:ascii="Times New Roman" w:hAnsi="Times New Roman" w:cs="Times New Roman"/>
          <w:sz w:val="22"/>
          <w:szCs w:val="22"/>
        </w:rPr>
        <w:t>p</w:t>
      </w:r>
      <w:r w:rsidRPr="00047A9D">
        <w:rPr>
          <w:rFonts w:ascii="Times New Roman" w:hAnsi="Times New Roman" w:cs="Times New Roman"/>
          <w:sz w:val="22"/>
          <w:szCs w:val="22"/>
        </w:rPr>
        <w:t>.25-26, 29</w:t>
      </w:r>
      <w:r w:rsidR="001D30DE" w:rsidRPr="00047A9D">
        <w:rPr>
          <w:rFonts w:ascii="Times New Roman" w:hAnsi="Times New Roman" w:cs="Times New Roman"/>
          <w:sz w:val="22"/>
          <w:szCs w:val="22"/>
        </w:rPr>
        <w:t xml:space="preserve">; </w:t>
      </w:r>
      <w:r w:rsidR="00EB4D01" w:rsidRPr="00047A9D">
        <w:rPr>
          <w:rFonts w:ascii="Times New Roman" w:hAnsi="Times New Roman" w:cs="Times New Roman"/>
          <w:sz w:val="22"/>
          <w:szCs w:val="22"/>
        </w:rPr>
        <w:t xml:space="preserve">Sivanandan, </w:t>
      </w:r>
      <w:r w:rsidR="00EB4D01" w:rsidRPr="00047A9D">
        <w:rPr>
          <w:rFonts w:ascii="Times New Roman" w:hAnsi="Times New Roman" w:cs="Times New Roman"/>
          <w:i/>
          <w:sz w:val="22"/>
          <w:szCs w:val="22"/>
        </w:rPr>
        <w:t>Catching History</w:t>
      </w:r>
      <w:r w:rsidR="00EB4D01" w:rsidRPr="00047A9D">
        <w:rPr>
          <w:rFonts w:ascii="Times New Roman" w:hAnsi="Times New Roman" w:cs="Times New Roman"/>
          <w:sz w:val="22"/>
          <w:szCs w:val="22"/>
        </w:rPr>
        <w:t>, p.</w:t>
      </w:r>
      <w:r w:rsidR="002421FC" w:rsidRPr="00047A9D">
        <w:rPr>
          <w:rFonts w:ascii="Times New Roman" w:hAnsi="Times New Roman" w:cs="Times New Roman"/>
          <w:sz w:val="22"/>
          <w:szCs w:val="22"/>
        </w:rPr>
        <w:t>144.</w:t>
      </w:r>
    </w:p>
  </w:footnote>
  <w:footnote w:id="636">
    <w:p w14:paraId="03FD2C5B" w14:textId="7548A15D" w:rsidR="00305A88" w:rsidRPr="00047A9D" w:rsidRDefault="00305A8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421FC" w:rsidRPr="00047A9D">
        <w:rPr>
          <w:rFonts w:ascii="Times New Roman" w:hAnsi="Times New Roman" w:cs="Times New Roman"/>
          <w:i/>
          <w:sz w:val="22"/>
          <w:szCs w:val="22"/>
        </w:rPr>
        <w:t xml:space="preserve">Scarman Report, </w:t>
      </w:r>
      <w:r w:rsidR="002421FC" w:rsidRPr="00047A9D">
        <w:rPr>
          <w:rFonts w:ascii="Times New Roman" w:hAnsi="Times New Roman" w:cs="Times New Roman"/>
          <w:sz w:val="22"/>
          <w:szCs w:val="22"/>
        </w:rPr>
        <w:t>p</w:t>
      </w:r>
      <w:r w:rsidR="007C01DE" w:rsidRPr="00047A9D">
        <w:rPr>
          <w:rFonts w:ascii="Times New Roman" w:hAnsi="Times New Roman" w:cs="Times New Roman"/>
          <w:sz w:val="22"/>
          <w:szCs w:val="22"/>
        </w:rPr>
        <w:t>.28.</w:t>
      </w:r>
    </w:p>
  </w:footnote>
  <w:footnote w:id="637">
    <w:p w14:paraId="69A5B66B" w14:textId="3E64B0E7" w:rsidR="00717687" w:rsidRPr="00047A9D" w:rsidRDefault="0071768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67B81" w:rsidRPr="00047A9D">
        <w:rPr>
          <w:rFonts w:ascii="Times New Roman" w:hAnsi="Times New Roman" w:cs="Times New Roman"/>
          <w:sz w:val="22"/>
          <w:szCs w:val="22"/>
        </w:rPr>
        <w:t xml:space="preserve">Shafi and Nagdee, </w:t>
      </w:r>
      <w:r w:rsidR="00B67B81" w:rsidRPr="00047A9D">
        <w:rPr>
          <w:rFonts w:ascii="Times New Roman" w:hAnsi="Times New Roman" w:cs="Times New Roman"/>
          <w:i/>
          <w:sz w:val="22"/>
          <w:szCs w:val="22"/>
        </w:rPr>
        <w:t>Race to the Bottom</w:t>
      </w:r>
      <w:r w:rsidRPr="00047A9D">
        <w:rPr>
          <w:rFonts w:ascii="Times New Roman" w:hAnsi="Times New Roman" w:cs="Times New Roman"/>
          <w:sz w:val="22"/>
          <w:szCs w:val="22"/>
        </w:rPr>
        <w:t>, pp.128-29.</w:t>
      </w:r>
    </w:p>
  </w:footnote>
  <w:footnote w:id="638">
    <w:p w14:paraId="38789269" w14:textId="7286664D" w:rsidR="005D4CD7" w:rsidRPr="00047A9D" w:rsidRDefault="005D4CD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63C3" w:rsidRPr="00047A9D">
        <w:rPr>
          <w:rFonts w:ascii="Times New Roman" w:hAnsi="Times New Roman" w:cs="Times New Roman"/>
          <w:sz w:val="22"/>
          <w:szCs w:val="22"/>
        </w:rPr>
        <w:t xml:space="preserve">Sivanandan, </w:t>
      </w:r>
      <w:r w:rsidR="005863C3" w:rsidRPr="00047A9D">
        <w:rPr>
          <w:rFonts w:ascii="Times New Roman" w:hAnsi="Times New Roman" w:cs="Times New Roman"/>
          <w:i/>
          <w:sz w:val="22"/>
          <w:szCs w:val="22"/>
        </w:rPr>
        <w:t xml:space="preserve">Catching History, </w:t>
      </w:r>
      <w:r w:rsidR="005863C3" w:rsidRPr="00047A9D">
        <w:rPr>
          <w:rFonts w:ascii="Times New Roman" w:hAnsi="Times New Roman" w:cs="Times New Roman"/>
          <w:sz w:val="22"/>
          <w:szCs w:val="22"/>
        </w:rPr>
        <w:t>p</w:t>
      </w:r>
      <w:r w:rsidR="00704F6E" w:rsidRPr="00047A9D">
        <w:rPr>
          <w:rFonts w:ascii="Times New Roman" w:hAnsi="Times New Roman" w:cs="Times New Roman"/>
          <w:sz w:val="22"/>
          <w:szCs w:val="22"/>
        </w:rPr>
        <w:t>p</w:t>
      </w:r>
      <w:r w:rsidRPr="00047A9D">
        <w:rPr>
          <w:rFonts w:ascii="Times New Roman" w:hAnsi="Times New Roman" w:cs="Times New Roman"/>
          <w:sz w:val="22"/>
          <w:szCs w:val="22"/>
        </w:rPr>
        <w:t>.</w:t>
      </w:r>
      <w:r w:rsidR="00704F6E" w:rsidRPr="00047A9D">
        <w:rPr>
          <w:rFonts w:ascii="Times New Roman" w:hAnsi="Times New Roman" w:cs="Times New Roman"/>
          <w:sz w:val="22"/>
          <w:szCs w:val="22"/>
        </w:rPr>
        <w:t xml:space="preserve">141-42, 156, </w:t>
      </w:r>
      <w:r w:rsidRPr="00047A9D">
        <w:rPr>
          <w:rFonts w:ascii="Times New Roman" w:hAnsi="Times New Roman" w:cs="Times New Roman"/>
          <w:sz w:val="22"/>
          <w:szCs w:val="22"/>
        </w:rPr>
        <w:t>162.</w:t>
      </w:r>
    </w:p>
  </w:footnote>
  <w:footnote w:id="639">
    <w:p w14:paraId="759AD6F0" w14:textId="50B333A9" w:rsidR="0013491E" w:rsidRPr="00047A9D" w:rsidRDefault="0013491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27D1E" w:rsidRPr="00047A9D">
        <w:rPr>
          <w:rFonts w:ascii="Times New Roman" w:hAnsi="Times New Roman" w:cs="Times New Roman"/>
          <w:sz w:val="22"/>
          <w:szCs w:val="22"/>
        </w:rPr>
        <w:t xml:space="preserve">See Shafi and Nagdee, </w:t>
      </w:r>
      <w:r w:rsidR="00427D1E" w:rsidRPr="00047A9D">
        <w:rPr>
          <w:rFonts w:ascii="Times New Roman" w:hAnsi="Times New Roman" w:cs="Times New Roman"/>
          <w:i/>
          <w:sz w:val="22"/>
          <w:szCs w:val="22"/>
        </w:rPr>
        <w:t>Race to the Bottom</w:t>
      </w:r>
      <w:r w:rsidR="00427D1E" w:rsidRPr="00047A9D">
        <w:rPr>
          <w:rFonts w:ascii="Times New Roman" w:hAnsi="Times New Roman" w:cs="Times New Roman"/>
          <w:sz w:val="22"/>
          <w:szCs w:val="22"/>
        </w:rPr>
        <w:t>, pp.75-77.</w:t>
      </w:r>
    </w:p>
  </w:footnote>
  <w:footnote w:id="640">
    <w:p w14:paraId="53D1732F" w14:textId="216776C7" w:rsidR="005C6733" w:rsidRPr="00047A9D" w:rsidRDefault="005C673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B2A87" w:rsidRPr="00047A9D">
        <w:rPr>
          <w:rFonts w:ascii="Times New Roman" w:hAnsi="Times New Roman" w:cs="Times New Roman"/>
          <w:sz w:val="22"/>
          <w:szCs w:val="22"/>
        </w:rPr>
        <w:t>Anandi Ramamurthy, </w:t>
      </w:r>
      <w:r w:rsidR="00BB2A87" w:rsidRPr="00047A9D">
        <w:rPr>
          <w:rFonts w:ascii="Times New Roman" w:hAnsi="Times New Roman" w:cs="Times New Roman"/>
          <w:i/>
          <w:sz w:val="22"/>
          <w:szCs w:val="22"/>
        </w:rPr>
        <w:t>Black Star: Britain’s Asian Youth Movements</w:t>
      </w:r>
      <w:r w:rsidR="00BB2A87" w:rsidRPr="00047A9D">
        <w:rPr>
          <w:rFonts w:ascii="Times New Roman" w:hAnsi="Times New Roman" w:cs="Times New Roman"/>
          <w:sz w:val="22"/>
          <w:szCs w:val="22"/>
        </w:rPr>
        <w:t xml:space="preserve"> (London: Pluto, 2013).</w:t>
      </w:r>
    </w:p>
  </w:footnote>
  <w:footnote w:id="641">
    <w:p w14:paraId="12D0C263" w14:textId="421600FC" w:rsidR="00647BF6" w:rsidRPr="00047A9D" w:rsidRDefault="00647BF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D3E9B" w:rsidRPr="00047A9D">
        <w:rPr>
          <w:rFonts w:ascii="Times New Roman" w:hAnsi="Times New Roman" w:cs="Times New Roman"/>
          <w:sz w:val="22"/>
          <w:szCs w:val="22"/>
        </w:rPr>
        <w:t xml:space="preserve">See </w:t>
      </w:r>
      <w:r w:rsidR="001F5AEC" w:rsidRPr="00047A9D">
        <w:rPr>
          <w:rFonts w:ascii="Times New Roman" w:hAnsi="Times New Roman" w:cs="Times New Roman"/>
          <w:sz w:val="22"/>
          <w:szCs w:val="22"/>
        </w:rPr>
        <w:t xml:space="preserve">Paul Goalen, ‘Multiculturalism and the Lower School History Syllabus: Towards a Practical Approach’, </w:t>
      </w:r>
      <w:r w:rsidR="001F5AEC" w:rsidRPr="00047A9D">
        <w:rPr>
          <w:rFonts w:ascii="Times New Roman" w:hAnsi="Times New Roman" w:cs="Times New Roman"/>
          <w:i/>
          <w:iCs/>
          <w:sz w:val="22"/>
          <w:szCs w:val="22"/>
        </w:rPr>
        <w:t>Teaching History</w:t>
      </w:r>
      <w:r w:rsidR="001F5AEC" w:rsidRPr="00047A9D">
        <w:rPr>
          <w:rFonts w:ascii="Times New Roman" w:hAnsi="Times New Roman" w:cs="Times New Roman"/>
          <w:sz w:val="22"/>
          <w:szCs w:val="22"/>
        </w:rPr>
        <w:t xml:space="preserve"> 53 (1988), 8-16, p.11.</w:t>
      </w:r>
    </w:p>
  </w:footnote>
  <w:footnote w:id="642">
    <w:p w14:paraId="585B3AB6" w14:textId="7E3442DF" w:rsidR="00427D1E" w:rsidRPr="00047A9D" w:rsidRDefault="00427D1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8371A" w:rsidRPr="00047A9D">
        <w:rPr>
          <w:rFonts w:ascii="Times New Roman" w:hAnsi="Times New Roman" w:cs="Times New Roman"/>
          <w:sz w:val="22"/>
          <w:szCs w:val="22"/>
        </w:rPr>
        <w:t xml:space="preserve">Sivanandan, </w:t>
      </w:r>
      <w:r w:rsidR="0008371A" w:rsidRPr="00047A9D">
        <w:rPr>
          <w:rFonts w:ascii="Times New Roman" w:hAnsi="Times New Roman" w:cs="Times New Roman"/>
          <w:i/>
          <w:sz w:val="22"/>
          <w:szCs w:val="22"/>
        </w:rPr>
        <w:t>Catching History</w:t>
      </w:r>
      <w:r w:rsidR="0008371A" w:rsidRPr="00047A9D">
        <w:rPr>
          <w:rFonts w:ascii="Times New Roman" w:hAnsi="Times New Roman" w:cs="Times New Roman"/>
          <w:sz w:val="22"/>
          <w:szCs w:val="22"/>
        </w:rPr>
        <w:t>, pp.162-63.</w:t>
      </w:r>
    </w:p>
  </w:footnote>
  <w:footnote w:id="643">
    <w:p w14:paraId="774205ED" w14:textId="184BA45C" w:rsidR="00906B8C" w:rsidRPr="00047A9D" w:rsidRDefault="00906B8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45C78" w:rsidRPr="00047A9D">
        <w:rPr>
          <w:rFonts w:ascii="Times New Roman" w:hAnsi="Times New Roman" w:cs="Times New Roman"/>
          <w:sz w:val="22"/>
          <w:szCs w:val="22"/>
        </w:rPr>
        <w:t xml:space="preserve">Chris Gaine, </w:t>
      </w:r>
      <w:r w:rsidR="00C45C78" w:rsidRPr="00047A9D">
        <w:rPr>
          <w:rFonts w:ascii="Times New Roman" w:hAnsi="Times New Roman" w:cs="Times New Roman"/>
          <w:i/>
          <w:sz w:val="22"/>
          <w:szCs w:val="22"/>
        </w:rPr>
        <w:t>No Problem Here: A Practical Approach to Education and “Race” in White Schools</w:t>
      </w:r>
      <w:r w:rsidR="00C45C78" w:rsidRPr="00047A9D">
        <w:rPr>
          <w:rFonts w:ascii="Times New Roman" w:hAnsi="Times New Roman" w:cs="Times New Roman"/>
          <w:sz w:val="22"/>
          <w:szCs w:val="22"/>
        </w:rPr>
        <w:t xml:space="preserve"> (London: Hutchinson Education, 1987), p.97.</w:t>
      </w:r>
    </w:p>
  </w:footnote>
  <w:footnote w:id="644">
    <w:p w14:paraId="011B9088" w14:textId="182DDCB1" w:rsidR="00C45C78" w:rsidRPr="00047A9D" w:rsidRDefault="00C45C7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3150C" w:rsidRPr="00047A9D">
        <w:rPr>
          <w:rFonts w:ascii="Times New Roman" w:hAnsi="Times New Roman" w:cs="Times New Roman"/>
          <w:sz w:val="22"/>
          <w:szCs w:val="22"/>
        </w:rPr>
        <w:t xml:space="preserve">Paulo Freire, </w:t>
      </w:r>
      <w:r w:rsidR="0023150C" w:rsidRPr="00047A9D">
        <w:rPr>
          <w:rFonts w:ascii="Times New Roman" w:hAnsi="Times New Roman" w:cs="Times New Roman"/>
          <w:i/>
          <w:sz w:val="22"/>
          <w:szCs w:val="22"/>
        </w:rPr>
        <w:t>Pedagogy of the Oppressed</w:t>
      </w:r>
      <w:r w:rsidR="0023150C" w:rsidRPr="00047A9D">
        <w:rPr>
          <w:rFonts w:ascii="Times New Roman" w:hAnsi="Times New Roman" w:cs="Times New Roman"/>
          <w:sz w:val="22"/>
          <w:szCs w:val="22"/>
        </w:rPr>
        <w:t>, 3</w:t>
      </w:r>
      <w:r w:rsidR="0023150C" w:rsidRPr="00047A9D">
        <w:rPr>
          <w:rFonts w:ascii="Times New Roman" w:hAnsi="Times New Roman" w:cs="Times New Roman"/>
          <w:sz w:val="22"/>
          <w:szCs w:val="22"/>
          <w:vertAlign w:val="superscript"/>
        </w:rPr>
        <w:t>rd</w:t>
      </w:r>
      <w:r w:rsidR="0023150C" w:rsidRPr="00047A9D">
        <w:rPr>
          <w:rFonts w:ascii="Times New Roman" w:hAnsi="Times New Roman" w:cs="Times New Roman"/>
          <w:sz w:val="22"/>
          <w:szCs w:val="22"/>
        </w:rPr>
        <w:t xml:space="preserve"> edn (London: Penguin, 2017), p.48.</w:t>
      </w:r>
    </w:p>
  </w:footnote>
  <w:footnote w:id="645">
    <w:p w14:paraId="5D17B984" w14:textId="528A3AB7" w:rsidR="00B651DC" w:rsidRPr="00047A9D" w:rsidRDefault="00B651D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F4F42" w:rsidRPr="00047A9D">
        <w:rPr>
          <w:rFonts w:ascii="Times New Roman" w:hAnsi="Times New Roman" w:cs="Times New Roman"/>
          <w:sz w:val="22"/>
          <w:szCs w:val="22"/>
        </w:rPr>
        <w:t>Schools Council,</w:t>
      </w:r>
      <w:r w:rsidR="00263C81" w:rsidRPr="00047A9D">
        <w:rPr>
          <w:rFonts w:ascii="Times New Roman" w:hAnsi="Times New Roman" w:cs="Times New Roman"/>
          <w:sz w:val="22"/>
          <w:szCs w:val="22"/>
        </w:rPr>
        <w:t xml:space="preserve"> </w:t>
      </w:r>
      <w:r w:rsidR="00263C81" w:rsidRPr="00047A9D">
        <w:rPr>
          <w:rFonts w:ascii="Times New Roman" w:hAnsi="Times New Roman" w:cs="Times New Roman"/>
          <w:i/>
          <w:sz w:val="22"/>
          <w:szCs w:val="22"/>
        </w:rPr>
        <w:t>Education for a Multiracial Society,</w:t>
      </w:r>
      <w:r w:rsidR="00CF4F42" w:rsidRPr="00047A9D">
        <w:rPr>
          <w:rFonts w:ascii="Times New Roman" w:hAnsi="Times New Roman" w:cs="Times New Roman"/>
          <w:sz w:val="22"/>
          <w:szCs w:val="22"/>
        </w:rPr>
        <w:t xml:space="preserve"> </w:t>
      </w:r>
      <w:r w:rsidR="00455678" w:rsidRPr="00047A9D">
        <w:rPr>
          <w:rFonts w:ascii="Times New Roman" w:hAnsi="Times New Roman" w:cs="Times New Roman"/>
          <w:sz w:val="22"/>
          <w:szCs w:val="22"/>
        </w:rPr>
        <w:t>p.</w:t>
      </w:r>
      <w:r w:rsidR="00EF7C14" w:rsidRPr="00047A9D">
        <w:rPr>
          <w:rFonts w:ascii="Times New Roman" w:hAnsi="Times New Roman" w:cs="Times New Roman"/>
          <w:sz w:val="22"/>
          <w:szCs w:val="22"/>
        </w:rPr>
        <w:t>9</w:t>
      </w:r>
      <w:r w:rsidR="00CF4F42" w:rsidRPr="00047A9D">
        <w:rPr>
          <w:rFonts w:ascii="Times New Roman" w:hAnsi="Times New Roman" w:cs="Times New Roman"/>
          <w:sz w:val="22"/>
          <w:szCs w:val="22"/>
        </w:rPr>
        <w:t>.</w:t>
      </w:r>
    </w:p>
  </w:footnote>
  <w:footnote w:id="646">
    <w:p w14:paraId="1DF38C6E" w14:textId="0A77B3F2" w:rsidR="00CF65F0" w:rsidRPr="00047A9D" w:rsidRDefault="00CF65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Schools Council, </w:t>
      </w:r>
      <w:r w:rsidRPr="00047A9D">
        <w:rPr>
          <w:rFonts w:ascii="Times New Roman" w:hAnsi="Times New Roman" w:cs="Times New Roman"/>
          <w:i/>
          <w:sz w:val="22"/>
          <w:szCs w:val="22"/>
        </w:rPr>
        <w:t>Education for a Multiracial Society,</w:t>
      </w:r>
      <w:r w:rsidRPr="00047A9D">
        <w:rPr>
          <w:rFonts w:ascii="Times New Roman" w:hAnsi="Times New Roman" w:cs="Times New Roman"/>
          <w:sz w:val="22"/>
          <w:szCs w:val="22"/>
        </w:rPr>
        <w:t xml:space="preserve"> pp.66-68.</w:t>
      </w:r>
    </w:p>
  </w:footnote>
  <w:footnote w:id="647">
    <w:p w14:paraId="7F0E7CB7" w14:textId="4825B20D" w:rsidR="00613633" w:rsidRPr="00047A9D" w:rsidRDefault="0061363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3421F" w:rsidRPr="00047A9D">
        <w:rPr>
          <w:rFonts w:ascii="Times New Roman" w:hAnsi="Times New Roman" w:cs="Times New Roman"/>
          <w:sz w:val="22"/>
          <w:szCs w:val="22"/>
        </w:rPr>
        <w:t xml:space="preserve">Schools Council, </w:t>
      </w:r>
      <w:r w:rsidR="0093421F" w:rsidRPr="00047A9D">
        <w:rPr>
          <w:rFonts w:ascii="Times New Roman" w:hAnsi="Times New Roman" w:cs="Times New Roman"/>
          <w:i/>
          <w:sz w:val="22"/>
          <w:szCs w:val="22"/>
        </w:rPr>
        <w:t>Education for a Multiracial Society,</w:t>
      </w:r>
      <w:r w:rsidR="0093421F" w:rsidRPr="00047A9D">
        <w:rPr>
          <w:rFonts w:ascii="Times New Roman" w:hAnsi="Times New Roman" w:cs="Times New Roman"/>
          <w:sz w:val="22"/>
          <w:szCs w:val="22"/>
        </w:rPr>
        <w:t xml:space="preserve"> pp.66-68.</w:t>
      </w:r>
    </w:p>
  </w:footnote>
  <w:footnote w:id="648">
    <w:p w14:paraId="2633665F" w14:textId="0EC6D86F" w:rsidR="00E8049B" w:rsidRPr="00047A9D" w:rsidRDefault="00E8049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There was an added interpersonal dimension to their demands: understood the Indian topic as an expression of favouritism towards their Indian classmates, which they linked to broader anxieties about ‘takeover’. </w:t>
      </w:r>
    </w:p>
  </w:footnote>
  <w:footnote w:id="649">
    <w:p w14:paraId="08547B0D" w14:textId="27182238" w:rsidR="007436FF" w:rsidRPr="00047A9D" w:rsidRDefault="007436F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52CFE" w:rsidRPr="00047A9D">
        <w:rPr>
          <w:rFonts w:ascii="Times New Roman" w:hAnsi="Times New Roman" w:cs="Times New Roman"/>
          <w:sz w:val="22"/>
          <w:szCs w:val="22"/>
        </w:rPr>
        <w:t>See</w:t>
      </w:r>
      <w:r w:rsidR="0087044E" w:rsidRPr="00047A9D">
        <w:rPr>
          <w:rFonts w:ascii="Times New Roman" w:hAnsi="Times New Roman" w:cs="Times New Roman"/>
          <w:sz w:val="22"/>
          <w:szCs w:val="22"/>
        </w:rPr>
        <w:t xml:space="preserve"> </w:t>
      </w:r>
      <w:r w:rsidR="00A8579B" w:rsidRPr="00047A9D">
        <w:rPr>
          <w:rFonts w:ascii="Times New Roman" w:hAnsi="Times New Roman" w:cs="Times New Roman"/>
          <w:sz w:val="22"/>
          <w:szCs w:val="22"/>
        </w:rPr>
        <w:t xml:space="preserve">‘Images: Introduction’, Section 6, </w:t>
      </w:r>
      <w:r w:rsidR="0046651A" w:rsidRPr="00047A9D">
        <w:rPr>
          <w:rFonts w:ascii="Times New Roman" w:hAnsi="Times New Roman" w:cs="Times New Roman"/>
          <w:sz w:val="22"/>
          <w:szCs w:val="22"/>
        </w:rPr>
        <w:t>in</w:t>
      </w:r>
      <w:r w:rsidR="0087044E" w:rsidRPr="00047A9D">
        <w:rPr>
          <w:rFonts w:ascii="Times New Roman" w:hAnsi="Times New Roman" w:cs="Times New Roman"/>
          <w:sz w:val="22"/>
          <w:szCs w:val="22"/>
        </w:rPr>
        <w:t xml:space="preserve"> ACER,</w:t>
      </w:r>
      <w:r w:rsidR="0046651A" w:rsidRPr="00047A9D">
        <w:rPr>
          <w:rFonts w:ascii="Times New Roman" w:hAnsi="Times New Roman" w:cs="Times New Roman"/>
          <w:sz w:val="22"/>
          <w:szCs w:val="22"/>
        </w:rPr>
        <w:t xml:space="preserve"> </w:t>
      </w:r>
      <w:r w:rsidR="0046651A" w:rsidRPr="00047A9D">
        <w:rPr>
          <w:rFonts w:ascii="Times New Roman" w:hAnsi="Times New Roman" w:cs="Times New Roman"/>
          <w:i/>
          <w:sz w:val="22"/>
          <w:szCs w:val="22"/>
        </w:rPr>
        <w:t>Images and Reflections</w:t>
      </w:r>
      <w:r w:rsidR="0046651A" w:rsidRPr="00047A9D">
        <w:rPr>
          <w:rFonts w:ascii="Times New Roman" w:hAnsi="Times New Roman" w:cs="Times New Roman"/>
          <w:sz w:val="22"/>
          <w:szCs w:val="22"/>
        </w:rPr>
        <w:t>, n.p.</w:t>
      </w:r>
    </w:p>
  </w:footnote>
  <w:footnote w:id="650">
    <w:p w14:paraId="3A0B4BAA" w14:textId="77777777" w:rsidR="00351F79" w:rsidRPr="00047A9D" w:rsidRDefault="00351F7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Beverley Naidoo, </w:t>
      </w:r>
      <w:r w:rsidRPr="00047A9D">
        <w:rPr>
          <w:rFonts w:ascii="Times New Roman" w:hAnsi="Times New Roman" w:cs="Times New Roman"/>
          <w:i/>
          <w:sz w:val="22"/>
          <w:szCs w:val="22"/>
        </w:rPr>
        <w:t xml:space="preserve">Through Whose Eyes? Exploring Racism: Reader, Text and Context </w:t>
      </w:r>
      <w:r w:rsidRPr="00047A9D">
        <w:rPr>
          <w:rFonts w:ascii="Times New Roman" w:hAnsi="Times New Roman" w:cs="Times New Roman"/>
          <w:sz w:val="22"/>
          <w:szCs w:val="22"/>
        </w:rPr>
        <w:t>(Stoke-on-Trent: Trentham, 1992), p.149.</w:t>
      </w:r>
    </w:p>
  </w:footnote>
  <w:footnote w:id="651">
    <w:p w14:paraId="6BF65D2A" w14:textId="3DFD106F" w:rsidR="002E729F" w:rsidRPr="00047A9D" w:rsidRDefault="002E729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Mark Puddy, </w:t>
      </w:r>
      <w:r w:rsidR="00263C81" w:rsidRPr="00047A9D">
        <w:rPr>
          <w:rFonts w:ascii="Times New Roman" w:hAnsi="Times New Roman" w:cs="Times New Roman"/>
          <w:sz w:val="22"/>
          <w:szCs w:val="22"/>
        </w:rPr>
        <w:t>‘</w:t>
      </w:r>
      <w:r w:rsidRPr="00047A9D">
        <w:rPr>
          <w:rFonts w:ascii="Times New Roman" w:hAnsi="Times New Roman" w:cs="Times New Roman"/>
          <w:sz w:val="22"/>
          <w:szCs w:val="22"/>
        </w:rPr>
        <w:t xml:space="preserve">Mixing the Messages...Television </w:t>
      </w:r>
      <w:r w:rsidRPr="00047A9D">
        <w:rPr>
          <w:rFonts w:ascii="Times New Roman" w:hAnsi="Times New Roman" w:cs="Times New Roman"/>
          <w:i/>
          <w:sz w:val="22"/>
          <w:szCs w:val="22"/>
        </w:rPr>
        <w:t>versus</w:t>
      </w:r>
      <w:r w:rsidRPr="00047A9D">
        <w:rPr>
          <w:rFonts w:ascii="Times New Roman" w:hAnsi="Times New Roman" w:cs="Times New Roman"/>
          <w:sz w:val="22"/>
          <w:szCs w:val="22"/>
        </w:rPr>
        <w:t xml:space="preserve"> the Teacher</w:t>
      </w:r>
      <w:r w:rsidR="00263C81" w:rsidRPr="00047A9D">
        <w:rPr>
          <w:rFonts w:ascii="Times New Roman" w:hAnsi="Times New Roman" w:cs="Times New Roman"/>
          <w:sz w:val="22"/>
          <w:szCs w:val="22"/>
        </w:rPr>
        <w:t>’</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Multicultural Teaching</w:t>
      </w:r>
      <w:r w:rsidRPr="00047A9D">
        <w:rPr>
          <w:rFonts w:ascii="Times New Roman" w:hAnsi="Times New Roman" w:cs="Times New Roman"/>
          <w:sz w:val="22"/>
          <w:szCs w:val="22"/>
        </w:rPr>
        <w:t xml:space="preserve"> 4</w:t>
      </w:r>
      <w:r w:rsidR="006D6901" w:rsidRPr="00047A9D">
        <w:rPr>
          <w:rFonts w:ascii="Times New Roman" w:hAnsi="Times New Roman" w:cs="Times New Roman"/>
          <w:sz w:val="22"/>
          <w:szCs w:val="22"/>
        </w:rPr>
        <w:t>.</w:t>
      </w:r>
      <w:r w:rsidRPr="00047A9D">
        <w:rPr>
          <w:rFonts w:ascii="Times New Roman" w:hAnsi="Times New Roman" w:cs="Times New Roman"/>
          <w:sz w:val="22"/>
          <w:szCs w:val="22"/>
        </w:rPr>
        <w:t>1 (Autumn 1985), 29-30, p.29.</w:t>
      </w:r>
    </w:p>
  </w:footnote>
  <w:footnote w:id="652">
    <w:p w14:paraId="43B30FF3" w14:textId="59C3C054" w:rsidR="006D6901" w:rsidRPr="00047A9D" w:rsidRDefault="006D690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A5436" w:rsidRPr="00047A9D">
        <w:rPr>
          <w:rFonts w:ascii="Times New Roman" w:hAnsi="Times New Roman" w:cs="Times New Roman"/>
          <w:sz w:val="22"/>
          <w:szCs w:val="22"/>
        </w:rPr>
        <w:t xml:space="preserve">Schools Council, </w:t>
      </w:r>
      <w:r w:rsidR="002A5436" w:rsidRPr="00047A9D">
        <w:rPr>
          <w:rFonts w:ascii="Times New Roman" w:hAnsi="Times New Roman" w:cs="Times New Roman"/>
          <w:i/>
          <w:sz w:val="22"/>
          <w:szCs w:val="22"/>
        </w:rPr>
        <w:t xml:space="preserve">Education for a Multiracial Society, </w:t>
      </w:r>
      <w:r w:rsidR="002A5436" w:rsidRPr="00047A9D">
        <w:rPr>
          <w:rFonts w:ascii="Times New Roman" w:hAnsi="Times New Roman" w:cs="Times New Roman"/>
          <w:sz w:val="22"/>
          <w:szCs w:val="22"/>
        </w:rPr>
        <w:t>p.85.</w:t>
      </w:r>
    </w:p>
  </w:footnote>
  <w:footnote w:id="653">
    <w:p w14:paraId="46B9A06A" w14:textId="4D89E00A" w:rsidR="00E473F6" w:rsidRPr="00047A9D" w:rsidRDefault="00E473F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56040" w:rsidRPr="00047A9D">
        <w:rPr>
          <w:rFonts w:ascii="Times New Roman" w:hAnsi="Times New Roman" w:cs="Times New Roman"/>
          <w:sz w:val="22"/>
          <w:szCs w:val="22"/>
        </w:rPr>
        <w:t xml:space="preserve">Schools Council, </w:t>
      </w:r>
      <w:r w:rsidR="00356040" w:rsidRPr="00047A9D">
        <w:rPr>
          <w:rFonts w:ascii="Times New Roman" w:hAnsi="Times New Roman" w:cs="Times New Roman"/>
          <w:i/>
          <w:sz w:val="22"/>
          <w:szCs w:val="22"/>
        </w:rPr>
        <w:t>Children’s Reading Interests, Schools Council Working Paper 52</w:t>
      </w:r>
      <w:r w:rsidR="005E19AC" w:rsidRPr="00047A9D">
        <w:rPr>
          <w:rFonts w:ascii="Times New Roman" w:hAnsi="Times New Roman" w:cs="Times New Roman"/>
          <w:i/>
          <w:sz w:val="22"/>
          <w:szCs w:val="22"/>
        </w:rPr>
        <w:t>: An Interim Report from the Schools Council Research Project into Children’s Reading Habits, 10-15</w:t>
      </w:r>
      <w:r w:rsidR="00356040" w:rsidRPr="00047A9D">
        <w:rPr>
          <w:rFonts w:ascii="Times New Roman" w:hAnsi="Times New Roman" w:cs="Times New Roman"/>
          <w:sz w:val="22"/>
          <w:szCs w:val="22"/>
        </w:rPr>
        <w:t xml:space="preserve"> (London: Evans/Methuen Educational, 1975)</w:t>
      </w:r>
      <w:r w:rsidR="00DF1F6C" w:rsidRPr="00047A9D">
        <w:rPr>
          <w:rFonts w:ascii="Times New Roman" w:hAnsi="Times New Roman" w:cs="Times New Roman"/>
          <w:sz w:val="22"/>
          <w:szCs w:val="22"/>
        </w:rPr>
        <w:t>, pp.26-30</w:t>
      </w:r>
      <w:r w:rsidR="003D5630" w:rsidRPr="00047A9D">
        <w:rPr>
          <w:rFonts w:ascii="Times New Roman" w:hAnsi="Times New Roman" w:cs="Times New Roman"/>
          <w:sz w:val="22"/>
          <w:szCs w:val="22"/>
        </w:rPr>
        <w:t>.</w:t>
      </w:r>
    </w:p>
  </w:footnote>
  <w:footnote w:id="654">
    <w:p w14:paraId="53ADF69F" w14:textId="17B24148" w:rsidR="00FB7D24" w:rsidRPr="00047A9D" w:rsidRDefault="00FB7D2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220AB" w:rsidRPr="00047A9D">
        <w:rPr>
          <w:rFonts w:ascii="Times New Roman" w:hAnsi="Times New Roman" w:cs="Times New Roman"/>
          <w:sz w:val="22"/>
          <w:szCs w:val="22"/>
        </w:rPr>
        <w:t xml:space="preserve">Bob Dixon, </w:t>
      </w:r>
      <w:r w:rsidR="007220AB" w:rsidRPr="00047A9D">
        <w:rPr>
          <w:rFonts w:ascii="Times New Roman" w:hAnsi="Times New Roman" w:cs="Times New Roman"/>
          <w:i/>
          <w:sz w:val="22"/>
          <w:szCs w:val="22"/>
        </w:rPr>
        <w:t>Catching Them Young 2: Political Ideas in Children</w:t>
      </w:r>
      <w:r w:rsidR="007D1498" w:rsidRPr="00047A9D">
        <w:rPr>
          <w:rFonts w:ascii="Times New Roman" w:hAnsi="Times New Roman" w:cs="Times New Roman"/>
          <w:i/>
          <w:sz w:val="22"/>
          <w:szCs w:val="22"/>
        </w:rPr>
        <w:t>’</w:t>
      </w:r>
      <w:r w:rsidR="007220AB" w:rsidRPr="00047A9D">
        <w:rPr>
          <w:rFonts w:ascii="Times New Roman" w:hAnsi="Times New Roman" w:cs="Times New Roman"/>
          <w:i/>
          <w:sz w:val="22"/>
          <w:szCs w:val="22"/>
        </w:rPr>
        <w:t>s Fiction</w:t>
      </w:r>
      <w:r w:rsidR="007220AB" w:rsidRPr="00047A9D">
        <w:rPr>
          <w:rFonts w:ascii="Times New Roman" w:hAnsi="Times New Roman" w:cs="Times New Roman"/>
          <w:sz w:val="22"/>
          <w:szCs w:val="22"/>
        </w:rPr>
        <w:t xml:space="preserve"> (London: Pluto, 1977), p.75.</w:t>
      </w:r>
    </w:p>
  </w:footnote>
  <w:footnote w:id="655">
    <w:p w14:paraId="433B25B9" w14:textId="4D95B9F0" w:rsidR="00E455B7" w:rsidRPr="00047A9D" w:rsidRDefault="00E455B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W.E. Johns, </w:t>
      </w:r>
      <w:r w:rsidRPr="00047A9D">
        <w:rPr>
          <w:rFonts w:ascii="Times New Roman" w:hAnsi="Times New Roman" w:cs="Times New Roman"/>
          <w:i/>
          <w:sz w:val="22"/>
          <w:szCs w:val="22"/>
        </w:rPr>
        <w:t>Biggles and the Black Raider</w:t>
      </w:r>
      <w:r w:rsidRPr="00047A9D">
        <w:rPr>
          <w:rFonts w:ascii="Times New Roman" w:hAnsi="Times New Roman" w:cs="Times New Roman"/>
          <w:sz w:val="22"/>
          <w:szCs w:val="22"/>
        </w:rPr>
        <w:t xml:space="preserve"> (London: Hodder and </w:t>
      </w:r>
      <w:r w:rsidR="004803EC" w:rsidRPr="00047A9D">
        <w:rPr>
          <w:rFonts w:ascii="Times New Roman" w:hAnsi="Times New Roman" w:cs="Times New Roman"/>
          <w:sz w:val="22"/>
          <w:szCs w:val="22"/>
        </w:rPr>
        <w:t>Stoughton, 1953), pp.23-24.</w:t>
      </w:r>
    </w:p>
  </w:footnote>
  <w:footnote w:id="656">
    <w:p w14:paraId="5AF39392" w14:textId="60C67F91" w:rsidR="00CC49B2" w:rsidRPr="00047A9D" w:rsidRDefault="00CC49B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B1FD1" w:rsidRPr="00047A9D">
        <w:rPr>
          <w:rFonts w:ascii="Times New Roman" w:hAnsi="Times New Roman" w:cs="Times New Roman"/>
          <w:sz w:val="22"/>
          <w:szCs w:val="22"/>
        </w:rPr>
        <w:t>See Thatcher’s comments in her infamous ‘rather swamped’ speech. Margaret Thatcher, ‘TV Interview for Granada World in Action (“rather swamped”)’, 27 January 1978. Thatcher Archive: Granada Transcript &lt;https://www.margaretthatcher.org/document/103485&gt; [accessed 16 January 2024].</w:t>
      </w:r>
    </w:p>
  </w:footnote>
  <w:footnote w:id="657">
    <w:p w14:paraId="6515B15A" w14:textId="4AF80B07" w:rsidR="003D5630" w:rsidRPr="00047A9D" w:rsidRDefault="003D563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Schools Council, </w:t>
      </w:r>
      <w:r w:rsidRPr="00047A9D">
        <w:rPr>
          <w:rFonts w:ascii="Times New Roman" w:hAnsi="Times New Roman" w:cs="Times New Roman"/>
          <w:i/>
          <w:sz w:val="22"/>
          <w:szCs w:val="22"/>
        </w:rPr>
        <w:t xml:space="preserve">Children’s Reading Interests, </w:t>
      </w:r>
      <w:r w:rsidRPr="00047A9D">
        <w:rPr>
          <w:rFonts w:ascii="Times New Roman" w:hAnsi="Times New Roman" w:cs="Times New Roman"/>
          <w:sz w:val="22"/>
          <w:szCs w:val="22"/>
        </w:rPr>
        <w:t>pp.26-30</w:t>
      </w:r>
      <w:r w:rsidR="00E91A6D" w:rsidRPr="00047A9D">
        <w:rPr>
          <w:rFonts w:ascii="Times New Roman" w:hAnsi="Times New Roman" w:cs="Times New Roman"/>
          <w:sz w:val="22"/>
          <w:szCs w:val="22"/>
        </w:rPr>
        <w:t>, 33.</w:t>
      </w:r>
    </w:p>
  </w:footnote>
  <w:footnote w:id="658">
    <w:p w14:paraId="2A07FA17" w14:textId="57A84F50" w:rsidR="00B03975" w:rsidRPr="00047A9D" w:rsidRDefault="00B0397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97628" w:rsidRPr="00047A9D">
        <w:rPr>
          <w:rFonts w:ascii="Times New Roman" w:hAnsi="Times New Roman" w:cs="Times New Roman"/>
          <w:sz w:val="22"/>
          <w:szCs w:val="22"/>
        </w:rPr>
        <w:t xml:space="preserve">Schools Council, </w:t>
      </w:r>
      <w:r w:rsidR="00497628" w:rsidRPr="00047A9D">
        <w:rPr>
          <w:rFonts w:ascii="Times New Roman" w:hAnsi="Times New Roman" w:cs="Times New Roman"/>
          <w:i/>
          <w:sz w:val="22"/>
          <w:szCs w:val="22"/>
        </w:rPr>
        <w:t xml:space="preserve">Children’s Reading Interests, </w:t>
      </w:r>
      <w:r w:rsidR="00497628" w:rsidRPr="00047A9D">
        <w:rPr>
          <w:rFonts w:ascii="Times New Roman" w:hAnsi="Times New Roman" w:cs="Times New Roman"/>
          <w:sz w:val="22"/>
          <w:szCs w:val="22"/>
        </w:rPr>
        <w:t>pp.26-30.</w:t>
      </w:r>
    </w:p>
  </w:footnote>
  <w:footnote w:id="659">
    <w:p w14:paraId="4CE3525B" w14:textId="08FB8E12" w:rsidR="00A23F13" w:rsidRPr="00047A9D" w:rsidRDefault="00A23F1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B5636" w:rsidRPr="00047A9D">
        <w:rPr>
          <w:rFonts w:ascii="Times New Roman" w:hAnsi="Times New Roman" w:cs="Times New Roman"/>
          <w:sz w:val="22"/>
          <w:szCs w:val="22"/>
        </w:rPr>
        <w:t>Bill Osgerby</w:t>
      </w:r>
      <w:r w:rsidR="00A2083B" w:rsidRPr="00047A9D">
        <w:rPr>
          <w:rFonts w:ascii="Times New Roman" w:hAnsi="Times New Roman" w:cs="Times New Roman"/>
          <w:sz w:val="22"/>
          <w:szCs w:val="22"/>
        </w:rPr>
        <w:t>, ‘“</w:t>
      </w:r>
      <w:r w:rsidR="003B5636" w:rsidRPr="00047A9D">
        <w:rPr>
          <w:rFonts w:ascii="Times New Roman" w:hAnsi="Times New Roman" w:cs="Times New Roman"/>
          <w:sz w:val="22"/>
          <w:szCs w:val="22"/>
        </w:rPr>
        <w:t>Bovver</w:t>
      </w:r>
      <w:r w:rsidR="00A2083B" w:rsidRPr="00047A9D">
        <w:rPr>
          <w:rFonts w:ascii="Times New Roman" w:hAnsi="Times New Roman" w:cs="Times New Roman"/>
          <w:sz w:val="22"/>
          <w:szCs w:val="22"/>
        </w:rPr>
        <w:t xml:space="preserve">” </w:t>
      </w:r>
      <w:r w:rsidR="003B5636" w:rsidRPr="00047A9D">
        <w:rPr>
          <w:rFonts w:ascii="Times New Roman" w:hAnsi="Times New Roman" w:cs="Times New Roman"/>
          <w:sz w:val="22"/>
          <w:szCs w:val="22"/>
        </w:rPr>
        <w:t xml:space="preserve">Books of the 1970s: Subcultures, Crisis and </w:t>
      </w:r>
      <w:r w:rsidR="00A2083B" w:rsidRPr="00047A9D">
        <w:rPr>
          <w:rFonts w:ascii="Times New Roman" w:hAnsi="Times New Roman" w:cs="Times New Roman"/>
          <w:sz w:val="22"/>
          <w:szCs w:val="22"/>
        </w:rPr>
        <w:t>“</w:t>
      </w:r>
      <w:r w:rsidR="003B5636" w:rsidRPr="00047A9D">
        <w:rPr>
          <w:rFonts w:ascii="Times New Roman" w:hAnsi="Times New Roman" w:cs="Times New Roman"/>
          <w:sz w:val="22"/>
          <w:szCs w:val="22"/>
        </w:rPr>
        <w:t>Youth-Sploitation</w:t>
      </w:r>
      <w:r w:rsidR="001F10F2" w:rsidRPr="00047A9D">
        <w:rPr>
          <w:rFonts w:ascii="Times New Roman" w:hAnsi="Times New Roman" w:cs="Times New Roman"/>
          <w:sz w:val="22"/>
          <w:szCs w:val="22"/>
        </w:rPr>
        <w:t>”</w:t>
      </w:r>
      <w:r w:rsidR="003B5636" w:rsidRPr="00047A9D">
        <w:rPr>
          <w:rFonts w:ascii="Times New Roman" w:hAnsi="Times New Roman" w:cs="Times New Roman"/>
          <w:sz w:val="22"/>
          <w:szCs w:val="22"/>
        </w:rPr>
        <w:t xml:space="preserve"> Novels</w:t>
      </w:r>
      <w:r w:rsidR="001F10F2" w:rsidRPr="00047A9D">
        <w:rPr>
          <w:rFonts w:ascii="Times New Roman" w:hAnsi="Times New Roman" w:cs="Times New Roman"/>
          <w:sz w:val="22"/>
          <w:szCs w:val="22"/>
        </w:rPr>
        <w:t>’</w:t>
      </w:r>
      <w:r w:rsidR="003B5636" w:rsidRPr="00047A9D">
        <w:rPr>
          <w:rFonts w:ascii="Times New Roman" w:hAnsi="Times New Roman" w:cs="Times New Roman"/>
          <w:sz w:val="22"/>
          <w:szCs w:val="22"/>
        </w:rPr>
        <w:t xml:space="preserve">, </w:t>
      </w:r>
      <w:r w:rsidR="003B5636" w:rsidRPr="00047A9D">
        <w:rPr>
          <w:rFonts w:ascii="Times New Roman" w:hAnsi="Times New Roman" w:cs="Times New Roman"/>
          <w:i/>
          <w:sz w:val="22"/>
          <w:szCs w:val="22"/>
        </w:rPr>
        <w:t>Contemporary British History</w:t>
      </w:r>
      <w:r w:rsidR="003B5636" w:rsidRPr="00047A9D">
        <w:rPr>
          <w:rFonts w:ascii="Times New Roman" w:hAnsi="Times New Roman" w:cs="Times New Roman"/>
          <w:sz w:val="22"/>
          <w:szCs w:val="22"/>
        </w:rPr>
        <w:t xml:space="preserve"> 26</w:t>
      </w:r>
      <w:r w:rsidR="00F948E6" w:rsidRPr="00047A9D">
        <w:rPr>
          <w:rFonts w:ascii="Times New Roman" w:hAnsi="Times New Roman" w:cs="Times New Roman"/>
          <w:sz w:val="22"/>
          <w:szCs w:val="22"/>
        </w:rPr>
        <w:t>.</w:t>
      </w:r>
      <w:r w:rsidR="003B5636" w:rsidRPr="00047A9D">
        <w:rPr>
          <w:rFonts w:ascii="Times New Roman" w:hAnsi="Times New Roman" w:cs="Times New Roman"/>
          <w:sz w:val="22"/>
          <w:szCs w:val="22"/>
        </w:rPr>
        <w:t>3</w:t>
      </w:r>
      <w:r w:rsidR="001F10F2" w:rsidRPr="00047A9D">
        <w:rPr>
          <w:rFonts w:ascii="Times New Roman" w:hAnsi="Times New Roman" w:cs="Times New Roman"/>
          <w:sz w:val="22"/>
          <w:szCs w:val="22"/>
        </w:rPr>
        <w:t xml:space="preserve"> (2012)</w:t>
      </w:r>
      <w:r w:rsidR="0082338C">
        <w:rPr>
          <w:rFonts w:ascii="Times New Roman" w:hAnsi="Times New Roman" w:cs="Times New Roman"/>
          <w:sz w:val="22"/>
          <w:szCs w:val="22"/>
        </w:rPr>
        <w:t>,</w:t>
      </w:r>
      <w:r w:rsidR="001F10F2" w:rsidRPr="00047A9D">
        <w:rPr>
          <w:rFonts w:ascii="Times New Roman" w:hAnsi="Times New Roman" w:cs="Times New Roman"/>
          <w:sz w:val="22"/>
          <w:szCs w:val="22"/>
        </w:rPr>
        <w:t xml:space="preserve"> </w:t>
      </w:r>
      <w:r w:rsidR="003B5636" w:rsidRPr="00047A9D">
        <w:rPr>
          <w:rFonts w:ascii="Times New Roman" w:hAnsi="Times New Roman" w:cs="Times New Roman"/>
          <w:sz w:val="22"/>
          <w:szCs w:val="22"/>
        </w:rPr>
        <w:t>299-331,</w:t>
      </w:r>
      <w:r w:rsidR="001F10F2" w:rsidRPr="00047A9D">
        <w:rPr>
          <w:rFonts w:ascii="Times New Roman" w:hAnsi="Times New Roman" w:cs="Times New Roman"/>
          <w:sz w:val="22"/>
          <w:szCs w:val="22"/>
        </w:rPr>
        <w:t xml:space="preserve"> p.302.</w:t>
      </w:r>
    </w:p>
  </w:footnote>
  <w:footnote w:id="660">
    <w:p w14:paraId="1FECA1D2" w14:textId="4932A6E0" w:rsidR="007733FD" w:rsidRPr="00047A9D" w:rsidRDefault="007733F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C61A43" w:rsidRPr="00047A9D">
        <w:rPr>
          <w:rFonts w:ascii="Times New Roman" w:hAnsi="Times New Roman" w:cs="Times New Roman"/>
          <w:sz w:val="22"/>
          <w:szCs w:val="22"/>
        </w:rPr>
        <w:t xml:space="preserve"> </w:t>
      </w:r>
      <w:r w:rsidR="004B58AF" w:rsidRPr="00047A9D">
        <w:rPr>
          <w:rFonts w:ascii="Times New Roman" w:hAnsi="Times New Roman" w:cs="Times New Roman"/>
          <w:sz w:val="22"/>
          <w:szCs w:val="22"/>
        </w:rPr>
        <w:t>Stacey</w:t>
      </w:r>
      <w:r w:rsidR="00C61A43" w:rsidRPr="00047A9D">
        <w:rPr>
          <w:rFonts w:ascii="Times New Roman" w:hAnsi="Times New Roman" w:cs="Times New Roman"/>
          <w:sz w:val="22"/>
          <w:szCs w:val="22"/>
        </w:rPr>
        <w:t xml:space="preserve"> Sinclair</w:t>
      </w:r>
      <w:r w:rsidR="004B58AF" w:rsidRPr="00047A9D">
        <w:rPr>
          <w:rFonts w:ascii="Times New Roman" w:hAnsi="Times New Roman" w:cs="Times New Roman"/>
          <w:sz w:val="22"/>
          <w:szCs w:val="22"/>
        </w:rPr>
        <w:t>, Elizabeth Dunn, and Brian Lowery, ‘The Relationship between Parental Racial Attitudes and Children’s Implicit Prejudice’, </w:t>
      </w:r>
      <w:r w:rsidR="004B58AF" w:rsidRPr="00047A9D">
        <w:rPr>
          <w:rFonts w:ascii="Times New Roman" w:hAnsi="Times New Roman" w:cs="Times New Roman"/>
          <w:i/>
          <w:iCs/>
          <w:sz w:val="22"/>
          <w:szCs w:val="22"/>
        </w:rPr>
        <w:t>Journal of Experimental Social Psychology</w:t>
      </w:r>
      <w:r w:rsidR="00C61A43" w:rsidRPr="00047A9D">
        <w:rPr>
          <w:rFonts w:ascii="Times New Roman" w:hAnsi="Times New Roman" w:cs="Times New Roman"/>
          <w:sz w:val="22"/>
          <w:szCs w:val="22"/>
        </w:rPr>
        <w:t xml:space="preserve"> </w:t>
      </w:r>
      <w:r w:rsidR="004B58AF" w:rsidRPr="00047A9D">
        <w:rPr>
          <w:rFonts w:ascii="Times New Roman" w:hAnsi="Times New Roman" w:cs="Times New Roman"/>
          <w:sz w:val="22"/>
          <w:szCs w:val="22"/>
        </w:rPr>
        <w:t>41.3 (2005), 283–89</w:t>
      </w:r>
      <w:r w:rsidR="00C61A43" w:rsidRPr="00047A9D">
        <w:rPr>
          <w:rFonts w:ascii="Times New Roman" w:hAnsi="Times New Roman" w:cs="Times New Roman"/>
          <w:sz w:val="22"/>
          <w:szCs w:val="22"/>
        </w:rPr>
        <w:t>.</w:t>
      </w:r>
    </w:p>
  </w:footnote>
  <w:footnote w:id="661">
    <w:p w14:paraId="22FED222" w14:textId="49500A7D" w:rsidR="00724831" w:rsidRPr="00047A9D" w:rsidRDefault="0072483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15CCD" w:rsidRPr="00047A9D">
        <w:rPr>
          <w:rFonts w:ascii="Times New Roman" w:hAnsi="Times New Roman" w:cs="Times New Roman"/>
          <w:sz w:val="22"/>
          <w:szCs w:val="22"/>
        </w:rPr>
        <w:t xml:space="preserve">Schools Council, </w:t>
      </w:r>
      <w:r w:rsidR="00815CCD" w:rsidRPr="00047A9D">
        <w:rPr>
          <w:rFonts w:ascii="Times New Roman" w:hAnsi="Times New Roman" w:cs="Times New Roman"/>
          <w:i/>
          <w:sz w:val="22"/>
          <w:szCs w:val="22"/>
        </w:rPr>
        <w:t>Education for a Multiracial Society,</w:t>
      </w:r>
      <w:r w:rsidR="00815CCD" w:rsidRPr="00047A9D">
        <w:rPr>
          <w:rFonts w:ascii="Times New Roman" w:hAnsi="Times New Roman" w:cs="Times New Roman"/>
          <w:sz w:val="22"/>
          <w:szCs w:val="22"/>
        </w:rPr>
        <w:t xml:space="preserve"> p.66.</w:t>
      </w:r>
    </w:p>
  </w:footnote>
  <w:footnote w:id="662">
    <w:p w14:paraId="49671D50" w14:textId="34AC5C2C" w:rsidR="00B7291D" w:rsidRPr="00047A9D" w:rsidRDefault="00B7291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C5FFD" w:rsidRPr="00047A9D">
        <w:rPr>
          <w:rFonts w:ascii="Times New Roman" w:hAnsi="Times New Roman" w:cs="Times New Roman"/>
          <w:sz w:val="22"/>
          <w:szCs w:val="22"/>
        </w:rPr>
        <w:t>Ian 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0C5FFD" w:rsidRPr="00047A9D">
        <w:rPr>
          <w:rFonts w:ascii="Times New Roman" w:hAnsi="Times New Roman" w:cs="Times New Roman"/>
          <w:sz w:val="22"/>
          <w:szCs w:val="22"/>
        </w:rPr>
        <w:t xml:space="preserve">, </w:t>
      </w:r>
      <w:r w:rsidR="000C5FFD" w:rsidRPr="00047A9D">
        <w:rPr>
          <w:rFonts w:ascii="Times New Roman" w:hAnsi="Times New Roman" w:cs="Times New Roman"/>
          <w:i/>
          <w:sz w:val="22"/>
          <w:szCs w:val="22"/>
        </w:rPr>
        <w:t>Murder in the Playground: The Burnage Report</w:t>
      </w:r>
      <w:r w:rsidR="000C5FFD" w:rsidRPr="00047A9D">
        <w:rPr>
          <w:rFonts w:ascii="Times New Roman" w:hAnsi="Times New Roman" w:cs="Times New Roman"/>
          <w:sz w:val="22"/>
          <w:szCs w:val="22"/>
        </w:rPr>
        <w:t xml:space="preserve"> (London: Longsight, 1989), </w:t>
      </w:r>
      <w:r w:rsidR="00ED21F2" w:rsidRPr="00047A9D">
        <w:rPr>
          <w:rFonts w:ascii="Times New Roman" w:hAnsi="Times New Roman" w:cs="Times New Roman"/>
          <w:sz w:val="22"/>
          <w:szCs w:val="22"/>
        </w:rPr>
        <w:t>pp.ix-x, 82-83, 153.</w:t>
      </w:r>
    </w:p>
  </w:footnote>
  <w:footnote w:id="663">
    <w:p w14:paraId="17A73972" w14:textId="559AB3FD" w:rsidR="004E3E70" w:rsidRPr="00047A9D" w:rsidRDefault="004E3E7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82B84" w:rsidRPr="00047A9D">
        <w:rPr>
          <w:rFonts w:ascii="Times New Roman" w:hAnsi="Times New Roman" w:cs="Times New Roman"/>
          <w:sz w:val="22"/>
          <w:szCs w:val="22"/>
        </w:rPr>
        <w:t>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882B84" w:rsidRPr="00047A9D">
        <w:rPr>
          <w:rFonts w:ascii="Times New Roman" w:hAnsi="Times New Roman" w:cs="Times New Roman"/>
          <w:sz w:val="22"/>
          <w:szCs w:val="22"/>
        </w:rPr>
        <w:t xml:space="preserve">, </w:t>
      </w:r>
      <w:r w:rsidR="00882B84" w:rsidRPr="00047A9D">
        <w:rPr>
          <w:rFonts w:ascii="Times New Roman" w:hAnsi="Times New Roman" w:cs="Times New Roman"/>
          <w:i/>
          <w:sz w:val="22"/>
          <w:szCs w:val="22"/>
        </w:rPr>
        <w:t>Murder in the Playground</w:t>
      </w:r>
      <w:r w:rsidR="00830BBA" w:rsidRPr="00047A9D">
        <w:rPr>
          <w:rFonts w:ascii="Times New Roman" w:hAnsi="Times New Roman" w:cs="Times New Roman"/>
          <w:sz w:val="22"/>
          <w:szCs w:val="22"/>
        </w:rPr>
        <w:t>, pp.124-25, 127.</w:t>
      </w:r>
    </w:p>
  </w:footnote>
  <w:footnote w:id="664">
    <w:p w14:paraId="69698588" w14:textId="2AF7E74C" w:rsidR="00D05695" w:rsidRPr="00047A9D" w:rsidRDefault="00D0569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82B84" w:rsidRPr="00047A9D">
        <w:rPr>
          <w:rFonts w:ascii="Times New Roman" w:hAnsi="Times New Roman" w:cs="Times New Roman"/>
          <w:sz w:val="22"/>
          <w:szCs w:val="22"/>
        </w:rPr>
        <w:t>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882B84" w:rsidRPr="00047A9D">
        <w:rPr>
          <w:rFonts w:ascii="Times New Roman" w:hAnsi="Times New Roman" w:cs="Times New Roman"/>
          <w:sz w:val="22"/>
          <w:szCs w:val="22"/>
        </w:rPr>
        <w:t xml:space="preserve">, </w:t>
      </w:r>
      <w:r w:rsidR="00882B84" w:rsidRPr="00047A9D">
        <w:rPr>
          <w:rFonts w:ascii="Times New Roman" w:hAnsi="Times New Roman" w:cs="Times New Roman"/>
          <w:i/>
          <w:sz w:val="22"/>
          <w:szCs w:val="22"/>
        </w:rPr>
        <w:t>Murder in the Playground</w:t>
      </w:r>
      <w:r w:rsidR="00DE733C" w:rsidRPr="00047A9D">
        <w:rPr>
          <w:rFonts w:ascii="Times New Roman" w:hAnsi="Times New Roman" w:cs="Times New Roman"/>
          <w:i/>
          <w:sz w:val="22"/>
          <w:szCs w:val="22"/>
        </w:rPr>
        <w:t xml:space="preserve">, </w:t>
      </w:r>
      <w:r w:rsidR="00DE733C" w:rsidRPr="00047A9D">
        <w:rPr>
          <w:rFonts w:ascii="Times New Roman" w:hAnsi="Times New Roman" w:cs="Times New Roman"/>
          <w:sz w:val="22"/>
          <w:szCs w:val="22"/>
        </w:rPr>
        <w:t>p</w:t>
      </w:r>
      <w:r w:rsidR="000744F8" w:rsidRPr="00047A9D">
        <w:rPr>
          <w:rFonts w:ascii="Times New Roman" w:hAnsi="Times New Roman" w:cs="Times New Roman"/>
          <w:sz w:val="22"/>
          <w:szCs w:val="22"/>
        </w:rPr>
        <w:t>p</w:t>
      </w:r>
      <w:r w:rsidR="00DE733C" w:rsidRPr="00047A9D">
        <w:rPr>
          <w:rFonts w:ascii="Times New Roman" w:hAnsi="Times New Roman" w:cs="Times New Roman"/>
          <w:sz w:val="22"/>
          <w:szCs w:val="22"/>
        </w:rPr>
        <w:t>.</w:t>
      </w:r>
      <w:r w:rsidR="001B1EE2" w:rsidRPr="00047A9D">
        <w:rPr>
          <w:rFonts w:ascii="Times New Roman" w:hAnsi="Times New Roman" w:cs="Times New Roman"/>
          <w:sz w:val="22"/>
          <w:szCs w:val="22"/>
        </w:rPr>
        <w:t xml:space="preserve">133, </w:t>
      </w:r>
      <w:r w:rsidR="000744F8" w:rsidRPr="00047A9D">
        <w:rPr>
          <w:rFonts w:ascii="Times New Roman" w:hAnsi="Times New Roman" w:cs="Times New Roman"/>
          <w:sz w:val="22"/>
          <w:szCs w:val="22"/>
        </w:rPr>
        <w:t>141</w:t>
      </w:r>
      <w:r w:rsidR="007C2DDD" w:rsidRPr="00047A9D">
        <w:rPr>
          <w:rFonts w:ascii="Times New Roman" w:hAnsi="Times New Roman" w:cs="Times New Roman"/>
          <w:sz w:val="22"/>
          <w:szCs w:val="22"/>
        </w:rPr>
        <w:t>-42,</w:t>
      </w:r>
      <w:r w:rsidR="000744F8" w:rsidRPr="00047A9D">
        <w:rPr>
          <w:rFonts w:ascii="Times New Roman" w:hAnsi="Times New Roman" w:cs="Times New Roman"/>
          <w:sz w:val="22"/>
          <w:szCs w:val="22"/>
        </w:rPr>
        <w:t xml:space="preserve"> </w:t>
      </w:r>
      <w:r w:rsidR="00103128" w:rsidRPr="00047A9D">
        <w:rPr>
          <w:rFonts w:ascii="Times New Roman" w:hAnsi="Times New Roman" w:cs="Times New Roman"/>
          <w:sz w:val="22"/>
          <w:szCs w:val="22"/>
        </w:rPr>
        <w:t>167</w:t>
      </w:r>
      <w:r w:rsidR="000744F8" w:rsidRPr="00047A9D">
        <w:rPr>
          <w:rFonts w:ascii="Times New Roman" w:hAnsi="Times New Roman" w:cs="Times New Roman"/>
          <w:sz w:val="22"/>
          <w:szCs w:val="22"/>
        </w:rPr>
        <w:t>.</w:t>
      </w:r>
    </w:p>
  </w:footnote>
  <w:footnote w:id="665">
    <w:p w14:paraId="6893CA66" w14:textId="03712827" w:rsidR="00C74237" w:rsidRPr="00047A9D" w:rsidRDefault="00C7423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82B84" w:rsidRPr="00047A9D">
        <w:rPr>
          <w:rFonts w:ascii="Times New Roman" w:hAnsi="Times New Roman" w:cs="Times New Roman"/>
          <w:sz w:val="22"/>
          <w:szCs w:val="22"/>
        </w:rPr>
        <w:t>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882B84" w:rsidRPr="00047A9D">
        <w:rPr>
          <w:rFonts w:ascii="Times New Roman" w:hAnsi="Times New Roman" w:cs="Times New Roman"/>
          <w:sz w:val="22"/>
          <w:szCs w:val="22"/>
        </w:rPr>
        <w:t xml:space="preserve">, </w:t>
      </w:r>
      <w:r w:rsidR="00882B84" w:rsidRPr="00047A9D">
        <w:rPr>
          <w:rFonts w:ascii="Times New Roman" w:hAnsi="Times New Roman" w:cs="Times New Roman"/>
          <w:i/>
          <w:sz w:val="22"/>
          <w:szCs w:val="22"/>
        </w:rPr>
        <w:t>Murder in the Playground</w:t>
      </w:r>
      <w:r w:rsidR="002E03B2" w:rsidRPr="00047A9D">
        <w:rPr>
          <w:rFonts w:ascii="Times New Roman" w:hAnsi="Times New Roman" w:cs="Times New Roman"/>
          <w:i/>
          <w:sz w:val="22"/>
          <w:szCs w:val="22"/>
        </w:rPr>
        <w:t xml:space="preserve">, </w:t>
      </w:r>
      <w:r w:rsidR="002E03B2" w:rsidRPr="00047A9D">
        <w:rPr>
          <w:rFonts w:ascii="Times New Roman" w:hAnsi="Times New Roman" w:cs="Times New Roman"/>
          <w:sz w:val="22"/>
          <w:szCs w:val="22"/>
        </w:rPr>
        <w:t>pp.140-42.</w:t>
      </w:r>
    </w:p>
  </w:footnote>
  <w:footnote w:id="666">
    <w:p w14:paraId="2EEF7077" w14:textId="09A18EE9" w:rsidR="00D36172" w:rsidRPr="00047A9D" w:rsidRDefault="00D3617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A2632" w:rsidRPr="00047A9D">
        <w:rPr>
          <w:rFonts w:ascii="Times New Roman" w:hAnsi="Times New Roman" w:cs="Times New Roman"/>
          <w:sz w:val="22"/>
          <w:szCs w:val="22"/>
        </w:rPr>
        <w:t>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9A2632" w:rsidRPr="00047A9D">
        <w:rPr>
          <w:rFonts w:ascii="Times New Roman" w:hAnsi="Times New Roman" w:cs="Times New Roman"/>
          <w:sz w:val="22"/>
          <w:szCs w:val="22"/>
        </w:rPr>
        <w:t xml:space="preserve">, </w:t>
      </w:r>
      <w:r w:rsidR="009A2632" w:rsidRPr="00047A9D">
        <w:rPr>
          <w:rFonts w:ascii="Times New Roman" w:hAnsi="Times New Roman" w:cs="Times New Roman"/>
          <w:i/>
          <w:sz w:val="22"/>
          <w:szCs w:val="22"/>
        </w:rPr>
        <w:t>Murder in the Playground</w:t>
      </w:r>
      <w:r w:rsidR="00C810D4" w:rsidRPr="00047A9D">
        <w:rPr>
          <w:rFonts w:ascii="Times New Roman" w:hAnsi="Times New Roman" w:cs="Times New Roman"/>
          <w:i/>
          <w:sz w:val="22"/>
          <w:szCs w:val="22"/>
        </w:rPr>
        <w:t xml:space="preserve">, </w:t>
      </w:r>
      <w:r w:rsidR="003656CB" w:rsidRPr="00047A9D">
        <w:rPr>
          <w:rFonts w:ascii="Times New Roman" w:hAnsi="Times New Roman" w:cs="Times New Roman"/>
          <w:sz w:val="22"/>
          <w:szCs w:val="22"/>
        </w:rPr>
        <w:t>pp.</w:t>
      </w:r>
      <w:r w:rsidR="00024CD3" w:rsidRPr="00047A9D">
        <w:rPr>
          <w:rFonts w:ascii="Times New Roman" w:hAnsi="Times New Roman" w:cs="Times New Roman"/>
          <w:sz w:val="22"/>
          <w:szCs w:val="22"/>
        </w:rPr>
        <w:t>169, 196-97.</w:t>
      </w:r>
    </w:p>
  </w:footnote>
  <w:footnote w:id="667">
    <w:p w14:paraId="3879CC6F" w14:textId="0E2747C7" w:rsidR="00FA23F7" w:rsidRPr="00047A9D" w:rsidRDefault="00FA23F7"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375E0" w:rsidRPr="00047A9D">
        <w:rPr>
          <w:rFonts w:ascii="Times New Roman" w:hAnsi="Times New Roman" w:cs="Times New Roman"/>
          <w:sz w:val="22"/>
          <w:szCs w:val="22"/>
        </w:rPr>
        <w:t xml:space="preserve">Macdonald </w:t>
      </w:r>
      <w:r w:rsidR="003375E0" w:rsidRPr="00047A9D">
        <w:rPr>
          <w:rFonts w:ascii="Times New Roman" w:hAnsi="Times New Roman" w:cs="Times New Roman"/>
          <w:i/>
          <w:sz w:val="22"/>
          <w:szCs w:val="22"/>
        </w:rPr>
        <w:t>et al.</w:t>
      </w:r>
      <w:r w:rsidR="003375E0" w:rsidRPr="00047A9D">
        <w:rPr>
          <w:rFonts w:ascii="Times New Roman" w:hAnsi="Times New Roman" w:cs="Times New Roman"/>
          <w:sz w:val="22"/>
          <w:szCs w:val="22"/>
        </w:rPr>
        <w:t xml:space="preserve">, </w:t>
      </w:r>
      <w:r w:rsidR="003375E0" w:rsidRPr="00047A9D">
        <w:rPr>
          <w:rFonts w:ascii="Times New Roman" w:hAnsi="Times New Roman" w:cs="Times New Roman"/>
          <w:i/>
          <w:sz w:val="22"/>
          <w:szCs w:val="22"/>
        </w:rPr>
        <w:t xml:space="preserve">Murder in the Playground, </w:t>
      </w:r>
      <w:r w:rsidR="003375E0" w:rsidRPr="00047A9D">
        <w:rPr>
          <w:rFonts w:ascii="Times New Roman" w:hAnsi="Times New Roman" w:cs="Times New Roman"/>
          <w:iCs/>
          <w:sz w:val="22"/>
          <w:szCs w:val="22"/>
        </w:rPr>
        <w:t>pp.141-42.</w:t>
      </w:r>
    </w:p>
  </w:footnote>
  <w:footnote w:id="668">
    <w:p w14:paraId="7505C109" w14:textId="0B54BC6B" w:rsidR="009E5D1F" w:rsidRPr="00047A9D" w:rsidRDefault="009E5D1F"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D4BA8" w:rsidRPr="00047A9D">
        <w:rPr>
          <w:rFonts w:ascii="Times New Roman" w:hAnsi="Times New Roman" w:cs="Times New Roman"/>
          <w:sz w:val="22"/>
          <w:szCs w:val="22"/>
        </w:rPr>
        <w:t>When the incident was reported to senior management, staff complained of the suppression of free speech and instituted a ‘Censor Free Notice-Board’ where they could make ‘racist or sexist remarks’ without interference.</w:t>
      </w:r>
      <w:r w:rsidR="004F7686" w:rsidRPr="00047A9D">
        <w:rPr>
          <w:rFonts w:ascii="Times New Roman" w:hAnsi="Times New Roman" w:cs="Times New Roman"/>
          <w:sz w:val="22"/>
          <w:szCs w:val="22"/>
        </w:rPr>
        <w:t xml:space="preserve"> See Macdonald </w:t>
      </w:r>
      <w:r w:rsidR="004F7686" w:rsidRPr="00047A9D">
        <w:rPr>
          <w:rFonts w:ascii="Times New Roman" w:hAnsi="Times New Roman" w:cs="Times New Roman"/>
          <w:i/>
          <w:sz w:val="22"/>
          <w:szCs w:val="22"/>
        </w:rPr>
        <w:t>et al.</w:t>
      </w:r>
      <w:r w:rsidR="004F7686" w:rsidRPr="00047A9D">
        <w:rPr>
          <w:rFonts w:ascii="Times New Roman" w:hAnsi="Times New Roman" w:cs="Times New Roman"/>
          <w:sz w:val="22"/>
          <w:szCs w:val="22"/>
        </w:rPr>
        <w:t xml:space="preserve">, </w:t>
      </w:r>
      <w:r w:rsidR="004F7686" w:rsidRPr="00047A9D">
        <w:rPr>
          <w:rFonts w:ascii="Times New Roman" w:hAnsi="Times New Roman" w:cs="Times New Roman"/>
          <w:i/>
          <w:sz w:val="22"/>
          <w:szCs w:val="22"/>
        </w:rPr>
        <w:t xml:space="preserve">Murder in the Playground, </w:t>
      </w:r>
      <w:r w:rsidR="004F7686" w:rsidRPr="00047A9D">
        <w:rPr>
          <w:rFonts w:ascii="Times New Roman" w:hAnsi="Times New Roman" w:cs="Times New Roman"/>
          <w:iCs/>
          <w:sz w:val="22"/>
          <w:szCs w:val="22"/>
        </w:rPr>
        <w:t>p.142.</w:t>
      </w:r>
    </w:p>
  </w:footnote>
  <w:footnote w:id="669">
    <w:p w14:paraId="18C49752" w14:textId="27CD4563" w:rsidR="000657AF" w:rsidRPr="00047A9D" w:rsidRDefault="000657A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27283" w:rsidRPr="00047A9D">
        <w:rPr>
          <w:rFonts w:ascii="Times New Roman" w:hAnsi="Times New Roman" w:cs="Times New Roman"/>
          <w:sz w:val="22"/>
          <w:szCs w:val="22"/>
        </w:rPr>
        <w:t>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627283" w:rsidRPr="00047A9D">
        <w:rPr>
          <w:rFonts w:ascii="Times New Roman" w:hAnsi="Times New Roman" w:cs="Times New Roman"/>
          <w:sz w:val="22"/>
          <w:szCs w:val="22"/>
        </w:rPr>
        <w:t xml:space="preserve">, </w:t>
      </w:r>
      <w:r w:rsidR="00627283" w:rsidRPr="00047A9D">
        <w:rPr>
          <w:rFonts w:ascii="Times New Roman" w:hAnsi="Times New Roman" w:cs="Times New Roman"/>
          <w:i/>
          <w:sz w:val="22"/>
          <w:szCs w:val="22"/>
        </w:rPr>
        <w:t>Murder in the Playground</w:t>
      </w:r>
      <w:r w:rsidR="002E2D62" w:rsidRPr="00047A9D">
        <w:rPr>
          <w:rFonts w:ascii="Times New Roman" w:hAnsi="Times New Roman" w:cs="Times New Roman"/>
          <w:sz w:val="22"/>
          <w:szCs w:val="22"/>
        </w:rPr>
        <w:t>, p</w:t>
      </w:r>
      <w:r w:rsidR="003F302D" w:rsidRPr="00047A9D">
        <w:rPr>
          <w:rFonts w:ascii="Times New Roman" w:hAnsi="Times New Roman" w:cs="Times New Roman"/>
          <w:sz w:val="22"/>
          <w:szCs w:val="22"/>
        </w:rPr>
        <w:t>p</w:t>
      </w:r>
      <w:r w:rsidR="002E2D62" w:rsidRPr="00047A9D">
        <w:rPr>
          <w:rFonts w:ascii="Times New Roman" w:hAnsi="Times New Roman" w:cs="Times New Roman"/>
          <w:sz w:val="22"/>
          <w:szCs w:val="22"/>
        </w:rPr>
        <w:t>.</w:t>
      </w:r>
      <w:r w:rsidR="00627283" w:rsidRPr="00047A9D">
        <w:rPr>
          <w:rFonts w:ascii="Times New Roman" w:hAnsi="Times New Roman" w:cs="Times New Roman"/>
          <w:sz w:val="22"/>
          <w:szCs w:val="22"/>
        </w:rPr>
        <w:t>142</w:t>
      </w:r>
      <w:r w:rsidR="003F302D" w:rsidRPr="00047A9D">
        <w:rPr>
          <w:rFonts w:ascii="Times New Roman" w:hAnsi="Times New Roman" w:cs="Times New Roman"/>
          <w:sz w:val="22"/>
          <w:szCs w:val="22"/>
        </w:rPr>
        <w:t>, 250</w:t>
      </w:r>
      <w:r w:rsidR="00627283" w:rsidRPr="00047A9D">
        <w:rPr>
          <w:rFonts w:ascii="Times New Roman" w:hAnsi="Times New Roman" w:cs="Times New Roman"/>
          <w:sz w:val="22"/>
          <w:szCs w:val="22"/>
        </w:rPr>
        <w:t>.</w:t>
      </w:r>
    </w:p>
  </w:footnote>
  <w:footnote w:id="670">
    <w:p w14:paraId="6BF8B074" w14:textId="5601253F" w:rsidR="00040159" w:rsidRPr="00047A9D" w:rsidRDefault="00040159"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20C81" w:rsidRPr="00047A9D">
        <w:rPr>
          <w:rFonts w:ascii="Times New Roman" w:hAnsi="Times New Roman" w:cs="Times New Roman"/>
          <w:sz w:val="22"/>
          <w:szCs w:val="22"/>
        </w:rPr>
        <w:t xml:space="preserve">Macdonald </w:t>
      </w:r>
      <w:r w:rsidR="00720C81" w:rsidRPr="00047A9D">
        <w:rPr>
          <w:rFonts w:ascii="Times New Roman" w:hAnsi="Times New Roman" w:cs="Times New Roman"/>
          <w:i/>
          <w:sz w:val="22"/>
          <w:szCs w:val="22"/>
        </w:rPr>
        <w:t>et al.</w:t>
      </w:r>
      <w:r w:rsidR="00720C81" w:rsidRPr="00047A9D">
        <w:rPr>
          <w:rFonts w:ascii="Times New Roman" w:hAnsi="Times New Roman" w:cs="Times New Roman"/>
          <w:sz w:val="22"/>
          <w:szCs w:val="22"/>
        </w:rPr>
        <w:t xml:space="preserve">, </w:t>
      </w:r>
      <w:r w:rsidR="00720C81" w:rsidRPr="00047A9D">
        <w:rPr>
          <w:rFonts w:ascii="Times New Roman" w:hAnsi="Times New Roman" w:cs="Times New Roman"/>
          <w:i/>
          <w:sz w:val="22"/>
          <w:szCs w:val="22"/>
        </w:rPr>
        <w:t>Murder in the Playground</w:t>
      </w:r>
      <w:r w:rsidR="00720C81" w:rsidRPr="00047A9D">
        <w:rPr>
          <w:rFonts w:ascii="Times New Roman" w:hAnsi="Times New Roman" w:cs="Times New Roman"/>
          <w:iCs/>
          <w:sz w:val="22"/>
          <w:szCs w:val="22"/>
        </w:rPr>
        <w:t>, p</w:t>
      </w:r>
      <w:r w:rsidR="00DB4F1D">
        <w:rPr>
          <w:rFonts w:ascii="Times New Roman" w:hAnsi="Times New Roman" w:cs="Times New Roman"/>
          <w:iCs/>
          <w:sz w:val="22"/>
          <w:szCs w:val="22"/>
        </w:rPr>
        <w:t>p</w:t>
      </w:r>
      <w:r w:rsidR="00720C81" w:rsidRPr="00047A9D">
        <w:rPr>
          <w:rFonts w:ascii="Times New Roman" w:hAnsi="Times New Roman" w:cs="Times New Roman"/>
          <w:iCs/>
          <w:sz w:val="22"/>
          <w:szCs w:val="22"/>
        </w:rPr>
        <w:t>.112, 117.</w:t>
      </w:r>
    </w:p>
  </w:footnote>
  <w:footnote w:id="671">
    <w:p w14:paraId="7F051529" w14:textId="7C949D08" w:rsidR="0032380B" w:rsidRPr="00047A9D" w:rsidRDefault="0032380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A2632" w:rsidRPr="00047A9D">
        <w:rPr>
          <w:rFonts w:ascii="Times New Roman" w:hAnsi="Times New Roman" w:cs="Times New Roman"/>
          <w:sz w:val="22"/>
          <w:szCs w:val="22"/>
        </w:rPr>
        <w:t>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9A2632" w:rsidRPr="00047A9D">
        <w:rPr>
          <w:rFonts w:ascii="Times New Roman" w:hAnsi="Times New Roman" w:cs="Times New Roman"/>
          <w:sz w:val="22"/>
          <w:szCs w:val="22"/>
        </w:rPr>
        <w:t xml:space="preserve">, </w:t>
      </w:r>
      <w:r w:rsidR="009A2632" w:rsidRPr="00047A9D">
        <w:rPr>
          <w:rFonts w:ascii="Times New Roman" w:hAnsi="Times New Roman" w:cs="Times New Roman"/>
          <w:i/>
          <w:sz w:val="22"/>
          <w:szCs w:val="22"/>
        </w:rPr>
        <w:t>Murder in the Playground</w:t>
      </w:r>
      <w:r w:rsidR="00124DF2" w:rsidRPr="00047A9D">
        <w:rPr>
          <w:rFonts w:ascii="Times New Roman" w:hAnsi="Times New Roman" w:cs="Times New Roman"/>
          <w:i/>
          <w:sz w:val="22"/>
          <w:szCs w:val="22"/>
        </w:rPr>
        <w:t xml:space="preserve">, </w:t>
      </w:r>
      <w:r w:rsidR="00124DF2" w:rsidRPr="00047A9D">
        <w:rPr>
          <w:rFonts w:ascii="Times New Roman" w:hAnsi="Times New Roman" w:cs="Times New Roman"/>
          <w:sz w:val="22"/>
          <w:szCs w:val="22"/>
        </w:rPr>
        <w:t>p.102.</w:t>
      </w:r>
    </w:p>
  </w:footnote>
  <w:footnote w:id="672">
    <w:p w14:paraId="375D2572" w14:textId="6C593C1B" w:rsidR="00DB148A" w:rsidRPr="00047A9D" w:rsidRDefault="00DB148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A2632" w:rsidRPr="00047A9D">
        <w:rPr>
          <w:rFonts w:ascii="Times New Roman" w:hAnsi="Times New Roman" w:cs="Times New Roman"/>
          <w:sz w:val="22"/>
          <w:szCs w:val="22"/>
        </w:rPr>
        <w:t>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9A2632" w:rsidRPr="00047A9D">
        <w:rPr>
          <w:rFonts w:ascii="Times New Roman" w:hAnsi="Times New Roman" w:cs="Times New Roman"/>
          <w:sz w:val="22"/>
          <w:szCs w:val="22"/>
        </w:rPr>
        <w:t xml:space="preserve">, </w:t>
      </w:r>
      <w:r w:rsidR="009A2632" w:rsidRPr="00047A9D">
        <w:rPr>
          <w:rFonts w:ascii="Times New Roman" w:hAnsi="Times New Roman" w:cs="Times New Roman"/>
          <w:i/>
          <w:sz w:val="22"/>
          <w:szCs w:val="22"/>
        </w:rPr>
        <w:t>Murder in the Playground</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pp.</w:t>
      </w:r>
      <w:r w:rsidR="00EA5135" w:rsidRPr="00047A9D">
        <w:rPr>
          <w:rFonts w:ascii="Times New Roman" w:hAnsi="Times New Roman" w:cs="Times New Roman"/>
          <w:sz w:val="22"/>
          <w:szCs w:val="22"/>
        </w:rPr>
        <w:t>30, 44-46.</w:t>
      </w:r>
    </w:p>
  </w:footnote>
  <w:footnote w:id="673">
    <w:p w14:paraId="598191BF" w14:textId="3663CFEB" w:rsidR="00680DCD" w:rsidRPr="00047A9D" w:rsidRDefault="00680DC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A2632" w:rsidRPr="00047A9D">
        <w:rPr>
          <w:rFonts w:ascii="Times New Roman" w:hAnsi="Times New Roman" w:cs="Times New Roman"/>
          <w:sz w:val="22"/>
          <w:szCs w:val="22"/>
        </w:rPr>
        <w:t>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9A2632" w:rsidRPr="00047A9D">
        <w:rPr>
          <w:rFonts w:ascii="Times New Roman" w:hAnsi="Times New Roman" w:cs="Times New Roman"/>
          <w:sz w:val="22"/>
          <w:szCs w:val="22"/>
        </w:rPr>
        <w:t xml:space="preserve">, </w:t>
      </w:r>
      <w:r w:rsidR="009A2632" w:rsidRPr="00047A9D">
        <w:rPr>
          <w:rFonts w:ascii="Times New Roman" w:hAnsi="Times New Roman" w:cs="Times New Roman"/>
          <w:i/>
          <w:sz w:val="22"/>
          <w:szCs w:val="22"/>
        </w:rPr>
        <w:t>Murder in the Playground</w:t>
      </w:r>
      <w:r w:rsidR="001A485F" w:rsidRPr="00047A9D">
        <w:rPr>
          <w:rFonts w:ascii="Times New Roman" w:hAnsi="Times New Roman" w:cs="Times New Roman"/>
          <w:i/>
          <w:sz w:val="22"/>
          <w:szCs w:val="22"/>
        </w:rPr>
        <w:t xml:space="preserve">, </w:t>
      </w:r>
      <w:r w:rsidR="001A485F" w:rsidRPr="00047A9D">
        <w:rPr>
          <w:rFonts w:ascii="Times New Roman" w:hAnsi="Times New Roman" w:cs="Times New Roman"/>
          <w:sz w:val="22"/>
          <w:szCs w:val="22"/>
        </w:rPr>
        <w:t>p</w:t>
      </w:r>
      <w:r w:rsidR="00863D13" w:rsidRPr="00047A9D">
        <w:rPr>
          <w:rFonts w:ascii="Times New Roman" w:hAnsi="Times New Roman" w:cs="Times New Roman"/>
          <w:sz w:val="22"/>
          <w:szCs w:val="22"/>
        </w:rPr>
        <w:t>p</w:t>
      </w:r>
      <w:r w:rsidR="001A485F" w:rsidRPr="00047A9D">
        <w:rPr>
          <w:rFonts w:ascii="Times New Roman" w:hAnsi="Times New Roman" w:cs="Times New Roman"/>
          <w:sz w:val="22"/>
          <w:szCs w:val="22"/>
        </w:rPr>
        <w:t>.30,</w:t>
      </w:r>
      <w:r w:rsidR="00863D13" w:rsidRPr="00047A9D">
        <w:rPr>
          <w:rFonts w:ascii="Times New Roman" w:hAnsi="Times New Roman" w:cs="Times New Roman"/>
          <w:sz w:val="22"/>
          <w:szCs w:val="22"/>
        </w:rPr>
        <w:t xml:space="preserve"> 46</w:t>
      </w:r>
      <w:r w:rsidR="003863F9" w:rsidRPr="00047A9D">
        <w:rPr>
          <w:rFonts w:ascii="Times New Roman" w:hAnsi="Times New Roman" w:cs="Times New Roman"/>
          <w:sz w:val="22"/>
          <w:szCs w:val="22"/>
        </w:rPr>
        <w:t>, 98, 234.</w:t>
      </w:r>
    </w:p>
  </w:footnote>
  <w:footnote w:id="674">
    <w:p w14:paraId="2FB5A501" w14:textId="426EF5FC" w:rsidR="00B91C0B" w:rsidRPr="00047A9D" w:rsidRDefault="00B91C0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These objections were lin</w:t>
      </w:r>
      <w:r w:rsidR="000A350A" w:rsidRPr="00047A9D">
        <w:rPr>
          <w:rFonts w:ascii="Times New Roman" w:hAnsi="Times New Roman" w:cs="Times New Roman"/>
          <w:sz w:val="22"/>
          <w:szCs w:val="22"/>
        </w:rPr>
        <w:t>ked to a more well-founded critique of RAT</w:t>
      </w:r>
      <w:r w:rsidR="00F54742" w:rsidRPr="00047A9D">
        <w:rPr>
          <w:rFonts w:ascii="Times New Roman" w:hAnsi="Times New Roman" w:cs="Times New Roman"/>
          <w:sz w:val="22"/>
          <w:szCs w:val="22"/>
        </w:rPr>
        <w:t xml:space="preserve"> and its complicity in the elevation of some people of colour into ‘positions of false power’ without empowering the rest of the community. </w:t>
      </w:r>
      <w:r w:rsidR="003F4CF4" w:rsidRPr="00047A9D">
        <w:rPr>
          <w:rFonts w:ascii="Times New Roman" w:hAnsi="Times New Roman" w:cs="Times New Roman"/>
          <w:sz w:val="22"/>
          <w:szCs w:val="22"/>
        </w:rPr>
        <w:t xml:space="preserve">See Macdonald </w:t>
      </w:r>
      <w:r w:rsidR="003F4CF4" w:rsidRPr="00047A9D">
        <w:rPr>
          <w:rFonts w:ascii="Times New Roman" w:hAnsi="Times New Roman" w:cs="Times New Roman"/>
          <w:i/>
          <w:sz w:val="22"/>
          <w:szCs w:val="22"/>
        </w:rPr>
        <w:t>et al.</w:t>
      </w:r>
      <w:r w:rsidR="003F4CF4" w:rsidRPr="00047A9D">
        <w:rPr>
          <w:rFonts w:ascii="Times New Roman" w:hAnsi="Times New Roman" w:cs="Times New Roman"/>
          <w:sz w:val="22"/>
          <w:szCs w:val="22"/>
        </w:rPr>
        <w:t>, p.348.</w:t>
      </w:r>
    </w:p>
  </w:footnote>
  <w:footnote w:id="675">
    <w:p w14:paraId="2BDEC4EE" w14:textId="25840B5E" w:rsidR="008206EC" w:rsidRPr="00047A9D" w:rsidRDefault="008206E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51241" w:rsidRPr="00047A9D">
        <w:rPr>
          <w:rFonts w:ascii="Times New Roman" w:hAnsi="Times New Roman" w:cs="Times New Roman"/>
          <w:sz w:val="22"/>
          <w:szCs w:val="22"/>
        </w:rPr>
        <w:t>Macdonald</w:t>
      </w:r>
      <w:r w:rsidR="003378AD" w:rsidRPr="00047A9D">
        <w:rPr>
          <w:rFonts w:ascii="Times New Roman" w:hAnsi="Times New Roman" w:cs="Times New Roman"/>
          <w:sz w:val="22"/>
          <w:szCs w:val="22"/>
        </w:rPr>
        <w:t xml:space="preserve"> </w:t>
      </w:r>
      <w:r w:rsidR="003378AD" w:rsidRPr="00047A9D">
        <w:rPr>
          <w:rFonts w:ascii="Times New Roman" w:hAnsi="Times New Roman" w:cs="Times New Roman"/>
          <w:i/>
          <w:sz w:val="22"/>
          <w:szCs w:val="22"/>
        </w:rPr>
        <w:t>et al.</w:t>
      </w:r>
      <w:r w:rsidR="00C51241" w:rsidRPr="00047A9D">
        <w:rPr>
          <w:rFonts w:ascii="Times New Roman" w:hAnsi="Times New Roman" w:cs="Times New Roman"/>
          <w:sz w:val="22"/>
          <w:szCs w:val="22"/>
        </w:rPr>
        <w:t xml:space="preserve">, </w:t>
      </w:r>
      <w:r w:rsidR="00C51241" w:rsidRPr="00047A9D">
        <w:rPr>
          <w:rFonts w:ascii="Times New Roman" w:hAnsi="Times New Roman" w:cs="Times New Roman"/>
          <w:i/>
          <w:sz w:val="22"/>
          <w:szCs w:val="22"/>
        </w:rPr>
        <w:t>Murder in the Playground</w:t>
      </w:r>
      <w:r w:rsidR="0006148E" w:rsidRPr="00047A9D">
        <w:rPr>
          <w:rFonts w:ascii="Times New Roman" w:hAnsi="Times New Roman" w:cs="Times New Roman"/>
          <w:i/>
          <w:sz w:val="22"/>
          <w:szCs w:val="22"/>
        </w:rPr>
        <w:t xml:space="preserve">, </w:t>
      </w:r>
      <w:r w:rsidR="0006148E" w:rsidRPr="00047A9D">
        <w:rPr>
          <w:rFonts w:ascii="Times New Roman" w:hAnsi="Times New Roman" w:cs="Times New Roman"/>
          <w:sz w:val="22"/>
          <w:szCs w:val="22"/>
        </w:rPr>
        <w:t>p.</w:t>
      </w:r>
      <w:r w:rsidR="00C51241" w:rsidRPr="00047A9D">
        <w:rPr>
          <w:rFonts w:ascii="Times New Roman" w:hAnsi="Times New Roman" w:cs="Times New Roman"/>
          <w:sz w:val="22"/>
          <w:szCs w:val="22"/>
        </w:rPr>
        <w:t>xxiii.</w:t>
      </w:r>
    </w:p>
  </w:footnote>
  <w:footnote w:id="676">
    <w:p w14:paraId="1C6B034A" w14:textId="107D5C09" w:rsidR="00897E40" w:rsidRPr="00047A9D" w:rsidRDefault="00897E4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Stephen Bates </w:t>
      </w:r>
      <w:r w:rsidR="00795639" w:rsidRPr="00047A9D">
        <w:rPr>
          <w:rFonts w:ascii="Times New Roman" w:hAnsi="Times New Roman" w:cs="Times New Roman"/>
          <w:sz w:val="22"/>
          <w:szCs w:val="22"/>
        </w:rPr>
        <w:t>and</w:t>
      </w:r>
      <w:r w:rsidRPr="00047A9D">
        <w:rPr>
          <w:rFonts w:ascii="Times New Roman" w:hAnsi="Times New Roman" w:cs="Times New Roman"/>
          <w:sz w:val="22"/>
          <w:szCs w:val="22"/>
        </w:rPr>
        <w:t xml:space="preserve"> James Meikle, ‘Condemned: Anti-racist Head who Led his School to Disaster’, </w:t>
      </w:r>
      <w:r w:rsidRPr="00047A9D">
        <w:rPr>
          <w:rFonts w:ascii="Times New Roman" w:hAnsi="Times New Roman" w:cs="Times New Roman"/>
          <w:i/>
          <w:sz w:val="22"/>
          <w:szCs w:val="22"/>
        </w:rPr>
        <w:t xml:space="preserve">Daily Mail, </w:t>
      </w:r>
      <w:r w:rsidRPr="00047A9D">
        <w:rPr>
          <w:rFonts w:ascii="Times New Roman" w:hAnsi="Times New Roman" w:cs="Times New Roman"/>
          <w:sz w:val="22"/>
          <w:szCs w:val="22"/>
        </w:rPr>
        <w:t xml:space="preserve">26 April 1988, 1; Margaret Henfield </w:t>
      </w:r>
      <w:r w:rsidR="00795639" w:rsidRPr="00047A9D">
        <w:rPr>
          <w:rFonts w:ascii="Times New Roman" w:hAnsi="Times New Roman" w:cs="Times New Roman"/>
          <w:sz w:val="22"/>
          <w:szCs w:val="22"/>
        </w:rPr>
        <w:t xml:space="preserve">and </w:t>
      </w:r>
      <w:r w:rsidRPr="00047A9D">
        <w:rPr>
          <w:rFonts w:ascii="Times New Roman" w:hAnsi="Times New Roman" w:cs="Times New Roman"/>
          <w:sz w:val="22"/>
          <w:szCs w:val="22"/>
        </w:rPr>
        <w:t xml:space="preserve">John Woodcock, ‘Dream of Harmony Tore School in Half, </w:t>
      </w:r>
      <w:r w:rsidRPr="00047A9D">
        <w:rPr>
          <w:rFonts w:ascii="Times New Roman" w:hAnsi="Times New Roman" w:cs="Times New Roman"/>
          <w:i/>
          <w:sz w:val="22"/>
          <w:szCs w:val="22"/>
        </w:rPr>
        <w:t>Daily Mail,</w:t>
      </w:r>
      <w:r w:rsidRPr="00047A9D">
        <w:rPr>
          <w:rFonts w:ascii="Times New Roman" w:hAnsi="Times New Roman" w:cs="Times New Roman"/>
          <w:sz w:val="22"/>
          <w:szCs w:val="22"/>
        </w:rPr>
        <w:t xml:space="preserve"> 26 April 1988, 9; ‘This Dangerous Obsession’, </w:t>
      </w:r>
      <w:r w:rsidRPr="00047A9D">
        <w:rPr>
          <w:rFonts w:ascii="Times New Roman" w:hAnsi="Times New Roman" w:cs="Times New Roman"/>
          <w:i/>
          <w:sz w:val="22"/>
          <w:szCs w:val="22"/>
        </w:rPr>
        <w:t>Daily Mail,</w:t>
      </w:r>
      <w:r w:rsidRPr="00047A9D">
        <w:rPr>
          <w:rFonts w:ascii="Times New Roman" w:hAnsi="Times New Roman" w:cs="Times New Roman"/>
          <w:sz w:val="22"/>
          <w:szCs w:val="22"/>
        </w:rPr>
        <w:t xml:space="preserve"> 26 April 1988, 6.</w:t>
      </w:r>
    </w:p>
  </w:footnote>
  <w:footnote w:id="677">
    <w:p w14:paraId="27A9E197" w14:textId="1B3DABEB" w:rsidR="005139AC" w:rsidRPr="00047A9D" w:rsidRDefault="005139A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Margaret Thatcher, ‘Speech to Conservative Rally at Cheltenham’, 3 July 1982</w:t>
      </w:r>
      <w:r w:rsidR="003F4E4A" w:rsidRPr="00047A9D">
        <w:rPr>
          <w:rFonts w:ascii="Times New Roman" w:hAnsi="Times New Roman" w:cs="Times New Roman"/>
          <w:sz w:val="22"/>
          <w:szCs w:val="22"/>
        </w:rPr>
        <w:t>. Thatcher Archive: CCOPR486/82 &lt;</w:t>
      </w:r>
      <w:r w:rsidR="00430BA3" w:rsidRPr="00047A9D">
        <w:rPr>
          <w:rFonts w:ascii="Times New Roman" w:hAnsi="Times New Roman" w:cs="Times New Roman"/>
          <w:sz w:val="22"/>
          <w:szCs w:val="22"/>
        </w:rPr>
        <w:t>https://www.margaretthatcher.org/document/104989&gt; [accessed 9 March 2025].</w:t>
      </w:r>
    </w:p>
  </w:footnote>
  <w:footnote w:id="678">
    <w:p w14:paraId="16CC93E8" w14:textId="20586946" w:rsidR="007328D2" w:rsidRPr="00047A9D" w:rsidRDefault="007328D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Gill Seidel, ‘Culture, Nation and “Race” in the British and French New Right’,</w:t>
      </w:r>
      <w:r w:rsidR="000B0FD7" w:rsidRPr="00047A9D">
        <w:rPr>
          <w:rFonts w:ascii="Times New Roman" w:hAnsi="Times New Roman" w:cs="Times New Roman"/>
          <w:sz w:val="22"/>
          <w:szCs w:val="22"/>
        </w:rPr>
        <w:t xml:space="preserve"> in Ruth Levitas (ed.), </w:t>
      </w:r>
      <w:r w:rsidR="000B0FD7" w:rsidRPr="00047A9D">
        <w:rPr>
          <w:rFonts w:ascii="Times New Roman" w:hAnsi="Times New Roman" w:cs="Times New Roman"/>
          <w:i/>
          <w:sz w:val="22"/>
          <w:szCs w:val="22"/>
        </w:rPr>
        <w:t>The Ideology of the New Right</w:t>
      </w:r>
      <w:r w:rsidR="000B0FD7" w:rsidRPr="00047A9D">
        <w:rPr>
          <w:rFonts w:ascii="Times New Roman" w:hAnsi="Times New Roman" w:cs="Times New Roman"/>
          <w:sz w:val="22"/>
          <w:szCs w:val="22"/>
        </w:rPr>
        <w:t xml:space="preserve"> (Cambridge: Polity, 1986)</w:t>
      </w:r>
      <w:r w:rsidRPr="00047A9D">
        <w:rPr>
          <w:rFonts w:ascii="Times New Roman" w:hAnsi="Times New Roman" w:cs="Times New Roman"/>
          <w:sz w:val="22"/>
          <w:szCs w:val="22"/>
        </w:rPr>
        <w:t>, 107-35, p.108.</w:t>
      </w:r>
    </w:p>
  </w:footnote>
  <w:footnote w:id="679">
    <w:p w14:paraId="1573954B" w14:textId="452BD711" w:rsidR="004563EF" w:rsidRPr="00047A9D" w:rsidRDefault="004563E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Ruth Levitas, ‘</w:t>
      </w:r>
      <w:r w:rsidR="0083067C" w:rsidRPr="00047A9D">
        <w:rPr>
          <w:rFonts w:ascii="Times New Roman" w:hAnsi="Times New Roman" w:cs="Times New Roman"/>
          <w:sz w:val="22"/>
          <w:szCs w:val="22"/>
        </w:rPr>
        <w:t>Introduction: Ideology and the New Right’</w:t>
      </w:r>
      <w:r w:rsidRPr="00047A9D">
        <w:rPr>
          <w:rFonts w:ascii="Times New Roman" w:hAnsi="Times New Roman" w:cs="Times New Roman"/>
          <w:sz w:val="22"/>
          <w:szCs w:val="22"/>
        </w:rPr>
        <w:t xml:space="preserve">, </w:t>
      </w:r>
      <w:r w:rsidR="000B0FD7" w:rsidRPr="00047A9D">
        <w:rPr>
          <w:rFonts w:ascii="Times New Roman" w:hAnsi="Times New Roman" w:cs="Times New Roman"/>
          <w:sz w:val="22"/>
          <w:szCs w:val="22"/>
        </w:rPr>
        <w:t>in Levitas (ed.),</w:t>
      </w:r>
      <w:r w:rsidR="000B0FD7" w:rsidRPr="00047A9D">
        <w:rPr>
          <w:rFonts w:ascii="Times New Roman" w:hAnsi="Times New Roman" w:cs="Times New Roman"/>
          <w:i/>
          <w:sz w:val="22"/>
          <w:szCs w:val="22"/>
        </w:rPr>
        <w:t xml:space="preserve"> New Right,</w:t>
      </w:r>
      <w:r w:rsidRPr="00047A9D">
        <w:rPr>
          <w:rFonts w:ascii="Times New Roman" w:hAnsi="Times New Roman" w:cs="Times New Roman"/>
          <w:sz w:val="22"/>
          <w:szCs w:val="22"/>
        </w:rPr>
        <w:t xml:space="preserve"> </w:t>
      </w:r>
      <w:r w:rsidR="0083067C" w:rsidRPr="00047A9D">
        <w:rPr>
          <w:rFonts w:ascii="Times New Roman" w:hAnsi="Times New Roman" w:cs="Times New Roman"/>
          <w:sz w:val="22"/>
          <w:szCs w:val="22"/>
        </w:rPr>
        <w:t>1-24</w:t>
      </w:r>
      <w:r w:rsidRPr="00047A9D">
        <w:rPr>
          <w:rFonts w:ascii="Times New Roman" w:hAnsi="Times New Roman" w:cs="Times New Roman"/>
          <w:sz w:val="22"/>
          <w:szCs w:val="22"/>
        </w:rPr>
        <w:t>, p</w:t>
      </w:r>
      <w:r w:rsidR="0083067C" w:rsidRPr="00047A9D">
        <w:rPr>
          <w:rFonts w:ascii="Times New Roman" w:hAnsi="Times New Roman" w:cs="Times New Roman"/>
          <w:sz w:val="22"/>
          <w:szCs w:val="22"/>
        </w:rPr>
        <w:t>p.1</w:t>
      </w:r>
      <w:r w:rsidR="00D273CF" w:rsidRPr="00047A9D">
        <w:rPr>
          <w:rFonts w:ascii="Times New Roman" w:hAnsi="Times New Roman" w:cs="Times New Roman"/>
          <w:sz w:val="22"/>
          <w:szCs w:val="22"/>
        </w:rPr>
        <w:t>-2, 5</w:t>
      </w:r>
      <w:r w:rsidR="0083067C" w:rsidRPr="00047A9D">
        <w:rPr>
          <w:rFonts w:ascii="Times New Roman" w:hAnsi="Times New Roman" w:cs="Times New Roman"/>
          <w:sz w:val="22"/>
          <w:szCs w:val="22"/>
        </w:rPr>
        <w:t>-6</w:t>
      </w:r>
      <w:r w:rsidRPr="00047A9D">
        <w:rPr>
          <w:rFonts w:ascii="Times New Roman" w:hAnsi="Times New Roman" w:cs="Times New Roman"/>
          <w:sz w:val="22"/>
          <w:szCs w:val="22"/>
        </w:rPr>
        <w:t>.</w:t>
      </w:r>
    </w:p>
  </w:footnote>
  <w:footnote w:id="680">
    <w:p w14:paraId="2D13B06B" w14:textId="010E29DE" w:rsidR="0017370C" w:rsidRPr="00047A9D" w:rsidRDefault="0017370C" w:rsidP="00D839D4">
      <w:pPr>
        <w:pStyle w:val="FootnoteText"/>
        <w:spacing w:line="360" w:lineRule="auto"/>
        <w:rPr>
          <w:rFonts w:ascii="Times New Roman" w:hAnsi="Times New Roman" w:cs="Times New Roman"/>
          <w:b/>
          <w:b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Stuart Hall, </w:t>
      </w:r>
      <w:r w:rsidR="005A666D" w:rsidRPr="00047A9D">
        <w:rPr>
          <w:rFonts w:ascii="Times New Roman" w:hAnsi="Times New Roman" w:cs="Times New Roman"/>
          <w:sz w:val="22"/>
          <w:szCs w:val="22"/>
        </w:rPr>
        <w:t>‘</w:t>
      </w:r>
      <w:r w:rsidR="006421FE" w:rsidRPr="00047A9D">
        <w:rPr>
          <w:rFonts w:ascii="Times New Roman" w:hAnsi="Times New Roman" w:cs="Times New Roman"/>
          <w:sz w:val="22"/>
          <w:szCs w:val="22"/>
        </w:rPr>
        <w:t>The Great Moving Right Show (1979)</w:t>
      </w:r>
      <w:r w:rsidR="005A666D" w:rsidRPr="00047A9D">
        <w:rPr>
          <w:rFonts w:ascii="Times New Roman" w:hAnsi="Times New Roman" w:cs="Times New Roman"/>
          <w:sz w:val="22"/>
          <w:szCs w:val="22"/>
        </w:rPr>
        <w:t>’, in Davison</w:t>
      </w:r>
      <w:r w:rsidR="001222AB" w:rsidRPr="00047A9D">
        <w:rPr>
          <w:rFonts w:ascii="Times New Roman" w:hAnsi="Times New Roman" w:cs="Times New Roman"/>
          <w:sz w:val="22"/>
          <w:szCs w:val="22"/>
        </w:rPr>
        <w:t xml:space="preserve"> </w:t>
      </w:r>
      <w:r w:rsidR="001222AB" w:rsidRPr="00047A9D">
        <w:rPr>
          <w:rFonts w:ascii="Times New Roman" w:hAnsi="Times New Roman" w:cs="Times New Roman"/>
          <w:i/>
          <w:sz w:val="22"/>
          <w:szCs w:val="22"/>
        </w:rPr>
        <w:t xml:space="preserve">et al. </w:t>
      </w:r>
      <w:r w:rsidR="008C18D1" w:rsidRPr="00047A9D">
        <w:rPr>
          <w:rFonts w:ascii="Times New Roman" w:hAnsi="Times New Roman" w:cs="Times New Roman"/>
          <w:sz w:val="22"/>
          <w:szCs w:val="22"/>
        </w:rPr>
        <w:t>(eds),</w:t>
      </w:r>
      <w:r w:rsidR="00A1303E" w:rsidRPr="00047A9D">
        <w:rPr>
          <w:rFonts w:ascii="Times New Roman" w:hAnsi="Times New Roman" w:cs="Times New Roman"/>
          <w:sz w:val="22"/>
          <w:szCs w:val="22"/>
        </w:rPr>
        <w:t xml:space="preserve"> </w:t>
      </w:r>
      <w:r w:rsidRPr="00047A9D">
        <w:rPr>
          <w:rFonts w:ascii="Times New Roman" w:hAnsi="Times New Roman" w:cs="Times New Roman"/>
          <w:i/>
          <w:sz w:val="22"/>
          <w:szCs w:val="22"/>
        </w:rPr>
        <w:t>Selected Political Writings</w:t>
      </w:r>
      <w:r w:rsidRPr="00047A9D">
        <w:rPr>
          <w:rFonts w:ascii="Times New Roman" w:hAnsi="Times New Roman" w:cs="Times New Roman"/>
          <w:sz w:val="22"/>
          <w:szCs w:val="22"/>
        </w:rPr>
        <w:t>,</w:t>
      </w:r>
      <w:r w:rsidR="00A1303E" w:rsidRPr="00047A9D">
        <w:rPr>
          <w:rFonts w:ascii="Times New Roman" w:hAnsi="Times New Roman" w:cs="Times New Roman"/>
          <w:sz w:val="22"/>
          <w:szCs w:val="22"/>
        </w:rPr>
        <w:t xml:space="preserve"> 172-186,</w:t>
      </w:r>
      <w:r w:rsidRPr="00047A9D">
        <w:rPr>
          <w:rFonts w:ascii="Times New Roman" w:hAnsi="Times New Roman" w:cs="Times New Roman"/>
          <w:sz w:val="22"/>
          <w:szCs w:val="22"/>
        </w:rPr>
        <w:t xml:space="preserve"> p.184.</w:t>
      </w:r>
    </w:p>
  </w:footnote>
  <w:footnote w:id="681">
    <w:p w14:paraId="7C2627A7" w14:textId="22030BA4" w:rsidR="003903D7" w:rsidRPr="00047A9D" w:rsidRDefault="003903D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62F98" w:rsidRPr="00047A9D">
        <w:rPr>
          <w:rFonts w:ascii="Times New Roman" w:hAnsi="Times New Roman" w:cs="Times New Roman"/>
          <w:sz w:val="22"/>
          <w:szCs w:val="22"/>
        </w:rPr>
        <w:t xml:space="preserve">Hall, ‘Great Moving Right Show’, in Davison </w:t>
      </w:r>
      <w:r w:rsidR="00762F98" w:rsidRPr="00047A9D">
        <w:rPr>
          <w:rFonts w:ascii="Times New Roman" w:hAnsi="Times New Roman" w:cs="Times New Roman"/>
          <w:i/>
          <w:sz w:val="22"/>
          <w:szCs w:val="22"/>
        </w:rPr>
        <w:t>et al.</w:t>
      </w:r>
      <w:r w:rsidR="00762F98" w:rsidRPr="00047A9D">
        <w:rPr>
          <w:rFonts w:ascii="Times New Roman" w:hAnsi="Times New Roman" w:cs="Times New Roman"/>
          <w:sz w:val="22"/>
          <w:szCs w:val="22"/>
        </w:rPr>
        <w:t xml:space="preserve"> (eds), </w:t>
      </w:r>
      <w:r w:rsidR="00762F98" w:rsidRPr="00047A9D">
        <w:rPr>
          <w:rFonts w:ascii="Times New Roman" w:hAnsi="Times New Roman" w:cs="Times New Roman"/>
          <w:i/>
          <w:sz w:val="22"/>
          <w:szCs w:val="22"/>
        </w:rPr>
        <w:t>Selected Political Writings,</w:t>
      </w:r>
      <w:r w:rsidR="00762F98" w:rsidRPr="00047A9D">
        <w:rPr>
          <w:rFonts w:ascii="Times New Roman" w:hAnsi="Times New Roman" w:cs="Times New Roman"/>
          <w:sz w:val="22"/>
          <w:szCs w:val="22"/>
        </w:rPr>
        <w:t xml:space="preserve"> pp.180-84.</w:t>
      </w:r>
    </w:p>
  </w:footnote>
  <w:footnote w:id="682">
    <w:p w14:paraId="694780ED" w14:textId="49581227" w:rsidR="009378DF" w:rsidRPr="00047A9D" w:rsidRDefault="009378D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James Callaghan, ‘A Rational Debate Based on the Facts’</w:t>
      </w:r>
      <w:r w:rsidR="000D5F1D" w:rsidRPr="00047A9D">
        <w:rPr>
          <w:rFonts w:ascii="Times New Roman" w:hAnsi="Times New Roman" w:cs="Times New Roman"/>
          <w:sz w:val="22"/>
          <w:szCs w:val="22"/>
        </w:rPr>
        <w:t xml:space="preserve"> (the ‘Ruskin Speech’), 18 October 1976</w:t>
      </w:r>
      <w:r w:rsidR="00CA3DCE">
        <w:rPr>
          <w:rFonts w:ascii="Times New Roman" w:hAnsi="Times New Roman" w:cs="Times New Roman"/>
          <w:sz w:val="22"/>
          <w:szCs w:val="22"/>
        </w:rPr>
        <w:t>,</w:t>
      </w:r>
      <w:r w:rsidR="004C582C" w:rsidRPr="00047A9D">
        <w:rPr>
          <w:rFonts w:ascii="Times New Roman" w:hAnsi="Times New Roman" w:cs="Times New Roman"/>
          <w:sz w:val="22"/>
          <w:szCs w:val="22"/>
        </w:rPr>
        <w:t xml:space="preserve"> </w:t>
      </w:r>
      <w:r w:rsidR="000D5F1D" w:rsidRPr="00047A9D">
        <w:rPr>
          <w:rFonts w:ascii="Times New Roman" w:hAnsi="Times New Roman" w:cs="Times New Roman"/>
          <w:sz w:val="22"/>
          <w:szCs w:val="22"/>
        </w:rPr>
        <w:t>&lt;https://www.education-uk.org/documents/speeches/1976ruskin.html&gt; [accessed 18 September 2024].</w:t>
      </w:r>
    </w:p>
  </w:footnote>
  <w:footnote w:id="683">
    <w:p w14:paraId="1049FFA5" w14:textId="3101CD39" w:rsidR="000D5F1D" w:rsidRPr="00047A9D" w:rsidRDefault="000D5F1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D5E6F" w:rsidRPr="00047A9D">
        <w:rPr>
          <w:rFonts w:ascii="Times New Roman" w:hAnsi="Times New Roman" w:cs="Times New Roman"/>
          <w:sz w:val="22"/>
          <w:szCs w:val="22"/>
        </w:rPr>
        <w:t>Hall, ‘Great Moving Right Show’, in Davison</w:t>
      </w:r>
      <w:r w:rsidR="001222AB" w:rsidRPr="00047A9D">
        <w:rPr>
          <w:rFonts w:ascii="Times New Roman" w:hAnsi="Times New Roman" w:cs="Times New Roman"/>
          <w:sz w:val="22"/>
          <w:szCs w:val="22"/>
        </w:rPr>
        <w:t xml:space="preserve"> </w:t>
      </w:r>
      <w:r w:rsidR="001222AB" w:rsidRPr="00047A9D">
        <w:rPr>
          <w:rFonts w:ascii="Times New Roman" w:hAnsi="Times New Roman" w:cs="Times New Roman"/>
          <w:i/>
          <w:sz w:val="22"/>
          <w:szCs w:val="22"/>
        </w:rPr>
        <w:t>et al.</w:t>
      </w:r>
      <w:r w:rsidR="001222AB" w:rsidRPr="00047A9D">
        <w:rPr>
          <w:rFonts w:ascii="Times New Roman" w:hAnsi="Times New Roman" w:cs="Times New Roman"/>
          <w:sz w:val="22"/>
          <w:szCs w:val="22"/>
        </w:rPr>
        <w:t xml:space="preserve"> </w:t>
      </w:r>
      <w:r w:rsidR="000D5E6F" w:rsidRPr="00047A9D">
        <w:rPr>
          <w:rFonts w:ascii="Times New Roman" w:hAnsi="Times New Roman" w:cs="Times New Roman"/>
          <w:sz w:val="22"/>
          <w:szCs w:val="22"/>
        </w:rPr>
        <w:t xml:space="preserve">(eds), </w:t>
      </w:r>
      <w:r w:rsidR="000D5E6F" w:rsidRPr="00047A9D">
        <w:rPr>
          <w:rFonts w:ascii="Times New Roman" w:hAnsi="Times New Roman" w:cs="Times New Roman"/>
          <w:i/>
          <w:sz w:val="22"/>
          <w:szCs w:val="22"/>
        </w:rPr>
        <w:t>Selected Political Writings</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p.181.</w:t>
      </w:r>
    </w:p>
  </w:footnote>
  <w:footnote w:id="684">
    <w:p w14:paraId="60C639F5" w14:textId="6DCE5C09" w:rsidR="000D5F1D" w:rsidRPr="00047A9D" w:rsidRDefault="000D5F1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Nancy Murray, ‘Anti-racists and Other Demons: The Press and Ideology in Thatcher’s Britain’</w:t>
      </w:r>
      <w:r w:rsidR="00DC42A5" w:rsidRPr="00047A9D">
        <w:rPr>
          <w:rFonts w:ascii="Times New Roman" w:hAnsi="Times New Roman" w:cs="Times New Roman"/>
          <w:sz w:val="22"/>
          <w:szCs w:val="22"/>
        </w:rPr>
        <w:t xml:space="preserve">, in </w:t>
      </w:r>
      <w:r w:rsidRPr="00047A9D">
        <w:rPr>
          <w:rFonts w:ascii="Times New Roman" w:hAnsi="Times New Roman" w:cs="Times New Roman"/>
          <w:i/>
          <w:sz w:val="22"/>
          <w:szCs w:val="22"/>
        </w:rPr>
        <w:t>Racism and the Press in Thatcher’s Britain: Race &amp; Class Pamphlet No.12</w:t>
      </w:r>
      <w:r w:rsidRPr="00047A9D">
        <w:rPr>
          <w:rFonts w:ascii="Times New Roman" w:hAnsi="Times New Roman" w:cs="Times New Roman"/>
          <w:sz w:val="22"/>
          <w:szCs w:val="22"/>
        </w:rPr>
        <w:t xml:space="preserve"> (London</w:t>
      </w:r>
      <w:r w:rsidR="00525BD1" w:rsidRPr="00047A9D">
        <w:rPr>
          <w:rFonts w:ascii="Times New Roman" w:hAnsi="Times New Roman" w:cs="Times New Roman"/>
          <w:sz w:val="22"/>
          <w:szCs w:val="22"/>
        </w:rPr>
        <w:t>:</w:t>
      </w:r>
      <w:r w:rsidRPr="00047A9D">
        <w:rPr>
          <w:rFonts w:ascii="Times New Roman" w:hAnsi="Times New Roman" w:cs="Times New Roman"/>
          <w:sz w:val="22"/>
          <w:szCs w:val="22"/>
        </w:rPr>
        <w:t xml:space="preserve"> </w:t>
      </w:r>
      <w:r w:rsidR="00525BD1" w:rsidRPr="00047A9D">
        <w:rPr>
          <w:rFonts w:ascii="Times New Roman" w:hAnsi="Times New Roman" w:cs="Times New Roman"/>
          <w:sz w:val="22"/>
          <w:szCs w:val="22"/>
        </w:rPr>
        <w:t>IRR</w:t>
      </w:r>
      <w:r w:rsidRPr="00047A9D">
        <w:rPr>
          <w:rFonts w:ascii="Times New Roman" w:hAnsi="Times New Roman" w:cs="Times New Roman"/>
          <w:sz w:val="22"/>
          <w:szCs w:val="22"/>
        </w:rPr>
        <w:t>, 1989), 1-19,</w:t>
      </w:r>
      <w:r w:rsidR="00F66D62" w:rsidRPr="00047A9D">
        <w:rPr>
          <w:rFonts w:ascii="Times New Roman" w:hAnsi="Times New Roman" w:cs="Times New Roman"/>
          <w:sz w:val="22"/>
          <w:szCs w:val="22"/>
        </w:rPr>
        <w:t xml:space="preserve"> </w:t>
      </w:r>
      <w:r w:rsidRPr="00047A9D">
        <w:rPr>
          <w:rFonts w:ascii="Times New Roman" w:hAnsi="Times New Roman" w:cs="Times New Roman"/>
          <w:sz w:val="22"/>
          <w:szCs w:val="22"/>
        </w:rPr>
        <w:t>p.11</w:t>
      </w:r>
      <w:r w:rsidR="00525BD1" w:rsidRPr="00047A9D">
        <w:rPr>
          <w:rFonts w:ascii="Times New Roman" w:hAnsi="Times New Roman" w:cs="Times New Roman"/>
          <w:sz w:val="22"/>
          <w:szCs w:val="22"/>
        </w:rPr>
        <w:t>.</w:t>
      </w:r>
    </w:p>
  </w:footnote>
  <w:footnote w:id="685">
    <w:p w14:paraId="708D90EF" w14:textId="2119ABC3" w:rsidR="00DC42A5" w:rsidRPr="00047A9D" w:rsidRDefault="00DC42A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B1634" w:rsidRPr="00047A9D">
        <w:rPr>
          <w:rFonts w:ascii="Times New Roman" w:hAnsi="Times New Roman" w:cs="Times New Roman"/>
          <w:sz w:val="22"/>
          <w:szCs w:val="22"/>
        </w:rPr>
        <w:t>‘Education: Avoidance of Politicisation’, House of Lords (HL) Debate (Deb) (5 February 1986). Vol</w:t>
      </w:r>
      <w:r w:rsidR="00583B0F" w:rsidRPr="00047A9D">
        <w:rPr>
          <w:rFonts w:ascii="Times New Roman" w:hAnsi="Times New Roman" w:cs="Times New Roman"/>
          <w:sz w:val="22"/>
          <w:szCs w:val="22"/>
        </w:rPr>
        <w:t>.</w:t>
      </w:r>
      <w:r w:rsidR="00AB1634" w:rsidRPr="00047A9D">
        <w:rPr>
          <w:rFonts w:ascii="Times New Roman" w:hAnsi="Times New Roman" w:cs="Times New Roman"/>
          <w:sz w:val="22"/>
          <w:szCs w:val="22"/>
        </w:rPr>
        <w:t xml:space="preserve"> 470, col. 1138-51. &lt;https://api.parliament.uk/historic-hansard/lords/1986/feb/05/education-avoidance-of-politicisation&gt; [accessed 18 September 2024].</w:t>
      </w:r>
    </w:p>
  </w:footnote>
  <w:footnote w:id="686">
    <w:p w14:paraId="37B22A34" w14:textId="437B8B99" w:rsidR="00A05A32" w:rsidRPr="00047A9D" w:rsidRDefault="00A05A3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Seidel, ‘Culture, Nation and “Race”’,</w:t>
      </w:r>
      <w:r w:rsidR="00E855E8" w:rsidRPr="00047A9D">
        <w:rPr>
          <w:rFonts w:ascii="Times New Roman" w:hAnsi="Times New Roman" w:cs="Times New Roman"/>
          <w:sz w:val="22"/>
          <w:szCs w:val="22"/>
        </w:rPr>
        <w:t xml:space="preserve"> in Levitas (ed.),</w:t>
      </w:r>
      <w:r w:rsidR="00E855E8" w:rsidRPr="00047A9D">
        <w:rPr>
          <w:rFonts w:ascii="Times New Roman" w:hAnsi="Times New Roman" w:cs="Times New Roman"/>
          <w:i/>
          <w:sz w:val="22"/>
          <w:szCs w:val="22"/>
        </w:rPr>
        <w:t xml:space="preserve"> New Right</w:t>
      </w:r>
      <w:r w:rsidRPr="00047A9D">
        <w:rPr>
          <w:rFonts w:ascii="Times New Roman" w:hAnsi="Times New Roman" w:cs="Times New Roman"/>
          <w:sz w:val="22"/>
          <w:szCs w:val="22"/>
        </w:rPr>
        <w:t xml:space="preserve"> </w:t>
      </w:r>
      <w:r w:rsidR="00E855E8" w:rsidRPr="00047A9D">
        <w:rPr>
          <w:rFonts w:ascii="Times New Roman" w:hAnsi="Times New Roman" w:cs="Times New Roman"/>
          <w:sz w:val="22"/>
          <w:szCs w:val="22"/>
        </w:rPr>
        <w:t>,</w:t>
      </w:r>
      <w:r w:rsidR="009D47CE" w:rsidRPr="00047A9D">
        <w:rPr>
          <w:rFonts w:ascii="Times New Roman" w:hAnsi="Times New Roman" w:cs="Times New Roman"/>
          <w:sz w:val="22"/>
          <w:szCs w:val="22"/>
        </w:rPr>
        <w:t xml:space="preserve"> p.</w:t>
      </w:r>
      <w:r w:rsidRPr="00047A9D">
        <w:rPr>
          <w:rFonts w:ascii="Times New Roman" w:hAnsi="Times New Roman" w:cs="Times New Roman"/>
          <w:sz w:val="22"/>
          <w:szCs w:val="22"/>
        </w:rPr>
        <w:t>107.</w:t>
      </w:r>
    </w:p>
  </w:footnote>
  <w:footnote w:id="687">
    <w:p w14:paraId="5D2811A7" w14:textId="56C530A7" w:rsidR="00B91879" w:rsidRPr="00047A9D" w:rsidRDefault="00B9187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4230C" w:rsidRPr="00047A9D">
        <w:rPr>
          <w:rFonts w:ascii="Times New Roman" w:hAnsi="Times New Roman" w:cs="Times New Roman"/>
          <w:sz w:val="22"/>
          <w:szCs w:val="22"/>
        </w:rPr>
        <w:t>Most notably,</w:t>
      </w:r>
      <w:r w:rsidR="0016509E" w:rsidRPr="00047A9D">
        <w:rPr>
          <w:rFonts w:ascii="Times New Roman" w:hAnsi="Times New Roman" w:cs="Times New Roman"/>
          <w:sz w:val="22"/>
          <w:szCs w:val="22"/>
        </w:rPr>
        <w:t xml:space="preserve"> </w:t>
      </w:r>
      <w:r w:rsidR="00EB578B" w:rsidRPr="00047A9D">
        <w:rPr>
          <w:rFonts w:ascii="Times New Roman" w:hAnsi="Times New Roman" w:cs="Times New Roman"/>
          <w:sz w:val="22"/>
          <w:szCs w:val="22"/>
        </w:rPr>
        <w:t>Robert Skidelsky</w:t>
      </w:r>
      <w:r w:rsidR="002913CD" w:rsidRPr="00047A9D">
        <w:rPr>
          <w:rFonts w:ascii="Times New Roman" w:hAnsi="Times New Roman" w:cs="Times New Roman"/>
          <w:sz w:val="22"/>
          <w:szCs w:val="22"/>
        </w:rPr>
        <w:t xml:space="preserve">, </w:t>
      </w:r>
      <w:r w:rsidR="00BD5B20" w:rsidRPr="00047A9D">
        <w:rPr>
          <w:rFonts w:ascii="Times New Roman" w:hAnsi="Times New Roman" w:cs="Times New Roman"/>
          <w:sz w:val="22"/>
          <w:szCs w:val="22"/>
        </w:rPr>
        <w:t>Hugh Thomas, Baron Thomas of Swynnerton</w:t>
      </w:r>
      <w:r w:rsidR="002913CD" w:rsidRPr="00047A9D">
        <w:rPr>
          <w:rFonts w:ascii="Times New Roman" w:hAnsi="Times New Roman" w:cs="Times New Roman"/>
          <w:sz w:val="22"/>
          <w:szCs w:val="22"/>
        </w:rPr>
        <w:t>, and Norman Stone</w:t>
      </w:r>
      <w:r w:rsidR="00BD5B20" w:rsidRPr="00047A9D">
        <w:rPr>
          <w:rFonts w:ascii="Times New Roman" w:hAnsi="Times New Roman" w:cs="Times New Roman"/>
          <w:sz w:val="22"/>
          <w:szCs w:val="22"/>
        </w:rPr>
        <w:t>.</w:t>
      </w:r>
    </w:p>
  </w:footnote>
  <w:footnote w:id="688">
    <w:p w14:paraId="163606B8" w14:textId="78262714" w:rsidR="005F2B26" w:rsidRPr="00047A9D" w:rsidRDefault="005F2B2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C2CFA" w:rsidRPr="00047A9D">
        <w:rPr>
          <w:rFonts w:ascii="Times New Roman" w:hAnsi="Times New Roman" w:cs="Times New Roman"/>
          <w:sz w:val="22"/>
          <w:szCs w:val="22"/>
        </w:rPr>
        <w:t xml:space="preserve">A helpful </w:t>
      </w:r>
      <w:r w:rsidR="00343AFC" w:rsidRPr="00047A9D">
        <w:rPr>
          <w:rFonts w:ascii="Times New Roman" w:hAnsi="Times New Roman" w:cs="Times New Roman"/>
          <w:sz w:val="22"/>
          <w:szCs w:val="22"/>
        </w:rPr>
        <w:t>brief on this eco-system</w:t>
      </w:r>
      <w:r w:rsidR="006C2CFA" w:rsidRPr="00047A9D">
        <w:rPr>
          <w:rFonts w:ascii="Times New Roman" w:hAnsi="Times New Roman" w:cs="Times New Roman"/>
          <w:sz w:val="22"/>
          <w:szCs w:val="22"/>
        </w:rPr>
        <w:t xml:space="preserve"> is included in Paul Gordon and Francesca Klug, </w:t>
      </w:r>
      <w:r w:rsidR="006C2CFA" w:rsidRPr="00047A9D">
        <w:rPr>
          <w:rFonts w:ascii="Times New Roman" w:hAnsi="Times New Roman" w:cs="Times New Roman"/>
          <w:i/>
          <w:sz w:val="22"/>
          <w:szCs w:val="22"/>
        </w:rPr>
        <w:t>New Right</w:t>
      </w:r>
      <w:r w:rsidR="00A61110" w:rsidRPr="00047A9D">
        <w:rPr>
          <w:rFonts w:ascii="Times New Roman" w:hAnsi="Times New Roman" w:cs="Times New Roman"/>
          <w:i/>
          <w:sz w:val="22"/>
          <w:szCs w:val="22"/>
        </w:rPr>
        <w:t xml:space="preserve">, New Racism </w:t>
      </w:r>
      <w:r w:rsidR="00A61110" w:rsidRPr="00047A9D">
        <w:rPr>
          <w:rFonts w:ascii="Times New Roman" w:hAnsi="Times New Roman" w:cs="Times New Roman"/>
          <w:sz w:val="22"/>
          <w:szCs w:val="22"/>
        </w:rPr>
        <w:t xml:space="preserve">(London: Searchlight Publications, </w:t>
      </w:r>
      <w:r w:rsidR="00460EB2" w:rsidRPr="00047A9D">
        <w:rPr>
          <w:rFonts w:ascii="Times New Roman" w:hAnsi="Times New Roman" w:cs="Times New Roman"/>
          <w:sz w:val="22"/>
          <w:szCs w:val="22"/>
        </w:rPr>
        <w:t xml:space="preserve">1986), </w:t>
      </w:r>
      <w:r w:rsidR="00343AFC" w:rsidRPr="00047A9D">
        <w:rPr>
          <w:rFonts w:ascii="Times New Roman" w:hAnsi="Times New Roman" w:cs="Times New Roman"/>
          <w:sz w:val="22"/>
          <w:szCs w:val="22"/>
        </w:rPr>
        <w:t>pp.61-68.</w:t>
      </w:r>
    </w:p>
  </w:footnote>
  <w:footnote w:id="689">
    <w:p w14:paraId="2293CBD9" w14:textId="7A5B251B" w:rsidR="00173DB0" w:rsidRPr="00047A9D" w:rsidRDefault="00173DB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E669F" w:rsidRPr="00047A9D">
        <w:rPr>
          <w:rFonts w:ascii="Times New Roman" w:hAnsi="Times New Roman" w:cs="Times New Roman"/>
          <w:sz w:val="22"/>
          <w:szCs w:val="22"/>
        </w:rPr>
        <w:t xml:space="preserve">Phillips, </w:t>
      </w:r>
      <w:r w:rsidR="00EE669F" w:rsidRPr="00047A9D">
        <w:rPr>
          <w:rFonts w:ascii="Times New Roman" w:hAnsi="Times New Roman" w:cs="Times New Roman"/>
          <w:i/>
          <w:sz w:val="22"/>
          <w:szCs w:val="22"/>
        </w:rPr>
        <w:t>History Teaching,</w:t>
      </w:r>
      <w:r w:rsidR="004C0A2B" w:rsidRPr="00047A9D">
        <w:rPr>
          <w:rFonts w:ascii="Times New Roman" w:hAnsi="Times New Roman" w:cs="Times New Roman"/>
          <w:sz w:val="22"/>
          <w:szCs w:val="22"/>
        </w:rPr>
        <w:t xml:space="preserve"> p</w:t>
      </w:r>
      <w:r w:rsidRPr="00047A9D">
        <w:rPr>
          <w:rFonts w:ascii="Times New Roman" w:hAnsi="Times New Roman" w:cs="Times New Roman"/>
          <w:sz w:val="22"/>
          <w:szCs w:val="22"/>
        </w:rPr>
        <w:t>.31</w:t>
      </w:r>
      <w:r w:rsidR="004C0A2B" w:rsidRPr="00047A9D">
        <w:rPr>
          <w:rFonts w:ascii="Times New Roman" w:hAnsi="Times New Roman" w:cs="Times New Roman"/>
          <w:sz w:val="22"/>
          <w:szCs w:val="22"/>
        </w:rPr>
        <w:t>.</w:t>
      </w:r>
    </w:p>
  </w:footnote>
  <w:footnote w:id="690">
    <w:p w14:paraId="4540551E" w14:textId="17D4ECE2" w:rsidR="0053700D" w:rsidRPr="00047A9D" w:rsidRDefault="0053700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35FF2" w:rsidRPr="00047A9D">
        <w:rPr>
          <w:rFonts w:ascii="Times New Roman" w:hAnsi="Times New Roman" w:cs="Times New Roman"/>
          <w:sz w:val="22"/>
          <w:szCs w:val="22"/>
        </w:rPr>
        <w:t>For an insight into the professional conversation, see</w:t>
      </w:r>
      <w:r w:rsidR="00770DC1" w:rsidRPr="00047A9D">
        <w:rPr>
          <w:rFonts w:ascii="Times New Roman" w:hAnsi="Times New Roman" w:cs="Times New Roman"/>
          <w:sz w:val="22"/>
          <w:szCs w:val="22"/>
        </w:rPr>
        <w:t xml:space="preserve"> </w:t>
      </w:r>
      <w:r w:rsidR="001907DC" w:rsidRPr="00047A9D">
        <w:rPr>
          <w:rFonts w:ascii="Times New Roman" w:hAnsi="Times New Roman" w:cs="Times New Roman"/>
          <w:sz w:val="22"/>
          <w:szCs w:val="22"/>
        </w:rPr>
        <w:t>Williams, ‘</w:t>
      </w:r>
      <w:r w:rsidR="00770DC1" w:rsidRPr="00047A9D">
        <w:rPr>
          <w:rFonts w:ascii="Times New Roman" w:hAnsi="Times New Roman" w:cs="Times New Roman"/>
          <w:sz w:val="22"/>
          <w:szCs w:val="22"/>
        </w:rPr>
        <w:t>The Schools Council Project</w:t>
      </w:r>
      <w:r w:rsidR="009F1892" w:rsidRPr="00047A9D">
        <w:rPr>
          <w:rFonts w:ascii="Times New Roman" w:hAnsi="Times New Roman" w:cs="Times New Roman"/>
          <w:sz w:val="22"/>
          <w:szCs w:val="22"/>
        </w:rPr>
        <w:t xml:space="preserve">’; </w:t>
      </w:r>
      <w:r w:rsidR="00035FF2" w:rsidRPr="00047A9D">
        <w:rPr>
          <w:rFonts w:ascii="Times New Roman" w:hAnsi="Times New Roman" w:cs="Times New Roman"/>
          <w:sz w:val="22"/>
          <w:szCs w:val="22"/>
        </w:rPr>
        <w:t xml:space="preserve">Ian Dawson </w:t>
      </w:r>
      <w:r w:rsidR="00035FF2" w:rsidRPr="00047A9D">
        <w:rPr>
          <w:rFonts w:ascii="Times New Roman" w:hAnsi="Times New Roman" w:cs="Times New Roman"/>
          <w:i/>
          <w:sz w:val="22"/>
          <w:szCs w:val="22"/>
        </w:rPr>
        <w:t>et al</w:t>
      </w:r>
      <w:r w:rsidR="00D44F92" w:rsidRPr="00047A9D">
        <w:rPr>
          <w:rFonts w:ascii="Times New Roman" w:hAnsi="Times New Roman" w:cs="Times New Roman"/>
          <w:i/>
          <w:sz w:val="22"/>
          <w:szCs w:val="22"/>
        </w:rPr>
        <w:t>.</w:t>
      </w:r>
      <w:r w:rsidR="00035FF2" w:rsidRPr="00047A9D">
        <w:rPr>
          <w:rFonts w:ascii="Times New Roman" w:hAnsi="Times New Roman" w:cs="Times New Roman"/>
          <w:sz w:val="22"/>
          <w:szCs w:val="22"/>
        </w:rPr>
        <w:t xml:space="preserve">, ‘SHP: Some Responses’, </w:t>
      </w:r>
      <w:r w:rsidR="00035FF2" w:rsidRPr="00047A9D">
        <w:rPr>
          <w:rFonts w:ascii="Times New Roman" w:hAnsi="Times New Roman" w:cs="Times New Roman"/>
          <w:i/>
          <w:sz w:val="22"/>
          <w:szCs w:val="22"/>
        </w:rPr>
        <w:t>Teaching History</w:t>
      </w:r>
      <w:r w:rsidR="004C261D" w:rsidRPr="00047A9D">
        <w:rPr>
          <w:rFonts w:ascii="Times New Roman" w:hAnsi="Times New Roman" w:cs="Times New Roman"/>
          <w:sz w:val="22"/>
          <w:szCs w:val="22"/>
        </w:rPr>
        <w:t xml:space="preserve"> </w:t>
      </w:r>
      <w:r w:rsidR="00035FF2" w:rsidRPr="00047A9D">
        <w:rPr>
          <w:rFonts w:ascii="Times New Roman" w:hAnsi="Times New Roman" w:cs="Times New Roman"/>
          <w:sz w:val="22"/>
          <w:szCs w:val="22"/>
        </w:rPr>
        <w:t>48 (June 1987), 28-33</w:t>
      </w:r>
      <w:r w:rsidR="00383D98" w:rsidRPr="00047A9D">
        <w:rPr>
          <w:rFonts w:ascii="Times New Roman" w:hAnsi="Times New Roman" w:cs="Times New Roman"/>
          <w:sz w:val="22"/>
          <w:szCs w:val="22"/>
        </w:rPr>
        <w:t xml:space="preserve">; </w:t>
      </w:r>
      <w:r w:rsidR="00AC1DB5" w:rsidRPr="00047A9D">
        <w:rPr>
          <w:rFonts w:ascii="Times New Roman" w:hAnsi="Times New Roman" w:cs="Times New Roman"/>
          <w:sz w:val="22"/>
          <w:szCs w:val="22"/>
        </w:rPr>
        <w:t xml:space="preserve">Jennifer Tucker </w:t>
      </w:r>
      <w:r w:rsidR="00AC1DB5" w:rsidRPr="00047A9D">
        <w:rPr>
          <w:rFonts w:ascii="Times New Roman" w:hAnsi="Times New Roman" w:cs="Times New Roman"/>
          <w:i/>
          <w:sz w:val="22"/>
          <w:szCs w:val="22"/>
        </w:rPr>
        <w:t>et al</w:t>
      </w:r>
      <w:r w:rsidR="00D44F92" w:rsidRPr="00047A9D">
        <w:rPr>
          <w:rFonts w:ascii="Times New Roman" w:hAnsi="Times New Roman" w:cs="Times New Roman"/>
          <w:i/>
          <w:sz w:val="22"/>
          <w:szCs w:val="22"/>
        </w:rPr>
        <w:t>.</w:t>
      </w:r>
      <w:r w:rsidR="00AC1DB5" w:rsidRPr="00047A9D">
        <w:rPr>
          <w:rFonts w:ascii="Times New Roman" w:hAnsi="Times New Roman" w:cs="Times New Roman"/>
          <w:sz w:val="22"/>
          <w:szCs w:val="22"/>
        </w:rPr>
        <w:t>, ‘</w:t>
      </w:r>
      <w:r w:rsidR="00383D98" w:rsidRPr="00047A9D">
        <w:rPr>
          <w:rFonts w:ascii="Times New Roman" w:hAnsi="Times New Roman" w:cs="Times New Roman"/>
          <w:sz w:val="22"/>
          <w:szCs w:val="22"/>
        </w:rPr>
        <w:t xml:space="preserve">What </w:t>
      </w:r>
      <w:r w:rsidR="00AC1DB5" w:rsidRPr="00047A9D">
        <w:rPr>
          <w:rFonts w:ascii="Times New Roman" w:hAnsi="Times New Roman" w:cs="Times New Roman"/>
          <w:sz w:val="22"/>
          <w:szCs w:val="22"/>
        </w:rPr>
        <w:t>S</w:t>
      </w:r>
      <w:r w:rsidR="00383D98" w:rsidRPr="00047A9D">
        <w:rPr>
          <w:rFonts w:ascii="Times New Roman" w:hAnsi="Times New Roman" w:cs="Times New Roman"/>
          <w:sz w:val="22"/>
          <w:szCs w:val="22"/>
        </w:rPr>
        <w:t xml:space="preserve">ort of </w:t>
      </w:r>
      <w:r w:rsidR="00AC1DB5" w:rsidRPr="00047A9D">
        <w:rPr>
          <w:rFonts w:ascii="Times New Roman" w:hAnsi="Times New Roman" w:cs="Times New Roman"/>
          <w:sz w:val="22"/>
          <w:szCs w:val="22"/>
        </w:rPr>
        <w:t>H</w:t>
      </w:r>
      <w:r w:rsidR="00383D98" w:rsidRPr="00047A9D">
        <w:rPr>
          <w:rFonts w:ascii="Times New Roman" w:hAnsi="Times New Roman" w:cs="Times New Roman"/>
          <w:sz w:val="22"/>
          <w:szCs w:val="22"/>
        </w:rPr>
        <w:t xml:space="preserve">istory for the </w:t>
      </w:r>
      <w:r w:rsidR="00AC1DB5" w:rsidRPr="00047A9D">
        <w:rPr>
          <w:rFonts w:ascii="Times New Roman" w:hAnsi="Times New Roman" w:cs="Times New Roman"/>
          <w:sz w:val="22"/>
          <w:szCs w:val="22"/>
        </w:rPr>
        <w:t>C</w:t>
      </w:r>
      <w:r w:rsidR="00383D98" w:rsidRPr="00047A9D">
        <w:rPr>
          <w:rFonts w:ascii="Times New Roman" w:hAnsi="Times New Roman" w:cs="Times New Roman"/>
          <w:sz w:val="22"/>
          <w:szCs w:val="22"/>
        </w:rPr>
        <w:t>ore?</w:t>
      </w:r>
      <w:r w:rsidR="00350CFC" w:rsidRPr="00047A9D">
        <w:rPr>
          <w:rFonts w:ascii="Times New Roman" w:hAnsi="Times New Roman" w:cs="Times New Roman"/>
          <w:sz w:val="22"/>
          <w:szCs w:val="22"/>
        </w:rPr>
        <w:t>’</w:t>
      </w:r>
      <w:r w:rsidR="00AC1DB5" w:rsidRPr="00047A9D">
        <w:rPr>
          <w:rFonts w:ascii="Times New Roman" w:hAnsi="Times New Roman" w:cs="Times New Roman"/>
          <w:sz w:val="22"/>
          <w:szCs w:val="22"/>
        </w:rPr>
        <w:t xml:space="preserve">, </w:t>
      </w:r>
      <w:r w:rsidR="00383D98" w:rsidRPr="00047A9D">
        <w:rPr>
          <w:rFonts w:ascii="Times New Roman" w:hAnsi="Times New Roman" w:cs="Times New Roman"/>
          <w:i/>
          <w:sz w:val="22"/>
          <w:szCs w:val="22"/>
        </w:rPr>
        <w:t>Teaching History</w:t>
      </w:r>
      <w:r w:rsidR="00383D98" w:rsidRPr="00047A9D">
        <w:rPr>
          <w:rFonts w:ascii="Times New Roman" w:hAnsi="Times New Roman" w:cs="Times New Roman"/>
          <w:sz w:val="22"/>
          <w:szCs w:val="22"/>
        </w:rPr>
        <w:t xml:space="preserve"> 48 (June 1987), 21-27</w:t>
      </w:r>
      <w:r w:rsidR="002269F9" w:rsidRPr="00047A9D">
        <w:rPr>
          <w:rFonts w:ascii="Times New Roman" w:hAnsi="Times New Roman" w:cs="Times New Roman"/>
          <w:sz w:val="22"/>
          <w:szCs w:val="22"/>
        </w:rPr>
        <w:t>; and</w:t>
      </w:r>
      <w:r w:rsidR="00A31BFB" w:rsidRPr="00047A9D">
        <w:rPr>
          <w:rFonts w:ascii="Times New Roman" w:hAnsi="Times New Roman" w:cs="Times New Roman"/>
          <w:sz w:val="22"/>
          <w:szCs w:val="22"/>
        </w:rPr>
        <w:t xml:space="preserve"> Peter </w:t>
      </w:r>
      <w:r w:rsidR="00E703C4" w:rsidRPr="00047A9D">
        <w:rPr>
          <w:rFonts w:ascii="Times New Roman" w:hAnsi="Times New Roman" w:cs="Times New Roman"/>
          <w:sz w:val="22"/>
          <w:szCs w:val="22"/>
        </w:rPr>
        <w:t>Truman</w:t>
      </w:r>
      <w:r w:rsidR="00A31BFB" w:rsidRPr="00047A9D">
        <w:rPr>
          <w:rFonts w:ascii="Times New Roman" w:hAnsi="Times New Roman" w:cs="Times New Roman"/>
          <w:sz w:val="22"/>
          <w:szCs w:val="22"/>
        </w:rPr>
        <w:t>, ‘</w:t>
      </w:r>
      <w:r w:rsidR="002269F9" w:rsidRPr="00047A9D">
        <w:rPr>
          <w:rFonts w:ascii="Times New Roman" w:hAnsi="Times New Roman" w:cs="Times New Roman"/>
          <w:sz w:val="22"/>
          <w:szCs w:val="22"/>
        </w:rPr>
        <w:t>Teachers</w:t>
      </w:r>
      <w:r w:rsidR="00A31BFB" w:rsidRPr="00047A9D">
        <w:rPr>
          <w:rFonts w:ascii="Times New Roman" w:hAnsi="Times New Roman" w:cs="Times New Roman"/>
          <w:sz w:val="22"/>
          <w:szCs w:val="22"/>
        </w:rPr>
        <w:t>’</w:t>
      </w:r>
      <w:r w:rsidR="002269F9" w:rsidRPr="00047A9D">
        <w:rPr>
          <w:rFonts w:ascii="Times New Roman" w:hAnsi="Times New Roman" w:cs="Times New Roman"/>
          <w:sz w:val="22"/>
          <w:szCs w:val="22"/>
        </w:rPr>
        <w:t xml:space="preserve"> Concerns over the Current Vogue in Teaching History</w:t>
      </w:r>
      <w:r w:rsidR="00A31BFB" w:rsidRPr="00047A9D">
        <w:rPr>
          <w:rFonts w:ascii="Times New Roman" w:hAnsi="Times New Roman" w:cs="Times New Roman"/>
          <w:sz w:val="22"/>
          <w:szCs w:val="22"/>
        </w:rPr>
        <w:t xml:space="preserve">’, </w:t>
      </w:r>
      <w:r w:rsidR="002269F9" w:rsidRPr="00047A9D">
        <w:rPr>
          <w:rFonts w:ascii="Times New Roman" w:hAnsi="Times New Roman" w:cs="Times New Roman"/>
          <w:i/>
          <w:sz w:val="22"/>
          <w:szCs w:val="22"/>
        </w:rPr>
        <w:t>Teaching History</w:t>
      </w:r>
      <w:r w:rsidR="002269F9" w:rsidRPr="00047A9D">
        <w:rPr>
          <w:rFonts w:ascii="Times New Roman" w:hAnsi="Times New Roman" w:cs="Times New Roman"/>
          <w:sz w:val="22"/>
          <w:szCs w:val="22"/>
        </w:rPr>
        <w:t xml:space="preserve"> </w:t>
      </w:r>
      <w:r w:rsidR="00A31BFB" w:rsidRPr="00047A9D">
        <w:rPr>
          <w:rFonts w:ascii="Times New Roman" w:hAnsi="Times New Roman" w:cs="Times New Roman"/>
          <w:sz w:val="22"/>
          <w:szCs w:val="22"/>
        </w:rPr>
        <w:t>58</w:t>
      </w:r>
      <w:r w:rsidR="002269F9" w:rsidRPr="00047A9D">
        <w:rPr>
          <w:rFonts w:ascii="Times New Roman" w:hAnsi="Times New Roman" w:cs="Times New Roman"/>
          <w:sz w:val="22"/>
          <w:szCs w:val="22"/>
        </w:rPr>
        <w:t xml:space="preserve"> </w:t>
      </w:r>
      <w:r w:rsidR="00A31BFB" w:rsidRPr="00047A9D">
        <w:rPr>
          <w:rFonts w:ascii="Times New Roman" w:hAnsi="Times New Roman" w:cs="Times New Roman"/>
          <w:sz w:val="22"/>
          <w:szCs w:val="22"/>
        </w:rPr>
        <w:t>(</w:t>
      </w:r>
      <w:r w:rsidR="002269F9" w:rsidRPr="00047A9D">
        <w:rPr>
          <w:rFonts w:ascii="Times New Roman" w:hAnsi="Times New Roman" w:cs="Times New Roman"/>
          <w:sz w:val="22"/>
          <w:szCs w:val="22"/>
        </w:rPr>
        <w:t>January 1990</w:t>
      </w:r>
      <w:r w:rsidR="00A31BFB" w:rsidRPr="00047A9D">
        <w:rPr>
          <w:rFonts w:ascii="Times New Roman" w:hAnsi="Times New Roman" w:cs="Times New Roman"/>
          <w:sz w:val="22"/>
          <w:szCs w:val="22"/>
        </w:rPr>
        <w:t>)</w:t>
      </w:r>
      <w:r w:rsidR="002269F9" w:rsidRPr="00047A9D">
        <w:rPr>
          <w:rFonts w:ascii="Times New Roman" w:hAnsi="Times New Roman" w:cs="Times New Roman"/>
          <w:sz w:val="22"/>
          <w:szCs w:val="22"/>
        </w:rPr>
        <w:t>,</w:t>
      </w:r>
      <w:r w:rsidR="00942628" w:rsidRPr="00047A9D">
        <w:rPr>
          <w:rFonts w:ascii="Times New Roman" w:hAnsi="Times New Roman" w:cs="Times New Roman"/>
          <w:sz w:val="22"/>
          <w:szCs w:val="22"/>
        </w:rPr>
        <w:t xml:space="preserve"> </w:t>
      </w:r>
      <w:r w:rsidR="002269F9" w:rsidRPr="00047A9D">
        <w:rPr>
          <w:rFonts w:ascii="Times New Roman" w:hAnsi="Times New Roman" w:cs="Times New Roman"/>
          <w:sz w:val="22"/>
          <w:szCs w:val="22"/>
        </w:rPr>
        <w:t>10-1</w:t>
      </w:r>
      <w:r w:rsidR="00E703C4" w:rsidRPr="00047A9D">
        <w:rPr>
          <w:rFonts w:ascii="Times New Roman" w:hAnsi="Times New Roman" w:cs="Times New Roman"/>
          <w:sz w:val="22"/>
          <w:szCs w:val="22"/>
        </w:rPr>
        <w:t>7</w:t>
      </w:r>
      <w:r w:rsidR="00AC1DB5" w:rsidRPr="00047A9D">
        <w:rPr>
          <w:rFonts w:ascii="Times New Roman" w:hAnsi="Times New Roman" w:cs="Times New Roman"/>
          <w:sz w:val="22"/>
          <w:szCs w:val="22"/>
        </w:rPr>
        <w:t>.</w:t>
      </w:r>
      <w:r w:rsidR="00020D38" w:rsidRPr="00047A9D">
        <w:rPr>
          <w:rFonts w:ascii="Times New Roman" w:hAnsi="Times New Roman" w:cs="Times New Roman"/>
          <w:sz w:val="22"/>
          <w:szCs w:val="22"/>
        </w:rPr>
        <w:t xml:space="preserve"> See also </w:t>
      </w:r>
      <w:r w:rsidR="00812AAB" w:rsidRPr="00047A9D">
        <w:rPr>
          <w:rFonts w:ascii="Times New Roman" w:hAnsi="Times New Roman" w:cs="Times New Roman"/>
          <w:sz w:val="22"/>
          <w:szCs w:val="22"/>
        </w:rPr>
        <w:t xml:space="preserve">remarks on the ‘contrived’ nature of the debate in </w:t>
      </w:r>
      <w:r w:rsidR="00812AAB" w:rsidRPr="00047A9D">
        <w:rPr>
          <w:rFonts w:ascii="Times New Roman" w:hAnsi="Times New Roman" w:cs="Times New Roman"/>
          <w:i/>
          <w:sz w:val="22"/>
          <w:szCs w:val="22"/>
        </w:rPr>
        <w:t>Final Report</w:t>
      </w:r>
      <w:r w:rsidR="00CF0FC9" w:rsidRPr="00047A9D">
        <w:rPr>
          <w:rFonts w:ascii="Times New Roman" w:hAnsi="Times New Roman" w:cs="Times New Roman"/>
          <w:i/>
          <w:sz w:val="22"/>
          <w:szCs w:val="22"/>
        </w:rPr>
        <w:t xml:space="preserve">, </w:t>
      </w:r>
      <w:r w:rsidR="005C4821" w:rsidRPr="00047A9D">
        <w:rPr>
          <w:rFonts w:ascii="Times New Roman" w:hAnsi="Times New Roman" w:cs="Times New Roman"/>
          <w:sz w:val="22"/>
          <w:szCs w:val="22"/>
        </w:rPr>
        <w:t>p.3.</w:t>
      </w:r>
    </w:p>
  </w:footnote>
  <w:footnote w:id="691">
    <w:p w14:paraId="167270B3" w14:textId="77777777" w:rsidR="000F7546" w:rsidRPr="00047A9D" w:rsidRDefault="000F7546"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Hall, ‘Empire Strikes Back’ in Davison </w:t>
      </w:r>
      <w:r w:rsidRPr="00047A9D">
        <w:rPr>
          <w:rFonts w:ascii="Times New Roman" w:hAnsi="Times New Roman" w:cs="Times New Roman"/>
          <w:i/>
          <w:sz w:val="22"/>
          <w:szCs w:val="22"/>
        </w:rPr>
        <w:t>et al.</w:t>
      </w:r>
      <w:r w:rsidRPr="00047A9D">
        <w:rPr>
          <w:rFonts w:ascii="Times New Roman" w:hAnsi="Times New Roman" w:cs="Times New Roman"/>
          <w:sz w:val="22"/>
          <w:szCs w:val="22"/>
        </w:rPr>
        <w:t xml:space="preserve"> (eds),</w:t>
      </w:r>
      <w:r w:rsidRPr="00047A9D">
        <w:rPr>
          <w:rFonts w:ascii="Times New Roman" w:hAnsi="Times New Roman" w:cs="Times New Roman"/>
          <w:i/>
          <w:sz w:val="22"/>
          <w:szCs w:val="22"/>
        </w:rPr>
        <w:t> Selected Political Writings</w:t>
      </w:r>
      <w:r w:rsidRPr="00047A9D">
        <w:rPr>
          <w:rFonts w:ascii="Times New Roman" w:hAnsi="Times New Roman" w:cs="Times New Roman"/>
          <w:sz w:val="22"/>
          <w:szCs w:val="22"/>
        </w:rPr>
        <w:t>, p.205.</w:t>
      </w:r>
    </w:p>
  </w:footnote>
  <w:footnote w:id="692">
    <w:p w14:paraId="3F5A4364" w14:textId="77777777" w:rsidR="000F7546" w:rsidRPr="00047A9D" w:rsidRDefault="000F754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Murray, ‘Anti-racists and Other Demons’, in </w:t>
      </w:r>
      <w:r w:rsidRPr="00047A9D">
        <w:rPr>
          <w:rFonts w:ascii="Times New Roman" w:hAnsi="Times New Roman" w:cs="Times New Roman"/>
          <w:i/>
          <w:sz w:val="22"/>
          <w:szCs w:val="22"/>
        </w:rPr>
        <w:t>Racism and the Press</w:t>
      </w:r>
      <w:r w:rsidRPr="00047A9D">
        <w:rPr>
          <w:rFonts w:ascii="Times New Roman" w:hAnsi="Times New Roman" w:cs="Times New Roman"/>
          <w:sz w:val="22"/>
          <w:szCs w:val="22"/>
        </w:rPr>
        <w:t>, pp.8-9, 13-14.</w:t>
      </w:r>
    </w:p>
  </w:footnote>
  <w:footnote w:id="693">
    <w:p w14:paraId="7DAA4183" w14:textId="5C66776C" w:rsidR="004D4AF7" w:rsidRPr="00047A9D" w:rsidRDefault="004D4AF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041C9" w:rsidRPr="00047A9D">
        <w:rPr>
          <w:rFonts w:ascii="Times New Roman" w:hAnsi="Times New Roman" w:cs="Times New Roman"/>
          <w:sz w:val="22"/>
          <w:szCs w:val="22"/>
        </w:rPr>
        <w:t xml:space="preserve">Murray, ‘Anti-racists and Other Demons’, in </w:t>
      </w:r>
      <w:r w:rsidR="00D041C9" w:rsidRPr="00047A9D">
        <w:rPr>
          <w:rFonts w:ascii="Times New Roman" w:hAnsi="Times New Roman" w:cs="Times New Roman"/>
          <w:i/>
          <w:sz w:val="22"/>
          <w:szCs w:val="22"/>
        </w:rPr>
        <w:t>Racism and the Press</w:t>
      </w:r>
      <w:r w:rsidR="00D041C9" w:rsidRPr="00047A9D">
        <w:rPr>
          <w:rFonts w:ascii="Times New Roman" w:hAnsi="Times New Roman" w:cs="Times New Roman"/>
          <w:sz w:val="22"/>
          <w:szCs w:val="22"/>
        </w:rPr>
        <w:t>, pp.8-9, 13-14.</w:t>
      </w:r>
    </w:p>
  </w:footnote>
  <w:footnote w:id="694">
    <w:p w14:paraId="04D82E4C" w14:textId="08E09640" w:rsidR="000F7546" w:rsidRPr="00047A9D" w:rsidRDefault="000F754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Murray, ‘Anti-racists and Other Demons’, in </w:t>
      </w:r>
      <w:r w:rsidRPr="00047A9D">
        <w:rPr>
          <w:rFonts w:ascii="Times New Roman" w:hAnsi="Times New Roman" w:cs="Times New Roman"/>
          <w:i/>
          <w:sz w:val="22"/>
          <w:szCs w:val="22"/>
        </w:rPr>
        <w:t>Racism and the Press</w:t>
      </w:r>
      <w:r w:rsidRPr="00047A9D">
        <w:rPr>
          <w:rFonts w:ascii="Times New Roman" w:hAnsi="Times New Roman" w:cs="Times New Roman"/>
          <w:sz w:val="22"/>
          <w:szCs w:val="22"/>
        </w:rPr>
        <w:t>, pp.8-9, 13-14</w:t>
      </w:r>
      <w:r w:rsidR="009515AF">
        <w:rPr>
          <w:rFonts w:ascii="Times New Roman" w:hAnsi="Times New Roman" w:cs="Times New Roman"/>
          <w:sz w:val="22"/>
          <w:szCs w:val="22"/>
        </w:rPr>
        <w:t>.</w:t>
      </w:r>
    </w:p>
  </w:footnote>
  <w:footnote w:id="695">
    <w:p w14:paraId="550C8688" w14:textId="0D7B5239" w:rsidR="00521CD6" w:rsidRPr="00047A9D" w:rsidRDefault="00521CD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107B9" w:rsidRPr="00047A9D">
        <w:rPr>
          <w:rFonts w:ascii="Times New Roman" w:hAnsi="Times New Roman" w:cs="Times New Roman"/>
          <w:sz w:val="22"/>
          <w:szCs w:val="22"/>
        </w:rPr>
        <w:t xml:space="preserve">Hugh Thomas, </w:t>
      </w:r>
      <w:r w:rsidR="000107B9" w:rsidRPr="00047A9D">
        <w:rPr>
          <w:rFonts w:ascii="Times New Roman" w:hAnsi="Times New Roman" w:cs="Times New Roman"/>
          <w:i/>
          <w:sz w:val="22"/>
          <w:szCs w:val="22"/>
        </w:rPr>
        <w:t xml:space="preserve">History, Capitalism and Freedom </w:t>
      </w:r>
      <w:r w:rsidR="000107B9" w:rsidRPr="00047A9D">
        <w:rPr>
          <w:rFonts w:ascii="Times New Roman" w:hAnsi="Times New Roman" w:cs="Times New Roman"/>
          <w:sz w:val="22"/>
          <w:szCs w:val="22"/>
        </w:rPr>
        <w:t>(London: Centre for Policy Studies, 1979)</w:t>
      </w:r>
      <w:r w:rsidR="00432C29" w:rsidRPr="00047A9D">
        <w:rPr>
          <w:rFonts w:ascii="Times New Roman" w:hAnsi="Times New Roman" w:cs="Times New Roman"/>
          <w:sz w:val="22"/>
          <w:szCs w:val="22"/>
        </w:rPr>
        <w:t>, pp.v</w:t>
      </w:r>
      <w:r w:rsidR="001E1501" w:rsidRPr="00047A9D">
        <w:rPr>
          <w:rFonts w:ascii="Times New Roman" w:hAnsi="Times New Roman" w:cs="Times New Roman"/>
          <w:sz w:val="22"/>
          <w:szCs w:val="22"/>
        </w:rPr>
        <w:t>-vi.</w:t>
      </w:r>
      <w:r w:rsidR="00432C29" w:rsidRPr="00047A9D">
        <w:rPr>
          <w:rFonts w:ascii="Times New Roman" w:hAnsi="Times New Roman" w:cs="Times New Roman"/>
          <w:sz w:val="22"/>
          <w:szCs w:val="22"/>
        </w:rPr>
        <w:t xml:space="preserve"> </w:t>
      </w:r>
      <w:r w:rsidR="000107B9" w:rsidRPr="00047A9D">
        <w:rPr>
          <w:rFonts w:ascii="Times New Roman" w:hAnsi="Times New Roman" w:cs="Times New Roman"/>
          <w:sz w:val="22"/>
          <w:szCs w:val="22"/>
        </w:rPr>
        <w:t xml:space="preserve"> </w:t>
      </w:r>
    </w:p>
  </w:footnote>
  <w:footnote w:id="696">
    <w:p w14:paraId="2FAAF791" w14:textId="1BEADEF0" w:rsidR="00A05A32" w:rsidRPr="00047A9D" w:rsidRDefault="00A05A3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Frank Palmer (ed.), </w:t>
      </w:r>
      <w:r w:rsidRPr="00047A9D">
        <w:rPr>
          <w:rFonts w:ascii="Times New Roman" w:hAnsi="Times New Roman" w:cs="Times New Roman"/>
          <w:i/>
          <w:sz w:val="22"/>
          <w:szCs w:val="22"/>
        </w:rPr>
        <w:t>Anti-</w:t>
      </w:r>
      <w:r w:rsidR="00996A8C" w:rsidRPr="00047A9D">
        <w:rPr>
          <w:rFonts w:ascii="Times New Roman" w:hAnsi="Times New Roman" w:cs="Times New Roman"/>
          <w:i/>
          <w:sz w:val="22"/>
          <w:szCs w:val="22"/>
        </w:rPr>
        <w:t>r</w:t>
      </w:r>
      <w:r w:rsidRPr="00047A9D">
        <w:rPr>
          <w:rFonts w:ascii="Times New Roman" w:hAnsi="Times New Roman" w:cs="Times New Roman"/>
          <w:i/>
          <w:sz w:val="22"/>
          <w:szCs w:val="22"/>
        </w:rPr>
        <w:t>acism</w:t>
      </w:r>
      <w:r w:rsidR="005B52DB" w:rsidRPr="00047A9D">
        <w:rPr>
          <w:rFonts w:ascii="Times New Roman" w:hAnsi="Times New Roman" w:cs="Times New Roman"/>
          <w:i/>
          <w:sz w:val="22"/>
          <w:szCs w:val="22"/>
        </w:rPr>
        <w:t>:</w:t>
      </w:r>
      <w:r w:rsidRPr="00047A9D">
        <w:rPr>
          <w:rFonts w:ascii="Times New Roman" w:hAnsi="Times New Roman" w:cs="Times New Roman"/>
          <w:i/>
          <w:sz w:val="22"/>
          <w:szCs w:val="22"/>
        </w:rPr>
        <w:t xml:space="preserve"> An Assault on Education and Value</w:t>
      </w:r>
      <w:r w:rsidRPr="00047A9D">
        <w:rPr>
          <w:rFonts w:ascii="Times New Roman" w:hAnsi="Times New Roman" w:cs="Times New Roman"/>
          <w:sz w:val="22"/>
          <w:szCs w:val="22"/>
        </w:rPr>
        <w:t xml:space="preserve"> (London: Sherwood Press, 1986),</w:t>
      </w:r>
      <w:r w:rsidR="005F135C" w:rsidRPr="00047A9D">
        <w:rPr>
          <w:rFonts w:ascii="Times New Roman" w:hAnsi="Times New Roman" w:cs="Times New Roman"/>
          <w:sz w:val="22"/>
          <w:szCs w:val="22"/>
        </w:rPr>
        <w:t xml:space="preserve"> </w:t>
      </w:r>
      <w:r w:rsidRPr="00047A9D">
        <w:rPr>
          <w:rFonts w:ascii="Times New Roman" w:hAnsi="Times New Roman" w:cs="Times New Roman"/>
          <w:sz w:val="22"/>
          <w:szCs w:val="22"/>
        </w:rPr>
        <w:t>p.9.</w:t>
      </w:r>
    </w:p>
  </w:footnote>
  <w:footnote w:id="697">
    <w:p w14:paraId="5B5303EC" w14:textId="25B73B38" w:rsidR="00A05A32" w:rsidRPr="00047A9D" w:rsidRDefault="00A05A3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F135C" w:rsidRPr="00047A9D">
        <w:rPr>
          <w:rFonts w:ascii="Times New Roman" w:hAnsi="Times New Roman" w:cs="Times New Roman"/>
          <w:sz w:val="22"/>
          <w:szCs w:val="22"/>
        </w:rPr>
        <w:t xml:space="preserve">Roger Scruton, </w:t>
      </w:r>
      <w:r w:rsidR="005F135C" w:rsidRPr="00047A9D">
        <w:rPr>
          <w:rFonts w:ascii="Times New Roman" w:hAnsi="Times New Roman" w:cs="Times New Roman"/>
          <w:i/>
          <w:sz w:val="22"/>
          <w:szCs w:val="22"/>
        </w:rPr>
        <w:t>World Studies: Education or Indoctrination?</w:t>
      </w:r>
      <w:r w:rsidR="005F135C" w:rsidRPr="00047A9D">
        <w:rPr>
          <w:rFonts w:ascii="Times New Roman" w:hAnsi="Times New Roman" w:cs="Times New Roman"/>
          <w:sz w:val="22"/>
          <w:szCs w:val="22"/>
        </w:rPr>
        <w:t xml:space="preserve"> (London: Alliance Publishers for Institute for European Defence and Strategic Studies, 1985), p.56.</w:t>
      </w:r>
      <w:r w:rsidR="009065E3" w:rsidRPr="00047A9D">
        <w:rPr>
          <w:rFonts w:ascii="Times New Roman" w:hAnsi="Times New Roman" w:cs="Times New Roman"/>
          <w:sz w:val="22"/>
          <w:szCs w:val="22"/>
        </w:rPr>
        <w:t xml:space="preserve"> </w:t>
      </w:r>
    </w:p>
  </w:footnote>
  <w:footnote w:id="698">
    <w:p w14:paraId="5A2F838A" w14:textId="5801B10A" w:rsidR="005F135C" w:rsidRPr="00047A9D" w:rsidRDefault="005F135C" w:rsidP="00D839D4">
      <w:pPr>
        <w:pStyle w:val="NoSpacing"/>
        <w:spacing w:line="360" w:lineRule="auto"/>
        <w:rPr>
          <w:b/>
          <w:bCs/>
          <w:sz w:val="22"/>
        </w:rPr>
      </w:pPr>
      <w:r w:rsidRPr="00047A9D">
        <w:rPr>
          <w:rStyle w:val="FootnoteReference"/>
          <w:sz w:val="22"/>
        </w:rPr>
        <w:footnoteRef/>
      </w:r>
      <w:r w:rsidRPr="00047A9D">
        <w:rPr>
          <w:sz w:val="22"/>
        </w:rPr>
        <w:t xml:space="preserve"> Roger Scruton, Angela Ellis-Jones and Dennis O’Keeffe, </w:t>
      </w:r>
      <w:r w:rsidRPr="00047A9D">
        <w:rPr>
          <w:i/>
          <w:sz w:val="22"/>
        </w:rPr>
        <w:t xml:space="preserve">Education and Indoctrination: An Attempt at Definition and a Review of Social and Political Implications </w:t>
      </w:r>
      <w:r w:rsidRPr="00047A9D">
        <w:rPr>
          <w:sz w:val="22"/>
        </w:rPr>
        <w:t>(Harrow: Education Research Centre, 1985), p.42;</w:t>
      </w:r>
      <w:r w:rsidRPr="00047A9D">
        <w:rPr>
          <w:b/>
          <w:bCs/>
          <w:sz w:val="22"/>
        </w:rPr>
        <w:t xml:space="preserve"> </w:t>
      </w:r>
      <w:r w:rsidR="009D47CE" w:rsidRPr="00047A9D">
        <w:rPr>
          <w:sz w:val="22"/>
        </w:rPr>
        <w:t xml:space="preserve">Seidel, ‘Culture, Nation and “Race”’, in Levitas (ed.), </w:t>
      </w:r>
      <w:r w:rsidR="009D47CE" w:rsidRPr="00047A9D">
        <w:rPr>
          <w:i/>
          <w:sz w:val="22"/>
        </w:rPr>
        <w:t>New Right</w:t>
      </w:r>
      <w:r w:rsidR="009D47CE" w:rsidRPr="00047A9D">
        <w:rPr>
          <w:sz w:val="22"/>
        </w:rPr>
        <w:t xml:space="preserve">, </w:t>
      </w:r>
      <w:r w:rsidRPr="00047A9D">
        <w:rPr>
          <w:sz w:val="22"/>
        </w:rPr>
        <w:t>p.109.</w:t>
      </w:r>
    </w:p>
  </w:footnote>
  <w:footnote w:id="699">
    <w:p w14:paraId="7B17E1A8" w14:textId="5886AEB8" w:rsidR="00933380" w:rsidRPr="00047A9D" w:rsidRDefault="00933380" w:rsidP="00D839D4">
      <w:pPr>
        <w:pStyle w:val="NoSpacing"/>
        <w:spacing w:line="360" w:lineRule="auto"/>
        <w:rPr>
          <w:sz w:val="22"/>
        </w:rPr>
      </w:pPr>
      <w:r w:rsidRPr="00047A9D">
        <w:rPr>
          <w:rStyle w:val="FootnoteReference"/>
          <w:sz w:val="22"/>
        </w:rPr>
        <w:footnoteRef/>
      </w:r>
      <w:r w:rsidRPr="00047A9D">
        <w:rPr>
          <w:sz w:val="22"/>
        </w:rPr>
        <w:t xml:space="preserve"> John Casey, ‘One Nation: The Politics of Race’, </w:t>
      </w:r>
      <w:r w:rsidRPr="00047A9D">
        <w:rPr>
          <w:i/>
          <w:sz w:val="22"/>
        </w:rPr>
        <w:t>Salisbury Review</w:t>
      </w:r>
      <w:r w:rsidRPr="00047A9D">
        <w:rPr>
          <w:sz w:val="22"/>
        </w:rPr>
        <w:t xml:space="preserve"> (Autumn 1982), quoted in </w:t>
      </w:r>
      <w:r w:rsidR="00862A09" w:rsidRPr="00047A9D">
        <w:rPr>
          <w:sz w:val="22"/>
        </w:rPr>
        <w:t>Seidel, ‘Culture, Nation and “Race”’, in Levitas (ed.),</w:t>
      </w:r>
      <w:r w:rsidR="00862A09" w:rsidRPr="00047A9D">
        <w:rPr>
          <w:i/>
          <w:sz w:val="22"/>
        </w:rPr>
        <w:t xml:space="preserve"> New Right</w:t>
      </w:r>
      <w:r w:rsidRPr="00047A9D">
        <w:rPr>
          <w:sz w:val="22"/>
        </w:rPr>
        <w:t>, p.111-12.</w:t>
      </w:r>
    </w:p>
  </w:footnote>
  <w:footnote w:id="700">
    <w:p w14:paraId="0AB576E5" w14:textId="4CBCDC4A" w:rsidR="009065E3" w:rsidRPr="00047A9D" w:rsidRDefault="009065E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Scruton, Ellis-Jones </w:t>
      </w:r>
      <w:r w:rsidR="0058794C" w:rsidRPr="00047A9D">
        <w:rPr>
          <w:rFonts w:ascii="Times New Roman" w:hAnsi="Times New Roman" w:cs="Times New Roman"/>
          <w:sz w:val="22"/>
          <w:szCs w:val="22"/>
        </w:rPr>
        <w:t>and</w:t>
      </w:r>
      <w:r w:rsidRPr="00047A9D">
        <w:rPr>
          <w:rFonts w:ascii="Times New Roman" w:hAnsi="Times New Roman" w:cs="Times New Roman"/>
          <w:sz w:val="22"/>
          <w:szCs w:val="22"/>
        </w:rPr>
        <w:t xml:space="preserve"> O’Keeffe, </w:t>
      </w:r>
      <w:r w:rsidRPr="00047A9D">
        <w:rPr>
          <w:rFonts w:ascii="Times New Roman" w:hAnsi="Times New Roman" w:cs="Times New Roman"/>
          <w:i/>
          <w:sz w:val="22"/>
          <w:szCs w:val="22"/>
        </w:rPr>
        <w:t>Education and Indoctrination</w:t>
      </w:r>
      <w:r w:rsidRPr="00047A9D">
        <w:rPr>
          <w:rFonts w:ascii="Times New Roman" w:hAnsi="Times New Roman" w:cs="Times New Roman"/>
          <w:sz w:val="22"/>
          <w:szCs w:val="22"/>
        </w:rPr>
        <w:t>, p.13.</w:t>
      </w:r>
    </w:p>
  </w:footnote>
  <w:footnote w:id="701">
    <w:p w14:paraId="7581816D" w14:textId="790ECD93" w:rsidR="009065E3" w:rsidRPr="00047A9D" w:rsidRDefault="009065E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Scruton, </w:t>
      </w:r>
      <w:r w:rsidRPr="00047A9D">
        <w:rPr>
          <w:rFonts w:ascii="Times New Roman" w:hAnsi="Times New Roman" w:cs="Times New Roman"/>
          <w:i/>
          <w:sz w:val="22"/>
          <w:szCs w:val="22"/>
        </w:rPr>
        <w:t xml:space="preserve">World Studies, </w:t>
      </w:r>
      <w:r w:rsidRPr="00047A9D">
        <w:rPr>
          <w:rFonts w:ascii="Times New Roman" w:hAnsi="Times New Roman" w:cs="Times New Roman"/>
          <w:sz w:val="22"/>
          <w:szCs w:val="22"/>
        </w:rPr>
        <w:t>p.18.</w:t>
      </w:r>
    </w:p>
  </w:footnote>
  <w:footnote w:id="702">
    <w:p w14:paraId="0DE1B747" w14:textId="427381A8" w:rsidR="009065E3" w:rsidRPr="00047A9D" w:rsidRDefault="009065E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Simon Pearce, ‘Swann and the Spirit of the Age’, in Palmer (ed.), </w:t>
      </w:r>
      <w:r w:rsidRPr="00047A9D">
        <w:rPr>
          <w:rFonts w:ascii="Times New Roman" w:hAnsi="Times New Roman" w:cs="Times New Roman"/>
          <w:i/>
          <w:sz w:val="22"/>
          <w:szCs w:val="22"/>
        </w:rPr>
        <w:t>Anti-</w:t>
      </w:r>
      <w:r w:rsidR="0007041E" w:rsidRPr="00047A9D">
        <w:rPr>
          <w:rFonts w:ascii="Times New Roman" w:hAnsi="Times New Roman" w:cs="Times New Roman"/>
          <w:i/>
          <w:sz w:val="22"/>
          <w:szCs w:val="22"/>
        </w:rPr>
        <w:t>r</w:t>
      </w:r>
      <w:r w:rsidRPr="00047A9D">
        <w:rPr>
          <w:rFonts w:ascii="Times New Roman" w:hAnsi="Times New Roman" w:cs="Times New Roman"/>
          <w:i/>
          <w:sz w:val="22"/>
          <w:szCs w:val="22"/>
        </w:rPr>
        <w:t>acism</w:t>
      </w:r>
      <w:r w:rsidRPr="00047A9D">
        <w:rPr>
          <w:rFonts w:ascii="Times New Roman" w:hAnsi="Times New Roman" w:cs="Times New Roman"/>
          <w:sz w:val="22"/>
          <w:szCs w:val="22"/>
        </w:rPr>
        <w:t>, 136-148, p.139.</w:t>
      </w:r>
    </w:p>
  </w:footnote>
  <w:footnote w:id="703">
    <w:p w14:paraId="553A46E9" w14:textId="4A2D53DF" w:rsidR="00B13909" w:rsidRPr="00047A9D" w:rsidRDefault="00B1390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115C1" w:rsidRPr="00047A9D">
        <w:rPr>
          <w:rFonts w:ascii="Times New Roman" w:hAnsi="Times New Roman" w:cs="Times New Roman"/>
          <w:sz w:val="22"/>
          <w:szCs w:val="22"/>
        </w:rPr>
        <w:t xml:space="preserve">Phillips, </w:t>
      </w:r>
      <w:r w:rsidR="00C115C1" w:rsidRPr="00047A9D">
        <w:rPr>
          <w:rFonts w:ascii="Times New Roman" w:hAnsi="Times New Roman" w:cs="Times New Roman"/>
          <w:i/>
          <w:sz w:val="22"/>
          <w:szCs w:val="22"/>
        </w:rPr>
        <w:t>History Teaching</w:t>
      </w:r>
      <w:r w:rsidR="00C115C1" w:rsidRPr="00047A9D">
        <w:rPr>
          <w:rFonts w:ascii="Times New Roman" w:hAnsi="Times New Roman" w:cs="Times New Roman"/>
          <w:sz w:val="22"/>
          <w:szCs w:val="22"/>
        </w:rPr>
        <w:t>, p.32.</w:t>
      </w:r>
    </w:p>
  </w:footnote>
  <w:footnote w:id="704">
    <w:p w14:paraId="3149746E" w14:textId="63302751" w:rsidR="00C115C1" w:rsidRPr="00047A9D" w:rsidRDefault="00C115C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Stuart Deuchar</w:t>
      </w:r>
      <w:r w:rsidR="00C30684" w:rsidRPr="00047A9D">
        <w:rPr>
          <w:rFonts w:ascii="Times New Roman" w:hAnsi="Times New Roman" w:cs="Times New Roman"/>
          <w:sz w:val="22"/>
          <w:szCs w:val="22"/>
        </w:rPr>
        <w:t xml:space="preserve"> in</w:t>
      </w:r>
      <w:r w:rsidRPr="00047A9D">
        <w:rPr>
          <w:rFonts w:ascii="Times New Roman" w:hAnsi="Times New Roman" w:cs="Times New Roman"/>
          <w:sz w:val="22"/>
          <w:szCs w:val="22"/>
        </w:rPr>
        <w:t xml:space="preserve"> </w:t>
      </w:r>
      <w:r w:rsidR="00CE150A" w:rsidRPr="00047A9D">
        <w:rPr>
          <w:rFonts w:ascii="Times New Roman" w:hAnsi="Times New Roman" w:cs="Times New Roman"/>
          <w:sz w:val="22"/>
          <w:szCs w:val="22"/>
        </w:rPr>
        <w:t>TES</w:t>
      </w:r>
      <w:r w:rsidR="00F627A4" w:rsidRPr="00047A9D">
        <w:rPr>
          <w:rFonts w:ascii="Times New Roman" w:hAnsi="Times New Roman" w:cs="Times New Roman"/>
          <w:i/>
          <w:sz w:val="22"/>
          <w:szCs w:val="22"/>
        </w:rPr>
        <w:t xml:space="preserve">, </w:t>
      </w:r>
      <w:r w:rsidR="006B17F8" w:rsidRPr="00047A9D">
        <w:rPr>
          <w:rFonts w:ascii="Times New Roman" w:hAnsi="Times New Roman" w:cs="Times New Roman"/>
          <w:sz w:val="22"/>
          <w:szCs w:val="22"/>
        </w:rPr>
        <w:t xml:space="preserve">29 </w:t>
      </w:r>
      <w:r w:rsidR="00BE1B9F" w:rsidRPr="00047A9D">
        <w:rPr>
          <w:rFonts w:ascii="Times New Roman" w:hAnsi="Times New Roman" w:cs="Times New Roman"/>
          <w:sz w:val="22"/>
          <w:szCs w:val="22"/>
        </w:rPr>
        <w:t>January</w:t>
      </w:r>
      <w:r w:rsidR="006B17F8" w:rsidRPr="00047A9D">
        <w:rPr>
          <w:rFonts w:ascii="Times New Roman" w:hAnsi="Times New Roman" w:cs="Times New Roman"/>
          <w:sz w:val="22"/>
          <w:szCs w:val="22"/>
        </w:rPr>
        <w:t xml:space="preserve"> 1988</w:t>
      </w:r>
      <w:r w:rsidR="00C30684" w:rsidRPr="00047A9D">
        <w:rPr>
          <w:rFonts w:ascii="Times New Roman" w:hAnsi="Times New Roman" w:cs="Times New Roman"/>
          <w:sz w:val="22"/>
          <w:szCs w:val="22"/>
        </w:rPr>
        <w:t xml:space="preserve">, quoted in </w:t>
      </w:r>
      <w:r w:rsidR="00A80EFF" w:rsidRPr="00047A9D">
        <w:rPr>
          <w:rFonts w:ascii="Times New Roman" w:hAnsi="Times New Roman" w:cs="Times New Roman"/>
          <w:sz w:val="22"/>
          <w:szCs w:val="22"/>
        </w:rPr>
        <w:t xml:space="preserve">Phillips, </w:t>
      </w:r>
      <w:r w:rsidR="00A80EFF" w:rsidRPr="00047A9D">
        <w:rPr>
          <w:rFonts w:ascii="Times New Roman" w:hAnsi="Times New Roman" w:cs="Times New Roman"/>
          <w:i/>
          <w:sz w:val="22"/>
          <w:szCs w:val="22"/>
        </w:rPr>
        <w:t>History Teaching</w:t>
      </w:r>
      <w:r w:rsidR="00A80EFF" w:rsidRPr="00047A9D">
        <w:rPr>
          <w:rFonts w:ascii="Times New Roman" w:hAnsi="Times New Roman" w:cs="Times New Roman"/>
          <w:sz w:val="22"/>
          <w:szCs w:val="22"/>
        </w:rPr>
        <w:t>, p.43.</w:t>
      </w:r>
    </w:p>
  </w:footnote>
  <w:footnote w:id="705">
    <w:p w14:paraId="6C4FC37F" w14:textId="138393D6" w:rsidR="00B06090" w:rsidRPr="00047A9D" w:rsidRDefault="00B0609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Jenny Bourne, ‘Anti-racist Witchcraft’, </w:t>
      </w:r>
      <w:r w:rsidRPr="00047A9D">
        <w:rPr>
          <w:rFonts w:ascii="Times New Roman" w:hAnsi="Times New Roman" w:cs="Times New Roman"/>
          <w:i/>
          <w:sz w:val="22"/>
          <w:szCs w:val="22"/>
        </w:rPr>
        <w:t>Race &amp; Class</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57</w:t>
      </w:r>
      <w:r w:rsidR="002F34F1" w:rsidRPr="00047A9D">
        <w:rPr>
          <w:rFonts w:ascii="Times New Roman" w:hAnsi="Times New Roman" w:cs="Times New Roman"/>
          <w:sz w:val="22"/>
          <w:szCs w:val="22"/>
        </w:rPr>
        <w:t>.</w:t>
      </w:r>
      <w:r w:rsidRPr="00047A9D">
        <w:rPr>
          <w:rFonts w:ascii="Times New Roman" w:hAnsi="Times New Roman" w:cs="Times New Roman"/>
          <w:sz w:val="22"/>
          <w:szCs w:val="22"/>
        </w:rPr>
        <w:t>1 (2015), 67-77, p.70.</w:t>
      </w:r>
    </w:p>
  </w:footnote>
  <w:footnote w:id="706">
    <w:p w14:paraId="6799E62A" w14:textId="5A87915C" w:rsidR="007C3360" w:rsidRPr="00047A9D" w:rsidRDefault="007C336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B5B55" w:rsidRPr="00047A9D">
        <w:rPr>
          <w:rFonts w:ascii="Times New Roman" w:hAnsi="Times New Roman" w:cs="Times New Roman"/>
          <w:sz w:val="22"/>
          <w:szCs w:val="22"/>
        </w:rPr>
        <w:t>P</w:t>
      </w:r>
      <w:r w:rsidR="00E12CB9" w:rsidRPr="00047A9D">
        <w:rPr>
          <w:rFonts w:ascii="Times New Roman" w:hAnsi="Times New Roman" w:cs="Times New Roman"/>
          <w:sz w:val="22"/>
          <w:szCs w:val="22"/>
        </w:rPr>
        <w:t>almer, </w:t>
      </w:r>
      <w:r w:rsidR="00E12CB9" w:rsidRPr="00047A9D">
        <w:rPr>
          <w:rFonts w:ascii="Times New Roman" w:hAnsi="Times New Roman" w:cs="Times New Roman"/>
          <w:i/>
          <w:iCs/>
          <w:sz w:val="22"/>
          <w:szCs w:val="22"/>
        </w:rPr>
        <w:t>Anti-racism</w:t>
      </w:r>
      <w:r w:rsidR="00FE0CF3" w:rsidRPr="00047A9D">
        <w:rPr>
          <w:rFonts w:ascii="Times New Roman" w:hAnsi="Times New Roman" w:cs="Times New Roman"/>
          <w:sz w:val="22"/>
          <w:szCs w:val="22"/>
        </w:rPr>
        <w:t>, pp.6, 61.</w:t>
      </w:r>
    </w:p>
  </w:footnote>
  <w:footnote w:id="707">
    <w:p w14:paraId="2B3E8E15" w14:textId="2F6805A6" w:rsidR="00B06090" w:rsidRPr="00047A9D" w:rsidRDefault="00B0609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E19F3" w:rsidRPr="00047A9D">
        <w:rPr>
          <w:rFonts w:ascii="Times New Roman" w:hAnsi="Times New Roman" w:cs="Times New Roman"/>
          <w:sz w:val="22"/>
          <w:szCs w:val="22"/>
        </w:rPr>
        <w:t xml:space="preserve">Ronald Butt, ‘The New Breed of Racist’, </w:t>
      </w:r>
      <w:r w:rsidR="00DE19F3" w:rsidRPr="00047A9D">
        <w:rPr>
          <w:rFonts w:ascii="Times New Roman" w:hAnsi="Times New Roman" w:cs="Times New Roman"/>
          <w:i/>
          <w:sz w:val="22"/>
          <w:szCs w:val="22"/>
        </w:rPr>
        <w:t xml:space="preserve">Times, </w:t>
      </w:r>
      <w:r w:rsidR="00DE19F3" w:rsidRPr="00047A9D">
        <w:rPr>
          <w:rFonts w:ascii="Times New Roman" w:hAnsi="Times New Roman" w:cs="Times New Roman"/>
          <w:sz w:val="22"/>
          <w:szCs w:val="22"/>
        </w:rPr>
        <w:t>25 July 1985, p.14.</w:t>
      </w:r>
    </w:p>
  </w:footnote>
  <w:footnote w:id="708">
    <w:p w14:paraId="3A44C735" w14:textId="172C7D01" w:rsidR="00914BF2" w:rsidRPr="00047A9D" w:rsidRDefault="00914BF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Gayatri Chakravorty Spivak, ‘Can the Subaltern Speak? Speculations on Widow-sacrifice’ </w:t>
      </w:r>
      <w:r w:rsidRPr="00047A9D">
        <w:rPr>
          <w:rFonts w:ascii="Times New Roman" w:hAnsi="Times New Roman" w:cs="Times New Roman"/>
          <w:i/>
          <w:sz w:val="22"/>
          <w:szCs w:val="22"/>
        </w:rPr>
        <w:t>Wedge</w:t>
      </w:r>
      <w:r w:rsidRPr="00047A9D">
        <w:rPr>
          <w:rFonts w:ascii="Times New Roman" w:hAnsi="Times New Roman" w:cs="Times New Roman"/>
          <w:sz w:val="22"/>
          <w:szCs w:val="22"/>
        </w:rPr>
        <w:t xml:space="preserve"> 7/8 (1985), 120</w:t>
      </w:r>
      <w:r w:rsidR="00F6028E">
        <w:rPr>
          <w:rFonts w:ascii="Times New Roman" w:hAnsi="Times New Roman" w:cs="Times New Roman"/>
          <w:sz w:val="22"/>
          <w:szCs w:val="22"/>
        </w:rPr>
        <w:t>-</w:t>
      </w:r>
      <w:r w:rsidRPr="00047A9D">
        <w:rPr>
          <w:rFonts w:ascii="Times New Roman" w:hAnsi="Times New Roman" w:cs="Times New Roman"/>
          <w:sz w:val="22"/>
          <w:szCs w:val="22"/>
        </w:rPr>
        <w:t>30.</w:t>
      </w:r>
    </w:p>
  </w:footnote>
  <w:footnote w:id="709">
    <w:p w14:paraId="42AD0B7F" w14:textId="6E074E90" w:rsidR="005A78D0" w:rsidRPr="00047A9D" w:rsidRDefault="005A78D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Pearce, ‘Swann and the Spirit of the Age’, in Palmer (ed.), </w:t>
      </w:r>
      <w:r w:rsidRPr="00047A9D">
        <w:rPr>
          <w:rFonts w:ascii="Times New Roman" w:hAnsi="Times New Roman" w:cs="Times New Roman"/>
          <w:i/>
          <w:sz w:val="22"/>
          <w:szCs w:val="22"/>
        </w:rPr>
        <w:t>Anti-</w:t>
      </w:r>
      <w:r w:rsidR="003428E9" w:rsidRPr="00047A9D">
        <w:rPr>
          <w:rFonts w:ascii="Times New Roman" w:hAnsi="Times New Roman" w:cs="Times New Roman"/>
          <w:i/>
          <w:sz w:val="22"/>
          <w:szCs w:val="22"/>
        </w:rPr>
        <w:t>r</w:t>
      </w:r>
      <w:r w:rsidRPr="00047A9D">
        <w:rPr>
          <w:rFonts w:ascii="Times New Roman" w:hAnsi="Times New Roman" w:cs="Times New Roman"/>
          <w:i/>
          <w:sz w:val="22"/>
          <w:szCs w:val="22"/>
        </w:rPr>
        <w:t>acism</w:t>
      </w:r>
      <w:r w:rsidRPr="00047A9D">
        <w:rPr>
          <w:rFonts w:ascii="Times New Roman" w:hAnsi="Times New Roman" w:cs="Times New Roman"/>
          <w:sz w:val="22"/>
          <w:szCs w:val="22"/>
        </w:rPr>
        <w:t>, p.142.</w:t>
      </w:r>
    </w:p>
  </w:footnote>
  <w:footnote w:id="710">
    <w:p w14:paraId="2A14DC09" w14:textId="4822A65D" w:rsidR="005A78D0" w:rsidRPr="00047A9D" w:rsidRDefault="005A78D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Michael Dave, ‘New School Text Book Praises the Brave Mau Mau’, </w:t>
      </w:r>
      <w:r w:rsidRPr="00047A9D">
        <w:rPr>
          <w:rFonts w:ascii="Times New Roman" w:hAnsi="Times New Roman" w:cs="Times New Roman"/>
          <w:i/>
          <w:sz w:val="22"/>
          <w:szCs w:val="22"/>
        </w:rPr>
        <w:t>The Sunday Express</w:t>
      </w:r>
      <w:r w:rsidRPr="00047A9D">
        <w:rPr>
          <w:rFonts w:ascii="Times New Roman" w:hAnsi="Times New Roman" w:cs="Times New Roman"/>
          <w:sz w:val="22"/>
          <w:szCs w:val="22"/>
        </w:rPr>
        <w:t>, 2 April 1978, p.5.</w:t>
      </w:r>
    </w:p>
  </w:footnote>
  <w:footnote w:id="711">
    <w:p w14:paraId="438146B5" w14:textId="3C3720C1" w:rsidR="00C25A39" w:rsidRPr="00047A9D" w:rsidRDefault="00C25A3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3B0F" w:rsidRPr="00047A9D">
        <w:rPr>
          <w:rFonts w:ascii="Times New Roman" w:hAnsi="Times New Roman" w:cs="Times New Roman"/>
          <w:sz w:val="22"/>
          <w:szCs w:val="22"/>
        </w:rPr>
        <w:t>‘Discovering Africa’s Past’, HL Deb (17 April 1978). Vol. 390, col. 874</w:t>
      </w:r>
      <w:r w:rsidR="00376034" w:rsidRPr="00047A9D">
        <w:rPr>
          <w:rFonts w:ascii="Times New Roman" w:hAnsi="Times New Roman" w:cs="Times New Roman"/>
          <w:sz w:val="22"/>
          <w:szCs w:val="22"/>
        </w:rPr>
        <w:t>.</w:t>
      </w:r>
      <w:r w:rsidR="00583B0F" w:rsidRPr="00047A9D">
        <w:rPr>
          <w:rFonts w:ascii="Times New Roman" w:hAnsi="Times New Roman" w:cs="Times New Roman"/>
          <w:sz w:val="22"/>
          <w:szCs w:val="22"/>
        </w:rPr>
        <w:t xml:space="preserve"> &lt;https://hansard.parliament.uk/Lords/1978-04-17/debates/db1eeccc-c799-488e-9fe2-afb444c4cd62/LordsChamber&gt; [accessed 18 September 2024].</w:t>
      </w:r>
    </w:p>
  </w:footnote>
  <w:footnote w:id="712">
    <w:p w14:paraId="23EB6C97" w14:textId="047B098F" w:rsidR="00F322B0" w:rsidRPr="00047A9D" w:rsidRDefault="00F322B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E2994" w:rsidRPr="00047A9D">
        <w:rPr>
          <w:rFonts w:ascii="Times New Roman" w:hAnsi="Times New Roman" w:cs="Times New Roman"/>
          <w:sz w:val="22"/>
          <w:szCs w:val="22"/>
        </w:rPr>
        <w:t xml:space="preserve"> ‘</w:t>
      </w:r>
      <w:r w:rsidR="00C220EA" w:rsidRPr="00047A9D">
        <w:rPr>
          <w:rFonts w:ascii="Times New Roman" w:hAnsi="Times New Roman" w:cs="Times New Roman"/>
          <w:sz w:val="22"/>
          <w:szCs w:val="22"/>
        </w:rPr>
        <w:t>Discovering Africa’s Past’, HL Deb (17 April 1978).</w:t>
      </w:r>
      <w:r w:rsidR="003E2994" w:rsidRPr="00047A9D">
        <w:rPr>
          <w:rFonts w:ascii="Times New Roman" w:hAnsi="Times New Roman" w:cs="Times New Roman"/>
          <w:sz w:val="22"/>
          <w:szCs w:val="22"/>
        </w:rPr>
        <w:t xml:space="preserve"> Vol. 390, col. 874</w:t>
      </w:r>
      <w:r w:rsidR="00E80838" w:rsidRPr="00047A9D">
        <w:rPr>
          <w:rFonts w:ascii="Times New Roman" w:hAnsi="Times New Roman" w:cs="Times New Roman"/>
          <w:sz w:val="22"/>
          <w:szCs w:val="22"/>
        </w:rPr>
        <w:t>.</w:t>
      </w:r>
    </w:p>
  </w:footnote>
  <w:footnote w:id="713">
    <w:p w14:paraId="73E6F701" w14:textId="1920EFD7" w:rsidR="00673BC5" w:rsidRPr="00047A9D" w:rsidRDefault="00673BC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3E2994" w:rsidRPr="00047A9D">
        <w:rPr>
          <w:rFonts w:ascii="Times New Roman" w:hAnsi="Times New Roman" w:cs="Times New Roman"/>
          <w:sz w:val="22"/>
          <w:szCs w:val="22"/>
        </w:rPr>
        <w:t xml:space="preserve"> </w:t>
      </w:r>
      <w:r w:rsidR="004647C4" w:rsidRPr="00047A9D">
        <w:rPr>
          <w:rFonts w:ascii="Times New Roman" w:hAnsi="Times New Roman" w:cs="Times New Roman"/>
          <w:sz w:val="22"/>
          <w:szCs w:val="22"/>
        </w:rPr>
        <w:t xml:space="preserve">‘Discovering Africa’s Past’, HL Deb (17 April 1978). </w:t>
      </w:r>
      <w:r w:rsidR="003E2994" w:rsidRPr="00047A9D">
        <w:rPr>
          <w:rFonts w:ascii="Times New Roman" w:hAnsi="Times New Roman" w:cs="Times New Roman"/>
          <w:sz w:val="22"/>
          <w:szCs w:val="22"/>
        </w:rPr>
        <w:t>Vol. 390, col. 874</w:t>
      </w:r>
      <w:r w:rsidR="00E80838" w:rsidRPr="00047A9D">
        <w:rPr>
          <w:rFonts w:ascii="Times New Roman" w:hAnsi="Times New Roman" w:cs="Times New Roman"/>
          <w:sz w:val="22"/>
          <w:szCs w:val="22"/>
        </w:rPr>
        <w:t>.</w:t>
      </w:r>
    </w:p>
  </w:footnote>
  <w:footnote w:id="714">
    <w:p w14:paraId="05E9229A" w14:textId="148BC129" w:rsidR="00583B0F" w:rsidRPr="00047A9D" w:rsidRDefault="00583B0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Dave, ‘New School Text Book’, p.5.</w:t>
      </w:r>
    </w:p>
  </w:footnote>
  <w:footnote w:id="715">
    <w:p w14:paraId="0CC9E3D4" w14:textId="77777777" w:rsidR="00661E37" w:rsidRPr="00047A9D" w:rsidRDefault="00661E3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‘Education: Avoidance of Politicisation’, HL Deb (5 February 1986). Vol. 470, col. 1138-51. </w:t>
      </w:r>
    </w:p>
  </w:footnote>
  <w:footnote w:id="716">
    <w:p w14:paraId="5333DBD5" w14:textId="3E1E5D81" w:rsidR="00E65C1D" w:rsidRPr="00047A9D" w:rsidRDefault="00E65C1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A21FA" w:rsidRPr="00047A9D">
        <w:rPr>
          <w:rFonts w:ascii="Times New Roman" w:hAnsi="Times New Roman" w:cs="Times New Roman"/>
          <w:sz w:val="22"/>
          <w:szCs w:val="22"/>
        </w:rPr>
        <w:t>‘Education: Avoidance of Politicisation’, HL Deb (5 February 1986). Vol. 470, col. 1138-51.</w:t>
      </w:r>
    </w:p>
  </w:footnote>
  <w:footnote w:id="717">
    <w:p w14:paraId="3615491F" w14:textId="67FF7279" w:rsidR="002044DA" w:rsidRPr="00047A9D" w:rsidRDefault="002044D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E13FF" w:rsidRPr="00047A9D">
        <w:rPr>
          <w:rFonts w:ascii="Times New Roman" w:hAnsi="Times New Roman" w:cs="Times New Roman"/>
          <w:sz w:val="22"/>
          <w:szCs w:val="22"/>
        </w:rPr>
        <w:t xml:space="preserve">Alan Beattie, </w:t>
      </w:r>
      <w:r w:rsidR="00BE13FF" w:rsidRPr="00047A9D">
        <w:rPr>
          <w:rFonts w:ascii="Times New Roman" w:hAnsi="Times New Roman" w:cs="Times New Roman"/>
          <w:i/>
          <w:sz w:val="22"/>
          <w:szCs w:val="22"/>
        </w:rPr>
        <w:t xml:space="preserve">History in Peril: May Parents Preserve it </w:t>
      </w:r>
      <w:r w:rsidR="00BE13FF" w:rsidRPr="00047A9D">
        <w:rPr>
          <w:rFonts w:ascii="Times New Roman" w:hAnsi="Times New Roman" w:cs="Times New Roman"/>
          <w:sz w:val="22"/>
          <w:szCs w:val="22"/>
        </w:rPr>
        <w:t xml:space="preserve">(London: Centre for Policy Studies, 1987), p.35; </w:t>
      </w:r>
      <w:r w:rsidRPr="00047A9D">
        <w:rPr>
          <w:rFonts w:ascii="Times New Roman" w:hAnsi="Times New Roman" w:cs="Times New Roman"/>
          <w:sz w:val="22"/>
          <w:szCs w:val="22"/>
        </w:rPr>
        <w:t xml:space="preserve">Hillgate Group, </w:t>
      </w:r>
      <w:r w:rsidRPr="00047A9D">
        <w:rPr>
          <w:rFonts w:ascii="Times New Roman" w:hAnsi="Times New Roman" w:cs="Times New Roman"/>
          <w:i/>
          <w:sz w:val="22"/>
          <w:szCs w:val="22"/>
        </w:rPr>
        <w:t xml:space="preserve">The Reform of British Education: From Principles to Practice </w:t>
      </w:r>
      <w:r w:rsidRPr="00047A9D">
        <w:rPr>
          <w:rFonts w:ascii="Times New Roman" w:hAnsi="Times New Roman" w:cs="Times New Roman"/>
          <w:sz w:val="22"/>
          <w:szCs w:val="22"/>
        </w:rPr>
        <w:t>(</w:t>
      </w:r>
      <w:r w:rsidR="00BE13FF" w:rsidRPr="00047A9D">
        <w:rPr>
          <w:rFonts w:ascii="Times New Roman" w:hAnsi="Times New Roman" w:cs="Times New Roman"/>
          <w:sz w:val="22"/>
          <w:szCs w:val="22"/>
        </w:rPr>
        <w:t xml:space="preserve">London: </w:t>
      </w:r>
      <w:r w:rsidRPr="00047A9D">
        <w:rPr>
          <w:rFonts w:ascii="Times New Roman" w:hAnsi="Times New Roman" w:cs="Times New Roman"/>
          <w:sz w:val="22"/>
          <w:szCs w:val="22"/>
        </w:rPr>
        <w:t>Claridge, 1987), p.4</w:t>
      </w:r>
      <w:r w:rsidR="00BE13FF" w:rsidRPr="00047A9D">
        <w:rPr>
          <w:rFonts w:ascii="Times New Roman" w:hAnsi="Times New Roman" w:cs="Times New Roman"/>
          <w:sz w:val="22"/>
          <w:szCs w:val="22"/>
        </w:rPr>
        <w:t>.</w:t>
      </w:r>
    </w:p>
  </w:footnote>
  <w:footnote w:id="718">
    <w:p w14:paraId="1FCC5DB8" w14:textId="4635642A" w:rsidR="00076318" w:rsidRPr="00047A9D" w:rsidRDefault="0007631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Charles Moore, </w:t>
      </w:r>
      <w:r w:rsidRPr="00047A9D">
        <w:rPr>
          <w:rFonts w:ascii="Times New Roman" w:hAnsi="Times New Roman" w:cs="Times New Roman"/>
          <w:i/>
          <w:sz w:val="22"/>
          <w:szCs w:val="22"/>
        </w:rPr>
        <w:t>Margaret Thatcher: The Authorized Biography; Volume Three: Herself Alone</w:t>
      </w:r>
      <w:r w:rsidRPr="00047A9D">
        <w:rPr>
          <w:rFonts w:ascii="Times New Roman" w:hAnsi="Times New Roman" w:cs="Times New Roman"/>
          <w:sz w:val="22"/>
          <w:szCs w:val="22"/>
        </w:rPr>
        <w:t xml:space="preserve"> (London: Penguin, 2020), p.67. Scruton also connected the ‘rejection of traditional history’ to an ‘assault on traditional Christian values’; see Scruton, </w:t>
      </w:r>
      <w:r w:rsidRPr="00047A9D">
        <w:rPr>
          <w:rFonts w:ascii="Times New Roman" w:hAnsi="Times New Roman" w:cs="Times New Roman"/>
          <w:i/>
          <w:sz w:val="22"/>
          <w:szCs w:val="22"/>
        </w:rPr>
        <w:t xml:space="preserve">World </w:t>
      </w:r>
      <w:r w:rsidRPr="00047A9D">
        <w:rPr>
          <w:rFonts w:ascii="Times New Roman" w:hAnsi="Times New Roman" w:cs="Times New Roman"/>
          <w:sz w:val="22"/>
          <w:szCs w:val="22"/>
        </w:rPr>
        <w:t>Studies, p.54.</w:t>
      </w:r>
    </w:p>
  </w:footnote>
  <w:footnote w:id="719">
    <w:p w14:paraId="692814FF" w14:textId="77777777" w:rsidR="00FE4470" w:rsidRPr="00047A9D" w:rsidRDefault="00FE4470"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Stuart Hall, ‘The Supply of Demand (1960)’, in Davison </w:t>
      </w:r>
      <w:r w:rsidRPr="00047A9D">
        <w:rPr>
          <w:rFonts w:ascii="Times New Roman" w:hAnsi="Times New Roman" w:cs="Times New Roman"/>
          <w:i/>
          <w:sz w:val="22"/>
          <w:szCs w:val="22"/>
        </w:rPr>
        <w:t>et al.</w:t>
      </w:r>
      <w:r w:rsidRPr="00047A9D">
        <w:rPr>
          <w:rFonts w:ascii="Times New Roman" w:hAnsi="Times New Roman" w:cs="Times New Roman"/>
          <w:sz w:val="22"/>
          <w:szCs w:val="22"/>
        </w:rPr>
        <w:t xml:space="preserve"> (eds),</w:t>
      </w:r>
      <w:r w:rsidRPr="00047A9D">
        <w:rPr>
          <w:rFonts w:ascii="Times New Roman" w:hAnsi="Times New Roman" w:cs="Times New Roman"/>
          <w:i/>
          <w:sz w:val="22"/>
          <w:szCs w:val="22"/>
        </w:rPr>
        <w:t xml:space="preserve"> Selected Political Writings, </w:t>
      </w:r>
      <w:r w:rsidRPr="00047A9D">
        <w:rPr>
          <w:rFonts w:ascii="Times New Roman" w:hAnsi="Times New Roman" w:cs="Times New Roman"/>
          <w:sz w:val="22"/>
          <w:szCs w:val="22"/>
        </w:rPr>
        <w:t>47-69, p.51.</w:t>
      </w:r>
    </w:p>
  </w:footnote>
  <w:footnote w:id="720">
    <w:p w14:paraId="4D54DE70" w14:textId="7C6AAB95" w:rsidR="00221F7A" w:rsidRPr="00047A9D" w:rsidRDefault="00221F7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Ray Honeyford, ‘Education and Race – An Alternative View’, </w:t>
      </w:r>
      <w:r w:rsidRPr="00047A9D">
        <w:rPr>
          <w:rFonts w:ascii="Times New Roman" w:hAnsi="Times New Roman" w:cs="Times New Roman"/>
          <w:i/>
          <w:sz w:val="22"/>
          <w:szCs w:val="22"/>
        </w:rPr>
        <w:t xml:space="preserve">The Salisbury Review </w:t>
      </w:r>
      <w:r w:rsidRPr="00047A9D">
        <w:rPr>
          <w:rFonts w:ascii="Times New Roman" w:hAnsi="Times New Roman" w:cs="Times New Roman"/>
          <w:sz w:val="22"/>
          <w:szCs w:val="22"/>
        </w:rPr>
        <w:t>6</w:t>
      </w:r>
      <w:r w:rsidRPr="00047A9D">
        <w:rPr>
          <w:rFonts w:ascii="Times New Roman" w:hAnsi="Times New Roman" w:cs="Times New Roman"/>
          <w:i/>
          <w:sz w:val="22"/>
          <w:szCs w:val="22"/>
        </w:rPr>
        <w:t xml:space="preserve"> </w:t>
      </w:r>
      <w:r w:rsidRPr="00047A9D">
        <w:rPr>
          <w:rFonts w:ascii="Times New Roman" w:hAnsi="Times New Roman" w:cs="Times New Roman"/>
          <w:sz w:val="22"/>
          <w:szCs w:val="22"/>
        </w:rPr>
        <w:t>(Winter 1984), 30-3</w:t>
      </w:r>
      <w:r w:rsidR="00FE325C" w:rsidRPr="00047A9D">
        <w:rPr>
          <w:rFonts w:ascii="Times New Roman" w:hAnsi="Times New Roman" w:cs="Times New Roman"/>
          <w:sz w:val="22"/>
          <w:szCs w:val="22"/>
        </w:rPr>
        <w:t>2</w:t>
      </w:r>
      <w:r w:rsidRPr="00047A9D">
        <w:rPr>
          <w:rFonts w:ascii="Times New Roman" w:hAnsi="Times New Roman" w:cs="Times New Roman"/>
          <w:sz w:val="22"/>
          <w:szCs w:val="22"/>
        </w:rPr>
        <w:t xml:space="preserve">; Mark Halstead, </w:t>
      </w:r>
      <w:r w:rsidRPr="00047A9D">
        <w:rPr>
          <w:rFonts w:ascii="Times New Roman" w:hAnsi="Times New Roman" w:cs="Times New Roman"/>
          <w:i/>
          <w:sz w:val="22"/>
          <w:szCs w:val="22"/>
        </w:rPr>
        <w:t>Education, Justice and Cultural Diversity: An Examination of the Honeyford Affair, 1984-85</w:t>
      </w:r>
      <w:r w:rsidRPr="00047A9D">
        <w:rPr>
          <w:rFonts w:ascii="Times New Roman" w:hAnsi="Times New Roman" w:cs="Times New Roman"/>
          <w:sz w:val="22"/>
          <w:szCs w:val="22"/>
        </w:rPr>
        <w:t>, (London: Falmer Press, 1988), p.237.</w:t>
      </w:r>
    </w:p>
  </w:footnote>
  <w:footnote w:id="721">
    <w:p w14:paraId="6208A865" w14:textId="449F852F" w:rsidR="00221F7A" w:rsidRPr="00047A9D" w:rsidRDefault="00221F7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Ray Honeyford, ‘Anti-Racist Rhetoric’, </w:t>
      </w:r>
      <w:r w:rsidR="005C2455" w:rsidRPr="00047A9D">
        <w:rPr>
          <w:rFonts w:ascii="Times New Roman" w:hAnsi="Times New Roman" w:cs="Times New Roman"/>
          <w:sz w:val="22"/>
          <w:szCs w:val="22"/>
        </w:rPr>
        <w:t xml:space="preserve">in </w:t>
      </w:r>
      <w:r w:rsidRPr="00047A9D">
        <w:rPr>
          <w:rFonts w:ascii="Times New Roman" w:hAnsi="Times New Roman" w:cs="Times New Roman"/>
          <w:sz w:val="22"/>
          <w:szCs w:val="22"/>
        </w:rPr>
        <w:t xml:space="preserve">Palmer (ed.), </w:t>
      </w:r>
      <w:r w:rsidRPr="00047A9D">
        <w:rPr>
          <w:rFonts w:ascii="Times New Roman" w:hAnsi="Times New Roman" w:cs="Times New Roman"/>
          <w:i/>
          <w:sz w:val="22"/>
          <w:szCs w:val="22"/>
        </w:rPr>
        <w:t>Anti-</w:t>
      </w:r>
      <w:r w:rsidR="00CA3695" w:rsidRPr="00047A9D">
        <w:rPr>
          <w:rFonts w:ascii="Times New Roman" w:hAnsi="Times New Roman" w:cs="Times New Roman"/>
          <w:i/>
          <w:sz w:val="22"/>
          <w:szCs w:val="22"/>
        </w:rPr>
        <w:t>r</w:t>
      </w:r>
      <w:r w:rsidRPr="00047A9D">
        <w:rPr>
          <w:rFonts w:ascii="Times New Roman" w:hAnsi="Times New Roman" w:cs="Times New Roman"/>
          <w:i/>
          <w:sz w:val="22"/>
          <w:szCs w:val="22"/>
        </w:rPr>
        <w:t>acism</w:t>
      </w:r>
      <w:r w:rsidRPr="00047A9D">
        <w:rPr>
          <w:rFonts w:ascii="Times New Roman" w:hAnsi="Times New Roman" w:cs="Times New Roman"/>
          <w:sz w:val="22"/>
          <w:szCs w:val="22"/>
        </w:rPr>
        <w:t>, 43-56, pp.54-55.</w:t>
      </w:r>
    </w:p>
  </w:footnote>
  <w:footnote w:id="722">
    <w:p w14:paraId="304123A7" w14:textId="5367ED25" w:rsidR="00F617EB" w:rsidRPr="00047A9D" w:rsidRDefault="00F617E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Halstead, </w:t>
      </w:r>
      <w:r w:rsidRPr="00047A9D">
        <w:rPr>
          <w:rFonts w:ascii="Times New Roman" w:hAnsi="Times New Roman" w:cs="Times New Roman"/>
          <w:i/>
          <w:sz w:val="22"/>
          <w:szCs w:val="22"/>
        </w:rPr>
        <w:t xml:space="preserve">Education, Justice and Cultural Diversity, </w:t>
      </w:r>
      <w:r w:rsidRPr="00047A9D">
        <w:rPr>
          <w:rFonts w:ascii="Times New Roman" w:hAnsi="Times New Roman" w:cs="Times New Roman"/>
          <w:sz w:val="22"/>
          <w:szCs w:val="22"/>
        </w:rPr>
        <w:t xml:space="preserve">pp.76, 167, 276; Chris Searle, ‘Your Daily Dose: Racism and the Sun’, in </w:t>
      </w:r>
      <w:r w:rsidRPr="00047A9D">
        <w:rPr>
          <w:rFonts w:ascii="Times New Roman" w:hAnsi="Times New Roman" w:cs="Times New Roman"/>
          <w:i/>
          <w:sz w:val="22"/>
          <w:szCs w:val="22"/>
        </w:rPr>
        <w:t>Racism and the Press</w:t>
      </w:r>
      <w:r w:rsidRPr="00047A9D">
        <w:rPr>
          <w:rFonts w:ascii="Times New Roman" w:hAnsi="Times New Roman" w:cs="Times New Roman"/>
          <w:sz w:val="22"/>
          <w:szCs w:val="22"/>
        </w:rPr>
        <w:t>, 21-37, p.31.</w:t>
      </w:r>
    </w:p>
  </w:footnote>
  <w:footnote w:id="723">
    <w:p w14:paraId="47E91F2A" w14:textId="416733C7" w:rsidR="004120ED" w:rsidRPr="00047A9D" w:rsidRDefault="004120E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E5149" w:rsidRPr="00047A9D">
        <w:rPr>
          <w:rFonts w:ascii="Times New Roman" w:hAnsi="Times New Roman" w:cs="Times New Roman"/>
          <w:sz w:val="22"/>
          <w:szCs w:val="22"/>
        </w:rPr>
        <w:t xml:space="preserve">‘Education: Avoidance of Politicisation’, HL Deb (5 February 1986). Vol. 470, col. 1138-51. </w:t>
      </w:r>
    </w:p>
  </w:footnote>
  <w:footnote w:id="724">
    <w:p w14:paraId="42165108" w14:textId="2ABF464A" w:rsidR="004120ED" w:rsidRPr="00047A9D" w:rsidRDefault="004120E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01020" w:rsidRPr="00047A9D">
        <w:rPr>
          <w:rFonts w:ascii="Times New Roman" w:hAnsi="Times New Roman" w:cs="Times New Roman"/>
          <w:sz w:val="22"/>
          <w:szCs w:val="22"/>
        </w:rPr>
        <w:t xml:space="preserve">Antony Flew, </w:t>
      </w:r>
      <w:r w:rsidR="00A01020" w:rsidRPr="00047A9D">
        <w:rPr>
          <w:rFonts w:ascii="Times New Roman" w:hAnsi="Times New Roman" w:cs="Times New Roman"/>
          <w:i/>
          <w:sz w:val="22"/>
          <w:szCs w:val="22"/>
        </w:rPr>
        <w:t>Education, Race and Revolution</w:t>
      </w:r>
      <w:r w:rsidR="00A01020" w:rsidRPr="00047A9D">
        <w:rPr>
          <w:rFonts w:ascii="Times New Roman" w:hAnsi="Times New Roman" w:cs="Times New Roman"/>
          <w:sz w:val="22"/>
          <w:szCs w:val="22"/>
        </w:rPr>
        <w:t xml:space="preserve"> (London: Centre for Policy Studies, 1984), pp.12-13. For a related analysis see also David Oldman, ‘Plain Speaking and Pseudo-science: The “New Right” Attack on Antiracism’ in Barry Troyna (ed.) </w:t>
      </w:r>
      <w:r w:rsidR="00A01020" w:rsidRPr="00047A9D">
        <w:rPr>
          <w:rFonts w:ascii="Times New Roman" w:hAnsi="Times New Roman" w:cs="Times New Roman"/>
          <w:i/>
          <w:sz w:val="22"/>
          <w:szCs w:val="22"/>
        </w:rPr>
        <w:t xml:space="preserve">Racial Inequality in Education </w:t>
      </w:r>
      <w:r w:rsidR="00A01020" w:rsidRPr="00047A9D">
        <w:rPr>
          <w:rFonts w:ascii="Times New Roman" w:hAnsi="Times New Roman" w:cs="Times New Roman"/>
          <w:sz w:val="22"/>
          <w:szCs w:val="22"/>
        </w:rPr>
        <w:t>(London: Tavistock, 1987), 29-43, p.33.</w:t>
      </w:r>
    </w:p>
  </w:footnote>
  <w:footnote w:id="725">
    <w:p w14:paraId="7833A8E7" w14:textId="2167AA43" w:rsidR="0096767E" w:rsidRPr="00047A9D" w:rsidRDefault="0096767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50BE7" w:rsidRPr="00047A9D">
        <w:rPr>
          <w:rFonts w:ascii="Times New Roman" w:hAnsi="Times New Roman" w:cs="Times New Roman"/>
          <w:sz w:val="22"/>
          <w:szCs w:val="22"/>
        </w:rPr>
        <w:t xml:space="preserve">Oldman, ‘Plain Speaking’, in Troyna (ed.) </w:t>
      </w:r>
      <w:r w:rsidR="00F50BE7" w:rsidRPr="00047A9D">
        <w:rPr>
          <w:rFonts w:ascii="Times New Roman" w:hAnsi="Times New Roman" w:cs="Times New Roman"/>
          <w:i/>
          <w:sz w:val="22"/>
          <w:szCs w:val="22"/>
        </w:rPr>
        <w:t>Racial Inequality</w:t>
      </w:r>
      <w:r w:rsidR="00F50BE7" w:rsidRPr="00047A9D">
        <w:rPr>
          <w:rFonts w:ascii="Times New Roman" w:hAnsi="Times New Roman" w:cs="Times New Roman"/>
          <w:sz w:val="22"/>
          <w:szCs w:val="22"/>
        </w:rPr>
        <w:t>, p.30.</w:t>
      </w:r>
    </w:p>
  </w:footnote>
  <w:footnote w:id="726">
    <w:p w14:paraId="7F702F7E" w14:textId="697B3F63" w:rsidR="00F50BE7" w:rsidRPr="00047A9D" w:rsidRDefault="00F50BE7"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Halstead, </w:t>
      </w:r>
      <w:r w:rsidRPr="00047A9D">
        <w:rPr>
          <w:rFonts w:ascii="Times New Roman" w:hAnsi="Times New Roman" w:cs="Times New Roman"/>
          <w:i/>
          <w:sz w:val="22"/>
          <w:szCs w:val="22"/>
        </w:rPr>
        <w:t>Education, Justice and Cultural Diversity</w:t>
      </w:r>
      <w:r w:rsidRPr="00047A9D">
        <w:rPr>
          <w:rFonts w:ascii="Times New Roman" w:hAnsi="Times New Roman" w:cs="Times New Roman"/>
          <w:sz w:val="22"/>
          <w:szCs w:val="22"/>
        </w:rPr>
        <w:t xml:space="preserve">, p.69; </w:t>
      </w:r>
      <w:r w:rsidR="00635FAD" w:rsidRPr="00047A9D">
        <w:rPr>
          <w:rFonts w:ascii="Times New Roman" w:hAnsi="Times New Roman" w:cs="Times New Roman"/>
          <w:sz w:val="22"/>
          <w:szCs w:val="22"/>
        </w:rPr>
        <w:t xml:space="preserve">Hall, ‘Supply of Demand’, in Davison, </w:t>
      </w:r>
      <w:r w:rsidR="001222AB" w:rsidRPr="00047A9D">
        <w:rPr>
          <w:rFonts w:ascii="Times New Roman" w:hAnsi="Times New Roman" w:cs="Times New Roman"/>
          <w:i/>
          <w:sz w:val="22"/>
          <w:szCs w:val="22"/>
        </w:rPr>
        <w:t>et al.</w:t>
      </w:r>
      <w:r w:rsidR="00635FAD" w:rsidRPr="00047A9D">
        <w:rPr>
          <w:rFonts w:ascii="Times New Roman" w:hAnsi="Times New Roman" w:cs="Times New Roman"/>
          <w:sz w:val="22"/>
          <w:szCs w:val="22"/>
        </w:rPr>
        <w:t xml:space="preserve"> (eds),</w:t>
      </w:r>
      <w:r w:rsidR="00635FAD" w:rsidRPr="00047A9D">
        <w:rPr>
          <w:rFonts w:ascii="Times New Roman" w:hAnsi="Times New Roman" w:cs="Times New Roman"/>
          <w:i/>
          <w:sz w:val="22"/>
          <w:szCs w:val="22"/>
        </w:rPr>
        <w:t> Selected Political Writings,</w:t>
      </w:r>
      <w:r w:rsidR="00635FAD" w:rsidRPr="00047A9D">
        <w:rPr>
          <w:rFonts w:ascii="Times New Roman" w:hAnsi="Times New Roman" w:cs="Times New Roman"/>
          <w:sz w:val="22"/>
          <w:szCs w:val="22"/>
        </w:rPr>
        <w:t xml:space="preserve"> p.51.</w:t>
      </w:r>
    </w:p>
  </w:footnote>
  <w:footnote w:id="727">
    <w:p w14:paraId="2EB5AE91" w14:textId="401D071C" w:rsidR="007E0F72" w:rsidRPr="00047A9D" w:rsidRDefault="007E0F7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Faiza Shaheen, ‘“White Working Class”: The Label that Seeks to Divide and Rule’, </w:t>
      </w:r>
      <w:r w:rsidRPr="00047A9D">
        <w:rPr>
          <w:rFonts w:ascii="Times New Roman" w:hAnsi="Times New Roman" w:cs="Times New Roman"/>
          <w:i/>
          <w:sz w:val="22"/>
          <w:szCs w:val="22"/>
        </w:rPr>
        <w:t xml:space="preserve">Guardian, </w:t>
      </w:r>
      <w:r w:rsidRPr="00047A9D">
        <w:rPr>
          <w:rFonts w:ascii="Times New Roman" w:hAnsi="Times New Roman" w:cs="Times New Roman"/>
          <w:sz w:val="22"/>
          <w:szCs w:val="22"/>
        </w:rPr>
        <w:t>22 March 2017 &lt;</w:t>
      </w:r>
      <w:r w:rsidR="00116C1D" w:rsidRPr="00047A9D">
        <w:rPr>
          <w:rFonts w:ascii="Times New Roman" w:hAnsi="Times New Roman" w:cs="Times New Roman"/>
          <w:sz w:val="22"/>
          <w:szCs w:val="22"/>
        </w:rPr>
        <w:t>https://www.theguardian.com/commentisfree/2017/mar/22/white-working-class-label-minority-ethnic-inequality&gt; [accessed 19 September 2024].</w:t>
      </w:r>
    </w:p>
  </w:footnote>
  <w:footnote w:id="728">
    <w:p w14:paraId="4F347E53" w14:textId="6067F517" w:rsidR="00116C1D" w:rsidRPr="00047A9D" w:rsidRDefault="00116C1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Quoted in Murray, ‘Anti-racists and Other Demons’,</w:t>
      </w:r>
      <w:r w:rsidR="005C2455" w:rsidRPr="00047A9D">
        <w:rPr>
          <w:rFonts w:ascii="Times New Roman" w:hAnsi="Times New Roman" w:cs="Times New Roman"/>
          <w:sz w:val="22"/>
          <w:szCs w:val="22"/>
        </w:rPr>
        <w:t xml:space="preserve"> in </w:t>
      </w:r>
      <w:r w:rsidR="005C2455" w:rsidRPr="00047A9D">
        <w:rPr>
          <w:rFonts w:ascii="Times New Roman" w:hAnsi="Times New Roman" w:cs="Times New Roman"/>
          <w:i/>
          <w:sz w:val="22"/>
          <w:szCs w:val="22"/>
        </w:rPr>
        <w:t>Racism and the Press</w:t>
      </w:r>
      <w:r w:rsidR="005C2455" w:rsidRPr="00047A9D">
        <w:rPr>
          <w:rFonts w:ascii="Times New Roman" w:hAnsi="Times New Roman" w:cs="Times New Roman"/>
          <w:sz w:val="22"/>
          <w:szCs w:val="22"/>
        </w:rPr>
        <w:t>,</w:t>
      </w:r>
      <w:r w:rsidRPr="00047A9D">
        <w:rPr>
          <w:rFonts w:ascii="Times New Roman" w:hAnsi="Times New Roman" w:cs="Times New Roman"/>
          <w:sz w:val="22"/>
          <w:szCs w:val="22"/>
        </w:rPr>
        <w:t xml:space="preserve"> p.9.</w:t>
      </w:r>
    </w:p>
  </w:footnote>
  <w:footnote w:id="729">
    <w:p w14:paraId="62F51A0A" w14:textId="5AA947FD" w:rsidR="00A64725" w:rsidRPr="00047A9D" w:rsidRDefault="00A6472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Fred Naylor, </w:t>
      </w:r>
      <w:r w:rsidRPr="00047A9D">
        <w:rPr>
          <w:rFonts w:ascii="Times New Roman" w:hAnsi="Times New Roman" w:cs="Times New Roman"/>
          <w:i/>
          <w:sz w:val="22"/>
          <w:szCs w:val="22"/>
        </w:rPr>
        <w:t>Dewsbury: The School Above the Pub, A Case-Study in Multicultural Education</w:t>
      </w:r>
      <w:r w:rsidRPr="00047A9D">
        <w:rPr>
          <w:rFonts w:ascii="Times New Roman" w:hAnsi="Times New Roman" w:cs="Times New Roman"/>
          <w:sz w:val="22"/>
          <w:szCs w:val="22"/>
        </w:rPr>
        <w:t xml:space="preserve"> (London: Claridge, 1989), pp.25-26.</w:t>
      </w:r>
    </w:p>
  </w:footnote>
  <w:footnote w:id="730">
    <w:p w14:paraId="68D6DBAC" w14:textId="77777777" w:rsidR="00E53219" w:rsidRPr="00047A9D" w:rsidRDefault="00E5321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Lynda Lee-Potter, ‘The Hounding of Ray Honeyford’, </w:t>
      </w:r>
      <w:r w:rsidRPr="00047A9D">
        <w:rPr>
          <w:rFonts w:ascii="Times New Roman" w:hAnsi="Times New Roman" w:cs="Times New Roman"/>
          <w:i/>
          <w:sz w:val="22"/>
          <w:szCs w:val="22"/>
        </w:rPr>
        <w:t xml:space="preserve">Daily Mail, </w:t>
      </w:r>
      <w:r w:rsidRPr="00047A9D">
        <w:rPr>
          <w:rFonts w:ascii="Times New Roman" w:hAnsi="Times New Roman" w:cs="Times New Roman"/>
          <w:sz w:val="22"/>
          <w:szCs w:val="22"/>
        </w:rPr>
        <w:t>16 December 1985, 6-7, the first in a series describing Honeyford’s travails. Honeyford was depicted as a man who ‘fought his way from poverty, cared passionately for his pupils, and had his career destroyed because he dared to speak out about race problems in the classroom’.</w:t>
      </w:r>
    </w:p>
  </w:footnote>
  <w:footnote w:id="731">
    <w:p w14:paraId="3EAD8D14" w14:textId="48449193" w:rsidR="00EC1483" w:rsidRPr="00047A9D" w:rsidRDefault="00EC148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Tom Hastie, ‘History, Race and Propaganda’</w:t>
      </w:r>
      <w:r w:rsidR="005C2455" w:rsidRPr="00047A9D">
        <w:rPr>
          <w:rFonts w:ascii="Times New Roman" w:hAnsi="Times New Roman" w:cs="Times New Roman"/>
          <w:sz w:val="22"/>
          <w:szCs w:val="22"/>
        </w:rPr>
        <w:t xml:space="preserve">, in Palmer (ed.), </w:t>
      </w:r>
      <w:r w:rsidR="005C2455" w:rsidRPr="00047A9D">
        <w:rPr>
          <w:rFonts w:ascii="Times New Roman" w:hAnsi="Times New Roman" w:cs="Times New Roman"/>
          <w:i/>
          <w:sz w:val="22"/>
          <w:szCs w:val="22"/>
        </w:rPr>
        <w:t>Anti-</w:t>
      </w:r>
      <w:r w:rsidR="00CA3695" w:rsidRPr="00047A9D">
        <w:rPr>
          <w:rFonts w:ascii="Times New Roman" w:hAnsi="Times New Roman" w:cs="Times New Roman"/>
          <w:i/>
          <w:sz w:val="22"/>
          <w:szCs w:val="22"/>
        </w:rPr>
        <w:t>r</w:t>
      </w:r>
      <w:r w:rsidR="005C2455" w:rsidRPr="00047A9D">
        <w:rPr>
          <w:rFonts w:ascii="Times New Roman" w:hAnsi="Times New Roman" w:cs="Times New Roman"/>
          <w:i/>
          <w:sz w:val="22"/>
          <w:szCs w:val="22"/>
        </w:rPr>
        <w:t>acism</w:t>
      </w:r>
      <w:r w:rsidR="005C2455" w:rsidRPr="00047A9D">
        <w:rPr>
          <w:rFonts w:ascii="Times New Roman" w:hAnsi="Times New Roman" w:cs="Times New Roman"/>
          <w:sz w:val="22"/>
          <w:szCs w:val="22"/>
        </w:rPr>
        <w:t>, 59-73, pp.59, 67-6</w:t>
      </w:r>
      <w:r w:rsidR="00B87C4A" w:rsidRPr="00047A9D">
        <w:rPr>
          <w:rFonts w:ascii="Times New Roman" w:hAnsi="Times New Roman" w:cs="Times New Roman"/>
          <w:sz w:val="22"/>
          <w:szCs w:val="22"/>
        </w:rPr>
        <w:t>9</w:t>
      </w:r>
      <w:r w:rsidR="005C2455" w:rsidRPr="00047A9D">
        <w:rPr>
          <w:rFonts w:ascii="Times New Roman" w:hAnsi="Times New Roman" w:cs="Times New Roman"/>
          <w:sz w:val="22"/>
          <w:szCs w:val="22"/>
        </w:rPr>
        <w:t>.</w:t>
      </w:r>
    </w:p>
  </w:footnote>
  <w:footnote w:id="732">
    <w:p w14:paraId="5D871B2E" w14:textId="4C3F79E3" w:rsidR="00334F69" w:rsidRPr="00047A9D" w:rsidRDefault="00334F6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Bob Carter and Ian Grosvenor, </w:t>
      </w:r>
      <w:r w:rsidRPr="00047A9D">
        <w:rPr>
          <w:rFonts w:ascii="Times New Roman" w:hAnsi="Times New Roman" w:cs="Times New Roman"/>
          <w:i/>
          <w:sz w:val="22"/>
          <w:szCs w:val="22"/>
        </w:rPr>
        <w:t xml:space="preserve">The Apostles of Purity: Black Immigration and Education Policy in Post-War Britain </w:t>
      </w:r>
      <w:r w:rsidRPr="00047A9D">
        <w:rPr>
          <w:rFonts w:ascii="Times New Roman" w:hAnsi="Times New Roman" w:cs="Times New Roman"/>
          <w:sz w:val="22"/>
          <w:szCs w:val="22"/>
        </w:rPr>
        <w:t>(Birmingham, AFFOR, 1992), p.27.</w:t>
      </w:r>
    </w:p>
  </w:footnote>
  <w:footnote w:id="733">
    <w:p w14:paraId="0B345C2B" w14:textId="77777777" w:rsidR="00DC1555" w:rsidRPr="00047A9D" w:rsidRDefault="00DC155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Hastie, ‘History, Race and Propaganda’, in Palmer (ed.), </w:t>
      </w:r>
      <w:r w:rsidRPr="00047A9D">
        <w:rPr>
          <w:rFonts w:ascii="Times New Roman" w:hAnsi="Times New Roman" w:cs="Times New Roman"/>
          <w:i/>
          <w:sz w:val="22"/>
          <w:szCs w:val="22"/>
        </w:rPr>
        <w:t>Anti-racism</w:t>
      </w:r>
      <w:r w:rsidRPr="00047A9D">
        <w:rPr>
          <w:rFonts w:ascii="Times New Roman" w:hAnsi="Times New Roman" w:cs="Times New Roman"/>
          <w:sz w:val="22"/>
          <w:szCs w:val="22"/>
        </w:rPr>
        <w:t>, p.65.</w:t>
      </w:r>
    </w:p>
  </w:footnote>
  <w:footnote w:id="734">
    <w:p w14:paraId="06E88D68" w14:textId="77777777" w:rsidR="001063B1" w:rsidRPr="00047A9D" w:rsidRDefault="001063B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Oldman, ‘Plain Speaking’, in Troyna (ed.) </w:t>
      </w:r>
      <w:r w:rsidRPr="00047A9D">
        <w:rPr>
          <w:rFonts w:ascii="Times New Roman" w:hAnsi="Times New Roman" w:cs="Times New Roman"/>
          <w:i/>
          <w:sz w:val="22"/>
          <w:szCs w:val="22"/>
        </w:rPr>
        <w:t>Racial Inequality</w:t>
      </w:r>
      <w:r w:rsidRPr="00047A9D">
        <w:rPr>
          <w:rFonts w:ascii="Times New Roman" w:hAnsi="Times New Roman" w:cs="Times New Roman"/>
          <w:sz w:val="22"/>
          <w:szCs w:val="22"/>
        </w:rPr>
        <w:t>, p.35.</w:t>
      </w:r>
    </w:p>
  </w:footnote>
  <w:footnote w:id="735">
    <w:p w14:paraId="22859571" w14:textId="77777777" w:rsidR="001063B1" w:rsidRPr="00047A9D" w:rsidRDefault="001063B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Honeyford, ‘Anti-Racist Rhetoric’, in Palmer (ed.), </w:t>
      </w:r>
      <w:r w:rsidRPr="00047A9D">
        <w:rPr>
          <w:rFonts w:ascii="Times New Roman" w:hAnsi="Times New Roman" w:cs="Times New Roman"/>
          <w:i/>
          <w:sz w:val="22"/>
          <w:szCs w:val="22"/>
        </w:rPr>
        <w:t>Anti-racism</w:t>
      </w:r>
      <w:r w:rsidRPr="00047A9D">
        <w:rPr>
          <w:rFonts w:ascii="Times New Roman" w:hAnsi="Times New Roman" w:cs="Times New Roman"/>
          <w:sz w:val="22"/>
          <w:szCs w:val="22"/>
        </w:rPr>
        <w:t>, p.52.</w:t>
      </w:r>
    </w:p>
  </w:footnote>
  <w:footnote w:id="736">
    <w:p w14:paraId="05E7DE27" w14:textId="2F592094" w:rsidR="00F87B5B" w:rsidRPr="00047A9D" w:rsidRDefault="00F87B5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Hastie, ‘History, Race and Propaganda’, in Palmer (ed.), </w:t>
      </w:r>
      <w:r w:rsidRPr="00047A9D">
        <w:rPr>
          <w:rFonts w:ascii="Times New Roman" w:hAnsi="Times New Roman" w:cs="Times New Roman"/>
          <w:i/>
          <w:sz w:val="22"/>
          <w:szCs w:val="22"/>
        </w:rPr>
        <w:t>Anti-</w:t>
      </w:r>
      <w:r w:rsidR="00CA3695" w:rsidRPr="00047A9D">
        <w:rPr>
          <w:rFonts w:ascii="Times New Roman" w:hAnsi="Times New Roman" w:cs="Times New Roman"/>
          <w:i/>
          <w:sz w:val="22"/>
          <w:szCs w:val="22"/>
        </w:rPr>
        <w:t>r</w:t>
      </w:r>
      <w:r w:rsidRPr="00047A9D">
        <w:rPr>
          <w:rFonts w:ascii="Times New Roman" w:hAnsi="Times New Roman" w:cs="Times New Roman"/>
          <w:i/>
          <w:sz w:val="22"/>
          <w:szCs w:val="22"/>
        </w:rPr>
        <w:t>acism</w:t>
      </w:r>
      <w:r w:rsidRPr="00047A9D">
        <w:rPr>
          <w:rFonts w:ascii="Times New Roman" w:hAnsi="Times New Roman" w:cs="Times New Roman"/>
          <w:sz w:val="22"/>
          <w:szCs w:val="22"/>
        </w:rPr>
        <w:t>, p.62.</w:t>
      </w:r>
    </w:p>
  </w:footnote>
  <w:footnote w:id="737">
    <w:p w14:paraId="24217AF5" w14:textId="7329EDC2" w:rsidR="00EF7554" w:rsidRPr="00047A9D" w:rsidRDefault="00EF755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A0156" w:rsidRPr="00047A9D">
        <w:rPr>
          <w:rFonts w:ascii="Times New Roman" w:hAnsi="Times New Roman" w:cs="Times New Roman"/>
          <w:sz w:val="22"/>
          <w:szCs w:val="22"/>
        </w:rPr>
        <w:t xml:space="preserve">Hastie, ‘History, Race and Propaganda’, in Palmer (ed.), </w:t>
      </w:r>
      <w:r w:rsidR="008A0156" w:rsidRPr="00047A9D">
        <w:rPr>
          <w:rFonts w:ascii="Times New Roman" w:hAnsi="Times New Roman" w:cs="Times New Roman"/>
          <w:i/>
          <w:sz w:val="22"/>
          <w:szCs w:val="22"/>
        </w:rPr>
        <w:t>Anti-</w:t>
      </w:r>
      <w:r w:rsidR="00CA3695" w:rsidRPr="00047A9D">
        <w:rPr>
          <w:rFonts w:ascii="Times New Roman" w:hAnsi="Times New Roman" w:cs="Times New Roman"/>
          <w:i/>
          <w:sz w:val="22"/>
          <w:szCs w:val="22"/>
        </w:rPr>
        <w:t>r</w:t>
      </w:r>
      <w:r w:rsidR="008A0156" w:rsidRPr="00047A9D">
        <w:rPr>
          <w:rFonts w:ascii="Times New Roman" w:hAnsi="Times New Roman" w:cs="Times New Roman"/>
          <w:i/>
          <w:sz w:val="22"/>
          <w:szCs w:val="22"/>
        </w:rPr>
        <w:t>acism</w:t>
      </w:r>
      <w:r w:rsidR="008A0156" w:rsidRPr="00047A9D">
        <w:rPr>
          <w:rFonts w:ascii="Times New Roman" w:hAnsi="Times New Roman" w:cs="Times New Roman"/>
          <w:sz w:val="22"/>
          <w:szCs w:val="22"/>
        </w:rPr>
        <w:t xml:space="preserve">, </w:t>
      </w:r>
      <w:r w:rsidR="00D20B90" w:rsidRPr="00047A9D">
        <w:rPr>
          <w:rFonts w:ascii="Times New Roman" w:hAnsi="Times New Roman" w:cs="Times New Roman"/>
          <w:sz w:val="22"/>
          <w:szCs w:val="22"/>
        </w:rPr>
        <w:t>pp</w:t>
      </w:r>
      <w:r w:rsidR="001F67E6" w:rsidRPr="00047A9D">
        <w:rPr>
          <w:rFonts w:ascii="Times New Roman" w:hAnsi="Times New Roman" w:cs="Times New Roman"/>
          <w:sz w:val="22"/>
          <w:szCs w:val="22"/>
        </w:rPr>
        <w:t>.</w:t>
      </w:r>
      <w:r w:rsidR="00D20B90" w:rsidRPr="00047A9D">
        <w:rPr>
          <w:rFonts w:ascii="Times New Roman" w:hAnsi="Times New Roman" w:cs="Times New Roman"/>
          <w:sz w:val="22"/>
          <w:szCs w:val="22"/>
        </w:rPr>
        <w:t>72-</w:t>
      </w:r>
      <w:r w:rsidR="001F67E6" w:rsidRPr="00047A9D">
        <w:rPr>
          <w:rFonts w:ascii="Times New Roman" w:hAnsi="Times New Roman" w:cs="Times New Roman"/>
          <w:sz w:val="22"/>
          <w:szCs w:val="22"/>
        </w:rPr>
        <w:t>73</w:t>
      </w:r>
      <w:r w:rsidR="002A56CB">
        <w:rPr>
          <w:rFonts w:ascii="Times New Roman" w:hAnsi="Times New Roman" w:cs="Times New Roman"/>
          <w:sz w:val="22"/>
          <w:szCs w:val="22"/>
        </w:rPr>
        <w:t>.</w:t>
      </w:r>
    </w:p>
  </w:footnote>
  <w:footnote w:id="738">
    <w:p w14:paraId="1E356483" w14:textId="116C7A73" w:rsidR="008A0156" w:rsidRPr="00047A9D" w:rsidRDefault="008A015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F4DC4" w:rsidRPr="00047A9D">
        <w:rPr>
          <w:rFonts w:ascii="Times New Roman" w:hAnsi="Times New Roman" w:cs="Times New Roman"/>
          <w:sz w:val="22"/>
          <w:szCs w:val="22"/>
        </w:rPr>
        <w:t xml:space="preserve">Quoted in </w:t>
      </w:r>
      <w:r w:rsidR="00AC3603" w:rsidRPr="00047A9D">
        <w:rPr>
          <w:rFonts w:ascii="Times New Roman" w:hAnsi="Times New Roman" w:cs="Times New Roman"/>
          <w:sz w:val="22"/>
          <w:szCs w:val="22"/>
        </w:rPr>
        <w:t xml:space="preserve">Murray, ‘Anti-racists and Other Demons’, in </w:t>
      </w:r>
      <w:r w:rsidR="00AC3603" w:rsidRPr="00047A9D">
        <w:rPr>
          <w:rFonts w:ascii="Times New Roman" w:hAnsi="Times New Roman" w:cs="Times New Roman"/>
          <w:i/>
          <w:sz w:val="22"/>
          <w:szCs w:val="22"/>
        </w:rPr>
        <w:t>Racism and the Press</w:t>
      </w:r>
      <w:r w:rsidR="00AF4DC4" w:rsidRPr="00047A9D">
        <w:rPr>
          <w:rFonts w:ascii="Times New Roman" w:hAnsi="Times New Roman" w:cs="Times New Roman"/>
          <w:sz w:val="22"/>
          <w:szCs w:val="22"/>
        </w:rPr>
        <w:t xml:space="preserve">, </w:t>
      </w:r>
      <w:r w:rsidR="00AC3603" w:rsidRPr="00047A9D">
        <w:rPr>
          <w:rFonts w:ascii="Times New Roman" w:hAnsi="Times New Roman" w:cs="Times New Roman"/>
          <w:sz w:val="22"/>
          <w:szCs w:val="22"/>
        </w:rPr>
        <w:t>p</w:t>
      </w:r>
      <w:r w:rsidR="00AF4DC4" w:rsidRPr="00047A9D">
        <w:rPr>
          <w:rFonts w:ascii="Times New Roman" w:hAnsi="Times New Roman" w:cs="Times New Roman"/>
          <w:sz w:val="22"/>
          <w:szCs w:val="22"/>
        </w:rPr>
        <w:t>.11</w:t>
      </w:r>
      <w:r w:rsidR="00AC3603" w:rsidRPr="00047A9D">
        <w:rPr>
          <w:rFonts w:ascii="Times New Roman" w:hAnsi="Times New Roman" w:cs="Times New Roman"/>
          <w:sz w:val="22"/>
          <w:szCs w:val="22"/>
        </w:rPr>
        <w:t>.</w:t>
      </w:r>
    </w:p>
  </w:footnote>
  <w:footnote w:id="739">
    <w:p w14:paraId="593D1CC3" w14:textId="05353766" w:rsidR="00C70E7C" w:rsidRPr="00047A9D" w:rsidRDefault="00C70E7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47333" w:rsidRPr="00047A9D">
        <w:rPr>
          <w:rFonts w:ascii="Times New Roman" w:hAnsi="Times New Roman" w:cs="Times New Roman"/>
          <w:sz w:val="22"/>
          <w:szCs w:val="22"/>
        </w:rPr>
        <w:t xml:space="preserve">Ray Honeyford, </w:t>
      </w:r>
      <w:r w:rsidR="00847333" w:rsidRPr="00047A9D">
        <w:rPr>
          <w:rFonts w:ascii="Times New Roman" w:hAnsi="Times New Roman" w:cs="Times New Roman"/>
          <w:i/>
          <w:sz w:val="22"/>
          <w:szCs w:val="22"/>
        </w:rPr>
        <w:t>Multi-Ethnic Education: The Burnage High School Lesson</w:t>
      </w:r>
      <w:r w:rsidR="00847333" w:rsidRPr="00047A9D">
        <w:rPr>
          <w:rFonts w:ascii="Times New Roman" w:hAnsi="Times New Roman" w:cs="Times New Roman"/>
          <w:sz w:val="22"/>
          <w:szCs w:val="22"/>
        </w:rPr>
        <w:t xml:space="preserve"> (York: Campaign for Real Education, undated), </w:t>
      </w:r>
      <w:r w:rsidR="00980984" w:rsidRPr="00047A9D">
        <w:rPr>
          <w:rFonts w:ascii="Times New Roman" w:hAnsi="Times New Roman" w:cs="Times New Roman"/>
          <w:sz w:val="22"/>
          <w:szCs w:val="22"/>
        </w:rPr>
        <w:t>pp.12-13.</w:t>
      </w:r>
    </w:p>
  </w:footnote>
  <w:footnote w:id="740">
    <w:p w14:paraId="76C1DB19" w14:textId="51B17ECF" w:rsidR="007C198E" w:rsidRPr="00047A9D" w:rsidRDefault="007C198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A09D5" w:rsidRPr="00047A9D">
        <w:rPr>
          <w:rFonts w:ascii="Times New Roman" w:hAnsi="Times New Roman" w:cs="Times New Roman"/>
          <w:sz w:val="22"/>
          <w:szCs w:val="22"/>
        </w:rPr>
        <w:t>Julia Bush, ‘Moving On - and Looking Back’, </w:t>
      </w:r>
      <w:r w:rsidR="006A09D5" w:rsidRPr="00047A9D">
        <w:rPr>
          <w:rFonts w:ascii="Times New Roman" w:hAnsi="Times New Roman" w:cs="Times New Roman"/>
          <w:i/>
          <w:sz w:val="22"/>
          <w:szCs w:val="22"/>
        </w:rPr>
        <w:t>History Workshop</w:t>
      </w:r>
      <w:r w:rsidR="00113EBE" w:rsidRPr="00047A9D">
        <w:rPr>
          <w:rFonts w:ascii="Times New Roman" w:hAnsi="Times New Roman" w:cs="Times New Roman"/>
          <w:sz w:val="22"/>
          <w:szCs w:val="22"/>
        </w:rPr>
        <w:t xml:space="preserve"> </w:t>
      </w:r>
      <w:r w:rsidR="006A09D5" w:rsidRPr="00047A9D">
        <w:rPr>
          <w:rFonts w:ascii="Times New Roman" w:hAnsi="Times New Roman" w:cs="Times New Roman"/>
          <w:sz w:val="22"/>
          <w:szCs w:val="22"/>
        </w:rPr>
        <w:t>3</w:t>
      </w:r>
      <w:r w:rsidR="00113EBE" w:rsidRPr="00047A9D">
        <w:rPr>
          <w:rFonts w:ascii="Times New Roman" w:hAnsi="Times New Roman" w:cs="Times New Roman"/>
          <w:sz w:val="22"/>
          <w:szCs w:val="22"/>
        </w:rPr>
        <w:t>6</w:t>
      </w:r>
      <w:r w:rsidR="008E607C" w:rsidRPr="00047A9D">
        <w:rPr>
          <w:rFonts w:ascii="Times New Roman" w:hAnsi="Times New Roman" w:cs="Times New Roman"/>
          <w:sz w:val="22"/>
          <w:szCs w:val="22"/>
        </w:rPr>
        <w:t xml:space="preserve"> (1993)</w:t>
      </w:r>
      <w:r w:rsidR="006A09D5" w:rsidRPr="00047A9D">
        <w:rPr>
          <w:rFonts w:ascii="Times New Roman" w:hAnsi="Times New Roman" w:cs="Times New Roman"/>
          <w:sz w:val="22"/>
          <w:szCs w:val="22"/>
        </w:rPr>
        <w:t xml:space="preserve"> 183</w:t>
      </w:r>
      <w:r w:rsidR="002F5A2E" w:rsidRPr="00047A9D">
        <w:rPr>
          <w:rFonts w:ascii="Times New Roman" w:hAnsi="Times New Roman" w:cs="Times New Roman"/>
          <w:sz w:val="22"/>
          <w:szCs w:val="22"/>
        </w:rPr>
        <w:t>-94, p.</w:t>
      </w:r>
      <w:r w:rsidR="009D3626" w:rsidRPr="00047A9D">
        <w:rPr>
          <w:rFonts w:ascii="Times New Roman" w:hAnsi="Times New Roman" w:cs="Times New Roman"/>
          <w:sz w:val="22"/>
          <w:szCs w:val="22"/>
        </w:rPr>
        <w:t>183.</w:t>
      </w:r>
    </w:p>
  </w:footnote>
  <w:footnote w:id="741">
    <w:p w14:paraId="209AB7F0" w14:textId="3D1E2651" w:rsidR="0066454F" w:rsidRPr="00047A9D" w:rsidRDefault="0066454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158A0" w:rsidRPr="00047A9D">
        <w:rPr>
          <w:rFonts w:ascii="Times New Roman" w:hAnsi="Times New Roman" w:cs="Times New Roman"/>
          <w:sz w:val="22"/>
          <w:szCs w:val="22"/>
        </w:rPr>
        <w:t>Andrew Reekes, ‘</w:t>
      </w:r>
      <w:r w:rsidR="001D2246" w:rsidRPr="00047A9D">
        <w:rPr>
          <w:rFonts w:ascii="Times New Roman" w:hAnsi="Times New Roman" w:cs="Times New Roman"/>
          <w:sz w:val="22"/>
          <w:szCs w:val="22"/>
        </w:rPr>
        <w:t>Oral History and the Raj’</w:t>
      </w:r>
      <w:r w:rsidR="000158A0" w:rsidRPr="00047A9D">
        <w:rPr>
          <w:rFonts w:ascii="Times New Roman" w:hAnsi="Times New Roman" w:cs="Times New Roman"/>
          <w:sz w:val="22"/>
          <w:szCs w:val="22"/>
        </w:rPr>
        <w:t>,</w:t>
      </w:r>
      <w:r w:rsidR="001D2246" w:rsidRPr="00047A9D">
        <w:rPr>
          <w:rFonts w:ascii="Times New Roman" w:hAnsi="Times New Roman" w:cs="Times New Roman"/>
          <w:sz w:val="22"/>
          <w:szCs w:val="22"/>
        </w:rPr>
        <w:t xml:space="preserve"> </w:t>
      </w:r>
      <w:r w:rsidR="001D2246" w:rsidRPr="00047A9D">
        <w:rPr>
          <w:rFonts w:ascii="Times New Roman" w:hAnsi="Times New Roman" w:cs="Times New Roman"/>
          <w:i/>
          <w:sz w:val="22"/>
          <w:szCs w:val="22"/>
        </w:rPr>
        <w:t>Teaching History</w:t>
      </w:r>
      <w:r w:rsidR="001D2246" w:rsidRPr="00047A9D">
        <w:rPr>
          <w:rFonts w:ascii="Times New Roman" w:hAnsi="Times New Roman" w:cs="Times New Roman"/>
          <w:sz w:val="22"/>
          <w:szCs w:val="22"/>
        </w:rPr>
        <w:t xml:space="preserve"> </w:t>
      </w:r>
      <w:r w:rsidR="000158A0" w:rsidRPr="00047A9D">
        <w:rPr>
          <w:rFonts w:ascii="Times New Roman" w:hAnsi="Times New Roman" w:cs="Times New Roman"/>
          <w:sz w:val="22"/>
          <w:szCs w:val="22"/>
        </w:rPr>
        <w:t>27</w:t>
      </w:r>
      <w:r w:rsidR="001D2246" w:rsidRPr="00047A9D">
        <w:rPr>
          <w:rFonts w:ascii="Times New Roman" w:hAnsi="Times New Roman" w:cs="Times New Roman"/>
          <w:sz w:val="22"/>
          <w:szCs w:val="22"/>
        </w:rPr>
        <w:t xml:space="preserve"> </w:t>
      </w:r>
      <w:r w:rsidR="000158A0" w:rsidRPr="00047A9D">
        <w:rPr>
          <w:rFonts w:ascii="Times New Roman" w:hAnsi="Times New Roman" w:cs="Times New Roman"/>
          <w:sz w:val="22"/>
          <w:szCs w:val="22"/>
        </w:rPr>
        <w:t>(</w:t>
      </w:r>
      <w:r w:rsidR="001D2246" w:rsidRPr="00047A9D">
        <w:rPr>
          <w:rFonts w:ascii="Times New Roman" w:hAnsi="Times New Roman" w:cs="Times New Roman"/>
          <w:sz w:val="22"/>
          <w:szCs w:val="22"/>
        </w:rPr>
        <w:t>June 1980</w:t>
      </w:r>
      <w:r w:rsidR="000158A0" w:rsidRPr="00047A9D">
        <w:rPr>
          <w:rFonts w:ascii="Times New Roman" w:hAnsi="Times New Roman" w:cs="Times New Roman"/>
          <w:sz w:val="22"/>
          <w:szCs w:val="22"/>
        </w:rPr>
        <w:t>)</w:t>
      </w:r>
      <w:r w:rsidR="001D2246" w:rsidRPr="00047A9D">
        <w:rPr>
          <w:rFonts w:ascii="Times New Roman" w:hAnsi="Times New Roman" w:cs="Times New Roman"/>
          <w:sz w:val="22"/>
          <w:szCs w:val="22"/>
        </w:rPr>
        <w:t>, 4-5</w:t>
      </w:r>
      <w:r w:rsidR="001A16BD" w:rsidRPr="00047A9D">
        <w:rPr>
          <w:rFonts w:ascii="Times New Roman" w:hAnsi="Times New Roman" w:cs="Times New Roman"/>
          <w:sz w:val="22"/>
          <w:szCs w:val="22"/>
        </w:rPr>
        <w:t>.</w:t>
      </w:r>
      <w:r w:rsidR="000158A0" w:rsidRPr="00047A9D">
        <w:rPr>
          <w:rFonts w:ascii="Times New Roman" w:hAnsi="Times New Roman" w:cs="Times New Roman"/>
          <w:sz w:val="22"/>
          <w:szCs w:val="22"/>
        </w:rPr>
        <w:t xml:space="preserve"> </w:t>
      </w:r>
    </w:p>
  </w:footnote>
  <w:footnote w:id="742">
    <w:p w14:paraId="4CCAE8BF" w14:textId="163FB393" w:rsidR="00245C70" w:rsidRPr="00047A9D" w:rsidRDefault="00245C7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B5384" w:rsidRPr="00047A9D">
        <w:rPr>
          <w:rFonts w:ascii="Times New Roman" w:hAnsi="Times New Roman" w:cs="Times New Roman"/>
          <w:sz w:val="22"/>
          <w:szCs w:val="22"/>
        </w:rPr>
        <w:t xml:space="preserve">Reekes, ‘Oral History and the Raj’, </w:t>
      </w:r>
      <w:r w:rsidR="008720DD">
        <w:rPr>
          <w:rFonts w:ascii="Times New Roman" w:hAnsi="Times New Roman" w:cs="Times New Roman"/>
          <w:sz w:val="22"/>
          <w:szCs w:val="22"/>
        </w:rPr>
        <w:t>p.4</w:t>
      </w:r>
      <w:r w:rsidR="00EB5384" w:rsidRPr="00047A9D">
        <w:rPr>
          <w:rFonts w:ascii="Times New Roman" w:hAnsi="Times New Roman" w:cs="Times New Roman"/>
          <w:sz w:val="22"/>
          <w:szCs w:val="22"/>
        </w:rPr>
        <w:t>.</w:t>
      </w:r>
    </w:p>
  </w:footnote>
  <w:footnote w:id="743">
    <w:p w14:paraId="2730A9B8" w14:textId="34C3DFE4" w:rsidR="00B302CA" w:rsidRPr="00047A9D" w:rsidRDefault="00B302C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Reekes, ‘Oral History and the Raj’, </w:t>
      </w:r>
      <w:r w:rsidR="008720DD">
        <w:rPr>
          <w:rFonts w:ascii="Times New Roman" w:hAnsi="Times New Roman" w:cs="Times New Roman"/>
          <w:sz w:val="22"/>
          <w:szCs w:val="22"/>
        </w:rPr>
        <w:t>p.5</w:t>
      </w:r>
      <w:r w:rsidRPr="00047A9D">
        <w:rPr>
          <w:rFonts w:ascii="Times New Roman" w:hAnsi="Times New Roman" w:cs="Times New Roman"/>
          <w:sz w:val="22"/>
          <w:szCs w:val="22"/>
        </w:rPr>
        <w:t>.</w:t>
      </w:r>
    </w:p>
  </w:footnote>
  <w:footnote w:id="744">
    <w:p w14:paraId="6BF5495D" w14:textId="4D46C337" w:rsidR="00B302CA" w:rsidRPr="00047A9D" w:rsidRDefault="00B302CA"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Buettner, </w:t>
      </w:r>
      <w:r w:rsidRPr="00047A9D">
        <w:rPr>
          <w:rFonts w:ascii="Times New Roman" w:hAnsi="Times New Roman" w:cs="Times New Roman"/>
          <w:i/>
          <w:sz w:val="22"/>
          <w:szCs w:val="22"/>
        </w:rPr>
        <w:t>Empire Families</w:t>
      </w:r>
      <w:r w:rsidRPr="00047A9D">
        <w:rPr>
          <w:rFonts w:ascii="Times New Roman" w:hAnsi="Times New Roman" w:cs="Times New Roman"/>
          <w:iCs/>
          <w:sz w:val="22"/>
          <w:szCs w:val="22"/>
        </w:rPr>
        <w:t>, p</w:t>
      </w:r>
      <w:r w:rsidR="005868F0" w:rsidRPr="00047A9D">
        <w:rPr>
          <w:rFonts w:ascii="Times New Roman" w:hAnsi="Times New Roman" w:cs="Times New Roman"/>
          <w:iCs/>
          <w:sz w:val="22"/>
          <w:szCs w:val="22"/>
        </w:rPr>
        <w:t>p.252, 263.</w:t>
      </w:r>
    </w:p>
  </w:footnote>
  <w:footnote w:id="745">
    <w:p w14:paraId="7656AC0A" w14:textId="77777777" w:rsidR="003B0DE4" w:rsidRPr="00047A9D" w:rsidRDefault="003B0DE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John McBratney, ‘The Raj Is All the Rage: Paul Scott’s </w:t>
      </w:r>
      <w:r w:rsidRPr="00047A9D">
        <w:rPr>
          <w:rFonts w:ascii="Times New Roman" w:hAnsi="Times New Roman" w:cs="Times New Roman"/>
          <w:i/>
          <w:sz w:val="22"/>
          <w:szCs w:val="22"/>
        </w:rPr>
        <w:t xml:space="preserve">The Raj Quartet </w:t>
      </w:r>
      <w:r w:rsidRPr="00047A9D">
        <w:rPr>
          <w:rFonts w:ascii="Times New Roman" w:hAnsi="Times New Roman" w:cs="Times New Roman"/>
          <w:sz w:val="22"/>
          <w:szCs w:val="22"/>
        </w:rPr>
        <w:t>and Colonial Nostalgia’</w:t>
      </w:r>
      <w:r w:rsidRPr="00047A9D">
        <w:rPr>
          <w:rFonts w:ascii="Times New Roman" w:hAnsi="Times New Roman" w:cs="Times New Roman"/>
          <w:i/>
          <w:sz w:val="22"/>
          <w:szCs w:val="22"/>
        </w:rPr>
        <w:t>, North Dakota Quarterly</w:t>
      </w:r>
      <w:r w:rsidRPr="00047A9D">
        <w:rPr>
          <w:rFonts w:ascii="Times New Roman" w:hAnsi="Times New Roman" w:cs="Times New Roman"/>
          <w:sz w:val="22"/>
          <w:szCs w:val="22"/>
        </w:rPr>
        <w:t xml:space="preserve"> 55.3 (1987), 204-09, p.204.</w:t>
      </w:r>
    </w:p>
  </w:footnote>
  <w:footnote w:id="746">
    <w:p w14:paraId="6B3B5BF8" w14:textId="0783CF82" w:rsidR="0053626F" w:rsidRPr="00047A9D" w:rsidRDefault="0053626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913EA" w:rsidRPr="00047A9D">
        <w:rPr>
          <w:rFonts w:ascii="Times New Roman" w:hAnsi="Times New Roman" w:cs="Times New Roman"/>
          <w:sz w:val="22"/>
          <w:szCs w:val="22"/>
        </w:rPr>
        <w:t>Reekes, ‘Oral History’, pp.4, 5.</w:t>
      </w:r>
    </w:p>
  </w:footnote>
  <w:footnote w:id="747">
    <w:p w14:paraId="1419203E" w14:textId="741603B7" w:rsidR="00175B69" w:rsidRPr="00047A9D" w:rsidRDefault="00175B6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D18EF" w:rsidRPr="00047A9D">
        <w:rPr>
          <w:rFonts w:ascii="Times New Roman" w:hAnsi="Times New Roman" w:cs="Times New Roman"/>
          <w:sz w:val="22"/>
          <w:szCs w:val="22"/>
        </w:rPr>
        <w:t>I have not been able to find any trace of the interviews in the modern archive</w:t>
      </w:r>
      <w:r w:rsidR="00B14248" w:rsidRPr="00047A9D">
        <w:rPr>
          <w:rFonts w:ascii="Times New Roman" w:hAnsi="Times New Roman" w:cs="Times New Roman"/>
          <w:sz w:val="22"/>
          <w:szCs w:val="22"/>
        </w:rPr>
        <w:t>, so it could be that th</w:t>
      </w:r>
      <w:r w:rsidR="00E00C3C" w:rsidRPr="00047A9D">
        <w:rPr>
          <w:rFonts w:ascii="Times New Roman" w:hAnsi="Times New Roman" w:cs="Times New Roman"/>
          <w:sz w:val="22"/>
          <w:szCs w:val="22"/>
        </w:rPr>
        <w:t>e archives or the school failed to follow through on this offer</w:t>
      </w:r>
      <w:r w:rsidR="00B14248" w:rsidRPr="00047A9D">
        <w:rPr>
          <w:rFonts w:ascii="Times New Roman" w:hAnsi="Times New Roman" w:cs="Times New Roman"/>
          <w:sz w:val="22"/>
          <w:szCs w:val="22"/>
        </w:rPr>
        <w:t>.</w:t>
      </w:r>
    </w:p>
  </w:footnote>
  <w:footnote w:id="748">
    <w:p w14:paraId="5D8CE683" w14:textId="77777777" w:rsidR="003A5EF8" w:rsidRPr="00047A9D" w:rsidRDefault="003A5EF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S.R. Ashton, ‘The India Office Library and Records’,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xml:space="preserve"> 47 (February 1987), 19-22, p.21.</w:t>
      </w:r>
    </w:p>
  </w:footnote>
  <w:footnote w:id="749">
    <w:p w14:paraId="3D134B9C" w14:textId="5F315BEF" w:rsidR="00C83331" w:rsidRPr="00047A9D" w:rsidRDefault="00C8333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Ashton, ‘India Office Library’, </w:t>
      </w:r>
      <w:r w:rsidR="00A12450" w:rsidRPr="00047A9D">
        <w:rPr>
          <w:rFonts w:ascii="Times New Roman" w:hAnsi="Times New Roman" w:cs="Times New Roman"/>
          <w:sz w:val="22"/>
          <w:szCs w:val="22"/>
        </w:rPr>
        <w:t xml:space="preserve">p.21; </w:t>
      </w:r>
      <w:r w:rsidR="00603EF5" w:rsidRPr="00047A9D">
        <w:rPr>
          <w:rFonts w:ascii="Times New Roman" w:hAnsi="Times New Roman" w:cs="Times New Roman"/>
          <w:sz w:val="22"/>
          <w:szCs w:val="22"/>
        </w:rPr>
        <w:t xml:space="preserve">Merrill is identifiable as </w:t>
      </w:r>
      <w:r w:rsidR="00157E6C" w:rsidRPr="00047A9D">
        <w:rPr>
          <w:rFonts w:ascii="Times New Roman" w:hAnsi="Times New Roman" w:cs="Times New Roman"/>
          <w:sz w:val="22"/>
          <w:szCs w:val="22"/>
        </w:rPr>
        <w:t>the Assistant Teacher</w:t>
      </w:r>
      <w:r w:rsidR="00603EF5" w:rsidRPr="00047A9D">
        <w:rPr>
          <w:rFonts w:ascii="Times New Roman" w:hAnsi="Times New Roman" w:cs="Times New Roman"/>
          <w:sz w:val="22"/>
          <w:szCs w:val="22"/>
        </w:rPr>
        <w:t xml:space="preserve"> </w:t>
      </w:r>
      <w:r w:rsidR="00DB090C" w:rsidRPr="00047A9D">
        <w:rPr>
          <w:rFonts w:ascii="Times New Roman" w:hAnsi="Times New Roman" w:cs="Times New Roman"/>
          <w:sz w:val="22"/>
          <w:szCs w:val="22"/>
        </w:rPr>
        <w:t xml:space="preserve">in question </w:t>
      </w:r>
      <w:r w:rsidR="00603EF5" w:rsidRPr="00047A9D">
        <w:rPr>
          <w:rFonts w:ascii="Times New Roman" w:hAnsi="Times New Roman" w:cs="Times New Roman"/>
          <w:sz w:val="22"/>
          <w:szCs w:val="22"/>
        </w:rPr>
        <w:t xml:space="preserve">from </w:t>
      </w:r>
      <w:r w:rsidR="00157E6C" w:rsidRPr="00047A9D">
        <w:rPr>
          <w:rFonts w:ascii="Times New Roman" w:hAnsi="Times New Roman" w:cs="Times New Roman"/>
          <w:sz w:val="22"/>
          <w:szCs w:val="22"/>
        </w:rPr>
        <w:t xml:space="preserve">the reference to his work in Sneh Shah, ‘The Second National Conference Organised by the History Study Action Group’, </w:t>
      </w:r>
      <w:r w:rsidR="00157E6C" w:rsidRPr="00047A9D">
        <w:rPr>
          <w:rFonts w:ascii="Times New Roman" w:hAnsi="Times New Roman" w:cs="Times New Roman"/>
          <w:i/>
          <w:sz w:val="22"/>
          <w:szCs w:val="22"/>
        </w:rPr>
        <w:t>Teaching History</w:t>
      </w:r>
      <w:r w:rsidR="00157E6C" w:rsidRPr="00047A9D">
        <w:rPr>
          <w:rFonts w:ascii="Times New Roman" w:hAnsi="Times New Roman" w:cs="Times New Roman"/>
          <w:sz w:val="22"/>
          <w:szCs w:val="22"/>
        </w:rPr>
        <w:t xml:space="preserve"> 41 (1985), 11.</w:t>
      </w:r>
    </w:p>
  </w:footnote>
  <w:footnote w:id="750">
    <w:p w14:paraId="6B8782BF" w14:textId="4931E360" w:rsidR="00D924B9" w:rsidRPr="00047A9D" w:rsidRDefault="00D924B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Reekes, ‘Oral History’, p.5.</w:t>
      </w:r>
    </w:p>
  </w:footnote>
  <w:footnote w:id="751">
    <w:p w14:paraId="607E6256" w14:textId="20B3A0E2" w:rsidR="004E4341" w:rsidRPr="00047A9D" w:rsidRDefault="004E434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B36CEC" w:rsidRPr="00047A9D">
        <w:rPr>
          <w:rFonts w:ascii="Times New Roman" w:hAnsi="Times New Roman" w:cs="Times New Roman"/>
          <w:sz w:val="22"/>
          <w:szCs w:val="22"/>
        </w:rPr>
        <w:t xml:space="preserve"> Reekes, ‘Oral History’, p.5.</w:t>
      </w:r>
    </w:p>
  </w:footnote>
  <w:footnote w:id="752">
    <w:p w14:paraId="18637BCF" w14:textId="486408DA" w:rsidR="0010535B" w:rsidRPr="00047A9D" w:rsidRDefault="0010535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A6FAF" w:rsidRPr="00047A9D">
        <w:rPr>
          <w:rFonts w:ascii="Times New Roman" w:hAnsi="Times New Roman" w:cs="Times New Roman"/>
          <w:sz w:val="22"/>
          <w:szCs w:val="22"/>
        </w:rPr>
        <w:t>Tom Hastie,</w:t>
      </w:r>
      <w:r w:rsidR="00D25DFF" w:rsidRPr="00047A9D">
        <w:rPr>
          <w:rFonts w:ascii="Times New Roman" w:hAnsi="Times New Roman" w:cs="Times New Roman"/>
          <w:sz w:val="22"/>
          <w:szCs w:val="22"/>
        </w:rPr>
        <w:t xml:space="preserve"> ‘Amritsar 1919 by Derek Merrill, Darryl Burrowes, Janet Jones and Frank Roberts’</w:t>
      </w:r>
      <w:r w:rsidR="00DE65B6" w:rsidRPr="00047A9D">
        <w:rPr>
          <w:rFonts w:ascii="Times New Roman" w:hAnsi="Times New Roman" w:cs="Times New Roman"/>
          <w:sz w:val="22"/>
          <w:szCs w:val="22"/>
        </w:rPr>
        <w:t xml:space="preserve">, </w:t>
      </w:r>
      <w:r w:rsidR="00D25DFF" w:rsidRPr="00047A9D">
        <w:rPr>
          <w:rFonts w:ascii="Times New Roman" w:hAnsi="Times New Roman" w:cs="Times New Roman"/>
          <w:sz w:val="22"/>
          <w:szCs w:val="22"/>
        </w:rPr>
        <w:t>Review</w:t>
      </w:r>
      <w:r w:rsidR="00DE65B6" w:rsidRPr="00047A9D">
        <w:rPr>
          <w:rFonts w:ascii="Times New Roman" w:hAnsi="Times New Roman" w:cs="Times New Roman"/>
          <w:sz w:val="22"/>
          <w:szCs w:val="22"/>
        </w:rPr>
        <w:t xml:space="preserve">, </w:t>
      </w:r>
      <w:r w:rsidR="00D25DFF" w:rsidRPr="00047A9D">
        <w:rPr>
          <w:rFonts w:ascii="Times New Roman" w:hAnsi="Times New Roman" w:cs="Times New Roman"/>
          <w:i/>
          <w:sz w:val="22"/>
          <w:szCs w:val="22"/>
        </w:rPr>
        <w:t>Teaching History</w:t>
      </w:r>
      <w:r w:rsidR="00DE65B6" w:rsidRPr="00047A9D">
        <w:rPr>
          <w:rFonts w:ascii="Times New Roman" w:hAnsi="Times New Roman" w:cs="Times New Roman"/>
          <w:sz w:val="22"/>
          <w:szCs w:val="22"/>
        </w:rPr>
        <w:t xml:space="preserve"> 59</w:t>
      </w:r>
      <w:r w:rsidR="00D25DFF" w:rsidRPr="00047A9D">
        <w:rPr>
          <w:rFonts w:ascii="Times New Roman" w:hAnsi="Times New Roman" w:cs="Times New Roman"/>
          <w:sz w:val="22"/>
          <w:szCs w:val="22"/>
        </w:rPr>
        <w:t xml:space="preserve"> </w:t>
      </w:r>
      <w:r w:rsidR="00DE65B6" w:rsidRPr="00047A9D">
        <w:rPr>
          <w:rFonts w:ascii="Times New Roman" w:hAnsi="Times New Roman" w:cs="Times New Roman"/>
          <w:sz w:val="22"/>
          <w:szCs w:val="22"/>
        </w:rPr>
        <w:t>(</w:t>
      </w:r>
      <w:r w:rsidR="00D25DFF" w:rsidRPr="00047A9D">
        <w:rPr>
          <w:rFonts w:ascii="Times New Roman" w:hAnsi="Times New Roman" w:cs="Times New Roman"/>
          <w:sz w:val="22"/>
          <w:szCs w:val="22"/>
        </w:rPr>
        <w:t>April 1990</w:t>
      </w:r>
      <w:r w:rsidR="00DE65B6" w:rsidRPr="00047A9D">
        <w:rPr>
          <w:rFonts w:ascii="Times New Roman" w:hAnsi="Times New Roman" w:cs="Times New Roman"/>
          <w:sz w:val="22"/>
          <w:szCs w:val="22"/>
        </w:rPr>
        <w:t>)</w:t>
      </w:r>
      <w:r w:rsidR="00D25DFF" w:rsidRPr="00047A9D">
        <w:rPr>
          <w:rFonts w:ascii="Times New Roman" w:hAnsi="Times New Roman" w:cs="Times New Roman"/>
          <w:sz w:val="22"/>
          <w:szCs w:val="22"/>
        </w:rPr>
        <w:t>, 48</w:t>
      </w:r>
      <w:r w:rsidR="00DE65B6" w:rsidRPr="00047A9D">
        <w:rPr>
          <w:rFonts w:ascii="Times New Roman" w:hAnsi="Times New Roman" w:cs="Times New Roman"/>
          <w:sz w:val="22"/>
          <w:szCs w:val="22"/>
        </w:rPr>
        <w:t>.</w:t>
      </w:r>
    </w:p>
  </w:footnote>
  <w:footnote w:id="753">
    <w:p w14:paraId="2359A9EC" w14:textId="39296FFE" w:rsidR="00AD1B0E" w:rsidRPr="00047A9D" w:rsidRDefault="00AD1B0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75F15" w:rsidRPr="00047A9D">
        <w:rPr>
          <w:rFonts w:ascii="Times New Roman" w:hAnsi="Times New Roman" w:cs="Times New Roman"/>
          <w:sz w:val="22"/>
          <w:szCs w:val="22"/>
        </w:rPr>
        <w:t>Derek Merrill</w:t>
      </w:r>
      <w:r w:rsidR="00795639" w:rsidRPr="00047A9D">
        <w:rPr>
          <w:rFonts w:ascii="Times New Roman" w:hAnsi="Times New Roman" w:cs="Times New Roman"/>
          <w:sz w:val="22"/>
          <w:szCs w:val="22"/>
        </w:rPr>
        <w:t xml:space="preserve"> </w:t>
      </w:r>
      <w:r w:rsidR="00795639" w:rsidRPr="00047A9D">
        <w:rPr>
          <w:rFonts w:ascii="Times New Roman" w:hAnsi="Times New Roman" w:cs="Times New Roman"/>
          <w:i/>
          <w:sz w:val="22"/>
          <w:szCs w:val="22"/>
        </w:rPr>
        <w:t>et al.</w:t>
      </w:r>
      <w:r w:rsidR="00795639" w:rsidRPr="00047A9D">
        <w:rPr>
          <w:rFonts w:ascii="Times New Roman" w:hAnsi="Times New Roman" w:cs="Times New Roman"/>
          <w:sz w:val="22"/>
          <w:szCs w:val="22"/>
        </w:rPr>
        <w:t xml:space="preserve">, </w:t>
      </w:r>
      <w:r w:rsidR="00D75F15" w:rsidRPr="00047A9D">
        <w:rPr>
          <w:rFonts w:ascii="Times New Roman" w:hAnsi="Times New Roman" w:cs="Times New Roman"/>
          <w:i/>
          <w:sz w:val="22"/>
          <w:szCs w:val="22"/>
        </w:rPr>
        <w:t>Amritsar 1919</w:t>
      </w:r>
      <w:r w:rsidR="00D75F15" w:rsidRPr="00047A9D">
        <w:rPr>
          <w:rFonts w:ascii="Times New Roman" w:hAnsi="Times New Roman" w:cs="Times New Roman"/>
          <w:sz w:val="22"/>
          <w:szCs w:val="22"/>
        </w:rPr>
        <w:t xml:space="preserve"> (Brighton: </w:t>
      </w:r>
      <w:r w:rsidR="002A6007" w:rsidRPr="00047A9D">
        <w:rPr>
          <w:rFonts w:ascii="Times New Roman" w:hAnsi="Times New Roman" w:cs="Times New Roman"/>
          <w:sz w:val="22"/>
          <w:szCs w:val="22"/>
        </w:rPr>
        <w:t>Spartacus Educational, 1987</w:t>
      </w:r>
      <w:r w:rsidR="00D75F15" w:rsidRPr="00047A9D">
        <w:rPr>
          <w:rFonts w:ascii="Times New Roman" w:hAnsi="Times New Roman" w:cs="Times New Roman"/>
          <w:sz w:val="22"/>
          <w:szCs w:val="22"/>
        </w:rPr>
        <w:t xml:space="preserve">), </w:t>
      </w:r>
      <w:r w:rsidR="00E45B9B" w:rsidRPr="00047A9D">
        <w:rPr>
          <w:rFonts w:ascii="Times New Roman" w:hAnsi="Times New Roman" w:cs="Times New Roman"/>
          <w:sz w:val="22"/>
          <w:szCs w:val="22"/>
        </w:rPr>
        <w:t>p.</w:t>
      </w:r>
      <w:r w:rsidR="00D75F15" w:rsidRPr="00047A9D">
        <w:rPr>
          <w:rFonts w:ascii="Times New Roman" w:hAnsi="Times New Roman" w:cs="Times New Roman"/>
          <w:sz w:val="22"/>
          <w:szCs w:val="22"/>
        </w:rPr>
        <w:t xml:space="preserve">27; </w:t>
      </w:r>
      <w:r w:rsidR="00FD772F" w:rsidRPr="00047A9D">
        <w:rPr>
          <w:rFonts w:ascii="Times New Roman" w:hAnsi="Times New Roman" w:cs="Times New Roman"/>
          <w:sz w:val="22"/>
          <w:szCs w:val="22"/>
        </w:rPr>
        <w:t xml:space="preserve">Satia, </w:t>
      </w:r>
      <w:r w:rsidR="00FD772F" w:rsidRPr="00047A9D">
        <w:rPr>
          <w:rFonts w:ascii="Times New Roman" w:hAnsi="Times New Roman" w:cs="Times New Roman"/>
          <w:i/>
          <w:sz w:val="22"/>
          <w:szCs w:val="22"/>
        </w:rPr>
        <w:t xml:space="preserve">Time’s Monster, </w:t>
      </w:r>
      <w:r w:rsidR="00F75B2F" w:rsidRPr="00047A9D">
        <w:rPr>
          <w:rFonts w:ascii="Times New Roman" w:hAnsi="Times New Roman" w:cs="Times New Roman"/>
          <w:sz w:val="22"/>
          <w:szCs w:val="22"/>
        </w:rPr>
        <w:t>pp.</w:t>
      </w:r>
      <w:r w:rsidR="00DF7FC6" w:rsidRPr="00047A9D">
        <w:rPr>
          <w:rFonts w:ascii="Times New Roman" w:hAnsi="Times New Roman" w:cs="Times New Roman"/>
          <w:sz w:val="22"/>
          <w:szCs w:val="22"/>
        </w:rPr>
        <w:t>72, 117, 122, 139, 276.</w:t>
      </w:r>
    </w:p>
  </w:footnote>
  <w:footnote w:id="754">
    <w:p w14:paraId="302BDD2E" w14:textId="4DC6EEC4" w:rsidR="00D8062B" w:rsidRPr="00047A9D" w:rsidRDefault="00D8062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17D5A" w:rsidRPr="00047A9D">
        <w:rPr>
          <w:rFonts w:ascii="Times New Roman" w:hAnsi="Times New Roman" w:cs="Times New Roman"/>
          <w:sz w:val="22"/>
          <w:szCs w:val="22"/>
        </w:rPr>
        <w:t>Hastie, ‘Amritsar 1919’, p.48.</w:t>
      </w:r>
    </w:p>
  </w:footnote>
  <w:footnote w:id="755">
    <w:p w14:paraId="5ABFE3B2" w14:textId="1235528C" w:rsidR="00323F35" w:rsidRPr="00047A9D" w:rsidRDefault="00323F3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92D85" w:rsidRPr="00047A9D">
        <w:rPr>
          <w:rFonts w:ascii="Times New Roman" w:hAnsi="Times New Roman" w:cs="Times New Roman"/>
          <w:sz w:val="22"/>
          <w:szCs w:val="22"/>
        </w:rPr>
        <w:t xml:space="preserve">Satia, </w:t>
      </w:r>
      <w:r w:rsidR="00192D85" w:rsidRPr="00047A9D">
        <w:rPr>
          <w:rFonts w:ascii="Times New Roman" w:hAnsi="Times New Roman" w:cs="Times New Roman"/>
          <w:i/>
          <w:iCs/>
          <w:sz w:val="22"/>
          <w:szCs w:val="22"/>
        </w:rPr>
        <w:t>Time’s Monster</w:t>
      </w:r>
      <w:r w:rsidR="00192D85" w:rsidRPr="00047A9D">
        <w:rPr>
          <w:rFonts w:ascii="Times New Roman" w:hAnsi="Times New Roman" w:cs="Times New Roman"/>
          <w:sz w:val="22"/>
          <w:szCs w:val="22"/>
        </w:rPr>
        <w:t>, p</w:t>
      </w:r>
      <w:r w:rsidR="00123073" w:rsidRPr="00047A9D">
        <w:rPr>
          <w:rFonts w:ascii="Times New Roman" w:hAnsi="Times New Roman" w:cs="Times New Roman"/>
          <w:sz w:val="22"/>
          <w:szCs w:val="22"/>
        </w:rPr>
        <w:t>p</w:t>
      </w:r>
      <w:r w:rsidR="00192D85" w:rsidRPr="00047A9D">
        <w:rPr>
          <w:rFonts w:ascii="Times New Roman" w:hAnsi="Times New Roman" w:cs="Times New Roman"/>
          <w:sz w:val="22"/>
          <w:szCs w:val="22"/>
        </w:rPr>
        <w:t>.79</w:t>
      </w:r>
      <w:r w:rsidR="00123073" w:rsidRPr="00047A9D">
        <w:rPr>
          <w:rFonts w:ascii="Times New Roman" w:hAnsi="Times New Roman" w:cs="Times New Roman"/>
          <w:sz w:val="22"/>
          <w:szCs w:val="22"/>
        </w:rPr>
        <w:t>, 139.</w:t>
      </w:r>
    </w:p>
  </w:footnote>
  <w:footnote w:id="756">
    <w:p w14:paraId="16DEB741" w14:textId="5841EE27" w:rsidR="009F64EA" w:rsidRPr="00047A9D" w:rsidRDefault="009F64E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Satia, </w:t>
      </w:r>
      <w:r w:rsidRPr="00047A9D">
        <w:rPr>
          <w:rFonts w:ascii="Times New Roman" w:hAnsi="Times New Roman" w:cs="Times New Roman"/>
          <w:i/>
          <w:iCs/>
          <w:sz w:val="22"/>
          <w:szCs w:val="22"/>
        </w:rPr>
        <w:t>Time’s Monster</w:t>
      </w:r>
      <w:r w:rsidRPr="00047A9D">
        <w:rPr>
          <w:rFonts w:ascii="Times New Roman" w:hAnsi="Times New Roman" w:cs="Times New Roman"/>
          <w:sz w:val="22"/>
          <w:szCs w:val="22"/>
        </w:rPr>
        <w:t>, pp.79, 139.</w:t>
      </w:r>
    </w:p>
  </w:footnote>
  <w:footnote w:id="757">
    <w:p w14:paraId="07BD0C04" w14:textId="77777777" w:rsidR="00751941" w:rsidRPr="00047A9D" w:rsidRDefault="0075194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National Curriculum History Working Group: Interim Report</w:t>
      </w:r>
      <w:r w:rsidRPr="00047A9D">
        <w:rPr>
          <w:rFonts w:ascii="Times New Roman" w:hAnsi="Times New Roman" w:cs="Times New Roman"/>
          <w:sz w:val="22"/>
          <w:szCs w:val="22"/>
        </w:rPr>
        <w:t xml:space="preserve"> (London: DES and the Welsh Office, 1989), p.8.</w:t>
      </w:r>
    </w:p>
  </w:footnote>
  <w:footnote w:id="758">
    <w:p w14:paraId="302B2ED0" w14:textId="7EF94A15" w:rsidR="00CD7753" w:rsidRPr="00047A9D" w:rsidRDefault="00CD775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A52B11" w:rsidRPr="00047A9D">
        <w:rPr>
          <w:rFonts w:ascii="Times New Roman" w:hAnsi="Times New Roman" w:cs="Times New Roman"/>
          <w:sz w:val="22"/>
          <w:szCs w:val="22"/>
        </w:rPr>
        <w:t xml:space="preserve"> Nicola Sheldon, ‘History Examinations from the 1960s to the Present Day’</w:t>
      </w:r>
      <w:r w:rsidR="00B93D41" w:rsidRPr="00047A9D">
        <w:rPr>
          <w:rFonts w:ascii="Times New Roman" w:hAnsi="Times New Roman" w:cs="Times New Roman"/>
          <w:sz w:val="22"/>
          <w:szCs w:val="22"/>
        </w:rPr>
        <w:t>, p.7</w:t>
      </w:r>
      <w:r w:rsidR="00A52B11" w:rsidRPr="00047A9D">
        <w:rPr>
          <w:rFonts w:ascii="Times New Roman" w:hAnsi="Times New Roman" w:cs="Times New Roman"/>
          <w:sz w:val="22"/>
          <w:szCs w:val="22"/>
        </w:rPr>
        <w:t xml:space="preserve">, </w:t>
      </w:r>
      <w:r w:rsidR="0020512E" w:rsidRPr="00047A9D">
        <w:rPr>
          <w:rFonts w:ascii="Times New Roman" w:hAnsi="Times New Roman" w:cs="Times New Roman"/>
          <w:sz w:val="22"/>
          <w:szCs w:val="22"/>
        </w:rPr>
        <w:t xml:space="preserve">from ‘Topics in History Education’, </w:t>
      </w:r>
      <w:r w:rsidR="000C1061" w:rsidRPr="00047A9D">
        <w:rPr>
          <w:rFonts w:ascii="Times New Roman" w:hAnsi="Times New Roman" w:cs="Times New Roman"/>
          <w:sz w:val="22"/>
          <w:szCs w:val="22"/>
        </w:rPr>
        <w:t>History in Education Project Background Papers</w:t>
      </w:r>
      <w:r w:rsidR="00B93D41" w:rsidRPr="00047A9D">
        <w:rPr>
          <w:rFonts w:ascii="Times New Roman" w:hAnsi="Times New Roman" w:cs="Times New Roman"/>
          <w:sz w:val="22"/>
          <w:szCs w:val="22"/>
        </w:rPr>
        <w:t>,</w:t>
      </w:r>
      <w:r w:rsidR="005E4868" w:rsidRPr="00047A9D">
        <w:rPr>
          <w:rFonts w:ascii="Times New Roman" w:hAnsi="Times New Roman" w:cs="Times New Roman"/>
          <w:sz w:val="22"/>
          <w:szCs w:val="22"/>
        </w:rPr>
        <w:t xml:space="preserve"> </w:t>
      </w:r>
      <w:r w:rsidR="00E15E8E" w:rsidRPr="00047A9D">
        <w:rPr>
          <w:rFonts w:ascii="Times New Roman" w:hAnsi="Times New Roman" w:cs="Times New Roman"/>
          <w:sz w:val="22"/>
          <w:szCs w:val="22"/>
        </w:rPr>
        <w:t>IHR</w:t>
      </w:r>
      <w:r w:rsidR="005E4868" w:rsidRPr="00047A9D">
        <w:rPr>
          <w:rFonts w:ascii="Times New Roman" w:hAnsi="Times New Roman" w:cs="Times New Roman"/>
          <w:sz w:val="22"/>
          <w:szCs w:val="22"/>
        </w:rPr>
        <w:t xml:space="preserve">: </w:t>
      </w:r>
      <w:r w:rsidR="00E15E8E" w:rsidRPr="00047A9D">
        <w:rPr>
          <w:rFonts w:ascii="Times New Roman" w:hAnsi="Times New Roman" w:cs="Times New Roman"/>
          <w:sz w:val="22"/>
          <w:szCs w:val="22"/>
        </w:rPr>
        <w:t>HiEP</w:t>
      </w:r>
      <w:r w:rsidR="00376034" w:rsidRPr="00047A9D">
        <w:rPr>
          <w:rFonts w:ascii="Times New Roman" w:hAnsi="Times New Roman" w:cs="Times New Roman"/>
          <w:sz w:val="22"/>
          <w:szCs w:val="22"/>
        </w:rPr>
        <w:t>.</w:t>
      </w:r>
      <w:r w:rsidR="00396736" w:rsidRPr="00047A9D">
        <w:rPr>
          <w:rFonts w:ascii="Times New Roman" w:hAnsi="Times New Roman" w:cs="Times New Roman"/>
          <w:i/>
          <w:sz w:val="22"/>
          <w:szCs w:val="22"/>
        </w:rPr>
        <w:t xml:space="preserve"> </w:t>
      </w:r>
      <w:r w:rsidR="0098562E" w:rsidRPr="00047A9D">
        <w:rPr>
          <w:rFonts w:ascii="Times New Roman" w:hAnsi="Times New Roman" w:cs="Times New Roman"/>
          <w:sz w:val="22"/>
          <w:szCs w:val="22"/>
        </w:rPr>
        <w:t>&lt;https://archives.history.ac.uk/history-in-education/project-papers/topics.html&gt; [</w:t>
      </w:r>
      <w:r w:rsidR="00376034" w:rsidRPr="00047A9D">
        <w:rPr>
          <w:rFonts w:ascii="Times New Roman" w:hAnsi="Times New Roman" w:cs="Times New Roman"/>
          <w:sz w:val="22"/>
          <w:szCs w:val="22"/>
        </w:rPr>
        <w:t xml:space="preserve">last updated 2 August 2012, </w:t>
      </w:r>
      <w:r w:rsidR="0098562E" w:rsidRPr="00047A9D">
        <w:rPr>
          <w:rFonts w:ascii="Times New Roman" w:hAnsi="Times New Roman" w:cs="Times New Roman"/>
          <w:sz w:val="22"/>
          <w:szCs w:val="22"/>
        </w:rPr>
        <w:t>last accessed 16 January 2025].</w:t>
      </w:r>
    </w:p>
  </w:footnote>
  <w:footnote w:id="759">
    <w:p w14:paraId="6F32A73F" w14:textId="7701BF9E" w:rsidR="001B22E2" w:rsidRPr="00047A9D" w:rsidRDefault="001B22E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A1AE1" w:rsidRPr="00047A9D">
        <w:rPr>
          <w:rFonts w:ascii="Times New Roman" w:hAnsi="Times New Roman" w:cs="Times New Roman"/>
          <w:sz w:val="22"/>
          <w:szCs w:val="22"/>
        </w:rPr>
        <w:t xml:space="preserve">Chris McGovern </w:t>
      </w:r>
      <w:r w:rsidR="007A1AE1" w:rsidRPr="00047A9D">
        <w:rPr>
          <w:rFonts w:ascii="Times New Roman" w:hAnsi="Times New Roman" w:cs="Times New Roman"/>
          <w:i/>
          <w:sz w:val="22"/>
          <w:szCs w:val="22"/>
        </w:rPr>
        <w:t>et al</w:t>
      </w:r>
      <w:r w:rsidR="007A1AE1" w:rsidRPr="00047A9D">
        <w:rPr>
          <w:rFonts w:ascii="Times New Roman" w:hAnsi="Times New Roman" w:cs="Times New Roman"/>
          <w:sz w:val="22"/>
          <w:szCs w:val="22"/>
        </w:rPr>
        <w:t>., ‘GCSE History: An Alternative Approach’, 18 March 1990. Transcribed to digital May 2020 by the Campaign for Real Education &lt;https://cre.org.uk/docs/CRE-GCSE-History-An-Alternative-Approach.pdf &gt; [last accessed 16 January 2025].</w:t>
      </w:r>
    </w:p>
  </w:footnote>
  <w:footnote w:id="760">
    <w:p w14:paraId="1D3277B6" w14:textId="77777777" w:rsidR="00A137E4" w:rsidRPr="00047A9D" w:rsidRDefault="00A137E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Transcript of interview with Chris McGovern, p.5. Interviewed by Nicola Sheldon, 28 August 2009. Transcribed by Susan Nicholls. IHR: HiEP. &lt;https://archives.history.ac.uk/history-in-education/browse/interviews/interview-chris-mcgovern-28-august-2009.html&gt; [last accessed 16 January 2025].</w:t>
      </w:r>
    </w:p>
  </w:footnote>
  <w:footnote w:id="761">
    <w:p w14:paraId="69663947" w14:textId="349A137B" w:rsidR="000F15F6" w:rsidRPr="00047A9D" w:rsidRDefault="000F15F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20730" w:rsidRPr="00047A9D">
        <w:rPr>
          <w:rFonts w:ascii="Times New Roman" w:hAnsi="Times New Roman" w:cs="Times New Roman"/>
          <w:sz w:val="22"/>
          <w:szCs w:val="22"/>
        </w:rPr>
        <w:t>Transcript of interview with Chris McGovern, p.5.</w:t>
      </w:r>
    </w:p>
  </w:footnote>
  <w:footnote w:id="762">
    <w:p w14:paraId="28E4F996" w14:textId="77777777" w:rsidR="00D60C72" w:rsidRPr="00047A9D" w:rsidRDefault="00D60C7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Transcript of interview with Chris McGovern, pp.7-8.</w:t>
      </w:r>
    </w:p>
  </w:footnote>
  <w:footnote w:id="763">
    <w:p w14:paraId="61E3E469" w14:textId="0AD29BC5" w:rsidR="00765DCC" w:rsidRPr="00047A9D" w:rsidRDefault="00765DC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10D12" w:rsidRPr="00047A9D">
        <w:rPr>
          <w:rFonts w:ascii="Times New Roman" w:hAnsi="Times New Roman" w:cs="Times New Roman"/>
          <w:sz w:val="22"/>
          <w:szCs w:val="22"/>
        </w:rPr>
        <w:t>Transcript of interview with Chris McGovern, p.9.</w:t>
      </w:r>
    </w:p>
  </w:footnote>
  <w:footnote w:id="764">
    <w:p w14:paraId="2045DAE5" w14:textId="00E7B442" w:rsidR="009834D6" w:rsidRPr="00047A9D" w:rsidRDefault="009834D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63FC5" w:rsidRPr="00047A9D">
        <w:rPr>
          <w:rFonts w:ascii="Times New Roman" w:hAnsi="Times New Roman" w:cs="Times New Roman"/>
          <w:sz w:val="22"/>
          <w:szCs w:val="22"/>
        </w:rPr>
        <w:t>Robert Skidelsky, ‘Professor Lord Robert Skidelsky (C. 1953-58)</w:t>
      </w:r>
      <w:r w:rsidR="00151D7F" w:rsidRPr="00047A9D">
        <w:rPr>
          <w:rFonts w:ascii="Times New Roman" w:hAnsi="Times New Roman" w:cs="Times New Roman"/>
          <w:sz w:val="22"/>
          <w:szCs w:val="22"/>
        </w:rPr>
        <w:t>’</w:t>
      </w:r>
      <w:r w:rsidR="007D796B" w:rsidRPr="00047A9D">
        <w:rPr>
          <w:rFonts w:ascii="Times New Roman" w:hAnsi="Times New Roman" w:cs="Times New Roman"/>
          <w:sz w:val="22"/>
          <w:szCs w:val="22"/>
        </w:rPr>
        <w:t xml:space="preserve">, </w:t>
      </w:r>
      <w:r w:rsidR="007D796B" w:rsidRPr="00047A9D">
        <w:rPr>
          <w:rFonts w:ascii="Times New Roman" w:hAnsi="Times New Roman" w:cs="Times New Roman"/>
          <w:i/>
          <w:iCs/>
          <w:sz w:val="22"/>
          <w:szCs w:val="22"/>
        </w:rPr>
        <w:t xml:space="preserve">Old Brightonians: Brighton College </w:t>
      </w:r>
      <w:r w:rsidR="007D796B" w:rsidRPr="00047A9D">
        <w:rPr>
          <w:rFonts w:ascii="Times New Roman" w:hAnsi="Times New Roman" w:cs="Times New Roman"/>
          <w:sz w:val="22"/>
          <w:szCs w:val="22"/>
        </w:rPr>
        <w:t>&lt;https://www.oldbrightonians.com/our-community/notable-obs/politics-law/245-prof-lord-robert-skidelsky.html&gt; [accessed 27 January 2025</w:t>
      </w:r>
      <w:r w:rsidR="00AC0A26" w:rsidRPr="00047A9D">
        <w:rPr>
          <w:rFonts w:ascii="Times New Roman" w:hAnsi="Times New Roman" w:cs="Times New Roman"/>
          <w:sz w:val="22"/>
          <w:szCs w:val="22"/>
        </w:rPr>
        <w:t>].</w:t>
      </w:r>
    </w:p>
  </w:footnote>
  <w:footnote w:id="765">
    <w:p w14:paraId="6901C020" w14:textId="531A1341" w:rsidR="005C3E24" w:rsidRPr="00047A9D" w:rsidRDefault="005C3E2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C57FE" w:rsidRPr="00047A9D">
        <w:rPr>
          <w:rFonts w:ascii="Times New Roman" w:hAnsi="Times New Roman" w:cs="Times New Roman"/>
          <w:sz w:val="22"/>
          <w:szCs w:val="22"/>
        </w:rPr>
        <w:t xml:space="preserve">McGovern </w:t>
      </w:r>
      <w:r w:rsidR="006C57FE" w:rsidRPr="00047A9D">
        <w:rPr>
          <w:rFonts w:ascii="Times New Roman" w:hAnsi="Times New Roman" w:cs="Times New Roman"/>
          <w:i/>
          <w:sz w:val="22"/>
          <w:szCs w:val="22"/>
        </w:rPr>
        <w:t>et al</w:t>
      </w:r>
      <w:r w:rsidR="006C57FE" w:rsidRPr="00047A9D">
        <w:rPr>
          <w:rFonts w:ascii="Times New Roman" w:hAnsi="Times New Roman" w:cs="Times New Roman"/>
          <w:sz w:val="22"/>
          <w:szCs w:val="22"/>
        </w:rPr>
        <w:t>., ‘GCSE History’, p.1.</w:t>
      </w:r>
    </w:p>
  </w:footnote>
  <w:footnote w:id="766">
    <w:p w14:paraId="610CA01C" w14:textId="6A27EF77" w:rsidR="00DD3300" w:rsidRPr="00047A9D" w:rsidRDefault="00DD330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60D14" w:rsidRPr="00047A9D">
        <w:rPr>
          <w:rFonts w:ascii="Times New Roman" w:hAnsi="Times New Roman" w:cs="Times New Roman"/>
          <w:i/>
          <w:sz w:val="22"/>
          <w:szCs w:val="22"/>
        </w:rPr>
        <w:t xml:space="preserve">The Next Moves Forward: The Conservative Manifesto 1987 </w:t>
      </w:r>
      <w:r w:rsidR="00060D14" w:rsidRPr="00047A9D">
        <w:rPr>
          <w:rFonts w:ascii="Times New Roman" w:hAnsi="Times New Roman" w:cs="Times New Roman"/>
          <w:sz w:val="22"/>
          <w:szCs w:val="22"/>
        </w:rPr>
        <w:t>(London: Conservative Central Office, 1987)</w:t>
      </w:r>
      <w:r w:rsidR="00E54D3D" w:rsidRPr="00047A9D">
        <w:rPr>
          <w:rFonts w:ascii="Times New Roman" w:hAnsi="Times New Roman" w:cs="Times New Roman"/>
          <w:sz w:val="22"/>
          <w:szCs w:val="22"/>
        </w:rPr>
        <w:t>. T</w:t>
      </w:r>
      <w:r w:rsidR="00783541" w:rsidRPr="00047A9D">
        <w:rPr>
          <w:rFonts w:ascii="Times New Roman" w:hAnsi="Times New Roman" w:cs="Times New Roman"/>
          <w:sz w:val="22"/>
          <w:szCs w:val="22"/>
        </w:rPr>
        <w:t>ranscribed by Political Speech Archive</w:t>
      </w:r>
      <w:r w:rsidR="006B3639" w:rsidRPr="00047A9D">
        <w:rPr>
          <w:rFonts w:ascii="Times New Roman" w:hAnsi="Times New Roman" w:cs="Times New Roman"/>
          <w:sz w:val="22"/>
          <w:szCs w:val="22"/>
        </w:rPr>
        <w:t xml:space="preserve"> </w:t>
      </w:r>
      <w:r w:rsidR="00783541" w:rsidRPr="00047A9D">
        <w:rPr>
          <w:rFonts w:ascii="Times New Roman" w:hAnsi="Times New Roman" w:cs="Times New Roman"/>
          <w:sz w:val="22"/>
          <w:szCs w:val="22"/>
        </w:rPr>
        <w:t>&lt;https://www.ukpol.co.uk/general-election-manifestos-1987-conservative-party/&gt; [last accessed 16 January 2025].</w:t>
      </w:r>
    </w:p>
  </w:footnote>
  <w:footnote w:id="767">
    <w:p w14:paraId="78F658C9" w14:textId="3812AF03" w:rsidR="00D248A9" w:rsidRPr="00047A9D" w:rsidRDefault="00D248A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The Next Moves Forward: The Conservative Manifesto 1987.</w:t>
      </w:r>
    </w:p>
  </w:footnote>
  <w:footnote w:id="768">
    <w:p w14:paraId="1E8C7EB8" w14:textId="508DEB09" w:rsidR="000714B7" w:rsidRPr="00047A9D" w:rsidRDefault="000714B7"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C10B4" w:rsidRPr="00047A9D">
        <w:rPr>
          <w:rFonts w:ascii="Times New Roman" w:hAnsi="Times New Roman" w:cs="Times New Roman"/>
          <w:i/>
          <w:sz w:val="22"/>
          <w:szCs w:val="22"/>
        </w:rPr>
        <w:t>The Next Moves Forward: The Conservative Manifesto 1987.</w:t>
      </w:r>
    </w:p>
  </w:footnote>
  <w:footnote w:id="769">
    <w:p w14:paraId="2A0411B1" w14:textId="1B45571B" w:rsidR="00E54D3D" w:rsidRPr="00047A9D" w:rsidRDefault="00E54D3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374CE" w:rsidRPr="00047A9D">
        <w:rPr>
          <w:rFonts w:ascii="Times New Roman" w:hAnsi="Times New Roman" w:cs="Times New Roman"/>
          <w:sz w:val="22"/>
          <w:szCs w:val="22"/>
        </w:rPr>
        <w:t>Quoted in ACER</w:t>
      </w:r>
      <w:r w:rsidR="002374CE" w:rsidRPr="00047A9D">
        <w:rPr>
          <w:rFonts w:ascii="Times New Roman" w:hAnsi="Times New Roman" w:cs="Times New Roman"/>
          <w:i/>
          <w:sz w:val="22"/>
          <w:szCs w:val="22"/>
        </w:rPr>
        <w:t>, National Curriculum 5-16: A Consultative Document: Responses Submitted by the Afro-Caribbean Education Resource Centre</w:t>
      </w:r>
      <w:r w:rsidR="002374CE" w:rsidRPr="00047A9D">
        <w:rPr>
          <w:rFonts w:ascii="Times New Roman" w:hAnsi="Times New Roman" w:cs="Times New Roman"/>
          <w:sz w:val="22"/>
          <w:szCs w:val="22"/>
        </w:rPr>
        <w:t xml:space="preserve"> (London: ACER, 1987), p.15.</w:t>
      </w:r>
    </w:p>
  </w:footnote>
  <w:footnote w:id="770">
    <w:p w14:paraId="4F22CD1E" w14:textId="5FB9B487" w:rsidR="002374CE" w:rsidRPr="00047A9D" w:rsidRDefault="002374C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B2D96" w:rsidRPr="00047A9D">
        <w:rPr>
          <w:rFonts w:ascii="Times New Roman" w:hAnsi="Times New Roman" w:cs="Times New Roman"/>
          <w:sz w:val="22"/>
          <w:szCs w:val="22"/>
        </w:rPr>
        <w:t>Kenneth Baker, speech to the Conservative Annual Party Conference</w:t>
      </w:r>
      <w:r w:rsidR="00622DED" w:rsidRPr="00047A9D">
        <w:rPr>
          <w:rFonts w:ascii="Times New Roman" w:hAnsi="Times New Roman" w:cs="Times New Roman"/>
          <w:sz w:val="22"/>
          <w:szCs w:val="22"/>
        </w:rPr>
        <w:t xml:space="preserve"> (</w:t>
      </w:r>
      <w:r w:rsidR="00BB2D96" w:rsidRPr="00047A9D">
        <w:rPr>
          <w:rFonts w:ascii="Times New Roman" w:hAnsi="Times New Roman" w:cs="Times New Roman"/>
          <w:sz w:val="22"/>
          <w:szCs w:val="22"/>
        </w:rPr>
        <w:t>October</w:t>
      </w:r>
      <w:r w:rsidR="00A12E0E" w:rsidRPr="00047A9D">
        <w:rPr>
          <w:rFonts w:ascii="Times New Roman" w:hAnsi="Times New Roman" w:cs="Times New Roman"/>
          <w:sz w:val="22"/>
          <w:szCs w:val="22"/>
        </w:rPr>
        <w:t xml:space="preserve"> 1988</w:t>
      </w:r>
      <w:r w:rsidR="002F28B7" w:rsidRPr="00047A9D">
        <w:rPr>
          <w:rFonts w:ascii="Times New Roman" w:hAnsi="Times New Roman" w:cs="Times New Roman"/>
          <w:sz w:val="22"/>
          <w:szCs w:val="22"/>
        </w:rPr>
        <w:t xml:space="preserve">), quoted in Carter and Grosvenor, </w:t>
      </w:r>
      <w:r w:rsidR="002F28B7" w:rsidRPr="00047A9D">
        <w:rPr>
          <w:rFonts w:ascii="Times New Roman" w:hAnsi="Times New Roman" w:cs="Times New Roman"/>
          <w:i/>
          <w:sz w:val="22"/>
          <w:szCs w:val="22"/>
        </w:rPr>
        <w:t xml:space="preserve">The Apostles of Purity, </w:t>
      </w:r>
      <w:r w:rsidR="002F28B7" w:rsidRPr="00047A9D">
        <w:rPr>
          <w:rFonts w:ascii="Times New Roman" w:hAnsi="Times New Roman" w:cs="Times New Roman"/>
          <w:sz w:val="22"/>
          <w:szCs w:val="22"/>
        </w:rPr>
        <w:t>p.25.</w:t>
      </w:r>
    </w:p>
  </w:footnote>
  <w:footnote w:id="771">
    <w:p w14:paraId="24F92B74" w14:textId="134EED86" w:rsidR="004B140D" w:rsidRPr="00047A9D" w:rsidRDefault="004B140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D0E0C" w:rsidRPr="00047A9D">
        <w:rPr>
          <w:rFonts w:ascii="Times New Roman" w:hAnsi="Times New Roman" w:cs="Times New Roman"/>
          <w:sz w:val="22"/>
          <w:szCs w:val="22"/>
        </w:rPr>
        <w:t xml:space="preserve">Kenneth Baker, quoted in Carter and Grosvenor, </w:t>
      </w:r>
      <w:r w:rsidR="00CD0E0C" w:rsidRPr="00047A9D">
        <w:rPr>
          <w:rFonts w:ascii="Times New Roman" w:hAnsi="Times New Roman" w:cs="Times New Roman"/>
          <w:i/>
          <w:sz w:val="22"/>
          <w:szCs w:val="22"/>
        </w:rPr>
        <w:t xml:space="preserve">The Apostles of Purity, </w:t>
      </w:r>
      <w:r w:rsidR="00CD0E0C" w:rsidRPr="00047A9D">
        <w:rPr>
          <w:rFonts w:ascii="Times New Roman" w:hAnsi="Times New Roman" w:cs="Times New Roman"/>
          <w:sz w:val="22"/>
          <w:szCs w:val="22"/>
        </w:rPr>
        <w:t>p.25.</w:t>
      </w:r>
    </w:p>
  </w:footnote>
  <w:footnote w:id="772">
    <w:p w14:paraId="01C21337" w14:textId="4E1C3900" w:rsidR="00B0339E" w:rsidRPr="00047A9D" w:rsidRDefault="00B0339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E7B30" w:rsidRPr="00047A9D">
        <w:rPr>
          <w:rFonts w:ascii="Times New Roman" w:hAnsi="Times New Roman" w:cs="Times New Roman"/>
          <w:sz w:val="22"/>
          <w:szCs w:val="22"/>
        </w:rPr>
        <w:t>Education Reform Act 1988</w:t>
      </w:r>
      <w:r w:rsidR="00ED6BC8" w:rsidRPr="00047A9D">
        <w:rPr>
          <w:rFonts w:ascii="Times New Roman" w:hAnsi="Times New Roman" w:cs="Times New Roman"/>
          <w:sz w:val="22"/>
          <w:szCs w:val="22"/>
        </w:rPr>
        <w:t xml:space="preserve"> &lt;https://www.legislation.gov.uk/ukpga/1988/40/contents&gt; [accessed 27 January 2025].</w:t>
      </w:r>
    </w:p>
  </w:footnote>
  <w:footnote w:id="773">
    <w:p w14:paraId="65D0D4DC" w14:textId="6B11DE54" w:rsidR="00145805" w:rsidRPr="00047A9D" w:rsidRDefault="0014580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5179C" w:rsidRPr="00047A9D">
        <w:rPr>
          <w:rFonts w:ascii="Times New Roman" w:hAnsi="Times New Roman" w:cs="Times New Roman"/>
          <w:sz w:val="22"/>
          <w:szCs w:val="22"/>
        </w:rPr>
        <w:t> Grant Maintained Schools proved to be a relatively short-lived category, but the broad principle of their organisation was maintained. In 1998 all Grant Maintained Schools were replaced by ‘foundation schools’.</w:t>
      </w:r>
    </w:p>
  </w:footnote>
  <w:footnote w:id="774">
    <w:p w14:paraId="07A9985F" w14:textId="2A13AAA9" w:rsidR="002F28B7" w:rsidRPr="00047A9D" w:rsidRDefault="002F28B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13469" w:rsidRPr="00047A9D">
        <w:rPr>
          <w:rFonts w:ascii="Times New Roman" w:hAnsi="Times New Roman" w:cs="Times New Roman"/>
          <w:sz w:val="22"/>
          <w:szCs w:val="22"/>
        </w:rPr>
        <w:t xml:space="preserve">Tomlinson, </w:t>
      </w:r>
      <w:r w:rsidR="00513469" w:rsidRPr="00047A9D">
        <w:rPr>
          <w:rFonts w:ascii="Times New Roman" w:hAnsi="Times New Roman" w:cs="Times New Roman"/>
          <w:i/>
          <w:sz w:val="22"/>
          <w:szCs w:val="22"/>
        </w:rPr>
        <w:t>Education and Race</w:t>
      </w:r>
      <w:r w:rsidR="00513469" w:rsidRPr="00047A9D">
        <w:rPr>
          <w:rFonts w:ascii="Times New Roman" w:hAnsi="Times New Roman" w:cs="Times New Roman"/>
          <w:sz w:val="22"/>
          <w:szCs w:val="22"/>
        </w:rPr>
        <w:t>, p.112.</w:t>
      </w:r>
    </w:p>
  </w:footnote>
  <w:footnote w:id="775">
    <w:p w14:paraId="49197AAD" w14:textId="3B6A9818" w:rsidR="0092023B" w:rsidRPr="00047A9D" w:rsidRDefault="0092023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35DC9" w:rsidRPr="00047A9D">
        <w:rPr>
          <w:rFonts w:ascii="Times New Roman" w:hAnsi="Times New Roman" w:cs="Times New Roman"/>
          <w:sz w:val="22"/>
          <w:szCs w:val="22"/>
        </w:rPr>
        <w:t xml:space="preserve">Tomlinson, </w:t>
      </w:r>
      <w:r w:rsidR="00435DC9" w:rsidRPr="00047A9D">
        <w:rPr>
          <w:rFonts w:ascii="Times New Roman" w:hAnsi="Times New Roman" w:cs="Times New Roman"/>
          <w:i/>
          <w:sz w:val="22"/>
          <w:szCs w:val="22"/>
        </w:rPr>
        <w:t>Education and Race</w:t>
      </w:r>
      <w:r w:rsidR="00435DC9" w:rsidRPr="00047A9D">
        <w:rPr>
          <w:rFonts w:ascii="Times New Roman" w:hAnsi="Times New Roman" w:cs="Times New Roman"/>
          <w:sz w:val="22"/>
          <w:szCs w:val="22"/>
        </w:rPr>
        <w:t>, p.112.</w:t>
      </w:r>
    </w:p>
  </w:footnote>
  <w:footnote w:id="776">
    <w:p w14:paraId="54813923" w14:textId="73297220" w:rsidR="00C879D5" w:rsidRPr="00047A9D" w:rsidRDefault="00C879D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D0052" w:rsidRPr="00047A9D">
        <w:rPr>
          <w:rFonts w:ascii="Times New Roman" w:hAnsi="Times New Roman" w:cs="Times New Roman"/>
          <w:sz w:val="22"/>
          <w:szCs w:val="22"/>
        </w:rPr>
        <w:t xml:space="preserve">Carter and Grosvenor, </w:t>
      </w:r>
      <w:r w:rsidR="00ED0052" w:rsidRPr="00047A9D">
        <w:rPr>
          <w:rFonts w:ascii="Times New Roman" w:hAnsi="Times New Roman" w:cs="Times New Roman"/>
          <w:i/>
          <w:sz w:val="22"/>
          <w:szCs w:val="22"/>
        </w:rPr>
        <w:t xml:space="preserve">The Apostles of Purity, </w:t>
      </w:r>
      <w:r w:rsidR="00ED0052" w:rsidRPr="00047A9D">
        <w:rPr>
          <w:rFonts w:ascii="Times New Roman" w:hAnsi="Times New Roman" w:cs="Times New Roman"/>
          <w:sz w:val="22"/>
          <w:szCs w:val="22"/>
        </w:rPr>
        <w:t>p.</w:t>
      </w:r>
      <w:r w:rsidR="009E2D91" w:rsidRPr="00047A9D">
        <w:rPr>
          <w:rFonts w:ascii="Times New Roman" w:hAnsi="Times New Roman" w:cs="Times New Roman"/>
          <w:sz w:val="22"/>
          <w:szCs w:val="22"/>
        </w:rPr>
        <w:t>31.</w:t>
      </w:r>
    </w:p>
  </w:footnote>
  <w:footnote w:id="777">
    <w:p w14:paraId="14B97570" w14:textId="69CF716D" w:rsidR="009E2D91" w:rsidRPr="00047A9D" w:rsidRDefault="009E2D9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303E0" w:rsidRPr="00047A9D">
        <w:rPr>
          <w:rFonts w:ascii="Times New Roman" w:hAnsi="Times New Roman" w:cs="Times New Roman"/>
          <w:sz w:val="22"/>
          <w:szCs w:val="22"/>
        </w:rPr>
        <w:t xml:space="preserve">Moore, </w:t>
      </w:r>
      <w:r w:rsidR="009303E0" w:rsidRPr="00047A9D">
        <w:rPr>
          <w:rFonts w:ascii="Times New Roman" w:hAnsi="Times New Roman" w:cs="Times New Roman"/>
          <w:i/>
          <w:sz w:val="22"/>
          <w:szCs w:val="22"/>
        </w:rPr>
        <w:t>Herself Alone</w:t>
      </w:r>
      <w:r w:rsidR="009303E0" w:rsidRPr="00047A9D">
        <w:rPr>
          <w:rFonts w:ascii="Times New Roman" w:hAnsi="Times New Roman" w:cs="Times New Roman"/>
          <w:sz w:val="22"/>
          <w:szCs w:val="22"/>
        </w:rPr>
        <w:t>, p.64.</w:t>
      </w:r>
    </w:p>
  </w:footnote>
  <w:footnote w:id="778">
    <w:p w14:paraId="25C4D815" w14:textId="5128816E" w:rsidR="0069742C" w:rsidRPr="00047A9D" w:rsidRDefault="0069742C" w:rsidP="00D839D4">
      <w:pPr>
        <w:pStyle w:val="NoSpacing"/>
        <w:spacing w:line="360" w:lineRule="auto"/>
        <w:rPr>
          <w:sz w:val="22"/>
        </w:rPr>
      </w:pPr>
      <w:r w:rsidRPr="00047A9D">
        <w:rPr>
          <w:rStyle w:val="FootnoteReference"/>
          <w:sz w:val="22"/>
        </w:rPr>
        <w:footnoteRef/>
      </w:r>
      <w:r w:rsidRPr="00047A9D">
        <w:rPr>
          <w:sz w:val="22"/>
        </w:rPr>
        <w:t xml:space="preserve"> </w:t>
      </w:r>
      <w:r w:rsidR="00D20153" w:rsidRPr="00047A9D">
        <w:rPr>
          <w:sz w:val="22"/>
        </w:rPr>
        <w:t>National Archives</w:t>
      </w:r>
      <w:r w:rsidR="001B33F3" w:rsidRPr="00047A9D">
        <w:rPr>
          <w:sz w:val="22"/>
        </w:rPr>
        <w:t xml:space="preserve">, </w:t>
      </w:r>
      <w:r w:rsidR="00D20153" w:rsidRPr="00047A9D">
        <w:rPr>
          <w:sz w:val="22"/>
        </w:rPr>
        <w:t xml:space="preserve">London </w:t>
      </w:r>
      <w:r w:rsidR="001B33F3" w:rsidRPr="00047A9D">
        <w:rPr>
          <w:sz w:val="22"/>
        </w:rPr>
        <w:t>(</w:t>
      </w:r>
      <w:r w:rsidR="00D20153" w:rsidRPr="00047A9D">
        <w:rPr>
          <w:sz w:val="22"/>
        </w:rPr>
        <w:t>NAL</w:t>
      </w:r>
      <w:r w:rsidR="001B33F3" w:rsidRPr="00047A9D">
        <w:rPr>
          <w:sz w:val="22"/>
        </w:rPr>
        <w:t>)</w:t>
      </w:r>
      <w:r w:rsidR="00D20153" w:rsidRPr="00047A9D">
        <w:rPr>
          <w:sz w:val="22"/>
        </w:rPr>
        <w:t xml:space="preserve">: </w:t>
      </w:r>
      <w:r w:rsidR="004129EF" w:rsidRPr="00047A9D">
        <w:rPr>
          <w:sz w:val="22"/>
        </w:rPr>
        <w:t xml:space="preserve">Brian Griffiths, ‘National Curriculum: History Working Party’, </w:t>
      </w:r>
      <w:r w:rsidR="00B81786" w:rsidRPr="00047A9D">
        <w:rPr>
          <w:sz w:val="22"/>
        </w:rPr>
        <w:t>16 December 1988</w:t>
      </w:r>
      <w:r w:rsidR="004129EF" w:rsidRPr="00047A9D">
        <w:rPr>
          <w:sz w:val="22"/>
        </w:rPr>
        <w:t>,</w:t>
      </w:r>
      <w:r w:rsidR="007124B8" w:rsidRPr="00047A9D">
        <w:rPr>
          <w:sz w:val="22"/>
        </w:rPr>
        <w:t xml:space="preserve"> pp.2-3,</w:t>
      </w:r>
      <w:r w:rsidR="004129EF" w:rsidRPr="00047A9D">
        <w:rPr>
          <w:sz w:val="22"/>
        </w:rPr>
        <w:t xml:space="preserve"> in </w:t>
      </w:r>
      <w:r w:rsidR="0063045A" w:rsidRPr="00047A9D">
        <w:rPr>
          <w:sz w:val="22"/>
        </w:rPr>
        <w:t>‘</w:t>
      </w:r>
      <w:r w:rsidR="007124B8" w:rsidRPr="00047A9D">
        <w:rPr>
          <w:sz w:val="22"/>
        </w:rPr>
        <w:t xml:space="preserve">Records of the Prime Minister's Office: Correspondence and Papers, 1979-1997: EDUCATION. General </w:t>
      </w:r>
      <w:r w:rsidR="00661811" w:rsidRPr="00047A9D">
        <w:rPr>
          <w:sz w:val="22"/>
        </w:rPr>
        <w:t>P</w:t>
      </w:r>
      <w:r w:rsidR="007124B8" w:rsidRPr="00047A9D">
        <w:rPr>
          <w:sz w:val="22"/>
        </w:rPr>
        <w:t xml:space="preserve">olicy on </w:t>
      </w:r>
      <w:r w:rsidR="00661811" w:rsidRPr="00047A9D">
        <w:rPr>
          <w:sz w:val="22"/>
        </w:rPr>
        <w:t>E</w:t>
      </w:r>
      <w:r w:rsidR="007124B8" w:rsidRPr="00047A9D">
        <w:rPr>
          <w:sz w:val="22"/>
        </w:rPr>
        <w:t xml:space="preserve">ducation: </w:t>
      </w:r>
      <w:r w:rsidR="00661811" w:rsidRPr="00047A9D">
        <w:rPr>
          <w:sz w:val="22"/>
        </w:rPr>
        <w:t>P</w:t>
      </w:r>
      <w:r w:rsidR="007124B8" w:rsidRPr="00047A9D">
        <w:rPr>
          <w:sz w:val="22"/>
        </w:rPr>
        <w:t>art 20</w:t>
      </w:r>
      <w:r w:rsidR="0063045A" w:rsidRPr="00047A9D">
        <w:rPr>
          <w:sz w:val="22"/>
        </w:rPr>
        <w:t>’,</w:t>
      </w:r>
      <w:r w:rsidR="00C53017" w:rsidRPr="00047A9D">
        <w:rPr>
          <w:sz w:val="22"/>
        </w:rPr>
        <w:t xml:space="preserve"> </w:t>
      </w:r>
      <w:r w:rsidR="007124B8" w:rsidRPr="00047A9D">
        <w:rPr>
          <w:sz w:val="22"/>
        </w:rPr>
        <w:t>PREM 19/2643</w:t>
      </w:r>
      <w:r w:rsidR="0063045A" w:rsidRPr="00047A9D">
        <w:rPr>
          <w:sz w:val="22"/>
        </w:rPr>
        <w:t>.</w:t>
      </w:r>
    </w:p>
  </w:footnote>
  <w:footnote w:id="779">
    <w:p w14:paraId="5C51E369" w14:textId="0ABB7AD1" w:rsidR="006065C5" w:rsidRPr="00047A9D" w:rsidRDefault="006065C5" w:rsidP="00D839D4">
      <w:pPr>
        <w:pStyle w:val="FootnoteText"/>
        <w:spacing w:line="360" w:lineRule="auto"/>
        <w:rPr>
          <w:rFonts w:ascii="Times New Roman" w:hAnsi="Times New Roman" w:cs="Times New Roman"/>
          <w:b/>
          <w:b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20153" w:rsidRPr="00047A9D">
        <w:rPr>
          <w:rFonts w:ascii="Times New Roman" w:hAnsi="Times New Roman" w:cs="Times New Roman"/>
          <w:sz w:val="22"/>
          <w:szCs w:val="22"/>
        </w:rPr>
        <w:t xml:space="preserve">NAL: </w:t>
      </w:r>
      <w:r w:rsidR="00175B87" w:rsidRPr="00047A9D">
        <w:rPr>
          <w:rFonts w:ascii="Times New Roman" w:hAnsi="Times New Roman" w:cs="Times New Roman"/>
          <w:sz w:val="22"/>
          <w:szCs w:val="22"/>
        </w:rPr>
        <w:t>Margaret Thatcher, marginalia on letter from Kenneth Baker, ‘Prime Minister: National Curriculum History Working Group: Announcement’</w:t>
      </w:r>
      <w:r w:rsidR="001607F5" w:rsidRPr="00047A9D">
        <w:rPr>
          <w:rFonts w:ascii="Times New Roman" w:hAnsi="Times New Roman" w:cs="Times New Roman"/>
          <w:sz w:val="22"/>
          <w:szCs w:val="22"/>
        </w:rPr>
        <w:t>, December 1988, n.p.,</w:t>
      </w:r>
      <w:r w:rsidR="005431F3" w:rsidRPr="00047A9D">
        <w:rPr>
          <w:rFonts w:ascii="Times New Roman" w:hAnsi="Times New Roman" w:cs="Times New Roman"/>
          <w:sz w:val="22"/>
          <w:szCs w:val="22"/>
        </w:rPr>
        <w:t xml:space="preserve"> PREM 19/2643.</w:t>
      </w:r>
    </w:p>
  </w:footnote>
  <w:footnote w:id="780">
    <w:p w14:paraId="6F7D08BE" w14:textId="6CD922C9" w:rsidR="00C3624E" w:rsidRPr="00047A9D" w:rsidRDefault="00C3624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31413" w:rsidRPr="00047A9D">
        <w:rPr>
          <w:rFonts w:ascii="Times New Roman" w:hAnsi="Times New Roman" w:cs="Times New Roman"/>
          <w:sz w:val="22"/>
          <w:szCs w:val="22"/>
        </w:rPr>
        <w:t>Kenneth Baker, letter to Margaret Thatcher, ‘National Curriculum History Working Group: Announcement’, 5 January 1989, n.p., PREM 19/2643.</w:t>
      </w:r>
    </w:p>
  </w:footnote>
  <w:footnote w:id="781">
    <w:p w14:paraId="79517455" w14:textId="484A0F1C" w:rsidR="005E19CA" w:rsidRPr="00047A9D" w:rsidRDefault="005E19C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6781C" w:rsidRPr="00047A9D">
        <w:rPr>
          <w:rFonts w:ascii="Times New Roman" w:hAnsi="Times New Roman" w:cs="Times New Roman"/>
          <w:sz w:val="22"/>
          <w:szCs w:val="22"/>
        </w:rPr>
        <w:t>Transcript of i</w:t>
      </w:r>
      <w:r w:rsidR="004F47B7" w:rsidRPr="00047A9D">
        <w:rPr>
          <w:rFonts w:ascii="Times New Roman" w:hAnsi="Times New Roman" w:cs="Times New Roman"/>
          <w:sz w:val="22"/>
          <w:szCs w:val="22"/>
        </w:rPr>
        <w:t xml:space="preserve">nterview with </w:t>
      </w:r>
      <w:r w:rsidR="00D94EB4" w:rsidRPr="00047A9D">
        <w:rPr>
          <w:rFonts w:ascii="Times New Roman" w:hAnsi="Times New Roman" w:cs="Times New Roman"/>
          <w:sz w:val="22"/>
          <w:szCs w:val="22"/>
        </w:rPr>
        <w:t>Peter Marshall</w:t>
      </w:r>
      <w:r w:rsidR="0006781C" w:rsidRPr="00047A9D">
        <w:rPr>
          <w:rFonts w:ascii="Times New Roman" w:hAnsi="Times New Roman" w:cs="Times New Roman"/>
          <w:sz w:val="22"/>
          <w:szCs w:val="22"/>
        </w:rPr>
        <w:t>, p</w:t>
      </w:r>
      <w:r w:rsidR="001B49D3" w:rsidRPr="00047A9D">
        <w:rPr>
          <w:rFonts w:ascii="Times New Roman" w:hAnsi="Times New Roman" w:cs="Times New Roman"/>
          <w:sz w:val="22"/>
          <w:szCs w:val="22"/>
        </w:rPr>
        <w:t>.</w:t>
      </w:r>
      <w:r w:rsidR="009F1919" w:rsidRPr="00047A9D">
        <w:rPr>
          <w:rFonts w:ascii="Times New Roman" w:hAnsi="Times New Roman" w:cs="Times New Roman"/>
          <w:sz w:val="22"/>
          <w:szCs w:val="22"/>
        </w:rPr>
        <w:t>1</w:t>
      </w:r>
      <w:r w:rsidR="004F47B7" w:rsidRPr="00047A9D">
        <w:rPr>
          <w:rFonts w:ascii="Times New Roman" w:hAnsi="Times New Roman" w:cs="Times New Roman"/>
          <w:sz w:val="22"/>
          <w:szCs w:val="22"/>
        </w:rPr>
        <w:t>. Interviewed by Nicola Sheldon</w:t>
      </w:r>
      <w:r w:rsidR="0006781C" w:rsidRPr="00047A9D">
        <w:rPr>
          <w:rFonts w:ascii="Times New Roman" w:hAnsi="Times New Roman" w:cs="Times New Roman"/>
          <w:sz w:val="22"/>
          <w:szCs w:val="22"/>
        </w:rPr>
        <w:t>,</w:t>
      </w:r>
      <w:r w:rsidR="004F47B7" w:rsidRPr="00047A9D">
        <w:rPr>
          <w:rFonts w:ascii="Times New Roman" w:hAnsi="Times New Roman" w:cs="Times New Roman"/>
          <w:sz w:val="22"/>
          <w:szCs w:val="22"/>
        </w:rPr>
        <w:t xml:space="preserve"> </w:t>
      </w:r>
      <w:r w:rsidR="00D94EB4" w:rsidRPr="00047A9D">
        <w:rPr>
          <w:rFonts w:ascii="Times New Roman" w:hAnsi="Times New Roman" w:cs="Times New Roman"/>
          <w:sz w:val="22"/>
          <w:szCs w:val="22"/>
        </w:rPr>
        <w:t>11</w:t>
      </w:r>
      <w:r w:rsidR="004F47B7" w:rsidRPr="00047A9D">
        <w:rPr>
          <w:rFonts w:ascii="Times New Roman" w:hAnsi="Times New Roman" w:cs="Times New Roman"/>
          <w:sz w:val="22"/>
          <w:szCs w:val="22"/>
        </w:rPr>
        <w:t xml:space="preserve"> August 2009. </w:t>
      </w:r>
      <w:r w:rsidR="0006781C" w:rsidRPr="00047A9D">
        <w:rPr>
          <w:rFonts w:ascii="Times New Roman" w:hAnsi="Times New Roman" w:cs="Times New Roman"/>
          <w:sz w:val="22"/>
          <w:szCs w:val="22"/>
        </w:rPr>
        <w:t>Transcribed by</w:t>
      </w:r>
      <w:r w:rsidR="009F1919" w:rsidRPr="00047A9D">
        <w:rPr>
          <w:rFonts w:ascii="Times New Roman" w:hAnsi="Times New Roman" w:cs="Times New Roman"/>
          <w:sz w:val="22"/>
          <w:szCs w:val="22"/>
        </w:rPr>
        <w:t xml:space="preserve"> Susan Nicholls</w:t>
      </w:r>
      <w:r w:rsidR="003D5262" w:rsidRPr="00047A9D">
        <w:rPr>
          <w:rFonts w:ascii="Times New Roman" w:hAnsi="Times New Roman" w:cs="Times New Roman"/>
          <w:sz w:val="22"/>
          <w:szCs w:val="22"/>
        </w:rPr>
        <w:t xml:space="preserve">. </w:t>
      </w:r>
      <w:r w:rsidR="002825E3" w:rsidRPr="00047A9D">
        <w:rPr>
          <w:rFonts w:ascii="Times New Roman" w:hAnsi="Times New Roman" w:cs="Times New Roman"/>
          <w:sz w:val="22"/>
          <w:szCs w:val="22"/>
        </w:rPr>
        <w:t>IHR</w:t>
      </w:r>
      <w:r w:rsidR="004F47B7" w:rsidRPr="00047A9D">
        <w:rPr>
          <w:rFonts w:ascii="Times New Roman" w:hAnsi="Times New Roman" w:cs="Times New Roman"/>
          <w:sz w:val="22"/>
          <w:szCs w:val="22"/>
        </w:rPr>
        <w:t xml:space="preserve">: </w:t>
      </w:r>
      <w:r w:rsidR="001A0BB2" w:rsidRPr="00047A9D">
        <w:rPr>
          <w:rFonts w:ascii="Times New Roman" w:hAnsi="Times New Roman" w:cs="Times New Roman"/>
          <w:sz w:val="22"/>
          <w:szCs w:val="22"/>
        </w:rPr>
        <w:t>HiEP</w:t>
      </w:r>
      <w:r w:rsidR="004F47B7" w:rsidRPr="00047A9D">
        <w:rPr>
          <w:rFonts w:ascii="Times New Roman" w:hAnsi="Times New Roman" w:cs="Times New Roman"/>
          <w:sz w:val="22"/>
          <w:szCs w:val="22"/>
        </w:rPr>
        <w:t>. &lt;</w:t>
      </w:r>
      <w:r w:rsidR="00B622EE" w:rsidRPr="00047A9D">
        <w:rPr>
          <w:rFonts w:ascii="Times New Roman" w:hAnsi="Times New Roman" w:cs="Times New Roman"/>
          <w:sz w:val="22"/>
          <w:szCs w:val="22"/>
        </w:rPr>
        <w:t>https://archives.history.ac.uk/history-in-education/browse/interviews/interview-peter-marshall-11-august-2009.html</w:t>
      </w:r>
      <w:r w:rsidR="00D94EB4" w:rsidRPr="00047A9D">
        <w:rPr>
          <w:rFonts w:ascii="Times New Roman" w:hAnsi="Times New Roman" w:cs="Times New Roman"/>
          <w:sz w:val="22"/>
          <w:szCs w:val="22"/>
        </w:rPr>
        <w:t xml:space="preserve"> </w:t>
      </w:r>
      <w:r w:rsidR="004F47B7" w:rsidRPr="00047A9D">
        <w:rPr>
          <w:rFonts w:ascii="Times New Roman" w:hAnsi="Times New Roman" w:cs="Times New Roman"/>
          <w:sz w:val="22"/>
          <w:szCs w:val="22"/>
        </w:rPr>
        <w:t>&gt; [last accessed 16 January 2025].</w:t>
      </w:r>
    </w:p>
  </w:footnote>
  <w:footnote w:id="782">
    <w:p w14:paraId="0F2824C8" w14:textId="539EBF99" w:rsidR="00AA30B8" w:rsidRPr="00047A9D" w:rsidRDefault="00AA30B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81A2D" w:rsidRPr="00047A9D">
        <w:rPr>
          <w:rFonts w:ascii="Times New Roman" w:hAnsi="Times New Roman" w:cs="Times New Roman"/>
          <w:sz w:val="22"/>
          <w:szCs w:val="22"/>
        </w:rPr>
        <w:t>Alice Prochaska, ‘The History Working Group: Reflections and Diary’, </w:t>
      </w:r>
      <w:r w:rsidR="00481A2D" w:rsidRPr="00047A9D">
        <w:rPr>
          <w:rFonts w:ascii="Times New Roman" w:hAnsi="Times New Roman" w:cs="Times New Roman"/>
          <w:i/>
          <w:sz w:val="22"/>
          <w:szCs w:val="22"/>
        </w:rPr>
        <w:t>History Workshop Journal</w:t>
      </w:r>
      <w:r w:rsidR="00481A2D" w:rsidRPr="00047A9D">
        <w:rPr>
          <w:rFonts w:ascii="Times New Roman" w:hAnsi="Times New Roman" w:cs="Times New Roman"/>
          <w:sz w:val="22"/>
          <w:szCs w:val="22"/>
        </w:rPr>
        <w:t xml:space="preserve"> 30.1 (Autumn 1990), 80–90, p.</w:t>
      </w:r>
      <w:r w:rsidR="007A7D58" w:rsidRPr="00047A9D">
        <w:rPr>
          <w:rFonts w:ascii="Times New Roman" w:hAnsi="Times New Roman" w:cs="Times New Roman"/>
          <w:sz w:val="22"/>
          <w:szCs w:val="22"/>
        </w:rPr>
        <w:t>84.</w:t>
      </w:r>
    </w:p>
  </w:footnote>
  <w:footnote w:id="783">
    <w:p w14:paraId="1B6487EE" w14:textId="458C52B7" w:rsidR="00BF33BF" w:rsidRPr="00047A9D" w:rsidRDefault="00BF33B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20A66" w:rsidRPr="00047A9D">
        <w:rPr>
          <w:rFonts w:ascii="Times New Roman" w:hAnsi="Times New Roman" w:cs="Times New Roman"/>
          <w:sz w:val="22"/>
          <w:szCs w:val="22"/>
        </w:rPr>
        <w:t>See related comments in</w:t>
      </w:r>
      <w:r w:rsidR="007711DF" w:rsidRPr="00047A9D">
        <w:rPr>
          <w:rFonts w:ascii="Times New Roman" w:hAnsi="Times New Roman" w:cs="Times New Roman"/>
          <w:sz w:val="22"/>
          <w:szCs w:val="22"/>
        </w:rPr>
        <w:t xml:space="preserve"> transcript of</w:t>
      </w:r>
      <w:r w:rsidR="00020A66" w:rsidRPr="00047A9D">
        <w:rPr>
          <w:rFonts w:ascii="Times New Roman" w:hAnsi="Times New Roman" w:cs="Times New Roman"/>
          <w:sz w:val="22"/>
          <w:szCs w:val="22"/>
        </w:rPr>
        <w:t xml:space="preserve"> i</w:t>
      </w:r>
      <w:r w:rsidR="00955DA1" w:rsidRPr="00047A9D">
        <w:rPr>
          <w:rFonts w:ascii="Times New Roman" w:hAnsi="Times New Roman" w:cs="Times New Roman"/>
          <w:sz w:val="22"/>
          <w:szCs w:val="22"/>
        </w:rPr>
        <w:t xml:space="preserve">nterview with </w:t>
      </w:r>
      <w:r w:rsidR="001C5AB1" w:rsidRPr="00047A9D">
        <w:rPr>
          <w:rFonts w:ascii="Times New Roman" w:hAnsi="Times New Roman" w:cs="Times New Roman"/>
          <w:sz w:val="22"/>
          <w:szCs w:val="22"/>
        </w:rPr>
        <w:t>Kenneth Clarke</w:t>
      </w:r>
      <w:r w:rsidR="00E67B22" w:rsidRPr="00047A9D">
        <w:rPr>
          <w:rFonts w:ascii="Times New Roman" w:hAnsi="Times New Roman" w:cs="Times New Roman"/>
          <w:sz w:val="22"/>
          <w:szCs w:val="22"/>
        </w:rPr>
        <w:t>,</w:t>
      </w:r>
      <w:r w:rsidR="001C5AB1" w:rsidRPr="00047A9D">
        <w:rPr>
          <w:rFonts w:ascii="Times New Roman" w:hAnsi="Times New Roman" w:cs="Times New Roman"/>
          <w:sz w:val="22"/>
          <w:szCs w:val="22"/>
        </w:rPr>
        <w:t xml:space="preserve"> QC</w:t>
      </w:r>
      <w:r w:rsidR="00E67B22" w:rsidRPr="00047A9D">
        <w:rPr>
          <w:rFonts w:ascii="Times New Roman" w:hAnsi="Times New Roman" w:cs="Times New Roman"/>
          <w:sz w:val="22"/>
          <w:szCs w:val="22"/>
        </w:rPr>
        <w:t>,</w:t>
      </w:r>
      <w:r w:rsidR="001C5AB1" w:rsidRPr="00047A9D">
        <w:rPr>
          <w:rFonts w:ascii="Times New Roman" w:hAnsi="Times New Roman" w:cs="Times New Roman"/>
          <w:sz w:val="22"/>
          <w:szCs w:val="22"/>
        </w:rPr>
        <w:t xml:space="preserve"> MP</w:t>
      </w:r>
      <w:r w:rsidR="00EA1194" w:rsidRPr="00047A9D">
        <w:rPr>
          <w:rFonts w:ascii="Times New Roman" w:hAnsi="Times New Roman" w:cs="Times New Roman"/>
          <w:sz w:val="22"/>
          <w:szCs w:val="22"/>
        </w:rPr>
        <w:t>, p.6</w:t>
      </w:r>
      <w:r w:rsidR="00955DA1" w:rsidRPr="00047A9D">
        <w:rPr>
          <w:rFonts w:ascii="Times New Roman" w:hAnsi="Times New Roman" w:cs="Times New Roman"/>
          <w:sz w:val="22"/>
          <w:szCs w:val="22"/>
        </w:rPr>
        <w:t>. Interviewed by</w:t>
      </w:r>
      <w:r w:rsidR="00E15E8E" w:rsidRPr="00047A9D">
        <w:rPr>
          <w:rFonts w:ascii="Times New Roman" w:hAnsi="Times New Roman" w:cs="Times New Roman"/>
          <w:sz w:val="22"/>
          <w:szCs w:val="22"/>
        </w:rPr>
        <w:t xml:space="preserve"> </w:t>
      </w:r>
      <w:r w:rsidR="00955DA1" w:rsidRPr="00047A9D">
        <w:rPr>
          <w:rFonts w:ascii="Times New Roman" w:hAnsi="Times New Roman" w:cs="Times New Roman"/>
          <w:sz w:val="22"/>
          <w:szCs w:val="22"/>
        </w:rPr>
        <w:t>Nicola Sheldon</w:t>
      </w:r>
      <w:r w:rsidR="007711DF" w:rsidRPr="00047A9D">
        <w:rPr>
          <w:rFonts w:ascii="Times New Roman" w:hAnsi="Times New Roman" w:cs="Times New Roman"/>
          <w:sz w:val="22"/>
          <w:szCs w:val="22"/>
        </w:rPr>
        <w:t>,</w:t>
      </w:r>
      <w:r w:rsidR="00955DA1" w:rsidRPr="00047A9D">
        <w:rPr>
          <w:rFonts w:ascii="Times New Roman" w:hAnsi="Times New Roman" w:cs="Times New Roman"/>
          <w:sz w:val="22"/>
          <w:szCs w:val="22"/>
        </w:rPr>
        <w:t xml:space="preserve"> </w:t>
      </w:r>
      <w:r w:rsidR="001C5AB1" w:rsidRPr="00047A9D">
        <w:rPr>
          <w:rFonts w:ascii="Times New Roman" w:hAnsi="Times New Roman" w:cs="Times New Roman"/>
          <w:sz w:val="22"/>
          <w:szCs w:val="22"/>
        </w:rPr>
        <w:t>28 January 2010</w:t>
      </w:r>
      <w:r w:rsidR="00955DA1" w:rsidRPr="00047A9D">
        <w:rPr>
          <w:rFonts w:ascii="Times New Roman" w:hAnsi="Times New Roman" w:cs="Times New Roman"/>
          <w:sz w:val="22"/>
          <w:szCs w:val="22"/>
        </w:rPr>
        <w:t>.</w:t>
      </w:r>
      <w:r w:rsidR="007711DF" w:rsidRPr="00047A9D">
        <w:rPr>
          <w:rFonts w:ascii="Times New Roman" w:hAnsi="Times New Roman" w:cs="Times New Roman"/>
          <w:sz w:val="22"/>
          <w:szCs w:val="22"/>
        </w:rPr>
        <w:t xml:space="preserve"> Transcribed by </w:t>
      </w:r>
      <w:r w:rsidR="002B6BBA" w:rsidRPr="00047A9D">
        <w:rPr>
          <w:rFonts w:ascii="Times New Roman" w:hAnsi="Times New Roman" w:cs="Times New Roman"/>
          <w:sz w:val="22"/>
          <w:szCs w:val="22"/>
        </w:rPr>
        <w:t>PageSix Transcription Services</w:t>
      </w:r>
      <w:r w:rsidR="007711DF" w:rsidRPr="00047A9D">
        <w:rPr>
          <w:rFonts w:ascii="Times New Roman" w:hAnsi="Times New Roman" w:cs="Times New Roman"/>
          <w:sz w:val="22"/>
          <w:szCs w:val="22"/>
        </w:rPr>
        <w:t>.</w:t>
      </w:r>
      <w:r w:rsidR="00955DA1" w:rsidRPr="00047A9D">
        <w:rPr>
          <w:rFonts w:ascii="Times New Roman" w:hAnsi="Times New Roman" w:cs="Times New Roman"/>
          <w:sz w:val="22"/>
          <w:szCs w:val="22"/>
        </w:rPr>
        <w:t xml:space="preserve"> </w:t>
      </w:r>
      <w:r w:rsidR="007711DF" w:rsidRPr="00047A9D">
        <w:rPr>
          <w:rFonts w:ascii="Times New Roman" w:hAnsi="Times New Roman" w:cs="Times New Roman"/>
          <w:sz w:val="22"/>
          <w:szCs w:val="22"/>
        </w:rPr>
        <w:t>IHR</w:t>
      </w:r>
      <w:r w:rsidR="00955DA1" w:rsidRPr="00047A9D">
        <w:rPr>
          <w:rFonts w:ascii="Times New Roman" w:hAnsi="Times New Roman" w:cs="Times New Roman"/>
          <w:sz w:val="22"/>
          <w:szCs w:val="22"/>
        </w:rPr>
        <w:t xml:space="preserve">: </w:t>
      </w:r>
      <w:r w:rsidR="001A0BB2" w:rsidRPr="00047A9D">
        <w:rPr>
          <w:rFonts w:ascii="Times New Roman" w:hAnsi="Times New Roman" w:cs="Times New Roman"/>
          <w:sz w:val="22"/>
          <w:szCs w:val="22"/>
        </w:rPr>
        <w:t>HiEP</w:t>
      </w:r>
      <w:r w:rsidR="00955DA1" w:rsidRPr="00047A9D">
        <w:rPr>
          <w:rFonts w:ascii="Times New Roman" w:hAnsi="Times New Roman" w:cs="Times New Roman"/>
          <w:sz w:val="22"/>
          <w:szCs w:val="22"/>
        </w:rPr>
        <w:t>. &lt;</w:t>
      </w:r>
      <w:r w:rsidR="00020A66" w:rsidRPr="00047A9D">
        <w:rPr>
          <w:rFonts w:ascii="Times New Roman" w:hAnsi="Times New Roman" w:cs="Times New Roman"/>
          <w:sz w:val="22"/>
          <w:szCs w:val="22"/>
        </w:rPr>
        <w:t>https://archives.history.ac.uk/history-in-education/browse/interviews/interview-kenneth-clarke-28-january-2010.html</w:t>
      </w:r>
      <w:r w:rsidR="00955DA1" w:rsidRPr="00047A9D">
        <w:rPr>
          <w:rFonts w:ascii="Times New Roman" w:hAnsi="Times New Roman" w:cs="Times New Roman"/>
          <w:sz w:val="22"/>
          <w:szCs w:val="22"/>
        </w:rPr>
        <w:t xml:space="preserve"> &gt; [last accessed 16 January 2025].</w:t>
      </w:r>
    </w:p>
  </w:footnote>
  <w:footnote w:id="784">
    <w:p w14:paraId="35304CAE" w14:textId="181449B4" w:rsidR="002B6BBA" w:rsidRPr="00047A9D" w:rsidRDefault="002B6BB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B1EB6" w:rsidRPr="00047A9D">
        <w:rPr>
          <w:rFonts w:ascii="Times New Roman" w:hAnsi="Times New Roman" w:cs="Times New Roman"/>
          <w:sz w:val="22"/>
          <w:szCs w:val="22"/>
        </w:rPr>
        <w:t xml:space="preserve">Transcript of interview with </w:t>
      </w:r>
      <w:r w:rsidR="00540A6B" w:rsidRPr="00047A9D">
        <w:rPr>
          <w:rFonts w:ascii="Times New Roman" w:hAnsi="Times New Roman" w:cs="Times New Roman"/>
          <w:sz w:val="22"/>
          <w:szCs w:val="22"/>
        </w:rPr>
        <w:t>Chris Culpin</w:t>
      </w:r>
      <w:r w:rsidR="003B1EB6" w:rsidRPr="00047A9D">
        <w:rPr>
          <w:rFonts w:ascii="Times New Roman" w:hAnsi="Times New Roman" w:cs="Times New Roman"/>
          <w:sz w:val="22"/>
          <w:szCs w:val="22"/>
        </w:rPr>
        <w:t>, p.1</w:t>
      </w:r>
      <w:r w:rsidR="00540A6B" w:rsidRPr="00047A9D">
        <w:rPr>
          <w:rFonts w:ascii="Times New Roman" w:hAnsi="Times New Roman" w:cs="Times New Roman"/>
          <w:sz w:val="22"/>
          <w:szCs w:val="22"/>
        </w:rPr>
        <w:t>3</w:t>
      </w:r>
      <w:r w:rsidR="003B1EB6" w:rsidRPr="00047A9D">
        <w:rPr>
          <w:rFonts w:ascii="Times New Roman" w:hAnsi="Times New Roman" w:cs="Times New Roman"/>
          <w:sz w:val="22"/>
          <w:szCs w:val="22"/>
        </w:rPr>
        <w:t xml:space="preserve">. Interviewed by Nicola Sheldon, </w:t>
      </w:r>
      <w:r w:rsidR="00C02C88" w:rsidRPr="00047A9D">
        <w:rPr>
          <w:rFonts w:ascii="Times New Roman" w:hAnsi="Times New Roman" w:cs="Times New Roman"/>
          <w:sz w:val="22"/>
          <w:szCs w:val="22"/>
        </w:rPr>
        <w:t>22</w:t>
      </w:r>
      <w:r w:rsidR="003B1EB6" w:rsidRPr="00047A9D">
        <w:rPr>
          <w:rFonts w:ascii="Times New Roman" w:hAnsi="Times New Roman" w:cs="Times New Roman"/>
          <w:sz w:val="22"/>
          <w:szCs w:val="22"/>
        </w:rPr>
        <w:t xml:space="preserve"> </w:t>
      </w:r>
      <w:r w:rsidR="00C02C88" w:rsidRPr="00047A9D">
        <w:rPr>
          <w:rFonts w:ascii="Times New Roman" w:hAnsi="Times New Roman" w:cs="Times New Roman"/>
          <w:sz w:val="22"/>
          <w:szCs w:val="22"/>
        </w:rPr>
        <w:t>September</w:t>
      </w:r>
      <w:r w:rsidR="003B1EB6" w:rsidRPr="00047A9D">
        <w:rPr>
          <w:rFonts w:ascii="Times New Roman" w:hAnsi="Times New Roman" w:cs="Times New Roman"/>
          <w:sz w:val="22"/>
          <w:szCs w:val="22"/>
        </w:rPr>
        <w:t xml:space="preserve"> 2009. Transcribed by Susan Nicholls. IHR: </w:t>
      </w:r>
      <w:r w:rsidR="001A0BB2" w:rsidRPr="00047A9D">
        <w:rPr>
          <w:rFonts w:ascii="Times New Roman" w:hAnsi="Times New Roman" w:cs="Times New Roman"/>
          <w:sz w:val="22"/>
          <w:szCs w:val="22"/>
        </w:rPr>
        <w:t>HiEP</w:t>
      </w:r>
      <w:r w:rsidR="003B1EB6" w:rsidRPr="00047A9D">
        <w:rPr>
          <w:rFonts w:ascii="Times New Roman" w:hAnsi="Times New Roman" w:cs="Times New Roman"/>
          <w:sz w:val="22"/>
          <w:szCs w:val="22"/>
        </w:rPr>
        <w:t>. &lt;https://archives.history.ac.uk/history-in-education/browse/interviews/interview-peter-marshall-11-august-2009.html &gt; [last accessed 16 January 2025].</w:t>
      </w:r>
    </w:p>
  </w:footnote>
  <w:footnote w:id="785">
    <w:p w14:paraId="7AB17FA1" w14:textId="535AE630" w:rsidR="00540A6B" w:rsidRPr="00047A9D" w:rsidRDefault="00540A6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D6039" w:rsidRPr="00047A9D">
        <w:rPr>
          <w:rFonts w:ascii="Times New Roman" w:hAnsi="Times New Roman" w:cs="Times New Roman"/>
          <w:sz w:val="22"/>
          <w:szCs w:val="22"/>
        </w:rPr>
        <w:t xml:space="preserve">NAL: </w:t>
      </w:r>
      <w:r w:rsidR="00C9393C" w:rsidRPr="00047A9D">
        <w:rPr>
          <w:rFonts w:ascii="Times New Roman" w:hAnsi="Times New Roman" w:cs="Times New Roman"/>
          <w:sz w:val="22"/>
          <w:szCs w:val="22"/>
        </w:rPr>
        <w:t xml:space="preserve">Margaret Thatcher, </w:t>
      </w:r>
      <w:r w:rsidR="00943965" w:rsidRPr="00047A9D">
        <w:rPr>
          <w:rFonts w:ascii="Times New Roman" w:hAnsi="Times New Roman" w:cs="Times New Roman"/>
          <w:sz w:val="22"/>
          <w:szCs w:val="22"/>
        </w:rPr>
        <w:t>m</w:t>
      </w:r>
      <w:r w:rsidR="00C9393C" w:rsidRPr="00047A9D">
        <w:rPr>
          <w:rFonts w:ascii="Times New Roman" w:hAnsi="Times New Roman" w:cs="Times New Roman"/>
          <w:sz w:val="22"/>
          <w:szCs w:val="22"/>
        </w:rPr>
        <w:t>arginalia on letter ‘Paul Gray to Thatcher on National Curriculum: History’, 5 January 1989, n.p., PREM 19/2643.</w:t>
      </w:r>
    </w:p>
  </w:footnote>
  <w:footnote w:id="786">
    <w:p w14:paraId="66AA76D3" w14:textId="4BA1CE97" w:rsidR="005A5A01" w:rsidRPr="00047A9D" w:rsidRDefault="005A5A0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1780D" w:rsidRPr="00047A9D">
        <w:rPr>
          <w:rFonts w:ascii="Times New Roman" w:hAnsi="Times New Roman" w:cs="Times New Roman"/>
          <w:sz w:val="22"/>
          <w:szCs w:val="22"/>
        </w:rPr>
        <w:t>Transcript of interview with Chris Culpin, pp.13-14.</w:t>
      </w:r>
    </w:p>
  </w:footnote>
  <w:footnote w:id="787">
    <w:p w14:paraId="004C1BE4" w14:textId="1676FE7D" w:rsidR="00E1780D" w:rsidRPr="00047A9D" w:rsidRDefault="00E1780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E6DF6" w:rsidRPr="00047A9D">
        <w:rPr>
          <w:rFonts w:ascii="Times New Roman" w:hAnsi="Times New Roman" w:cs="Times New Roman"/>
          <w:sz w:val="22"/>
          <w:szCs w:val="22"/>
        </w:rPr>
        <w:t xml:space="preserve">Hillgate Group, </w:t>
      </w:r>
      <w:r w:rsidR="00FE6DF6" w:rsidRPr="00047A9D">
        <w:rPr>
          <w:rFonts w:ascii="Times New Roman" w:hAnsi="Times New Roman" w:cs="Times New Roman"/>
          <w:i/>
          <w:sz w:val="22"/>
          <w:szCs w:val="22"/>
        </w:rPr>
        <w:t>Whose Schools? A Radical Manifesto</w:t>
      </w:r>
      <w:r w:rsidR="00FE6DF6" w:rsidRPr="00047A9D">
        <w:rPr>
          <w:rFonts w:ascii="Times New Roman" w:hAnsi="Times New Roman" w:cs="Times New Roman"/>
          <w:sz w:val="22"/>
          <w:szCs w:val="22"/>
        </w:rPr>
        <w:t xml:space="preserve"> </w:t>
      </w:r>
      <w:r w:rsidR="00CB3C3D" w:rsidRPr="00047A9D">
        <w:rPr>
          <w:rFonts w:ascii="Times New Roman" w:hAnsi="Times New Roman" w:cs="Times New Roman"/>
          <w:sz w:val="22"/>
          <w:szCs w:val="22"/>
        </w:rPr>
        <w:t>(London: The Hillgate Group</w:t>
      </w:r>
      <w:r w:rsidR="00F23B1E" w:rsidRPr="00047A9D">
        <w:rPr>
          <w:rFonts w:ascii="Times New Roman" w:hAnsi="Times New Roman" w:cs="Times New Roman"/>
          <w:sz w:val="22"/>
          <w:szCs w:val="22"/>
        </w:rPr>
        <w:t>, 1968</w:t>
      </w:r>
      <w:r w:rsidR="00F23B1E" w:rsidRPr="00047A9D">
        <w:rPr>
          <w:rFonts w:ascii="Times New Roman" w:hAnsi="Times New Roman" w:cs="Times New Roman"/>
          <w:b/>
          <w:bCs/>
          <w:sz w:val="22"/>
          <w:szCs w:val="22"/>
        </w:rPr>
        <w:t>)</w:t>
      </w:r>
      <w:r w:rsidR="00FE6DF6" w:rsidRPr="00047A9D">
        <w:rPr>
          <w:rFonts w:ascii="Times New Roman" w:hAnsi="Times New Roman" w:cs="Times New Roman"/>
          <w:sz w:val="22"/>
          <w:szCs w:val="22"/>
        </w:rPr>
        <w:t>, pp.5-7.</w:t>
      </w:r>
    </w:p>
  </w:footnote>
  <w:footnote w:id="788">
    <w:p w14:paraId="4828260F" w14:textId="068579A5" w:rsidR="00F23B1E" w:rsidRPr="00047A9D" w:rsidRDefault="00F23B1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908E5" w:rsidRPr="00047A9D">
        <w:rPr>
          <w:rFonts w:ascii="Times New Roman" w:hAnsi="Times New Roman" w:cs="Times New Roman"/>
          <w:i/>
          <w:sz w:val="22"/>
          <w:szCs w:val="22"/>
        </w:rPr>
        <w:t>Final Report</w:t>
      </w:r>
      <w:r w:rsidR="00B908E5" w:rsidRPr="00047A9D">
        <w:rPr>
          <w:rFonts w:ascii="Times New Roman" w:hAnsi="Times New Roman" w:cs="Times New Roman"/>
          <w:sz w:val="22"/>
          <w:szCs w:val="22"/>
        </w:rPr>
        <w:t>, p.187.</w:t>
      </w:r>
    </w:p>
  </w:footnote>
  <w:footnote w:id="789">
    <w:p w14:paraId="14461CAA" w14:textId="423A5255" w:rsidR="00B908E5" w:rsidRPr="00047A9D" w:rsidRDefault="00B908E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D168D" w:rsidRPr="00047A9D">
        <w:rPr>
          <w:rFonts w:ascii="Times New Roman" w:hAnsi="Times New Roman" w:cs="Times New Roman"/>
          <w:sz w:val="22"/>
          <w:szCs w:val="22"/>
        </w:rPr>
        <w:t xml:space="preserve">Phillips, </w:t>
      </w:r>
      <w:r w:rsidR="00DD168D" w:rsidRPr="00047A9D">
        <w:rPr>
          <w:rFonts w:ascii="Times New Roman" w:hAnsi="Times New Roman" w:cs="Times New Roman"/>
          <w:i/>
          <w:sz w:val="22"/>
          <w:szCs w:val="22"/>
        </w:rPr>
        <w:t>History Teaching</w:t>
      </w:r>
      <w:r w:rsidR="00DD168D" w:rsidRPr="00047A9D">
        <w:rPr>
          <w:rFonts w:ascii="Times New Roman" w:hAnsi="Times New Roman" w:cs="Times New Roman"/>
          <w:sz w:val="22"/>
          <w:szCs w:val="22"/>
        </w:rPr>
        <w:t>, p.80.</w:t>
      </w:r>
    </w:p>
  </w:footnote>
  <w:footnote w:id="790">
    <w:p w14:paraId="36E61186" w14:textId="499857B4" w:rsidR="000C1A42" w:rsidRPr="00047A9D" w:rsidRDefault="000C1A4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177D6" w:rsidRPr="00047A9D">
        <w:rPr>
          <w:rFonts w:ascii="Times New Roman" w:hAnsi="Times New Roman" w:cs="Times New Roman"/>
          <w:i/>
          <w:sz w:val="22"/>
          <w:szCs w:val="22"/>
        </w:rPr>
        <w:t>Final Report</w:t>
      </w:r>
      <w:r w:rsidR="007177D6" w:rsidRPr="00047A9D">
        <w:rPr>
          <w:rFonts w:ascii="Times New Roman" w:hAnsi="Times New Roman" w:cs="Times New Roman"/>
          <w:sz w:val="22"/>
          <w:szCs w:val="22"/>
        </w:rPr>
        <w:t>, p.189.</w:t>
      </w:r>
    </w:p>
  </w:footnote>
  <w:footnote w:id="791">
    <w:p w14:paraId="4D52762E" w14:textId="761C4FBB" w:rsidR="00381A57" w:rsidRPr="00047A9D" w:rsidRDefault="00381A5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w:t>
      </w:r>
      <w:r w:rsidR="001E0764" w:rsidRPr="00047A9D">
        <w:rPr>
          <w:rFonts w:ascii="Times New Roman" w:hAnsi="Times New Roman" w:cs="Times New Roman"/>
          <w:sz w:val="22"/>
          <w:szCs w:val="22"/>
        </w:rPr>
        <w:t xml:space="preserve"> Mark Bradley</w:t>
      </w:r>
      <w:r w:rsidR="00841B46" w:rsidRPr="00047A9D">
        <w:rPr>
          <w:rFonts w:ascii="Times New Roman" w:hAnsi="Times New Roman" w:cs="Times New Roman"/>
          <w:sz w:val="22"/>
          <w:szCs w:val="22"/>
        </w:rPr>
        <w:t xml:space="preserve"> </w:t>
      </w:r>
      <w:r w:rsidR="001E0764" w:rsidRPr="00047A9D">
        <w:rPr>
          <w:rFonts w:ascii="Times New Roman" w:hAnsi="Times New Roman" w:cs="Times New Roman"/>
          <w:sz w:val="22"/>
          <w:szCs w:val="22"/>
        </w:rPr>
        <w:t xml:space="preserve">(ed.), </w:t>
      </w:r>
      <w:r w:rsidR="001E0764" w:rsidRPr="00047A9D">
        <w:rPr>
          <w:rFonts w:ascii="Times New Roman" w:hAnsi="Times New Roman" w:cs="Times New Roman"/>
          <w:i/>
          <w:sz w:val="22"/>
          <w:szCs w:val="22"/>
        </w:rPr>
        <w:t>Classics and Imperialism in the British Empire</w:t>
      </w:r>
      <w:r w:rsidR="001E0764" w:rsidRPr="00047A9D">
        <w:rPr>
          <w:rFonts w:ascii="Times New Roman" w:hAnsi="Times New Roman" w:cs="Times New Roman"/>
          <w:sz w:val="22"/>
          <w:szCs w:val="22"/>
        </w:rPr>
        <w:t xml:space="preserve"> (Oxford: </w:t>
      </w:r>
      <w:r w:rsidR="00F65D56" w:rsidRPr="00047A9D">
        <w:rPr>
          <w:rFonts w:ascii="Times New Roman" w:hAnsi="Times New Roman" w:cs="Times New Roman"/>
          <w:sz w:val="22"/>
          <w:szCs w:val="22"/>
        </w:rPr>
        <w:t>OUP</w:t>
      </w:r>
      <w:r w:rsidR="001E0764" w:rsidRPr="00047A9D">
        <w:rPr>
          <w:rFonts w:ascii="Times New Roman" w:hAnsi="Times New Roman" w:cs="Times New Roman"/>
          <w:sz w:val="22"/>
          <w:szCs w:val="22"/>
        </w:rPr>
        <w:t>, 2010).</w:t>
      </w:r>
    </w:p>
  </w:footnote>
  <w:footnote w:id="792">
    <w:p w14:paraId="7D24BE26" w14:textId="00090C88" w:rsidR="001E0764" w:rsidRPr="00047A9D" w:rsidRDefault="001E076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D30C0" w:rsidRPr="00047A9D">
        <w:rPr>
          <w:rFonts w:ascii="Times New Roman" w:hAnsi="Times New Roman" w:cs="Times New Roman"/>
          <w:sz w:val="22"/>
          <w:szCs w:val="22"/>
        </w:rPr>
        <w:t xml:space="preserve">NAL: </w:t>
      </w:r>
      <w:r w:rsidR="00152F05" w:rsidRPr="00047A9D">
        <w:rPr>
          <w:rFonts w:ascii="Times New Roman" w:hAnsi="Times New Roman" w:cs="Times New Roman"/>
          <w:sz w:val="22"/>
          <w:szCs w:val="22"/>
        </w:rPr>
        <w:t>John Roberts, ‘</w:t>
      </w:r>
      <w:r w:rsidR="00232AF6" w:rsidRPr="00047A9D">
        <w:rPr>
          <w:rFonts w:ascii="Times New Roman" w:hAnsi="Times New Roman" w:cs="Times New Roman"/>
          <w:sz w:val="22"/>
          <w:szCs w:val="22"/>
        </w:rPr>
        <w:t>The Construction of Programmes of Study</w:t>
      </w:r>
      <w:r w:rsidR="00152F05" w:rsidRPr="00047A9D">
        <w:rPr>
          <w:rFonts w:ascii="Times New Roman" w:hAnsi="Times New Roman" w:cs="Times New Roman"/>
          <w:sz w:val="22"/>
          <w:szCs w:val="22"/>
        </w:rPr>
        <w:t xml:space="preserve">’, </w:t>
      </w:r>
      <w:r w:rsidR="00232AF6" w:rsidRPr="00047A9D">
        <w:rPr>
          <w:rFonts w:ascii="Times New Roman" w:hAnsi="Times New Roman" w:cs="Times New Roman"/>
          <w:sz w:val="22"/>
          <w:szCs w:val="22"/>
        </w:rPr>
        <w:t>9</w:t>
      </w:r>
      <w:r w:rsidR="00152F05" w:rsidRPr="00047A9D">
        <w:rPr>
          <w:rFonts w:ascii="Times New Roman" w:hAnsi="Times New Roman" w:cs="Times New Roman"/>
          <w:sz w:val="22"/>
          <w:szCs w:val="22"/>
        </w:rPr>
        <w:t xml:space="preserve"> April 19</w:t>
      </w:r>
      <w:r w:rsidR="00232AF6" w:rsidRPr="00047A9D">
        <w:rPr>
          <w:rFonts w:ascii="Times New Roman" w:hAnsi="Times New Roman" w:cs="Times New Roman"/>
          <w:sz w:val="22"/>
          <w:szCs w:val="22"/>
        </w:rPr>
        <w:t>89</w:t>
      </w:r>
      <w:r w:rsidR="007A2B0A" w:rsidRPr="00047A9D">
        <w:rPr>
          <w:rFonts w:ascii="Times New Roman" w:hAnsi="Times New Roman" w:cs="Times New Roman"/>
          <w:sz w:val="22"/>
          <w:szCs w:val="22"/>
        </w:rPr>
        <w:t>, n.p.,</w:t>
      </w:r>
      <w:r w:rsidR="00661811" w:rsidRPr="00047A9D">
        <w:rPr>
          <w:rFonts w:ascii="Times New Roman" w:hAnsi="Times New Roman" w:cs="Times New Roman"/>
          <w:sz w:val="22"/>
          <w:szCs w:val="22"/>
        </w:rPr>
        <w:t xml:space="preserve"> in</w:t>
      </w:r>
      <w:r w:rsidR="007A2B0A" w:rsidRPr="00047A9D">
        <w:rPr>
          <w:rFonts w:ascii="Times New Roman" w:hAnsi="Times New Roman" w:cs="Times New Roman"/>
          <w:sz w:val="22"/>
          <w:szCs w:val="22"/>
        </w:rPr>
        <w:t xml:space="preserve"> </w:t>
      </w:r>
      <w:r w:rsidR="00661811" w:rsidRPr="00047A9D">
        <w:rPr>
          <w:rFonts w:ascii="Times New Roman" w:hAnsi="Times New Roman" w:cs="Times New Roman"/>
          <w:sz w:val="22"/>
          <w:szCs w:val="22"/>
        </w:rPr>
        <w:t>‘National Curriculum: History Working Group; Meeting 6, 20 April 1989; Minutes and Papers; Programmes of Study and Ranges of Levels of Attainment’, ED 183/294</w:t>
      </w:r>
      <w:r w:rsidR="009D30C0" w:rsidRPr="00047A9D">
        <w:rPr>
          <w:rFonts w:ascii="Times New Roman" w:hAnsi="Times New Roman" w:cs="Times New Roman"/>
          <w:sz w:val="22"/>
          <w:szCs w:val="22"/>
        </w:rPr>
        <w:t>.</w:t>
      </w:r>
    </w:p>
  </w:footnote>
  <w:footnote w:id="793">
    <w:p w14:paraId="40811B1D" w14:textId="45E17BFC" w:rsidR="00065E17" w:rsidRPr="00047A9D" w:rsidRDefault="00065E1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22050" w:rsidRPr="00047A9D">
        <w:rPr>
          <w:rFonts w:ascii="Times New Roman" w:hAnsi="Times New Roman" w:cs="Times New Roman"/>
          <w:sz w:val="22"/>
          <w:szCs w:val="22"/>
        </w:rPr>
        <w:t>Prochaska, ‘The History Working Group’, pp.86-87.</w:t>
      </w:r>
    </w:p>
  </w:footnote>
  <w:footnote w:id="794">
    <w:p w14:paraId="5E63A1C5" w14:textId="629A85A5" w:rsidR="00D019A4" w:rsidRPr="00047A9D" w:rsidRDefault="00D019A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16E97" w:rsidRPr="00047A9D">
        <w:rPr>
          <w:rFonts w:ascii="Times New Roman" w:hAnsi="Times New Roman" w:cs="Times New Roman"/>
          <w:sz w:val="22"/>
          <w:szCs w:val="22"/>
        </w:rPr>
        <w:t xml:space="preserve">NAL: </w:t>
      </w:r>
      <w:r w:rsidR="00160F36" w:rsidRPr="00047A9D">
        <w:rPr>
          <w:rFonts w:ascii="Times New Roman" w:hAnsi="Times New Roman" w:cs="Times New Roman"/>
          <w:sz w:val="22"/>
          <w:szCs w:val="22"/>
        </w:rPr>
        <w:t>‘Expansion, Trade and Industry: c1700-1860’, n.d., n.p.,</w:t>
      </w:r>
      <w:r w:rsidR="00BB2C18" w:rsidRPr="00047A9D">
        <w:rPr>
          <w:rFonts w:ascii="Times New Roman" w:hAnsi="Times New Roman" w:cs="Times New Roman"/>
          <w:sz w:val="22"/>
          <w:szCs w:val="22"/>
        </w:rPr>
        <w:t xml:space="preserve"> in</w:t>
      </w:r>
      <w:r w:rsidR="00160F36" w:rsidRPr="00047A9D">
        <w:rPr>
          <w:rFonts w:ascii="Times New Roman" w:hAnsi="Times New Roman" w:cs="Times New Roman"/>
          <w:sz w:val="22"/>
          <w:szCs w:val="22"/>
        </w:rPr>
        <w:t xml:space="preserve"> </w:t>
      </w:r>
      <w:r w:rsidR="005E6E82" w:rsidRPr="00047A9D">
        <w:rPr>
          <w:rFonts w:ascii="Times New Roman" w:hAnsi="Times New Roman" w:cs="Times New Roman"/>
          <w:sz w:val="22"/>
          <w:szCs w:val="22"/>
        </w:rPr>
        <w:t>‘</w:t>
      </w:r>
      <w:r w:rsidR="00DC0494" w:rsidRPr="00047A9D">
        <w:rPr>
          <w:rFonts w:ascii="Times New Roman" w:hAnsi="Times New Roman" w:cs="Times New Roman"/>
          <w:sz w:val="22"/>
          <w:szCs w:val="22"/>
        </w:rPr>
        <w:t xml:space="preserve">National Curriculum: History Working Group; </w:t>
      </w:r>
      <w:r w:rsidR="005E6E82" w:rsidRPr="00047A9D">
        <w:rPr>
          <w:rFonts w:ascii="Times New Roman" w:hAnsi="Times New Roman" w:cs="Times New Roman"/>
          <w:sz w:val="22"/>
          <w:szCs w:val="22"/>
        </w:rPr>
        <w:t>M</w:t>
      </w:r>
      <w:r w:rsidR="00DC0494" w:rsidRPr="00047A9D">
        <w:rPr>
          <w:rFonts w:ascii="Times New Roman" w:hAnsi="Times New Roman" w:cs="Times New Roman"/>
          <w:sz w:val="22"/>
          <w:szCs w:val="22"/>
        </w:rPr>
        <w:t xml:space="preserve">eeting 13, 29 August-1 September 1989; </w:t>
      </w:r>
      <w:r w:rsidR="005E6E82" w:rsidRPr="00047A9D">
        <w:rPr>
          <w:rFonts w:ascii="Times New Roman" w:hAnsi="Times New Roman" w:cs="Times New Roman"/>
          <w:sz w:val="22"/>
          <w:szCs w:val="22"/>
        </w:rPr>
        <w:t>M</w:t>
      </w:r>
      <w:r w:rsidR="00DC0494" w:rsidRPr="00047A9D">
        <w:rPr>
          <w:rFonts w:ascii="Times New Roman" w:hAnsi="Times New Roman" w:cs="Times New Roman"/>
          <w:sz w:val="22"/>
          <w:szCs w:val="22"/>
        </w:rPr>
        <w:t xml:space="preserve">inutes and </w:t>
      </w:r>
      <w:r w:rsidR="005E6E82" w:rsidRPr="00047A9D">
        <w:rPr>
          <w:rFonts w:ascii="Times New Roman" w:hAnsi="Times New Roman" w:cs="Times New Roman"/>
          <w:sz w:val="22"/>
          <w:szCs w:val="22"/>
        </w:rPr>
        <w:t>P</w:t>
      </w:r>
      <w:r w:rsidR="00DC0494" w:rsidRPr="00047A9D">
        <w:rPr>
          <w:rFonts w:ascii="Times New Roman" w:hAnsi="Times New Roman" w:cs="Times New Roman"/>
          <w:sz w:val="22"/>
          <w:szCs w:val="22"/>
        </w:rPr>
        <w:t xml:space="preserve">apers; </w:t>
      </w:r>
      <w:r w:rsidR="005E6E82" w:rsidRPr="00047A9D">
        <w:rPr>
          <w:rFonts w:ascii="Times New Roman" w:hAnsi="Times New Roman" w:cs="Times New Roman"/>
          <w:sz w:val="22"/>
          <w:szCs w:val="22"/>
        </w:rPr>
        <w:t>P</w:t>
      </w:r>
      <w:r w:rsidR="00DC0494" w:rsidRPr="00047A9D">
        <w:rPr>
          <w:rFonts w:ascii="Times New Roman" w:hAnsi="Times New Roman" w:cs="Times New Roman"/>
          <w:sz w:val="22"/>
          <w:szCs w:val="22"/>
        </w:rPr>
        <w:t>roposed Programmes of Study at Key Stage 2’, ED 183/299</w:t>
      </w:r>
      <w:r w:rsidR="005E6E82" w:rsidRPr="00047A9D">
        <w:rPr>
          <w:rFonts w:ascii="Times New Roman" w:hAnsi="Times New Roman" w:cs="Times New Roman"/>
          <w:sz w:val="22"/>
          <w:szCs w:val="22"/>
        </w:rPr>
        <w:t>.</w:t>
      </w:r>
    </w:p>
  </w:footnote>
  <w:footnote w:id="795">
    <w:p w14:paraId="464F0EF3" w14:textId="356B6510" w:rsidR="009A40AA" w:rsidRPr="00047A9D" w:rsidRDefault="009A40A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16E97" w:rsidRPr="00047A9D">
        <w:rPr>
          <w:rFonts w:ascii="Times New Roman" w:hAnsi="Times New Roman" w:cs="Times New Roman"/>
          <w:sz w:val="22"/>
          <w:szCs w:val="22"/>
        </w:rPr>
        <w:t xml:space="preserve">NAL: </w:t>
      </w:r>
      <w:r w:rsidR="00D87079" w:rsidRPr="00047A9D">
        <w:rPr>
          <w:rFonts w:ascii="Times New Roman" w:hAnsi="Times New Roman" w:cs="Times New Roman"/>
          <w:sz w:val="22"/>
          <w:szCs w:val="22"/>
        </w:rPr>
        <w:t>‘Towards a Fleshing out of KS3 POS (Mainly AT1)</w:t>
      </w:r>
      <w:r w:rsidR="005A521E" w:rsidRPr="00047A9D">
        <w:rPr>
          <w:rFonts w:ascii="Times New Roman" w:hAnsi="Times New Roman" w:cs="Times New Roman"/>
          <w:sz w:val="22"/>
          <w:szCs w:val="22"/>
        </w:rPr>
        <w:t>’,</w:t>
      </w:r>
      <w:r w:rsidR="00E824DA" w:rsidRPr="00047A9D">
        <w:rPr>
          <w:rFonts w:ascii="Times New Roman" w:hAnsi="Times New Roman" w:cs="Times New Roman"/>
          <w:sz w:val="22"/>
          <w:szCs w:val="22"/>
        </w:rPr>
        <w:t xml:space="preserve"> 5 May 1989</w:t>
      </w:r>
      <w:r w:rsidR="00906C84" w:rsidRPr="00047A9D">
        <w:rPr>
          <w:rFonts w:ascii="Times New Roman" w:hAnsi="Times New Roman" w:cs="Times New Roman"/>
          <w:sz w:val="22"/>
          <w:szCs w:val="22"/>
        </w:rPr>
        <w:t>,</w:t>
      </w:r>
      <w:r w:rsidR="005A521E" w:rsidRPr="00047A9D">
        <w:rPr>
          <w:rFonts w:ascii="Times New Roman" w:hAnsi="Times New Roman" w:cs="Times New Roman"/>
          <w:sz w:val="22"/>
          <w:szCs w:val="22"/>
        </w:rPr>
        <w:t xml:space="preserve"> in </w:t>
      </w:r>
      <w:r w:rsidR="00AC4853" w:rsidRPr="00047A9D">
        <w:rPr>
          <w:rFonts w:ascii="Times New Roman" w:hAnsi="Times New Roman" w:cs="Times New Roman"/>
          <w:sz w:val="22"/>
          <w:szCs w:val="22"/>
        </w:rPr>
        <w:t xml:space="preserve">‘National Curriculum: History Working Group (HWG); </w:t>
      </w:r>
      <w:r w:rsidR="00C532C8" w:rsidRPr="00047A9D">
        <w:rPr>
          <w:rFonts w:ascii="Times New Roman" w:hAnsi="Times New Roman" w:cs="Times New Roman"/>
          <w:sz w:val="22"/>
          <w:szCs w:val="22"/>
        </w:rPr>
        <w:t>M</w:t>
      </w:r>
      <w:r w:rsidR="00AC4853" w:rsidRPr="00047A9D">
        <w:rPr>
          <w:rFonts w:ascii="Times New Roman" w:hAnsi="Times New Roman" w:cs="Times New Roman"/>
          <w:sz w:val="22"/>
          <w:szCs w:val="22"/>
        </w:rPr>
        <w:t xml:space="preserve">eeting 7, 8-10 May 1989; </w:t>
      </w:r>
      <w:r w:rsidR="00C532C8" w:rsidRPr="00047A9D">
        <w:rPr>
          <w:rFonts w:ascii="Times New Roman" w:hAnsi="Times New Roman" w:cs="Times New Roman"/>
          <w:sz w:val="22"/>
          <w:szCs w:val="22"/>
        </w:rPr>
        <w:t>Mi</w:t>
      </w:r>
      <w:r w:rsidR="00AC4853" w:rsidRPr="00047A9D">
        <w:rPr>
          <w:rFonts w:ascii="Times New Roman" w:hAnsi="Times New Roman" w:cs="Times New Roman"/>
          <w:sz w:val="22"/>
          <w:szCs w:val="22"/>
        </w:rPr>
        <w:t xml:space="preserve">nutes and </w:t>
      </w:r>
      <w:r w:rsidR="00C532C8" w:rsidRPr="00047A9D">
        <w:rPr>
          <w:rFonts w:ascii="Times New Roman" w:hAnsi="Times New Roman" w:cs="Times New Roman"/>
          <w:sz w:val="22"/>
          <w:szCs w:val="22"/>
        </w:rPr>
        <w:t>P</w:t>
      </w:r>
      <w:r w:rsidR="00AC4853" w:rsidRPr="00047A9D">
        <w:rPr>
          <w:rFonts w:ascii="Times New Roman" w:hAnsi="Times New Roman" w:cs="Times New Roman"/>
          <w:sz w:val="22"/>
          <w:szCs w:val="22"/>
        </w:rPr>
        <w:t xml:space="preserve">apers; </w:t>
      </w:r>
      <w:r w:rsidR="00C532C8" w:rsidRPr="00047A9D">
        <w:rPr>
          <w:rFonts w:ascii="Times New Roman" w:hAnsi="Times New Roman" w:cs="Times New Roman"/>
          <w:sz w:val="22"/>
          <w:szCs w:val="22"/>
        </w:rPr>
        <w:t>P</w:t>
      </w:r>
      <w:r w:rsidR="00AC4853" w:rsidRPr="00047A9D">
        <w:rPr>
          <w:rFonts w:ascii="Times New Roman" w:hAnsi="Times New Roman" w:cs="Times New Roman"/>
          <w:sz w:val="22"/>
          <w:szCs w:val="22"/>
        </w:rPr>
        <w:t>aper from HWG Primary Sub Group on Key Stage 1</w:t>
      </w:r>
      <w:r w:rsidR="00D87079" w:rsidRPr="00047A9D">
        <w:rPr>
          <w:rFonts w:ascii="Times New Roman" w:hAnsi="Times New Roman" w:cs="Times New Roman"/>
          <w:sz w:val="22"/>
          <w:szCs w:val="22"/>
        </w:rPr>
        <w:t>’</w:t>
      </w:r>
      <w:r w:rsidR="00C532C8" w:rsidRPr="00047A9D">
        <w:rPr>
          <w:rFonts w:ascii="Times New Roman" w:hAnsi="Times New Roman" w:cs="Times New Roman"/>
          <w:sz w:val="22"/>
          <w:szCs w:val="22"/>
        </w:rPr>
        <w:t xml:space="preserve">, </w:t>
      </w:r>
      <w:r w:rsidR="00AC4853" w:rsidRPr="00047A9D">
        <w:rPr>
          <w:rFonts w:ascii="Times New Roman" w:hAnsi="Times New Roman" w:cs="Times New Roman"/>
          <w:sz w:val="22"/>
          <w:szCs w:val="22"/>
        </w:rPr>
        <w:t>ED 183/295</w:t>
      </w:r>
      <w:r w:rsidR="00C532C8" w:rsidRPr="00047A9D">
        <w:rPr>
          <w:rFonts w:ascii="Times New Roman" w:hAnsi="Times New Roman" w:cs="Times New Roman"/>
          <w:sz w:val="22"/>
          <w:szCs w:val="22"/>
        </w:rPr>
        <w:t>.</w:t>
      </w:r>
    </w:p>
  </w:footnote>
  <w:footnote w:id="796">
    <w:p w14:paraId="3A9BF37A" w14:textId="0E70AB8C" w:rsidR="000E28A3" w:rsidRPr="00047A9D" w:rsidRDefault="000E28A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‘Towards a Fleshing out of KS3 POS’, </w:t>
      </w:r>
      <w:r w:rsidR="00D17823" w:rsidRPr="00047A9D">
        <w:rPr>
          <w:rFonts w:ascii="Times New Roman" w:hAnsi="Times New Roman" w:cs="Times New Roman"/>
          <w:sz w:val="22"/>
          <w:szCs w:val="22"/>
        </w:rPr>
        <w:t>p</w:t>
      </w:r>
      <w:r w:rsidR="002B75E6" w:rsidRPr="00047A9D">
        <w:rPr>
          <w:rFonts w:ascii="Times New Roman" w:hAnsi="Times New Roman" w:cs="Times New Roman"/>
          <w:sz w:val="22"/>
          <w:szCs w:val="22"/>
        </w:rPr>
        <w:t>.4.</w:t>
      </w:r>
    </w:p>
  </w:footnote>
  <w:footnote w:id="797">
    <w:p w14:paraId="12910EE1" w14:textId="3E85AABB" w:rsidR="002B75E6" w:rsidRPr="00047A9D" w:rsidRDefault="002B75E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46296" w:rsidRPr="00047A9D">
        <w:rPr>
          <w:rFonts w:ascii="Times New Roman" w:hAnsi="Times New Roman" w:cs="Times New Roman"/>
          <w:sz w:val="22"/>
          <w:szCs w:val="22"/>
        </w:rPr>
        <w:t xml:space="preserve">‘Towards a Fleshing out of KS3 POS’, </w:t>
      </w:r>
      <w:r w:rsidR="002016F9" w:rsidRPr="00047A9D">
        <w:rPr>
          <w:rFonts w:ascii="Times New Roman" w:hAnsi="Times New Roman" w:cs="Times New Roman"/>
          <w:sz w:val="22"/>
          <w:szCs w:val="22"/>
        </w:rPr>
        <w:t>p.4.</w:t>
      </w:r>
    </w:p>
  </w:footnote>
  <w:footnote w:id="798">
    <w:p w14:paraId="2272DE8E" w14:textId="5A510A9C" w:rsidR="002016F9" w:rsidRPr="00047A9D" w:rsidRDefault="002016F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24750" w:rsidRPr="00047A9D">
        <w:rPr>
          <w:rFonts w:ascii="Times New Roman" w:hAnsi="Times New Roman" w:cs="Times New Roman"/>
          <w:sz w:val="22"/>
          <w:szCs w:val="22"/>
        </w:rPr>
        <w:t>Satia</w:t>
      </w:r>
      <w:r w:rsidR="00224750" w:rsidRPr="00047A9D">
        <w:rPr>
          <w:rFonts w:ascii="Times New Roman" w:hAnsi="Times New Roman" w:cs="Times New Roman"/>
          <w:i/>
          <w:sz w:val="22"/>
          <w:szCs w:val="22"/>
        </w:rPr>
        <w:t xml:space="preserve">, Time’s Monster, </w:t>
      </w:r>
      <w:r w:rsidR="00224750" w:rsidRPr="00047A9D">
        <w:rPr>
          <w:rFonts w:ascii="Times New Roman" w:hAnsi="Times New Roman" w:cs="Times New Roman"/>
          <w:sz w:val="22"/>
          <w:szCs w:val="22"/>
        </w:rPr>
        <w:t>pp.132, 145.</w:t>
      </w:r>
    </w:p>
  </w:footnote>
  <w:footnote w:id="799">
    <w:p w14:paraId="131765C1" w14:textId="3EC51AD4" w:rsidR="00EB5994" w:rsidRPr="00047A9D" w:rsidRDefault="00EB599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463488" w:rsidRPr="00047A9D">
        <w:rPr>
          <w:rFonts w:ascii="Times New Roman" w:hAnsi="Times New Roman" w:cs="Times New Roman"/>
          <w:sz w:val="22"/>
          <w:szCs w:val="22"/>
        </w:rPr>
        <w:t>‘Empires - Programme of Study’, 9 May 1989, n.p., in ‘National Curriculum: History Working Group; Meeting 9, 30 May-2 June 1989; Minutes and Papers; Programmes of Study at Key Stage 2’, ED 183/296.</w:t>
      </w:r>
    </w:p>
  </w:footnote>
  <w:footnote w:id="800">
    <w:p w14:paraId="34FD0510" w14:textId="399123C0" w:rsidR="006A2FA8" w:rsidRPr="00047A9D" w:rsidRDefault="006A2FA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161511" w:rsidRPr="00047A9D">
        <w:rPr>
          <w:rFonts w:ascii="Times New Roman" w:hAnsi="Times New Roman" w:cs="Times New Roman"/>
          <w:sz w:val="22"/>
          <w:szCs w:val="22"/>
        </w:rPr>
        <w:t>‘Minutes of the Fourteenth Meeting of the National Curriculum History Working Group on 29 September 1989’, n.p., in</w:t>
      </w:r>
      <w:r w:rsidR="00ED4580" w:rsidRPr="00047A9D">
        <w:rPr>
          <w:rFonts w:ascii="Times New Roman" w:hAnsi="Times New Roman" w:cs="Times New Roman"/>
          <w:sz w:val="22"/>
          <w:szCs w:val="22"/>
        </w:rPr>
        <w:t xml:space="preserve"> ‘National Curriculum: History Working Group; Meeting 15, 9-11 October 1989; Minutes and Papers; Proposals for Programmes of Study at Key Stages 2, 3 and 4’, ED 183/301.</w:t>
      </w:r>
    </w:p>
  </w:footnote>
  <w:footnote w:id="801">
    <w:p w14:paraId="1F83FDDC" w14:textId="4CC55E07" w:rsidR="007B2E5A" w:rsidRPr="00047A9D" w:rsidRDefault="007B2E5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57C5C" w:rsidRPr="00047A9D">
        <w:rPr>
          <w:rFonts w:ascii="Times New Roman" w:hAnsi="Times New Roman" w:cs="Times New Roman"/>
          <w:sz w:val="22"/>
          <w:szCs w:val="22"/>
        </w:rPr>
        <w:t>Transcript of interview with Peter Marshall</w:t>
      </w:r>
      <w:r w:rsidRPr="00047A9D">
        <w:rPr>
          <w:rFonts w:ascii="Times New Roman" w:hAnsi="Times New Roman" w:cs="Times New Roman"/>
          <w:sz w:val="22"/>
          <w:szCs w:val="22"/>
        </w:rPr>
        <w:t>, p.14.</w:t>
      </w:r>
    </w:p>
  </w:footnote>
  <w:footnote w:id="802">
    <w:p w14:paraId="118FF9E5" w14:textId="2A56D8E9" w:rsidR="00122227" w:rsidRPr="00047A9D" w:rsidRDefault="0012222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3F54AF" w:rsidRPr="00047A9D">
        <w:rPr>
          <w:rFonts w:ascii="Times New Roman" w:hAnsi="Times New Roman" w:cs="Times New Roman"/>
          <w:sz w:val="22"/>
          <w:szCs w:val="22"/>
        </w:rPr>
        <w:t>‘</w:t>
      </w:r>
      <w:r w:rsidR="00A95ADB" w:rsidRPr="00047A9D">
        <w:rPr>
          <w:rFonts w:ascii="Times New Roman" w:hAnsi="Times New Roman" w:cs="Times New Roman"/>
          <w:sz w:val="22"/>
          <w:szCs w:val="22"/>
        </w:rPr>
        <w:t xml:space="preserve">Minutes of the First Meeting of the National Curriculum History Working Group on Tuesday 24 January </w:t>
      </w:r>
      <w:r w:rsidR="003F54AF" w:rsidRPr="00047A9D">
        <w:rPr>
          <w:rFonts w:ascii="Times New Roman" w:hAnsi="Times New Roman" w:cs="Times New Roman"/>
          <w:sz w:val="22"/>
          <w:szCs w:val="22"/>
        </w:rPr>
        <w:t xml:space="preserve">1989’, n.p., </w:t>
      </w:r>
      <w:r w:rsidR="00A95ADB" w:rsidRPr="00047A9D">
        <w:rPr>
          <w:rFonts w:ascii="Times New Roman" w:hAnsi="Times New Roman" w:cs="Times New Roman"/>
          <w:sz w:val="22"/>
          <w:szCs w:val="22"/>
        </w:rPr>
        <w:t>ED 183/293</w:t>
      </w:r>
      <w:r w:rsidR="003F54AF" w:rsidRPr="00047A9D">
        <w:rPr>
          <w:rFonts w:ascii="Times New Roman" w:hAnsi="Times New Roman" w:cs="Times New Roman"/>
          <w:sz w:val="22"/>
          <w:szCs w:val="22"/>
        </w:rPr>
        <w:t>.</w:t>
      </w:r>
    </w:p>
  </w:footnote>
  <w:footnote w:id="803">
    <w:p w14:paraId="2F01E928" w14:textId="04CF3637" w:rsidR="003F54AF" w:rsidRPr="00047A9D" w:rsidRDefault="003F54A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F84BC0" w:rsidRPr="00047A9D">
        <w:rPr>
          <w:rFonts w:ascii="Times New Roman" w:hAnsi="Times New Roman" w:cs="Times New Roman"/>
          <w:sz w:val="22"/>
          <w:szCs w:val="22"/>
        </w:rPr>
        <w:t>‘</w:t>
      </w:r>
      <w:r w:rsidR="004E6534" w:rsidRPr="00047A9D">
        <w:rPr>
          <w:rFonts w:ascii="Times New Roman" w:hAnsi="Times New Roman" w:cs="Times New Roman"/>
          <w:sz w:val="22"/>
          <w:szCs w:val="22"/>
        </w:rPr>
        <w:t>Letter: Alice Prochaska to Ann Low-Beer</w:t>
      </w:r>
      <w:r w:rsidR="00F84BC0" w:rsidRPr="00047A9D">
        <w:rPr>
          <w:rFonts w:ascii="Times New Roman" w:hAnsi="Times New Roman" w:cs="Times New Roman"/>
          <w:sz w:val="22"/>
          <w:szCs w:val="22"/>
        </w:rPr>
        <w:t>’</w:t>
      </w:r>
      <w:r w:rsidR="004E6534" w:rsidRPr="00047A9D">
        <w:rPr>
          <w:rFonts w:ascii="Times New Roman" w:hAnsi="Times New Roman" w:cs="Times New Roman"/>
          <w:sz w:val="22"/>
          <w:szCs w:val="22"/>
        </w:rPr>
        <w:t>,</w:t>
      </w:r>
      <w:r w:rsidR="00F84BC0" w:rsidRPr="00047A9D">
        <w:rPr>
          <w:rFonts w:ascii="Times New Roman" w:hAnsi="Times New Roman" w:cs="Times New Roman"/>
          <w:sz w:val="22"/>
          <w:szCs w:val="22"/>
        </w:rPr>
        <w:t xml:space="preserve"> 5 October 1989,</w:t>
      </w:r>
      <w:r w:rsidR="004E6534" w:rsidRPr="00047A9D">
        <w:rPr>
          <w:rFonts w:ascii="Times New Roman" w:hAnsi="Times New Roman" w:cs="Times New Roman"/>
          <w:sz w:val="22"/>
          <w:szCs w:val="22"/>
        </w:rPr>
        <w:t xml:space="preserve"> ED 183/301</w:t>
      </w:r>
      <w:r w:rsidR="00F84BC0" w:rsidRPr="00047A9D">
        <w:rPr>
          <w:rFonts w:ascii="Times New Roman" w:hAnsi="Times New Roman" w:cs="Times New Roman"/>
          <w:sz w:val="22"/>
          <w:szCs w:val="22"/>
        </w:rPr>
        <w:t>.</w:t>
      </w:r>
    </w:p>
  </w:footnote>
  <w:footnote w:id="804">
    <w:p w14:paraId="6D79171E" w14:textId="09AAE5A8" w:rsidR="007523E3" w:rsidRPr="00047A9D" w:rsidRDefault="007523E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33D23" w:rsidRPr="00047A9D">
        <w:rPr>
          <w:rFonts w:ascii="Times New Roman" w:hAnsi="Times New Roman" w:cs="Times New Roman"/>
          <w:sz w:val="22"/>
          <w:szCs w:val="22"/>
        </w:rPr>
        <w:t>Phillips,</w:t>
      </w:r>
      <w:r w:rsidR="00D33D23" w:rsidRPr="00047A9D">
        <w:rPr>
          <w:rFonts w:ascii="Times New Roman" w:hAnsi="Times New Roman" w:cs="Times New Roman"/>
          <w:i/>
          <w:sz w:val="22"/>
          <w:szCs w:val="22"/>
        </w:rPr>
        <w:t xml:space="preserve"> History Teaching</w:t>
      </w:r>
      <w:r w:rsidR="00D33D23" w:rsidRPr="00047A9D">
        <w:rPr>
          <w:rFonts w:ascii="Times New Roman" w:hAnsi="Times New Roman" w:cs="Times New Roman"/>
          <w:sz w:val="22"/>
          <w:szCs w:val="22"/>
        </w:rPr>
        <w:t>, p .76.</w:t>
      </w:r>
    </w:p>
  </w:footnote>
  <w:footnote w:id="805">
    <w:p w14:paraId="4E95EA91" w14:textId="4E114988" w:rsidR="003F151E" w:rsidRPr="00047A9D" w:rsidRDefault="003F151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B4211" w:rsidRPr="00047A9D">
        <w:rPr>
          <w:rFonts w:ascii="Times New Roman" w:hAnsi="Times New Roman" w:cs="Times New Roman"/>
          <w:sz w:val="22"/>
          <w:szCs w:val="22"/>
        </w:rPr>
        <w:t>It would, in fact, go on to be included in Interim Report as ‘Islam and the Arabs: C7</w:t>
      </w:r>
      <w:r w:rsidR="00AB4211" w:rsidRPr="00047A9D">
        <w:rPr>
          <w:rFonts w:ascii="Times New Roman" w:hAnsi="Times New Roman" w:cs="Times New Roman"/>
          <w:sz w:val="22"/>
          <w:szCs w:val="22"/>
          <w:vertAlign w:val="superscript"/>
        </w:rPr>
        <w:t>th</w:t>
      </w:r>
      <w:r w:rsidR="00AB4211" w:rsidRPr="00047A9D">
        <w:rPr>
          <w:rFonts w:ascii="Times New Roman" w:hAnsi="Times New Roman" w:cs="Times New Roman"/>
          <w:sz w:val="22"/>
          <w:szCs w:val="22"/>
        </w:rPr>
        <w:t>-C15</w:t>
      </w:r>
      <w:r w:rsidR="00AB4211" w:rsidRPr="00047A9D">
        <w:rPr>
          <w:rFonts w:ascii="Times New Roman" w:hAnsi="Times New Roman" w:cs="Times New Roman"/>
          <w:sz w:val="22"/>
          <w:szCs w:val="22"/>
          <w:vertAlign w:val="superscript"/>
        </w:rPr>
        <w:t>th</w:t>
      </w:r>
      <w:r w:rsidR="00AB4211" w:rsidRPr="00047A9D">
        <w:rPr>
          <w:rFonts w:ascii="Times New Roman" w:hAnsi="Times New Roman" w:cs="Times New Roman"/>
          <w:sz w:val="22"/>
          <w:szCs w:val="22"/>
        </w:rPr>
        <w:t>’ and in the Final Report as ‘Islamic Civilisation up to early C16</w:t>
      </w:r>
      <w:r w:rsidR="00AB4211" w:rsidRPr="00047A9D">
        <w:rPr>
          <w:rFonts w:ascii="Times New Roman" w:hAnsi="Times New Roman" w:cs="Times New Roman"/>
          <w:sz w:val="22"/>
          <w:szCs w:val="22"/>
          <w:vertAlign w:val="superscript"/>
        </w:rPr>
        <w:t>th</w:t>
      </w:r>
      <w:r w:rsidR="00AB4211" w:rsidRPr="00047A9D">
        <w:rPr>
          <w:rFonts w:ascii="Times New Roman" w:hAnsi="Times New Roman" w:cs="Times New Roman"/>
          <w:sz w:val="22"/>
          <w:szCs w:val="22"/>
        </w:rPr>
        <w:t>’.</w:t>
      </w:r>
    </w:p>
  </w:footnote>
  <w:footnote w:id="806">
    <w:p w14:paraId="0BA99D8F" w14:textId="3442DF29" w:rsidR="003F5842" w:rsidRPr="00047A9D" w:rsidRDefault="003F584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367FE" w:rsidRPr="00047A9D">
        <w:rPr>
          <w:rFonts w:ascii="Times New Roman" w:hAnsi="Times New Roman" w:cs="Times New Roman"/>
          <w:sz w:val="22"/>
          <w:szCs w:val="22"/>
        </w:rPr>
        <w:t>Prochaska, ‘The History Working Group’, p</w:t>
      </w:r>
      <w:r w:rsidR="003C3C9A" w:rsidRPr="00047A9D">
        <w:rPr>
          <w:rFonts w:ascii="Times New Roman" w:hAnsi="Times New Roman" w:cs="Times New Roman"/>
          <w:sz w:val="22"/>
          <w:szCs w:val="22"/>
        </w:rPr>
        <w:t>.</w:t>
      </w:r>
      <w:r w:rsidR="00A367FE" w:rsidRPr="00047A9D">
        <w:rPr>
          <w:rFonts w:ascii="Times New Roman" w:hAnsi="Times New Roman" w:cs="Times New Roman"/>
          <w:sz w:val="22"/>
          <w:szCs w:val="22"/>
        </w:rPr>
        <w:t>87.</w:t>
      </w:r>
    </w:p>
  </w:footnote>
  <w:footnote w:id="807">
    <w:p w14:paraId="06A8CBDC" w14:textId="260EE66C" w:rsidR="003C3C9A" w:rsidRPr="00047A9D" w:rsidRDefault="003C3C9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C55F8" w:rsidRPr="00047A9D">
        <w:rPr>
          <w:rFonts w:ascii="Times New Roman" w:hAnsi="Times New Roman" w:cs="Times New Roman"/>
          <w:sz w:val="22"/>
          <w:szCs w:val="22"/>
        </w:rPr>
        <w:t>Roberts, ‘The Construction of Programmes of Study’, n.p.</w:t>
      </w:r>
    </w:p>
  </w:footnote>
  <w:footnote w:id="808">
    <w:p w14:paraId="0E3A6F84" w14:textId="74C091C7" w:rsidR="00DD262C" w:rsidRPr="00047A9D" w:rsidRDefault="00DD262C"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153C0" w:rsidRPr="00047A9D">
        <w:rPr>
          <w:rFonts w:ascii="Times New Roman" w:hAnsi="Times New Roman" w:cs="Times New Roman"/>
          <w:sz w:val="22"/>
          <w:szCs w:val="22"/>
        </w:rPr>
        <w:t xml:space="preserve">Trevor-Roper, </w:t>
      </w:r>
      <w:r w:rsidR="00A153C0" w:rsidRPr="00047A9D">
        <w:rPr>
          <w:rFonts w:ascii="Times New Roman" w:hAnsi="Times New Roman" w:cs="Times New Roman"/>
          <w:i/>
          <w:sz w:val="22"/>
          <w:szCs w:val="22"/>
        </w:rPr>
        <w:t>The Rise of Christian Europe</w:t>
      </w:r>
      <w:r w:rsidR="00A153C0" w:rsidRPr="00047A9D">
        <w:rPr>
          <w:rFonts w:ascii="Times New Roman" w:hAnsi="Times New Roman" w:cs="Times New Roman"/>
          <w:sz w:val="22"/>
          <w:szCs w:val="22"/>
        </w:rPr>
        <w:t>, p.9.</w:t>
      </w:r>
    </w:p>
  </w:footnote>
  <w:footnote w:id="809">
    <w:p w14:paraId="5724FED2" w14:textId="3BE5D611" w:rsidR="00A153C0" w:rsidRPr="00047A9D" w:rsidRDefault="00A153C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76821" w:rsidRPr="00047A9D">
        <w:rPr>
          <w:rFonts w:ascii="Times New Roman" w:hAnsi="Times New Roman" w:cs="Times New Roman"/>
          <w:sz w:val="22"/>
          <w:szCs w:val="22"/>
        </w:rPr>
        <w:t>Roberts, ‘The Construction of Programmes of Study’, n.p.</w:t>
      </w:r>
    </w:p>
  </w:footnote>
  <w:footnote w:id="810">
    <w:p w14:paraId="596EFBD2" w14:textId="658EF95E" w:rsidR="00632EAD" w:rsidRPr="00047A9D" w:rsidRDefault="00632EA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2F6D43" w:rsidRPr="00047A9D">
        <w:rPr>
          <w:rFonts w:ascii="Times New Roman" w:hAnsi="Times New Roman" w:cs="Times New Roman"/>
          <w:sz w:val="22"/>
          <w:szCs w:val="22"/>
        </w:rPr>
        <w:t>‘Minutes of the Fifth Meeting of the NCHWG on 3-5 April 1989’, n.p., ED 183/294.</w:t>
      </w:r>
    </w:p>
  </w:footnote>
  <w:footnote w:id="811">
    <w:p w14:paraId="20E9F945" w14:textId="2FE27D87" w:rsidR="00953B6B" w:rsidRPr="00047A9D" w:rsidRDefault="00953B6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F13680" w:rsidRPr="00047A9D">
        <w:rPr>
          <w:rFonts w:ascii="Times New Roman" w:hAnsi="Times New Roman" w:cs="Times New Roman"/>
          <w:sz w:val="22"/>
          <w:szCs w:val="22"/>
        </w:rPr>
        <w:t>‘</w:t>
      </w:r>
      <w:r w:rsidR="00A87C49" w:rsidRPr="00047A9D">
        <w:rPr>
          <w:rFonts w:ascii="Times New Roman" w:hAnsi="Times New Roman" w:cs="Times New Roman"/>
          <w:sz w:val="22"/>
          <w:szCs w:val="22"/>
        </w:rPr>
        <w:t>Chairman's Brief for HWG Meeting on 9-11 October 1989</w:t>
      </w:r>
      <w:r w:rsidR="00F13680" w:rsidRPr="00047A9D">
        <w:rPr>
          <w:rFonts w:ascii="Times New Roman" w:hAnsi="Times New Roman" w:cs="Times New Roman"/>
          <w:sz w:val="22"/>
          <w:szCs w:val="22"/>
        </w:rPr>
        <w:t>’</w:t>
      </w:r>
      <w:r w:rsidR="00A87C49" w:rsidRPr="00047A9D">
        <w:rPr>
          <w:rFonts w:ascii="Times New Roman" w:hAnsi="Times New Roman" w:cs="Times New Roman"/>
          <w:sz w:val="22"/>
          <w:szCs w:val="22"/>
        </w:rPr>
        <w:t>,</w:t>
      </w:r>
      <w:r w:rsidR="00F13680" w:rsidRPr="00047A9D">
        <w:rPr>
          <w:rFonts w:ascii="Times New Roman" w:hAnsi="Times New Roman" w:cs="Times New Roman"/>
          <w:sz w:val="22"/>
          <w:szCs w:val="22"/>
        </w:rPr>
        <w:t xml:space="preserve"> n.p.,</w:t>
      </w:r>
      <w:r w:rsidR="00A87C49" w:rsidRPr="00047A9D">
        <w:rPr>
          <w:rFonts w:ascii="Times New Roman" w:hAnsi="Times New Roman" w:cs="Times New Roman"/>
          <w:sz w:val="22"/>
          <w:szCs w:val="22"/>
        </w:rPr>
        <w:t xml:space="preserve"> ED 183/301</w:t>
      </w:r>
      <w:r w:rsidR="00F13680" w:rsidRPr="00047A9D">
        <w:rPr>
          <w:rFonts w:ascii="Times New Roman" w:hAnsi="Times New Roman" w:cs="Times New Roman"/>
          <w:sz w:val="22"/>
          <w:szCs w:val="22"/>
        </w:rPr>
        <w:t>.</w:t>
      </w:r>
    </w:p>
  </w:footnote>
  <w:footnote w:id="812">
    <w:p w14:paraId="360075FA" w14:textId="098DB5FC" w:rsidR="00420F54" w:rsidRPr="00047A9D" w:rsidRDefault="00420F5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E7DC8" w:rsidRPr="00047A9D">
        <w:rPr>
          <w:rFonts w:ascii="Times New Roman" w:hAnsi="Times New Roman" w:cs="Times New Roman"/>
          <w:sz w:val="22"/>
          <w:szCs w:val="22"/>
        </w:rPr>
        <w:t>See</w:t>
      </w:r>
      <w:r w:rsidR="005E7DC8" w:rsidRPr="00047A9D">
        <w:rPr>
          <w:rFonts w:ascii="Times New Roman" w:hAnsi="Times New Roman" w:cs="Times New Roman"/>
          <w:i/>
          <w:sz w:val="22"/>
          <w:szCs w:val="22"/>
        </w:rPr>
        <w:t xml:space="preserve"> Interim Report</w:t>
      </w:r>
      <w:r w:rsidR="00DE10E0" w:rsidRPr="00047A9D">
        <w:rPr>
          <w:rFonts w:ascii="Times New Roman" w:hAnsi="Times New Roman" w:cs="Times New Roman"/>
          <w:sz w:val="22"/>
          <w:szCs w:val="22"/>
        </w:rPr>
        <w:t xml:space="preserve">. </w:t>
      </w:r>
      <w:r w:rsidRPr="00047A9D">
        <w:rPr>
          <w:rFonts w:ascii="Times New Roman" w:hAnsi="Times New Roman" w:cs="Times New Roman"/>
          <w:sz w:val="22"/>
          <w:szCs w:val="22"/>
        </w:rPr>
        <w:t xml:space="preserve">Of the three School Designed Units, two were optional. The third </w:t>
      </w:r>
      <w:r w:rsidR="00E93908" w:rsidRPr="00047A9D">
        <w:rPr>
          <w:rFonts w:ascii="Times New Roman" w:hAnsi="Times New Roman" w:cs="Times New Roman"/>
          <w:sz w:val="22"/>
          <w:szCs w:val="22"/>
        </w:rPr>
        <w:t>was required to be based upon local history.</w:t>
      </w:r>
    </w:p>
  </w:footnote>
  <w:footnote w:id="813">
    <w:p w14:paraId="06FD423D" w14:textId="77777777" w:rsidR="00E42C51" w:rsidRPr="00047A9D" w:rsidRDefault="00E42C5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Interim Report</w:t>
      </w:r>
      <w:r w:rsidRPr="00047A9D">
        <w:rPr>
          <w:rFonts w:ascii="Times New Roman" w:hAnsi="Times New Roman" w:cs="Times New Roman"/>
          <w:sz w:val="22"/>
          <w:szCs w:val="22"/>
        </w:rPr>
        <w:t>, p.34.</w:t>
      </w:r>
    </w:p>
  </w:footnote>
  <w:footnote w:id="814">
    <w:p w14:paraId="26441515" w14:textId="69117CA1" w:rsidR="00DE10E0" w:rsidRPr="00047A9D" w:rsidRDefault="00DE10E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241FF" w:rsidRPr="00047A9D">
        <w:rPr>
          <w:rFonts w:ascii="Times New Roman" w:hAnsi="Times New Roman" w:cs="Times New Roman"/>
          <w:i/>
          <w:sz w:val="22"/>
          <w:szCs w:val="22"/>
        </w:rPr>
        <w:t xml:space="preserve">Interim Report, </w:t>
      </w:r>
      <w:r w:rsidR="006241FF" w:rsidRPr="00047A9D">
        <w:rPr>
          <w:rFonts w:ascii="Times New Roman" w:hAnsi="Times New Roman" w:cs="Times New Roman"/>
          <w:sz w:val="22"/>
          <w:szCs w:val="22"/>
        </w:rPr>
        <w:t>pp.16-17.</w:t>
      </w:r>
    </w:p>
  </w:footnote>
  <w:footnote w:id="815">
    <w:p w14:paraId="420F0C3E" w14:textId="6DEFD715" w:rsidR="00EC1D7F" w:rsidRPr="00047A9D" w:rsidRDefault="00EC1D7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75972" w:rsidRPr="00047A9D">
        <w:rPr>
          <w:rFonts w:ascii="Times New Roman" w:hAnsi="Times New Roman" w:cs="Times New Roman"/>
          <w:i/>
          <w:sz w:val="22"/>
          <w:szCs w:val="22"/>
        </w:rPr>
        <w:t xml:space="preserve">Interim Report, </w:t>
      </w:r>
      <w:r w:rsidR="00475972" w:rsidRPr="00047A9D">
        <w:rPr>
          <w:rFonts w:ascii="Times New Roman" w:hAnsi="Times New Roman" w:cs="Times New Roman"/>
          <w:sz w:val="22"/>
          <w:szCs w:val="22"/>
        </w:rPr>
        <w:t>pp.</w:t>
      </w:r>
      <w:r w:rsidR="006A2C4D" w:rsidRPr="00047A9D">
        <w:rPr>
          <w:rFonts w:ascii="Times New Roman" w:hAnsi="Times New Roman" w:cs="Times New Roman"/>
          <w:sz w:val="22"/>
          <w:szCs w:val="22"/>
        </w:rPr>
        <w:t>5</w:t>
      </w:r>
      <w:r w:rsidR="00475972" w:rsidRPr="00047A9D">
        <w:rPr>
          <w:rFonts w:ascii="Times New Roman" w:hAnsi="Times New Roman" w:cs="Times New Roman"/>
          <w:sz w:val="22"/>
          <w:szCs w:val="22"/>
        </w:rPr>
        <w:t>-</w:t>
      </w:r>
      <w:r w:rsidR="006A2C4D" w:rsidRPr="00047A9D">
        <w:rPr>
          <w:rFonts w:ascii="Times New Roman" w:hAnsi="Times New Roman" w:cs="Times New Roman"/>
          <w:sz w:val="22"/>
          <w:szCs w:val="22"/>
        </w:rPr>
        <w:t>6</w:t>
      </w:r>
      <w:r w:rsidR="00475972" w:rsidRPr="00047A9D">
        <w:rPr>
          <w:rFonts w:ascii="Times New Roman" w:hAnsi="Times New Roman" w:cs="Times New Roman"/>
          <w:sz w:val="22"/>
          <w:szCs w:val="22"/>
        </w:rPr>
        <w:t>.</w:t>
      </w:r>
    </w:p>
  </w:footnote>
  <w:footnote w:id="816">
    <w:p w14:paraId="2F40B95B" w14:textId="4FE71C35" w:rsidR="00B10E46" w:rsidRPr="00047A9D" w:rsidRDefault="00B10E4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75972" w:rsidRPr="00047A9D">
        <w:rPr>
          <w:rFonts w:ascii="Times New Roman" w:hAnsi="Times New Roman" w:cs="Times New Roman"/>
          <w:i/>
          <w:sz w:val="22"/>
          <w:szCs w:val="22"/>
        </w:rPr>
        <w:t xml:space="preserve">Interim Report, </w:t>
      </w:r>
      <w:r w:rsidR="00475972" w:rsidRPr="00047A9D">
        <w:rPr>
          <w:rFonts w:ascii="Times New Roman" w:hAnsi="Times New Roman" w:cs="Times New Roman"/>
          <w:sz w:val="22"/>
          <w:szCs w:val="22"/>
        </w:rPr>
        <w:t>p</w:t>
      </w:r>
      <w:r w:rsidRPr="00047A9D">
        <w:rPr>
          <w:rFonts w:ascii="Times New Roman" w:hAnsi="Times New Roman" w:cs="Times New Roman"/>
          <w:sz w:val="22"/>
          <w:szCs w:val="22"/>
        </w:rPr>
        <w:t>.5</w:t>
      </w:r>
      <w:r w:rsidR="00475972" w:rsidRPr="00047A9D">
        <w:rPr>
          <w:rFonts w:ascii="Times New Roman" w:hAnsi="Times New Roman" w:cs="Times New Roman"/>
          <w:sz w:val="22"/>
          <w:szCs w:val="22"/>
        </w:rPr>
        <w:t>.</w:t>
      </w:r>
    </w:p>
  </w:footnote>
  <w:footnote w:id="817">
    <w:p w14:paraId="4DBA8540" w14:textId="69821632" w:rsidR="008626B1" w:rsidRPr="00047A9D" w:rsidRDefault="008626B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 xml:space="preserve">Interim Report, </w:t>
      </w:r>
      <w:r w:rsidRPr="00047A9D">
        <w:rPr>
          <w:rFonts w:ascii="Times New Roman" w:hAnsi="Times New Roman" w:cs="Times New Roman"/>
          <w:sz w:val="22"/>
          <w:szCs w:val="22"/>
        </w:rPr>
        <w:t>pp.5-6</w:t>
      </w:r>
      <w:r w:rsidR="0086563B" w:rsidRPr="00047A9D">
        <w:rPr>
          <w:rFonts w:ascii="Times New Roman" w:hAnsi="Times New Roman" w:cs="Times New Roman"/>
          <w:sz w:val="22"/>
          <w:szCs w:val="22"/>
        </w:rPr>
        <w:t>, 19.</w:t>
      </w:r>
    </w:p>
  </w:footnote>
  <w:footnote w:id="818">
    <w:p w14:paraId="0A91FE02" w14:textId="09269A88" w:rsidR="00EF3FBB" w:rsidRPr="00047A9D" w:rsidRDefault="00EF3FB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E3238" w:rsidRPr="00047A9D">
        <w:rPr>
          <w:rFonts w:ascii="Times New Roman" w:hAnsi="Times New Roman" w:cs="Times New Roman"/>
          <w:i/>
          <w:sz w:val="22"/>
          <w:szCs w:val="22"/>
        </w:rPr>
        <w:t>Interim Report</w:t>
      </w:r>
      <w:r w:rsidR="00434730" w:rsidRPr="00047A9D">
        <w:rPr>
          <w:rFonts w:ascii="Times New Roman" w:hAnsi="Times New Roman" w:cs="Times New Roman"/>
          <w:sz w:val="22"/>
          <w:szCs w:val="22"/>
        </w:rPr>
        <w:t>, pp.38-40.</w:t>
      </w:r>
    </w:p>
  </w:footnote>
  <w:footnote w:id="819">
    <w:p w14:paraId="7B7C5A2D" w14:textId="77777777" w:rsidR="00767ADE" w:rsidRPr="00047A9D" w:rsidRDefault="00767AD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Interim Report</w:t>
      </w:r>
      <w:r w:rsidRPr="00047A9D">
        <w:rPr>
          <w:rFonts w:ascii="Times New Roman" w:hAnsi="Times New Roman" w:cs="Times New Roman"/>
          <w:sz w:val="22"/>
          <w:szCs w:val="22"/>
        </w:rPr>
        <w:t>, pp.38-40.</w:t>
      </w:r>
    </w:p>
  </w:footnote>
  <w:footnote w:id="820">
    <w:p w14:paraId="109D435A" w14:textId="23C7EDE3" w:rsidR="002D1FDF" w:rsidRPr="00047A9D" w:rsidRDefault="002D1FD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82698" w:rsidRPr="00047A9D">
        <w:rPr>
          <w:rFonts w:ascii="Times New Roman" w:hAnsi="Times New Roman" w:cs="Times New Roman"/>
          <w:i/>
          <w:sz w:val="22"/>
          <w:szCs w:val="22"/>
        </w:rPr>
        <w:t>Interim Report</w:t>
      </w:r>
      <w:r w:rsidR="00382698" w:rsidRPr="00047A9D">
        <w:rPr>
          <w:rFonts w:ascii="Times New Roman" w:hAnsi="Times New Roman" w:cs="Times New Roman"/>
          <w:sz w:val="22"/>
          <w:szCs w:val="22"/>
        </w:rPr>
        <w:t>, p.41.</w:t>
      </w:r>
    </w:p>
  </w:footnote>
  <w:footnote w:id="821">
    <w:p w14:paraId="49F2EFCF" w14:textId="41813F85" w:rsidR="00D31195" w:rsidRPr="00047A9D" w:rsidRDefault="00D3119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65967" w:rsidRPr="00047A9D">
        <w:rPr>
          <w:rFonts w:ascii="Times New Roman" w:hAnsi="Times New Roman" w:cs="Times New Roman"/>
          <w:sz w:val="22"/>
          <w:szCs w:val="22"/>
        </w:rPr>
        <w:t>Dipo Faloyin</w:t>
      </w:r>
      <w:r w:rsidR="00F65967" w:rsidRPr="00047A9D">
        <w:rPr>
          <w:rFonts w:ascii="Times New Roman" w:hAnsi="Times New Roman" w:cs="Times New Roman"/>
          <w:i/>
          <w:sz w:val="22"/>
          <w:szCs w:val="22"/>
        </w:rPr>
        <w:t>, Africa is Not a Country: Breaking Stereotypes of Modern Africa</w:t>
      </w:r>
      <w:r w:rsidR="00F65967" w:rsidRPr="00047A9D">
        <w:rPr>
          <w:rFonts w:ascii="Times New Roman" w:hAnsi="Times New Roman" w:cs="Times New Roman"/>
          <w:sz w:val="22"/>
          <w:szCs w:val="22"/>
        </w:rPr>
        <w:t xml:space="preserve"> (London: Vintage, 2023), p.</w:t>
      </w:r>
      <w:r w:rsidR="002B6B35" w:rsidRPr="00047A9D">
        <w:rPr>
          <w:rFonts w:ascii="Times New Roman" w:hAnsi="Times New Roman" w:cs="Times New Roman"/>
          <w:sz w:val="22"/>
          <w:szCs w:val="22"/>
        </w:rPr>
        <w:t>7.</w:t>
      </w:r>
    </w:p>
  </w:footnote>
  <w:footnote w:id="822">
    <w:p w14:paraId="79BFEEEF" w14:textId="687AAE90" w:rsidR="00C66634" w:rsidRPr="00047A9D" w:rsidRDefault="00C6663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33D23" w:rsidRPr="00047A9D">
        <w:rPr>
          <w:rFonts w:ascii="Times New Roman" w:hAnsi="Times New Roman" w:cs="Times New Roman"/>
          <w:sz w:val="22"/>
          <w:szCs w:val="22"/>
        </w:rPr>
        <w:t>Phillips,</w:t>
      </w:r>
      <w:r w:rsidR="00D33D23" w:rsidRPr="00047A9D">
        <w:rPr>
          <w:rFonts w:ascii="Times New Roman" w:hAnsi="Times New Roman" w:cs="Times New Roman"/>
          <w:i/>
          <w:sz w:val="22"/>
          <w:szCs w:val="22"/>
        </w:rPr>
        <w:t xml:space="preserve"> History Teaching</w:t>
      </w:r>
      <w:r w:rsidR="00D33D23" w:rsidRPr="00047A9D">
        <w:rPr>
          <w:rFonts w:ascii="Times New Roman" w:hAnsi="Times New Roman" w:cs="Times New Roman"/>
          <w:sz w:val="22"/>
          <w:szCs w:val="22"/>
        </w:rPr>
        <w:t xml:space="preserve">, p </w:t>
      </w:r>
      <w:r w:rsidRPr="00047A9D">
        <w:rPr>
          <w:rFonts w:ascii="Times New Roman" w:hAnsi="Times New Roman" w:cs="Times New Roman"/>
          <w:sz w:val="22"/>
          <w:szCs w:val="22"/>
        </w:rPr>
        <w:t>.76.</w:t>
      </w:r>
    </w:p>
  </w:footnote>
  <w:footnote w:id="823">
    <w:p w14:paraId="3149130C" w14:textId="4BB4E09B" w:rsidR="00BF0583" w:rsidRPr="00047A9D" w:rsidRDefault="00BF058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66ABE" w:rsidRPr="00047A9D">
        <w:rPr>
          <w:rFonts w:ascii="Times New Roman" w:hAnsi="Times New Roman" w:cs="Times New Roman"/>
          <w:sz w:val="22"/>
          <w:szCs w:val="22"/>
        </w:rPr>
        <w:t>‘Minutes of the Fifth Meeting</w:t>
      </w:r>
      <w:r w:rsidR="00DF4FA8" w:rsidRPr="00047A9D">
        <w:rPr>
          <w:rFonts w:ascii="Times New Roman" w:hAnsi="Times New Roman" w:cs="Times New Roman"/>
          <w:sz w:val="22"/>
          <w:szCs w:val="22"/>
        </w:rPr>
        <w:t>’, n.p</w:t>
      </w:r>
      <w:r w:rsidR="00DA0AD6" w:rsidRPr="00047A9D">
        <w:rPr>
          <w:rFonts w:ascii="Times New Roman" w:hAnsi="Times New Roman" w:cs="Times New Roman"/>
          <w:sz w:val="22"/>
          <w:szCs w:val="22"/>
        </w:rPr>
        <w:t>.; Roberts, ‘The Construction of Programmes of Study’, n.p.</w:t>
      </w:r>
    </w:p>
  </w:footnote>
  <w:footnote w:id="824">
    <w:p w14:paraId="2321326D" w14:textId="731C5D1C" w:rsidR="00BB0E8E" w:rsidRPr="00047A9D" w:rsidRDefault="00BB0E8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‘Minutes of the Fifth Meeting’, n.p.</w:t>
      </w:r>
    </w:p>
  </w:footnote>
  <w:footnote w:id="825">
    <w:p w14:paraId="6E0BF0CA" w14:textId="75F8CEFA" w:rsidR="00BF4208" w:rsidRPr="00047A9D" w:rsidRDefault="00BF420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B046A" w:rsidRPr="00047A9D">
        <w:rPr>
          <w:rFonts w:ascii="Times New Roman" w:hAnsi="Times New Roman" w:cs="Times New Roman"/>
          <w:sz w:val="22"/>
          <w:szCs w:val="22"/>
        </w:rPr>
        <w:t>Phillips,</w:t>
      </w:r>
      <w:r w:rsidR="006B046A" w:rsidRPr="00047A9D">
        <w:rPr>
          <w:rFonts w:ascii="Times New Roman" w:hAnsi="Times New Roman" w:cs="Times New Roman"/>
          <w:i/>
          <w:sz w:val="22"/>
          <w:szCs w:val="22"/>
        </w:rPr>
        <w:t xml:space="preserve"> History Teaching</w:t>
      </w:r>
      <w:r w:rsidR="006B046A" w:rsidRPr="00047A9D">
        <w:rPr>
          <w:rFonts w:ascii="Times New Roman" w:hAnsi="Times New Roman" w:cs="Times New Roman"/>
          <w:sz w:val="22"/>
          <w:szCs w:val="22"/>
        </w:rPr>
        <w:t>, p</w:t>
      </w:r>
      <w:r w:rsidR="00F54C00" w:rsidRPr="00047A9D">
        <w:rPr>
          <w:rFonts w:ascii="Times New Roman" w:hAnsi="Times New Roman" w:cs="Times New Roman"/>
          <w:sz w:val="22"/>
          <w:szCs w:val="22"/>
        </w:rPr>
        <w:t>.78</w:t>
      </w:r>
      <w:r w:rsidR="006B046A" w:rsidRPr="00047A9D">
        <w:rPr>
          <w:rFonts w:ascii="Times New Roman" w:hAnsi="Times New Roman" w:cs="Times New Roman"/>
          <w:sz w:val="22"/>
          <w:szCs w:val="22"/>
        </w:rPr>
        <w:t>.</w:t>
      </w:r>
    </w:p>
  </w:footnote>
  <w:footnote w:id="826">
    <w:p w14:paraId="74065719" w14:textId="364C54E1" w:rsidR="00722249" w:rsidRPr="00047A9D" w:rsidRDefault="0072224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DE41C4" w:rsidRPr="00047A9D">
        <w:rPr>
          <w:rFonts w:ascii="Times New Roman" w:hAnsi="Times New Roman" w:cs="Times New Roman"/>
          <w:sz w:val="22"/>
          <w:szCs w:val="22"/>
        </w:rPr>
        <w:t>Letter from Kenneth Baker to Margret Thatcher, ‘National Curriculum: Interim History Proposals’,</w:t>
      </w:r>
      <w:r w:rsidR="00B54CCB" w:rsidRPr="00047A9D">
        <w:rPr>
          <w:rFonts w:ascii="Times New Roman" w:hAnsi="Times New Roman" w:cs="Times New Roman"/>
          <w:sz w:val="22"/>
          <w:szCs w:val="22"/>
        </w:rPr>
        <w:t xml:space="preserve"> 7 July 1989</w:t>
      </w:r>
      <w:r w:rsidR="009F008E" w:rsidRPr="00047A9D">
        <w:rPr>
          <w:rFonts w:ascii="Times New Roman" w:hAnsi="Times New Roman" w:cs="Times New Roman"/>
          <w:sz w:val="22"/>
          <w:szCs w:val="22"/>
        </w:rPr>
        <w:t>, n.p.,</w:t>
      </w:r>
      <w:r w:rsidR="00DE41C4" w:rsidRPr="00047A9D">
        <w:rPr>
          <w:rFonts w:ascii="Times New Roman" w:hAnsi="Times New Roman" w:cs="Times New Roman"/>
          <w:sz w:val="22"/>
          <w:szCs w:val="22"/>
        </w:rPr>
        <w:t xml:space="preserve"> in ‘National Curriculum: History Working Group; Interim Report’, ED 183/366.</w:t>
      </w:r>
    </w:p>
  </w:footnote>
  <w:footnote w:id="827">
    <w:p w14:paraId="24DE5912" w14:textId="404E31FF" w:rsidR="00722249" w:rsidRPr="00047A9D" w:rsidRDefault="0072224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3606FB" w:rsidRPr="00047A9D">
        <w:rPr>
          <w:rFonts w:ascii="Times New Roman" w:hAnsi="Times New Roman" w:cs="Times New Roman"/>
          <w:sz w:val="22"/>
          <w:szCs w:val="22"/>
        </w:rPr>
        <w:t>Letter from Margaret Thatcher’s Private Secretary to Kenneth Baker, ‘National Curriculum: Interim History Proposals’</w:t>
      </w:r>
      <w:r w:rsidR="00757317" w:rsidRPr="00047A9D">
        <w:rPr>
          <w:rFonts w:ascii="Times New Roman" w:hAnsi="Times New Roman" w:cs="Times New Roman"/>
          <w:sz w:val="22"/>
          <w:szCs w:val="22"/>
        </w:rPr>
        <w:t xml:space="preserve">, </w:t>
      </w:r>
      <w:r w:rsidR="003606FB" w:rsidRPr="00047A9D">
        <w:rPr>
          <w:rFonts w:ascii="Times New Roman" w:hAnsi="Times New Roman" w:cs="Times New Roman"/>
          <w:sz w:val="22"/>
          <w:szCs w:val="22"/>
        </w:rPr>
        <w:t>12 July 1989,</w:t>
      </w:r>
      <w:r w:rsidR="00757317" w:rsidRPr="00047A9D">
        <w:rPr>
          <w:rFonts w:ascii="Times New Roman" w:hAnsi="Times New Roman" w:cs="Times New Roman"/>
          <w:sz w:val="22"/>
          <w:szCs w:val="22"/>
        </w:rPr>
        <w:t xml:space="preserve"> n.p.,</w:t>
      </w:r>
      <w:r w:rsidR="003606FB" w:rsidRPr="00047A9D">
        <w:rPr>
          <w:rFonts w:ascii="Times New Roman" w:hAnsi="Times New Roman" w:cs="Times New Roman"/>
          <w:sz w:val="22"/>
          <w:szCs w:val="22"/>
        </w:rPr>
        <w:t xml:space="preserve"> </w:t>
      </w:r>
      <w:r w:rsidR="00757317" w:rsidRPr="00047A9D">
        <w:rPr>
          <w:rFonts w:ascii="Times New Roman" w:hAnsi="Times New Roman" w:cs="Times New Roman"/>
          <w:sz w:val="22"/>
          <w:szCs w:val="22"/>
        </w:rPr>
        <w:t>ED 183/366.</w:t>
      </w:r>
    </w:p>
  </w:footnote>
  <w:footnote w:id="828">
    <w:p w14:paraId="4A67EC94" w14:textId="229C60B7" w:rsidR="003A70C6" w:rsidRPr="00047A9D" w:rsidRDefault="003A70C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Baker’s correspondence with the Prime Minister and her Private Secretary reveals that his initial response to Thatcher’s </w:t>
      </w:r>
      <w:r w:rsidR="000C50E1" w:rsidRPr="00047A9D">
        <w:rPr>
          <w:rFonts w:ascii="Times New Roman" w:hAnsi="Times New Roman" w:cs="Times New Roman"/>
          <w:sz w:val="22"/>
          <w:szCs w:val="22"/>
        </w:rPr>
        <w:t xml:space="preserve">critiques </w:t>
      </w:r>
      <w:r w:rsidR="0006302F" w:rsidRPr="00047A9D">
        <w:rPr>
          <w:rFonts w:ascii="Times New Roman" w:hAnsi="Times New Roman" w:cs="Times New Roman"/>
          <w:sz w:val="22"/>
          <w:szCs w:val="22"/>
        </w:rPr>
        <w:t xml:space="preserve">was </w:t>
      </w:r>
      <w:r w:rsidR="00773AE6" w:rsidRPr="00047A9D">
        <w:rPr>
          <w:rFonts w:ascii="Times New Roman" w:hAnsi="Times New Roman" w:cs="Times New Roman"/>
          <w:sz w:val="22"/>
          <w:szCs w:val="22"/>
        </w:rPr>
        <w:t xml:space="preserve">viewed as overly </w:t>
      </w:r>
      <w:r w:rsidR="001E0C5A" w:rsidRPr="00047A9D">
        <w:rPr>
          <w:rFonts w:ascii="Times New Roman" w:hAnsi="Times New Roman" w:cs="Times New Roman"/>
          <w:sz w:val="22"/>
          <w:szCs w:val="22"/>
        </w:rPr>
        <w:t>sympathetic to the working group</w:t>
      </w:r>
      <w:r w:rsidR="00793229" w:rsidRPr="00047A9D">
        <w:rPr>
          <w:rFonts w:ascii="Times New Roman" w:hAnsi="Times New Roman" w:cs="Times New Roman"/>
          <w:sz w:val="22"/>
          <w:szCs w:val="22"/>
        </w:rPr>
        <w:t>. It</w:t>
      </w:r>
      <w:r w:rsidR="001E0C5A" w:rsidRPr="00047A9D">
        <w:rPr>
          <w:rFonts w:ascii="Times New Roman" w:hAnsi="Times New Roman" w:cs="Times New Roman"/>
          <w:sz w:val="22"/>
          <w:szCs w:val="22"/>
        </w:rPr>
        <w:t xml:space="preserve"> was consequently rejected.</w:t>
      </w:r>
    </w:p>
  </w:footnote>
  <w:footnote w:id="829">
    <w:p w14:paraId="13B2B1F6" w14:textId="5927A4E1" w:rsidR="008D1A41" w:rsidRPr="00047A9D" w:rsidRDefault="008D1A4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F38FB" w:rsidRPr="00047A9D">
        <w:rPr>
          <w:rFonts w:ascii="Times New Roman" w:hAnsi="Times New Roman" w:cs="Times New Roman"/>
          <w:sz w:val="22"/>
          <w:szCs w:val="22"/>
        </w:rPr>
        <w:t xml:space="preserve">See letter from Commander LMM Saunders Watson DL to the Rt Hon John MacGregor OBE MP, Secretary of State for Education and Science, and the Rt Hon Peter Walker MP, Secretary of State for Wales, 31 January 1990, in </w:t>
      </w:r>
      <w:r w:rsidR="006F38FB" w:rsidRPr="00047A9D">
        <w:rPr>
          <w:rFonts w:ascii="Times New Roman" w:hAnsi="Times New Roman" w:cs="Times New Roman"/>
          <w:i/>
          <w:sz w:val="22"/>
          <w:szCs w:val="22"/>
        </w:rPr>
        <w:t>Final Report</w:t>
      </w:r>
      <w:r w:rsidR="006F38FB" w:rsidRPr="00047A9D">
        <w:rPr>
          <w:rFonts w:ascii="Times New Roman" w:hAnsi="Times New Roman" w:cs="Times New Roman"/>
          <w:sz w:val="22"/>
          <w:szCs w:val="22"/>
        </w:rPr>
        <w:t>, p.i</w:t>
      </w:r>
      <w:r w:rsidR="00BD4F3F" w:rsidRPr="00047A9D">
        <w:rPr>
          <w:rFonts w:ascii="Times New Roman" w:hAnsi="Times New Roman" w:cs="Times New Roman"/>
          <w:sz w:val="22"/>
          <w:szCs w:val="22"/>
        </w:rPr>
        <w:t>.</w:t>
      </w:r>
    </w:p>
  </w:footnote>
  <w:footnote w:id="830">
    <w:p w14:paraId="7E8045FE" w14:textId="48C57C1E" w:rsidR="00F20E3F" w:rsidRPr="00047A9D" w:rsidRDefault="00F20E3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D4F3F" w:rsidRPr="00047A9D">
        <w:rPr>
          <w:rFonts w:ascii="Times New Roman" w:hAnsi="Times New Roman" w:cs="Times New Roman"/>
          <w:sz w:val="22"/>
          <w:szCs w:val="22"/>
        </w:rPr>
        <w:t>Phillips,</w:t>
      </w:r>
      <w:r w:rsidR="00BD4F3F" w:rsidRPr="00047A9D">
        <w:rPr>
          <w:rFonts w:ascii="Times New Roman" w:hAnsi="Times New Roman" w:cs="Times New Roman"/>
          <w:i/>
          <w:sz w:val="22"/>
          <w:szCs w:val="22"/>
        </w:rPr>
        <w:t xml:space="preserve"> History Teaching</w:t>
      </w:r>
      <w:r w:rsidR="00BD4F3F" w:rsidRPr="00047A9D">
        <w:rPr>
          <w:rFonts w:ascii="Times New Roman" w:hAnsi="Times New Roman" w:cs="Times New Roman"/>
          <w:sz w:val="22"/>
          <w:szCs w:val="22"/>
        </w:rPr>
        <w:t>, p</w:t>
      </w:r>
      <w:r w:rsidR="00325600">
        <w:rPr>
          <w:rFonts w:ascii="Times New Roman" w:hAnsi="Times New Roman" w:cs="Times New Roman"/>
          <w:sz w:val="22"/>
          <w:szCs w:val="22"/>
        </w:rPr>
        <w:t>p</w:t>
      </w:r>
      <w:r w:rsidR="00BD4F3F" w:rsidRPr="00047A9D">
        <w:rPr>
          <w:rFonts w:ascii="Times New Roman" w:hAnsi="Times New Roman" w:cs="Times New Roman"/>
          <w:sz w:val="22"/>
          <w:szCs w:val="22"/>
        </w:rPr>
        <w:t>.67-68.</w:t>
      </w:r>
    </w:p>
  </w:footnote>
  <w:footnote w:id="831">
    <w:p w14:paraId="5BDD6860" w14:textId="1AD6C49F" w:rsidR="006C3FB2" w:rsidRPr="00047A9D" w:rsidRDefault="006C3FB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83C88" w:rsidRPr="00047A9D">
        <w:rPr>
          <w:rFonts w:ascii="Times New Roman" w:hAnsi="Times New Roman" w:cs="Times New Roman"/>
          <w:i/>
          <w:sz w:val="22"/>
          <w:szCs w:val="22"/>
        </w:rPr>
        <w:t xml:space="preserve">Final Report, </w:t>
      </w:r>
      <w:r w:rsidR="00483C88" w:rsidRPr="00047A9D">
        <w:rPr>
          <w:rFonts w:ascii="Times New Roman" w:hAnsi="Times New Roman" w:cs="Times New Roman"/>
          <w:sz w:val="22"/>
          <w:szCs w:val="22"/>
        </w:rPr>
        <w:t>p.</w:t>
      </w:r>
      <w:r w:rsidR="00BF21B4" w:rsidRPr="00047A9D">
        <w:rPr>
          <w:rFonts w:ascii="Times New Roman" w:hAnsi="Times New Roman" w:cs="Times New Roman"/>
          <w:sz w:val="22"/>
          <w:szCs w:val="22"/>
        </w:rPr>
        <w:t>205.</w:t>
      </w:r>
    </w:p>
  </w:footnote>
  <w:footnote w:id="832">
    <w:p w14:paraId="52B8B56B" w14:textId="15A32BCB" w:rsidR="00265B5F" w:rsidRPr="00047A9D" w:rsidRDefault="00265B5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1616E" w:rsidRPr="00047A9D">
        <w:rPr>
          <w:rFonts w:ascii="Times New Roman" w:hAnsi="Times New Roman" w:cs="Times New Roman"/>
          <w:sz w:val="22"/>
          <w:szCs w:val="22"/>
        </w:rPr>
        <w:t>Prochaska, ‘The History Working Group’, p.90.</w:t>
      </w:r>
    </w:p>
  </w:footnote>
  <w:footnote w:id="833">
    <w:p w14:paraId="37CBB9EF" w14:textId="4AA50D69" w:rsidR="00FE706F" w:rsidRPr="00047A9D" w:rsidRDefault="00FE706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722030" w:rsidRPr="00047A9D">
        <w:rPr>
          <w:rFonts w:ascii="Times New Roman" w:hAnsi="Times New Roman" w:cs="Times New Roman"/>
          <w:sz w:val="22"/>
          <w:szCs w:val="22"/>
        </w:rPr>
        <w:t>Chris Husbands</w:t>
      </w:r>
      <w:r w:rsidR="00D4122E" w:rsidRPr="00047A9D">
        <w:rPr>
          <w:rFonts w:ascii="Times New Roman" w:hAnsi="Times New Roman" w:cs="Times New Roman"/>
          <w:sz w:val="22"/>
          <w:szCs w:val="22"/>
        </w:rPr>
        <w:t xml:space="preserve">, </w:t>
      </w:r>
      <w:r w:rsidR="00722030" w:rsidRPr="00047A9D">
        <w:rPr>
          <w:rFonts w:ascii="Times New Roman" w:hAnsi="Times New Roman" w:cs="Times New Roman"/>
          <w:sz w:val="22"/>
          <w:szCs w:val="22"/>
        </w:rPr>
        <w:t>Robert Medley</w:t>
      </w:r>
      <w:r w:rsidR="00D4122E" w:rsidRPr="00047A9D">
        <w:rPr>
          <w:rFonts w:ascii="Times New Roman" w:hAnsi="Times New Roman" w:cs="Times New Roman"/>
          <w:sz w:val="22"/>
          <w:szCs w:val="22"/>
        </w:rPr>
        <w:t>, and</w:t>
      </w:r>
      <w:r w:rsidR="00722030" w:rsidRPr="00047A9D">
        <w:rPr>
          <w:rFonts w:ascii="Times New Roman" w:hAnsi="Times New Roman" w:cs="Times New Roman"/>
          <w:sz w:val="22"/>
          <w:szCs w:val="22"/>
        </w:rPr>
        <w:t xml:space="preserve"> Martin Roberts</w:t>
      </w:r>
      <w:r w:rsidR="00D4122E" w:rsidRPr="00047A9D">
        <w:rPr>
          <w:rFonts w:ascii="Times New Roman" w:hAnsi="Times New Roman" w:cs="Times New Roman"/>
          <w:sz w:val="22"/>
          <w:szCs w:val="22"/>
        </w:rPr>
        <w:t>, ‘</w:t>
      </w:r>
      <w:r w:rsidR="007A79D3" w:rsidRPr="00047A9D">
        <w:rPr>
          <w:rFonts w:ascii="Times New Roman" w:hAnsi="Times New Roman" w:cs="Times New Roman"/>
          <w:sz w:val="22"/>
          <w:szCs w:val="22"/>
        </w:rPr>
        <w:t xml:space="preserve">Historical Association Response </w:t>
      </w:r>
      <w:r w:rsidR="00D4122E" w:rsidRPr="00047A9D">
        <w:rPr>
          <w:rFonts w:ascii="Times New Roman" w:hAnsi="Times New Roman" w:cs="Times New Roman"/>
          <w:sz w:val="22"/>
          <w:szCs w:val="22"/>
        </w:rPr>
        <w:t>t</w:t>
      </w:r>
      <w:r w:rsidR="007A79D3" w:rsidRPr="00047A9D">
        <w:rPr>
          <w:rFonts w:ascii="Times New Roman" w:hAnsi="Times New Roman" w:cs="Times New Roman"/>
          <w:sz w:val="22"/>
          <w:szCs w:val="22"/>
        </w:rPr>
        <w:t>o D</w:t>
      </w:r>
      <w:r w:rsidR="00D4122E" w:rsidRPr="00047A9D">
        <w:rPr>
          <w:rFonts w:ascii="Times New Roman" w:hAnsi="Times New Roman" w:cs="Times New Roman"/>
          <w:sz w:val="22"/>
          <w:szCs w:val="22"/>
        </w:rPr>
        <w:t>ES</w:t>
      </w:r>
      <w:r w:rsidR="007A79D3" w:rsidRPr="00047A9D">
        <w:rPr>
          <w:rFonts w:ascii="Times New Roman" w:hAnsi="Times New Roman" w:cs="Times New Roman"/>
          <w:sz w:val="22"/>
          <w:szCs w:val="22"/>
        </w:rPr>
        <w:t xml:space="preserve"> History Working Group</w:t>
      </w:r>
      <w:r w:rsidR="00D4122E" w:rsidRPr="00047A9D">
        <w:rPr>
          <w:rFonts w:ascii="Times New Roman" w:hAnsi="Times New Roman" w:cs="Times New Roman"/>
          <w:sz w:val="22"/>
          <w:szCs w:val="22"/>
        </w:rPr>
        <w:t>’</w:t>
      </w:r>
      <w:r w:rsidR="007A79D3" w:rsidRPr="00047A9D">
        <w:rPr>
          <w:rFonts w:ascii="Times New Roman" w:hAnsi="Times New Roman" w:cs="Times New Roman"/>
          <w:sz w:val="22"/>
          <w:szCs w:val="22"/>
        </w:rPr>
        <w:t>s Interim Report</w:t>
      </w:r>
      <w:r w:rsidR="00D4122E" w:rsidRPr="00047A9D">
        <w:rPr>
          <w:rFonts w:ascii="Times New Roman" w:hAnsi="Times New Roman" w:cs="Times New Roman"/>
          <w:sz w:val="22"/>
          <w:szCs w:val="22"/>
        </w:rPr>
        <w:t>’</w:t>
      </w:r>
      <w:r w:rsidR="00722030" w:rsidRPr="00047A9D">
        <w:rPr>
          <w:rFonts w:ascii="Times New Roman" w:hAnsi="Times New Roman" w:cs="Times New Roman"/>
          <w:sz w:val="22"/>
          <w:szCs w:val="22"/>
        </w:rPr>
        <w:t xml:space="preserve">, </w:t>
      </w:r>
      <w:r w:rsidR="00AA37CC" w:rsidRPr="00047A9D">
        <w:rPr>
          <w:rFonts w:ascii="Times New Roman" w:hAnsi="Times New Roman" w:cs="Times New Roman"/>
          <w:sz w:val="22"/>
          <w:szCs w:val="22"/>
        </w:rPr>
        <w:t>13 October 1989</w:t>
      </w:r>
      <w:r w:rsidR="00D4122E" w:rsidRPr="00047A9D">
        <w:rPr>
          <w:rFonts w:ascii="Times New Roman" w:hAnsi="Times New Roman" w:cs="Times New Roman"/>
          <w:sz w:val="22"/>
          <w:szCs w:val="22"/>
        </w:rPr>
        <w:t xml:space="preserve">, n.p., </w:t>
      </w:r>
      <w:r w:rsidR="00AA37CC" w:rsidRPr="00047A9D">
        <w:rPr>
          <w:rFonts w:ascii="Times New Roman" w:hAnsi="Times New Roman" w:cs="Times New Roman"/>
          <w:sz w:val="22"/>
          <w:szCs w:val="22"/>
        </w:rPr>
        <w:t>ED 183/301</w:t>
      </w:r>
      <w:r w:rsidR="00D4122E" w:rsidRPr="00047A9D">
        <w:rPr>
          <w:rFonts w:ascii="Times New Roman" w:hAnsi="Times New Roman" w:cs="Times New Roman"/>
          <w:sz w:val="22"/>
          <w:szCs w:val="22"/>
        </w:rPr>
        <w:t>.</w:t>
      </w:r>
    </w:p>
  </w:footnote>
  <w:footnote w:id="834">
    <w:p w14:paraId="44CE1985" w14:textId="09E9B1A3" w:rsidR="00586E0C" w:rsidRPr="00047A9D" w:rsidRDefault="00586E0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87BF4" w:rsidRPr="00047A9D">
        <w:rPr>
          <w:rFonts w:ascii="Times New Roman" w:hAnsi="Times New Roman" w:cs="Times New Roman"/>
          <w:sz w:val="22"/>
          <w:szCs w:val="22"/>
        </w:rPr>
        <w:t>Prochaska, ‘The History Working Group’, p.90.</w:t>
      </w:r>
    </w:p>
  </w:footnote>
  <w:footnote w:id="835">
    <w:p w14:paraId="4A34E77F" w14:textId="0EC70638" w:rsidR="00A369EB" w:rsidRPr="00047A9D" w:rsidRDefault="00A369E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E3979" w:rsidRPr="00047A9D">
        <w:rPr>
          <w:rFonts w:ascii="Times New Roman" w:hAnsi="Times New Roman" w:cs="Times New Roman"/>
          <w:sz w:val="22"/>
          <w:szCs w:val="22"/>
        </w:rPr>
        <w:t xml:space="preserve">NAL: </w:t>
      </w:r>
      <w:r w:rsidR="008A3C39" w:rsidRPr="00047A9D">
        <w:rPr>
          <w:rFonts w:ascii="Times New Roman" w:hAnsi="Times New Roman" w:cs="Times New Roman"/>
          <w:sz w:val="22"/>
          <w:szCs w:val="22"/>
        </w:rPr>
        <w:t>‘</w:t>
      </w:r>
      <w:r w:rsidR="00B466B1" w:rsidRPr="00047A9D">
        <w:rPr>
          <w:rFonts w:ascii="Times New Roman" w:hAnsi="Times New Roman" w:cs="Times New Roman"/>
          <w:sz w:val="22"/>
          <w:szCs w:val="22"/>
        </w:rPr>
        <w:t>National Curriculum History Working Group: History Study Units: State of Play at 20 October 1989’, n.p.,</w:t>
      </w:r>
      <w:r w:rsidR="008A3C39" w:rsidRPr="00047A9D">
        <w:rPr>
          <w:rFonts w:ascii="Times New Roman" w:hAnsi="Times New Roman" w:cs="Times New Roman"/>
          <w:sz w:val="22"/>
          <w:szCs w:val="22"/>
        </w:rPr>
        <w:t xml:space="preserve"> in</w:t>
      </w:r>
      <w:r w:rsidR="00B466B1" w:rsidRPr="00047A9D">
        <w:rPr>
          <w:rFonts w:ascii="Times New Roman" w:hAnsi="Times New Roman" w:cs="Times New Roman"/>
          <w:sz w:val="22"/>
          <w:szCs w:val="22"/>
        </w:rPr>
        <w:t xml:space="preserve"> </w:t>
      </w:r>
      <w:r w:rsidR="008A3C39" w:rsidRPr="00047A9D">
        <w:rPr>
          <w:rFonts w:ascii="Times New Roman" w:hAnsi="Times New Roman" w:cs="Times New Roman"/>
          <w:sz w:val="22"/>
          <w:szCs w:val="22"/>
        </w:rPr>
        <w:t>‘</w:t>
      </w:r>
      <w:r w:rsidR="005922A9" w:rsidRPr="00047A9D">
        <w:rPr>
          <w:rFonts w:ascii="Times New Roman" w:hAnsi="Times New Roman" w:cs="Times New Roman"/>
          <w:sz w:val="22"/>
          <w:szCs w:val="22"/>
        </w:rPr>
        <w:t xml:space="preserve">National Curriculum: History Working Group; </w:t>
      </w:r>
      <w:r w:rsidR="008A3C39" w:rsidRPr="00047A9D">
        <w:rPr>
          <w:rFonts w:ascii="Times New Roman" w:hAnsi="Times New Roman" w:cs="Times New Roman"/>
          <w:sz w:val="22"/>
          <w:szCs w:val="22"/>
        </w:rPr>
        <w:t>Meeting 17, 2-3 November 1989; Minutes and Papers; Programmes of Study for the History Study Units’,</w:t>
      </w:r>
      <w:r w:rsidR="00E373C0" w:rsidRPr="00047A9D">
        <w:rPr>
          <w:rFonts w:ascii="Times New Roman" w:hAnsi="Times New Roman" w:cs="Times New Roman"/>
          <w:sz w:val="22"/>
          <w:szCs w:val="22"/>
        </w:rPr>
        <w:t xml:space="preserve"> </w:t>
      </w:r>
      <w:r w:rsidR="005922A9" w:rsidRPr="00047A9D">
        <w:rPr>
          <w:rFonts w:ascii="Times New Roman" w:hAnsi="Times New Roman" w:cs="Times New Roman"/>
          <w:sz w:val="22"/>
          <w:szCs w:val="22"/>
        </w:rPr>
        <w:t>ED 183/302</w:t>
      </w:r>
      <w:r w:rsidR="00E373C0" w:rsidRPr="00047A9D">
        <w:rPr>
          <w:rFonts w:ascii="Times New Roman" w:hAnsi="Times New Roman" w:cs="Times New Roman"/>
          <w:sz w:val="22"/>
          <w:szCs w:val="22"/>
        </w:rPr>
        <w:t>;</w:t>
      </w:r>
      <w:r w:rsidR="00B466B1" w:rsidRPr="00047A9D">
        <w:rPr>
          <w:rFonts w:ascii="Times New Roman" w:hAnsi="Times New Roman" w:cs="Times New Roman"/>
          <w:sz w:val="22"/>
          <w:szCs w:val="22"/>
        </w:rPr>
        <w:t xml:space="preserve"> </w:t>
      </w:r>
      <w:r w:rsidR="00C10978" w:rsidRPr="00047A9D">
        <w:rPr>
          <w:rFonts w:ascii="Times New Roman" w:hAnsi="Times New Roman" w:cs="Times New Roman"/>
          <w:sz w:val="22"/>
          <w:szCs w:val="22"/>
        </w:rPr>
        <w:t xml:space="preserve">NAL: </w:t>
      </w:r>
      <w:r w:rsidR="00820A54" w:rsidRPr="00047A9D">
        <w:rPr>
          <w:rFonts w:ascii="Times New Roman" w:hAnsi="Times New Roman" w:cs="Times New Roman"/>
          <w:sz w:val="22"/>
          <w:szCs w:val="22"/>
        </w:rPr>
        <w:t>‘Summary of Responses</w:t>
      </w:r>
      <w:r w:rsidR="0070395B" w:rsidRPr="00047A9D">
        <w:rPr>
          <w:rFonts w:ascii="Times New Roman" w:hAnsi="Times New Roman" w:cs="Times New Roman"/>
          <w:sz w:val="22"/>
          <w:szCs w:val="22"/>
        </w:rPr>
        <w:t>’</w:t>
      </w:r>
      <w:r w:rsidR="00820A54" w:rsidRPr="00047A9D">
        <w:rPr>
          <w:rFonts w:ascii="Times New Roman" w:hAnsi="Times New Roman" w:cs="Times New Roman"/>
          <w:sz w:val="22"/>
          <w:szCs w:val="22"/>
        </w:rPr>
        <w:t xml:space="preserve">, </w:t>
      </w:r>
      <w:r w:rsidR="0070395B" w:rsidRPr="00047A9D">
        <w:rPr>
          <w:rFonts w:ascii="Times New Roman" w:hAnsi="Times New Roman" w:cs="Times New Roman"/>
          <w:sz w:val="22"/>
          <w:szCs w:val="22"/>
        </w:rPr>
        <w:t xml:space="preserve">n.d., </w:t>
      </w:r>
      <w:r w:rsidR="00820A54" w:rsidRPr="00047A9D">
        <w:rPr>
          <w:rFonts w:ascii="Times New Roman" w:hAnsi="Times New Roman" w:cs="Times New Roman"/>
          <w:sz w:val="22"/>
          <w:szCs w:val="22"/>
        </w:rPr>
        <w:t>p.4,</w:t>
      </w:r>
      <w:r w:rsidR="00E373C0" w:rsidRPr="00047A9D">
        <w:rPr>
          <w:rFonts w:ascii="Times New Roman" w:hAnsi="Times New Roman" w:cs="Times New Roman"/>
          <w:sz w:val="22"/>
          <w:szCs w:val="22"/>
        </w:rPr>
        <w:t xml:space="preserve"> in</w:t>
      </w:r>
      <w:r w:rsidR="00820A54" w:rsidRPr="00047A9D">
        <w:rPr>
          <w:rFonts w:ascii="Times New Roman" w:hAnsi="Times New Roman" w:cs="Times New Roman"/>
          <w:sz w:val="22"/>
          <w:szCs w:val="22"/>
        </w:rPr>
        <w:t xml:space="preserve"> </w:t>
      </w:r>
      <w:r w:rsidR="0070395B" w:rsidRPr="00047A9D">
        <w:rPr>
          <w:rFonts w:ascii="Times New Roman" w:hAnsi="Times New Roman" w:cs="Times New Roman"/>
          <w:sz w:val="22"/>
          <w:szCs w:val="22"/>
        </w:rPr>
        <w:t>‘</w:t>
      </w:r>
      <w:r w:rsidR="00820A54" w:rsidRPr="00047A9D">
        <w:rPr>
          <w:rFonts w:ascii="Times New Roman" w:hAnsi="Times New Roman" w:cs="Times New Roman"/>
          <w:sz w:val="22"/>
          <w:szCs w:val="22"/>
        </w:rPr>
        <w:t xml:space="preserve">National Curriculum: History Working Group; </w:t>
      </w:r>
      <w:r w:rsidR="0070395B" w:rsidRPr="00047A9D">
        <w:rPr>
          <w:rFonts w:ascii="Times New Roman" w:hAnsi="Times New Roman" w:cs="Times New Roman"/>
          <w:sz w:val="22"/>
          <w:szCs w:val="22"/>
        </w:rPr>
        <w:t>M</w:t>
      </w:r>
      <w:r w:rsidR="00820A54" w:rsidRPr="00047A9D">
        <w:rPr>
          <w:rFonts w:ascii="Times New Roman" w:hAnsi="Times New Roman" w:cs="Times New Roman"/>
          <w:sz w:val="22"/>
          <w:szCs w:val="22"/>
        </w:rPr>
        <w:t xml:space="preserve">eeting 18, 13-15 November 1989; </w:t>
      </w:r>
      <w:r w:rsidR="0070395B" w:rsidRPr="00047A9D">
        <w:rPr>
          <w:rFonts w:ascii="Times New Roman" w:hAnsi="Times New Roman" w:cs="Times New Roman"/>
          <w:sz w:val="22"/>
          <w:szCs w:val="22"/>
        </w:rPr>
        <w:t xml:space="preserve">Minutes and Papers; Responses from Educational Bodies to the Interim Report’, </w:t>
      </w:r>
      <w:r w:rsidR="00820A54" w:rsidRPr="00047A9D">
        <w:rPr>
          <w:rFonts w:ascii="Times New Roman" w:hAnsi="Times New Roman" w:cs="Times New Roman"/>
          <w:sz w:val="22"/>
          <w:szCs w:val="22"/>
        </w:rPr>
        <w:t>ED 183/303</w:t>
      </w:r>
      <w:r w:rsidR="00B466B1" w:rsidRPr="00047A9D">
        <w:rPr>
          <w:rFonts w:ascii="Times New Roman" w:hAnsi="Times New Roman" w:cs="Times New Roman"/>
          <w:sz w:val="22"/>
          <w:szCs w:val="22"/>
        </w:rPr>
        <w:t>.</w:t>
      </w:r>
      <w:r w:rsidR="0070395B" w:rsidRPr="00047A9D">
        <w:rPr>
          <w:rFonts w:ascii="Times New Roman" w:hAnsi="Times New Roman" w:cs="Times New Roman"/>
          <w:sz w:val="22"/>
          <w:szCs w:val="22"/>
        </w:rPr>
        <w:t xml:space="preserve"> </w:t>
      </w:r>
      <w:r w:rsidR="00AA2CE4" w:rsidRPr="00047A9D">
        <w:rPr>
          <w:rFonts w:ascii="Times New Roman" w:hAnsi="Times New Roman" w:cs="Times New Roman"/>
          <w:sz w:val="22"/>
          <w:szCs w:val="22"/>
        </w:rPr>
        <w:t>The phrasing of the original document suggests that this number was either figurative (standing in for ‘the vast majority’) or an estimate, rather than the product of precise statistical analysis.</w:t>
      </w:r>
    </w:p>
  </w:footnote>
  <w:footnote w:id="836">
    <w:p w14:paraId="6E5F0052" w14:textId="515EC230" w:rsidR="00E373C0" w:rsidRPr="00047A9D" w:rsidRDefault="00E373C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F125E" w:rsidRPr="00047A9D">
        <w:rPr>
          <w:rFonts w:ascii="Times New Roman" w:hAnsi="Times New Roman" w:cs="Times New Roman"/>
          <w:i/>
          <w:sz w:val="22"/>
          <w:szCs w:val="22"/>
        </w:rPr>
        <w:t xml:space="preserve">Final Report, </w:t>
      </w:r>
      <w:r w:rsidR="00AF3311" w:rsidRPr="00047A9D">
        <w:rPr>
          <w:rFonts w:ascii="Times New Roman" w:hAnsi="Times New Roman" w:cs="Times New Roman"/>
          <w:sz w:val="22"/>
          <w:szCs w:val="22"/>
        </w:rPr>
        <w:t>p.203.</w:t>
      </w:r>
    </w:p>
  </w:footnote>
  <w:footnote w:id="837">
    <w:p w14:paraId="038A707C" w14:textId="6B457522" w:rsidR="00AF3311" w:rsidRPr="00047A9D" w:rsidRDefault="00AF331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C41A2" w:rsidRPr="00047A9D">
        <w:rPr>
          <w:rFonts w:ascii="Times New Roman" w:hAnsi="Times New Roman" w:cs="Times New Roman"/>
          <w:sz w:val="22"/>
          <w:szCs w:val="22"/>
        </w:rPr>
        <w:t>‘</w:t>
      </w:r>
      <w:r w:rsidR="00550EC7" w:rsidRPr="00047A9D">
        <w:rPr>
          <w:rFonts w:ascii="Times New Roman" w:hAnsi="Times New Roman" w:cs="Times New Roman"/>
          <w:sz w:val="22"/>
          <w:szCs w:val="22"/>
        </w:rPr>
        <w:t>History Study Units: State of Play at 20 October 1989’, n.p.</w:t>
      </w:r>
    </w:p>
  </w:footnote>
  <w:footnote w:id="838">
    <w:p w14:paraId="4E2A63D5" w14:textId="2DC64EF7" w:rsidR="00550EC7" w:rsidRPr="00047A9D" w:rsidRDefault="00550EC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210D0" w:rsidRPr="00047A9D">
        <w:rPr>
          <w:rFonts w:ascii="Times New Roman" w:hAnsi="Times New Roman" w:cs="Times New Roman"/>
          <w:sz w:val="22"/>
          <w:szCs w:val="22"/>
        </w:rPr>
        <w:t>Husbands, Medley, and Roberts, ‘Historical Association Response’, n.p.</w:t>
      </w:r>
    </w:p>
  </w:footnote>
  <w:footnote w:id="839">
    <w:p w14:paraId="6CAA48D8" w14:textId="0484E196" w:rsidR="00AC41A2" w:rsidRPr="00047A9D" w:rsidRDefault="00AC41A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10978" w:rsidRPr="00047A9D">
        <w:rPr>
          <w:rFonts w:ascii="Times New Roman" w:hAnsi="Times New Roman" w:cs="Times New Roman"/>
          <w:sz w:val="22"/>
          <w:szCs w:val="22"/>
        </w:rPr>
        <w:t xml:space="preserve">NAL: </w:t>
      </w:r>
      <w:r w:rsidR="00543E6F" w:rsidRPr="00047A9D">
        <w:rPr>
          <w:rFonts w:ascii="Times New Roman" w:hAnsi="Times New Roman" w:cs="Times New Roman"/>
          <w:sz w:val="22"/>
          <w:szCs w:val="22"/>
        </w:rPr>
        <w:t xml:space="preserve">‘Report of the Responses Group’, n.d., p.2, </w:t>
      </w:r>
      <w:r w:rsidR="000D39D7" w:rsidRPr="00047A9D">
        <w:rPr>
          <w:rFonts w:ascii="Times New Roman" w:hAnsi="Times New Roman" w:cs="Times New Roman"/>
          <w:sz w:val="22"/>
          <w:szCs w:val="22"/>
        </w:rPr>
        <w:t>ED 183/303</w:t>
      </w:r>
      <w:r w:rsidR="0003647A" w:rsidRPr="00047A9D">
        <w:rPr>
          <w:rFonts w:ascii="Times New Roman" w:hAnsi="Times New Roman" w:cs="Times New Roman"/>
          <w:sz w:val="22"/>
          <w:szCs w:val="22"/>
        </w:rPr>
        <w:t>.</w:t>
      </w:r>
    </w:p>
  </w:footnote>
  <w:footnote w:id="840">
    <w:p w14:paraId="03D93367" w14:textId="78010952" w:rsidR="00D00D51" w:rsidRPr="00047A9D" w:rsidRDefault="00D00D5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Husbands, Medley, and Roberts, ‘Historical Association Response’, n.p.</w:t>
      </w:r>
    </w:p>
  </w:footnote>
  <w:footnote w:id="841">
    <w:p w14:paraId="55FD5BB2" w14:textId="1DBF7B37" w:rsidR="003E37A9" w:rsidRPr="00047A9D" w:rsidRDefault="003E37A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C217C" w:rsidRPr="00047A9D">
        <w:rPr>
          <w:rFonts w:ascii="Times New Roman" w:hAnsi="Times New Roman" w:cs="Times New Roman"/>
          <w:sz w:val="22"/>
          <w:szCs w:val="22"/>
        </w:rPr>
        <w:t>‘Summary of Responses’, p.3.</w:t>
      </w:r>
    </w:p>
  </w:footnote>
  <w:footnote w:id="842">
    <w:p w14:paraId="5DA1AD6A" w14:textId="3755B7FB" w:rsidR="001D3468" w:rsidRPr="00047A9D" w:rsidRDefault="001D346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970FC" w:rsidRPr="00047A9D">
        <w:rPr>
          <w:rFonts w:ascii="Times New Roman" w:hAnsi="Times New Roman" w:cs="Times New Roman"/>
          <w:sz w:val="22"/>
          <w:szCs w:val="22"/>
        </w:rPr>
        <w:t xml:space="preserve">‘Report of the Responses Group’, </w:t>
      </w:r>
      <w:r w:rsidR="00E26CDA" w:rsidRPr="00047A9D">
        <w:rPr>
          <w:rFonts w:ascii="Times New Roman" w:hAnsi="Times New Roman" w:cs="Times New Roman"/>
          <w:sz w:val="22"/>
          <w:szCs w:val="22"/>
        </w:rPr>
        <w:t>p.1.</w:t>
      </w:r>
    </w:p>
  </w:footnote>
  <w:footnote w:id="843">
    <w:p w14:paraId="411F788F" w14:textId="691C4CED" w:rsidR="00656933" w:rsidRPr="00047A9D" w:rsidRDefault="0065693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E403A" w:rsidRPr="00047A9D">
        <w:rPr>
          <w:rFonts w:ascii="Times New Roman" w:hAnsi="Times New Roman" w:cs="Times New Roman"/>
          <w:sz w:val="22"/>
          <w:szCs w:val="22"/>
        </w:rPr>
        <w:t>‘Report of the Responses Group’, pp.1-2.</w:t>
      </w:r>
    </w:p>
  </w:footnote>
  <w:footnote w:id="844">
    <w:p w14:paraId="65A60AD9" w14:textId="2A56828E" w:rsidR="005378EE" w:rsidRPr="00047A9D" w:rsidRDefault="005378E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C74ED" w:rsidRPr="00047A9D">
        <w:rPr>
          <w:rFonts w:ascii="Times New Roman" w:hAnsi="Times New Roman" w:cs="Times New Roman"/>
          <w:sz w:val="22"/>
          <w:szCs w:val="22"/>
        </w:rPr>
        <w:t xml:space="preserve">‘History Study Units: State of Play at 20 October 1989’, n.p. </w:t>
      </w:r>
      <w:r w:rsidRPr="00047A9D">
        <w:rPr>
          <w:rFonts w:ascii="Times New Roman" w:hAnsi="Times New Roman" w:cs="Times New Roman"/>
          <w:sz w:val="22"/>
          <w:szCs w:val="22"/>
        </w:rPr>
        <w:t xml:space="preserve">The absence of world history topics from the list may at first </w:t>
      </w:r>
      <w:r w:rsidR="001B25F1" w:rsidRPr="00047A9D">
        <w:rPr>
          <w:rFonts w:ascii="Times New Roman" w:hAnsi="Times New Roman" w:cs="Times New Roman"/>
          <w:sz w:val="22"/>
          <w:szCs w:val="22"/>
        </w:rPr>
        <w:t>seem</w:t>
      </w:r>
      <w:r w:rsidRPr="00047A9D">
        <w:rPr>
          <w:rFonts w:ascii="Times New Roman" w:hAnsi="Times New Roman" w:cs="Times New Roman"/>
          <w:sz w:val="22"/>
          <w:szCs w:val="22"/>
        </w:rPr>
        <w:t xml:space="preserve"> surprising. However, ‘world’ topics were generally better represented than ‘European’ topics in the </w:t>
      </w:r>
      <w:r w:rsidR="001B25F1" w:rsidRPr="00047A9D">
        <w:rPr>
          <w:rFonts w:ascii="Times New Roman" w:hAnsi="Times New Roman" w:cs="Times New Roman"/>
          <w:sz w:val="22"/>
          <w:szCs w:val="22"/>
        </w:rPr>
        <w:t>I</w:t>
      </w:r>
      <w:r w:rsidRPr="00047A9D">
        <w:rPr>
          <w:rFonts w:ascii="Times New Roman" w:hAnsi="Times New Roman" w:cs="Times New Roman"/>
          <w:sz w:val="22"/>
          <w:szCs w:val="22"/>
        </w:rPr>
        <w:t xml:space="preserve">nterim Report. Additionally, </w:t>
      </w:r>
      <w:r w:rsidR="00F11EC3" w:rsidRPr="00047A9D">
        <w:rPr>
          <w:rFonts w:ascii="Times New Roman" w:hAnsi="Times New Roman" w:cs="Times New Roman"/>
          <w:sz w:val="22"/>
          <w:szCs w:val="22"/>
        </w:rPr>
        <w:t>‘</w:t>
      </w:r>
      <w:r w:rsidRPr="00047A9D">
        <w:rPr>
          <w:rFonts w:ascii="Times New Roman" w:hAnsi="Times New Roman" w:cs="Times New Roman"/>
          <w:sz w:val="22"/>
          <w:szCs w:val="22"/>
        </w:rPr>
        <w:t>world</w:t>
      </w:r>
      <w:r w:rsidR="00F11EC3" w:rsidRPr="00047A9D">
        <w:rPr>
          <w:rFonts w:ascii="Times New Roman" w:hAnsi="Times New Roman" w:cs="Times New Roman"/>
          <w:sz w:val="22"/>
          <w:szCs w:val="22"/>
        </w:rPr>
        <w:t>’</w:t>
      </w:r>
      <w:r w:rsidRPr="00047A9D">
        <w:rPr>
          <w:rFonts w:ascii="Times New Roman" w:hAnsi="Times New Roman" w:cs="Times New Roman"/>
          <w:sz w:val="22"/>
          <w:szCs w:val="22"/>
        </w:rPr>
        <w:t xml:space="preserve"> </w:t>
      </w:r>
      <w:r w:rsidR="00F11EC3" w:rsidRPr="00047A9D">
        <w:rPr>
          <w:rFonts w:ascii="Times New Roman" w:hAnsi="Times New Roman" w:cs="Times New Roman"/>
          <w:sz w:val="22"/>
          <w:szCs w:val="22"/>
        </w:rPr>
        <w:t>topics</w:t>
      </w:r>
      <w:r w:rsidRPr="00047A9D">
        <w:rPr>
          <w:rFonts w:ascii="Times New Roman" w:hAnsi="Times New Roman" w:cs="Times New Roman"/>
          <w:sz w:val="22"/>
          <w:szCs w:val="22"/>
        </w:rPr>
        <w:t xml:space="preserve"> </w:t>
      </w:r>
      <w:r w:rsidR="00F11EC3" w:rsidRPr="00047A9D">
        <w:rPr>
          <w:rFonts w:ascii="Times New Roman" w:hAnsi="Times New Roman" w:cs="Times New Roman"/>
          <w:sz w:val="22"/>
          <w:szCs w:val="22"/>
        </w:rPr>
        <w:t>were</w:t>
      </w:r>
      <w:r w:rsidRPr="00047A9D">
        <w:rPr>
          <w:rFonts w:ascii="Times New Roman" w:hAnsi="Times New Roman" w:cs="Times New Roman"/>
          <w:sz w:val="22"/>
          <w:szCs w:val="22"/>
        </w:rPr>
        <w:t xml:space="preserve"> a common part of multicultural and anti-racist curricula, which were typically responsive to local demand</w:t>
      </w:r>
      <w:r w:rsidR="000538F3" w:rsidRPr="00047A9D">
        <w:rPr>
          <w:rFonts w:ascii="Times New Roman" w:hAnsi="Times New Roman" w:cs="Times New Roman"/>
          <w:sz w:val="22"/>
          <w:szCs w:val="22"/>
        </w:rPr>
        <w:t xml:space="preserve"> </w:t>
      </w:r>
      <w:r w:rsidRPr="00047A9D">
        <w:rPr>
          <w:rFonts w:ascii="Times New Roman" w:hAnsi="Times New Roman" w:cs="Times New Roman"/>
          <w:sz w:val="22"/>
          <w:szCs w:val="22"/>
        </w:rPr>
        <w:t>and highly individualised</w:t>
      </w:r>
      <w:r w:rsidR="000538F3" w:rsidRPr="00047A9D">
        <w:rPr>
          <w:rFonts w:ascii="Times New Roman" w:hAnsi="Times New Roman" w:cs="Times New Roman"/>
          <w:sz w:val="22"/>
          <w:szCs w:val="22"/>
        </w:rPr>
        <w:t xml:space="preserve">. Thus, it is likely that there was </w:t>
      </w:r>
      <w:r w:rsidR="004B5AB1" w:rsidRPr="00047A9D">
        <w:rPr>
          <w:rFonts w:ascii="Times New Roman" w:hAnsi="Times New Roman" w:cs="Times New Roman"/>
          <w:sz w:val="22"/>
          <w:szCs w:val="22"/>
        </w:rPr>
        <w:t>little</w:t>
      </w:r>
      <w:r w:rsidRPr="00047A9D">
        <w:rPr>
          <w:rFonts w:ascii="Times New Roman" w:hAnsi="Times New Roman" w:cs="Times New Roman"/>
          <w:sz w:val="22"/>
          <w:szCs w:val="22"/>
        </w:rPr>
        <w:t xml:space="preserve"> consensus and concerted advocacy on </w:t>
      </w:r>
      <w:r w:rsidR="004B5AB1" w:rsidRPr="00047A9D">
        <w:rPr>
          <w:rFonts w:ascii="Times New Roman" w:hAnsi="Times New Roman" w:cs="Times New Roman"/>
          <w:sz w:val="22"/>
          <w:szCs w:val="22"/>
        </w:rPr>
        <w:t xml:space="preserve">specific </w:t>
      </w:r>
      <w:r w:rsidRPr="00047A9D">
        <w:rPr>
          <w:rFonts w:ascii="Times New Roman" w:hAnsi="Times New Roman" w:cs="Times New Roman"/>
          <w:sz w:val="22"/>
          <w:szCs w:val="22"/>
        </w:rPr>
        <w:t>topics which fell under this umbrella.</w:t>
      </w:r>
    </w:p>
  </w:footnote>
  <w:footnote w:id="845">
    <w:p w14:paraId="403F83FC" w14:textId="0318ECDD" w:rsidR="005F5EA2" w:rsidRPr="00047A9D" w:rsidRDefault="005F5EA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85F4A" w:rsidRPr="00047A9D">
        <w:rPr>
          <w:rFonts w:ascii="Times New Roman" w:hAnsi="Times New Roman" w:cs="Times New Roman"/>
          <w:sz w:val="22"/>
          <w:szCs w:val="22"/>
        </w:rPr>
        <w:t>‘Summary of Responses’, p.3.</w:t>
      </w:r>
    </w:p>
  </w:footnote>
  <w:footnote w:id="846">
    <w:p w14:paraId="31EFB483" w14:textId="1A80A551" w:rsidR="00785F4A" w:rsidRPr="00047A9D" w:rsidRDefault="00785F4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07209" w:rsidRPr="00047A9D">
        <w:rPr>
          <w:rFonts w:ascii="Times New Roman" w:hAnsi="Times New Roman" w:cs="Times New Roman"/>
          <w:sz w:val="22"/>
          <w:szCs w:val="22"/>
        </w:rPr>
        <w:t>Transcript of interview with Peter Marshall, p.</w:t>
      </w:r>
      <w:r w:rsidR="00036A0B" w:rsidRPr="00047A9D">
        <w:rPr>
          <w:rFonts w:ascii="Times New Roman" w:hAnsi="Times New Roman" w:cs="Times New Roman"/>
          <w:sz w:val="22"/>
          <w:szCs w:val="22"/>
        </w:rPr>
        <w:t>9.</w:t>
      </w:r>
    </w:p>
  </w:footnote>
  <w:footnote w:id="847">
    <w:p w14:paraId="087AE732" w14:textId="5B3755E6" w:rsidR="00036A0B" w:rsidRPr="00047A9D" w:rsidRDefault="00036A0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754A3" w:rsidRPr="00047A9D">
        <w:rPr>
          <w:rFonts w:ascii="Times New Roman" w:hAnsi="Times New Roman" w:cs="Times New Roman"/>
          <w:sz w:val="22"/>
          <w:szCs w:val="22"/>
        </w:rPr>
        <w:t>Robert M. Guyver, ‘</w:t>
      </w:r>
      <w:r w:rsidR="00814B24" w:rsidRPr="00047A9D">
        <w:rPr>
          <w:rFonts w:ascii="Times New Roman" w:hAnsi="Times New Roman" w:cs="Times New Roman"/>
          <w:sz w:val="22"/>
          <w:szCs w:val="22"/>
        </w:rPr>
        <w:t>History</w:t>
      </w:r>
      <w:r w:rsidR="009754A3" w:rsidRPr="00047A9D">
        <w:rPr>
          <w:rFonts w:ascii="Times New Roman" w:hAnsi="Times New Roman" w:cs="Times New Roman"/>
          <w:sz w:val="22"/>
          <w:szCs w:val="22"/>
        </w:rPr>
        <w:t>’</w:t>
      </w:r>
      <w:r w:rsidR="00814B24" w:rsidRPr="00047A9D">
        <w:rPr>
          <w:rFonts w:ascii="Times New Roman" w:hAnsi="Times New Roman" w:cs="Times New Roman"/>
          <w:sz w:val="22"/>
          <w:szCs w:val="22"/>
        </w:rPr>
        <w:t>s Domesday Book</w:t>
      </w:r>
      <w:r w:rsidR="009754A3" w:rsidRPr="00047A9D">
        <w:rPr>
          <w:rFonts w:ascii="Times New Roman" w:hAnsi="Times New Roman" w:cs="Times New Roman"/>
          <w:sz w:val="22"/>
          <w:szCs w:val="22"/>
        </w:rPr>
        <w:t xml:space="preserve">’, </w:t>
      </w:r>
      <w:r w:rsidR="00814B24" w:rsidRPr="00047A9D">
        <w:rPr>
          <w:rFonts w:ascii="Times New Roman" w:hAnsi="Times New Roman" w:cs="Times New Roman"/>
          <w:i/>
          <w:sz w:val="22"/>
          <w:szCs w:val="22"/>
        </w:rPr>
        <w:t>History Workshop</w:t>
      </w:r>
      <w:r w:rsidR="009754A3" w:rsidRPr="00047A9D">
        <w:rPr>
          <w:rFonts w:ascii="Times New Roman" w:hAnsi="Times New Roman" w:cs="Times New Roman"/>
          <w:i/>
          <w:sz w:val="22"/>
          <w:szCs w:val="22"/>
        </w:rPr>
        <w:t xml:space="preserve"> Journal</w:t>
      </w:r>
      <w:r w:rsidR="00814B24" w:rsidRPr="00047A9D">
        <w:rPr>
          <w:rFonts w:ascii="Times New Roman" w:hAnsi="Times New Roman" w:cs="Times New Roman"/>
          <w:sz w:val="22"/>
          <w:szCs w:val="22"/>
        </w:rPr>
        <w:t xml:space="preserve"> </w:t>
      </w:r>
      <w:r w:rsidR="004E5609" w:rsidRPr="00047A9D">
        <w:rPr>
          <w:rFonts w:ascii="Times New Roman" w:hAnsi="Times New Roman" w:cs="Times New Roman"/>
          <w:sz w:val="22"/>
          <w:szCs w:val="22"/>
        </w:rPr>
        <w:t>30 (</w:t>
      </w:r>
      <w:r w:rsidR="00814B24" w:rsidRPr="00047A9D">
        <w:rPr>
          <w:rFonts w:ascii="Times New Roman" w:hAnsi="Times New Roman" w:cs="Times New Roman"/>
          <w:sz w:val="22"/>
          <w:szCs w:val="22"/>
        </w:rPr>
        <w:t>Autumn 1990</w:t>
      </w:r>
      <w:r w:rsidR="004E5609" w:rsidRPr="00047A9D">
        <w:rPr>
          <w:rFonts w:ascii="Times New Roman" w:hAnsi="Times New Roman" w:cs="Times New Roman"/>
          <w:sz w:val="22"/>
          <w:szCs w:val="22"/>
        </w:rPr>
        <w:t>)</w:t>
      </w:r>
      <w:r w:rsidR="00814B24" w:rsidRPr="00047A9D">
        <w:rPr>
          <w:rFonts w:ascii="Times New Roman" w:hAnsi="Times New Roman" w:cs="Times New Roman"/>
          <w:sz w:val="22"/>
          <w:szCs w:val="22"/>
        </w:rPr>
        <w:t>,</w:t>
      </w:r>
      <w:r w:rsidR="004E5609" w:rsidRPr="00047A9D">
        <w:rPr>
          <w:rFonts w:ascii="Times New Roman" w:hAnsi="Times New Roman" w:cs="Times New Roman"/>
          <w:sz w:val="22"/>
          <w:szCs w:val="22"/>
        </w:rPr>
        <w:t xml:space="preserve"> </w:t>
      </w:r>
      <w:r w:rsidR="00814B24" w:rsidRPr="00047A9D">
        <w:rPr>
          <w:rFonts w:ascii="Times New Roman" w:hAnsi="Times New Roman" w:cs="Times New Roman"/>
          <w:sz w:val="22"/>
          <w:szCs w:val="22"/>
        </w:rPr>
        <w:t>100-08</w:t>
      </w:r>
      <w:r w:rsidR="004E5609" w:rsidRPr="00047A9D">
        <w:rPr>
          <w:rFonts w:ascii="Times New Roman" w:hAnsi="Times New Roman" w:cs="Times New Roman"/>
          <w:sz w:val="22"/>
          <w:szCs w:val="22"/>
        </w:rPr>
        <w:t>, p.105.</w:t>
      </w:r>
    </w:p>
  </w:footnote>
  <w:footnote w:id="848">
    <w:p w14:paraId="45D40118" w14:textId="74E751F0" w:rsidR="00FE0595" w:rsidRPr="00047A9D" w:rsidRDefault="00FE059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B2F5A" w:rsidRPr="00047A9D">
        <w:rPr>
          <w:rFonts w:ascii="Times New Roman" w:hAnsi="Times New Roman" w:cs="Times New Roman"/>
          <w:sz w:val="22"/>
          <w:szCs w:val="22"/>
        </w:rPr>
        <w:t>‘</w:t>
      </w:r>
      <w:r w:rsidR="00AB745B" w:rsidRPr="00047A9D">
        <w:rPr>
          <w:rFonts w:ascii="Times New Roman" w:hAnsi="Times New Roman" w:cs="Times New Roman"/>
          <w:sz w:val="22"/>
          <w:szCs w:val="22"/>
        </w:rPr>
        <w:t>Report of the Responses Group</w:t>
      </w:r>
      <w:r w:rsidR="003B2F5A" w:rsidRPr="00047A9D">
        <w:rPr>
          <w:rFonts w:ascii="Times New Roman" w:hAnsi="Times New Roman" w:cs="Times New Roman"/>
          <w:sz w:val="22"/>
          <w:szCs w:val="22"/>
        </w:rPr>
        <w:t>’, p</w:t>
      </w:r>
      <w:r w:rsidR="00325600">
        <w:rPr>
          <w:rFonts w:ascii="Times New Roman" w:hAnsi="Times New Roman" w:cs="Times New Roman"/>
          <w:sz w:val="22"/>
          <w:szCs w:val="22"/>
        </w:rPr>
        <w:t>.</w:t>
      </w:r>
      <w:r w:rsidR="008461C5" w:rsidRPr="00047A9D">
        <w:rPr>
          <w:rFonts w:ascii="Times New Roman" w:hAnsi="Times New Roman" w:cs="Times New Roman"/>
          <w:sz w:val="22"/>
          <w:szCs w:val="22"/>
        </w:rPr>
        <w:t>1.</w:t>
      </w:r>
    </w:p>
  </w:footnote>
  <w:footnote w:id="849">
    <w:p w14:paraId="23C1C3B8" w14:textId="1BED1B20" w:rsidR="00CA46F2" w:rsidRPr="00047A9D" w:rsidRDefault="00CA46F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61041" w:rsidRPr="00047A9D">
        <w:rPr>
          <w:rFonts w:ascii="Times New Roman" w:hAnsi="Times New Roman" w:cs="Times New Roman"/>
          <w:sz w:val="22"/>
          <w:szCs w:val="22"/>
        </w:rPr>
        <w:t>See Lucy Russell, ‘Teaching the Holocaust in History: Policy and Clas</w:t>
      </w:r>
      <w:r w:rsidR="00ED4A21" w:rsidRPr="00047A9D">
        <w:rPr>
          <w:rFonts w:ascii="Times New Roman" w:hAnsi="Times New Roman" w:cs="Times New Roman"/>
          <w:sz w:val="22"/>
          <w:szCs w:val="22"/>
        </w:rPr>
        <w:t>sr</w:t>
      </w:r>
      <w:r w:rsidR="00A61041" w:rsidRPr="00047A9D">
        <w:rPr>
          <w:rFonts w:ascii="Times New Roman" w:hAnsi="Times New Roman" w:cs="Times New Roman"/>
          <w:sz w:val="22"/>
          <w:szCs w:val="22"/>
        </w:rPr>
        <w:t>oom Perspectives’</w:t>
      </w:r>
      <w:r w:rsidR="00AF006B" w:rsidRPr="00047A9D">
        <w:rPr>
          <w:rFonts w:ascii="Times New Roman" w:hAnsi="Times New Roman" w:cs="Times New Roman"/>
          <w:sz w:val="22"/>
          <w:szCs w:val="22"/>
        </w:rPr>
        <w:t xml:space="preserve"> (</w:t>
      </w:r>
      <w:r w:rsidR="00A61041" w:rsidRPr="00047A9D">
        <w:rPr>
          <w:rFonts w:ascii="Times New Roman" w:hAnsi="Times New Roman" w:cs="Times New Roman"/>
          <w:sz w:val="22"/>
          <w:szCs w:val="22"/>
        </w:rPr>
        <w:t xml:space="preserve">unpublished </w:t>
      </w:r>
      <w:r w:rsidR="00AF006B" w:rsidRPr="00047A9D">
        <w:rPr>
          <w:rFonts w:ascii="Times New Roman" w:hAnsi="Times New Roman" w:cs="Times New Roman"/>
          <w:sz w:val="22"/>
          <w:szCs w:val="22"/>
        </w:rPr>
        <w:t>PhD</w:t>
      </w:r>
      <w:r w:rsidR="00A61041" w:rsidRPr="00047A9D">
        <w:rPr>
          <w:rFonts w:ascii="Times New Roman" w:hAnsi="Times New Roman" w:cs="Times New Roman"/>
          <w:sz w:val="22"/>
          <w:szCs w:val="22"/>
        </w:rPr>
        <w:t xml:space="preserve"> thesis, Goldsmiths, University of London</w:t>
      </w:r>
      <w:r w:rsidR="00AF006B" w:rsidRPr="00047A9D">
        <w:rPr>
          <w:rFonts w:ascii="Times New Roman" w:hAnsi="Times New Roman" w:cs="Times New Roman"/>
          <w:sz w:val="22"/>
          <w:szCs w:val="22"/>
        </w:rPr>
        <w:t>)</w:t>
      </w:r>
      <w:r w:rsidR="00ED4A21" w:rsidRPr="00047A9D">
        <w:rPr>
          <w:rFonts w:ascii="Times New Roman" w:hAnsi="Times New Roman" w:cs="Times New Roman"/>
          <w:sz w:val="22"/>
          <w:szCs w:val="22"/>
        </w:rPr>
        <w:t>, pp.</w:t>
      </w:r>
      <w:r w:rsidR="004D1469" w:rsidRPr="00047A9D">
        <w:rPr>
          <w:rFonts w:ascii="Times New Roman" w:hAnsi="Times New Roman" w:cs="Times New Roman"/>
          <w:sz w:val="22"/>
          <w:szCs w:val="22"/>
        </w:rPr>
        <w:t>164-65</w:t>
      </w:r>
      <w:r w:rsidR="00E93E7D" w:rsidRPr="00047A9D">
        <w:rPr>
          <w:rFonts w:ascii="Times New Roman" w:hAnsi="Times New Roman" w:cs="Times New Roman"/>
          <w:sz w:val="22"/>
          <w:szCs w:val="22"/>
        </w:rPr>
        <w:t>;</w:t>
      </w:r>
      <w:r w:rsidR="002A13C9" w:rsidRPr="00047A9D">
        <w:rPr>
          <w:rFonts w:ascii="Times New Roman" w:hAnsi="Times New Roman" w:cs="Times New Roman"/>
          <w:sz w:val="22"/>
          <w:szCs w:val="22"/>
        </w:rPr>
        <w:t xml:space="preserve"> and</w:t>
      </w:r>
      <w:r w:rsidR="00194828" w:rsidRPr="00047A9D">
        <w:rPr>
          <w:rFonts w:ascii="Times New Roman" w:hAnsi="Times New Roman" w:cs="Times New Roman"/>
          <w:sz w:val="22"/>
          <w:szCs w:val="22"/>
        </w:rPr>
        <w:t xml:space="preserve"> </w:t>
      </w:r>
      <w:r w:rsidR="000F307B" w:rsidRPr="00047A9D">
        <w:rPr>
          <w:rFonts w:ascii="Times New Roman" w:hAnsi="Times New Roman" w:cs="Times New Roman"/>
          <w:sz w:val="22"/>
          <w:szCs w:val="22"/>
        </w:rPr>
        <w:t xml:space="preserve">NAL: </w:t>
      </w:r>
      <w:r w:rsidR="00194828" w:rsidRPr="00047A9D">
        <w:rPr>
          <w:rFonts w:ascii="Times New Roman" w:hAnsi="Times New Roman" w:cs="Times New Roman"/>
          <w:sz w:val="22"/>
          <w:szCs w:val="22"/>
        </w:rPr>
        <w:t xml:space="preserve">Roger Hennessey, ‘Towards a Rationale for the Selection of HSUs: Agenda’, 26 September 1989, </w:t>
      </w:r>
      <w:r w:rsidR="002A13C9" w:rsidRPr="00047A9D">
        <w:rPr>
          <w:rFonts w:ascii="Times New Roman" w:hAnsi="Times New Roman" w:cs="Times New Roman"/>
          <w:sz w:val="22"/>
          <w:szCs w:val="22"/>
        </w:rPr>
        <w:t>in ‘National Curriculum: History Working Group; Meeting 14, 29 September 1989; Minutes and Papers; Proposals for Programmes of Study at Key Stages 1, 2, 3 and 4’, ED 183/300.</w:t>
      </w:r>
    </w:p>
  </w:footnote>
  <w:footnote w:id="850">
    <w:p w14:paraId="16F9355E" w14:textId="693F47EA" w:rsidR="00C62A01" w:rsidRPr="00047A9D" w:rsidRDefault="00C62A0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5029D" w:rsidRPr="00047A9D">
        <w:rPr>
          <w:rFonts w:ascii="Times New Roman" w:hAnsi="Times New Roman" w:cs="Times New Roman"/>
          <w:sz w:val="22"/>
          <w:szCs w:val="22"/>
        </w:rPr>
        <w:t>‘Report of the Responses Group’, p</w:t>
      </w:r>
      <w:r w:rsidR="00325600">
        <w:rPr>
          <w:rFonts w:ascii="Times New Roman" w:hAnsi="Times New Roman" w:cs="Times New Roman"/>
          <w:sz w:val="22"/>
          <w:szCs w:val="22"/>
        </w:rPr>
        <w:t>.</w:t>
      </w:r>
      <w:r w:rsidR="0065029D" w:rsidRPr="00047A9D">
        <w:rPr>
          <w:rFonts w:ascii="Times New Roman" w:hAnsi="Times New Roman" w:cs="Times New Roman"/>
          <w:sz w:val="22"/>
          <w:szCs w:val="22"/>
        </w:rPr>
        <w:t>1.</w:t>
      </w:r>
    </w:p>
  </w:footnote>
  <w:footnote w:id="851">
    <w:p w14:paraId="418C63F9" w14:textId="6A901BCD" w:rsidR="00F20D1D" w:rsidRPr="00047A9D" w:rsidRDefault="00F20D1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57496" w:rsidRPr="00047A9D">
        <w:rPr>
          <w:rFonts w:ascii="Times New Roman" w:hAnsi="Times New Roman" w:cs="Times New Roman"/>
          <w:sz w:val="22"/>
          <w:szCs w:val="22"/>
        </w:rPr>
        <w:t>Transcript of interview with Peter Marshall, p.9.</w:t>
      </w:r>
    </w:p>
  </w:footnote>
  <w:footnote w:id="852">
    <w:p w14:paraId="055F0391" w14:textId="4D16B129" w:rsidR="0065029D" w:rsidRPr="00047A9D" w:rsidRDefault="0065029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32FD3" w:rsidRPr="00047A9D">
        <w:rPr>
          <w:rFonts w:ascii="Times New Roman" w:hAnsi="Times New Roman" w:cs="Times New Roman"/>
          <w:sz w:val="22"/>
          <w:szCs w:val="22"/>
        </w:rPr>
        <w:t>Quoted in Russell, ‘Teaching the Holocaust’, pp.165-66.</w:t>
      </w:r>
    </w:p>
  </w:footnote>
  <w:footnote w:id="853">
    <w:p w14:paraId="07EF4E21" w14:textId="3D4A2443" w:rsidR="00024568" w:rsidRPr="00047A9D" w:rsidRDefault="0002456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Transcript of interview with Peter Marshall, p.9.</w:t>
      </w:r>
    </w:p>
  </w:footnote>
  <w:footnote w:id="854">
    <w:p w14:paraId="7C076483" w14:textId="3DE31FFE" w:rsidR="007442EB" w:rsidRPr="00047A9D" w:rsidRDefault="007442E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C1E62" w:rsidRPr="00047A9D">
        <w:rPr>
          <w:rFonts w:ascii="Times New Roman" w:hAnsi="Times New Roman" w:cs="Times New Roman"/>
          <w:sz w:val="22"/>
          <w:szCs w:val="22"/>
        </w:rPr>
        <w:t>Russell, ‘Teaching the Holocaust’, pp.9-10.</w:t>
      </w:r>
    </w:p>
  </w:footnote>
  <w:footnote w:id="855">
    <w:p w14:paraId="0B55D59F" w14:textId="378B2A6C" w:rsidR="004E2B3A" w:rsidRPr="00047A9D" w:rsidRDefault="004E2B3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D1F22" w:rsidRPr="00047A9D">
        <w:rPr>
          <w:rFonts w:ascii="Times New Roman" w:hAnsi="Times New Roman" w:cs="Times New Roman"/>
          <w:sz w:val="22"/>
          <w:szCs w:val="22"/>
        </w:rPr>
        <w:t>Russell, ‘Teaching the Holocaust’, pp.172-73.</w:t>
      </w:r>
    </w:p>
  </w:footnote>
  <w:footnote w:id="856">
    <w:p w14:paraId="0719EBE9" w14:textId="5D5C48DE" w:rsidR="00606B89" w:rsidRPr="00047A9D" w:rsidRDefault="00375E4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AA712A" w:rsidRPr="00047A9D">
        <w:rPr>
          <w:rFonts w:ascii="Times New Roman" w:hAnsi="Times New Roman" w:cs="Times New Roman"/>
          <w:sz w:val="22"/>
          <w:szCs w:val="22"/>
        </w:rPr>
        <w:t xml:space="preserve"> </w:t>
      </w:r>
      <w:r w:rsidR="006A3A5B" w:rsidRPr="00047A9D">
        <w:rPr>
          <w:rFonts w:ascii="Times New Roman" w:hAnsi="Times New Roman" w:cs="Times New Roman"/>
          <w:sz w:val="22"/>
          <w:szCs w:val="22"/>
        </w:rPr>
        <w:t>‘History’</w:t>
      </w:r>
      <w:r w:rsidR="00AA712A" w:rsidRPr="00047A9D">
        <w:rPr>
          <w:rFonts w:ascii="Times New Roman" w:hAnsi="Times New Roman" w:cs="Times New Roman"/>
          <w:sz w:val="22"/>
          <w:szCs w:val="22"/>
        </w:rPr>
        <w:t>, House of Commons (HC) Deb (</w:t>
      </w:r>
      <w:r w:rsidR="00F76DE8" w:rsidRPr="00047A9D">
        <w:rPr>
          <w:rFonts w:ascii="Times New Roman" w:hAnsi="Times New Roman" w:cs="Times New Roman"/>
          <w:sz w:val="22"/>
          <w:szCs w:val="22"/>
        </w:rPr>
        <w:t>14 November 1989</w:t>
      </w:r>
      <w:r w:rsidR="00AA712A" w:rsidRPr="00047A9D">
        <w:rPr>
          <w:rFonts w:ascii="Times New Roman" w:hAnsi="Times New Roman" w:cs="Times New Roman"/>
          <w:sz w:val="22"/>
          <w:szCs w:val="22"/>
        </w:rPr>
        <w:t xml:space="preserve">). Vol. </w:t>
      </w:r>
      <w:r w:rsidR="006A3A5B" w:rsidRPr="00047A9D">
        <w:rPr>
          <w:rFonts w:ascii="Times New Roman" w:hAnsi="Times New Roman" w:cs="Times New Roman"/>
          <w:sz w:val="22"/>
          <w:szCs w:val="22"/>
        </w:rPr>
        <w:t>160</w:t>
      </w:r>
      <w:r w:rsidR="00AA712A" w:rsidRPr="00047A9D">
        <w:rPr>
          <w:rFonts w:ascii="Times New Roman" w:hAnsi="Times New Roman" w:cs="Times New Roman"/>
          <w:sz w:val="22"/>
          <w:szCs w:val="22"/>
        </w:rPr>
        <w:t>, col</w:t>
      </w:r>
      <w:r w:rsidR="004A6148" w:rsidRPr="00047A9D">
        <w:rPr>
          <w:rFonts w:ascii="Times New Roman" w:hAnsi="Times New Roman" w:cs="Times New Roman"/>
          <w:sz w:val="22"/>
          <w:szCs w:val="22"/>
        </w:rPr>
        <w:t>.172</w:t>
      </w:r>
      <w:r w:rsidR="00AA712A" w:rsidRPr="00047A9D">
        <w:rPr>
          <w:rFonts w:ascii="Times New Roman" w:hAnsi="Times New Roman" w:cs="Times New Roman"/>
          <w:sz w:val="22"/>
          <w:szCs w:val="22"/>
        </w:rPr>
        <w:t xml:space="preserve">. </w:t>
      </w:r>
      <w:r w:rsidR="006A3A5B" w:rsidRPr="00047A9D">
        <w:rPr>
          <w:rFonts w:ascii="Times New Roman" w:hAnsi="Times New Roman" w:cs="Times New Roman"/>
          <w:sz w:val="22"/>
          <w:szCs w:val="22"/>
        </w:rPr>
        <w:t>&lt;https://hansard.parliament.uk/Commons/1989-11-14/debates/f16683a6-fb20-41b5-a0cf-81201751d785/History&gt; [last accessed 17 January 2025].</w:t>
      </w:r>
    </w:p>
  </w:footnote>
  <w:footnote w:id="857">
    <w:p w14:paraId="0B6E50BC" w14:textId="3BB6D338" w:rsidR="00CC14DE" w:rsidRPr="00047A9D" w:rsidRDefault="0056470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60792D" w:rsidRPr="00047A9D">
        <w:rPr>
          <w:rFonts w:ascii="Times New Roman" w:hAnsi="Times New Roman" w:cs="Times New Roman"/>
          <w:sz w:val="22"/>
          <w:szCs w:val="22"/>
        </w:rPr>
        <w:t xml:space="preserve"> </w:t>
      </w:r>
      <w:r w:rsidR="00730015" w:rsidRPr="00047A9D">
        <w:rPr>
          <w:rFonts w:ascii="Times New Roman" w:hAnsi="Times New Roman" w:cs="Times New Roman"/>
          <w:sz w:val="22"/>
          <w:szCs w:val="22"/>
        </w:rPr>
        <w:t>‘</w:t>
      </w:r>
      <w:r w:rsidR="003974DE" w:rsidRPr="00047A9D">
        <w:rPr>
          <w:rFonts w:ascii="Times New Roman" w:hAnsi="Times New Roman" w:cs="Times New Roman"/>
          <w:sz w:val="22"/>
          <w:szCs w:val="22"/>
        </w:rPr>
        <w:t>National Curriculum: Consultations</w:t>
      </w:r>
      <w:r w:rsidR="00730015" w:rsidRPr="00047A9D">
        <w:rPr>
          <w:rFonts w:ascii="Times New Roman" w:hAnsi="Times New Roman" w:cs="Times New Roman"/>
          <w:sz w:val="22"/>
          <w:szCs w:val="22"/>
        </w:rPr>
        <w:t>’, HC Deb (7 February 1990)</w:t>
      </w:r>
      <w:r w:rsidR="00CC14DE" w:rsidRPr="00047A9D">
        <w:rPr>
          <w:rFonts w:ascii="Times New Roman" w:hAnsi="Times New Roman" w:cs="Times New Roman"/>
          <w:sz w:val="22"/>
          <w:szCs w:val="22"/>
        </w:rPr>
        <w:t>. Vol. 515, col</w:t>
      </w:r>
      <w:r w:rsidR="00E44942" w:rsidRPr="00047A9D">
        <w:rPr>
          <w:rFonts w:ascii="Times New Roman" w:hAnsi="Times New Roman" w:cs="Times New Roman"/>
          <w:sz w:val="22"/>
          <w:szCs w:val="22"/>
        </w:rPr>
        <w:t>s 833-34</w:t>
      </w:r>
      <w:r w:rsidR="00325600">
        <w:rPr>
          <w:rFonts w:ascii="Times New Roman" w:hAnsi="Times New Roman" w:cs="Times New Roman"/>
          <w:sz w:val="22"/>
          <w:szCs w:val="22"/>
        </w:rPr>
        <w:t>,</w:t>
      </w:r>
    </w:p>
    <w:p w14:paraId="209675C1" w14:textId="4939C209" w:rsidR="00564708" w:rsidRPr="00047A9D" w:rsidRDefault="00564708" w:rsidP="00D839D4">
      <w:pPr>
        <w:pStyle w:val="FootnoteText"/>
        <w:spacing w:line="360" w:lineRule="auto"/>
        <w:rPr>
          <w:rFonts w:ascii="Times New Roman" w:hAnsi="Times New Roman" w:cs="Times New Roman"/>
          <w:sz w:val="22"/>
          <w:szCs w:val="22"/>
        </w:rPr>
      </w:pPr>
      <w:r w:rsidRPr="00047A9D">
        <w:rPr>
          <w:rFonts w:ascii="Times New Roman" w:hAnsi="Times New Roman" w:cs="Times New Roman"/>
          <w:sz w:val="22"/>
          <w:szCs w:val="22"/>
        </w:rPr>
        <w:t xml:space="preserve"> </w:t>
      </w:r>
      <w:r w:rsidR="006A3A5B" w:rsidRPr="00047A9D">
        <w:rPr>
          <w:rFonts w:ascii="Times New Roman" w:hAnsi="Times New Roman" w:cs="Times New Roman"/>
          <w:sz w:val="22"/>
          <w:szCs w:val="22"/>
        </w:rPr>
        <w:t>&lt;https://hansard.parliament.uk/Lords/1990-02-07/debates/4aae9ca9-3f25-4d6d-9ebd-ed487b3a4cf3/NationalCurriculumConsultations&gt;</w:t>
      </w:r>
      <w:r w:rsidR="009003F0" w:rsidRPr="00047A9D">
        <w:rPr>
          <w:rFonts w:ascii="Times New Roman" w:hAnsi="Times New Roman" w:cs="Times New Roman"/>
          <w:sz w:val="22"/>
          <w:szCs w:val="22"/>
        </w:rPr>
        <w:t xml:space="preserve"> [last accessed 17 January 2025].</w:t>
      </w:r>
    </w:p>
  </w:footnote>
  <w:footnote w:id="858">
    <w:p w14:paraId="6684E1F2" w14:textId="261F33F1" w:rsidR="004D5AC5" w:rsidRPr="00047A9D" w:rsidRDefault="004D5AC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D7BB3" w:rsidRPr="00047A9D">
        <w:rPr>
          <w:rFonts w:ascii="Times New Roman" w:hAnsi="Times New Roman" w:cs="Times New Roman"/>
          <w:sz w:val="22"/>
          <w:szCs w:val="22"/>
        </w:rPr>
        <w:t>Gilroy</w:t>
      </w:r>
      <w:r w:rsidR="000D7BB3" w:rsidRPr="00047A9D">
        <w:rPr>
          <w:rFonts w:ascii="Times New Roman" w:hAnsi="Times New Roman" w:cs="Times New Roman"/>
          <w:i/>
          <w:sz w:val="22"/>
          <w:szCs w:val="22"/>
        </w:rPr>
        <w:t xml:space="preserve">, After Empire, </w:t>
      </w:r>
      <w:r w:rsidRPr="00047A9D">
        <w:rPr>
          <w:rFonts w:ascii="Times New Roman" w:hAnsi="Times New Roman" w:cs="Times New Roman"/>
          <w:sz w:val="22"/>
          <w:szCs w:val="22"/>
        </w:rPr>
        <w:t>pp.95-96.</w:t>
      </w:r>
    </w:p>
  </w:footnote>
  <w:footnote w:id="859">
    <w:p w14:paraId="4302064C" w14:textId="31A4AA5F" w:rsidR="00B977E4" w:rsidRPr="00047A9D" w:rsidRDefault="00B977E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57003" w:rsidRPr="00047A9D">
        <w:rPr>
          <w:rFonts w:ascii="Times New Roman" w:hAnsi="Times New Roman" w:cs="Times New Roman"/>
          <w:sz w:val="22"/>
          <w:szCs w:val="22"/>
        </w:rPr>
        <w:t>Transcript of interview with Peter Marshall, p.9.</w:t>
      </w:r>
    </w:p>
  </w:footnote>
  <w:footnote w:id="860">
    <w:p w14:paraId="0EAF426B" w14:textId="6335D11D" w:rsidR="00AA4B4E" w:rsidRPr="00047A9D" w:rsidRDefault="00AA4B4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904D0" w:rsidRPr="00047A9D">
        <w:rPr>
          <w:rFonts w:ascii="Times New Roman" w:hAnsi="Times New Roman" w:cs="Times New Roman"/>
          <w:sz w:val="22"/>
          <w:szCs w:val="22"/>
        </w:rPr>
        <w:t xml:space="preserve">‘History’, </w:t>
      </w:r>
      <w:r w:rsidR="006E2C01" w:rsidRPr="00047A9D">
        <w:rPr>
          <w:rFonts w:ascii="Times New Roman" w:hAnsi="Times New Roman" w:cs="Times New Roman"/>
          <w:sz w:val="22"/>
          <w:szCs w:val="22"/>
        </w:rPr>
        <w:t>HC</w:t>
      </w:r>
      <w:r w:rsidR="00C904D0" w:rsidRPr="00047A9D">
        <w:rPr>
          <w:rFonts w:ascii="Times New Roman" w:hAnsi="Times New Roman" w:cs="Times New Roman"/>
          <w:sz w:val="22"/>
          <w:szCs w:val="22"/>
        </w:rPr>
        <w:t xml:space="preserve"> Deb (14 November 1989). Vol. 160, col.172</w:t>
      </w:r>
      <w:r w:rsidR="00DA5DF0" w:rsidRPr="00047A9D">
        <w:rPr>
          <w:rFonts w:ascii="Times New Roman" w:hAnsi="Times New Roman" w:cs="Times New Roman"/>
          <w:sz w:val="22"/>
          <w:szCs w:val="22"/>
        </w:rPr>
        <w:t>.</w:t>
      </w:r>
    </w:p>
  </w:footnote>
  <w:footnote w:id="861">
    <w:p w14:paraId="286D2DDE" w14:textId="5951D4E9" w:rsidR="006E2C01" w:rsidRPr="00047A9D" w:rsidRDefault="006E2C0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904C6" w:rsidRPr="00047A9D">
        <w:rPr>
          <w:rFonts w:ascii="Times New Roman" w:hAnsi="Times New Roman" w:cs="Times New Roman"/>
          <w:sz w:val="22"/>
          <w:szCs w:val="22"/>
        </w:rPr>
        <w:t>Russell, ‘Teaching the Holocaust’, p.11.</w:t>
      </w:r>
    </w:p>
  </w:footnote>
  <w:footnote w:id="862">
    <w:p w14:paraId="4A7A4187" w14:textId="14E46DB3" w:rsidR="004904C6" w:rsidRPr="00047A9D" w:rsidRDefault="004904C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3294B" w:rsidRPr="00047A9D">
        <w:rPr>
          <w:rFonts w:ascii="Times New Roman" w:hAnsi="Times New Roman" w:cs="Times New Roman"/>
          <w:sz w:val="22"/>
          <w:szCs w:val="22"/>
        </w:rPr>
        <w:t xml:space="preserve">Phillips, </w:t>
      </w:r>
      <w:r w:rsidR="00A3294B" w:rsidRPr="00047A9D">
        <w:rPr>
          <w:rFonts w:ascii="Times New Roman" w:hAnsi="Times New Roman" w:cs="Times New Roman"/>
          <w:i/>
          <w:sz w:val="22"/>
          <w:szCs w:val="22"/>
        </w:rPr>
        <w:t>History Teaching</w:t>
      </w:r>
      <w:r w:rsidR="00A3294B" w:rsidRPr="00047A9D">
        <w:rPr>
          <w:rFonts w:ascii="Times New Roman" w:hAnsi="Times New Roman" w:cs="Times New Roman"/>
          <w:sz w:val="22"/>
          <w:szCs w:val="22"/>
        </w:rPr>
        <w:t>, pp.79-80.</w:t>
      </w:r>
    </w:p>
  </w:footnote>
  <w:footnote w:id="863">
    <w:p w14:paraId="3779EF48" w14:textId="60D7D355" w:rsidR="00A3294B" w:rsidRPr="00047A9D" w:rsidRDefault="00A3294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4007E" w:rsidRPr="00047A9D">
        <w:rPr>
          <w:rFonts w:ascii="Times New Roman" w:hAnsi="Times New Roman" w:cs="Times New Roman"/>
          <w:i/>
          <w:sz w:val="22"/>
          <w:szCs w:val="22"/>
        </w:rPr>
        <w:t xml:space="preserve">Final Report, </w:t>
      </w:r>
      <w:r w:rsidR="0004007E" w:rsidRPr="00047A9D">
        <w:rPr>
          <w:rFonts w:ascii="Times New Roman" w:hAnsi="Times New Roman" w:cs="Times New Roman"/>
          <w:sz w:val="22"/>
          <w:szCs w:val="22"/>
        </w:rPr>
        <w:t>pp.22-24</w:t>
      </w:r>
      <w:r w:rsidR="001D6B81" w:rsidRPr="00047A9D">
        <w:rPr>
          <w:rFonts w:ascii="Times New Roman" w:hAnsi="Times New Roman" w:cs="Times New Roman"/>
          <w:sz w:val="22"/>
          <w:szCs w:val="22"/>
        </w:rPr>
        <w:t>, 26-30,</w:t>
      </w:r>
      <w:r w:rsidR="00AB16C9" w:rsidRPr="00047A9D">
        <w:rPr>
          <w:rFonts w:ascii="Times New Roman" w:hAnsi="Times New Roman" w:cs="Times New Roman"/>
          <w:sz w:val="22"/>
          <w:szCs w:val="22"/>
        </w:rPr>
        <w:t xml:space="preserve"> 32.</w:t>
      </w:r>
    </w:p>
  </w:footnote>
  <w:footnote w:id="864">
    <w:p w14:paraId="0D36C4AD" w14:textId="207BDC27" w:rsidR="00CC4CB0" w:rsidRPr="00047A9D" w:rsidRDefault="00CC4CB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60CD2" w:rsidRPr="00047A9D">
        <w:rPr>
          <w:rFonts w:ascii="Times New Roman" w:hAnsi="Times New Roman" w:cs="Times New Roman"/>
          <w:i/>
          <w:sz w:val="22"/>
          <w:szCs w:val="22"/>
        </w:rPr>
        <w:t>Final Report</w:t>
      </w:r>
      <w:r w:rsidR="00960CD2" w:rsidRPr="00047A9D">
        <w:rPr>
          <w:rFonts w:ascii="Times New Roman" w:hAnsi="Times New Roman" w:cs="Times New Roman"/>
          <w:sz w:val="22"/>
          <w:szCs w:val="22"/>
        </w:rPr>
        <w:t>, pp.33</w:t>
      </w:r>
      <w:r w:rsidR="004C3E23" w:rsidRPr="00047A9D">
        <w:rPr>
          <w:rFonts w:ascii="Times New Roman" w:hAnsi="Times New Roman" w:cs="Times New Roman"/>
          <w:sz w:val="22"/>
          <w:szCs w:val="22"/>
        </w:rPr>
        <w:t>, 204</w:t>
      </w:r>
      <w:r w:rsidR="00436342" w:rsidRPr="00047A9D">
        <w:rPr>
          <w:rFonts w:ascii="Times New Roman" w:hAnsi="Times New Roman" w:cs="Times New Roman"/>
          <w:sz w:val="22"/>
          <w:szCs w:val="22"/>
        </w:rPr>
        <w:t>.</w:t>
      </w:r>
    </w:p>
  </w:footnote>
  <w:footnote w:id="865">
    <w:p w14:paraId="776BC3E9" w14:textId="771D17A0" w:rsidR="00436342" w:rsidRPr="00047A9D" w:rsidRDefault="0043634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761D" w:rsidRPr="00047A9D">
        <w:rPr>
          <w:rFonts w:ascii="Times New Roman" w:hAnsi="Times New Roman" w:cs="Times New Roman"/>
          <w:sz w:val="22"/>
          <w:szCs w:val="22"/>
        </w:rPr>
        <w:t xml:space="preserve">NAL: </w:t>
      </w:r>
      <w:r w:rsidR="00221FA7" w:rsidRPr="00047A9D">
        <w:rPr>
          <w:rFonts w:ascii="Times New Roman" w:hAnsi="Times New Roman" w:cs="Times New Roman"/>
          <w:sz w:val="22"/>
          <w:szCs w:val="22"/>
        </w:rPr>
        <w:t>‘</w:t>
      </w:r>
      <w:r w:rsidR="008C578F" w:rsidRPr="00047A9D">
        <w:rPr>
          <w:rFonts w:ascii="Times New Roman" w:hAnsi="Times New Roman" w:cs="Times New Roman"/>
          <w:sz w:val="22"/>
          <w:szCs w:val="22"/>
        </w:rPr>
        <w:t xml:space="preserve">Draft </w:t>
      </w:r>
      <w:r w:rsidR="009C55C2" w:rsidRPr="00047A9D">
        <w:rPr>
          <w:rFonts w:ascii="Times New Roman" w:hAnsi="Times New Roman" w:cs="Times New Roman"/>
          <w:sz w:val="22"/>
          <w:szCs w:val="22"/>
        </w:rPr>
        <w:t>L</w:t>
      </w:r>
      <w:r w:rsidR="008C578F" w:rsidRPr="00047A9D">
        <w:rPr>
          <w:rFonts w:ascii="Times New Roman" w:hAnsi="Times New Roman" w:cs="Times New Roman"/>
          <w:sz w:val="22"/>
          <w:szCs w:val="22"/>
        </w:rPr>
        <w:t xml:space="preserve">etter from </w:t>
      </w:r>
      <w:r w:rsidR="00221FA7" w:rsidRPr="00047A9D">
        <w:rPr>
          <w:rFonts w:ascii="Times New Roman" w:hAnsi="Times New Roman" w:cs="Times New Roman"/>
          <w:sz w:val="22"/>
          <w:szCs w:val="22"/>
        </w:rPr>
        <w:t>S</w:t>
      </w:r>
      <w:r w:rsidR="008C578F" w:rsidRPr="00047A9D">
        <w:rPr>
          <w:rFonts w:ascii="Times New Roman" w:hAnsi="Times New Roman" w:cs="Times New Roman"/>
          <w:sz w:val="22"/>
          <w:szCs w:val="22"/>
        </w:rPr>
        <w:t xml:space="preserve">ecretary of </w:t>
      </w:r>
      <w:r w:rsidR="00221FA7" w:rsidRPr="00047A9D">
        <w:rPr>
          <w:rFonts w:ascii="Times New Roman" w:hAnsi="Times New Roman" w:cs="Times New Roman"/>
          <w:sz w:val="22"/>
          <w:szCs w:val="22"/>
        </w:rPr>
        <w:t>S</w:t>
      </w:r>
      <w:r w:rsidR="008C578F" w:rsidRPr="00047A9D">
        <w:rPr>
          <w:rFonts w:ascii="Times New Roman" w:hAnsi="Times New Roman" w:cs="Times New Roman"/>
          <w:sz w:val="22"/>
          <w:szCs w:val="22"/>
        </w:rPr>
        <w:t>tate to Prime Minister</w:t>
      </w:r>
      <w:r w:rsidR="009524E1" w:rsidRPr="00047A9D">
        <w:rPr>
          <w:rFonts w:ascii="Times New Roman" w:hAnsi="Times New Roman" w:cs="Times New Roman"/>
          <w:sz w:val="22"/>
          <w:szCs w:val="22"/>
        </w:rPr>
        <w:t xml:space="preserve">’, </w:t>
      </w:r>
      <w:r w:rsidR="008C578F" w:rsidRPr="00047A9D">
        <w:rPr>
          <w:rFonts w:ascii="Times New Roman" w:hAnsi="Times New Roman" w:cs="Times New Roman"/>
          <w:sz w:val="22"/>
          <w:szCs w:val="22"/>
        </w:rPr>
        <w:t>6</w:t>
      </w:r>
      <w:r w:rsidR="009524E1" w:rsidRPr="00047A9D">
        <w:rPr>
          <w:rFonts w:ascii="Times New Roman" w:hAnsi="Times New Roman" w:cs="Times New Roman"/>
          <w:sz w:val="22"/>
          <w:szCs w:val="22"/>
        </w:rPr>
        <w:t xml:space="preserve"> July 19</w:t>
      </w:r>
      <w:r w:rsidR="008C578F" w:rsidRPr="00047A9D">
        <w:rPr>
          <w:rFonts w:ascii="Times New Roman" w:hAnsi="Times New Roman" w:cs="Times New Roman"/>
          <w:sz w:val="22"/>
          <w:szCs w:val="22"/>
        </w:rPr>
        <w:t>90</w:t>
      </w:r>
      <w:r w:rsidR="00B12EA1" w:rsidRPr="00047A9D">
        <w:rPr>
          <w:rFonts w:ascii="Times New Roman" w:hAnsi="Times New Roman" w:cs="Times New Roman"/>
          <w:sz w:val="22"/>
          <w:szCs w:val="22"/>
        </w:rPr>
        <w:t xml:space="preserve"> (sent 13 July 1990), n.p., </w:t>
      </w:r>
      <w:r w:rsidR="009C6255" w:rsidRPr="00047A9D">
        <w:rPr>
          <w:rFonts w:ascii="Times New Roman" w:hAnsi="Times New Roman" w:cs="Times New Roman"/>
          <w:sz w:val="22"/>
          <w:szCs w:val="22"/>
        </w:rPr>
        <w:t xml:space="preserve">in </w:t>
      </w:r>
      <w:r w:rsidR="00D1614B" w:rsidRPr="00047A9D">
        <w:rPr>
          <w:rFonts w:ascii="Times New Roman" w:hAnsi="Times New Roman" w:cs="Times New Roman"/>
          <w:sz w:val="22"/>
          <w:szCs w:val="22"/>
        </w:rPr>
        <w:t>‘</w:t>
      </w:r>
      <w:r w:rsidR="009C6255" w:rsidRPr="00047A9D">
        <w:rPr>
          <w:rFonts w:ascii="Times New Roman" w:hAnsi="Times New Roman" w:cs="Times New Roman"/>
          <w:sz w:val="22"/>
          <w:szCs w:val="22"/>
        </w:rPr>
        <w:t xml:space="preserve">National Curriculum: </w:t>
      </w:r>
      <w:r w:rsidR="00D1614B" w:rsidRPr="00047A9D">
        <w:rPr>
          <w:rFonts w:ascii="Times New Roman" w:hAnsi="Times New Roman" w:cs="Times New Roman"/>
          <w:sz w:val="22"/>
          <w:szCs w:val="22"/>
        </w:rPr>
        <w:t xml:space="preserve">History; Statutory Proposals for the School Curriculum in History’, </w:t>
      </w:r>
      <w:r w:rsidR="009C6255" w:rsidRPr="00047A9D">
        <w:rPr>
          <w:rFonts w:ascii="Times New Roman" w:hAnsi="Times New Roman" w:cs="Times New Roman"/>
          <w:sz w:val="22"/>
          <w:szCs w:val="22"/>
        </w:rPr>
        <w:t>ED 183/370</w:t>
      </w:r>
      <w:r w:rsidR="00D1614B" w:rsidRPr="00047A9D">
        <w:rPr>
          <w:rFonts w:ascii="Times New Roman" w:hAnsi="Times New Roman" w:cs="Times New Roman"/>
          <w:sz w:val="22"/>
          <w:szCs w:val="22"/>
        </w:rPr>
        <w:t>.</w:t>
      </w:r>
    </w:p>
  </w:footnote>
  <w:footnote w:id="866">
    <w:p w14:paraId="34338B63" w14:textId="755CDBBD" w:rsidR="00675D40" w:rsidRPr="00047A9D" w:rsidRDefault="00675D4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 xml:space="preserve">Final Report, </w:t>
      </w:r>
      <w:r w:rsidR="00257A80" w:rsidRPr="00047A9D">
        <w:rPr>
          <w:rFonts w:ascii="Times New Roman" w:hAnsi="Times New Roman" w:cs="Times New Roman"/>
          <w:sz w:val="22"/>
          <w:szCs w:val="22"/>
        </w:rPr>
        <w:t>pp.16-17.</w:t>
      </w:r>
    </w:p>
  </w:footnote>
  <w:footnote w:id="867">
    <w:p w14:paraId="092BA971" w14:textId="77777777" w:rsidR="005B18F2" w:rsidRPr="00047A9D" w:rsidRDefault="005B18F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 xml:space="preserve">Final Report, </w:t>
      </w:r>
      <w:r w:rsidRPr="00047A9D">
        <w:rPr>
          <w:rFonts w:ascii="Times New Roman" w:hAnsi="Times New Roman" w:cs="Times New Roman"/>
          <w:sz w:val="22"/>
          <w:szCs w:val="22"/>
        </w:rPr>
        <w:t>pp.70-71.</w:t>
      </w:r>
    </w:p>
  </w:footnote>
  <w:footnote w:id="868">
    <w:p w14:paraId="1059DE98" w14:textId="58175E74" w:rsidR="00CB0AE1" w:rsidRPr="00047A9D" w:rsidRDefault="00CB0AE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A0BA8" w:rsidRPr="00047A9D">
        <w:rPr>
          <w:rFonts w:ascii="Times New Roman" w:hAnsi="Times New Roman" w:cs="Times New Roman"/>
          <w:i/>
          <w:sz w:val="22"/>
          <w:szCs w:val="22"/>
        </w:rPr>
        <w:t xml:space="preserve">Final Report, </w:t>
      </w:r>
      <w:r w:rsidR="0074508C" w:rsidRPr="00047A9D">
        <w:rPr>
          <w:rFonts w:ascii="Times New Roman" w:hAnsi="Times New Roman" w:cs="Times New Roman"/>
          <w:sz w:val="22"/>
          <w:szCs w:val="22"/>
        </w:rPr>
        <w:t>pp.72-73.</w:t>
      </w:r>
    </w:p>
  </w:footnote>
  <w:footnote w:id="869">
    <w:p w14:paraId="708F6D1D" w14:textId="37415C50" w:rsidR="003A323B" w:rsidRPr="00047A9D" w:rsidRDefault="003A323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07E94" w:rsidRPr="00047A9D">
        <w:rPr>
          <w:rFonts w:ascii="Times New Roman" w:hAnsi="Times New Roman" w:cs="Times New Roman"/>
          <w:sz w:val="22"/>
          <w:szCs w:val="22"/>
        </w:rPr>
        <w:t xml:space="preserve">Phillips, </w:t>
      </w:r>
      <w:r w:rsidR="00407E94" w:rsidRPr="00047A9D">
        <w:rPr>
          <w:rFonts w:ascii="Times New Roman" w:hAnsi="Times New Roman" w:cs="Times New Roman"/>
          <w:i/>
          <w:sz w:val="22"/>
          <w:szCs w:val="22"/>
        </w:rPr>
        <w:t>History Teaching</w:t>
      </w:r>
      <w:r w:rsidR="00407E94" w:rsidRPr="00047A9D">
        <w:rPr>
          <w:rFonts w:ascii="Times New Roman" w:hAnsi="Times New Roman" w:cs="Times New Roman"/>
          <w:sz w:val="22"/>
          <w:szCs w:val="22"/>
        </w:rPr>
        <w:t>, p.81.</w:t>
      </w:r>
    </w:p>
  </w:footnote>
  <w:footnote w:id="870">
    <w:p w14:paraId="38DF4117" w14:textId="73F4457E" w:rsidR="006232FF" w:rsidRPr="00047A9D" w:rsidRDefault="006232F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744AB" w:rsidRPr="00047A9D">
        <w:rPr>
          <w:rFonts w:ascii="Times New Roman" w:hAnsi="Times New Roman" w:cs="Times New Roman"/>
          <w:i/>
          <w:sz w:val="22"/>
          <w:szCs w:val="22"/>
        </w:rPr>
        <w:t>Final Report</w:t>
      </w:r>
      <w:r w:rsidR="00E744AB" w:rsidRPr="00047A9D">
        <w:rPr>
          <w:rFonts w:ascii="Times New Roman" w:hAnsi="Times New Roman" w:cs="Times New Roman"/>
          <w:sz w:val="22"/>
          <w:szCs w:val="22"/>
        </w:rPr>
        <w:t>, p.7.</w:t>
      </w:r>
    </w:p>
  </w:footnote>
  <w:footnote w:id="871">
    <w:p w14:paraId="4FE72603" w14:textId="22F56BE2" w:rsidR="00E744AB" w:rsidRPr="00047A9D" w:rsidRDefault="00E744A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Final Report</w:t>
      </w:r>
      <w:r w:rsidRPr="00047A9D">
        <w:rPr>
          <w:rFonts w:ascii="Times New Roman" w:hAnsi="Times New Roman" w:cs="Times New Roman"/>
          <w:sz w:val="22"/>
          <w:szCs w:val="22"/>
        </w:rPr>
        <w:t>, p.3.</w:t>
      </w:r>
    </w:p>
  </w:footnote>
  <w:footnote w:id="872">
    <w:p w14:paraId="6BA43881" w14:textId="28D2002E" w:rsidR="00F90273" w:rsidRPr="00047A9D" w:rsidRDefault="00F9027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32E3D" w:rsidRPr="00047A9D">
        <w:rPr>
          <w:rFonts w:ascii="Times New Roman" w:hAnsi="Times New Roman" w:cs="Times New Roman"/>
          <w:i/>
          <w:sz w:val="22"/>
          <w:szCs w:val="22"/>
        </w:rPr>
        <w:t>Final Report</w:t>
      </w:r>
      <w:r w:rsidR="00332E3D" w:rsidRPr="00047A9D">
        <w:rPr>
          <w:rFonts w:ascii="Times New Roman" w:hAnsi="Times New Roman" w:cs="Times New Roman"/>
          <w:sz w:val="22"/>
          <w:szCs w:val="22"/>
        </w:rPr>
        <w:t>, pp.13-14.</w:t>
      </w:r>
    </w:p>
  </w:footnote>
  <w:footnote w:id="873">
    <w:p w14:paraId="74AC2CAE" w14:textId="78D6062C" w:rsidR="00332E3D" w:rsidRPr="00047A9D" w:rsidRDefault="00332E3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D0785" w:rsidRPr="00047A9D">
        <w:rPr>
          <w:rFonts w:ascii="Times New Roman" w:hAnsi="Times New Roman" w:cs="Times New Roman"/>
          <w:sz w:val="22"/>
          <w:szCs w:val="22"/>
        </w:rPr>
        <w:t xml:space="preserve">Phillips, </w:t>
      </w:r>
      <w:r w:rsidR="007D0785" w:rsidRPr="00047A9D">
        <w:rPr>
          <w:rFonts w:ascii="Times New Roman" w:hAnsi="Times New Roman" w:cs="Times New Roman"/>
          <w:i/>
          <w:sz w:val="22"/>
          <w:szCs w:val="22"/>
        </w:rPr>
        <w:t>History Teaching</w:t>
      </w:r>
      <w:r w:rsidR="007D0785" w:rsidRPr="00047A9D">
        <w:rPr>
          <w:rFonts w:ascii="Times New Roman" w:hAnsi="Times New Roman" w:cs="Times New Roman"/>
          <w:sz w:val="22"/>
          <w:szCs w:val="22"/>
        </w:rPr>
        <w:t>, p.83.</w:t>
      </w:r>
    </w:p>
  </w:footnote>
  <w:footnote w:id="874">
    <w:p w14:paraId="75B35ED0" w14:textId="17C2F8EA" w:rsidR="00651329" w:rsidRPr="00047A9D" w:rsidRDefault="0065132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C5F6F" w:rsidRPr="00047A9D">
        <w:rPr>
          <w:rFonts w:ascii="Times New Roman" w:hAnsi="Times New Roman" w:cs="Times New Roman"/>
          <w:sz w:val="22"/>
          <w:szCs w:val="22"/>
        </w:rPr>
        <w:t xml:space="preserve">Phillips, </w:t>
      </w:r>
      <w:r w:rsidR="008C5F6F" w:rsidRPr="00047A9D">
        <w:rPr>
          <w:rFonts w:ascii="Times New Roman" w:hAnsi="Times New Roman" w:cs="Times New Roman"/>
          <w:i/>
          <w:sz w:val="22"/>
          <w:szCs w:val="22"/>
        </w:rPr>
        <w:t>History Teaching</w:t>
      </w:r>
      <w:r w:rsidR="008C5F6F" w:rsidRPr="00047A9D">
        <w:rPr>
          <w:rFonts w:ascii="Times New Roman" w:hAnsi="Times New Roman" w:cs="Times New Roman"/>
          <w:sz w:val="22"/>
          <w:szCs w:val="22"/>
        </w:rPr>
        <w:t>, p.84.</w:t>
      </w:r>
    </w:p>
  </w:footnote>
  <w:footnote w:id="875">
    <w:p w14:paraId="2A84B69C" w14:textId="761194DF" w:rsidR="00C04379" w:rsidRPr="00047A9D" w:rsidRDefault="00C0437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C5F6F" w:rsidRPr="00047A9D">
        <w:rPr>
          <w:rFonts w:ascii="Times New Roman" w:hAnsi="Times New Roman" w:cs="Times New Roman"/>
          <w:sz w:val="22"/>
          <w:szCs w:val="22"/>
        </w:rPr>
        <w:t xml:space="preserve">Phillips, </w:t>
      </w:r>
      <w:r w:rsidR="008C5F6F" w:rsidRPr="00047A9D">
        <w:rPr>
          <w:rFonts w:ascii="Times New Roman" w:hAnsi="Times New Roman" w:cs="Times New Roman"/>
          <w:i/>
          <w:sz w:val="22"/>
          <w:szCs w:val="22"/>
        </w:rPr>
        <w:t>History Teaching</w:t>
      </w:r>
      <w:r w:rsidR="008C5F6F" w:rsidRPr="00047A9D">
        <w:rPr>
          <w:rFonts w:ascii="Times New Roman" w:hAnsi="Times New Roman" w:cs="Times New Roman"/>
          <w:sz w:val="22"/>
          <w:szCs w:val="22"/>
        </w:rPr>
        <w:t>, pp.</w:t>
      </w:r>
      <w:r w:rsidR="00DE1447" w:rsidRPr="00047A9D">
        <w:rPr>
          <w:rFonts w:ascii="Times New Roman" w:hAnsi="Times New Roman" w:cs="Times New Roman"/>
          <w:sz w:val="22"/>
          <w:szCs w:val="22"/>
        </w:rPr>
        <w:t>85-86.</w:t>
      </w:r>
    </w:p>
  </w:footnote>
  <w:footnote w:id="876">
    <w:p w14:paraId="31D10EF4" w14:textId="46B5267E" w:rsidR="00003940" w:rsidRPr="00047A9D" w:rsidRDefault="00003940" w:rsidP="00D839D4">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14967" w:rsidRPr="00047A9D">
        <w:rPr>
          <w:rFonts w:ascii="Times New Roman" w:hAnsi="Times New Roman" w:cs="Times New Roman"/>
          <w:sz w:val="22"/>
          <w:szCs w:val="22"/>
        </w:rPr>
        <w:t>Margaret Thatcher</w:t>
      </w:r>
      <w:r w:rsidR="00B53991" w:rsidRPr="00047A9D">
        <w:rPr>
          <w:rFonts w:ascii="Times New Roman" w:hAnsi="Times New Roman" w:cs="Times New Roman"/>
          <w:sz w:val="22"/>
          <w:szCs w:val="22"/>
        </w:rPr>
        <w:t xml:space="preserve">: </w:t>
      </w:r>
      <w:r w:rsidR="00714967" w:rsidRPr="00047A9D">
        <w:rPr>
          <w:rFonts w:ascii="Times New Roman" w:hAnsi="Times New Roman" w:cs="Times New Roman"/>
          <w:sz w:val="22"/>
          <w:szCs w:val="22"/>
        </w:rPr>
        <w:t>Interview for </w:t>
      </w:r>
      <w:r w:rsidR="00714967" w:rsidRPr="00047A9D">
        <w:rPr>
          <w:rFonts w:ascii="Times New Roman" w:hAnsi="Times New Roman" w:cs="Times New Roman"/>
          <w:i/>
          <w:sz w:val="22"/>
          <w:szCs w:val="22"/>
        </w:rPr>
        <w:t>Sunday Telegraph</w:t>
      </w:r>
      <w:r w:rsidR="00B53991" w:rsidRPr="00047A9D">
        <w:rPr>
          <w:rFonts w:ascii="Times New Roman" w:hAnsi="Times New Roman" w:cs="Times New Roman"/>
          <w:sz w:val="22"/>
          <w:szCs w:val="22"/>
        </w:rPr>
        <w:t>. Interviewed by Trevor Grove</w:t>
      </w:r>
      <w:r w:rsidR="00721433" w:rsidRPr="00047A9D">
        <w:rPr>
          <w:rFonts w:ascii="Times New Roman" w:hAnsi="Times New Roman" w:cs="Times New Roman"/>
          <w:sz w:val="22"/>
          <w:szCs w:val="22"/>
        </w:rPr>
        <w:t>, 4 April 1990</w:t>
      </w:r>
      <w:r w:rsidR="00AB1F33" w:rsidRPr="00047A9D">
        <w:rPr>
          <w:rFonts w:ascii="Times New Roman" w:hAnsi="Times New Roman" w:cs="Times New Roman"/>
          <w:sz w:val="22"/>
          <w:szCs w:val="22"/>
        </w:rPr>
        <w:t>. Thatcher Archive: COI transcript</w:t>
      </w:r>
      <w:r w:rsidR="003F4E4A" w:rsidRPr="00047A9D">
        <w:rPr>
          <w:rFonts w:ascii="Times New Roman" w:hAnsi="Times New Roman" w:cs="Times New Roman"/>
          <w:sz w:val="22"/>
          <w:szCs w:val="22"/>
        </w:rPr>
        <w:t xml:space="preserve"> </w:t>
      </w:r>
      <w:r w:rsidR="00721433" w:rsidRPr="00047A9D">
        <w:rPr>
          <w:rFonts w:ascii="Times New Roman" w:hAnsi="Times New Roman" w:cs="Times New Roman"/>
          <w:sz w:val="22"/>
          <w:szCs w:val="22"/>
        </w:rPr>
        <w:t>&lt;https://www.margaretthatcher.org/document/107906&gt; [last accessed 17 January 2023].</w:t>
      </w:r>
    </w:p>
  </w:footnote>
  <w:footnote w:id="877">
    <w:p w14:paraId="604E3297" w14:textId="73BB227A" w:rsidR="00721433" w:rsidRPr="00047A9D" w:rsidRDefault="0072143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7222A" w:rsidRPr="00047A9D">
        <w:rPr>
          <w:rFonts w:ascii="Times New Roman" w:hAnsi="Times New Roman" w:cs="Times New Roman"/>
          <w:sz w:val="22"/>
          <w:szCs w:val="22"/>
        </w:rPr>
        <w:t xml:space="preserve">Phillips, </w:t>
      </w:r>
      <w:r w:rsidR="0057222A" w:rsidRPr="00047A9D">
        <w:rPr>
          <w:rFonts w:ascii="Times New Roman" w:hAnsi="Times New Roman" w:cs="Times New Roman"/>
          <w:i/>
          <w:sz w:val="22"/>
          <w:szCs w:val="22"/>
        </w:rPr>
        <w:t>History Teaching</w:t>
      </w:r>
      <w:r w:rsidR="0057222A" w:rsidRPr="00047A9D">
        <w:rPr>
          <w:rFonts w:ascii="Times New Roman" w:hAnsi="Times New Roman" w:cs="Times New Roman"/>
          <w:sz w:val="22"/>
          <w:szCs w:val="22"/>
        </w:rPr>
        <w:t>, pp.3-4, 6.</w:t>
      </w:r>
    </w:p>
  </w:footnote>
  <w:footnote w:id="878">
    <w:p w14:paraId="253E6024" w14:textId="34EC76BD" w:rsidR="00585031" w:rsidRPr="00047A9D" w:rsidRDefault="0058503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05FF9" w:rsidRPr="00047A9D">
        <w:rPr>
          <w:rFonts w:ascii="Times New Roman" w:hAnsi="Times New Roman" w:cs="Times New Roman"/>
          <w:sz w:val="22"/>
          <w:szCs w:val="22"/>
        </w:rPr>
        <w:t xml:space="preserve">Naylor, </w:t>
      </w:r>
      <w:r w:rsidR="00F05FF9" w:rsidRPr="00047A9D">
        <w:rPr>
          <w:rFonts w:ascii="Times New Roman" w:hAnsi="Times New Roman" w:cs="Times New Roman"/>
          <w:i/>
          <w:sz w:val="22"/>
          <w:szCs w:val="22"/>
        </w:rPr>
        <w:t>Dewsbury</w:t>
      </w:r>
      <w:r w:rsidR="00F05FF9" w:rsidRPr="00047A9D">
        <w:rPr>
          <w:rFonts w:ascii="Times New Roman" w:hAnsi="Times New Roman" w:cs="Times New Roman"/>
          <w:sz w:val="22"/>
          <w:szCs w:val="22"/>
        </w:rPr>
        <w:t xml:space="preserve">, </w:t>
      </w:r>
      <w:r w:rsidR="00433939" w:rsidRPr="00047A9D">
        <w:rPr>
          <w:rFonts w:ascii="Times New Roman" w:hAnsi="Times New Roman" w:cs="Times New Roman"/>
          <w:sz w:val="22"/>
          <w:szCs w:val="22"/>
        </w:rPr>
        <w:t>p.176.</w:t>
      </w:r>
    </w:p>
  </w:footnote>
  <w:footnote w:id="879">
    <w:p w14:paraId="7CFD0472" w14:textId="28E4EB6F" w:rsidR="0057222A" w:rsidRPr="00047A9D" w:rsidRDefault="0057222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23FA0" w:rsidRPr="00047A9D">
        <w:rPr>
          <w:rFonts w:ascii="Times New Roman" w:hAnsi="Times New Roman" w:cs="Times New Roman"/>
          <w:sz w:val="22"/>
          <w:szCs w:val="22"/>
        </w:rPr>
        <w:t>Martin Roberts</w:t>
      </w:r>
      <w:r w:rsidR="00AC0D6D" w:rsidRPr="00047A9D">
        <w:rPr>
          <w:rFonts w:ascii="Times New Roman" w:hAnsi="Times New Roman" w:cs="Times New Roman"/>
          <w:sz w:val="22"/>
          <w:szCs w:val="22"/>
        </w:rPr>
        <w:t xml:space="preserve">, in ‘Education Forum’, </w:t>
      </w:r>
      <w:r w:rsidR="00D23FA0" w:rsidRPr="00047A9D">
        <w:rPr>
          <w:rFonts w:ascii="Times New Roman" w:hAnsi="Times New Roman" w:cs="Times New Roman"/>
          <w:i/>
          <w:sz w:val="22"/>
          <w:szCs w:val="22"/>
        </w:rPr>
        <w:t>The Historian</w:t>
      </w:r>
      <w:r w:rsidR="00D23FA0" w:rsidRPr="00047A9D">
        <w:rPr>
          <w:rFonts w:ascii="Times New Roman" w:hAnsi="Times New Roman" w:cs="Times New Roman"/>
          <w:sz w:val="22"/>
          <w:szCs w:val="22"/>
        </w:rPr>
        <w:t xml:space="preserve"> 26 (Spring 1990)</w:t>
      </w:r>
      <w:r w:rsidR="00AC0D6D" w:rsidRPr="00047A9D">
        <w:rPr>
          <w:rFonts w:ascii="Times New Roman" w:hAnsi="Times New Roman" w:cs="Times New Roman"/>
          <w:sz w:val="22"/>
          <w:szCs w:val="22"/>
        </w:rPr>
        <w:t>, p.13.</w:t>
      </w:r>
    </w:p>
  </w:footnote>
  <w:footnote w:id="880">
    <w:p w14:paraId="7B6B6DA3" w14:textId="06F8A6D1" w:rsidR="00940668" w:rsidRPr="00047A9D" w:rsidRDefault="0094066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C3069B" w:rsidRPr="00047A9D">
        <w:rPr>
          <w:rFonts w:ascii="Times New Roman" w:hAnsi="Times New Roman" w:cs="Times New Roman"/>
          <w:sz w:val="22"/>
          <w:szCs w:val="22"/>
        </w:rPr>
        <w:t xml:space="preserve"> </w:t>
      </w:r>
      <w:r w:rsidR="0058761D" w:rsidRPr="00047A9D">
        <w:rPr>
          <w:rFonts w:ascii="Times New Roman" w:hAnsi="Times New Roman" w:cs="Times New Roman"/>
          <w:sz w:val="22"/>
          <w:szCs w:val="22"/>
        </w:rPr>
        <w:t xml:space="preserve">NAL: </w:t>
      </w:r>
      <w:r w:rsidR="00C3069B" w:rsidRPr="00047A9D">
        <w:rPr>
          <w:rFonts w:ascii="Times New Roman" w:hAnsi="Times New Roman" w:cs="Times New Roman"/>
          <w:sz w:val="22"/>
          <w:szCs w:val="22"/>
        </w:rPr>
        <w:t>‘MB Baker HTG’, n.d., n.p., in</w:t>
      </w:r>
      <w:r w:rsidRPr="00047A9D">
        <w:rPr>
          <w:rFonts w:ascii="Times New Roman" w:hAnsi="Times New Roman" w:cs="Times New Roman"/>
          <w:sz w:val="22"/>
          <w:szCs w:val="22"/>
        </w:rPr>
        <w:t xml:space="preserve"> </w:t>
      </w:r>
      <w:r w:rsidR="00C3069B" w:rsidRPr="00047A9D">
        <w:rPr>
          <w:rFonts w:ascii="Times New Roman" w:hAnsi="Times New Roman" w:cs="Times New Roman"/>
          <w:sz w:val="22"/>
          <w:szCs w:val="22"/>
        </w:rPr>
        <w:t>‘National Curriculum Council: History Task Group’, ED 183/371.</w:t>
      </w:r>
    </w:p>
  </w:footnote>
  <w:footnote w:id="881">
    <w:p w14:paraId="6825B06F" w14:textId="6956479A" w:rsidR="00F74264" w:rsidRPr="00047A9D" w:rsidRDefault="00F7426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D648A" w:rsidRPr="00047A9D">
        <w:rPr>
          <w:rFonts w:ascii="Times New Roman" w:hAnsi="Times New Roman" w:cs="Times New Roman"/>
          <w:sz w:val="22"/>
          <w:szCs w:val="22"/>
        </w:rPr>
        <w:t>‘Written Answers: History Teaching’. HC Deb (3 April 1990). Vol.170, col.504</w:t>
      </w:r>
      <w:r w:rsidR="00B36314" w:rsidRPr="00047A9D">
        <w:rPr>
          <w:rFonts w:ascii="Times New Roman" w:hAnsi="Times New Roman" w:cs="Times New Roman"/>
          <w:sz w:val="22"/>
          <w:szCs w:val="22"/>
        </w:rPr>
        <w:t xml:space="preserve"> </w:t>
      </w:r>
      <w:r w:rsidR="00CD648A" w:rsidRPr="00047A9D">
        <w:rPr>
          <w:rFonts w:ascii="Times New Roman" w:hAnsi="Times New Roman" w:cs="Times New Roman"/>
          <w:sz w:val="22"/>
          <w:szCs w:val="22"/>
        </w:rPr>
        <w:t>&lt;https://hansard.parliament.uk/%E2%80%8CCommons/1990-04-03/debates/eb3f1180-e84b-48e3-aa75-057211c02538/WrittenAnswers&gt; [last accessed 17 January 2025].</w:t>
      </w:r>
    </w:p>
  </w:footnote>
  <w:footnote w:id="882">
    <w:p w14:paraId="1630DA1E" w14:textId="18DFC310" w:rsidR="00CD648A" w:rsidRPr="00047A9D" w:rsidRDefault="00CD648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E7015" w:rsidRPr="00047A9D">
        <w:rPr>
          <w:rFonts w:ascii="Times New Roman" w:hAnsi="Times New Roman" w:cs="Times New Roman"/>
          <w:sz w:val="22"/>
          <w:szCs w:val="22"/>
        </w:rPr>
        <w:t>Roberts, ‘Education Forum’, p.13.</w:t>
      </w:r>
    </w:p>
  </w:footnote>
  <w:footnote w:id="883">
    <w:p w14:paraId="2EC20F75" w14:textId="4AF9F389" w:rsidR="007E7015" w:rsidRPr="00047A9D" w:rsidRDefault="007E701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7266A" w:rsidRPr="00047A9D">
        <w:rPr>
          <w:rFonts w:ascii="Times New Roman" w:hAnsi="Times New Roman" w:cs="Times New Roman"/>
          <w:sz w:val="22"/>
          <w:szCs w:val="22"/>
        </w:rPr>
        <w:t>Roberts, ‘Education Forum’, p.13.</w:t>
      </w:r>
    </w:p>
  </w:footnote>
  <w:footnote w:id="884">
    <w:p w14:paraId="041D7CA3" w14:textId="6FD1E4CE" w:rsidR="005305FA" w:rsidRPr="00047A9D" w:rsidRDefault="005305F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C22A9" w:rsidRPr="00047A9D">
        <w:rPr>
          <w:rFonts w:ascii="Times New Roman" w:hAnsi="Times New Roman" w:cs="Times New Roman"/>
          <w:sz w:val="22"/>
          <w:szCs w:val="22"/>
        </w:rPr>
        <w:t xml:space="preserve">‘Editorial: The Professionals’, </w:t>
      </w:r>
      <w:r w:rsidR="000C22A9" w:rsidRPr="00047A9D">
        <w:rPr>
          <w:rFonts w:ascii="Times New Roman" w:hAnsi="Times New Roman" w:cs="Times New Roman"/>
          <w:i/>
          <w:sz w:val="22"/>
          <w:szCs w:val="22"/>
        </w:rPr>
        <w:t>The Historian</w:t>
      </w:r>
      <w:r w:rsidR="000C22A9" w:rsidRPr="00047A9D">
        <w:rPr>
          <w:rFonts w:ascii="Times New Roman" w:hAnsi="Times New Roman" w:cs="Times New Roman"/>
          <w:sz w:val="22"/>
          <w:szCs w:val="22"/>
        </w:rPr>
        <w:t xml:space="preserve"> 28 (Autumn 1990), 2</w:t>
      </w:r>
      <w:r w:rsidR="00325600">
        <w:rPr>
          <w:rFonts w:ascii="Times New Roman" w:hAnsi="Times New Roman" w:cs="Times New Roman"/>
          <w:sz w:val="22"/>
          <w:szCs w:val="22"/>
        </w:rPr>
        <w:t>.</w:t>
      </w:r>
    </w:p>
  </w:footnote>
  <w:footnote w:id="885">
    <w:p w14:paraId="5CE60959" w14:textId="78A3AFC1" w:rsidR="00A45CE8" w:rsidRPr="00047A9D" w:rsidRDefault="00A45CE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8070A" w:rsidRPr="00047A9D">
        <w:rPr>
          <w:rFonts w:ascii="Times New Roman" w:hAnsi="Times New Roman" w:cs="Times New Roman"/>
          <w:i/>
          <w:sz w:val="22"/>
          <w:szCs w:val="22"/>
        </w:rPr>
        <w:t>History in the National Curriculum: A Submission to the History Working Group, February 1989</w:t>
      </w:r>
      <w:r w:rsidR="0048070A" w:rsidRPr="00047A9D">
        <w:rPr>
          <w:rFonts w:ascii="Times New Roman" w:hAnsi="Times New Roman" w:cs="Times New Roman"/>
          <w:sz w:val="22"/>
          <w:szCs w:val="22"/>
        </w:rPr>
        <w:t xml:space="preserve">, (London: </w:t>
      </w:r>
      <w:r w:rsidR="009323CD" w:rsidRPr="00047A9D">
        <w:rPr>
          <w:rFonts w:ascii="Times New Roman" w:hAnsi="Times New Roman" w:cs="Times New Roman"/>
          <w:sz w:val="22"/>
          <w:szCs w:val="22"/>
        </w:rPr>
        <w:t>HA</w:t>
      </w:r>
      <w:r w:rsidR="0048070A" w:rsidRPr="00047A9D">
        <w:rPr>
          <w:rFonts w:ascii="Times New Roman" w:hAnsi="Times New Roman" w:cs="Times New Roman"/>
          <w:sz w:val="22"/>
          <w:szCs w:val="22"/>
        </w:rPr>
        <w:t>, 1989), n.p.</w:t>
      </w:r>
    </w:p>
  </w:footnote>
  <w:footnote w:id="886">
    <w:p w14:paraId="612B7A54" w14:textId="76560B4B" w:rsidR="00BA53AF" w:rsidRPr="00047A9D" w:rsidRDefault="00BA53AF" w:rsidP="00D839D4">
      <w:pPr>
        <w:spacing w:line="360" w:lineRule="auto"/>
        <w:rPr>
          <w:rFonts w:ascii="Times New Roman" w:hAnsi="Times New Roman" w:cs="Times New Roman"/>
          <w:szCs w:val="22"/>
        </w:rPr>
      </w:pPr>
      <w:r w:rsidRPr="00047A9D">
        <w:rPr>
          <w:rStyle w:val="FootnoteReference"/>
          <w:rFonts w:ascii="Times New Roman" w:hAnsi="Times New Roman" w:cs="Times New Roman"/>
          <w:szCs w:val="22"/>
        </w:rPr>
        <w:footnoteRef/>
      </w:r>
      <w:r w:rsidRPr="00047A9D">
        <w:rPr>
          <w:rFonts w:ascii="Times New Roman" w:hAnsi="Times New Roman" w:cs="Times New Roman"/>
          <w:szCs w:val="22"/>
        </w:rPr>
        <w:t xml:space="preserve"> </w:t>
      </w:r>
      <w:r w:rsidR="005010BC" w:rsidRPr="00047A9D">
        <w:rPr>
          <w:rFonts w:ascii="Times New Roman" w:hAnsi="Times New Roman" w:cs="Times New Roman"/>
          <w:szCs w:val="22"/>
        </w:rPr>
        <w:t xml:space="preserve">Roberts, ‘Education Forum’, </w:t>
      </w:r>
      <w:r w:rsidR="00C32A85" w:rsidRPr="00047A9D">
        <w:rPr>
          <w:rFonts w:ascii="Times New Roman" w:hAnsi="Times New Roman" w:cs="Times New Roman"/>
          <w:szCs w:val="22"/>
        </w:rPr>
        <w:t>p.13</w:t>
      </w:r>
      <w:r w:rsidR="005010BC" w:rsidRPr="00047A9D">
        <w:rPr>
          <w:rFonts w:ascii="Times New Roman" w:hAnsi="Times New Roman" w:cs="Times New Roman"/>
          <w:szCs w:val="22"/>
        </w:rPr>
        <w:t>.</w:t>
      </w:r>
    </w:p>
  </w:footnote>
  <w:footnote w:id="887">
    <w:p w14:paraId="2B34D460" w14:textId="1AB75D7B" w:rsidR="00605124" w:rsidRPr="00047A9D" w:rsidRDefault="0060512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236C2" w:rsidRPr="00047A9D">
        <w:rPr>
          <w:rFonts w:ascii="Times New Roman" w:hAnsi="Times New Roman" w:cs="Times New Roman"/>
          <w:sz w:val="22"/>
          <w:szCs w:val="22"/>
        </w:rPr>
        <w:t xml:space="preserve">Ian Dawson, ‘Why Does it Matter? A Personal Response to the Final Report’, </w:t>
      </w:r>
      <w:r w:rsidR="00E236C2" w:rsidRPr="00047A9D">
        <w:rPr>
          <w:rFonts w:ascii="Times New Roman" w:hAnsi="Times New Roman" w:cs="Times New Roman"/>
          <w:i/>
          <w:sz w:val="22"/>
          <w:szCs w:val="22"/>
        </w:rPr>
        <w:t>Teaching History</w:t>
      </w:r>
      <w:r w:rsidR="00E236C2" w:rsidRPr="00047A9D">
        <w:rPr>
          <w:rFonts w:ascii="Times New Roman" w:hAnsi="Times New Roman" w:cs="Times New Roman"/>
          <w:sz w:val="22"/>
          <w:szCs w:val="22"/>
        </w:rPr>
        <w:t xml:space="preserve"> 61 (October 1990), 17-21</w:t>
      </w:r>
      <w:r w:rsidR="00F61799" w:rsidRPr="00047A9D">
        <w:rPr>
          <w:rFonts w:ascii="Times New Roman" w:hAnsi="Times New Roman" w:cs="Times New Roman"/>
          <w:sz w:val="22"/>
          <w:szCs w:val="22"/>
        </w:rPr>
        <w:t>, p</w:t>
      </w:r>
      <w:r w:rsidR="00101001" w:rsidRPr="00047A9D">
        <w:rPr>
          <w:rFonts w:ascii="Times New Roman" w:hAnsi="Times New Roman" w:cs="Times New Roman"/>
          <w:sz w:val="22"/>
          <w:szCs w:val="22"/>
        </w:rPr>
        <w:t>p</w:t>
      </w:r>
      <w:r w:rsidR="00F61799" w:rsidRPr="00047A9D">
        <w:rPr>
          <w:rFonts w:ascii="Times New Roman" w:hAnsi="Times New Roman" w:cs="Times New Roman"/>
          <w:sz w:val="22"/>
          <w:szCs w:val="22"/>
        </w:rPr>
        <w:t>.17</w:t>
      </w:r>
      <w:r w:rsidR="00101001" w:rsidRPr="00047A9D">
        <w:rPr>
          <w:rFonts w:ascii="Times New Roman" w:hAnsi="Times New Roman" w:cs="Times New Roman"/>
          <w:sz w:val="22"/>
          <w:szCs w:val="22"/>
        </w:rPr>
        <w:t>-18</w:t>
      </w:r>
      <w:r w:rsidR="00F61799" w:rsidRPr="00047A9D">
        <w:rPr>
          <w:rFonts w:ascii="Times New Roman" w:hAnsi="Times New Roman" w:cs="Times New Roman"/>
          <w:sz w:val="22"/>
          <w:szCs w:val="22"/>
        </w:rPr>
        <w:t>.</w:t>
      </w:r>
    </w:p>
  </w:footnote>
  <w:footnote w:id="888">
    <w:p w14:paraId="1BBF8429" w14:textId="6243AE64" w:rsidR="00576329" w:rsidRPr="00047A9D" w:rsidRDefault="0057632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C1915" w:rsidRPr="00047A9D">
        <w:rPr>
          <w:rFonts w:ascii="Times New Roman" w:hAnsi="Times New Roman" w:cs="Times New Roman"/>
          <w:sz w:val="22"/>
          <w:szCs w:val="22"/>
        </w:rPr>
        <w:t xml:space="preserve">Phillips, </w:t>
      </w:r>
      <w:r w:rsidR="008C1915" w:rsidRPr="00047A9D">
        <w:rPr>
          <w:rFonts w:ascii="Times New Roman" w:hAnsi="Times New Roman" w:cs="Times New Roman"/>
          <w:i/>
          <w:sz w:val="22"/>
          <w:szCs w:val="22"/>
        </w:rPr>
        <w:t>History Teaching</w:t>
      </w:r>
      <w:r w:rsidR="008C1915" w:rsidRPr="00047A9D">
        <w:rPr>
          <w:rFonts w:ascii="Times New Roman" w:hAnsi="Times New Roman" w:cs="Times New Roman"/>
          <w:sz w:val="22"/>
          <w:szCs w:val="22"/>
        </w:rPr>
        <w:t>, pp.</w:t>
      </w:r>
      <w:r w:rsidR="00FE200B" w:rsidRPr="00047A9D">
        <w:rPr>
          <w:rFonts w:ascii="Times New Roman" w:hAnsi="Times New Roman" w:cs="Times New Roman"/>
          <w:sz w:val="22"/>
          <w:szCs w:val="22"/>
        </w:rPr>
        <w:t xml:space="preserve">88, </w:t>
      </w:r>
      <w:r w:rsidR="008C1915" w:rsidRPr="00047A9D">
        <w:rPr>
          <w:rFonts w:ascii="Times New Roman" w:hAnsi="Times New Roman" w:cs="Times New Roman"/>
          <w:sz w:val="22"/>
          <w:szCs w:val="22"/>
        </w:rPr>
        <w:t>89, 90, 92</w:t>
      </w:r>
      <w:r w:rsidR="00325600">
        <w:rPr>
          <w:rFonts w:ascii="Times New Roman" w:hAnsi="Times New Roman" w:cs="Times New Roman"/>
          <w:sz w:val="22"/>
          <w:szCs w:val="22"/>
        </w:rPr>
        <w:t>.</w:t>
      </w:r>
    </w:p>
  </w:footnote>
  <w:footnote w:id="889">
    <w:p w14:paraId="544A3849" w14:textId="4EE81A35" w:rsidR="00ED5C4B" w:rsidRPr="00047A9D" w:rsidRDefault="00ED5C4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15F03" w:rsidRPr="00047A9D">
        <w:rPr>
          <w:rFonts w:ascii="Times New Roman" w:hAnsi="Times New Roman" w:cs="Times New Roman"/>
          <w:sz w:val="22"/>
          <w:szCs w:val="22"/>
        </w:rPr>
        <w:t xml:space="preserve">Phillips, </w:t>
      </w:r>
      <w:r w:rsidR="00715F03" w:rsidRPr="00047A9D">
        <w:rPr>
          <w:rFonts w:ascii="Times New Roman" w:hAnsi="Times New Roman" w:cs="Times New Roman"/>
          <w:i/>
          <w:sz w:val="22"/>
          <w:szCs w:val="22"/>
        </w:rPr>
        <w:t>History Teaching</w:t>
      </w:r>
      <w:r w:rsidR="00715F03" w:rsidRPr="00047A9D">
        <w:rPr>
          <w:rFonts w:ascii="Times New Roman" w:hAnsi="Times New Roman" w:cs="Times New Roman"/>
          <w:sz w:val="22"/>
          <w:szCs w:val="22"/>
        </w:rPr>
        <w:t>, p.88.</w:t>
      </w:r>
    </w:p>
  </w:footnote>
  <w:footnote w:id="890">
    <w:p w14:paraId="79724C71" w14:textId="6890A7F2" w:rsidR="00922D7B" w:rsidRPr="00047A9D" w:rsidRDefault="00922D7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Dawson, ‘Why Does it Matter?’, p.</w:t>
      </w:r>
      <w:r w:rsidR="00E859FA" w:rsidRPr="00047A9D">
        <w:rPr>
          <w:rFonts w:ascii="Times New Roman" w:hAnsi="Times New Roman" w:cs="Times New Roman"/>
          <w:sz w:val="22"/>
          <w:szCs w:val="22"/>
        </w:rPr>
        <w:t>18.</w:t>
      </w:r>
    </w:p>
  </w:footnote>
  <w:footnote w:id="891">
    <w:p w14:paraId="47B9BCEB" w14:textId="59862066" w:rsidR="00E859FA" w:rsidRPr="00047A9D" w:rsidRDefault="00E859F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23297" w:rsidRPr="00047A9D">
        <w:rPr>
          <w:rFonts w:ascii="Times New Roman" w:hAnsi="Times New Roman" w:cs="Times New Roman"/>
          <w:sz w:val="22"/>
          <w:szCs w:val="22"/>
        </w:rPr>
        <w:t>‘Editorial: The Professionals’, p.2</w:t>
      </w:r>
      <w:r w:rsidR="00325600">
        <w:rPr>
          <w:rFonts w:ascii="Times New Roman" w:hAnsi="Times New Roman" w:cs="Times New Roman"/>
          <w:sz w:val="22"/>
          <w:szCs w:val="22"/>
        </w:rPr>
        <w:t>.</w:t>
      </w:r>
    </w:p>
  </w:footnote>
  <w:footnote w:id="892">
    <w:p w14:paraId="5CD30E05" w14:textId="4DA93174" w:rsidR="00F1636E" w:rsidRPr="00047A9D" w:rsidRDefault="00F1636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F1E04" w:rsidRPr="00047A9D">
        <w:rPr>
          <w:rFonts w:ascii="Times New Roman" w:hAnsi="Times New Roman" w:cs="Times New Roman"/>
          <w:sz w:val="22"/>
          <w:szCs w:val="22"/>
        </w:rPr>
        <w:t>‘MB Baker HTG’, n.p.</w:t>
      </w:r>
    </w:p>
  </w:footnote>
  <w:footnote w:id="893">
    <w:p w14:paraId="23FE44BE" w14:textId="18A58E79" w:rsidR="00082B57" w:rsidRPr="00047A9D" w:rsidRDefault="00082B5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44D0D" w:rsidRPr="00047A9D">
        <w:rPr>
          <w:rFonts w:ascii="Times New Roman" w:hAnsi="Times New Roman" w:cs="Times New Roman"/>
          <w:sz w:val="22"/>
          <w:szCs w:val="22"/>
        </w:rPr>
        <w:t>MB Baker HTG’, n.p.</w:t>
      </w:r>
    </w:p>
  </w:footnote>
  <w:footnote w:id="894">
    <w:p w14:paraId="4F973459" w14:textId="36BA0A4E" w:rsidR="00631ABF" w:rsidRPr="00047A9D" w:rsidRDefault="00631AB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761D" w:rsidRPr="00047A9D">
        <w:rPr>
          <w:rFonts w:ascii="Times New Roman" w:hAnsi="Times New Roman" w:cs="Times New Roman"/>
          <w:sz w:val="22"/>
          <w:szCs w:val="22"/>
        </w:rPr>
        <w:t xml:space="preserve">NAL: </w:t>
      </w:r>
      <w:r w:rsidR="00360866" w:rsidRPr="00047A9D">
        <w:rPr>
          <w:rFonts w:ascii="Times New Roman" w:hAnsi="Times New Roman" w:cs="Times New Roman"/>
          <w:sz w:val="22"/>
          <w:szCs w:val="22"/>
        </w:rPr>
        <w:t>‘</w:t>
      </w:r>
      <w:r w:rsidR="00E146D3" w:rsidRPr="00047A9D">
        <w:rPr>
          <w:rFonts w:ascii="Times New Roman" w:hAnsi="Times New Roman" w:cs="Times New Roman"/>
          <w:sz w:val="22"/>
          <w:szCs w:val="22"/>
        </w:rPr>
        <w:t>The Consultation Exercise</w:t>
      </w:r>
      <w:r w:rsidR="00360866" w:rsidRPr="00047A9D">
        <w:rPr>
          <w:rFonts w:ascii="Times New Roman" w:hAnsi="Times New Roman" w:cs="Times New Roman"/>
          <w:sz w:val="22"/>
          <w:szCs w:val="22"/>
        </w:rPr>
        <w:t>’</w:t>
      </w:r>
      <w:r w:rsidR="00C77498" w:rsidRPr="00047A9D">
        <w:rPr>
          <w:rFonts w:ascii="Times New Roman" w:hAnsi="Times New Roman" w:cs="Times New Roman"/>
          <w:sz w:val="22"/>
          <w:szCs w:val="22"/>
        </w:rPr>
        <w:t>,</w:t>
      </w:r>
      <w:r w:rsidR="00360866" w:rsidRPr="00047A9D">
        <w:rPr>
          <w:rFonts w:ascii="Times New Roman" w:hAnsi="Times New Roman" w:cs="Times New Roman"/>
          <w:sz w:val="22"/>
          <w:szCs w:val="22"/>
        </w:rPr>
        <w:t xml:space="preserve"> n.d., n.p.,</w:t>
      </w:r>
      <w:r w:rsidR="00C77498" w:rsidRPr="00047A9D">
        <w:rPr>
          <w:rFonts w:ascii="Times New Roman" w:hAnsi="Times New Roman" w:cs="Times New Roman"/>
          <w:sz w:val="22"/>
          <w:szCs w:val="22"/>
        </w:rPr>
        <w:t xml:space="preserve"> ED 183/370</w:t>
      </w:r>
      <w:r w:rsidR="00360866" w:rsidRPr="00047A9D">
        <w:rPr>
          <w:rFonts w:ascii="Times New Roman" w:hAnsi="Times New Roman" w:cs="Times New Roman"/>
          <w:sz w:val="22"/>
          <w:szCs w:val="22"/>
        </w:rPr>
        <w:t>.</w:t>
      </w:r>
    </w:p>
  </w:footnote>
  <w:footnote w:id="895">
    <w:p w14:paraId="302E417B" w14:textId="4F531374" w:rsidR="00173010" w:rsidRPr="00047A9D" w:rsidRDefault="0017301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F1C55" w:rsidRPr="00047A9D">
        <w:rPr>
          <w:rFonts w:ascii="Times New Roman" w:hAnsi="Times New Roman" w:cs="Times New Roman"/>
          <w:sz w:val="22"/>
          <w:szCs w:val="22"/>
        </w:rPr>
        <w:t xml:space="preserve"> </w:t>
      </w:r>
      <w:r w:rsidR="0058761D" w:rsidRPr="00047A9D">
        <w:rPr>
          <w:rFonts w:ascii="Times New Roman" w:hAnsi="Times New Roman" w:cs="Times New Roman"/>
          <w:sz w:val="22"/>
          <w:szCs w:val="22"/>
        </w:rPr>
        <w:t xml:space="preserve">NAL: </w:t>
      </w:r>
      <w:r w:rsidR="00F50228" w:rsidRPr="00047A9D">
        <w:rPr>
          <w:rFonts w:ascii="Times New Roman" w:hAnsi="Times New Roman" w:cs="Times New Roman"/>
          <w:sz w:val="22"/>
          <w:szCs w:val="22"/>
        </w:rPr>
        <w:t>Scott Harrison (HMI), ‘</w:t>
      </w:r>
      <w:r w:rsidR="00BF1C55" w:rsidRPr="00047A9D">
        <w:rPr>
          <w:rFonts w:ascii="Times New Roman" w:hAnsi="Times New Roman" w:cs="Times New Roman"/>
          <w:sz w:val="22"/>
          <w:szCs w:val="22"/>
        </w:rPr>
        <w:t xml:space="preserve">The Final Report </w:t>
      </w:r>
      <w:r w:rsidR="00F50228" w:rsidRPr="00047A9D">
        <w:rPr>
          <w:rFonts w:ascii="Times New Roman" w:hAnsi="Times New Roman" w:cs="Times New Roman"/>
          <w:sz w:val="22"/>
          <w:szCs w:val="22"/>
        </w:rPr>
        <w:t>o</w:t>
      </w:r>
      <w:r w:rsidR="00BF1C55" w:rsidRPr="00047A9D">
        <w:rPr>
          <w:rFonts w:ascii="Times New Roman" w:hAnsi="Times New Roman" w:cs="Times New Roman"/>
          <w:sz w:val="22"/>
          <w:szCs w:val="22"/>
        </w:rPr>
        <w:t xml:space="preserve">f </w:t>
      </w:r>
      <w:r w:rsidR="00F50228" w:rsidRPr="00047A9D">
        <w:rPr>
          <w:rFonts w:ascii="Times New Roman" w:hAnsi="Times New Roman" w:cs="Times New Roman"/>
          <w:sz w:val="22"/>
          <w:szCs w:val="22"/>
        </w:rPr>
        <w:t>t</w:t>
      </w:r>
      <w:r w:rsidR="00BF1C55" w:rsidRPr="00047A9D">
        <w:rPr>
          <w:rFonts w:ascii="Times New Roman" w:hAnsi="Times New Roman" w:cs="Times New Roman"/>
          <w:sz w:val="22"/>
          <w:szCs w:val="22"/>
        </w:rPr>
        <w:t>he History Working Group</w:t>
      </w:r>
      <w:r w:rsidR="00F50228" w:rsidRPr="00047A9D">
        <w:rPr>
          <w:rFonts w:ascii="Times New Roman" w:hAnsi="Times New Roman" w:cs="Times New Roman"/>
          <w:sz w:val="22"/>
          <w:szCs w:val="22"/>
        </w:rPr>
        <w:t>:</w:t>
      </w:r>
      <w:r w:rsidR="00BF1C55" w:rsidRPr="00047A9D">
        <w:rPr>
          <w:rFonts w:ascii="Times New Roman" w:hAnsi="Times New Roman" w:cs="Times New Roman"/>
          <w:sz w:val="22"/>
          <w:szCs w:val="22"/>
        </w:rPr>
        <w:t xml:space="preserve"> Analysis </w:t>
      </w:r>
      <w:r w:rsidR="00F50228" w:rsidRPr="00047A9D">
        <w:rPr>
          <w:rFonts w:ascii="Times New Roman" w:hAnsi="Times New Roman" w:cs="Times New Roman"/>
          <w:sz w:val="22"/>
          <w:szCs w:val="22"/>
        </w:rPr>
        <w:t>o</w:t>
      </w:r>
      <w:r w:rsidR="00BF1C55" w:rsidRPr="00047A9D">
        <w:rPr>
          <w:rFonts w:ascii="Times New Roman" w:hAnsi="Times New Roman" w:cs="Times New Roman"/>
          <w:sz w:val="22"/>
          <w:szCs w:val="22"/>
        </w:rPr>
        <w:t xml:space="preserve">f Responses </w:t>
      </w:r>
      <w:r w:rsidR="00F50228" w:rsidRPr="00047A9D">
        <w:rPr>
          <w:rFonts w:ascii="Times New Roman" w:hAnsi="Times New Roman" w:cs="Times New Roman"/>
          <w:sz w:val="22"/>
          <w:szCs w:val="22"/>
        </w:rPr>
        <w:t>t</w:t>
      </w:r>
      <w:r w:rsidR="00BF1C55" w:rsidRPr="00047A9D">
        <w:rPr>
          <w:rFonts w:ascii="Times New Roman" w:hAnsi="Times New Roman" w:cs="Times New Roman"/>
          <w:sz w:val="22"/>
          <w:szCs w:val="22"/>
        </w:rPr>
        <w:t xml:space="preserve">o </w:t>
      </w:r>
      <w:r w:rsidR="00F50228" w:rsidRPr="00047A9D">
        <w:rPr>
          <w:rFonts w:ascii="Times New Roman" w:hAnsi="Times New Roman" w:cs="Times New Roman"/>
          <w:sz w:val="22"/>
          <w:szCs w:val="22"/>
        </w:rPr>
        <w:t>t</w:t>
      </w:r>
      <w:r w:rsidR="00BF1C55" w:rsidRPr="00047A9D">
        <w:rPr>
          <w:rFonts w:ascii="Times New Roman" w:hAnsi="Times New Roman" w:cs="Times New Roman"/>
          <w:sz w:val="22"/>
          <w:szCs w:val="22"/>
        </w:rPr>
        <w:t xml:space="preserve">he Secretary </w:t>
      </w:r>
      <w:r w:rsidR="00F50228" w:rsidRPr="00047A9D">
        <w:rPr>
          <w:rFonts w:ascii="Times New Roman" w:hAnsi="Times New Roman" w:cs="Times New Roman"/>
          <w:sz w:val="22"/>
          <w:szCs w:val="22"/>
        </w:rPr>
        <w:t>o</w:t>
      </w:r>
      <w:r w:rsidR="00BF1C55" w:rsidRPr="00047A9D">
        <w:rPr>
          <w:rFonts w:ascii="Times New Roman" w:hAnsi="Times New Roman" w:cs="Times New Roman"/>
          <w:sz w:val="22"/>
          <w:szCs w:val="22"/>
        </w:rPr>
        <w:t>f State</w:t>
      </w:r>
      <w:r w:rsidR="00F50228" w:rsidRPr="00047A9D">
        <w:rPr>
          <w:rFonts w:ascii="Times New Roman" w:hAnsi="Times New Roman" w:cs="Times New Roman"/>
          <w:sz w:val="22"/>
          <w:szCs w:val="22"/>
        </w:rPr>
        <w:t>’</w:t>
      </w:r>
      <w:r w:rsidR="00BF1C55" w:rsidRPr="00047A9D">
        <w:rPr>
          <w:rFonts w:ascii="Times New Roman" w:hAnsi="Times New Roman" w:cs="Times New Roman"/>
          <w:sz w:val="22"/>
          <w:szCs w:val="22"/>
        </w:rPr>
        <w:t>s Consultation Exercise</w:t>
      </w:r>
      <w:r w:rsidR="00F50228" w:rsidRPr="00047A9D">
        <w:rPr>
          <w:rFonts w:ascii="Times New Roman" w:hAnsi="Times New Roman" w:cs="Times New Roman"/>
          <w:sz w:val="22"/>
          <w:szCs w:val="22"/>
        </w:rPr>
        <w:t>’</w:t>
      </w:r>
      <w:r w:rsidR="00BF1C55" w:rsidRPr="00047A9D">
        <w:rPr>
          <w:rFonts w:ascii="Times New Roman" w:hAnsi="Times New Roman" w:cs="Times New Roman"/>
          <w:sz w:val="22"/>
          <w:szCs w:val="22"/>
        </w:rPr>
        <w:t>, 26 June 1990</w:t>
      </w:r>
      <w:r w:rsidR="0099132E" w:rsidRPr="00047A9D">
        <w:rPr>
          <w:rFonts w:ascii="Times New Roman" w:hAnsi="Times New Roman" w:cs="Times New Roman"/>
          <w:sz w:val="22"/>
          <w:szCs w:val="22"/>
        </w:rPr>
        <w:t>,</w:t>
      </w:r>
      <w:r w:rsidR="00F50228" w:rsidRPr="00047A9D">
        <w:rPr>
          <w:rFonts w:ascii="Times New Roman" w:hAnsi="Times New Roman" w:cs="Times New Roman"/>
          <w:sz w:val="22"/>
          <w:szCs w:val="22"/>
        </w:rPr>
        <w:t xml:space="preserve"> n.p.,</w:t>
      </w:r>
      <w:r w:rsidR="0099132E" w:rsidRPr="00047A9D">
        <w:rPr>
          <w:rFonts w:ascii="Times New Roman" w:hAnsi="Times New Roman" w:cs="Times New Roman"/>
          <w:sz w:val="22"/>
          <w:szCs w:val="22"/>
        </w:rPr>
        <w:t xml:space="preserve"> in ‘National Curriculum: Draft Order for History’, ED 183/373.</w:t>
      </w:r>
    </w:p>
  </w:footnote>
  <w:footnote w:id="896">
    <w:p w14:paraId="64DF4353" w14:textId="6EB710DF" w:rsidR="00833C88" w:rsidRPr="00047A9D" w:rsidRDefault="00833C8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4196C" w:rsidRPr="00047A9D">
        <w:rPr>
          <w:rFonts w:ascii="Times New Roman" w:hAnsi="Times New Roman" w:cs="Times New Roman"/>
          <w:sz w:val="22"/>
          <w:szCs w:val="22"/>
        </w:rPr>
        <w:t>‘The Consultation Exercise’, n.p.</w:t>
      </w:r>
    </w:p>
  </w:footnote>
  <w:footnote w:id="897">
    <w:p w14:paraId="6948CAFD" w14:textId="481559A1" w:rsidR="00300F6B" w:rsidRPr="00047A9D" w:rsidRDefault="00300F6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623C7" w:rsidRPr="00047A9D">
        <w:rPr>
          <w:rFonts w:ascii="Times New Roman" w:hAnsi="Times New Roman" w:cs="Times New Roman"/>
          <w:sz w:val="22"/>
          <w:szCs w:val="22"/>
        </w:rPr>
        <w:t>Transcript of interview with Peter Marshall, p</w:t>
      </w:r>
      <w:r w:rsidR="009C55C2" w:rsidRPr="00047A9D">
        <w:rPr>
          <w:rFonts w:ascii="Times New Roman" w:hAnsi="Times New Roman" w:cs="Times New Roman"/>
          <w:sz w:val="22"/>
          <w:szCs w:val="22"/>
        </w:rPr>
        <w:t>p</w:t>
      </w:r>
      <w:r w:rsidR="006623C7" w:rsidRPr="00047A9D">
        <w:rPr>
          <w:rFonts w:ascii="Times New Roman" w:hAnsi="Times New Roman" w:cs="Times New Roman"/>
          <w:sz w:val="22"/>
          <w:szCs w:val="22"/>
        </w:rPr>
        <w:t>.</w:t>
      </w:r>
      <w:r w:rsidR="00C076CD" w:rsidRPr="00047A9D">
        <w:rPr>
          <w:rFonts w:ascii="Times New Roman" w:hAnsi="Times New Roman" w:cs="Times New Roman"/>
          <w:sz w:val="22"/>
          <w:szCs w:val="22"/>
        </w:rPr>
        <w:t>20</w:t>
      </w:r>
      <w:r w:rsidR="009C55C2" w:rsidRPr="00047A9D">
        <w:rPr>
          <w:rFonts w:ascii="Times New Roman" w:hAnsi="Times New Roman" w:cs="Times New Roman"/>
          <w:sz w:val="22"/>
          <w:szCs w:val="22"/>
        </w:rPr>
        <w:t>, 21</w:t>
      </w:r>
      <w:r w:rsidR="00C076CD" w:rsidRPr="00047A9D">
        <w:rPr>
          <w:rFonts w:ascii="Times New Roman" w:hAnsi="Times New Roman" w:cs="Times New Roman"/>
          <w:sz w:val="22"/>
          <w:szCs w:val="22"/>
        </w:rPr>
        <w:t>.</w:t>
      </w:r>
    </w:p>
  </w:footnote>
  <w:footnote w:id="898">
    <w:p w14:paraId="67BB6077" w14:textId="20E08EE9" w:rsidR="00B2477D" w:rsidRPr="00047A9D" w:rsidRDefault="00B2477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73584" w:rsidRPr="00047A9D">
        <w:rPr>
          <w:rFonts w:ascii="Times New Roman" w:hAnsi="Times New Roman" w:cs="Times New Roman"/>
          <w:sz w:val="22"/>
          <w:szCs w:val="22"/>
        </w:rPr>
        <w:t>Transcript of interview with Peter Marshall, pp.20, 21.</w:t>
      </w:r>
    </w:p>
  </w:footnote>
  <w:footnote w:id="899">
    <w:p w14:paraId="3918E44C" w14:textId="3CCBD91E" w:rsidR="009C55C2" w:rsidRPr="00047A9D" w:rsidRDefault="009C55C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‘Draft Letter from Secretary of State to Prime Minister’, n.p.</w:t>
      </w:r>
    </w:p>
  </w:footnote>
  <w:footnote w:id="900">
    <w:p w14:paraId="25B73E1C" w14:textId="63BCA0AF" w:rsidR="009C55C2" w:rsidRPr="00047A9D" w:rsidRDefault="009C55C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D4377" w:rsidRPr="00047A9D">
        <w:rPr>
          <w:rFonts w:ascii="Times New Roman" w:hAnsi="Times New Roman" w:cs="Times New Roman"/>
          <w:sz w:val="22"/>
          <w:szCs w:val="22"/>
        </w:rPr>
        <w:t>‘Draft Letter from Secretary of State to Prime Minister’, n.p.</w:t>
      </w:r>
    </w:p>
  </w:footnote>
  <w:footnote w:id="901">
    <w:p w14:paraId="44D1799F" w14:textId="1BF8DC47" w:rsidR="005D4377" w:rsidRPr="00047A9D" w:rsidRDefault="005D437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E3119" w:rsidRPr="00047A9D">
        <w:rPr>
          <w:rFonts w:ascii="Times New Roman" w:hAnsi="Times New Roman" w:cs="Times New Roman"/>
          <w:sz w:val="22"/>
          <w:szCs w:val="22"/>
        </w:rPr>
        <w:t xml:space="preserve">Phillips, </w:t>
      </w:r>
      <w:r w:rsidR="008E3119" w:rsidRPr="00047A9D">
        <w:rPr>
          <w:rFonts w:ascii="Times New Roman" w:hAnsi="Times New Roman" w:cs="Times New Roman"/>
          <w:i/>
          <w:sz w:val="22"/>
          <w:szCs w:val="22"/>
        </w:rPr>
        <w:t>History Teaching</w:t>
      </w:r>
      <w:r w:rsidR="008E3119" w:rsidRPr="00047A9D">
        <w:rPr>
          <w:rFonts w:ascii="Times New Roman" w:hAnsi="Times New Roman" w:cs="Times New Roman"/>
          <w:sz w:val="22"/>
          <w:szCs w:val="22"/>
        </w:rPr>
        <w:t>, pp.94-95.</w:t>
      </w:r>
    </w:p>
  </w:footnote>
  <w:footnote w:id="902">
    <w:p w14:paraId="2D376667" w14:textId="03C209EC" w:rsidR="00E17F30" w:rsidRPr="00047A9D" w:rsidRDefault="00E17F3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761D" w:rsidRPr="00047A9D">
        <w:rPr>
          <w:rFonts w:ascii="Times New Roman" w:hAnsi="Times New Roman" w:cs="Times New Roman"/>
          <w:sz w:val="22"/>
          <w:szCs w:val="22"/>
        </w:rPr>
        <w:t xml:space="preserve">NAL: </w:t>
      </w:r>
      <w:r w:rsidR="002E50FA" w:rsidRPr="00047A9D">
        <w:rPr>
          <w:rFonts w:ascii="Times New Roman" w:hAnsi="Times New Roman" w:cs="Times New Roman"/>
          <w:sz w:val="22"/>
          <w:szCs w:val="22"/>
        </w:rPr>
        <w:t>‘</w:t>
      </w:r>
      <w:r w:rsidR="00527580" w:rsidRPr="00047A9D">
        <w:rPr>
          <w:rFonts w:ascii="Times New Roman" w:hAnsi="Times New Roman" w:cs="Times New Roman"/>
          <w:sz w:val="22"/>
          <w:szCs w:val="22"/>
        </w:rPr>
        <w:t xml:space="preserve">National Curriculum Council: History </w:t>
      </w:r>
      <w:r w:rsidR="002E50FA" w:rsidRPr="00047A9D">
        <w:rPr>
          <w:rFonts w:ascii="Times New Roman" w:hAnsi="Times New Roman" w:cs="Times New Roman"/>
          <w:sz w:val="22"/>
          <w:szCs w:val="22"/>
        </w:rPr>
        <w:t>i</w:t>
      </w:r>
      <w:r w:rsidR="00527580" w:rsidRPr="00047A9D">
        <w:rPr>
          <w:rFonts w:ascii="Times New Roman" w:hAnsi="Times New Roman" w:cs="Times New Roman"/>
          <w:sz w:val="22"/>
          <w:szCs w:val="22"/>
        </w:rPr>
        <w:t xml:space="preserve">n </w:t>
      </w:r>
      <w:r w:rsidR="002E50FA" w:rsidRPr="00047A9D">
        <w:rPr>
          <w:rFonts w:ascii="Times New Roman" w:hAnsi="Times New Roman" w:cs="Times New Roman"/>
          <w:sz w:val="22"/>
          <w:szCs w:val="22"/>
        </w:rPr>
        <w:t>t</w:t>
      </w:r>
      <w:r w:rsidR="00527580" w:rsidRPr="00047A9D">
        <w:rPr>
          <w:rFonts w:ascii="Times New Roman" w:hAnsi="Times New Roman" w:cs="Times New Roman"/>
          <w:sz w:val="22"/>
          <w:szCs w:val="22"/>
        </w:rPr>
        <w:t>he National Curriculum</w:t>
      </w:r>
      <w:r w:rsidR="002E50FA" w:rsidRPr="00047A9D">
        <w:rPr>
          <w:rFonts w:ascii="Times New Roman" w:hAnsi="Times New Roman" w:cs="Times New Roman"/>
          <w:sz w:val="22"/>
          <w:szCs w:val="22"/>
        </w:rPr>
        <w:t>’</w:t>
      </w:r>
      <w:r w:rsidR="00527580" w:rsidRPr="00047A9D">
        <w:rPr>
          <w:rFonts w:ascii="Times New Roman" w:hAnsi="Times New Roman" w:cs="Times New Roman"/>
          <w:sz w:val="22"/>
          <w:szCs w:val="22"/>
        </w:rPr>
        <w:t>,</w:t>
      </w:r>
      <w:r w:rsidR="002E50FA" w:rsidRPr="00047A9D">
        <w:rPr>
          <w:rFonts w:ascii="Times New Roman" w:hAnsi="Times New Roman" w:cs="Times New Roman"/>
          <w:sz w:val="22"/>
          <w:szCs w:val="22"/>
        </w:rPr>
        <w:t xml:space="preserve"> n.d., p.7,</w:t>
      </w:r>
      <w:r w:rsidR="00527580" w:rsidRPr="00047A9D">
        <w:rPr>
          <w:rFonts w:ascii="Times New Roman" w:hAnsi="Times New Roman" w:cs="Times New Roman"/>
          <w:sz w:val="22"/>
          <w:szCs w:val="22"/>
        </w:rPr>
        <w:t xml:space="preserve"> in ‘National Curriculum Council: History Task Group’, ED 183/372.</w:t>
      </w:r>
    </w:p>
  </w:footnote>
  <w:footnote w:id="903">
    <w:p w14:paraId="02A096A8" w14:textId="6B6023A4" w:rsidR="002E50FA" w:rsidRPr="00047A9D" w:rsidRDefault="002E50F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C667B" w:rsidRPr="00047A9D">
        <w:rPr>
          <w:rFonts w:ascii="Times New Roman" w:hAnsi="Times New Roman" w:cs="Times New Roman"/>
          <w:sz w:val="22"/>
          <w:szCs w:val="22"/>
        </w:rPr>
        <w:t xml:space="preserve">Phillips, </w:t>
      </w:r>
      <w:r w:rsidR="006C667B" w:rsidRPr="00047A9D">
        <w:rPr>
          <w:rFonts w:ascii="Times New Roman" w:hAnsi="Times New Roman" w:cs="Times New Roman"/>
          <w:i/>
          <w:sz w:val="22"/>
          <w:szCs w:val="22"/>
        </w:rPr>
        <w:t>History Teaching</w:t>
      </w:r>
      <w:r w:rsidR="006C667B" w:rsidRPr="00047A9D">
        <w:rPr>
          <w:rFonts w:ascii="Times New Roman" w:hAnsi="Times New Roman" w:cs="Times New Roman"/>
          <w:sz w:val="22"/>
          <w:szCs w:val="22"/>
        </w:rPr>
        <w:t>, pp.</w:t>
      </w:r>
      <w:r w:rsidR="00173806" w:rsidRPr="00047A9D">
        <w:rPr>
          <w:rFonts w:ascii="Times New Roman" w:hAnsi="Times New Roman" w:cs="Times New Roman"/>
          <w:sz w:val="22"/>
          <w:szCs w:val="22"/>
        </w:rPr>
        <w:t>102,</w:t>
      </w:r>
      <w:r w:rsidR="006C667B" w:rsidRPr="00047A9D">
        <w:rPr>
          <w:rFonts w:ascii="Times New Roman" w:hAnsi="Times New Roman" w:cs="Times New Roman"/>
          <w:sz w:val="22"/>
          <w:szCs w:val="22"/>
        </w:rPr>
        <w:t>103</w:t>
      </w:r>
      <w:r w:rsidR="00173806" w:rsidRPr="00047A9D">
        <w:rPr>
          <w:rFonts w:ascii="Times New Roman" w:hAnsi="Times New Roman" w:cs="Times New Roman"/>
          <w:sz w:val="22"/>
          <w:szCs w:val="22"/>
        </w:rPr>
        <w:t>.</w:t>
      </w:r>
    </w:p>
  </w:footnote>
  <w:footnote w:id="904">
    <w:p w14:paraId="469C76F9" w14:textId="15785EA4" w:rsidR="00B640E2" w:rsidRPr="00047A9D" w:rsidRDefault="00B640E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Phillips, </w:t>
      </w:r>
      <w:r w:rsidRPr="00047A9D">
        <w:rPr>
          <w:rFonts w:ascii="Times New Roman" w:hAnsi="Times New Roman" w:cs="Times New Roman"/>
          <w:i/>
          <w:sz w:val="22"/>
          <w:szCs w:val="22"/>
        </w:rPr>
        <w:t>History Teaching</w:t>
      </w:r>
      <w:r w:rsidRPr="00047A9D">
        <w:rPr>
          <w:rFonts w:ascii="Times New Roman" w:hAnsi="Times New Roman" w:cs="Times New Roman"/>
          <w:sz w:val="22"/>
          <w:szCs w:val="22"/>
        </w:rPr>
        <w:t>, pp.102,103.</w:t>
      </w:r>
    </w:p>
  </w:footnote>
  <w:footnote w:id="905">
    <w:p w14:paraId="464118B6" w14:textId="0FCFB46A" w:rsidR="00264980" w:rsidRPr="00047A9D" w:rsidRDefault="0026498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Phillips, </w:t>
      </w:r>
      <w:r w:rsidRPr="00047A9D">
        <w:rPr>
          <w:rFonts w:ascii="Times New Roman" w:hAnsi="Times New Roman" w:cs="Times New Roman"/>
          <w:i/>
          <w:sz w:val="22"/>
          <w:szCs w:val="22"/>
        </w:rPr>
        <w:t>History Teaching</w:t>
      </w:r>
      <w:r w:rsidRPr="00047A9D">
        <w:rPr>
          <w:rFonts w:ascii="Times New Roman" w:hAnsi="Times New Roman" w:cs="Times New Roman"/>
          <w:sz w:val="22"/>
          <w:szCs w:val="22"/>
        </w:rPr>
        <w:t>, pp.102-05.</w:t>
      </w:r>
    </w:p>
  </w:footnote>
  <w:footnote w:id="906">
    <w:p w14:paraId="034BC792" w14:textId="3DDFD1FD" w:rsidR="00AE619A" w:rsidRPr="00047A9D" w:rsidRDefault="00AE619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A7979" w:rsidRPr="00047A9D">
        <w:rPr>
          <w:rFonts w:ascii="Times New Roman" w:hAnsi="Times New Roman" w:cs="Times New Roman"/>
          <w:sz w:val="22"/>
          <w:szCs w:val="22"/>
        </w:rPr>
        <w:t xml:space="preserve">See Phillips, </w:t>
      </w:r>
      <w:r w:rsidR="005A7979" w:rsidRPr="00047A9D">
        <w:rPr>
          <w:rFonts w:ascii="Times New Roman" w:hAnsi="Times New Roman" w:cs="Times New Roman"/>
          <w:i/>
          <w:sz w:val="22"/>
          <w:szCs w:val="22"/>
        </w:rPr>
        <w:t>History Teaching</w:t>
      </w:r>
      <w:r w:rsidR="005A7979" w:rsidRPr="00047A9D">
        <w:rPr>
          <w:rFonts w:ascii="Times New Roman" w:hAnsi="Times New Roman" w:cs="Times New Roman"/>
          <w:sz w:val="22"/>
          <w:szCs w:val="22"/>
        </w:rPr>
        <w:t>, p.</w:t>
      </w:r>
      <w:r w:rsidR="00695813" w:rsidRPr="00047A9D">
        <w:rPr>
          <w:rFonts w:ascii="Times New Roman" w:hAnsi="Times New Roman" w:cs="Times New Roman"/>
          <w:sz w:val="22"/>
          <w:szCs w:val="22"/>
        </w:rPr>
        <w:t>105.</w:t>
      </w:r>
    </w:p>
  </w:footnote>
  <w:footnote w:id="907">
    <w:p w14:paraId="6F1BBA9C" w14:textId="0DD6AF55" w:rsidR="002C4BF0" w:rsidRPr="00047A9D" w:rsidRDefault="002C4BF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26DEF" w:rsidRPr="00047A9D">
        <w:rPr>
          <w:rFonts w:ascii="Times New Roman" w:hAnsi="Times New Roman" w:cs="Times New Roman"/>
          <w:sz w:val="22"/>
          <w:szCs w:val="22"/>
        </w:rPr>
        <w:t>Phillips,</w:t>
      </w:r>
      <w:r w:rsidR="00695813" w:rsidRPr="00047A9D">
        <w:rPr>
          <w:rFonts w:ascii="Times New Roman" w:hAnsi="Times New Roman" w:cs="Times New Roman"/>
          <w:sz w:val="22"/>
          <w:szCs w:val="22"/>
        </w:rPr>
        <w:t xml:space="preserve"> </w:t>
      </w:r>
      <w:r w:rsidR="00695813" w:rsidRPr="00047A9D">
        <w:rPr>
          <w:rFonts w:ascii="Times New Roman" w:hAnsi="Times New Roman" w:cs="Times New Roman"/>
          <w:i/>
          <w:sz w:val="22"/>
          <w:szCs w:val="22"/>
        </w:rPr>
        <w:t>History Teaching,</w:t>
      </w:r>
      <w:r w:rsidR="00126DEF" w:rsidRPr="00047A9D">
        <w:rPr>
          <w:rFonts w:ascii="Times New Roman" w:hAnsi="Times New Roman" w:cs="Times New Roman"/>
          <w:sz w:val="22"/>
          <w:szCs w:val="22"/>
        </w:rPr>
        <w:t xml:space="preserve"> p.105.</w:t>
      </w:r>
    </w:p>
  </w:footnote>
  <w:footnote w:id="908">
    <w:p w14:paraId="78BE6259" w14:textId="17620AA3" w:rsidR="00187335" w:rsidRPr="00047A9D" w:rsidRDefault="0018733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Phillips, </w:t>
      </w:r>
      <w:r w:rsidRPr="00047A9D">
        <w:rPr>
          <w:rFonts w:ascii="Times New Roman" w:hAnsi="Times New Roman" w:cs="Times New Roman"/>
          <w:i/>
          <w:sz w:val="22"/>
          <w:szCs w:val="22"/>
        </w:rPr>
        <w:t>History Teaching</w:t>
      </w:r>
      <w:r w:rsidRPr="00047A9D">
        <w:rPr>
          <w:rFonts w:ascii="Times New Roman" w:hAnsi="Times New Roman" w:cs="Times New Roman"/>
          <w:sz w:val="22"/>
          <w:szCs w:val="22"/>
        </w:rPr>
        <w:t>, p.105.</w:t>
      </w:r>
    </w:p>
  </w:footnote>
  <w:footnote w:id="909">
    <w:p w14:paraId="3209E092" w14:textId="554A6658" w:rsidR="00187335" w:rsidRPr="00047A9D" w:rsidRDefault="0018733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44C65" w:rsidRPr="00047A9D">
        <w:rPr>
          <w:rFonts w:ascii="Times New Roman" w:hAnsi="Times New Roman" w:cs="Times New Roman"/>
          <w:sz w:val="22"/>
          <w:szCs w:val="22"/>
        </w:rPr>
        <w:t xml:space="preserve">Phillips, </w:t>
      </w:r>
      <w:r w:rsidR="00344C65" w:rsidRPr="00047A9D">
        <w:rPr>
          <w:rFonts w:ascii="Times New Roman" w:hAnsi="Times New Roman" w:cs="Times New Roman"/>
          <w:i/>
          <w:sz w:val="22"/>
          <w:szCs w:val="22"/>
        </w:rPr>
        <w:t>History Teaching</w:t>
      </w:r>
      <w:r w:rsidR="00344C65" w:rsidRPr="00047A9D">
        <w:rPr>
          <w:rFonts w:ascii="Times New Roman" w:hAnsi="Times New Roman" w:cs="Times New Roman"/>
          <w:sz w:val="22"/>
          <w:szCs w:val="22"/>
        </w:rPr>
        <w:t>, p.10</w:t>
      </w:r>
      <w:r w:rsidR="00D0125F" w:rsidRPr="00047A9D">
        <w:rPr>
          <w:rFonts w:ascii="Times New Roman" w:hAnsi="Times New Roman" w:cs="Times New Roman"/>
          <w:sz w:val="22"/>
          <w:szCs w:val="22"/>
        </w:rPr>
        <w:t>6.</w:t>
      </w:r>
    </w:p>
  </w:footnote>
  <w:footnote w:id="910">
    <w:p w14:paraId="4FE5CF6A" w14:textId="7E2BCA4A" w:rsidR="00D0125F" w:rsidRPr="00047A9D" w:rsidRDefault="00D0125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Phillips, </w:t>
      </w:r>
      <w:r w:rsidRPr="00047A9D">
        <w:rPr>
          <w:rFonts w:ascii="Times New Roman" w:hAnsi="Times New Roman" w:cs="Times New Roman"/>
          <w:i/>
          <w:sz w:val="22"/>
          <w:szCs w:val="22"/>
        </w:rPr>
        <w:t>History Teaching</w:t>
      </w:r>
      <w:r w:rsidRPr="00047A9D">
        <w:rPr>
          <w:rFonts w:ascii="Times New Roman" w:hAnsi="Times New Roman" w:cs="Times New Roman"/>
          <w:sz w:val="22"/>
          <w:szCs w:val="22"/>
        </w:rPr>
        <w:t>, p.10</w:t>
      </w:r>
      <w:r w:rsidR="009E623C" w:rsidRPr="00047A9D">
        <w:rPr>
          <w:rFonts w:ascii="Times New Roman" w:hAnsi="Times New Roman" w:cs="Times New Roman"/>
          <w:sz w:val="22"/>
          <w:szCs w:val="22"/>
        </w:rPr>
        <w:t>8.</w:t>
      </w:r>
    </w:p>
  </w:footnote>
  <w:footnote w:id="911">
    <w:p w14:paraId="523244FF" w14:textId="77379DF9" w:rsidR="00FC174E" w:rsidRPr="00047A9D" w:rsidRDefault="00FC174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C520F" w:rsidRPr="00047A9D">
        <w:rPr>
          <w:rFonts w:ascii="Times New Roman" w:hAnsi="Times New Roman" w:cs="Times New Roman"/>
          <w:sz w:val="22"/>
          <w:szCs w:val="22"/>
        </w:rPr>
        <w:t>Transcript of interview with Roger Hennessey, pp.1</w:t>
      </w:r>
      <w:r w:rsidR="00302DFE" w:rsidRPr="00047A9D">
        <w:rPr>
          <w:rFonts w:ascii="Times New Roman" w:hAnsi="Times New Roman" w:cs="Times New Roman"/>
          <w:sz w:val="22"/>
          <w:szCs w:val="22"/>
        </w:rPr>
        <w:t>8</w:t>
      </w:r>
      <w:r w:rsidR="00DC520F" w:rsidRPr="00047A9D">
        <w:rPr>
          <w:rFonts w:ascii="Times New Roman" w:hAnsi="Times New Roman" w:cs="Times New Roman"/>
          <w:sz w:val="22"/>
          <w:szCs w:val="22"/>
        </w:rPr>
        <w:t>-20. Interviewed by Nicola Sheldon, 11 November 2009. Transcribed by PageSix Transcription Services.</w:t>
      </w:r>
      <w:r w:rsidR="001A0BB2" w:rsidRPr="00047A9D">
        <w:rPr>
          <w:rFonts w:ascii="Times New Roman" w:hAnsi="Times New Roman" w:cs="Times New Roman"/>
          <w:sz w:val="22"/>
          <w:szCs w:val="22"/>
        </w:rPr>
        <w:t xml:space="preserve"> IHR: HiEP</w:t>
      </w:r>
      <w:r w:rsidR="006B3639" w:rsidRPr="00047A9D">
        <w:rPr>
          <w:rFonts w:ascii="Times New Roman" w:hAnsi="Times New Roman" w:cs="Times New Roman"/>
          <w:sz w:val="22"/>
          <w:szCs w:val="22"/>
        </w:rPr>
        <w:t xml:space="preserve"> </w:t>
      </w:r>
      <w:r w:rsidR="00DC520F" w:rsidRPr="00047A9D">
        <w:rPr>
          <w:rFonts w:ascii="Times New Roman" w:hAnsi="Times New Roman" w:cs="Times New Roman"/>
          <w:sz w:val="22"/>
          <w:szCs w:val="22"/>
        </w:rPr>
        <w:t>&lt;</w:t>
      </w:r>
      <w:r w:rsidR="004C3899" w:rsidRPr="00047A9D">
        <w:rPr>
          <w:rFonts w:ascii="Times New Roman" w:hAnsi="Times New Roman" w:cs="Times New Roman"/>
          <w:sz w:val="22"/>
          <w:szCs w:val="22"/>
        </w:rPr>
        <w:t>https://archives.history.ac.uk/history-in-education/browse/interviews/interview-roger-hennessey-11-november-2009.html</w:t>
      </w:r>
      <w:r w:rsidR="00DC520F" w:rsidRPr="00047A9D">
        <w:rPr>
          <w:rFonts w:ascii="Times New Roman" w:hAnsi="Times New Roman" w:cs="Times New Roman"/>
          <w:sz w:val="22"/>
          <w:szCs w:val="22"/>
        </w:rPr>
        <w:t>&gt; [last accessed 18 January 2024].</w:t>
      </w:r>
    </w:p>
  </w:footnote>
  <w:footnote w:id="912">
    <w:p w14:paraId="4227771A" w14:textId="70147C22" w:rsidR="00E03B15" w:rsidRPr="00047A9D" w:rsidRDefault="00E03B1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2471D" w:rsidRPr="00047A9D">
        <w:rPr>
          <w:rFonts w:ascii="Times New Roman" w:hAnsi="Times New Roman" w:cs="Times New Roman"/>
          <w:sz w:val="22"/>
          <w:szCs w:val="22"/>
        </w:rPr>
        <w:t>Transcript of interview with Andy Reid, p.11.</w:t>
      </w:r>
    </w:p>
  </w:footnote>
  <w:footnote w:id="913">
    <w:p w14:paraId="6CAAC227" w14:textId="0995BC61" w:rsidR="004E0720" w:rsidRPr="00047A9D" w:rsidRDefault="004E072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91A1E" w:rsidRPr="00047A9D">
        <w:rPr>
          <w:rFonts w:ascii="Times New Roman" w:hAnsi="Times New Roman" w:cs="Times New Roman"/>
          <w:sz w:val="22"/>
          <w:szCs w:val="22"/>
        </w:rPr>
        <w:t>‘</w:t>
      </w:r>
      <w:r w:rsidR="0092219A" w:rsidRPr="00047A9D">
        <w:rPr>
          <w:rFonts w:ascii="Times New Roman" w:hAnsi="Times New Roman" w:cs="Times New Roman"/>
          <w:sz w:val="22"/>
          <w:szCs w:val="22"/>
        </w:rPr>
        <w:t>Teaching (Political Bias)</w:t>
      </w:r>
      <w:r w:rsidR="00B91A1E" w:rsidRPr="00047A9D">
        <w:rPr>
          <w:rFonts w:ascii="Times New Roman" w:hAnsi="Times New Roman" w:cs="Times New Roman"/>
          <w:sz w:val="22"/>
          <w:szCs w:val="22"/>
        </w:rPr>
        <w:t>’</w:t>
      </w:r>
      <w:r w:rsidR="0092219A" w:rsidRPr="00047A9D">
        <w:rPr>
          <w:rFonts w:ascii="Times New Roman" w:hAnsi="Times New Roman" w:cs="Times New Roman"/>
          <w:sz w:val="22"/>
          <w:szCs w:val="22"/>
        </w:rPr>
        <w:t xml:space="preserve">. HC Deb </w:t>
      </w:r>
      <w:r w:rsidR="00B91A1E" w:rsidRPr="00047A9D">
        <w:rPr>
          <w:rFonts w:ascii="Times New Roman" w:hAnsi="Times New Roman" w:cs="Times New Roman"/>
          <w:sz w:val="22"/>
          <w:szCs w:val="22"/>
        </w:rPr>
        <w:t>(</w:t>
      </w:r>
      <w:r w:rsidR="0092219A" w:rsidRPr="00047A9D">
        <w:rPr>
          <w:rFonts w:ascii="Times New Roman" w:hAnsi="Times New Roman" w:cs="Times New Roman"/>
          <w:sz w:val="22"/>
          <w:szCs w:val="22"/>
        </w:rPr>
        <w:t>29 January 1991</w:t>
      </w:r>
      <w:r w:rsidR="00B91A1E" w:rsidRPr="00047A9D">
        <w:rPr>
          <w:rFonts w:ascii="Times New Roman" w:hAnsi="Times New Roman" w:cs="Times New Roman"/>
          <w:sz w:val="22"/>
          <w:szCs w:val="22"/>
        </w:rPr>
        <w:t>).</w:t>
      </w:r>
      <w:r w:rsidR="0092219A" w:rsidRPr="00047A9D">
        <w:rPr>
          <w:rFonts w:ascii="Times New Roman" w:hAnsi="Times New Roman" w:cs="Times New Roman"/>
          <w:sz w:val="22"/>
          <w:szCs w:val="22"/>
        </w:rPr>
        <w:t xml:space="preserve"> Vol.184, col.45</w:t>
      </w:r>
      <w:r w:rsidR="00B36314" w:rsidRPr="00047A9D">
        <w:rPr>
          <w:rFonts w:ascii="Times New Roman" w:hAnsi="Times New Roman" w:cs="Times New Roman"/>
          <w:sz w:val="22"/>
          <w:szCs w:val="22"/>
        </w:rPr>
        <w:t>1</w:t>
      </w:r>
      <w:r w:rsidR="00325600">
        <w:rPr>
          <w:rFonts w:ascii="Times New Roman" w:hAnsi="Times New Roman" w:cs="Times New Roman"/>
          <w:sz w:val="22"/>
          <w:szCs w:val="22"/>
        </w:rPr>
        <w:t>,</w:t>
      </w:r>
      <w:r w:rsidR="00B36314" w:rsidRPr="00047A9D">
        <w:rPr>
          <w:rFonts w:ascii="Times New Roman" w:hAnsi="Times New Roman" w:cs="Times New Roman"/>
          <w:sz w:val="22"/>
          <w:szCs w:val="22"/>
        </w:rPr>
        <w:t xml:space="preserve"> </w:t>
      </w:r>
      <w:r w:rsidR="0092219A" w:rsidRPr="00047A9D">
        <w:rPr>
          <w:rFonts w:ascii="Times New Roman" w:hAnsi="Times New Roman" w:cs="Times New Roman"/>
          <w:sz w:val="22"/>
          <w:szCs w:val="22"/>
        </w:rPr>
        <w:t xml:space="preserve">&lt;https://hansard.parliament.uk/Commons/1991-01-29/debates/18861ae9-8779-4eec-9b55-956ef276a548/Teaching(PoliticalBias)&gt; [last accessed 18 </w:t>
      </w:r>
      <w:r w:rsidR="00B91A1E" w:rsidRPr="00047A9D">
        <w:rPr>
          <w:rFonts w:ascii="Times New Roman" w:hAnsi="Times New Roman" w:cs="Times New Roman"/>
          <w:sz w:val="22"/>
          <w:szCs w:val="22"/>
        </w:rPr>
        <w:t>January</w:t>
      </w:r>
      <w:r w:rsidR="0092219A" w:rsidRPr="00047A9D">
        <w:rPr>
          <w:rFonts w:ascii="Times New Roman" w:hAnsi="Times New Roman" w:cs="Times New Roman"/>
          <w:sz w:val="22"/>
          <w:szCs w:val="22"/>
        </w:rPr>
        <w:t xml:space="preserve"> 2024].</w:t>
      </w:r>
    </w:p>
  </w:footnote>
  <w:footnote w:id="914">
    <w:p w14:paraId="5C2F829A" w14:textId="48E35DD4" w:rsidR="00CA5D4B" w:rsidRPr="00047A9D" w:rsidRDefault="00CA5D4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also Phillips, </w:t>
      </w:r>
      <w:r w:rsidRPr="00047A9D">
        <w:rPr>
          <w:rFonts w:ascii="Times New Roman" w:hAnsi="Times New Roman" w:cs="Times New Roman"/>
          <w:i/>
          <w:sz w:val="22"/>
          <w:szCs w:val="22"/>
        </w:rPr>
        <w:t>History Teaching</w:t>
      </w:r>
      <w:r w:rsidRPr="00047A9D">
        <w:rPr>
          <w:rFonts w:ascii="Times New Roman" w:hAnsi="Times New Roman" w:cs="Times New Roman"/>
          <w:sz w:val="22"/>
          <w:szCs w:val="22"/>
        </w:rPr>
        <w:t>, p.10</w:t>
      </w:r>
      <w:r w:rsidR="005E31CA" w:rsidRPr="00047A9D">
        <w:rPr>
          <w:rFonts w:ascii="Times New Roman" w:hAnsi="Times New Roman" w:cs="Times New Roman"/>
          <w:sz w:val="22"/>
          <w:szCs w:val="22"/>
        </w:rPr>
        <w:t>7.</w:t>
      </w:r>
    </w:p>
  </w:footnote>
  <w:footnote w:id="915">
    <w:p w14:paraId="37BEC18E" w14:textId="5068881D" w:rsidR="003A087D" w:rsidRPr="00047A9D" w:rsidRDefault="003A087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E31CA" w:rsidRPr="00047A9D">
        <w:rPr>
          <w:rFonts w:ascii="Times New Roman" w:hAnsi="Times New Roman" w:cs="Times New Roman"/>
          <w:sz w:val="22"/>
          <w:szCs w:val="22"/>
        </w:rPr>
        <w:t xml:space="preserve">Phillips, </w:t>
      </w:r>
      <w:r w:rsidR="005E31CA" w:rsidRPr="00047A9D">
        <w:rPr>
          <w:rFonts w:ascii="Times New Roman" w:hAnsi="Times New Roman" w:cs="Times New Roman"/>
          <w:i/>
          <w:sz w:val="22"/>
          <w:szCs w:val="22"/>
        </w:rPr>
        <w:t>History Teaching</w:t>
      </w:r>
      <w:r w:rsidR="005E31CA" w:rsidRPr="00047A9D">
        <w:rPr>
          <w:rFonts w:ascii="Times New Roman" w:hAnsi="Times New Roman" w:cs="Times New Roman"/>
          <w:sz w:val="22"/>
          <w:szCs w:val="22"/>
        </w:rPr>
        <w:t>, pp.107-08</w:t>
      </w:r>
      <w:r w:rsidR="008C20C2" w:rsidRPr="00047A9D">
        <w:rPr>
          <w:rFonts w:ascii="Times New Roman" w:hAnsi="Times New Roman" w:cs="Times New Roman"/>
          <w:sz w:val="22"/>
          <w:szCs w:val="22"/>
        </w:rPr>
        <w:t xml:space="preserve">; </w:t>
      </w:r>
      <w:r w:rsidR="00916C20" w:rsidRPr="00047A9D">
        <w:rPr>
          <w:rFonts w:ascii="Times New Roman" w:hAnsi="Times New Roman" w:cs="Times New Roman"/>
          <w:sz w:val="22"/>
          <w:szCs w:val="22"/>
        </w:rPr>
        <w:t xml:space="preserve">Bob Davis, </w:t>
      </w:r>
      <w:r w:rsidR="00344EDF" w:rsidRPr="00047A9D">
        <w:rPr>
          <w:rFonts w:ascii="Times New Roman" w:hAnsi="Times New Roman" w:cs="Times New Roman"/>
          <w:sz w:val="22"/>
          <w:szCs w:val="22"/>
        </w:rPr>
        <w:t>‘</w:t>
      </w:r>
      <w:r w:rsidR="00916C20" w:rsidRPr="00047A9D">
        <w:rPr>
          <w:rFonts w:ascii="Times New Roman" w:hAnsi="Times New Roman" w:cs="Times New Roman"/>
          <w:sz w:val="22"/>
          <w:szCs w:val="22"/>
        </w:rPr>
        <w:t xml:space="preserve">Going in by the </w:t>
      </w:r>
      <w:r w:rsidR="005C6C4A" w:rsidRPr="00047A9D">
        <w:rPr>
          <w:rFonts w:ascii="Times New Roman" w:hAnsi="Times New Roman" w:cs="Times New Roman"/>
          <w:sz w:val="22"/>
          <w:szCs w:val="22"/>
        </w:rPr>
        <w:t>F</w:t>
      </w:r>
      <w:r w:rsidR="00916C20" w:rsidRPr="00047A9D">
        <w:rPr>
          <w:rFonts w:ascii="Times New Roman" w:hAnsi="Times New Roman" w:cs="Times New Roman"/>
          <w:sz w:val="22"/>
          <w:szCs w:val="22"/>
        </w:rPr>
        <w:t xml:space="preserve">ront </w:t>
      </w:r>
      <w:r w:rsidR="005C6C4A" w:rsidRPr="00047A9D">
        <w:rPr>
          <w:rFonts w:ascii="Times New Roman" w:hAnsi="Times New Roman" w:cs="Times New Roman"/>
          <w:sz w:val="22"/>
          <w:szCs w:val="22"/>
        </w:rPr>
        <w:t>D</w:t>
      </w:r>
      <w:r w:rsidR="00916C20" w:rsidRPr="00047A9D">
        <w:rPr>
          <w:rFonts w:ascii="Times New Roman" w:hAnsi="Times New Roman" w:cs="Times New Roman"/>
          <w:sz w:val="22"/>
          <w:szCs w:val="22"/>
        </w:rPr>
        <w:t>oor: Searle, Earl Marshal School and Sheffield</w:t>
      </w:r>
      <w:r w:rsidR="00344EDF" w:rsidRPr="00047A9D">
        <w:rPr>
          <w:rFonts w:ascii="Times New Roman" w:hAnsi="Times New Roman" w:cs="Times New Roman"/>
          <w:sz w:val="22"/>
          <w:szCs w:val="22"/>
        </w:rPr>
        <w:t>’</w:t>
      </w:r>
      <w:r w:rsidR="00916C20" w:rsidRPr="00047A9D">
        <w:rPr>
          <w:rFonts w:ascii="Times New Roman" w:hAnsi="Times New Roman" w:cs="Times New Roman"/>
          <w:sz w:val="22"/>
          <w:szCs w:val="22"/>
        </w:rPr>
        <w:t xml:space="preserve">, </w:t>
      </w:r>
      <w:r w:rsidR="00916C20" w:rsidRPr="00047A9D">
        <w:rPr>
          <w:rFonts w:ascii="Times New Roman" w:hAnsi="Times New Roman" w:cs="Times New Roman"/>
          <w:i/>
          <w:sz w:val="22"/>
          <w:szCs w:val="22"/>
        </w:rPr>
        <w:t>Race &amp; Class</w:t>
      </w:r>
      <w:r w:rsidR="00916C20" w:rsidRPr="00047A9D">
        <w:rPr>
          <w:rFonts w:ascii="Times New Roman" w:hAnsi="Times New Roman" w:cs="Times New Roman"/>
          <w:sz w:val="22"/>
          <w:szCs w:val="22"/>
        </w:rPr>
        <w:t xml:space="preserve"> 51.2 (2009), 79-91, p.82.</w:t>
      </w:r>
    </w:p>
  </w:footnote>
  <w:footnote w:id="916">
    <w:p w14:paraId="7369D5CB" w14:textId="568381F5" w:rsidR="00DA5586" w:rsidRPr="00047A9D" w:rsidRDefault="00DA558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8761D" w:rsidRPr="00047A9D">
        <w:rPr>
          <w:rFonts w:ascii="Times New Roman" w:hAnsi="Times New Roman" w:cs="Times New Roman"/>
          <w:sz w:val="22"/>
          <w:szCs w:val="22"/>
        </w:rPr>
        <w:t xml:space="preserve">NAL: </w:t>
      </w:r>
      <w:r w:rsidR="006E14B3" w:rsidRPr="00047A9D">
        <w:rPr>
          <w:rFonts w:ascii="Times New Roman" w:hAnsi="Times New Roman" w:cs="Times New Roman"/>
          <w:sz w:val="22"/>
          <w:szCs w:val="22"/>
        </w:rPr>
        <w:t>‘National Curriculum: History, Letter from IC Loveless to PS/Secretary of State’, 30 September 1994, n.p., in ‘</w:t>
      </w:r>
      <w:r w:rsidR="000A4CA6" w:rsidRPr="00047A9D">
        <w:rPr>
          <w:rFonts w:ascii="Times New Roman" w:hAnsi="Times New Roman" w:cs="Times New Roman"/>
          <w:sz w:val="22"/>
          <w:szCs w:val="22"/>
        </w:rPr>
        <w:t>National Curriculum History Advisory Group</w:t>
      </w:r>
      <w:r w:rsidR="006E14B3" w:rsidRPr="00047A9D">
        <w:rPr>
          <w:rFonts w:ascii="Times New Roman" w:hAnsi="Times New Roman" w:cs="Times New Roman"/>
          <w:sz w:val="22"/>
          <w:szCs w:val="22"/>
        </w:rPr>
        <w:t xml:space="preserve">’, </w:t>
      </w:r>
      <w:r w:rsidR="000A4CA6" w:rsidRPr="00047A9D">
        <w:rPr>
          <w:rFonts w:ascii="Times New Roman" w:hAnsi="Times New Roman" w:cs="Times New Roman"/>
          <w:sz w:val="22"/>
          <w:szCs w:val="22"/>
        </w:rPr>
        <w:t>ED 183/550</w:t>
      </w:r>
      <w:r w:rsidR="006E14B3" w:rsidRPr="00047A9D">
        <w:rPr>
          <w:rFonts w:ascii="Times New Roman" w:hAnsi="Times New Roman" w:cs="Times New Roman"/>
          <w:sz w:val="22"/>
          <w:szCs w:val="22"/>
        </w:rPr>
        <w:t>.</w:t>
      </w:r>
    </w:p>
  </w:footnote>
  <w:footnote w:id="917">
    <w:p w14:paraId="60EA0D45" w14:textId="0ACE01E6" w:rsidR="0075559C" w:rsidRPr="00047A9D" w:rsidRDefault="0075559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57F6C" w:rsidRPr="00047A9D">
        <w:rPr>
          <w:rFonts w:ascii="Times New Roman" w:hAnsi="Times New Roman" w:cs="Times New Roman"/>
          <w:sz w:val="22"/>
          <w:szCs w:val="22"/>
        </w:rPr>
        <w:t xml:space="preserve">DES, </w:t>
      </w:r>
      <w:r w:rsidR="004D1993" w:rsidRPr="00047A9D">
        <w:rPr>
          <w:rFonts w:ascii="Times New Roman" w:hAnsi="Times New Roman" w:cs="Times New Roman"/>
          <w:i/>
          <w:sz w:val="22"/>
          <w:szCs w:val="22"/>
        </w:rPr>
        <w:t>History in the National Curriculum (England)</w:t>
      </w:r>
      <w:r w:rsidR="00A57F6C" w:rsidRPr="00047A9D">
        <w:rPr>
          <w:rFonts w:ascii="Times New Roman" w:hAnsi="Times New Roman" w:cs="Times New Roman"/>
          <w:sz w:val="22"/>
          <w:szCs w:val="22"/>
        </w:rPr>
        <w:t xml:space="preserve"> </w:t>
      </w:r>
      <w:r w:rsidR="004D1993" w:rsidRPr="00047A9D">
        <w:rPr>
          <w:rFonts w:ascii="Times New Roman" w:hAnsi="Times New Roman" w:cs="Times New Roman"/>
          <w:sz w:val="22"/>
          <w:szCs w:val="22"/>
        </w:rPr>
        <w:t>(London: DES, HMSO, 1991)</w:t>
      </w:r>
      <w:r w:rsidR="003D1CA6" w:rsidRPr="00047A9D">
        <w:rPr>
          <w:rFonts w:ascii="Times New Roman" w:hAnsi="Times New Roman" w:cs="Times New Roman"/>
          <w:sz w:val="22"/>
          <w:szCs w:val="22"/>
        </w:rPr>
        <w:t>, pp.33-48.</w:t>
      </w:r>
    </w:p>
  </w:footnote>
  <w:footnote w:id="918">
    <w:p w14:paraId="537FE6BB" w14:textId="00866B39" w:rsidR="00E53BD2" w:rsidRPr="00047A9D" w:rsidRDefault="00E53BD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Phillips, </w:t>
      </w:r>
      <w:r w:rsidRPr="00047A9D">
        <w:rPr>
          <w:rFonts w:ascii="Times New Roman" w:hAnsi="Times New Roman" w:cs="Times New Roman"/>
          <w:i/>
          <w:sz w:val="22"/>
          <w:szCs w:val="22"/>
        </w:rPr>
        <w:t>History Teaching</w:t>
      </w:r>
      <w:r w:rsidRPr="00047A9D">
        <w:rPr>
          <w:rFonts w:ascii="Times New Roman" w:hAnsi="Times New Roman" w:cs="Times New Roman"/>
          <w:sz w:val="22"/>
          <w:szCs w:val="22"/>
        </w:rPr>
        <w:t>, p.109.</w:t>
      </w:r>
    </w:p>
  </w:footnote>
  <w:footnote w:id="919">
    <w:p w14:paraId="1FBA66CB" w14:textId="758DB81C" w:rsidR="00091A8C" w:rsidRPr="00047A9D" w:rsidRDefault="00091A8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51A27" w:rsidRPr="00047A9D">
        <w:rPr>
          <w:rFonts w:ascii="Times New Roman" w:hAnsi="Times New Roman" w:cs="Times New Roman"/>
          <w:sz w:val="22"/>
          <w:szCs w:val="22"/>
        </w:rPr>
        <w:t xml:space="preserve">DES, </w:t>
      </w:r>
      <w:r w:rsidR="00142902" w:rsidRPr="00047A9D">
        <w:rPr>
          <w:rFonts w:ascii="Times New Roman" w:hAnsi="Times New Roman" w:cs="Times New Roman"/>
          <w:i/>
          <w:sz w:val="22"/>
          <w:szCs w:val="22"/>
        </w:rPr>
        <w:t>History in the National Curriculum (England)</w:t>
      </w:r>
      <w:r w:rsidR="00561538" w:rsidRPr="00047A9D">
        <w:rPr>
          <w:rFonts w:ascii="Times New Roman" w:hAnsi="Times New Roman" w:cs="Times New Roman"/>
          <w:sz w:val="22"/>
          <w:szCs w:val="22"/>
        </w:rPr>
        <w:t>,</w:t>
      </w:r>
      <w:r w:rsidR="004D1993" w:rsidRPr="00047A9D">
        <w:rPr>
          <w:rFonts w:ascii="Times New Roman" w:hAnsi="Times New Roman" w:cs="Times New Roman"/>
          <w:sz w:val="22"/>
          <w:szCs w:val="22"/>
        </w:rPr>
        <w:t xml:space="preserve"> </w:t>
      </w:r>
      <w:r w:rsidR="00561538" w:rsidRPr="00047A9D">
        <w:rPr>
          <w:rFonts w:ascii="Times New Roman" w:hAnsi="Times New Roman" w:cs="Times New Roman"/>
          <w:sz w:val="22"/>
          <w:szCs w:val="22"/>
        </w:rPr>
        <w:t>p</w:t>
      </w:r>
      <w:r w:rsidRPr="00047A9D">
        <w:rPr>
          <w:rFonts w:ascii="Times New Roman" w:hAnsi="Times New Roman" w:cs="Times New Roman"/>
          <w:sz w:val="22"/>
          <w:szCs w:val="22"/>
        </w:rPr>
        <w:t>p.</w:t>
      </w:r>
      <w:r w:rsidR="00775A6B" w:rsidRPr="00047A9D">
        <w:rPr>
          <w:rFonts w:ascii="Times New Roman" w:hAnsi="Times New Roman" w:cs="Times New Roman"/>
          <w:sz w:val="22"/>
          <w:szCs w:val="22"/>
        </w:rPr>
        <w:t xml:space="preserve">31-32, </w:t>
      </w:r>
      <w:r w:rsidRPr="00047A9D">
        <w:rPr>
          <w:rFonts w:ascii="Times New Roman" w:hAnsi="Times New Roman" w:cs="Times New Roman"/>
          <w:sz w:val="22"/>
          <w:szCs w:val="22"/>
        </w:rPr>
        <w:t>47-</w:t>
      </w:r>
      <w:r w:rsidR="00422C43" w:rsidRPr="00047A9D">
        <w:rPr>
          <w:rFonts w:ascii="Times New Roman" w:hAnsi="Times New Roman" w:cs="Times New Roman"/>
          <w:sz w:val="22"/>
          <w:szCs w:val="22"/>
        </w:rPr>
        <w:t>48</w:t>
      </w:r>
      <w:r w:rsidR="00775A6B" w:rsidRPr="00047A9D">
        <w:rPr>
          <w:rFonts w:ascii="Times New Roman" w:hAnsi="Times New Roman" w:cs="Times New Roman"/>
          <w:sz w:val="22"/>
          <w:szCs w:val="22"/>
        </w:rPr>
        <w:t>.</w:t>
      </w:r>
    </w:p>
  </w:footnote>
  <w:footnote w:id="920">
    <w:p w14:paraId="753E1209" w14:textId="0E7D14B6" w:rsidR="00794EF8" w:rsidRPr="00047A9D" w:rsidRDefault="00794EF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B51A27" w:rsidRPr="00047A9D">
        <w:rPr>
          <w:rFonts w:ascii="Times New Roman" w:hAnsi="Times New Roman" w:cs="Times New Roman"/>
          <w:sz w:val="22"/>
          <w:szCs w:val="22"/>
        </w:rPr>
        <w:t xml:space="preserve">DES, </w:t>
      </w:r>
      <w:r w:rsidR="00B26607" w:rsidRPr="00047A9D">
        <w:rPr>
          <w:rFonts w:ascii="Times New Roman" w:hAnsi="Times New Roman" w:cs="Times New Roman"/>
          <w:i/>
          <w:sz w:val="22"/>
          <w:szCs w:val="22"/>
        </w:rPr>
        <w:t>History in the National Curriculum</w:t>
      </w:r>
      <w:r w:rsidR="00B51A27" w:rsidRPr="00047A9D">
        <w:rPr>
          <w:rFonts w:ascii="Times New Roman" w:hAnsi="Times New Roman" w:cs="Times New Roman"/>
          <w:sz w:val="22"/>
          <w:szCs w:val="22"/>
        </w:rPr>
        <w:t xml:space="preserve"> </w:t>
      </w:r>
      <w:r w:rsidR="00B51A27" w:rsidRPr="00047A9D">
        <w:rPr>
          <w:rFonts w:ascii="Times New Roman" w:hAnsi="Times New Roman" w:cs="Times New Roman"/>
          <w:i/>
          <w:sz w:val="22"/>
          <w:szCs w:val="22"/>
        </w:rPr>
        <w:t>(England)</w:t>
      </w:r>
      <w:r w:rsidR="00B26607" w:rsidRPr="00047A9D">
        <w:rPr>
          <w:rFonts w:ascii="Times New Roman" w:hAnsi="Times New Roman" w:cs="Times New Roman"/>
          <w:sz w:val="22"/>
          <w:szCs w:val="22"/>
        </w:rPr>
        <w:t>, pp.53-54.</w:t>
      </w:r>
    </w:p>
  </w:footnote>
  <w:footnote w:id="921">
    <w:p w14:paraId="1629A126" w14:textId="70F531B0" w:rsidR="003D1CA6" w:rsidRPr="00047A9D" w:rsidRDefault="003D1CA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05A3C" w:rsidRPr="00047A9D">
        <w:rPr>
          <w:rFonts w:ascii="Times New Roman" w:hAnsi="Times New Roman" w:cs="Times New Roman"/>
          <w:sz w:val="22"/>
          <w:szCs w:val="22"/>
        </w:rPr>
        <w:t xml:space="preserve">Jane </w:t>
      </w:r>
      <w:r w:rsidR="00BC5513" w:rsidRPr="00047A9D">
        <w:rPr>
          <w:rFonts w:ascii="Times New Roman" w:hAnsi="Times New Roman" w:cs="Times New Roman"/>
          <w:sz w:val="22"/>
          <w:szCs w:val="22"/>
        </w:rPr>
        <w:t xml:space="preserve">Coles, </w:t>
      </w:r>
      <w:r w:rsidR="00505A3C" w:rsidRPr="00047A9D">
        <w:rPr>
          <w:rFonts w:ascii="Times New Roman" w:hAnsi="Times New Roman" w:cs="Times New Roman"/>
          <w:sz w:val="22"/>
          <w:szCs w:val="22"/>
        </w:rPr>
        <w:t>‘</w:t>
      </w:r>
      <w:r w:rsidR="00BC5513" w:rsidRPr="00047A9D">
        <w:rPr>
          <w:rFonts w:ascii="Times New Roman" w:hAnsi="Times New Roman" w:cs="Times New Roman"/>
          <w:sz w:val="22"/>
          <w:szCs w:val="22"/>
        </w:rPr>
        <w:t>Enough Was Enough: The Teachers’ Boycott of National Curriculum Testing</w:t>
      </w:r>
      <w:r w:rsidR="00505A3C" w:rsidRPr="00047A9D">
        <w:rPr>
          <w:rFonts w:ascii="Times New Roman" w:hAnsi="Times New Roman" w:cs="Times New Roman"/>
          <w:sz w:val="22"/>
          <w:szCs w:val="22"/>
        </w:rPr>
        <w:t>’,</w:t>
      </w:r>
      <w:r w:rsidR="00BC5513" w:rsidRPr="00047A9D">
        <w:rPr>
          <w:rFonts w:ascii="Times New Roman" w:hAnsi="Times New Roman" w:cs="Times New Roman"/>
          <w:sz w:val="22"/>
          <w:szCs w:val="22"/>
        </w:rPr>
        <w:t> </w:t>
      </w:r>
      <w:r w:rsidR="00BC5513" w:rsidRPr="00047A9D">
        <w:rPr>
          <w:rFonts w:ascii="Times New Roman" w:hAnsi="Times New Roman" w:cs="Times New Roman"/>
          <w:i/>
          <w:iCs/>
          <w:sz w:val="22"/>
          <w:szCs w:val="22"/>
        </w:rPr>
        <w:t>Changing English</w:t>
      </w:r>
      <w:r w:rsidR="00BC5513" w:rsidRPr="00047A9D">
        <w:rPr>
          <w:rFonts w:ascii="Times New Roman" w:hAnsi="Times New Roman" w:cs="Times New Roman"/>
          <w:sz w:val="22"/>
          <w:szCs w:val="22"/>
        </w:rPr>
        <w:t> 1</w:t>
      </w:r>
      <w:r w:rsidR="00505A3C" w:rsidRPr="00047A9D">
        <w:rPr>
          <w:rFonts w:ascii="Times New Roman" w:hAnsi="Times New Roman" w:cs="Times New Roman"/>
          <w:sz w:val="22"/>
          <w:szCs w:val="22"/>
        </w:rPr>
        <w:t>.</w:t>
      </w:r>
      <w:r w:rsidR="00BC5513" w:rsidRPr="00047A9D">
        <w:rPr>
          <w:rFonts w:ascii="Times New Roman" w:hAnsi="Times New Roman" w:cs="Times New Roman"/>
          <w:sz w:val="22"/>
          <w:szCs w:val="22"/>
        </w:rPr>
        <w:t>2</w:t>
      </w:r>
      <w:r w:rsidR="00505A3C" w:rsidRPr="00047A9D">
        <w:rPr>
          <w:rFonts w:ascii="Times New Roman" w:hAnsi="Times New Roman" w:cs="Times New Roman"/>
          <w:sz w:val="22"/>
          <w:szCs w:val="22"/>
        </w:rPr>
        <w:t xml:space="preserve"> (1994),</w:t>
      </w:r>
      <w:r w:rsidR="00BC5513" w:rsidRPr="00047A9D">
        <w:rPr>
          <w:rFonts w:ascii="Times New Roman" w:hAnsi="Times New Roman" w:cs="Times New Roman"/>
          <w:sz w:val="22"/>
          <w:szCs w:val="22"/>
        </w:rPr>
        <w:t xml:space="preserve"> 16–31.</w:t>
      </w:r>
    </w:p>
  </w:footnote>
  <w:footnote w:id="922">
    <w:p w14:paraId="6BB5B450" w14:textId="6BE2A663" w:rsidR="00D8395E" w:rsidRPr="00047A9D" w:rsidRDefault="00D8395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E7BB8" w:rsidRPr="00047A9D">
        <w:rPr>
          <w:rFonts w:ascii="Times New Roman" w:hAnsi="Times New Roman" w:cs="Times New Roman"/>
          <w:i/>
          <w:sz w:val="22"/>
          <w:szCs w:val="22"/>
        </w:rPr>
        <w:t>The National Curriculum and its Assessment: Final Report</w:t>
      </w:r>
      <w:r w:rsidR="00FE7BB8" w:rsidRPr="00047A9D">
        <w:rPr>
          <w:rFonts w:ascii="Times New Roman" w:hAnsi="Times New Roman" w:cs="Times New Roman"/>
          <w:sz w:val="22"/>
          <w:szCs w:val="22"/>
        </w:rPr>
        <w:t xml:space="preserve"> (the ‘Dearing Review’) (London: School Curriculum and Assessment Authority, 1994), pp.</w:t>
      </w:r>
      <w:r w:rsidR="00F10C3A" w:rsidRPr="00047A9D">
        <w:rPr>
          <w:rFonts w:ascii="Times New Roman" w:hAnsi="Times New Roman" w:cs="Times New Roman"/>
          <w:sz w:val="22"/>
          <w:szCs w:val="22"/>
        </w:rPr>
        <w:t xml:space="preserve">10, </w:t>
      </w:r>
      <w:r w:rsidR="00FE7BB8" w:rsidRPr="00047A9D">
        <w:rPr>
          <w:rFonts w:ascii="Times New Roman" w:hAnsi="Times New Roman" w:cs="Times New Roman"/>
          <w:sz w:val="22"/>
          <w:szCs w:val="22"/>
        </w:rPr>
        <w:t>22.</w:t>
      </w:r>
    </w:p>
  </w:footnote>
  <w:footnote w:id="923">
    <w:p w14:paraId="60202F91" w14:textId="2F094B8B" w:rsidR="00F10C3A" w:rsidRPr="00047A9D" w:rsidRDefault="00F10C3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74916" w:rsidRPr="00047A9D">
        <w:rPr>
          <w:rFonts w:ascii="Times New Roman" w:hAnsi="Times New Roman" w:cs="Times New Roman"/>
          <w:sz w:val="22"/>
          <w:szCs w:val="22"/>
        </w:rPr>
        <w:t>‘Letter from IC Loveless to PS/Secretary of State’, n.p.</w:t>
      </w:r>
    </w:p>
  </w:footnote>
  <w:footnote w:id="924">
    <w:p w14:paraId="4BDE2A4C" w14:textId="7732AA13" w:rsidR="00BE12E9" w:rsidRPr="00047A9D" w:rsidRDefault="00BE12E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20887" w:rsidRPr="00047A9D">
        <w:rPr>
          <w:rFonts w:ascii="Times New Roman" w:hAnsi="Times New Roman" w:cs="Times New Roman"/>
          <w:sz w:val="22"/>
          <w:szCs w:val="22"/>
        </w:rPr>
        <w:t>‘Dearing Review’, p.85.</w:t>
      </w:r>
    </w:p>
  </w:footnote>
  <w:footnote w:id="925">
    <w:p w14:paraId="754C8FC3" w14:textId="3A4ECEC7" w:rsidR="00020887" w:rsidRPr="00047A9D" w:rsidRDefault="0002088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A43AC" w:rsidRPr="00047A9D">
        <w:rPr>
          <w:rFonts w:ascii="Times New Roman" w:hAnsi="Times New Roman" w:cs="Times New Roman"/>
          <w:sz w:val="22"/>
          <w:szCs w:val="22"/>
        </w:rPr>
        <w:t xml:space="preserve">NAL: </w:t>
      </w:r>
      <w:r w:rsidR="00320F58" w:rsidRPr="00047A9D">
        <w:rPr>
          <w:rFonts w:ascii="Times New Roman" w:hAnsi="Times New Roman" w:cs="Times New Roman"/>
          <w:sz w:val="22"/>
          <w:szCs w:val="22"/>
        </w:rPr>
        <w:t>‘</w:t>
      </w:r>
      <w:r w:rsidR="008F1BA7" w:rsidRPr="00047A9D">
        <w:rPr>
          <w:rFonts w:ascii="Times New Roman" w:hAnsi="Times New Roman" w:cs="Times New Roman"/>
          <w:sz w:val="22"/>
          <w:szCs w:val="22"/>
        </w:rPr>
        <w:t>Secretary of State’s M</w:t>
      </w:r>
      <w:r w:rsidR="00320F58" w:rsidRPr="00047A9D">
        <w:rPr>
          <w:rFonts w:ascii="Times New Roman" w:hAnsi="Times New Roman" w:cs="Times New Roman"/>
          <w:sz w:val="22"/>
          <w:szCs w:val="22"/>
        </w:rPr>
        <w:t>eeting</w:t>
      </w:r>
      <w:r w:rsidR="008F1BA7" w:rsidRPr="00047A9D">
        <w:rPr>
          <w:rFonts w:ascii="Times New Roman" w:hAnsi="Times New Roman" w:cs="Times New Roman"/>
          <w:sz w:val="22"/>
          <w:szCs w:val="22"/>
        </w:rPr>
        <w:t xml:space="preserve"> </w:t>
      </w:r>
      <w:r w:rsidR="00320F58" w:rsidRPr="00047A9D">
        <w:rPr>
          <w:rFonts w:ascii="Times New Roman" w:hAnsi="Times New Roman" w:cs="Times New Roman"/>
          <w:sz w:val="22"/>
          <w:szCs w:val="22"/>
        </w:rPr>
        <w:t>with</w:t>
      </w:r>
      <w:r w:rsidR="008F1BA7" w:rsidRPr="00047A9D">
        <w:rPr>
          <w:rFonts w:ascii="Times New Roman" w:hAnsi="Times New Roman" w:cs="Times New Roman"/>
          <w:sz w:val="22"/>
          <w:szCs w:val="22"/>
        </w:rPr>
        <w:t xml:space="preserve"> SCAA, T</w:t>
      </w:r>
      <w:r w:rsidR="00320F58" w:rsidRPr="00047A9D">
        <w:rPr>
          <w:rFonts w:ascii="Times New Roman" w:hAnsi="Times New Roman" w:cs="Times New Roman"/>
          <w:sz w:val="22"/>
          <w:szCs w:val="22"/>
        </w:rPr>
        <w:t>hursday</w:t>
      </w:r>
      <w:r w:rsidR="008F1BA7" w:rsidRPr="00047A9D">
        <w:rPr>
          <w:rFonts w:ascii="Times New Roman" w:hAnsi="Times New Roman" w:cs="Times New Roman"/>
          <w:sz w:val="22"/>
          <w:szCs w:val="22"/>
        </w:rPr>
        <w:t xml:space="preserve"> 10 </w:t>
      </w:r>
      <w:r w:rsidR="00320F58" w:rsidRPr="00047A9D">
        <w:rPr>
          <w:rFonts w:ascii="Times New Roman" w:hAnsi="Times New Roman" w:cs="Times New Roman"/>
          <w:sz w:val="22"/>
          <w:szCs w:val="22"/>
        </w:rPr>
        <w:t>February’,</w:t>
      </w:r>
      <w:r w:rsidR="003D1BA3" w:rsidRPr="00047A9D">
        <w:rPr>
          <w:rFonts w:ascii="Times New Roman" w:hAnsi="Times New Roman" w:cs="Times New Roman"/>
          <w:sz w:val="22"/>
          <w:szCs w:val="22"/>
        </w:rPr>
        <w:t>10 February 1994</w:t>
      </w:r>
      <w:r w:rsidR="00B75E31" w:rsidRPr="00047A9D">
        <w:rPr>
          <w:rFonts w:ascii="Times New Roman" w:hAnsi="Times New Roman" w:cs="Times New Roman"/>
          <w:sz w:val="22"/>
          <w:szCs w:val="22"/>
        </w:rPr>
        <w:t xml:space="preserve">, </w:t>
      </w:r>
      <w:r w:rsidR="00320F58" w:rsidRPr="00047A9D">
        <w:rPr>
          <w:rFonts w:ascii="Times New Roman" w:hAnsi="Times New Roman" w:cs="Times New Roman"/>
          <w:sz w:val="22"/>
          <w:szCs w:val="22"/>
        </w:rPr>
        <w:t>n.p., in ‘</w:t>
      </w:r>
      <w:r w:rsidR="008F1BA7" w:rsidRPr="00047A9D">
        <w:rPr>
          <w:rFonts w:ascii="Times New Roman" w:hAnsi="Times New Roman" w:cs="Times New Roman"/>
          <w:sz w:val="22"/>
          <w:szCs w:val="22"/>
        </w:rPr>
        <w:t xml:space="preserve">National Curriculum: History </w:t>
      </w:r>
      <w:r w:rsidR="00320F58" w:rsidRPr="00047A9D">
        <w:rPr>
          <w:rFonts w:ascii="Times New Roman" w:hAnsi="Times New Roman" w:cs="Times New Roman"/>
          <w:sz w:val="22"/>
          <w:szCs w:val="22"/>
        </w:rPr>
        <w:t>A</w:t>
      </w:r>
      <w:r w:rsidR="008F1BA7" w:rsidRPr="00047A9D">
        <w:rPr>
          <w:rFonts w:ascii="Times New Roman" w:hAnsi="Times New Roman" w:cs="Times New Roman"/>
          <w:sz w:val="22"/>
          <w:szCs w:val="22"/>
        </w:rPr>
        <w:t xml:space="preserve">dvisory </w:t>
      </w:r>
      <w:r w:rsidR="00320F58" w:rsidRPr="00047A9D">
        <w:rPr>
          <w:rFonts w:ascii="Times New Roman" w:hAnsi="Times New Roman" w:cs="Times New Roman"/>
          <w:sz w:val="22"/>
          <w:szCs w:val="22"/>
        </w:rPr>
        <w:t>G</w:t>
      </w:r>
      <w:r w:rsidR="008F1BA7" w:rsidRPr="00047A9D">
        <w:rPr>
          <w:rFonts w:ascii="Times New Roman" w:hAnsi="Times New Roman" w:cs="Times New Roman"/>
          <w:sz w:val="22"/>
          <w:szCs w:val="22"/>
        </w:rPr>
        <w:t>roup</w:t>
      </w:r>
      <w:r w:rsidR="00320F58" w:rsidRPr="00047A9D">
        <w:rPr>
          <w:rFonts w:ascii="Times New Roman" w:hAnsi="Times New Roman" w:cs="Times New Roman"/>
          <w:sz w:val="22"/>
          <w:szCs w:val="22"/>
        </w:rPr>
        <w:t xml:space="preserve">’, </w:t>
      </w:r>
      <w:r w:rsidR="008F1BA7" w:rsidRPr="00047A9D">
        <w:rPr>
          <w:rFonts w:ascii="Times New Roman" w:hAnsi="Times New Roman" w:cs="Times New Roman"/>
          <w:sz w:val="22"/>
          <w:szCs w:val="22"/>
        </w:rPr>
        <w:t>ED 183/472</w:t>
      </w:r>
      <w:r w:rsidR="00320F58" w:rsidRPr="00047A9D">
        <w:rPr>
          <w:rFonts w:ascii="Times New Roman" w:hAnsi="Times New Roman" w:cs="Times New Roman"/>
          <w:sz w:val="22"/>
          <w:szCs w:val="22"/>
        </w:rPr>
        <w:t>.</w:t>
      </w:r>
    </w:p>
  </w:footnote>
  <w:footnote w:id="926">
    <w:p w14:paraId="5912A094" w14:textId="62BFC40F" w:rsidR="00386F2B" w:rsidRPr="00047A9D" w:rsidRDefault="00386F2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A43AC" w:rsidRPr="00047A9D">
        <w:rPr>
          <w:rFonts w:ascii="Times New Roman" w:hAnsi="Times New Roman" w:cs="Times New Roman"/>
          <w:sz w:val="22"/>
          <w:szCs w:val="22"/>
        </w:rPr>
        <w:t xml:space="preserve">NAL: </w:t>
      </w:r>
      <w:r w:rsidR="003D1BA3" w:rsidRPr="00047A9D">
        <w:rPr>
          <w:rFonts w:ascii="Times New Roman" w:hAnsi="Times New Roman" w:cs="Times New Roman"/>
          <w:sz w:val="22"/>
          <w:szCs w:val="22"/>
        </w:rPr>
        <w:t>Mark Neale</w:t>
      </w:r>
      <w:r w:rsidR="00152B4E" w:rsidRPr="00047A9D">
        <w:rPr>
          <w:rFonts w:ascii="Times New Roman" w:hAnsi="Times New Roman" w:cs="Times New Roman"/>
          <w:sz w:val="22"/>
          <w:szCs w:val="22"/>
        </w:rPr>
        <w:t>, ‘</w:t>
      </w:r>
      <w:r w:rsidR="003D1BA3" w:rsidRPr="00047A9D">
        <w:rPr>
          <w:rFonts w:ascii="Times New Roman" w:hAnsi="Times New Roman" w:cs="Times New Roman"/>
          <w:sz w:val="22"/>
          <w:szCs w:val="22"/>
        </w:rPr>
        <w:t>History: 8 March 1994 (Letter)</w:t>
      </w:r>
      <w:r w:rsidR="00152B4E" w:rsidRPr="00047A9D">
        <w:rPr>
          <w:rFonts w:ascii="Times New Roman" w:hAnsi="Times New Roman" w:cs="Times New Roman"/>
          <w:sz w:val="22"/>
          <w:szCs w:val="22"/>
        </w:rPr>
        <w:t xml:space="preserve">’, n.p., </w:t>
      </w:r>
      <w:r w:rsidR="003D1BA3" w:rsidRPr="00047A9D">
        <w:rPr>
          <w:rFonts w:ascii="Times New Roman" w:hAnsi="Times New Roman" w:cs="Times New Roman"/>
          <w:sz w:val="22"/>
          <w:szCs w:val="22"/>
        </w:rPr>
        <w:t>ED 183/472</w:t>
      </w:r>
      <w:r w:rsidR="00152B4E" w:rsidRPr="00047A9D">
        <w:rPr>
          <w:rFonts w:ascii="Times New Roman" w:hAnsi="Times New Roman" w:cs="Times New Roman"/>
          <w:sz w:val="22"/>
          <w:szCs w:val="22"/>
        </w:rPr>
        <w:t>;</w:t>
      </w:r>
      <w:r w:rsidR="003D1BA3" w:rsidRPr="00047A9D">
        <w:rPr>
          <w:rFonts w:ascii="Times New Roman" w:hAnsi="Times New Roman" w:cs="Times New Roman"/>
          <w:sz w:val="22"/>
          <w:szCs w:val="22"/>
        </w:rPr>
        <w:t xml:space="preserve"> </w:t>
      </w:r>
      <w:r w:rsidR="00B75E31" w:rsidRPr="00047A9D">
        <w:rPr>
          <w:rFonts w:ascii="Times New Roman" w:hAnsi="Times New Roman" w:cs="Times New Roman"/>
          <w:sz w:val="22"/>
          <w:szCs w:val="22"/>
        </w:rPr>
        <w:t>‘Commentary on Press Reports on the Proposals for National Curriculum History’, n.p., ED 183/472.</w:t>
      </w:r>
    </w:p>
  </w:footnote>
  <w:footnote w:id="927">
    <w:p w14:paraId="6F675002" w14:textId="0A5CA5BF" w:rsidR="007B0375" w:rsidRPr="00047A9D" w:rsidRDefault="007B0375"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‘Dearing Review’.</w:t>
      </w:r>
    </w:p>
  </w:footnote>
  <w:footnote w:id="928">
    <w:p w14:paraId="14AA800A" w14:textId="16F083C3" w:rsidR="00A62A6E" w:rsidRPr="00047A9D" w:rsidRDefault="00A62A6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780293" w:rsidRPr="00047A9D">
        <w:rPr>
          <w:rFonts w:ascii="Times New Roman" w:hAnsi="Times New Roman" w:cs="Times New Roman"/>
          <w:sz w:val="22"/>
          <w:szCs w:val="22"/>
        </w:rPr>
        <w:t xml:space="preserve"> </w:t>
      </w:r>
      <w:r w:rsidR="007A43AC" w:rsidRPr="00047A9D">
        <w:rPr>
          <w:rFonts w:ascii="Times New Roman" w:hAnsi="Times New Roman" w:cs="Times New Roman"/>
          <w:sz w:val="22"/>
          <w:szCs w:val="22"/>
        </w:rPr>
        <w:t xml:space="preserve">NAL: </w:t>
      </w:r>
      <w:r w:rsidR="00780293" w:rsidRPr="00047A9D">
        <w:rPr>
          <w:rFonts w:ascii="Times New Roman" w:hAnsi="Times New Roman" w:cs="Times New Roman"/>
          <w:sz w:val="22"/>
          <w:szCs w:val="22"/>
        </w:rPr>
        <w:t xml:space="preserve">‘Changes in Latest Draft History Order, 28 February’, </w:t>
      </w:r>
      <w:r w:rsidR="00505D7E" w:rsidRPr="00047A9D">
        <w:rPr>
          <w:rFonts w:ascii="Times New Roman" w:hAnsi="Times New Roman" w:cs="Times New Roman"/>
          <w:sz w:val="22"/>
          <w:szCs w:val="22"/>
        </w:rPr>
        <w:t>28 February 1994, n.p., ED 183/472.</w:t>
      </w:r>
    </w:p>
  </w:footnote>
  <w:footnote w:id="929">
    <w:p w14:paraId="43EA69EE" w14:textId="194B69D5" w:rsidR="00CB4B8A" w:rsidRPr="00047A9D" w:rsidRDefault="00CB4B8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A43AC" w:rsidRPr="00047A9D">
        <w:rPr>
          <w:rFonts w:ascii="Times New Roman" w:hAnsi="Times New Roman" w:cs="Times New Roman"/>
          <w:sz w:val="22"/>
          <w:szCs w:val="22"/>
        </w:rPr>
        <w:t xml:space="preserve">NAL: </w:t>
      </w:r>
      <w:r w:rsidR="00E17C1A" w:rsidRPr="00047A9D">
        <w:rPr>
          <w:rFonts w:ascii="Times New Roman" w:hAnsi="Times New Roman" w:cs="Times New Roman"/>
          <w:sz w:val="22"/>
          <w:szCs w:val="22"/>
        </w:rPr>
        <w:t xml:space="preserve">‘CRE, News Release: SCAA Version of School History Condemned’, </w:t>
      </w:r>
      <w:r w:rsidR="0021394B" w:rsidRPr="00047A9D">
        <w:rPr>
          <w:rFonts w:ascii="Times New Roman" w:hAnsi="Times New Roman" w:cs="Times New Roman"/>
          <w:sz w:val="22"/>
          <w:szCs w:val="22"/>
        </w:rPr>
        <w:t>1994</w:t>
      </w:r>
      <w:r w:rsidR="00E17C1A" w:rsidRPr="00047A9D">
        <w:rPr>
          <w:rFonts w:ascii="Times New Roman" w:hAnsi="Times New Roman" w:cs="Times New Roman"/>
          <w:sz w:val="22"/>
          <w:szCs w:val="22"/>
        </w:rPr>
        <w:t>, n.p., ED 183/472</w:t>
      </w:r>
      <w:r w:rsidR="00E566A3" w:rsidRPr="00047A9D">
        <w:rPr>
          <w:rFonts w:ascii="Times New Roman" w:hAnsi="Times New Roman" w:cs="Times New Roman"/>
          <w:sz w:val="22"/>
          <w:szCs w:val="22"/>
        </w:rPr>
        <w:t xml:space="preserve">; </w:t>
      </w:r>
      <w:r w:rsidR="007A43AC" w:rsidRPr="00047A9D">
        <w:rPr>
          <w:rFonts w:ascii="Times New Roman" w:hAnsi="Times New Roman" w:cs="Times New Roman"/>
          <w:sz w:val="22"/>
          <w:szCs w:val="22"/>
        </w:rPr>
        <w:t xml:space="preserve">NAL: </w:t>
      </w:r>
      <w:r w:rsidR="00E566A3" w:rsidRPr="00047A9D">
        <w:rPr>
          <w:rFonts w:ascii="Times New Roman" w:hAnsi="Times New Roman" w:cs="Times New Roman"/>
          <w:sz w:val="22"/>
          <w:szCs w:val="22"/>
        </w:rPr>
        <w:t xml:space="preserve">‘Background Note’, 1994, n.p., ED 183/472; </w:t>
      </w:r>
      <w:r w:rsidR="005D01D8" w:rsidRPr="00047A9D">
        <w:rPr>
          <w:rFonts w:ascii="Times New Roman" w:hAnsi="Times New Roman" w:cs="Times New Roman"/>
          <w:sz w:val="22"/>
          <w:szCs w:val="22"/>
        </w:rPr>
        <w:t>‘Commentary on Press reports’, n.p.</w:t>
      </w:r>
    </w:p>
  </w:footnote>
  <w:footnote w:id="930">
    <w:p w14:paraId="4F338085" w14:textId="1A81E2F6" w:rsidR="005D01D8" w:rsidRPr="00047A9D" w:rsidRDefault="005D01D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76493" w:rsidRPr="00047A9D">
        <w:rPr>
          <w:rFonts w:ascii="Times New Roman" w:hAnsi="Times New Roman" w:cs="Times New Roman"/>
          <w:sz w:val="22"/>
          <w:szCs w:val="22"/>
        </w:rPr>
        <w:t xml:space="preserve">Phillips, </w:t>
      </w:r>
      <w:r w:rsidR="00C76493" w:rsidRPr="00047A9D">
        <w:rPr>
          <w:rFonts w:ascii="Times New Roman" w:hAnsi="Times New Roman" w:cs="Times New Roman"/>
          <w:i/>
          <w:sz w:val="22"/>
          <w:szCs w:val="22"/>
        </w:rPr>
        <w:t>History Teaching</w:t>
      </w:r>
      <w:r w:rsidR="00C76493" w:rsidRPr="00047A9D">
        <w:rPr>
          <w:rFonts w:ascii="Times New Roman" w:hAnsi="Times New Roman" w:cs="Times New Roman"/>
          <w:sz w:val="22"/>
          <w:szCs w:val="22"/>
        </w:rPr>
        <w:t>, pp.</w:t>
      </w:r>
      <w:r w:rsidR="00153A26" w:rsidRPr="00047A9D">
        <w:rPr>
          <w:rFonts w:ascii="Times New Roman" w:hAnsi="Times New Roman" w:cs="Times New Roman"/>
          <w:sz w:val="22"/>
          <w:szCs w:val="22"/>
        </w:rPr>
        <w:t>123-25</w:t>
      </w:r>
      <w:r w:rsidR="00C76493" w:rsidRPr="00047A9D">
        <w:rPr>
          <w:rFonts w:ascii="Times New Roman" w:hAnsi="Times New Roman" w:cs="Times New Roman"/>
          <w:sz w:val="22"/>
          <w:szCs w:val="22"/>
        </w:rPr>
        <w:t>.</w:t>
      </w:r>
    </w:p>
  </w:footnote>
  <w:footnote w:id="931">
    <w:p w14:paraId="4E593578" w14:textId="74401597" w:rsidR="000A3AD6" w:rsidRPr="00047A9D" w:rsidRDefault="000A3AD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B1143" w:rsidRPr="00047A9D">
        <w:rPr>
          <w:rFonts w:ascii="Times New Roman" w:hAnsi="Times New Roman" w:cs="Times New Roman"/>
          <w:sz w:val="22"/>
          <w:szCs w:val="22"/>
        </w:rPr>
        <w:t xml:space="preserve">Moore, </w:t>
      </w:r>
      <w:r w:rsidR="008B1143" w:rsidRPr="00047A9D">
        <w:rPr>
          <w:rFonts w:ascii="Times New Roman" w:hAnsi="Times New Roman" w:cs="Times New Roman"/>
          <w:i/>
          <w:sz w:val="22"/>
          <w:szCs w:val="22"/>
        </w:rPr>
        <w:t>Herself Alone</w:t>
      </w:r>
      <w:r w:rsidR="008B1143" w:rsidRPr="00047A9D">
        <w:rPr>
          <w:rFonts w:ascii="Times New Roman" w:hAnsi="Times New Roman" w:cs="Times New Roman"/>
          <w:sz w:val="22"/>
          <w:szCs w:val="22"/>
        </w:rPr>
        <w:t>, p.64.</w:t>
      </w:r>
    </w:p>
  </w:footnote>
  <w:footnote w:id="932">
    <w:p w14:paraId="7A7C41BD" w14:textId="7AD2F776" w:rsidR="00B73A41" w:rsidRPr="00047A9D" w:rsidRDefault="00B73A4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Phillips, </w:t>
      </w:r>
      <w:r w:rsidRPr="00047A9D">
        <w:rPr>
          <w:rFonts w:ascii="Times New Roman" w:hAnsi="Times New Roman" w:cs="Times New Roman"/>
          <w:i/>
          <w:sz w:val="22"/>
          <w:szCs w:val="22"/>
        </w:rPr>
        <w:t>Teaching History</w:t>
      </w:r>
      <w:r w:rsidRPr="00047A9D">
        <w:rPr>
          <w:rFonts w:ascii="Times New Roman" w:hAnsi="Times New Roman" w:cs="Times New Roman"/>
          <w:sz w:val="22"/>
          <w:szCs w:val="22"/>
        </w:rPr>
        <w:t xml:space="preserve">, p.4; MacLure, </w:t>
      </w:r>
      <w:r w:rsidRPr="00047A9D">
        <w:rPr>
          <w:rFonts w:ascii="Times New Roman" w:hAnsi="Times New Roman" w:cs="Times New Roman"/>
          <w:i/>
          <w:sz w:val="22"/>
          <w:szCs w:val="22"/>
        </w:rPr>
        <w:t>Education Re-formed</w:t>
      </w:r>
      <w:r w:rsidRPr="00047A9D">
        <w:rPr>
          <w:rFonts w:ascii="Times New Roman" w:hAnsi="Times New Roman" w:cs="Times New Roman"/>
          <w:sz w:val="22"/>
          <w:szCs w:val="22"/>
        </w:rPr>
        <w:t>, p.v.</w:t>
      </w:r>
    </w:p>
  </w:footnote>
  <w:footnote w:id="933">
    <w:p w14:paraId="0BF2F7BC" w14:textId="3B795D8E" w:rsidR="00B73A41" w:rsidRPr="00047A9D" w:rsidRDefault="00B73A4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Mathew Watson, ‘Michael Gove’s War on Professional Historical Expertise: Conservative Curriculum Reform, Extreme Whig History and the Place of Imperial Heroes in Modern Multicultural Britain’, </w:t>
      </w:r>
      <w:r w:rsidRPr="00047A9D">
        <w:rPr>
          <w:rFonts w:ascii="Times New Roman" w:hAnsi="Times New Roman" w:cs="Times New Roman"/>
          <w:i/>
          <w:sz w:val="22"/>
          <w:szCs w:val="22"/>
        </w:rPr>
        <w:t>British Politics</w:t>
      </w:r>
      <w:r w:rsidRPr="00047A9D">
        <w:rPr>
          <w:rFonts w:ascii="Times New Roman" w:hAnsi="Times New Roman" w:cs="Times New Roman"/>
          <w:sz w:val="22"/>
          <w:szCs w:val="22"/>
        </w:rPr>
        <w:t> 15.3 (2020), 271</w:t>
      </w:r>
      <w:r w:rsidR="00325600">
        <w:rPr>
          <w:rFonts w:ascii="Times New Roman" w:hAnsi="Times New Roman" w:cs="Times New Roman"/>
          <w:sz w:val="22"/>
          <w:szCs w:val="22"/>
        </w:rPr>
        <w:t>-</w:t>
      </w:r>
      <w:r w:rsidRPr="00047A9D">
        <w:rPr>
          <w:rFonts w:ascii="Times New Roman" w:hAnsi="Times New Roman" w:cs="Times New Roman"/>
          <w:sz w:val="22"/>
          <w:szCs w:val="22"/>
        </w:rPr>
        <w:t>90. </w:t>
      </w:r>
    </w:p>
  </w:footnote>
  <w:footnote w:id="934">
    <w:p w14:paraId="0683559A" w14:textId="7140E5B3" w:rsidR="00A83F4B" w:rsidRPr="00047A9D" w:rsidRDefault="00A83F4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005F6F20" w:rsidRPr="00047A9D">
        <w:rPr>
          <w:rFonts w:ascii="Times New Roman" w:hAnsi="Times New Roman" w:cs="Times New Roman"/>
          <w:sz w:val="22"/>
          <w:szCs w:val="22"/>
        </w:rPr>
        <w:t xml:space="preserve"> </w:t>
      </w:r>
      <w:r w:rsidR="00CB701A" w:rsidRPr="00047A9D">
        <w:rPr>
          <w:rFonts w:ascii="Times New Roman" w:hAnsi="Times New Roman" w:cs="Times New Roman"/>
          <w:sz w:val="22"/>
          <w:szCs w:val="22"/>
        </w:rPr>
        <w:t>Andrew</w:t>
      </w:r>
      <w:r w:rsidR="005F6F20" w:rsidRPr="00047A9D">
        <w:rPr>
          <w:rFonts w:ascii="Times New Roman" w:hAnsi="Times New Roman" w:cs="Times New Roman"/>
          <w:sz w:val="22"/>
          <w:szCs w:val="22"/>
        </w:rPr>
        <w:t xml:space="preserve"> Eyles</w:t>
      </w:r>
      <w:r w:rsidR="00CB701A" w:rsidRPr="00047A9D">
        <w:rPr>
          <w:rFonts w:ascii="Times New Roman" w:hAnsi="Times New Roman" w:cs="Times New Roman"/>
          <w:sz w:val="22"/>
          <w:szCs w:val="22"/>
        </w:rPr>
        <w:t>, Stephen Machin, and Sandra McNally</w:t>
      </w:r>
      <w:r w:rsidR="006843AD" w:rsidRPr="00047A9D">
        <w:rPr>
          <w:rFonts w:ascii="Times New Roman" w:hAnsi="Times New Roman" w:cs="Times New Roman"/>
          <w:sz w:val="22"/>
          <w:szCs w:val="22"/>
        </w:rPr>
        <w:t>, ‘</w:t>
      </w:r>
      <w:r w:rsidR="00CB701A" w:rsidRPr="00047A9D">
        <w:rPr>
          <w:rFonts w:ascii="Times New Roman" w:hAnsi="Times New Roman" w:cs="Times New Roman"/>
          <w:sz w:val="22"/>
          <w:szCs w:val="22"/>
        </w:rPr>
        <w:t>Unexpected School Reform: Academisation of Primary Schools in England</w:t>
      </w:r>
      <w:r w:rsidR="006843AD" w:rsidRPr="00047A9D">
        <w:rPr>
          <w:rFonts w:ascii="Times New Roman" w:hAnsi="Times New Roman" w:cs="Times New Roman"/>
          <w:sz w:val="22"/>
          <w:szCs w:val="22"/>
        </w:rPr>
        <w:t xml:space="preserve">’, </w:t>
      </w:r>
      <w:r w:rsidR="00CB701A" w:rsidRPr="00047A9D">
        <w:rPr>
          <w:rFonts w:ascii="Times New Roman" w:hAnsi="Times New Roman" w:cs="Times New Roman"/>
          <w:i/>
          <w:sz w:val="22"/>
          <w:szCs w:val="22"/>
        </w:rPr>
        <w:t xml:space="preserve">Journal of </w:t>
      </w:r>
      <w:r w:rsidR="006843AD" w:rsidRPr="00047A9D">
        <w:rPr>
          <w:rFonts w:ascii="Times New Roman" w:hAnsi="Times New Roman" w:cs="Times New Roman"/>
          <w:i/>
          <w:sz w:val="22"/>
          <w:szCs w:val="22"/>
        </w:rPr>
        <w:t>P</w:t>
      </w:r>
      <w:r w:rsidR="00CB701A" w:rsidRPr="00047A9D">
        <w:rPr>
          <w:rFonts w:ascii="Times New Roman" w:hAnsi="Times New Roman" w:cs="Times New Roman"/>
          <w:i/>
          <w:sz w:val="22"/>
          <w:szCs w:val="22"/>
        </w:rPr>
        <w:t xml:space="preserve">ublic </w:t>
      </w:r>
      <w:r w:rsidR="006843AD" w:rsidRPr="00047A9D">
        <w:rPr>
          <w:rFonts w:ascii="Times New Roman" w:hAnsi="Times New Roman" w:cs="Times New Roman"/>
          <w:i/>
          <w:sz w:val="22"/>
          <w:szCs w:val="22"/>
        </w:rPr>
        <w:t>E</w:t>
      </w:r>
      <w:r w:rsidR="00CB701A" w:rsidRPr="00047A9D">
        <w:rPr>
          <w:rFonts w:ascii="Times New Roman" w:hAnsi="Times New Roman" w:cs="Times New Roman"/>
          <w:i/>
          <w:sz w:val="22"/>
          <w:szCs w:val="22"/>
        </w:rPr>
        <w:t>conomics</w:t>
      </w:r>
      <w:r w:rsidR="00CB701A" w:rsidRPr="00047A9D">
        <w:rPr>
          <w:rFonts w:ascii="Times New Roman" w:hAnsi="Times New Roman" w:cs="Times New Roman"/>
          <w:sz w:val="22"/>
          <w:szCs w:val="22"/>
        </w:rPr>
        <w:t> 155 (2017)</w:t>
      </w:r>
      <w:r w:rsidR="006843AD" w:rsidRPr="00047A9D">
        <w:rPr>
          <w:rFonts w:ascii="Times New Roman" w:hAnsi="Times New Roman" w:cs="Times New Roman"/>
          <w:sz w:val="22"/>
          <w:szCs w:val="22"/>
        </w:rPr>
        <w:t>,</w:t>
      </w:r>
      <w:r w:rsidR="00CB701A" w:rsidRPr="00047A9D">
        <w:rPr>
          <w:rFonts w:ascii="Times New Roman" w:hAnsi="Times New Roman" w:cs="Times New Roman"/>
          <w:sz w:val="22"/>
          <w:szCs w:val="22"/>
        </w:rPr>
        <w:t xml:space="preserve"> 108–121</w:t>
      </w:r>
      <w:r w:rsidR="005F6F20" w:rsidRPr="00047A9D">
        <w:rPr>
          <w:rFonts w:ascii="Times New Roman" w:hAnsi="Times New Roman" w:cs="Times New Roman"/>
          <w:sz w:val="22"/>
          <w:szCs w:val="22"/>
        </w:rPr>
        <w:t>, p.110.</w:t>
      </w:r>
    </w:p>
  </w:footnote>
  <w:footnote w:id="935">
    <w:p w14:paraId="17CF5DAA" w14:textId="38645B9E" w:rsidR="0090030E" w:rsidRPr="00047A9D" w:rsidRDefault="0090030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Interview with Linda Turner and Rob Snow, p</w:t>
      </w:r>
      <w:r w:rsidR="00EF3693" w:rsidRPr="00047A9D">
        <w:rPr>
          <w:rFonts w:ascii="Times New Roman" w:hAnsi="Times New Roman" w:cs="Times New Roman"/>
          <w:sz w:val="22"/>
          <w:szCs w:val="22"/>
        </w:rPr>
        <w:t>p</w:t>
      </w:r>
      <w:r w:rsidRPr="00047A9D">
        <w:rPr>
          <w:rFonts w:ascii="Times New Roman" w:hAnsi="Times New Roman" w:cs="Times New Roman"/>
          <w:sz w:val="22"/>
          <w:szCs w:val="22"/>
        </w:rPr>
        <w:t>.25</w:t>
      </w:r>
      <w:r w:rsidR="00EF3693" w:rsidRPr="00047A9D">
        <w:rPr>
          <w:rFonts w:ascii="Times New Roman" w:hAnsi="Times New Roman" w:cs="Times New Roman"/>
          <w:sz w:val="22"/>
          <w:szCs w:val="22"/>
        </w:rPr>
        <w:t>-27</w:t>
      </w:r>
      <w:r w:rsidRPr="00047A9D">
        <w:rPr>
          <w:rFonts w:ascii="Times New Roman" w:hAnsi="Times New Roman" w:cs="Times New Roman"/>
          <w:sz w:val="22"/>
          <w:szCs w:val="22"/>
        </w:rPr>
        <w:t>. Interviewed by Nicola Sheldon, 1 July 2010. Transcribed by PageSix Transcription Services. IHR: HiEP. &lt;https://archives.history.ac.uk/history-in-education/browse/interviews/interview-linda-turner-and-rob-snow-1-july-2010.html&gt; [last accessed 18 January 2025].</w:t>
      </w:r>
    </w:p>
  </w:footnote>
  <w:footnote w:id="936">
    <w:p w14:paraId="7FCA3D08" w14:textId="7D1B969C" w:rsidR="007C42BD" w:rsidRPr="00047A9D" w:rsidRDefault="007C42BD"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72BFD" w:rsidRPr="00047A9D">
        <w:rPr>
          <w:rFonts w:ascii="Times New Roman" w:hAnsi="Times New Roman" w:cs="Times New Roman"/>
          <w:sz w:val="22"/>
          <w:szCs w:val="22"/>
        </w:rPr>
        <w:t>T</w:t>
      </w:r>
      <w:r w:rsidR="00084C2D" w:rsidRPr="00047A9D">
        <w:rPr>
          <w:rFonts w:ascii="Times New Roman" w:hAnsi="Times New Roman" w:cs="Times New Roman"/>
          <w:sz w:val="22"/>
          <w:szCs w:val="22"/>
        </w:rPr>
        <w:t>ranscript of interview with Simon Bishop, p</w:t>
      </w:r>
      <w:r w:rsidR="00672BFD" w:rsidRPr="00047A9D">
        <w:rPr>
          <w:rFonts w:ascii="Times New Roman" w:hAnsi="Times New Roman" w:cs="Times New Roman"/>
          <w:sz w:val="22"/>
          <w:szCs w:val="22"/>
        </w:rPr>
        <w:t>.9</w:t>
      </w:r>
      <w:r w:rsidR="00084C2D" w:rsidRPr="00047A9D">
        <w:rPr>
          <w:rFonts w:ascii="Times New Roman" w:hAnsi="Times New Roman" w:cs="Times New Roman"/>
          <w:sz w:val="22"/>
          <w:szCs w:val="22"/>
        </w:rPr>
        <w:t>. Interviewed by Nicola Sheldon</w:t>
      </w:r>
      <w:r w:rsidR="00D7280F" w:rsidRPr="00047A9D">
        <w:rPr>
          <w:rFonts w:ascii="Times New Roman" w:hAnsi="Times New Roman" w:cs="Times New Roman"/>
          <w:sz w:val="22"/>
          <w:szCs w:val="22"/>
        </w:rPr>
        <w:t>, 12 April 2010</w:t>
      </w:r>
      <w:r w:rsidR="00084C2D" w:rsidRPr="00047A9D">
        <w:rPr>
          <w:rFonts w:ascii="Times New Roman" w:hAnsi="Times New Roman" w:cs="Times New Roman"/>
          <w:sz w:val="22"/>
          <w:szCs w:val="22"/>
        </w:rPr>
        <w:t xml:space="preserve">. Transcript by PageSix Transcription Services. IHR: HiEP. </w:t>
      </w:r>
      <w:r w:rsidR="006423F6" w:rsidRPr="00047A9D">
        <w:rPr>
          <w:rFonts w:ascii="Times New Roman" w:hAnsi="Times New Roman" w:cs="Times New Roman"/>
          <w:sz w:val="22"/>
          <w:szCs w:val="22"/>
        </w:rPr>
        <w:t xml:space="preserve">&lt;https://archives.history.ac.uk/history-in-education/browse/interviews/interview-simon-bishop-12-april-2010.html&gt; [last accessed 19 </w:t>
      </w:r>
      <w:r w:rsidR="008E6380" w:rsidRPr="00047A9D">
        <w:rPr>
          <w:rFonts w:ascii="Times New Roman" w:hAnsi="Times New Roman" w:cs="Times New Roman"/>
          <w:sz w:val="22"/>
          <w:szCs w:val="22"/>
        </w:rPr>
        <w:t>January</w:t>
      </w:r>
      <w:r w:rsidR="006423F6" w:rsidRPr="00047A9D">
        <w:rPr>
          <w:rFonts w:ascii="Times New Roman" w:hAnsi="Times New Roman" w:cs="Times New Roman"/>
          <w:sz w:val="22"/>
          <w:szCs w:val="22"/>
        </w:rPr>
        <w:t xml:space="preserve"> 2024</w:t>
      </w:r>
      <w:r w:rsidR="008E6380" w:rsidRPr="00047A9D">
        <w:rPr>
          <w:rFonts w:ascii="Times New Roman" w:hAnsi="Times New Roman" w:cs="Times New Roman"/>
          <w:sz w:val="22"/>
          <w:szCs w:val="22"/>
        </w:rPr>
        <w:t>].</w:t>
      </w:r>
    </w:p>
  </w:footnote>
  <w:footnote w:id="937">
    <w:p w14:paraId="2B07C0CF" w14:textId="49CAFDA7" w:rsidR="009C3D57" w:rsidRPr="00047A9D" w:rsidRDefault="009C3D5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6425E" w:rsidRPr="00047A9D">
        <w:rPr>
          <w:rFonts w:ascii="Times New Roman" w:hAnsi="Times New Roman" w:cs="Times New Roman"/>
          <w:sz w:val="22"/>
          <w:szCs w:val="22"/>
        </w:rPr>
        <w:t>Transcript of interview with John D. Clare, p.24. Interviewed by Nicola Sheldon, 7 April 2010. Transcript by PageSix Transcription Services. IHR: HiEP. &lt;https://archives.history.ac.uk/history-in-education/browse/interviews/interview-john-d-clare-7-april-2010.html&gt; [last accessed 18 January 2025].</w:t>
      </w:r>
    </w:p>
  </w:footnote>
  <w:footnote w:id="938">
    <w:p w14:paraId="7D2D448A" w14:textId="07B42AA9" w:rsidR="006F6189" w:rsidRPr="00047A9D" w:rsidRDefault="006F618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657FA" w:rsidRPr="00047A9D">
        <w:rPr>
          <w:rFonts w:ascii="Times New Roman" w:hAnsi="Times New Roman" w:cs="Times New Roman"/>
          <w:sz w:val="22"/>
          <w:szCs w:val="22"/>
        </w:rPr>
        <w:t xml:space="preserve">Julie Pearn and Maushumi Roy, </w:t>
      </w:r>
      <w:r w:rsidR="002657FA" w:rsidRPr="00047A9D">
        <w:rPr>
          <w:rFonts w:ascii="Times New Roman" w:hAnsi="Times New Roman" w:cs="Times New Roman"/>
          <w:i/>
          <w:sz w:val="22"/>
          <w:szCs w:val="22"/>
        </w:rPr>
        <w:t xml:space="preserve">E.R.A. and the Black Child in Secondary School </w:t>
      </w:r>
      <w:r w:rsidR="002657FA" w:rsidRPr="00047A9D">
        <w:rPr>
          <w:rFonts w:ascii="Times New Roman" w:hAnsi="Times New Roman" w:cs="Times New Roman"/>
          <w:sz w:val="22"/>
          <w:szCs w:val="22"/>
        </w:rPr>
        <w:t>(Sheffield: Sheffield Unified Multicultural Education Service, 1991)</w:t>
      </w:r>
      <w:r w:rsidRPr="00047A9D">
        <w:rPr>
          <w:rFonts w:ascii="Times New Roman" w:hAnsi="Times New Roman" w:cs="Times New Roman"/>
          <w:sz w:val="22"/>
          <w:szCs w:val="22"/>
        </w:rPr>
        <w:t>, p.1.</w:t>
      </w:r>
    </w:p>
  </w:footnote>
  <w:footnote w:id="939">
    <w:p w14:paraId="4CAB5FF0" w14:textId="70994D8A" w:rsidR="006F6189" w:rsidRPr="00047A9D" w:rsidRDefault="006F618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26890" w:rsidRPr="00047A9D">
        <w:rPr>
          <w:rFonts w:ascii="Times New Roman" w:hAnsi="Times New Roman" w:cs="Times New Roman"/>
          <w:sz w:val="22"/>
          <w:szCs w:val="22"/>
        </w:rPr>
        <w:t xml:space="preserve">Their predictions have largely been confirmed by subsequent educational developments – emblematised by the rise and fall of Ofsted, in the context of escalating controversy over the impact of its binary judgements on teacher mental health. See </w:t>
      </w:r>
      <w:r w:rsidRPr="00047A9D">
        <w:rPr>
          <w:rFonts w:ascii="Times New Roman" w:hAnsi="Times New Roman" w:cs="Times New Roman"/>
          <w:sz w:val="22"/>
          <w:szCs w:val="22"/>
        </w:rPr>
        <w:t>‘Majority of Teachers Considered Leaving Over Ofsted’, National Education Union, 16 June 2024</w:t>
      </w:r>
      <w:r w:rsidR="006B3639" w:rsidRPr="00047A9D">
        <w:rPr>
          <w:rFonts w:ascii="Times New Roman" w:hAnsi="Times New Roman" w:cs="Times New Roman"/>
          <w:sz w:val="22"/>
          <w:szCs w:val="22"/>
        </w:rPr>
        <w:t xml:space="preserve"> </w:t>
      </w:r>
      <w:r w:rsidRPr="00047A9D">
        <w:rPr>
          <w:rFonts w:ascii="Times New Roman" w:hAnsi="Times New Roman" w:cs="Times New Roman"/>
          <w:sz w:val="22"/>
          <w:szCs w:val="22"/>
        </w:rPr>
        <w:t>&lt;</w:t>
      </w:r>
      <w:r w:rsidR="009532C1" w:rsidRPr="00047A9D">
        <w:rPr>
          <w:rFonts w:ascii="Times New Roman" w:hAnsi="Times New Roman" w:cs="Times New Roman"/>
          <w:sz w:val="22"/>
          <w:szCs w:val="22"/>
        </w:rPr>
        <w:t>https://neu.org.uk/latest/press-releases/majority-teachers-considered-leaving-over-ofsted</w:t>
      </w:r>
      <w:r w:rsidRPr="00047A9D">
        <w:rPr>
          <w:rFonts w:ascii="Times New Roman" w:hAnsi="Times New Roman" w:cs="Times New Roman"/>
          <w:sz w:val="22"/>
          <w:szCs w:val="22"/>
        </w:rPr>
        <w:t>&gt; [last accessed 18 January 2025; Sarah Waters and Hilda Palmer, ‘Ofsted Suicides: Who is Responsible for Suicide Prevention?’, </w:t>
      </w:r>
      <w:r w:rsidRPr="00047A9D">
        <w:rPr>
          <w:rFonts w:ascii="Times New Roman" w:hAnsi="Times New Roman" w:cs="Times New Roman"/>
          <w:i/>
          <w:sz w:val="22"/>
          <w:szCs w:val="22"/>
        </w:rPr>
        <w:t>Journal of Public Mental Health</w:t>
      </w:r>
      <w:r w:rsidRPr="00047A9D">
        <w:rPr>
          <w:rFonts w:ascii="Times New Roman" w:hAnsi="Times New Roman" w:cs="Times New Roman"/>
          <w:sz w:val="22"/>
          <w:szCs w:val="22"/>
        </w:rPr>
        <w:t xml:space="preserve"> 22.4 (2023), 194-201.</w:t>
      </w:r>
    </w:p>
  </w:footnote>
  <w:footnote w:id="940">
    <w:p w14:paraId="2A9D6183" w14:textId="61847469" w:rsidR="000F7B69" w:rsidRPr="00047A9D" w:rsidRDefault="000F7B6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F5FFD" w:rsidRPr="00047A9D">
        <w:rPr>
          <w:rFonts w:ascii="Times New Roman" w:hAnsi="Times New Roman" w:cs="Times New Roman"/>
          <w:sz w:val="22"/>
          <w:szCs w:val="22"/>
        </w:rPr>
        <w:t>Chris Searle, ‘OFSTEDed, Blunketted and Permanently Excluded: An Experience of English Education’, </w:t>
      </w:r>
      <w:r w:rsidR="001F5FFD" w:rsidRPr="00047A9D">
        <w:rPr>
          <w:rFonts w:ascii="Times New Roman" w:hAnsi="Times New Roman" w:cs="Times New Roman"/>
          <w:i/>
          <w:sz w:val="22"/>
          <w:szCs w:val="22"/>
        </w:rPr>
        <w:t>Race &amp; Class</w:t>
      </w:r>
      <w:r w:rsidR="001F5FFD" w:rsidRPr="00047A9D">
        <w:rPr>
          <w:rFonts w:ascii="Times New Roman" w:hAnsi="Times New Roman" w:cs="Times New Roman"/>
          <w:sz w:val="22"/>
          <w:szCs w:val="22"/>
        </w:rPr>
        <w:t xml:space="preserve"> </w:t>
      </w:r>
      <w:r w:rsidR="001F5FFD" w:rsidRPr="00047A9D">
        <w:rPr>
          <w:rFonts w:ascii="Times New Roman" w:hAnsi="Times New Roman" w:cs="Times New Roman"/>
          <w:i/>
          <w:sz w:val="22"/>
          <w:szCs w:val="22"/>
        </w:rPr>
        <w:t>38</w:t>
      </w:r>
      <w:r w:rsidR="001F5FFD" w:rsidRPr="00047A9D">
        <w:rPr>
          <w:rFonts w:ascii="Times New Roman" w:hAnsi="Times New Roman" w:cs="Times New Roman"/>
          <w:sz w:val="22"/>
          <w:szCs w:val="22"/>
        </w:rPr>
        <w:t>.1 (1996) 21-38, pp.22-23.</w:t>
      </w:r>
    </w:p>
  </w:footnote>
  <w:footnote w:id="941">
    <w:p w14:paraId="5D3858EB" w14:textId="6E995342" w:rsidR="00316E8C" w:rsidRPr="00047A9D" w:rsidRDefault="00316E8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F7B69" w:rsidRPr="00047A9D">
        <w:rPr>
          <w:rFonts w:ascii="Times New Roman" w:hAnsi="Times New Roman" w:cs="Times New Roman"/>
          <w:sz w:val="22"/>
          <w:szCs w:val="22"/>
        </w:rPr>
        <w:t>Searle, ‘OFSTEDed, Blunketted and Permanently Excluded’</w:t>
      </w:r>
      <w:r w:rsidR="001F5FFD" w:rsidRPr="00047A9D">
        <w:rPr>
          <w:rFonts w:ascii="Times New Roman" w:hAnsi="Times New Roman" w:cs="Times New Roman"/>
          <w:sz w:val="22"/>
          <w:szCs w:val="22"/>
        </w:rPr>
        <w:t>,</w:t>
      </w:r>
      <w:r w:rsidR="001566EB" w:rsidRPr="00047A9D">
        <w:rPr>
          <w:rFonts w:ascii="Times New Roman" w:hAnsi="Times New Roman" w:cs="Times New Roman"/>
          <w:sz w:val="22"/>
          <w:szCs w:val="22"/>
        </w:rPr>
        <w:t xml:space="preserve"> pp.22, 23</w:t>
      </w:r>
      <w:r w:rsidR="006017FE" w:rsidRPr="00047A9D">
        <w:rPr>
          <w:rFonts w:ascii="Times New Roman" w:hAnsi="Times New Roman" w:cs="Times New Roman"/>
          <w:sz w:val="22"/>
          <w:szCs w:val="22"/>
        </w:rPr>
        <w:t>.</w:t>
      </w:r>
    </w:p>
  </w:footnote>
  <w:footnote w:id="942">
    <w:p w14:paraId="1BEA9F4D" w14:textId="502BEF21" w:rsidR="006D758B" w:rsidRPr="00047A9D" w:rsidRDefault="006D758B"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CC0003" w:rsidRPr="00047A9D">
        <w:rPr>
          <w:rFonts w:ascii="Times New Roman" w:hAnsi="Times New Roman" w:cs="Times New Roman"/>
          <w:sz w:val="22"/>
          <w:szCs w:val="22"/>
        </w:rPr>
        <w:t>Chris Searle</w:t>
      </w:r>
      <w:r w:rsidR="00CC0003" w:rsidRPr="00047A9D">
        <w:rPr>
          <w:rFonts w:ascii="Times New Roman" w:hAnsi="Times New Roman" w:cs="Times New Roman"/>
          <w:i/>
          <w:sz w:val="22"/>
          <w:szCs w:val="22"/>
        </w:rPr>
        <w:t xml:space="preserve">, An Exclusive Education: </w:t>
      </w:r>
      <w:r w:rsidR="006017FE" w:rsidRPr="00047A9D">
        <w:rPr>
          <w:rFonts w:ascii="Times New Roman" w:hAnsi="Times New Roman" w:cs="Times New Roman"/>
          <w:i/>
          <w:sz w:val="22"/>
          <w:szCs w:val="22"/>
        </w:rPr>
        <w:t xml:space="preserve">Race, Class </w:t>
      </w:r>
      <w:r w:rsidR="00CC0003" w:rsidRPr="00047A9D">
        <w:rPr>
          <w:rFonts w:ascii="Times New Roman" w:hAnsi="Times New Roman" w:cs="Times New Roman"/>
          <w:i/>
          <w:sz w:val="22"/>
          <w:szCs w:val="22"/>
        </w:rPr>
        <w:t xml:space="preserve">and </w:t>
      </w:r>
      <w:r w:rsidR="006017FE" w:rsidRPr="00047A9D">
        <w:rPr>
          <w:rFonts w:ascii="Times New Roman" w:hAnsi="Times New Roman" w:cs="Times New Roman"/>
          <w:i/>
          <w:sz w:val="22"/>
          <w:szCs w:val="22"/>
        </w:rPr>
        <w:t xml:space="preserve">Exclusion </w:t>
      </w:r>
      <w:r w:rsidR="00CC0003" w:rsidRPr="00047A9D">
        <w:rPr>
          <w:rFonts w:ascii="Times New Roman" w:hAnsi="Times New Roman" w:cs="Times New Roman"/>
          <w:i/>
          <w:sz w:val="22"/>
          <w:szCs w:val="22"/>
        </w:rPr>
        <w:t xml:space="preserve">in British </w:t>
      </w:r>
      <w:r w:rsidR="006017FE" w:rsidRPr="00047A9D">
        <w:rPr>
          <w:rFonts w:ascii="Times New Roman" w:hAnsi="Times New Roman" w:cs="Times New Roman"/>
          <w:i/>
          <w:sz w:val="22"/>
          <w:szCs w:val="22"/>
        </w:rPr>
        <w:t>Schools</w:t>
      </w:r>
      <w:r w:rsidR="006017FE" w:rsidRPr="00047A9D">
        <w:rPr>
          <w:rFonts w:ascii="Times New Roman" w:hAnsi="Times New Roman" w:cs="Times New Roman"/>
          <w:sz w:val="22"/>
          <w:szCs w:val="22"/>
        </w:rPr>
        <w:t xml:space="preserve"> </w:t>
      </w:r>
      <w:r w:rsidR="00CC0003" w:rsidRPr="00047A9D">
        <w:rPr>
          <w:rFonts w:ascii="Times New Roman" w:hAnsi="Times New Roman" w:cs="Times New Roman"/>
          <w:sz w:val="22"/>
          <w:szCs w:val="22"/>
        </w:rPr>
        <w:t>(London</w:t>
      </w:r>
      <w:r w:rsidR="006017FE" w:rsidRPr="00047A9D">
        <w:rPr>
          <w:rFonts w:ascii="Times New Roman" w:hAnsi="Times New Roman" w:cs="Times New Roman"/>
          <w:sz w:val="22"/>
          <w:szCs w:val="22"/>
        </w:rPr>
        <w:t>:</w:t>
      </w:r>
      <w:r w:rsidR="00CC0003" w:rsidRPr="00047A9D">
        <w:rPr>
          <w:rFonts w:ascii="Times New Roman" w:hAnsi="Times New Roman" w:cs="Times New Roman"/>
          <w:sz w:val="22"/>
          <w:szCs w:val="22"/>
        </w:rPr>
        <w:t xml:space="preserve"> Lawrence &amp; Wishart, 2001), pp.148-49.</w:t>
      </w:r>
    </w:p>
  </w:footnote>
  <w:footnote w:id="943">
    <w:p w14:paraId="2CB060F1" w14:textId="17CFC534" w:rsidR="00CB5CE7" w:rsidRPr="00047A9D" w:rsidRDefault="00CB5CE7"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017FE" w:rsidRPr="00047A9D">
        <w:rPr>
          <w:rFonts w:ascii="Times New Roman" w:hAnsi="Times New Roman" w:cs="Times New Roman"/>
          <w:sz w:val="22"/>
          <w:szCs w:val="22"/>
        </w:rPr>
        <w:t>Searle, ‘OFSTEDed, Blunketted and Permanently Excluded’, pp</w:t>
      </w:r>
      <w:r w:rsidR="0063162C" w:rsidRPr="00047A9D">
        <w:rPr>
          <w:rFonts w:ascii="Times New Roman" w:hAnsi="Times New Roman" w:cs="Times New Roman"/>
          <w:sz w:val="22"/>
          <w:szCs w:val="22"/>
        </w:rPr>
        <w:t>.29</w:t>
      </w:r>
      <w:r w:rsidR="006017FE" w:rsidRPr="00047A9D">
        <w:rPr>
          <w:rFonts w:ascii="Times New Roman" w:hAnsi="Times New Roman" w:cs="Times New Roman"/>
          <w:sz w:val="22"/>
          <w:szCs w:val="22"/>
        </w:rPr>
        <w:t>, 30, 32.</w:t>
      </w:r>
    </w:p>
  </w:footnote>
  <w:footnote w:id="944">
    <w:p w14:paraId="1950504B" w14:textId="100D18C5" w:rsidR="008D63E7" w:rsidRPr="009503AB" w:rsidRDefault="008D63E7" w:rsidP="009503AB">
      <w:pPr>
        <w:pStyle w:val="FootnoteText"/>
        <w:spacing w:line="360" w:lineRule="auto"/>
        <w:rPr>
          <w:rFonts w:ascii="Times New Roman" w:hAnsi="Times New Roman" w:cs="Times New Roman"/>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Ahmed Gurnah, ‘Earl Marshal School: Towards an Inclusive Education’, </w:t>
      </w:r>
      <w:r w:rsidRPr="00047A9D">
        <w:rPr>
          <w:rFonts w:ascii="Times New Roman" w:hAnsi="Times New Roman" w:cs="Times New Roman"/>
          <w:i/>
          <w:sz w:val="22"/>
          <w:szCs w:val="22"/>
        </w:rPr>
        <w:t>Race &amp; Class</w:t>
      </w:r>
      <w:r w:rsidR="00294331" w:rsidRPr="00047A9D">
        <w:rPr>
          <w:rFonts w:ascii="Times New Roman" w:hAnsi="Times New Roman" w:cs="Times New Roman"/>
          <w:i/>
          <w:sz w:val="22"/>
          <w:szCs w:val="22"/>
        </w:rPr>
        <w:t xml:space="preserve"> </w:t>
      </w:r>
      <w:r w:rsidR="00294331" w:rsidRPr="00047A9D">
        <w:rPr>
          <w:rFonts w:ascii="Times New Roman" w:hAnsi="Times New Roman" w:cs="Times New Roman"/>
          <w:sz w:val="22"/>
          <w:szCs w:val="22"/>
        </w:rPr>
        <w:t>51.2</w:t>
      </w:r>
      <w:r w:rsidRPr="00047A9D">
        <w:rPr>
          <w:rFonts w:ascii="Times New Roman" w:hAnsi="Times New Roman" w:cs="Times New Roman"/>
          <w:i/>
          <w:sz w:val="22"/>
          <w:szCs w:val="22"/>
        </w:rPr>
        <w:t xml:space="preserve"> </w:t>
      </w:r>
      <w:r w:rsidR="00294331" w:rsidRPr="009503AB">
        <w:rPr>
          <w:rFonts w:ascii="Times New Roman" w:hAnsi="Times New Roman" w:cs="Times New Roman"/>
          <w:sz w:val="22"/>
          <w:szCs w:val="22"/>
        </w:rPr>
        <w:t>(2009), 92–103, p.95.</w:t>
      </w:r>
    </w:p>
  </w:footnote>
  <w:footnote w:id="945">
    <w:p w14:paraId="32944FD8" w14:textId="172F8662" w:rsidR="00291B16" w:rsidRPr="009503AB" w:rsidRDefault="00291B16" w:rsidP="009503AB">
      <w:pPr>
        <w:spacing w:line="360" w:lineRule="auto"/>
        <w:rPr>
          <w:rFonts w:ascii="Times New Roman" w:hAnsi="Times New Roman" w:cs="Times New Roman"/>
          <w:szCs w:val="22"/>
        </w:rPr>
      </w:pPr>
      <w:r w:rsidRPr="009503AB">
        <w:rPr>
          <w:rStyle w:val="FootnoteReference"/>
          <w:rFonts w:ascii="Times New Roman" w:hAnsi="Times New Roman" w:cs="Times New Roman"/>
          <w:szCs w:val="22"/>
        </w:rPr>
        <w:footnoteRef/>
      </w:r>
      <w:r w:rsidRPr="009503AB">
        <w:rPr>
          <w:rFonts w:ascii="Times New Roman" w:hAnsi="Times New Roman" w:cs="Times New Roman"/>
          <w:szCs w:val="22"/>
        </w:rPr>
        <w:t xml:space="preserve"> </w:t>
      </w:r>
      <w:r w:rsidR="00020304" w:rsidRPr="009503AB">
        <w:rPr>
          <w:rFonts w:ascii="Times New Roman" w:hAnsi="Times New Roman" w:cs="Times New Roman"/>
          <w:szCs w:val="22"/>
        </w:rPr>
        <w:t xml:space="preserve">Some, but not all, of these fears have been confirmed in subsequent decades. Figures on exam performance show wide attainment gaps between </w:t>
      </w:r>
      <w:r w:rsidR="009503AB">
        <w:rPr>
          <w:rFonts w:ascii="Times New Roman" w:hAnsi="Times New Roman" w:cs="Times New Roman"/>
          <w:szCs w:val="22"/>
        </w:rPr>
        <w:t>various</w:t>
      </w:r>
      <w:r w:rsidR="00020304" w:rsidRPr="009503AB">
        <w:rPr>
          <w:rFonts w:ascii="Times New Roman" w:hAnsi="Times New Roman" w:cs="Times New Roman"/>
          <w:szCs w:val="22"/>
        </w:rPr>
        <w:t xml:space="preserve"> downwardly racialised communities: while Indian and Chinese pupils outperform their White peers, the 2016-2017 GCSE grades data show that Black Caribbean, Pakistani and Gypsy and Irish Traveller pupils are the least likely to achieve A* to C grades in maths and English. Likewise, the data points towards a disproportionately high rate of permanent exclusion and placement in pupil referral units amongst Black and Gypsy and Traveller pupils. For Muslim students in particular, </w:t>
      </w:r>
      <w:r w:rsidR="00611073" w:rsidRPr="009503AB">
        <w:rPr>
          <w:rFonts w:ascii="Times New Roman" w:hAnsi="Times New Roman" w:cs="Times New Roman"/>
          <w:szCs w:val="22"/>
        </w:rPr>
        <w:t xml:space="preserve">Prevent represents </w:t>
      </w:r>
      <w:r w:rsidR="003E6C0B" w:rsidRPr="009503AB">
        <w:rPr>
          <w:rFonts w:ascii="Times New Roman" w:hAnsi="Times New Roman" w:cs="Times New Roman"/>
          <w:szCs w:val="22"/>
        </w:rPr>
        <w:t>an additional disciplinary mechanism which limits freedom of expression in classroom settings.</w:t>
      </w:r>
      <w:r w:rsidR="00611073" w:rsidRPr="009503AB">
        <w:rPr>
          <w:rFonts w:ascii="Times New Roman" w:hAnsi="Times New Roman" w:cs="Times New Roman"/>
          <w:szCs w:val="22"/>
        </w:rPr>
        <w:t xml:space="preserve"> </w:t>
      </w:r>
      <w:r w:rsidR="003E6C0B" w:rsidRPr="009503AB">
        <w:rPr>
          <w:rFonts w:ascii="Times New Roman" w:hAnsi="Times New Roman" w:cs="Times New Roman"/>
          <w:szCs w:val="22"/>
        </w:rPr>
        <w:t xml:space="preserve">These themes will be elaborated in the Conclusion. See </w:t>
      </w:r>
      <w:r w:rsidR="00221579" w:rsidRPr="009503AB">
        <w:rPr>
          <w:rFonts w:ascii="Times New Roman" w:hAnsi="Times New Roman" w:cs="Times New Roman"/>
          <w:szCs w:val="22"/>
        </w:rPr>
        <w:t xml:space="preserve">Claire Alexander and William Shankley, ‘Ethnic Inequalities in the State Education System in England’, in Bridget Byrne </w:t>
      </w:r>
      <w:r w:rsidR="00221579" w:rsidRPr="009503AB">
        <w:rPr>
          <w:rFonts w:ascii="Times New Roman" w:hAnsi="Times New Roman" w:cs="Times New Roman"/>
          <w:i/>
          <w:iCs/>
          <w:szCs w:val="22"/>
        </w:rPr>
        <w:t>et al.</w:t>
      </w:r>
      <w:r w:rsidR="00221579" w:rsidRPr="009503AB">
        <w:rPr>
          <w:rFonts w:ascii="Times New Roman" w:hAnsi="Times New Roman" w:cs="Times New Roman"/>
          <w:szCs w:val="22"/>
        </w:rPr>
        <w:t xml:space="preserve">, </w:t>
      </w:r>
      <w:r w:rsidR="00221579" w:rsidRPr="009503AB">
        <w:rPr>
          <w:rFonts w:ascii="Times New Roman" w:hAnsi="Times New Roman" w:cs="Times New Roman"/>
          <w:i/>
          <w:iCs/>
          <w:szCs w:val="22"/>
        </w:rPr>
        <w:t>Ethnicity, Race and Inequality in the UK: State of the Nation</w:t>
      </w:r>
      <w:r w:rsidR="00221579" w:rsidRPr="009503AB">
        <w:rPr>
          <w:rFonts w:ascii="Times New Roman" w:hAnsi="Times New Roman" w:cs="Times New Roman"/>
          <w:szCs w:val="22"/>
        </w:rPr>
        <w:t xml:space="preserve"> (Bristol: Policy, 2020), 93-125</w:t>
      </w:r>
      <w:r w:rsidR="009503AB" w:rsidRPr="009503AB">
        <w:rPr>
          <w:rFonts w:ascii="Times New Roman" w:hAnsi="Times New Roman" w:cs="Times New Roman"/>
          <w:szCs w:val="22"/>
        </w:rPr>
        <w:t>, pp.93-95.</w:t>
      </w:r>
    </w:p>
  </w:footnote>
  <w:footnote w:id="946">
    <w:p w14:paraId="3672A610" w14:textId="42A6CA72" w:rsidR="00BA0E83" w:rsidRPr="00047A9D" w:rsidRDefault="00BA0E8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7B5C91" w:rsidRPr="00047A9D">
        <w:rPr>
          <w:rFonts w:ascii="Times New Roman" w:hAnsi="Times New Roman" w:cs="Times New Roman"/>
          <w:sz w:val="22"/>
          <w:szCs w:val="22"/>
        </w:rPr>
        <w:t xml:space="preserve">See </w:t>
      </w:r>
      <w:r w:rsidR="00455D6B" w:rsidRPr="00047A9D">
        <w:rPr>
          <w:rFonts w:ascii="Times New Roman" w:hAnsi="Times New Roman" w:cs="Times New Roman"/>
          <w:sz w:val="22"/>
          <w:szCs w:val="22"/>
        </w:rPr>
        <w:t xml:space="preserve">Sylvia L. </w:t>
      </w:r>
      <w:r w:rsidR="00527B39" w:rsidRPr="00047A9D">
        <w:rPr>
          <w:rFonts w:ascii="Times New Roman" w:hAnsi="Times New Roman" w:cs="Times New Roman"/>
          <w:sz w:val="22"/>
          <w:szCs w:val="22"/>
        </w:rPr>
        <w:t xml:space="preserve">Collicott, </w:t>
      </w:r>
      <w:r w:rsidR="00455D6B" w:rsidRPr="00047A9D">
        <w:rPr>
          <w:rFonts w:ascii="Times New Roman" w:hAnsi="Times New Roman" w:cs="Times New Roman"/>
          <w:sz w:val="22"/>
          <w:szCs w:val="22"/>
        </w:rPr>
        <w:t>‘</w:t>
      </w:r>
      <w:r w:rsidR="00527B39" w:rsidRPr="00047A9D">
        <w:rPr>
          <w:rFonts w:ascii="Times New Roman" w:hAnsi="Times New Roman" w:cs="Times New Roman"/>
          <w:sz w:val="22"/>
          <w:szCs w:val="22"/>
        </w:rPr>
        <w:t>Who Is the National History Curriculum For?</w:t>
      </w:r>
      <w:r w:rsidR="00455D6B" w:rsidRPr="00047A9D">
        <w:rPr>
          <w:rFonts w:ascii="Times New Roman" w:hAnsi="Times New Roman" w:cs="Times New Roman"/>
          <w:sz w:val="22"/>
          <w:szCs w:val="22"/>
        </w:rPr>
        <w:t>’,</w:t>
      </w:r>
      <w:r w:rsidR="00527B39" w:rsidRPr="00047A9D">
        <w:rPr>
          <w:rFonts w:ascii="Times New Roman" w:hAnsi="Times New Roman" w:cs="Times New Roman"/>
          <w:sz w:val="22"/>
          <w:szCs w:val="22"/>
        </w:rPr>
        <w:t> </w:t>
      </w:r>
      <w:r w:rsidR="00527B39" w:rsidRPr="00047A9D">
        <w:rPr>
          <w:rFonts w:ascii="Times New Roman" w:hAnsi="Times New Roman" w:cs="Times New Roman"/>
          <w:i/>
          <w:sz w:val="22"/>
          <w:szCs w:val="22"/>
        </w:rPr>
        <w:t>Teaching History</w:t>
      </w:r>
      <w:r w:rsidR="00455D6B" w:rsidRPr="00047A9D">
        <w:rPr>
          <w:rFonts w:ascii="Times New Roman" w:hAnsi="Times New Roman" w:cs="Times New Roman"/>
          <w:sz w:val="22"/>
          <w:szCs w:val="22"/>
        </w:rPr>
        <w:t xml:space="preserve"> </w:t>
      </w:r>
      <w:r w:rsidR="00527B39" w:rsidRPr="00047A9D">
        <w:rPr>
          <w:rFonts w:ascii="Times New Roman" w:hAnsi="Times New Roman" w:cs="Times New Roman"/>
          <w:sz w:val="22"/>
          <w:szCs w:val="22"/>
        </w:rPr>
        <w:t>61</w:t>
      </w:r>
      <w:r w:rsidR="00455D6B" w:rsidRPr="00047A9D">
        <w:rPr>
          <w:rFonts w:ascii="Times New Roman" w:hAnsi="Times New Roman" w:cs="Times New Roman"/>
          <w:sz w:val="22"/>
          <w:szCs w:val="22"/>
        </w:rPr>
        <w:t xml:space="preserve"> (1</w:t>
      </w:r>
      <w:r w:rsidR="00527B39" w:rsidRPr="00047A9D">
        <w:rPr>
          <w:rFonts w:ascii="Times New Roman" w:hAnsi="Times New Roman" w:cs="Times New Roman"/>
          <w:sz w:val="22"/>
          <w:szCs w:val="22"/>
        </w:rPr>
        <w:t>990</w:t>
      </w:r>
      <w:r w:rsidR="00455D6B" w:rsidRPr="00047A9D">
        <w:rPr>
          <w:rFonts w:ascii="Times New Roman" w:hAnsi="Times New Roman" w:cs="Times New Roman"/>
          <w:sz w:val="22"/>
          <w:szCs w:val="22"/>
        </w:rPr>
        <w:t>),</w:t>
      </w:r>
      <w:r w:rsidR="00527B39" w:rsidRPr="00047A9D">
        <w:rPr>
          <w:rFonts w:ascii="Times New Roman" w:hAnsi="Times New Roman" w:cs="Times New Roman"/>
          <w:sz w:val="22"/>
          <w:szCs w:val="22"/>
        </w:rPr>
        <w:t xml:space="preserve"> 8–12.</w:t>
      </w:r>
    </w:p>
  </w:footnote>
  <w:footnote w:id="947">
    <w:p w14:paraId="54984422" w14:textId="0B5EF3A1" w:rsidR="00325AF6" w:rsidRPr="00047A9D" w:rsidRDefault="00325AF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76CB6" w:rsidRPr="00047A9D">
        <w:rPr>
          <w:rFonts w:ascii="Times New Roman" w:hAnsi="Times New Roman" w:cs="Times New Roman"/>
          <w:sz w:val="22"/>
          <w:szCs w:val="22"/>
        </w:rPr>
        <w:t>Bush, ‘Moving On’, pp.</w:t>
      </w:r>
      <w:r w:rsidR="00435617" w:rsidRPr="00047A9D">
        <w:rPr>
          <w:rFonts w:ascii="Times New Roman" w:hAnsi="Times New Roman" w:cs="Times New Roman"/>
          <w:sz w:val="22"/>
          <w:szCs w:val="22"/>
        </w:rPr>
        <w:t>192</w:t>
      </w:r>
      <w:r w:rsidR="00673952" w:rsidRPr="00047A9D">
        <w:rPr>
          <w:rFonts w:ascii="Times New Roman" w:hAnsi="Times New Roman" w:cs="Times New Roman"/>
          <w:sz w:val="22"/>
          <w:szCs w:val="22"/>
        </w:rPr>
        <w:t>-93.</w:t>
      </w:r>
    </w:p>
  </w:footnote>
  <w:footnote w:id="948">
    <w:p w14:paraId="5F93FE7B" w14:textId="52D84150" w:rsidR="00281D99" w:rsidRPr="00047A9D" w:rsidRDefault="00281D9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60705E" w:rsidRPr="00047A9D">
        <w:rPr>
          <w:rFonts w:ascii="Times New Roman" w:hAnsi="Times New Roman" w:cs="Times New Roman"/>
          <w:sz w:val="22"/>
          <w:szCs w:val="22"/>
        </w:rPr>
        <w:t>Bush, ‘Moving On’, pp.192-93</w:t>
      </w:r>
    </w:p>
  </w:footnote>
  <w:footnote w:id="949">
    <w:p w14:paraId="429BEA1E" w14:textId="7D7276B5" w:rsidR="00673952" w:rsidRPr="00047A9D" w:rsidRDefault="0067395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D2396" w:rsidRPr="00047A9D">
        <w:rPr>
          <w:rFonts w:ascii="Times New Roman" w:hAnsi="Times New Roman" w:cs="Times New Roman"/>
          <w:sz w:val="22"/>
          <w:szCs w:val="22"/>
        </w:rPr>
        <w:t xml:space="preserve">Bush, ‘Moving On’, p.193; </w:t>
      </w:r>
      <w:r w:rsidR="00086F59" w:rsidRPr="00047A9D">
        <w:rPr>
          <w:rFonts w:ascii="Times New Roman" w:hAnsi="Times New Roman" w:cs="Times New Roman"/>
          <w:sz w:val="22"/>
          <w:szCs w:val="22"/>
        </w:rPr>
        <w:t xml:space="preserve">Alison Twells, Rob Unwin, and Christine Smith, </w:t>
      </w:r>
      <w:r w:rsidR="00086F59" w:rsidRPr="00047A9D">
        <w:rPr>
          <w:rFonts w:ascii="Times New Roman" w:hAnsi="Times New Roman" w:cs="Times New Roman"/>
          <w:i/>
          <w:sz w:val="22"/>
          <w:szCs w:val="22"/>
        </w:rPr>
        <w:t>Colonialism, Slavery and the Industrial Revolution 1700-1860, A Case Study: The Empire in South Yorkshire</w:t>
      </w:r>
      <w:r w:rsidR="00086F59" w:rsidRPr="00047A9D">
        <w:rPr>
          <w:rFonts w:ascii="Times New Roman" w:hAnsi="Times New Roman" w:cs="Times New Roman"/>
          <w:sz w:val="22"/>
          <w:szCs w:val="22"/>
        </w:rPr>
        <w:t xml:space="preserve"> (Sheffield: Development Education Centre </w:t>
      </w:r>
      <w:r w:rsidR="00B81332" w:rsidRPr="00047A9D">
        <w:rPr>
          <w:rFonts w:ascii="Times New Roman" w:hAnsi="Times New Roman" w:cs="Times New Roman"/>
          <w:sz w:val="22"/>
          <w:szCs w:val="22"/>
        </w:rPr>
        <w:t>[</w:t>
      </w:r>
      <w:r w:rsidR="00086F59" w:rsidRPr="00047A9D">
        <w:rPr>
          <w:rFonts w:ascii="Times New Roman" w:hAnsi="Times New Roman" w:cs="Times New Roman"/>
          <w:sz w:val="22"/>
          <w:szCs w:val="22"/>
        </w:rPr>
        <w:t>South Yorkshire</w:t>
      </w:r>
      <w:r w:rsidR="00B81332" w:rsidRPr="00047A9D">
        <w:rPr>
          <w:rFonts w:ascii="Times New Roman" w:hAnsi="Times New Roman" w:cs="Times New Roman"/>
          <w:sz w:val="22"/>
          <w:szCs w:val="22"/>
        </w:rPr>
        <w:t>]</w:t>
      </w:r>
      <w:r w:rsidR="00086F59" w:rsidRPr="00047A9D">
        <w:rPr>
          <w:rFonts w:ascii="Times New Roman" w:hAnsi="Times New Roman" w:cs="Times New Roman"/>
          <w:sz w:val="22"/>
          <w:szCs w:val="22"/>
        </w:rPr>
        <w:t>, 1992), p</w:t>
      </w:r>
      <w:r w:rsidR="00DF7E86" w:rsidRPr="00047A9D">
        <w:rPr>
          <w:rFonts w:ascii="Times New Roman" w:hAnsi="Times New Roman" w:cs="Times New Roman"/>
          <w:sz w:val="22"/>
          <w:szCs w:val="22"/>
        </w:rPr>
        <w:t>p</w:t>
      </w:r>
      <w:r w:rsidR="00086F59" w:rsidRPr="00047A9D">
        <w:rPr>
          <w:rFonts w:ascii="Times New Roman" w:hAnsi="Times New Roman" w:cs="Times New Roman"/>
          <w:sz w:val="22"/>
          <w:szCs w:val="22"/>
        </w:rPr>
        <w:t>.2</w:t>
      </w:r>
      <w:r w:rsidR="00DF7E86" w:rsidRPr="00047A9D">
        <w:rPr>
          <w:rFonts w:ascii="Times New Roman" w:hAnsi="Times New Roman" w:cs="Times New Roman"/>
          <w:sz w:val="22"/>
          <w:szCs w:val="22"/>
        </w:rPr>
        <w:t>, 4</w:t>
      </w:r>
      <w:r w:rsidR="00086F59" w:rsidRPr="00047A9D">
        <w:rPr>
          <w:rFonts w:ascii="Times New Roman" w:hAnsi="Times New Roman" w:cs="Times New Roman"/>
          <w:sz w:val="22"/>
          <w:szCs w:val="22"/>
        </w:rPr>
        <w:t>.</w:t>
      </w:r>
    </w:p>
  </w:footnote>
  <w:footnote w:id="950">
    <w:p w14:paraId="753F0A10" w14:textId="2F39E319" w:rsidR="00DF7E86" w:rsidRPr="00047A9D" w:rsidRDefault="00DF7E86"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331D8A" w:rsidRPr="00047A9D">
        <w:rPr>
          <w:rFonts w:ascii="Times New Roman" w:hAnsi="Times New Roman" w:cs="Times New Roman"/>
          <w:sz w:val="22"/>
          <w:szCs w:val="22"/>
        </w:rPr>
        <w:t>Bush, ‘Moving On’, p.193.</w:t>
      </w:r>
    </w:p>
  </w:footnote>
  <w:footnote w:id="951">
    <w:p w14:paraId="252B3A7A" w14:textId="2CF8251A" w:rsidR="004C0CB4" w:rsidRPr="00047A9D" w:rsidRDefault="00331D8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2657FA" w:rsidRPr="00047A9D">
        <w:rPr>
          <w:rFonts w:ascii="Times New Roman" w:hAnsi="Times New Roman" w:cs="Times New Roman"/>
          <w:sz w:val="22"/>
          <w:szCs w:val="22"/>
        </w:rPr>
        <w:t xml:space="preserve">Pearn and Roy, </w:t>
      </w:r>
      <w:r w:rsidR="002657FA" w:rsidRPr="00047A9D">
        <w:rPr>
          <w:rFonts w:ascii="Times New Roman" w:hAnsi="Times New Roman" w:cs="Times New Roman"/>
          <w:i/>
          <w:sz w:val="22"/>
          <w:szCs w:val="22"/>
        </w:rPr>
        <w:t>E.R.A. and the Black Child</w:t>
      </w:r>
      <w:r w:rsidR="002657FA" w:rsidRPr="00047A9D">
        <w:rPr>
          <w:rFonts w:ascii="Times New Roman" w:hAnsi="Times New Roman" w:cs="Times New Roman"/>
          <w:sz w:val="22"/>
          <w:szCs w:val="22"/>
        </w:rPr>
        <w:t xml:space="preserve">, </w:t>
      </w:r>
      <w:r w:rsidR="002B12B1" w:rsidRPr="00047A9D">
        <w:rPr>
          <w:rFonts w:ascii="Times New Roman" w:hAnsi="Times New Roman" w:cs="Times New Roman"/>
          <w:sz w:val="22"/>
          <w:szCs w:val="22"/>
        </w:rPr>
        <w:t>pp</w:t>
      </w:r>
      <w:r w:rsidR="005C71C7" w:rsidRPr="00047A9D">
        <w:rPr>
          <w:rFonts w:ascii="Times New Roman" w:hAnsi="Times New Roman" w:cs="Times New Roman"/>
          <w:sz w:val="22"/>
          <w:szCs w:val="22"/>
        </w:rPr>
        <w:t xml:space="preserve">.4, </w:t>
      </w:r>
      <w:r w:rsidR="00E76709" w:rsidRPr="00047A9D">
        <w:rPr>
          <w:rFonts w:ascii="Times New Roman" w:hAnsi="Times New Roman" w:cs="Times New Roman"/>
          <w:sz w:val="22"/>
          <w:szCs w:val="22"/>
        </w:rPr>
        <w:t>6 8-9</w:t>
      </w:r>
      <w:r w:rsidR="00ED74FD" w:rsidRPr="00047A9D">
        <w:rPr>
          <w:rFonts w:ascii="Times New Roman" w:hAnsi="Times New Roman" w:cs="Times New Roman"/>
          <w:sz w:val="22"/>
          <w:szCs w:val="22"/>
        </w:rPr>
        <w:t>, 11</w:t>
      </w:r>
      <w:r w:rsidR="002B12B1" w:rsidRPr="00047A9D">
        <w:rPr>
          <w:rFonts w:ascii="Times New Roman" w:hAnsi="Times New Roman" w:cs="Times New Roman"/>
          <w:sz w:val="22"/>
          <w:szCs w:val="22"/>
        </w:rPr>
        <w:t>, 24, 36.</w:t>
      </w:r>
    </w:p>
  </w:footnote>
  <w:footnote w:id="952">
    <w:p w14:paraId="6E53D03A" w14:textId="46B411CA" w:rsidR="00290798" w:rsidRPr="00047A9D" w:rsidRDefault="0029079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E067FA" w:rsidRPr="00047A9D">
        <w:rPr>
          <w:rFonts w:ascii="Times New Roman" w:hAnsi="Times New Roman" w:cs="Times New Roman"/>
          <w:sz w:val="22"/>
          <w:szCs w:val="22"/>
        </w:rPr>
        <w:t xml:space="preserve">Pearn and Roy, </w:t>
      </w:r>
      <w:r w:rsidR="00E067FA" w:rsidRPr="00047A9D">
        <w:rPr>
          <w:rFonts w:ascii="Times New Roman" w:hAnsi="Times New Roman" w:cs="Times New Roman"/>
          <w:i/>
          <w:sz w:val="22"/>
          <w:szCs w:val="22"/>
        </w:rPr>
        <w:t>E.R.A</w:t>
      </w:r>
      <w:r w:rsidR="002657FA" w:rsidRPr="00047A9D">
        <w:rPr>
          <w:rFonts w:ascii="Times New Roman" w:hAnsi="Times New Roman" w:cs="Times New Roman"/>
          <w:i/>
          <w:sz w:val="22"/>
          <w:szCs w:val="22"/>
        </w:rPr>
        <w:t>.</w:t>
      </w:r>
      <w:r w:rsidR="00E067FA" w:rsidRPr="00047A9D">
        <w:rPr>
          <w:rFonts w:ascii="Times New Roman" w:hAnsi="Times New Roman" w:cs="Times New Roman"/>
          <w:i/>
          <w:sz w:val="22"/>
          <w:szCs w:val="22"/>
        </w:rPr>
        <w:t xml:space="preserve"> and the Black Child</w:t>
      </w:r>
      <w:r w:rsidR="00E067FA" w:rsidRPr="00047A9D">
        <w:rPr>
          <w:rFonts w:ascii="Times New Roman" w:hAnsi="Times New Roman" w:cs="Times New Roman"/>
          <w:sz w:val="22"/>
          <w:szCs w:val="22"/>
        </w:rPr>
        <w:t>, p</w:t>
      </w:r>
      <w:r w:rsidR="00480B2C" w:rsidRPr="00047A9D">
        <w:rPr>
          <w:rFonts w:ascii="Times New Roman" w:hAnsi="Times New Roman" w:cs="Times New Roman"/>
          <w:sz w:val="22"/>
          <w:szCs w:val="22"/>
        </w:rPr>
        <w:t>p</w:t>
      </w:r>
      <w:r w:rsidR="00E067FA" w:rsidRPr="00047A9D">
        <w:rPr>
          <w:rFonts w:ascii="Times New Roman" w:hAnsi="Times New Roman" w:cs="Times New Roman"/>
          <w:sz w:val="22"/>
          <w:szCs w:val="22"/>
        </w:rPr>
        <w:t>.</w:t>
      </w:r>
      <w:r w:rsidR="00480B2C" w:rsidRPr="00047A9D">
        <w:rPr>
          <w:rFonts w:ascii="Times New Roman" w:hAnsi="Times New Roman" w:cs="Times New Roman"/>
          <w:sz w:val="22"/>
          <w:szCs w:val="22"/>
        </w:rPr>
        <w:t>1,</w:t>
      </w:r>
      <w:r w:rsidR="00B97A14" w:rsidRPr="00047A9D">
        <w:rPr>
          <w:rFonts w:ascii="Times New Roman" w:hAnsi="Times New Roman" w:cs="Times New Roman"/>
          <w:sz w:val="22"/>
          <w:szCs w:val="22"/>
        </w:rPr>
        <w:t xml:space="preserve"> 2,</w:t>
      </w:r>
      <w:r w:rsidR="00E067FA" w:rsidRPr="00047A9D">
        <w:rPr>
          <w:rFonts w:ascii="Times New Roman" w:hAnsi="Times New Roman" w:cs="Times New Roman"/>
          <w:sz w:val="22"/>
          <w:szCs w:val="22"/>
        </w:rPr>
        <w:t>13.</w:t>
      </w:r>
    </w:p>
  </w:footnote>
  <w:footnote w:id="953">
    <w:p w14:paraId="0B5C5C06" w14:textId="53020722" w:rsidR="001F1FBE" w:rsidRPr="00047A9D" w:rsidRDefault="001F1FBE"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340FD" w:rsidRPr="00047A9D">
        <w:rPr>
          <w:rFonts w:ascii="Times New Roman" w:hAnsi="Times New Roman" w:cs="Times New Roman"/>
          <w:sz w:val="22"/>
          <w:szCs w:val="22"/>
        </w:rPr>
        <w:t>Searle, ‘OFSTEDed, Blunketted and Permanently Excluded’, pp.23</w:t>
      </w:r>
      <w:r w:rsidR="00FC2F64" w:rsidRPr="00047A9D">
        <w:rPr>
          <w:rFonts w:ascii="Times New Roman" w:hAnsi="Times New Roman" w:cs="Times New Roman"/>
          <w:sz w:val="22"/>
          <w:szCs w:val="22"/>
        </w:rPr>
        <w:t xml:space="preserve">, </w:t>
      </w:r>
      <w:r w:rsidR="001340FD" w:rsidRPr="00047A9D">
        <w:rPr>
          <w:rFonts w:ascii="Times New Roman" w:hAnsi="Times New Roman" w:cs="Times New Roman"/>
          <w:sz w:val="22"/>
          <w:szCs w:val="22"/>
        </w:rPr>
        <w:t>24</w:t>
      </w:r>
      <w:r w:rsidR="00FC2F64" w:rsidRPr="00047A9D">
        <w:rPr>
          <w:rFonts w:ascii="Times New Roman" w:hAnsi="Times New Roman" w:cs="Times New Roman"/>
          <w:sz w:val="22"/>
          <w:szCs w:val="22"/>
        </w:rPr>
        <w:t>, 30.</w:t>
      </w:r>
    </w:p>
  </w:footnote>
  <w:footnote w:id="954">
    <w:p w14:paraId="3F6CE858" w14:textId="0B318480" w:rsidR="00403E69" w:rsidRPr="00047A9D" w:rsidRDefault="00403E6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Searle, ‘OFSTEDed, Blunketted and Permanently Excluded’, pp.23, 24, 30.</w:t>
      </w:r>
    </w:p>
  </w:footnote>
  <w:footnote w:id="955">
    <w:p w14:paraId="00F99EF3" w14:textId="34BF6B29" w:rsidR="00FC2F64" w:rsidRPr="00047A9D" w:rsidRDefault="00FC2F6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26D2D" w:rsidRPr="00047A9D">
        <w:rPr>
          <w:rFonts w:ascii="Times New Roman" w:hAnsi="Times New Roman" w:cs="Times New Roman"/>
          <w:sz w:val="22"/>
          <w:szCs w:val="22"/>
        </w:rPr>
        <w:t xml:space="preserve">Davis, ‘Going in by the </w:t>
      </w:r>
      <w:r w:rsidR="009B4F17" w:rsidRPr="00047A9D">
        <w:rPr>
          <w:rFonts w:ascii="Times New Roman" w:hAnsi="Times New Roman" w:cs="Times New Roman"/>
          <w:sz w:val="22"/>
          <w:szCs w:val="22"/>
        </w:rPr>
        <w:t>F</w:t>
      </w:r>
      <w:r w:rsidR="00D26D2D" w:rsidRPr="00047A9D">
        <w:rPr>
          <w:rFonts w:ascii="Times New Roman" w:hAnsi="Times New Roman" w:cs="Times New Roman"/>
          <w:sz w:val="22"/>
          <w:szCs w:val="22"/>
        </w:rPr>
        <w:t xml:space="preserve">ront </w:t>
      </w:r>
      <w:r w:rsidR="009B4F17" w:rsidRPr="00047A9D">
        <w:rPr>
          <w:rFonts w:ascii="Times New Roman" w:hAnsi="Times New Roman" w:cs="Times New Roman"/>
          <w:sz w:val="22"/>
          <w:szCs w:val="22"/>
        </w:rPr>
        <w:t>D</w:t>
      </w:r>
      <w:r w:rsidR="00D26D2D" w:rsidRPr="00047A9D">
        <w:rPr>
          <w:rFonts w:ascii="Times New Roman" w:hAnsi="Times New Roman" w:cs="Times New Roman"/>
          <w:sz w:val="22"/>
          <w:szCs w:val="22"/>
        </w:rPr>
        <w:t>oor</w:t>
      </w:r>
      <w:r w:rsidR="00FD40CD" w:rsidRPr="00047A9D">
        <w:rPr>
          <w:rFonts w:ascii="Times New Roman" w:hAnsi="Times New Roman" w:cs="Times New Roman"/>
          <w:sz w:val="22"/>
          <w:szCs w:val="22"/>
        </w:rPr>
        <w:t>’</w:t>
      </w:r>
      <w:r w:rsidR="00D26D2D" w:rsidRPr="00047A9D">
        <w:rPr>
          <w:rFonts w:ascii="Times New Roman" w:hAnsi="Times New Roman" w:cs="Times New Roman"/>
          <w:sz w:val="22"/>
          <w:szCs w:val="22"/>
        </w:rPr>
        <w:t>, p.82.</w:t>
      </w:r>
    </w:p>
  </w:footnote>
  <w:footnote w:id="956">
    <w:p w14:paraId="3BA420A0" w14:textId="3A06D226" w:rsidR="00AA4589" w:rsidRPr="00047A9D" w:rsidRDefault="00AA458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56CCA" w:rsidRPr="00047A9D">
        <w:rPr>
          <w:rFonts w:ascii="Times New Roman" w:hAnsi="Times New Roman" w:cs="Times New Roman"/>
          <w:sz w:val="22"/>
          <w:szCs w:val="22"/>
        </w:rPr>
        <w:t>Safa Mohammed</w:t>
      </w:r>
      <w:r w:rsidR="006909A8" w:rsidRPr="00047A9D">
        <w:rPr>
          <w:rFonts w:ascii="Times New Roman" w:hAnsi="Times New Roman" w:cs="Times New Roman"/>
          <w:sz w:val="22"/>
          <w:szCs w:val="22"/>
        </w:rPr>
        <w:t xml:space="preserve"> in Chris Searle (ed.),</w:t>
      </w:r>
      <w:r w:rsidR="00D56CCA" w:rsidRPr="00047A9D">
        <w:rPr>
          <w:rFonts w:ascii="Times New Roman" w:hAnsi="Times New Roman" w:cs="Times New Roman"/>
          <w:sz w:val="22"/>
          <w:szCs w:val="22"/>
        </w:rPr>
        <w:t xml:space="preserve"> </w:t>
      </w:r>
      <w:r w:rsidR="00D56CCA" w:rsidRPr="00047A9D">
        <w:rPr>
          <w:rFonts w:ascii="Times New Roman" w:hAnsi="Times New Roman" w:cs="Times New Roman"/>
          <w:i/>
          <w:sz w:val="22"/>
          <w:szCs w:val="22"/>
        </w:rPr>
        <w:t>Lives of Love and Hope: a Sheffield Herstory</w:t>
      </w:r>
      <w:r w:rsidR="00D56CCA" w:rsidRPr="00047A9D">
        <w:rPr>
          <w:rFonts w:ascii="Times New Roman" w:hAnsi="Times New Roman" w:cs="Times New Roman"/>
          <w:sz w:val="22"/>
          <w:szCs w:val="22"/>
        </w:rPr>
        <w:t xml:space="preserve"> (Sheffield: Earl Marshal School, 1994), pp.65–66. See also</w:t>
      </w:r>
      <w:r w:rsidR="008555FD" w:rsidRPr="00047A9D">
        <w:rPr>
          <w:rFonts w:ascii="Times New Roman" w:hAnsi="Times New Roman" w:cs="Times New Roman"/>
          <w:sz w:val="22"/>
          <w:szCs w:val="22"/>
        </w:rPr>
        <w:t xml:space="preserve"> Davis: ‘Searle, Earl Marshal School and Sheffield’, p.85.</w:t>
      </w:r>
    </w:p>
  </w:footnote>
  <w:footnote w:id="957">
    <w:p w14:paraId="3EDC2C8F" w14:textId="41483CF4" w:rsidR="00993AA1" w:rsidRPr="00047A9D" w:rsidRDefault="00993AA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457FD2" w:rsidRPr="00047A9D">
        <w:rPr>
          <w:rFonts w:ascii="Times New Roman" w:hAnsi="Times New Roman" w:cs="Times New Roman"/>
          <w:sz w:val="22"/>
          <w:szCs w:val="22"/>
        </w:rPr>
        <w:t>Gurnah, ‘</w:t>
      </w:r>
      <w:r w:rsidR="00566BF6" w:rsidRPr="00047A9D">
        <w:rPr>
          <w:rFonts w:ascii="Times New Roman" w:hAnsi="Times New Roman" w:cs="Times New Roman"/>
          <w:sz w:val="22"/>
          <w:szCs w:val="22"/>
        </w:rPr>
        <w:t>Earl</w:t>
      </w:r>
      <w:r w:rsidR="00457FD2" w:rsidRPr="00047A9D">
        <w:rPr>
          <w:rFonts w:ascii="Times New Roman" w:hAnsi="Times New Roman" w:cs="Times New Roman"/>
          <w:sz w:val="22"/>
          <w:szCs w:val="22"/>
        </w:rPr>
        <w:t xml:space="preserve"> Marshal School’, pp.101, 102. </w:t>
      </w:r>
    </w:p>
  </w:footnote>
  <w:footnote w:id="958">
    <w:p w14:paraId="579FE0D2" w14:textId="75563EED" w:rsidR="00457FD2" w:rsidRPr="00047A9D" w:rsidRDefault="00457FD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D465ED" w:rsidRPr="00047A9D">
        <w:rPr>
          <w:rFonts w:ascii="Times New Roman" w:hAnsi="Times New Roman" w:cs="Times New Roman"/>
          <w:sz w:val="22"/>
          <w:szCs w:val="22"/>
        </w:rPr>
        <w:t>Gurnah, ‘Earl Marshal School’, p</w:t>
      </w:r>
      <w:r w:rsidR="00DC41A0" w:rsidRPr="00047A9D">
        <w:rPr>
          <w:rFonts w:ascii="Times New Roman" w:hAnsi="Times New Roman" w:cs="Times New Roman"/>
          <w:sz w:val="22"/>
          <w:szCs w:val="22"/>
        </w:rPr>
        <w:t>.</w:t>
      </w:r>
      <w:r w:rsidR="00D465ED" w:rsidRPr="00047A9D">
        <w:rPr>
          <w:rFonts w:ascii="Times New Roman" w:hAnsi="Times New Roman" w:cs="Times New Roman"/>
          <w:sz w:val="22"/>
          <w:szCs w:val="22"/>
        </w:rPr>
        <w:t>98</w:t>
      </w:r>
      <w:r w:rsidR="00DC41A0" w:rsidRPr="00047A9D">
        <w:rPr>
          <w:rFonts w:ascii="Times New Roman" w:hAnsi="Times New Roman" w:cs="Times New Roman"/>
          <w:sz w:val="22"/>
          <w:szCs w:val="22"/>
        </w:rPr>
        <w:t xml:space="preserve">; </w:t>
      </w:r>
      <w:r w:rsidR="00566BF6" w:rsidRPr="00047A9D">
        <w:rPr>
          <w:rFonts w:ascii="Times New Roman" w:hAnsi="Times New Roman" w:cs="Times New Roman"/>
          <w:sz w:val="22"/>
          <w:szCs w:val="22"/>
        </w:rPr>
        <w:t>Searle, ‘OFSTEDed, Blunketted and Permanently Excluded’, pp.26</w:t>
      </w:r>
      <w:r w:rsidR="00DC41A0" w:rsidRPr="00047A9D">
        <w:rPr>
          <w:rFonts w:ascii="Times New Roman" w:hAnsi="Times New Roman" w:cs="Times New Roman"/>
          <w:sz w:val="22"/>
          <w:szCs w:val="22"/>
        </w:rPr>
        <w:t>, 27, 30.</w:t>
      </w:r>
    </w:p>
  </w:footnote>
  <w:footnote w:id="959">
    <w:p w14:paraId="62EC49B1" w14:textId="3EA74B1A" w:rsidR="00CA2A51" w:rsidRPr="00047A9D" w:rsidRDefault="00CA2A5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E3521" w:rsidRPr="00047A9D">
        <w:rPr>
          <w:rFonts w:ascii="Times New Roman" w:hAnsi="Times New Roman" w:cs="Times New Roman"/>
          <w:sz w:val="22"/>
          <w:szCs w:val="22"/>
        </w:rPr>
        <w:t>Searle accepted that the results were not good enough. However, t</w:t>
      </w:r>
      <w:r w:rsidR="00750688" w:rsidRPr="00047A9D">
        <w:rPr>
          <w:rFonts w:ascii="Times New Roman" w:hAnsi="Times New Roman" w:cs="Times New Roman"/>
          <w:sz w:val="22"/>
          <w:szCs w:val="22"/>
        </w:rPr>
        <w:t xml:space="preserve">he notion that this was a general pattern, or that results were </w:t>
      </w:r>
      <w:r w:rsidR="00AA01A1" w:rsidRPr="00047A9D">
        <w:rPr>
          <w:rFonts w:ascii="Times New Roman" w:hAnsi="Times New Roman" w:cs="Times New Roman"/>
          <w:sz w:val="22"/>
          <w:szCs w:val="22"/>
        </w:rPr>
        <w:t xml:space="preserve">significantly </w:t>
      </w:r>
      <w:r w:rsidR="00750688" w:rsidRPr="00047A9D">
        <w:rPr>
          <w:rFonts w:ascii="Times New Roman" w:hAnsi="Times New Roman" w:cs="Times New Roman"/>
          <w:sz w:val="22"/>
          <w:szCs w:val="22"/>
        </w:rPr>
        <w:t>out of step with</w:t>
      </w:r>
      <w:r w:rsidR="00AA01A1" w:rsidRPr="00047A9D">
        <w:rPr>
          <w:rFonts w:ascii="Times New Roman" w:hAnsi="Times New Roman" w:cs="Times New Roman"/>
          <w:sz w:val="22"/>
          <w:szCs w:val="22"/>
        </w:rPr>
        <w:t xml:space="preserve"> other</w:t>
      </w:r>
      <w:r w:rsidR="00750688" w:rsidRPr="00047A9D">
        <w:rPr>
          <w:rFonts w:ascii="Times New Roman" w:hAnsi="Times New Roman" w:cs="Times New Roman"/>
          <w:sz w:val="22"/>
          <w:szCs w:val="22"/>
        </w:rPr>
        <w:t xml:space="preserve"> schools</w:t>
      </w:r>
      <w:r w:rsidR="001137B7" w:rsidRPr="00047A9D">
        <w:rPr>
          <w:rFonts w:ascii="Times New Roman" w:hAnsi="Times New Roman" w:cs="Times New Roman"/>
          <w:sz w:val="22"/>
          <w:szCs w:val="22"/>
        </w:rPr>
        <w:t xml:space="preserve"> drawing on similar demographic bases</w:t>
      </w:r>
      <w:r w:rsidR="00AA01A1" w:rsidRPr="00047A9D">
        <w:rPr>
          <w:rFonts w:ascii="Times New Roman" w:hAnsi="Times New Roman" w:cs="Times New Roman"/>
          <w:sz w:val="22"/>
          <w:szCs w:val="22"/>
        </w:rPr>
        <w:t>,</w:t>
      </w:r>
      <w:r w:rsidR="00750688" w:rsidRPr="00047A9D">
        <w:rPr>
          <w:rFonts w:ascii="Times New Roman" w:hAnsi="Times New Roman" w:cs="Times New Roman"/>
          <w:sz w:val="22"/>
          <w:szCs w:val="22"/>
        </w:rPr>
        <w:t xml:space="preserve"> was contested by </w:t>
      </w:r>
      <w:r w:rsidR="00FE3521" w:rsidRPr="00047A9D">
        <w:rPr>
          <w:rFonts w:ascii="Times New Roman" w:hAnsi="Times New Roman" w:cs="Times New Roman"/>
          <w:sz w:val="22"/>
          <w:szCs w:val="22"/>
        </w:rPr>
        <w:t>the headmaster</w:t>
      </w:r>
      <w:r w:rsidR="00AA01A1" w:rsidRPr="00047A9D">
        <w:rPr>
          <w:rFonts w:ascii="Times New Roman" w:hAnsi="Times New Roman" w:cs="Times New Roman"/>
          <w:sz w:val="22"/>
          <w:szCs w:val="22"/>
        </w:rPr>
        <w:t xml:space="preserve"> and his supporters.</w:t>
      </w:r>
      <w:r w:rsidR="001137B7" w:rsidRPr="00047A9D">
        <w:rPr>
          <w:rFonts w:ascii="Times New Roman" w:hAnsi="Times New Roman" w:cs="Times New Roman"/>
          <w:sz w:val="22"/>
          <w:szCs w:val="22"/>
        </w:rPr>
        <w:t xml:space="preserve"> See </w:t>
      </w:r>
      <w:r w:rsidR="00E43612" w:rsidRPr="00047A9D">
        <w:rPr>
          <w:rFonts w:ascii="Times New Roman" w:hAnsi="Times New Roman" w:cs="Times New Roman"/>
          <w:sz w:val="22"/>
          <w:szCs w:val="22"/>
        </w:rPr>
        <w:t xml:space="preserve">Fran Abrams, 'Sacked </w:t>
      </w:r>
      <w:r w:rsidR="007326B1" w:rsidRPr="00047A9D">
        <w:rPr>
          <w:rFonts w:ascii="Times New Roman" w:hAnsi="Times New Roman" w:cs="Times New Roman"/>
          <w:sz w:val="22"/>
          <w:szCs w:val="22"/>
        </w:rPr>
        <w:t>R</w:t>
      </w:r>
      <w:r w:rsidR="00E43612" w:rsidRPr="00047A9D">
        <w:rPr>
          <w:rFonts w:ascii="Times New Roman" w:hAnsi="Times New Roman" w:cs="Times New Roman"/>
          <w:sz w:val="22"/>
          <w:szCs w:val="22"/>
        </w:rPr>
        <w:t xml:space="preserve">adical </w:t>
      </w:r>
      <w:r w:rsidR="007326B1" w:rsidRPr="00047A9D">
        <w:rPr>
          <w:rFonts w:ascii="Times New Roman" w:hAnsi="Times New Roman" w:cs="Times New Roman"/>
          <w:sz w:val="22"/>
          <w:szCs w:val="22"/>
        </w:rPr>
        <w:t>H</w:t>
      </w:r>
      <w:r w:rsidR="00E43612" w:rsidRPr="00047A9D">
        <w:rPr>
          <w:rFonts w:ascii="Times New Roman" w:hAnsi="Times New Roman" w:cs="Times New Roman"/>
          <w:sz w:val="22"/>
          <w:szCs w:val="22"/>
        </w:rPr>
        <w:t xml:space="preserve">ead </w:t>
      </w:r>
      <w:r w:rsidR="007326B1" w:rsidRPr="00047A9D">
        <w:rPr>
          <w:rFonts w:ascii="Times New Roman" w:hAnsi="Times New Roman" w:cs="Times New Roman"/>
          <w:sz w:val="22"/>
          <w:szCs w:val="22"/>
        </w:rPr>
        <w:t>D</w:t>
      </w:r>
      <w:r w:rsidR="00E43612" w:rsidRPr="00047A9D">
        <w:rPr>
          <w:rFonts w:ascii="Times New Roman" w:hAnsi="Times New Roman" w:cs="Times New Roman"/>
          <w:sz w:val="22"/>
          <w:szCs w:val="22"/>
        </w:rPr>
        <w:t xml:space="preserve">oomed to </w:t>
      </w:r>
      <w:r w:rsidR="007326B1" w:rsidRPr="00047A9D">
        <w:rPr>
          <w:rFonts w:ascii="Times New Roman" w:hAnsi="Times New Roman" w:cs="Times New Roman"/>
          <w:sz w:val="22"/>
          <w:szCs w:val="22"/>
        </w:rPr>
        <w:t>R</w:t>
      </w:r>
      <w:r w:rsidR="00E43612" w:rsidRPr="00047A9D">
        <w:rPr>
          <w:rFonts w:ascii="Times New Roman" w:hAnsi="Times New Roman" w:cs="Times New Roman"/>
          <w:sz w:val="22"/>
          <w:szCs w:val="22"/>
        </w:rPr>
        <w:t xml:space="preserve">epeat the </w:t>
      </w:r>
      <w:r w:rsidR="007326B1" w:rsidRPr="00047A9D">
        <w:rPr>
          <w:rFonts w:ascii="Times New Roman" w:hAnsi="Times New Roman" w:cs="Times New Roman"/>
          <w:sz w:val="22"/>
          <w:szCs w:val="22"/>
        </w:rPr>
        <w:t>L</w:t>
      </w:r>
      <w:r w:rsidR="00E43612" w:rsidRPr="00047A9D">
        <w:rPr>
          <w:rFonts w:ascii="Times New Roman" w:hAnsi="Times New Roman" w:cs="Times New Roman"/>
          <w:sz w:val="22"/>
          <w:szCs w:val="22"/>
        </w:rPr>
        <w:t xml:space="preserve">essons of </w:t>
      </w:r>
      <w:r w:rsidR="007326B1" w:rsidRPr="00047A9D">
        <w:rPr>
          <w:rFonts w:ascii="Times New Roman" w:hAnsi="Times New Roman" w:cs="Times New Roman"/>
          <w:sz w:val="22"/>
          <w:szCs w:val="22"/>
        </w:rPr>
        <w:t>H</w:t>
      </w:r>
      <w:r w:rsidR="00E43612" w:rsidRPr="00047A9D">
        <w:rPr>
          <w:rFonts w:ascii="Times New Roman" w:hAnsi="Times New Roman" w:cs="Times New Roman"/>
          <w:sz w:val="22"/>
          <w:szCs w:val="22"/>
        </w:rPr>
        <w:t>istory</w:t>
      </w:r>
      <w:r w:rsidR="007326B1" w:rsidRPr="00047A9D">
        <w:rPr>
          <w:rFonts w:ascii="Times New Roman" w:hAnsi="Times New Roman" w:cs="Times New Roman"/>
          <w:sz w:val="22"/>
          <w:szCs w:val="22"/>
        </w:rPr>
        <w:t>’</w:t>
      </w:r>
      <w:r w:rsidR="00E43612" w:rsidRPr="00047A9D">
        <w:rPr>
          <w:rFonts w:ascii="Times New Roman" w:hAnsi="Times New Roman" w:cs="Times New Roman"/>
          <w:sz w:val="22"/>
          <w:szCs w:val="22"/>
        </w:rPr>
        <w:t xml:space="preserve">, </w:t>
      </w:r>
      <w:r w:rsidR="00E43612" w:rsidRPr="00047A9D">
        <w:rPr>
          <w:rFonts w:ascii="Times New Roman" w:hAnsi="Times New Roman" w:cs="Times New Roman"/>
          <w:i/>
          <w:sz w:val="22"/>
          <w:szCs w:val="22"/>
        </w:rPr>
        <w:t>Independent</w:t>
      </w:r>
      <w:r w:rsidR="00E43612" w:rsidRPr="00047A9D">
        <w:rPr>
          <w:rFonts w:ascii="Times New Roman" w:hAnsi="Times New Roman" w:cs="Times New Roman"/>
          <w:sz w:val="22"/>
          <w:szCs w:val="22"/>
        </w:rPr>
        <w:t>, 31 December 1995</w:t>
      </w:r>
      <w:r w:rsidR="006B3639" w:rsidRPr="00047A9D">
        <w:rPr>
          <w:rFonts w:ascii="Times New Roman" w:hAnsi="Times New Roman" w:cs="Times New Roman"/>
          <w:sz w:val="22"/>
          <w:szCs w:val="22"/>
        </w:rPr>
        <w:t xml:space="preserve"> </w:t>
      </w:r>
      <w:r w:rsidR="00E43612" w:rsidRPr="00047A9D">
        <w:rPr>
          <w:rFonts w:ascii="Times New Roman" w:hAnsi="Times New Roman" w:cs="Times New Roman"/>
          <w:sz w:val="22"/>
          <w:szCs w:val="22"/>
        </w:rPr>
        <w:t>&lt;</w:t>
      </w:r>
      <w:r w:rsidR="001137B7" w:rsidRPr="00047A9D">
        <w:rPr>
          <w:rFonts w:ascii="Times New Roman" w:hAnsi="Times New Roman" w:cs="Times New Roman"/>
          <w:sz w:val="22"/>
          <w:szCs w:val="22"/>
        </w:rPr>
        <w:t>https://www.independent.co.uk/news/uk/home-news/sacked-radical-head-doomed-to-repeat-the-lessons-of-history-1527916.html</w:t>
      </w:r>
      <w:r w:rsidR="007326B1" w:rsidRPr="00047A9D">
        <w:rPr>
          <w:rFonts w:ascii="Times New Roman" w:hAnsi="Times New Roman" w:cs="Times New Roman"/>
          <w:sz w:val="22"/>
          <w:szCs w:val="22"/>
        </w:rPr>
        <w:t xml:space="preserve">&gt; </w:t>
      </w:r>
      <w:r w:rsidR="00C91D11" w:rsidRPr="00047A9D">
        <w:rPr>
          <w:rFonts w:ascii="Times New Roman" w:hAnsi="Times New Roman" w:cs="Times New Roman"/>
          <w:sz w:val="22"/>
          <w:szCs w:val="22"/>
        </w:rPr>
        <w:t xml:space="preserve">[last accessed 20 January 2025]; </w:t>
      </w:r>
      <w:r w:rsidR="00685133" w:rsidRPr="00047A9D">
        <w:rPr>
          <w:rFonts w:ascii="Times New Roman" w:hAnsi="Times New Roman" w:cs="Times New Roman"/>
          <w:sz w:val="22"/>
          <w:szCs w:val="22"/>
        </w:rPr>
        <w:t>Searle, ‘OFSTEDed, Blunketted and Permanently Excluded’, p.24.</w:t>
      </w:r>
    </w:p>
  </w:footnote>
  <w:footnote w:id="960">
    <w:p w14:paraId="3DAF521E" w14:textId="71A59EB7" w:rsidR="00C31C4F" w:rsidRPr="00047A9D" w:rsidRDefault="00C31C4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Searle, ‘OFSTEDed, Blunketted and Permanently Excluded’, p.30.</w:t>
      </w:r>
    </w:p>
  </w:footnote>
  <w:footnote w:id="961">
    <w:p w14:paraId="59F66979" w14:textId="63D1B0FB" w:rsidR="007C22F3" w:rsidRPr="00047A9D" w:rsidRDefault="007C22F3"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A93460" w:rsidRPr="00047A9D">
        <w:rPr>
          <w:rFonts w:ascii="Times New Roman" w:hAnsi="Times New Roman" w:cs="Times New Roman"/>
          <w:sz w:val="22"/>
          <w:szCs w:val="22"/>
        </w:rPr>
        <w:t>Gurnah, ‘Earl Marshal School’, p.101.</w:t>
      </w:r>
    </w:p>
  </w:footnote>
  <w:footnote w:id="962">
    <w:p w14:paraId="561A4EB6" w14:textId="228CBE3E" w:rsidR="00A93460" w:rsidRPr="00047A9D" w:rsidRDefault="00A93460"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80589A" w:rsidRPr="00047A9D">
        <w:rPr>
          <w:rFonts w:ascii="Times New Roman" w:hAnsi="Times New Roman" w:cs="Times New Roman"/>
          <w:sz w:val="22"/>
          <w:szCs w:val="22"/>
        </w:rPr>
        <w:t>Searle, ‘OFSTEDed, Blunketted and Permanently Excluded’, pp.32-33</w:t>
      </w:r>
    </w:p>
  </w:footnote>
  <w:footnote w:id="963">
    <w:p w14:paraId="02319268" w14:textId="2EEA8C23" w:rsidR="0080589A" w:rsidRPr="00047A9D" w:rsidRDefault="0080589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B45FA" w:rsidRPr="00047A9D">
        <w:rPr>
          <w:rFonts w:ascii="Times New Roman" w:hAnsi="Times New Roman" w:cs="Times New Roman"/>
          <w:sz w:val="22"/>
          <w:szCs w:val="22"/>
        </w:rPr>
        <w:t xml:space="preserve">Mark Whitehead, ‘Results are Not Ideal’, </w:t>
      </w:r>
      <w:r w:rsidR="000B45FA" w:rsidRPr="00047A9D">
        <w:rPr>
          <w:rFonts w:ascii="Times New Roman" w:hAnsi="Times New Roman" w:cs="Times New Roman"/>
          <w:i/>
          <w:sz w:val="22"/>
          <w:szCs w:val="22"/>
        </w:rPr>
        <w:t>TES</w:t>
      </w:r>
      <w:r w:rsidR="000B45FA" w:rsidRPr="00047A9D">
        <w:rPr>
          <w:rFonts w:ascii="Times New Roman" w:hAnsi="Times New Roman" w:cs="Times New Roman"/>
          <w:sz w:val="22"/>
          <w:szCs w:val="22"/>
        </w:rPr>
        <w:t>, 27 June 1997</w:t>
      </w:r>
      <w:r w:rsidR="00376034" w:rsidRPr="00047A9D">
        <w:rPr>
          <w:rFonts w:ascii="Times New Roman" w:hAnsi="Times New Roman" w:cs="Times New Roman"/>
          <w:sz w:val="22"/>
          <w:szCs w:val="22"/>
        </w:rPr>
        <w:t xml:space="preserve"> </w:t>
      </w:r>
      <w:r w:rsidR="000B45FA" w:rsidRPr="00047A9D">
        <w:rPr>
          <w:rFonts w:ascii="Times New Roman" w:hAnsi="Times New Roman" w:cs="Times New Roman"/>
          <w:sz w:val="22"/>
          <w:szCs w:val="22"/>
        </w:rPr>
        <w:t>&lt;https://www.tes.com/magazine/archive/results-are-not-ideal&gt; [last accessed 20 January 2025].</w:t>
      </w:r>
    </w:p>
  </w:footnote>
  <w:footnote w:id="964">
    <w:p w14:paraId="5D59F0D8" w14:textId="50D6EAFD" w:rsidR="00736ACF" w:rsidRPr="00047A9D" w:rsidRDefault="00736AC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Searle, ‘OFSTEDed, Blunketted and Permanently Excluded’, p.35.</w:t>
      </w:r>
    </w:p>
  </w:footnote>
  <w:footnote w:id="965">
    <w:p w14:paraId="253ACFA7" w14:textId="4808796C" w:rsidR="00A1707F" w:rsidRPr="00047A9D" w:rsidRDefault="00A1707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51205B" w:rsidRPr="00047A9D">
        <w:rPr>
          <w:rFonts w:ascii="Times New Roman" w:hAnsi="Times New Roman" w:cs="Times New Roman"/>
          <w:sz w:val="22"/>
          <w:szCs w:val="22"/>
        </w:rPr>
        <w:t xml:space="preserve">Richard Garner, ‘“Shamed'” School Praised by Ofsted After Revamp’, </w:t>
      </w:r>
      <w:r w:rsidR="0051205B" w:rsidRPr="00047A9D">
        <w:rPr>
          <w:rFonts w:ascii="Times New Roman" w:hAnsi="Times New Roman" w:cs="Times New Roman"/>
          <w:i/>
          <w:sz w:val="22"/>
          <w:szCs w:val="22"/>
        </w:rPr>
        <w:t>Independent</w:t>
      </w:r>
      <w:r w:rsidR="0051205B" w:rsidRPr="00047A9D">
        <w:rPr>
          <w:rFonts w:ascii="Times New Roman" w:hAnsi="Times New Roman" w:cs="Times New Roman"/>
          <w:sz w:val="22"/>
          <w:szCs w:val="22"/>
        </w:rPr>
        <w:t>, 11 January 2002</w:t>
      </w:r>
      <w:r w:rsidR="006B3639" w:rsidRPr="00047A9D">
        <w:rPr>
          <w:rFonts w:ascii="Times New Roman" w:hAnsi="Times New Roman" w:cs="Times New Roman"/>
          <w:sz w:val="22"/>
          <w:szCs w:val="22"/>
        </w:rPr>
        <w:t xml:space="preserve"> </w:t>
      </w:r>
      <w:r w:rsidR="0051205B" w:rsidRPr="00047A9D">
        <w:rPr>
          <w:rFonts w:ascii="Times New Roman" w:hAnsi="Times New Roman" w:cs="Times New Roman"/>
          <w:sz w:val="22"/>
          <w:szCs w:val="22"/>
        </w:rPr>
        <w:t>&lt;https://www.independent.co.uk/news/education/education-news/shamed-school-praised-by-ofsted-after-revamp-9169784.html&gt; [last accessed 20 January 2025].</w:t>
      </w:r>
    </w:p>
  </w:footnote>
  <w:footnote w:id="966">
    <w:p w14:paraId="365EA7FD" w14:textId="0C89F5D4" w:rsidR="007756F2" w:rsidRPr="00047A9D" w:rsidRDefault="007756F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02F30" w:rsidRPr="00047A9D">
        <w:rPr>
          <w:rFonts w:ascii="Times New Roman" w:hAnsi="Times New Roman" w:cs="Times New Roman"/>
          <w:sz w:val="22"/>
          <w:szCs w:val="22"/>
        </w:rPr>
        <w:t>Gurnah, ‘Earl Marshal School’, p.100.</w:t>
      </w:r>
    </w:p>
  </w:footnote>
  <w:footnote w:id="967">
    <w:p w14:paraId="519BF7D0" w14:textId="694390DF" w:rsidR="00CD5164" w:rsidRPr="00047A9D" w:rsidRDefault="00CD5164"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032F4E" w:rsidRPr="00047A9D">
        <w:rPr>
          <w:rFonts w:ascii="Times New Roman" w:hAnsi="Times New Roman" w:cs="Times New Roman"/>
          <w:sz w:val="22"/>
          <w:szCs w:val="22"/>
        </w:rPr>
        <w:t>Searle, ‘OFSTEDed, Blunketted and Permanently Excluded’, p.36.</w:t>
      </w:r>
    </w:p>
  </w:footnote>
  <w:footnote w:id="968">
    <w:p w14:paraId="1EF0DC38" w14:textId="40656254" w:rsidR="00847A4C" w:rsidRPr="00047A9D" w:rsidRDefault="00847A4C"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197375" w:rsidRPr="00047A9D">
        <w:rPr>
          <w:rFonts w:ascii="Times New Roman" w:hAnsi="Times New Roman" w:cs="Times New Roman"/>
          <w:sz w:val="22"/>
          <w:szCs w:val="22"/>
        </w:rPr>
        <w:t>Anna Carlile, ‘An Ethnography of Permanent Exclusion from School: Revealing and Untangling the Threads of Institutionalised Racism’, </w:t>
      </w:r>
      <w:r w:rsidR="00197375" w:rsidRPr="00047A9D">
        <w:rPr>
          <w:rFonts w:ascii="Times New Roman" w:hAnsi="Times New Roman" w:cs="Times New Roman"/>
          <w:i/>
          <w:iCs/>
          <w:sz w:val="22"/>
          <w:szCs w:val="22"/>
        </w:rPr>
        <w:t>Race, Ethnicity and Education</w:t>
      </w:r>
      <w:r w:rsidR="00197375" w:rsidRPr="00047A9D">
        <w:rPr>
          <w:rFonts w:ascii="Times New Roman" w:hAnsi="Times New Roman" w:cs="Times New Roman"/>
          <w:sz w:val="22"/>
          <w:szCs w:val="22"/>
        </w:rPr>
        <w:t xml:space="preserve"> 15.2 (2012), 175–94.</w:t>
      </w:r>
    </w:p>
  </w:footnote>
  <w:footnote w:id="969">
    <w:p w14:paraId="27C92BA0" w14:textId="77777777" w:rsidR="007C4DF1" w:rsidRPr="00047A9D" w:rsidRDefault="007C4DF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I have not been able to corroborate the claim, made by John D Clare. See transcript of interview with John D. Clare, p.24. </w:t>
      </w:r>
    </w:p>
  </w:footnote>
  <w:footnote w:id="970">
    <w:p w14:paraId="4AE74F2F" w14:textId="77777777" w:rsidR="00E3242A" w:rsidRPr="00047A9D" w:rsidRDefault="00E3242A"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Transcript of interview with Chris Culpin, p.14.</w:t>
      </w:r>
    </w:p>
  </w:footnote>
  <w:footnote w:id="971">
    <w:p w14:paraId="131FDEE2" w14:textId="38B4E5BF" w:rsidR="00FB4B58" w:rsidRPr="00047A9D" w:rsidRDefault="00FB4B58"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947B1E" w:rsidRPr="00047A9D">
        <w:rPr>
          <w:rFonts w:ascii="Times New Roman" w:hAnsi="Times New Roman" w:cs="Times New Roman"/>
          <w:sz w:val="22"/>
          <w:szCs w:val="22"/>
        </w:rPr>
        <w:t xml:space="preserve">Raphael Samuel, ‘Continuous National History’, </w:t>
      </w:r>
      <w:r w:rsidR="0081652D" w:rsidRPr="00047A9D">
        <w:rPr>
          <w:rFonts w:ascii="Times New Roman" w:hAnsi="Times New Roman" w:cs="Times New Roman"/>
          <w:sz w:val="22"/>
          <w:szCs w:val="22"/>
        </w:rPr>
        <w:t xml:space="preserve">in Raphael Samuel (ed.), </w:t>
      </w:r>
      <w:r w:rsidR="00947B1E" w:rsidRPr="00047A9D">
        <w:rPr>
          <w:rFonts w:ascii="Times New Roman" w:hAnsi="Times New Roman" w:cs="Times New Roman"/>
          <w:i/>
          <w:sz w:val="22"/>
          <w:szCs w:val="22"/>
        </w:rPr>
        <w:t>Patriotism</w:t>
      </w:r>
      <w:r w:rsidR="00947B1E" w:rsidRPr="00047A9D">
        <w:rPr>
          <w:rFonts w:ascii="Times New Roman" w:hAnsi="Times New Roman" w:cs="Times New Roman"/>
          <w:sz w:val="22"/>
          <w:szCs w:val="22"/>
        </w:rPr>
        <w:t xml:space="preserve">: </w:t>
      </w:r>
      <w:r w:rsidR="00947B1E" w:rsidRPr="00047A9D">
        <w:rPr>
          <w:rFonts w:ascii="Times New Roman" w:hAnsi="Times New Roman" w:cs="Times New Roman"/>
          <w:i/>
          <w:sz w:val="22"/>
          <w:szCs w:val="22"/>
        </w:rPr>
        <w:t>The Making and Unmaking of British National Identity</w:t>
      </w:r>
      <w:r w:rsidR="0081652D" w:rsidRPr="00047A9D">
        <w:rPr>
          <w:rFonts w:ascii="Times New Roman" w:hAnsi="Times New Roman" w:cs="Times New Roman"/>
          <w:i/>
          <w:sz w:val="22"/>
          <w:szCs w:val="22"/>
        </w:rPr>
        <w:t>,</w:t>
      </w:r>
      <w:r w:rsidR="00F1236C" w:rsidRPr="00047A9D">
        <w:rPr>
          <w:rFonts w:ascii="Times New Roman" w:hAnsi="Times New Roman" w:cs="Times New Roman"/>
          <w:i/>
          <w:sz w:val="22"/>
          <w:szCs w:val="22"/>
        </w:rPr>
        <w:t xml:space="preserve"> Volume 1: History and </w:t>
      </w:r>
      <w:r w:rsidR="00AB3BAD" w:rsidRPr="00047A9D">
        <w:rPr>
          <w:rFonts w:ascii="Times New Roman" w:hAnsi="Times New Roman" w:cs="Times New Roman"/>
          <w:i/>
          <w:sz w:val="22"/>
          <w:szCs w:val="22"/>
        </w:rPr>
        <w:t xml:space="preserve">Politics </w:t>
      </w:r>
      <w:r w:rsidR="00AB3BAD" w:rsidRPr="00047A9D">
        <w:rPr>
          <w:rFonts w:ascii="Times New Roman" w:hAnsi="Times New Roman" w:cs="Times New Roman"/>
          <w:sz w:val="22"/>
          <w:szCs w:val="22"/>
        </w:rPr>
        <w:t>(</w:t>
      </w:r>
      <w:r w:rsidR="00AA6876" w:rsidRPr="00047A9D">
        <w:rPr>
          <w:rFonts w:ascii="Times New Roman" w:hAnsi="Times New Roman" w:cs="Times New Roman"/>
          <w:sz w:val="22"/>
          <w:szCs w:val="22"/>
        </w:rPr>
        <w:t>London: Routledge, 1989),</w:t>
      </w:r>
      <w:r w:rsidR="0081652D" w:rsidRPr="00047A9D">
        <w:rPr>
          <w:rFonts w:ascii="Times New Roman" w:hAnsi="Times New Roman" w:cs="Times New Roman"/>
          <w:i/>
          <w:sz w:val="22"/>
          <w:szCs w:val="22"/>
        </w:rPr>
        <w:t xml:space="preserve"> </w:t>
      </w:r>
      <w:r w:rsidR="0081652D" w:rsidRPr="00047A9D">
        <w:rPr>
          <w:rFonts w:ascii="Times New Roman" w:hAnsi="Times New Roman" w:cs="Times New Roman"/>
          <w:sz w:val="22"/>
          <w:szCs w:val="22"/>
        </w:rPr>
        <w:t>9-</w:t>
      </w:r>
      <w:r w:rsidR="00DA1ECB" w:rsidRPr="00047A9D">
        <w:rPr>
          <w:rFonts w:ascii="Times New Roman" w:hAnsi="Times New Roman" w:cs="Times New Roman"/>
          <w:sz w:val="22"/>
          <w:szCs w:val="22"/>
        </w:rPr>
        <w:t>17</w:t>
      </w:r>
      <w:r w:rsidR="0081652D" w:rsidRPr="00047A9D">
        <w:rPr>
          <w:rFonts w:ascii="Times New Roman" w:hAnsi="Times New Roman" w:cs="Times New Roman"/>
          <w:sz w:val="22"/>
          <w:szCs w:val="22"/>
        </w:rPr>
        <w:t>, p.9.</w:t>
      </w:r>
    </w:p>
  </w:footnote>
  <w:footnote w:id="972">
    <w:p w14:paraId="638C915F" w14:textId="34CCB56F" w:rsidR="0047312F" w:rsidRPr="00047A9D" w:rsidRDefault="0047312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Samuel, ‘The Return of History’</w:t>
      </w:r>
      <w:r w:rsidR="00F77621" w:rsidRPr="00047A9D">
        <w:rPr>
          <w:rFonts w:ascii="Times New Roman" w:hAnsi="Times New Roman" w:cs="Times New Roman"/>
          <w:sz w:val="22"/>
          <w:szCs w:val="22"/>
        </w:rPr>
        <w:t>.</w:t>
      </w:r>
    </w:p>
  </w:footnote>
  <w:footnote w:id="973">
    <w:p w14:paraId="22B1CB5F" w14:textId="32B8D32C" w:rsidR="0047312F" w:rsidRPr="00047A9D" w:rsidRDefault="0047312F" w:rsidP="00D839D4">
      <w:pPr>
        <w:pStyle w:val="FootnoteText"/>
        <w:spacing w:line="360" w:lineRule="auto"/>
        <w:rPr>
          <w:rFonts w:ascii="Times New Roman" w:hAnsi="Times New Roman" w:cs="Times New Roman"/>
          <w:b/>
          <w:b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Tim Adams, ‘“I’m </w:t>
      </w:r>
      <w:r w:rsidR="00DD6259" w:rsidRPr="00047A9D">
        <w:rPr>
          <w:rFonts w:ascii="Times New Roman" w:hAnsi="Times New Roman" w:cs="Times New Roman"/>
          <w:sz w:val="22"/>
          <w:szCs w:val="22"/>
        </w:rPr>
        <w:t>N</w:t>
      </w:r>
      <w:r w:rsidRPr="00047A9D">
        <w:rPr>
          <w:rFonts w:ascii="Times New Roman" w:hAnsi="Times New Roman" w:cs="Times New Roman"/>
          <w:sz w:val="22"/>
          <w:szCs w:val="22"/>
        </w:rPr>
        <w:t xml:space="preserve">ot </w:t>
      </w:r>
      <w:r w:rsidR="00DD6259" w:rsidRPr="00047A9D">
        <w:rPr>
          <w:rFonts w:ascii="Times New Roman" w:hAnsi="Times New Roman" w:cs="Times New Roman"/>
          <w:sz w:val="22"/>
          <w:szCs w:val="22"/>
        </w:rPr>
        <w:t>A</w:t>
      </w:r>
      <w:r w:rsidRPr="00047A9D">
        <w:rPr>
          <w:rFonts w:ascii="Times New Roman" w:hAnsi="Times New Roman" w:cs="Times New Roman"/>
          <w:sz w:val="22"/>
          <w:szCs w:val="22"/>
        </w:rPr>
        <w:t xml:space="preserve">fraid of </w:t>
      </w:r>
      <w:r w:rsidR="00DD6259" w:rsidRPr="00047A9D">
        <w:rPr>
          <w:rFonts w:ascii="Times New Roman" w:hAnsi="Times New Roman" w:cs="Times New Roman"/>
          <w:sz w:val="22"/>
          <w:szCs w:val="22"/>
        </w:rPr>
        <w:t>A</w:t>
      </w:r>
      <w:r w:rsidRPr="00047A9D">
        <w:rPr>
          <w:rFonts w:ascii="Times New Roman" w:hAnsi="Times New Roman" w:cs="Times New Roman"/>
          <w:sz w:val="22"/>
          <w:szCs w:val="22"/>
        </w:rPr>
        <w:t xml:space="preserve">nybody </w:t>
      </w:r>
      <w:r w:rsidR="00DD6259" w:rsidRPr="00047A9D">
        <w:rPr>
          <w:rFonts w:ascii="Times New Roman" w:hAnsi="Times New Roman" w:cs="Times New Roman"/>
          <w:sz w:val="22"/>
          <w:szCs w:val="22"/>
        </w:rPr>
        <w:t>N</w:t>
      </w:r>
      <w:r w:rsidRPr="00047A9D">
        <w:rPr>
          <w:rFonts w:ascii="Times New Roman" w:hAnsi="Times New Roman" w:cs="Times New Roman"/>
          <w:sz w:val="22"/>
          <w:szCs w:val="22"/>
        </w:rPr>
        <w:t xml:space="preserve">ow”: The Woman Who Revealed Links Between National Trust Houses and Slavery – and </w:t>
      </w:r>
      <w:r w:rsidR="00DD6259" w:rsidRPr="00047A9D">
        <w:rPr>
          <w:rFonts w:ascii="Times New Roman" w:hAnsi="Times New Roman" w:cs="Times New Roman"/>
          <w:sz w:val="22"/>
          <w:szCs w:val="22"/>
        </w:rPr>
        <w:t>w</w:t>
      </w:r>
      <w:r w:rsidRPr="00047A9D">
        <w:rPr>
          <w:rFonts w:ascii="Times New Roman" w:hAnsi="Times New Roman" w:cs="Times New Roman"/>
          <w:sz w:val="22"/>
          <w:szCs w:val="22"/>
        </w:rPr>
        <w:t xml:space="preserve">as </w:t>
      </w:r>
      <w:r w:rsidR="00DD6259" w:rsidRPr="00047A9D">
        <w:rPr>
          <w:rFonts w:ascii="Times New Roman" w:hAnsi="Times New Roman" w:cs="Times New Roman"/>
          <w:sz w:val="22"/>
          <w:szCs w:val="22"/>
        </w:rPr>
        <w:t>V</w:t>
      </w:r>
      <w:r w:rsidRPr="00047A9D">
        <w:rPr>
          <w:rFonts w:ascii="Times New Roman" w:hAnsi="Times New Roman" w:cs="Times New Roman"/>
          <w:sz w:val="22"/>
          <w:szCs w:val="22"/>
        </w:rPr>
        <w:t xml:space="preserve">ilified’, </w:t>
      </w:r>
      <w:r w:rsidRPr="00047A9D">
        <w:rPr>
          <w:rFonts w:ascii="Times New Roman" w:hAnsi="Times New Roman" w:cs="Times New Roman"/>
          <w:i/>
          <w:sz w:val="22"/>
          <w:szCs w:val="22"/>
        </w:rPr>
        <w:t>Guardian</w:t>
      </w:r>
      <w:r w:rsidRPr="00047A9D">
        <w:rPr>
          <w:rFonts w:ascii="Times New Roman" w:hAnsi="Times New Roman" w:cs="Times New Roman"/>
          <w:sz w:val="22"/>
          <w:szCs w:val="22"/>
        </w:rPr>
        <w:t>, 21 April 2024</w:t>
      </w:r>
      <w:r w:rsidR="00325600">
        <w:rPr>
          <w:rFonts w:ascii="Times New Roman" w:hAnsi="Times New Roman" w:cs="Times New Roman"/>
          <w:sz w:val="22"/>
          <w:szCs w:val="22"/>
        </w:rPr>
        <w:t>,</w:t>
      </w:r>
      <w:r w:rsidR="006B3639" w:rsidRPr="00047A9D">
        <w:rPr>
          <w:rFonts w:ascii="Times New Roman" w:hAnsi="Times New Roman" w:cs="Times New Roman"/>
          <w:sz w:val="22"/>
          <w:szCs w:val="22"/>
        </w:rPr>
        <w:t xml:space="preserve"> </w:t>
      </w:r>
      <w:r w:rsidRPr="00047A9D">
        <w:rPr>
          <w:rFonts w:ascii="Times New Roman" w:hAnsi="Times New Roman" w:cs="Times New Roman"/>
          <w:sz w:val="22"/>
          <w:szCs w:val="22"/>
        </w:rPr>
        <w:t>&lt;https://www.theguardian.com/world/2024/apr/21/corinne-fowler-national-trust-colonialism-our-island-stories&gt; [last accessed 18 January 2024].</w:t>
      </w:r>
    </w:p>
  </w:footnote>
  <w:footnote w:id="974">
    <w:p w14:paraId="19D3B788" w14:textId="778A10E1" w:rsidR="0047312F" w:rsidRPr="00047A9D" w:rsidRDefault="0047312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Brian Murray, ‘Erasing History? Colston in Bristol’, </w:t>
      </w:r>
      <w:r w:rsidRPr="00047A9D">
        <w:rPr>
          <w:rFonts w:ascii="Times New Roman" w:hAnsi="Times New Roman" w:cs="Times New Roman"/>
          <w:i/>
          <w:sz w:val="22"/>
          <w:szCs w:val="22"/>
        </w:rPr>
        <w:t>King’s English</w:t>
      </w:r>
      <w:r w:rsidRPr="00047A9D">
        <w:rPr>
          <w:rFonts w:ascii="Times New Roman" w:hAnsi="Times New Roman" w:cs="Times New Roman"/>
          <w:sz w:val="22"/>
          <w:szCs w:val="22"/>
        </w:rPr>
        <w:t xml:space="preserve">, 11 June 2020 &lt;https://blogs.kcl.ac.uk/english/2020/06/11/colston-in-bristol/&gt; [accessed 26 February 2025]. On related themes, see Mitchell, </w:t>
      </w:r>
      <w:r w:rsidRPr="00047A9D">
        <w:rPr>
          <w:rFonts w:ascii="Times New Roman" w:hAnsi="Times New Roman" w:cs="Times New Roman"/>
          <w:i/>
          <w:sz w:val="22"/>
          <w:szCs w:val="22"/>
        </w:rPr>
        <w:t>Imperial Nostalgia</w:t>
      </w:r>
      <w:r w:rsidRPr="00047A9D">
        <w:rPr>
          <w:rFonts w:ascii="Times New Roman" w:hAnsi="Times New Roman" w:cs="Times New Roman"/>
          <w:sz w:val="22"/>
          <w:szCs w:val="22"/>
        </w:rPr>
        <w:t>, pp.67, 83.</w:t>
      </w:r>
    </w:p>
  </w:footnote>
  <w:footnote w:id="975">
    <w:p w14:paraId="6A34A2D6" w14:textId="4CA14B68" w:rsidR="0047312F" w:rsidRPr="00047A9D" w:rsidRDefault="0047312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Impact of Omission, ‘Survey’</w:t>
      </w:r>
      <w:r w:rsidR="008A40E7" w:rsidRPr="00047A9D">
        <w:rPr>
          <w:rFonts w:ascii="Times New Roman" w:hAnsi="Times New Roman" w:cs="Times New Roman"/>
          <w:sz w:val="22"/>
          <w:szCs w:val="22"/>
        </w:rPr>
        <w:t>.</w:t>
      </w:r>
    </w:p>
  </w:footnote>
  <w:footnote w:id="976">
    <w:p w14:paraId="0057E20F" w14:textId="71624457" w:rsidR="0047312F" w:rsidRPr="00047A9D" w:rsidRDefault="0047312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Anna Leach, Antonio Voce, and Ashley Kirk, ‘Black British History: The Row Over the School Curriculum in England’, </w:t>
      </w:r>
      <w:r w:rsidRPr="00047A9D">
        <w:rPr>
          <w:rFonts w:ascii="Times New Roman" w:hAnsi="Times New Roman" w:cs="Times New Roman"/>
          <w:i/>
          <w:sz w:val="22"/>
          <w:szCs w:val="22"/>
        </w:rPr>
        <w:t>Guardian</w:t>
      </w:r>
      <w:r w:rsidRPr="00047A9D">
        <w:rPr>
          <w:rFonts w:ascii="Times New Roman" w:hAnsi="Times New Roman" w:cs="Times New Roman"/>
          <w:sz w:val="22"/>
          <w:szCs w:val="22"/>
        </w:rPr>
        <w:t>, 13 July 2020</w:t>
      </w:r>
      <w:r w:rsidR="008608E5">
        <w:rPr>
          <w:rFonts w:ascii="Times New Roman" w:hAnsi="Times New Roman" w:cs="Times New Roman"/>
          <w:sz w:val="22"/>
          <w:szCs w:val="22"/>
        </w:rPr>
        <w:t>,</w:t>
      </w:r>
      <w:r w:rsidRPr="00047A9D">
        <w:rPr>
          <w:rFonts w:ascii="Times New Roman" w:hAnsi="Times New Roman" w:cs="Times New Roman"/>
          <w:sz w:val="22"/>
          <w:szCs w:val="22"/>
        </w:rPr>
        <w:t xml:space="preserve"> &lt;https://www.theguardian.com/education/2020/jul/13/black-british-history-school-curriculum-england&gt; [accessed 26 May 2022]; Peter Mandler, ‘History, National Life and the School Curriculum’, Plenary Lecture at the Schools History Project Conference, Leeds, July 2013 &lt;</w:t>
      </w:r>
      <w:r w:rsidR="0070383C" w:rsidRPr="00047A9D">
        <w:rPr>
          <w:rFonts w:ascii="Times New Roman" w:hAnsi="Times New Roman" w:cs="Times New Roman"/>
          <w:sz w:val="22"/>
          <w:szCs w:val="22"/>
        </w:rPr>
        <w:t>https://www.schoolshistoryproject.co.uk/ResourceBase/downloads/MandlerKeynote2013.pdf</w:t>
      </w:r>
      <w:r w:rsidRPr="00047A9D">
        <w:rPr>
          <w:rFonts w:ascii="Times New Roman" w:hAnsi="Times New Roman" w:cs="Times New Roman"/>
          <w:sz w:val="22"/>
          <w:szCs w:val="22"/>
        </w:rPr>
        <w:t>&gt; [accessed 26 May 2022].</w:t>
      </w:r>
    </w:p>
  </w:footnote>
  <w:footnote w:id="977">
    <w:p w14:paraId="6B4DDE50" w14:textId="77777777" w:rsidR="0047312F" w:rsidRPr="00047A9D" w:rsidRDefault="0047312F" w:rsidP="00D839D4">
      <w:pPr>
        <w:pStyle w:val="FootnoteText"/>
        <w:spacing w:line="360" w:lineRule="auto"/>
        <w:rPr>
          <w:rFonts w:ascii="Times New Roman" w:hAnsi="Times New Roman" w:cs="Times New Roman"/>
          <w:i/>
          <w:iCs/>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Office for Standards in Education, Children’s Services and Skills [hereafter ‘Ofsted’], </w:t>
      </w:r>
      <w:r w:rsidRPr="00047A9D">
        <w:rPr>
          <w:rFonts w:ascii="Times New Roman" w:hAnsi="Times New Roman" w:cs="Times New Roman"/>
          <w:i/>
          <w:sz w:val="22"/>
          <w:szCs w:val="22"/>
        </w:rPr>
        <w:t xml:space="preserve">History for All: History in English schools 2007/10, </w:t>
      </w:r>
      <w:r w:rsidRPr="00047A9D">
        <w:rPr>
          <w:rFonts w:ascii="Times New Roman" w:hAnsi="Times New Roman" w:cs="Times New Roman"/>
          <w:sz w:val="22"/>
          <w:szCs w:val="22"/>
        </w:rPr>
        <w:t>Reference No. 090223 (Manchester: Ofsted, 2011), pp.39-40.</w:t>
      </w:r>
    </w:p>
  </w:footnote>
  <w:footnote w:id="978">
    <w:p w14:paraId="1C4F27EB" w14:textId="69AD048E" w:rsidR="00D56191" w:rsidRPr="00047A9D" w:rsidRDefault="00D56191"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Leach, Voce, and Kirk, ‘Black British History’. See also Marsh, ‘The Top 10 Most Popular History Topics</w:t>
      </w:r>
      <w:r w:rsidR="004D1CB1" w:rsidRPr="00047A9D">
        <w:rPr>
          <w:rFonts w:ascii="Times New Roman" w:hAnsi="Times New Roman" w:cs="Times New Roman"/>
          <w:sz w:val="22"/>
          <w:szCs w:val="22"/>
        </w:rPr>
        <w:t>’.</w:t>
      </w:r>
    </w:p>
  </w:footnote>
  <w:footnote w:id="979">
    <w:p w14:paraId="25229530" w14:textId="3ECE7C85" w:rsidR="002D50B9" w:rsidRPr="00047A9D" w:rsidRDefault="002D50B9"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Marsh, ‘The Top 10 Most Popular History Topics’.</w:t>
      </w:r>
    </w:p>
  </w:footnote>
  <w:footnote w:id="980">
    <w:p w14:paraId="25569AF3" w14:textId="61E4BA22" w:rsidR="0047312F" w:rsidRPr="00047A9D" w:rsidRDefault="0047312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Mitchel</w:t>
      </w:r>
      <w:r w:rsidR="001C34E8" w:rsidRPr="00047A9D">
        <w:rPr>
          <w:rFonts w:ascii="Times New Roman" w:hAnsi="Times New Roman" w:cs="Times New Roman"/>
          <w:sz w:val="22"/>
          <w:szCs w:val="22"/>
        </w:rPr>
        <w:t>l</w:t>
      </w:r>
      <w:r w:rsidRPr="00047A9D">
        <w:rPr>
          <w:rFonts w:ascii="Times New Roman" w:hAnsi="Times New Roman" w:cs="Times New Roman"/>
          <w:sz w:val="22"/>
          <w:szCs w:val="22"/>
        </w:rPr>
        <w:t xml:space="preserve">, </w:t>
      </w:r>
      <w:r w:rsidRPr="00047A9D">
        <w:rPr>
          <w:rFonts w:ascii="Times New Roman" w:hAnsi="Times New Roman" w:cs="Times New Roman"/>
          <w:i/>
          <w:sz w:val="22"/>
          <w:szCs w:val="22"/>
        </w:rPr>
        <w:t>Imperial Nostalgia</w:t>
      </w:r>
      <w:r w:rsidRPr="00047A9D">
        <w:rPr>
          <w:rFonts w:ascii="Times New Roman" w:hAnsi="Times New Roman" w:cs="Times New Roman"/>
          <w:sz w:val="22"/>
          <w:szCs w:val="22"/>
        </w:rPr>
        <w:t>, p.3</w:t>
      </w:r>
      <w:r w:rsidR="008608E5">
        <w:rPr>
          <w:rFonts w:ascii="Times New Roman" w:hAnsi="Times New Roman" w:cs="Times New Roman"/>
          <w:sz w:val="22"/>
          <w:szCs w:val="22"/>
        </w:rPr>
        <w:t>.</w:t>
      </w:r>
    </w:p>
  </w:footnote>
  <w:footnote w:id="981">
    <w:p w14:paraId="70980766" w14:textId="77777777" w:rsidR="0047312F" w:rsidRPr="00047A9D" w:rsidRDefault="0047312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Daniel Dorling and Sally Tomlinson, </w:t>
      </w:r>
      <w:r w:rsidRPr="00047A9D">
        <w:rPr>
          <w:rFonts w:ascii="Times New Roman" w:hAnsi="Times New Roman" w:cs="Times New Roman"/>
          <w:i/>
          <w:sz w:val="22"/>
          <w:szCs w:val="22"/>
        </w:rPr>
        <w:t>Rule Britannia: Brexit and the End of Empire</w:t>
      </w:r>
      <w:r w:rsidRPr="00047A9D">
        <w:rPr>
          <w:rFonts w:ascii="Times New Roman" w:hAnsi="Times New Roman" w:cs="Times New Roman"/>
          <w:sz w:val="22"/>
          <w:szCs w:val="22"/>
        </w:rPr>
        <w:t xml:space="preserve"> (London: Biteback Publishing, 2019).</w:t>
      </w:r>
    </w:p>
  </w:footnote>
  <w:footnote w:id="982">
    <w:p w14:paraId="510E9510" w14:textId="1D32A64B" w:rsidR="00956602" w:rsidRPr="00047A9D" w:rsidRDefault="00956602"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w:t>
      </w:r>
      <w:r w:rsidR="00F106D7" w:rsidRPr="00047A9D">
        <w:rPr>
          <w:rFonts w:ascii="Times New Roman" w:hAnsi="Times New Roman" w:cs="Times New Roman"/>
          <w:sz w:val="22"/>
          <w:szCs w:val="22"/>
        </w:rPr>
        <w:t>See Alexander and Shankley</w:t>
      </w:r>
      <w:r w:rsidR="007361C9" w:rsidRPr="00047A9D">
        <w:rPr>
          <w:rFonts w:ascii="Times New Roman" w:hAnsi="Times New Roman" w:cs="Times New Roman"/>
          <w:sz w:val="22"/>
          <w:szCs w:val="22"/>
        </w:rPr>
        <w:t>,</w:t>
      </w:r>
      <w:r w:rsidR="00F106D7" w:rsidRPr="00047A9D">
        <w:rPr>
          <w:rFonts w:ascii="Times New Roman" w:hAnsi="Times New Roman" w:cs="Times New Roman"/>
          <w:sz w:val="22"/>
          <w:szCs w:val="22"/>
        </w:rPr>
        <w:t xml:space="preserve"> </w:t>
      </w:r>
      <w:r w:rsidR="007361C9" w:rsidRPr="00047A9D">
        <w:rPr>
          <w:rFonts w:ascii="Times New Roman" w:hAnsi="Times New Roman" w:cs="Times New Roman"/>
          <w:sz w:val="22"/>
          <w:szCs w:val="22"/>
        </w:rPr>
        <w:t>‘</w:t>
      </w:r>
      <w:r w:rsidR="00F106D7" w:rsidRPr="00047A9D">
        <w:rPr>
          <w:rFonts w:ascii="Times New Roman" w:hAnsi="Times New Roman" w:cs="Times New Roman"/>
          <w:sz w:val="22"/>
          <w:szCs w:val="22"/>
        </w:rPr>
        <w:t xml:space="preserve">Ethnic </w:t>
      </w:r>
      <w:r w:rsidR="007361C9" w:rsidRPr="00047A9D">
        <w:rPr>
          <w:rFonts w:ascii="Times New Roman" w:hAnsi="Times New Roman" w:cs="Times New Roman"/>
          <w:sz w:val="22"/>
          <w:szCs w:val="22"/>
        </w:rPr>
        <w:t>I</w:t>
      </w:r>
      <w:r w:rsidR="00F106D7" w:rsidRPr="00047A9D">
        <w:rPr>
          <w:rFonts w:ascii="Times New Roman" w:hAnsi="Times New Roman" w:cs="Times New Roman"/>
          <w:sz w:val="22"/>
          <w:szCs w:val="22"/>
        </w:rPr>
        <w:t>nequalities</w:t>
      </w:r>
      <w:r w:rsidR="00AA3D7F">
        <w:rPr>
          <w:rFonts w:ascii="Times New Roman" w:hAnsi="Times New Roman" w:cs="Times New Roman"/>
          <w:sz w:val="22"/>
          <w:szCs w:val="22"/>
        </w:rPr>
        <w:t>’</w:t>
      </w:r>
      <w:r w:rsidR="007361C9" w:rsidRPr="00047A9D">
        <w:rPr>
          <w:rFonts w:ascii="Times New Roman" w:hAnsi="Times New Roman" w:cs="Times New Roman"/>
          <w:sz w:val="22"/>
          <w:szCs w:val="22"/>
        </w:rPr>
        <w:t xml:space="preserve">, in </w:t>
      </w:r>
      <w:r w:rsidR="00CE0E5C" w:rsidRPr="00047A9D">
        <w:rPr>
          <w:rFonts w:ascii="Times New Roman" w:hAnsi="Times New Roman" w:cs="Times New Roman"/>
          <w:sz w:val="22"/>
          <w:szCs w:val="22"/>
        </w:rPr>
        <w:t xml:space="preserve">Byrne </w:t>
      </w:r>
      <w:r w:rsidR="00CE0E5C" w:rsidRPr="00047A9D">
        <w:rPr>
          <w:rFonts w:ascii="Times New Roman" w:hAnsi="Times New Roman" w:cs="Times New Roman"/>
          <w:i/>
          <w:iCs/>
          <w:sz w:val="22"/>
          <w:szCs w:val="22"/>
        </w:rPr>
        <w:t>et al.</w:t>
      </w:r>
      <w:r w:rsidR="00CE0E5C" w:rsidRPr="00047A9D">
        <w:rPr>
          <w:rFonts w:ascii="Times New Roman" w:hAnsi="Times New Roman" w:cs="Times New Roman"/>
          <w:sz w:val="22"/>
          <w:szCs w:val="22"/>
        </w:rPr>
        <w:t xml:space="preserve">, </w:t>
      </w:r>
      <w:r w:rsidR="00CE0E5C" w:rsidRPr="00047A9D">
        <w:rPr>
          <w:rFonts w:ascii="Times New Roman" w:hAnsi="Times New Roman" w:cs="Times New Roman"/>
          <w:i/>
          <w:iCs/>
          <w:sz w:val="22"/>
          <w:szCs w:val="22"/>
        </w:rPr>
        <w:t>Ethnicity, Race and Inequality</w:t>
      </w:r>
      <w:r w:rsidR="00AA3D7F">
        <w:rPr>
          <w:rFonts w:ascii="Times New Roman" w:hAnsi="Times New Roman" w:cs="Times New Roman"/>
          <w:i/>
          <w:iCs/>
          <w:sz w:val="22"/>
          <w:szCs w:val="22"/>
        </w:rPr>
        <w:t xml:space="preserve">, </w:t>
      </w:r>
      <w:r w:rsidR="00AA3D7F">
        <w:rPr>
          <w:rFonts w:ascii="Times New Roman" w:hAnsi="Times New Roman" w:cs="Times New Roman"/>
          <w:sz w:val="22"/>
          <w:szCs w:val="22"/>
        </w:rPr>
        <w:t>pp.</w:t>
      </w:r>
      <w:r w:rsidR="00221579">
        <w:rPr>
          <w:rFonts w:ascii="Times New Roman" w:hAnsi="Times New Roman" w:cs="Times New Roman"/>
          <w:sz w:val="22"/>
          <w:szCs w:val="22"/>
        </w:rPr>
        <w:t>93-95</w:t>
      </w:r>
      <w:r w:rsidR="00C371BF" w:rsidRPr="00047A9D">
        <w:rPr>
          <w:rFonts w:ascii="Times New Roman" w:hAnsi="Times New Roman" w:cs="Times New Roman"/>
          <w:sz w:val="22"/>
          <w:szCs w:val="22"/>
        </w:rPr>
        <w:t>;</w:t>
      </w:r>
      <w:r w:rsidR="00CD43CE" w:rsidRPr="00047A9D">
        <w:rPr>
          <w:rFonts w:ascii="Times New Roman" w:hAnsi="Times New Roman" w:cs="Times New Roman"/>
          <w:sz w:val="22"/>
          <w:szCs w:val="22"/>
        </w:rPr>
        <w:t xml:space="preserve"> Kalwant Bhopal, </w:t>
      </w:r>
      <w:r w:rsidR="00CD43CE" w:rsidRPr="00047A9D">
        <w:rPr>
          <w:rFonts w:ascii="Times New Roman" w:hAnsi="Times New Roman" w:cs="Times New Roman"/>
          <w:i/>
          <w:iCs/>
          <w:sz w:val="22"/>
          <w:szCs w:val="22"/>
        </w:rPr>
        <w:t>Race and Education: Reproducing White Supremacy in Britain</w:t>
      </w:r>
      <w:r w:rsidR="00177A2B" w:rsidRPr="00047A9D">
        <w:rPr>
          <w:rFonts w:ascii="Times New Roman" w:hAnsi="Times New Roman" w:cs="Times New Roman"/>
          <w:sz w:val="22"/>
          <w:szCs w:val="22"/>
        </w:rPr>
        <w:t xml:space="preserve"> (London: Penguin, </w:t>
      </w:r>
      <w:r w:rsidR="00CD43CE" w:rsidRPr="00047A9D">
        <w:rPr>
          <w:rFonts w:ascii="Times New Roman" w:hAnsi="Times New Roman" w:cs="Times New Roman"/>
          <w:sz w:val="22"/>
          <w:szCs w:val="22"/>
        </w:rPr>
        <w:t>202</w:t>
      </w:r>
      <w:r w:rsidR="00177A2B" w:rsidRPr="00047A9D">
        <w:rPr>
          <w:rFonts w:ascii="Times New Roman" w:hAnsi="Times New Roman" w:cs="Times New Roman"/>
          <w:sz w:val="22"/>
          <w:szCs w:val="22"/>
        </w:rPr>
        <w:t>4)</w:t>
      </w:r>
      <w:r w:rsidR="00CD43CE" w:rsidRPr="00047A9D">
        <w:rPr>
          <w:rFonts w:ascii="Times New Roman" w:hAnsi="Times New Roman" w:cs="Times New Roman"/>
          <w:sz w:val="22"/>
          <w:szCs w:val="22"/>
        </w:rPr>
        <w:t xml:space="preserve">; </w:t>
      </w:r>
      <w:r w:rsidR="00C371BF" w:rsidRPr="00047A9D">
        <w:rPr>
          <w:rFonts w:ascii="Times New Roman" w:hAnsi="Times New Roman" w:cs="Times New Roman"/>
          <w:sz w:val="22"/>
          <w:szCs w:val="22"/>
        </w:rPr>
        <w:t xml:space="preserve">Diane Reay, </w:t>
      </w:r>
      <w:r w:rsidR="002C65B0" w:rsidRPr="00047A9D">
        <w:rPr>
          <w:rFonts w:ascii="Times New Roman" w:hAnsi="Times New Roman" w:cs="Times New Roman"/>
          <w:i/>
          <w:iCs/>
          <w:sz w:val="22"/>
          <w:szCs w:val="22"/>
        </w:rPr>
        <w:t>Miseducation: Inequality, Education and the Working Classes</w:t>
      </w:r>
      <w:r w:rsidR="002C65B0" w:rsidRPr="00047A9D">
        <w:rPr>
          <w:rFonts w:ascii="Times New Roman" w:hAnsi="Times New Roman" w:cs="Times New Roman"/>
          <w:sz w:val="22"/>
          <w:szCs w:val="22"/>
        </w:rPr>
        <w:t> (Bristol: Policy, 2017)</w:t>
      </w:r>
      <w:r w:rsidR="00CD43CE" w:rsidRPr="00047A9D">
        <w:rPr>
          <w:rFonts w:ascii="Times New Roman" w:hAnsi="Times New Roman" w:cs="Times New Roman"/>
          <w:sz w:val="22"/>
          <w:szCs w:val="22"/>
        </w:rPr>
        <w:t>.</w:t>
      </w:r>
    </w:p>
  </w:footnote>
  <w:footnote w:id="983">
    <w:p w14:paraId="1360C56D" w14:textId="6DF156C1" w:rsidR="0047312F" w:rsidRPr="00047A9D" w:rsidRDefault="0047312F" w:rsidP="00D839D4">
      <w:pPr>
        <w:spacing w:line="360" w:lineRule="auto"/>
        <w:rPr>
          <w:rFonts w:ascii="Times New Roman" w:hAnsi="Times New Roman" w:cs="Times New Roman"/>
          <w:szCs w:val="22"/>
        </w:rPr>
      </w:pPr>
      <w:r w:rsidRPr="00047A9D">
        <w:rPr>
          <w:rStyle w:val="FootnoteReference"/>
          <w:rFonts w:ascii="Times New Roman" w:hAnsi="Times New Roman" w:cs="Times New Roman"/>
          <w:szCs w:val="22"/>
        </w:rPr>
        <w:footnoteRef/>
      </w:r>
      <w:r w:rsidRPr="00047A9D">
        <w:rPr>
          <w:rFonts w:ascii="Times New Roman" w:hAnsi="Times New Roman" w:cs="Times New Roman"/>
          <w:szCs w:val="22"/>
        </w:rPr>
        <w:t xml:space="preserve"> Adriana Edmeades, Victoria Vasey, and Vittorio Infante, </w:t>
      </w:r>
      <w:r w:rsidRPr="00047A9D">
        <w:rPr>
          <w:rFonts w:ascii="Times New Roman" w:hAnsi="Times New Roman" w:cs="Times New Roman"/>
          <w:i/>
          <w:szCs w:val="22"/>
        </w:rPr>
        <w:t xml:space="preserve">Preventing Education: Human Rights and UK Counter-Terrorism Policy in Schools </w:t>
      </w:r>
      <w:r w:rsidRPr="00047A9D">
        <w:rPr>
          <w:rFonts w:ascii="Times New Roman" w:hAnsi="Times New Roman" w:cs="Times New Roman"/>
          <w:szCs w:val="22"/>
        </w:rPr>
        <w:t>(London: Rights Watch (UK), 2016), pp.4, 14-15, 35-37</w:t>
      </w:r>
      <w:r w:rsidR="008608E5">
        <w:rPr>
          <w:rFonts w:ascii="Times New Roman" w:hAnsi="Times New Roman" w:cs="Times New Roman"/>
          <w:szCs w:val="22"/>
        </w:rPr>
        <w:t>,</w:t>
      </w:r>
      <w:r w:rsidRPr="00047A9D">
        <w:rPr>
          <w:rFonts w:ascii="Times New Roman" w:hAnsi="Times New Roman" w:cs="Times New Roman"/>
          <w:szCs w:val="22"/>
        </w:rPr>
        <w:t xml:space="preserve"> &lt;https://www.rightsandsecurity.org/action/research/entry/prevent-publication&gt; [last accessed 9 March 2025].</w:t>
      </w:r>
    </w:p>
  </w:footnote>
  <w:footnote w:id="984">
    <w:p w14:paraId="02829355" w14:textId="48FD0916" w:rsidR="0047312F" w:rsidRPr="00047A9D" w:rsidRDefault="0047312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Stuart Hall, ‘Racism and Reaction (1978)’, in Davison</w:t>
      </w:r>
      <w:r w:rsidR="001222AB" w:rsidRPr="00047A9D">
        <w:rPr>
          <w:rFonts w:ascii="Times New Roman" w:hAnsi="Times New Roman" w:cs="Times New Roman"/>
          <w:sz w:val="22"/>
          <w:szCs w:val="22"/>
        </w:rPr>
        <w:t xml:space="preserve"> </w:t>
      </w:r>
      <w:r w:rsidR="001222AB" w:rsidRPr="00047A9D">
        <w:rPr>
          <w:rFonts w:ascii="Times New Roman" w:hAnsi="Times New Roman" w:cs="Times New Roman"/>
          <w:i/>
          <w:sz w:val="22"/>
          <w:szCs w:val="22"/>
        </w:rPr>
        <w:t>et al.</w:t>
      </w:r>
      <w:r w:rsidRPr="00047A9D">
        <w:rPr>
          <w:rFonts w:ascii="Times New Roman" w:hAnsi="Times New Roman" w:cs="Times New Roman"/>
          <w:sz w:val="22"/>
          <w:szCs w:val="22"/>
        </w:rPr>
        <w:t xml:space="preserve"> (eds),</w:t>
      </w:r>
      <w:r w:rsidRPr="00047A9D">
        <w:rPr>
          <w:rFonts w:ascii="Times New Roman" w:hAnsi="Times New Roman" w:cs="Times New Roman"/>
          <w:i/>
          <w:sz w:val="22"/>
          <w:szCs w:val="22"/>
        </w:rPr>
        <w:t xml:space="preserve"> Selected Political Writings, </w:t>
      </w:r>
      <w:r w:rsidRPr="00047A9D">
        <w:rPr>
          <w:rFonts w:ascii="Times New Roman" w:hAnsi="Times New Roman" w:cs="Times New Roman"/>
          <w:sz w:val="22"/>
          <w:szCs w:val="22"/>
        </w:rPr>
        <w:t>142-657, p.143.</w:t>
      </w:r>
    </w:p>
  </w:footnote>
  <w:footnote w:id="985">
    <w:p w14:paraId="665AE836" w14:textId="77777777" w:rsidR="0047312F" w:rsidRPr="00047A9D" w:rsidRDefault="0047312F" w:rsidP="00D839D4">
      <w:pPr>
        <w:pStyle w:val="FootnoteText"/>
        <w:spacing w:line="360" w:lineRule="auto"/>
        <w:rPr>
          <w:rFonts w:ascii="Times New Roman" w:hAnsi="Times New Roman" w:cs="Times New Roman"/>
          <w:sz w:val="22"/>
          <w:szCs w:val="22"/>
        </w:rPr>
      </w:pPr>
      <w:r w:rsidRPr="00047A9D">
        <w:rPr>
          <w:rStyle w:val="FootnoteReference"/>
          <w:rFonts w:ascii="Times New Roman" w:hAnsi="Times New Roman" w:cs="Times New Roman"/>
          <w:sz w:val="22"/>
          <w:szCs w:val="22"/>
        </w:rPr>
        <w:footnoteRef/>
      </w:r>
      <w:r w:rsidRPr="00047A9D">
        <w:rPr>
          <w:rFonts w:ascii="Times New Roman" w:hAnsi="Times New Roman" w:cs="Times New Roman"/>
          <w:sz w:val="22"/>
          <w:szCs w:val="22"/>
        </w:rPr>
        <w:t xml:space="preserve"> See Burton, ‘India, Inc.?’, in Ward (ed.), </w:t>
      </w:r>
      <w:r w:rsidRPr="00047A9D">
        <w:rPr>
          <w:rFonts w:ascii="Times New Roman" w:hAnsi="Times New Roman" w:cs="Times New Roman"/>
          <w:i/>
          <w:sz w:val="22"/>
          <w:szCs w:val="22"/>
        </w:rPr>
        <w:t>British Culture</w:t>
      </w:r>
      <w:r w:rsidRPr="00047A9D">
        <w:rPr>
          <w:rFonts w:ascii="Times New Roman" w:hAnsi="Times New Roman" w:cs="Times New Roman"/>
          <w:sz w:val="22"/>
          <w:szCs w:val="22"/>
        </w:rPr>
        <w:t>, p.217.</w:t>
      </w:r>
    </w:p>
  </w:footnote>
  <w:footnote w:id="986">
    <w:p w14:paraId="488B52A2" w14:textId="77777777" w:rsidR="0047312F" w:rsidRPr="00047A9D" w:rsidRDefault="0047312F" w:rsidP="00D839D4">
      <w:pPr>
        <w:spacing w:line="360" w:lineRule="auto"/>
        <w:rPr>
          <w:rFonts w:ascii="Times New Roman" w:hAnsi="Times New Roman" w:cs="Times New Roman"/>
          <w:szCs w:val="22"/>
        </w:rPr>
      </w:pPr>
      <w:r w:rsidRPr="00047A9D">
        <w:rPr>
          <w:rStyle w:val="FootnoteReference"/>
          <w:rFonts w:ascii="Times New Roman" w:hAnsi="Times New Roman" w:cs="Times New Roman"/>
          <w:szCs w:val="22"/>
        </w:rPr>
        <w:footnoteRef/>
      </w:r>
      <w:r w:rsidRPr="00047A9D">
        <w:rPr>
          <w:rFonts w:ascii="Times New Roman" w:hAnsi="Times New Roman" w:cs="Times New Roman"/>
          <w:szCs w:val="22"/>
        </w:rPr>
        <w:t xml:space="preserve"> Gordon and Atta, ‘Education and Schooling’, in Central Manchester Caribbean English Project</w:t>
      </w:r>
      <w:r w:rsidRPr="00047A9D">
        <w:rPr>
          <w:rFonts w:ascii="Times New Roman" w:hAnsi="Times New Roman" w:cs="Times New Roman"/>
          <w:i/>
          <w:szCs w:val="22"/>
        </w:rPr>
        <w:t xml:space="preserve">, Triangular </w:t>
      </w:r>
      <w:r w:rsidRPr="00047A9D">
        <w:rPr>
          <w:rFonts w:ascii="Times New Roman" w:hAnsi="Times New Roman" w:cs="Times New Roman"/>
          <w:szCs w:val="22"/>
        </w:rPr>
        <w:t>Minds, p.72.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741558081"/>
      <w:docPartObj>
        <w:docPartGallery w:val="Page Numbers (Top of Page)"/>
        <w:docPartUnique/>
      </w:docPartObj>
    </w:sdtPr>
    <w:sdtEndPr>
      <w:rPr>
        <w:noProof/>
      </w:rPr>
    </w:sdtEndPr>
    <w:sdtContent>
      <w:p w14:paraId="7BC044D5" w14:textId="42C9D457" w:rsidR="00F27137" w:rsidRPr="00EF11CA" w:rsidRDefault="00F27137" w:rsidP="00382BE9">
        <w:pPr>
          <w:pStyle w:val="Header"/>
          <w:jc w:val="right"/>
          <w:rPr>
            <w:rFonts w:ascii="Times New Roman" w:hAnsi="Times New Roman" w:cs="Times New Roman"/>
            <w:noProof/>
            <w:sz w:val="24"/>
            <w:szCs w:val="24"/>
          </w:rPr>
        </w:pPr>
        <w:r w:rsidRPr="00EF11CA">
          <w:rPr>
            <w:rFonts w:ascii="Times New Roman" w:hAnsi="Times New Roman" w:cs="Times New Roman"/>
            <w:sz w:val="24"/>
            <w:szCs w:val="24"/>
          </w:rPr>
          <w:fldChar w:fldCharType="begin"/>
        </w:r>
        <w:r w:rsidRPr="00EF11CA">
          <w:rPr>
            <w:rFonts w:ascii="Times New Roman" w:hAnsi="Times New Roman" w:cs="Times New Roman"/>
            <w:sz w:val="24"/>
            <w:szCs w:val="24"/>
          </w:rPr>
          <w:instrText xml:space="preserve"> PAGE   \* MERGEFORMAT </w:instrText>
        </w:r>
        <w:r w:rsidRPr="00EF11CA">
          <w:rPr>
            <w:rFonts w:ascii="Times New Roman" w:hAnsi="Times New Roman" w:cs="Times New Roman"/>
            <w:sz w:val="24"/>
            <w:szCs w:val="24"/>
          </w:rPr>
          <w:fldChar w:fldCharType="separate"/>
        </w:r>
        <w:r w:rsidRPr="00EF11CA">
          <w:rPr>
            <w:rFonts w:ascii="Times New Roman" w:hAnsi="Times New Roman" w:cs="Times New Roman"/>
            <w:noProof/>
            <w:sz w:val="24"/>
            <w:szCs w:val="24"/>
          </w:rPr>
          <w:t>2</w:t>
        </w:r>
        <w:r w:rsidRPr="00EF11C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668E"/>
    <w:multiLevelType w:val="hybridMultilevel"/>
    <w:tmpl w:val="96861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02C65"/>
    <w:multiLevelType w:val="hybridMultilevel"/>
    <w:tmpl w:val="9500AFAA"/>
    <w:lvl w:ilvl="0" w:tplc="5CDCEAAE">
      <w:numFmt w:val="bullet"/>
      <w:lvlText w:val="-"/>
      <w:lvlJc w:val="left"/>
      <w:pPr>
        <w:ind w:left="720" w:hanging="360"/>
      </w:pPr>
      <w:rPr>
        <w:rFonts w:ascii="Georgia" w:eastAsiaTheme="minorHAnsi" w:hAnsi="Georg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76694"/>
    <w:multiLevelType w:val="hybridMultilevel"/>
    <w:tmpl w:val="E5CC4EC2"/>
    <w:lvl w:ilvl="0" w:tplc="0809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3" w15:restartNumberingAfterBreak="0">
    <w:nsid w:val="550C68B2"/>
    <w:multiLevelType w:val="hybridMultilevel"/>
    <w:tmpl w:val="9E5EF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DC03A4"/>
    <w:multiLevelType w:val="hybridMultilevel"/>
    <w:tmpl w:val="E8E88B0C"/>
    <w:lvl w:ilvl="0" w:tplc="003A2A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223F1"/>
    <w:multiLevelType w:val="hybridMultilevel"/>
    <w:tmpl w:val="DD942B40"/>
    <w:lvl w:ilvl="0" w:tplc="C2C6972C">
      <w:start w:val="1964"/>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480757">
    <w:abstractNumId w:val="2"/>
  </w:num>
  <w:num w:numId="2" w16cid:durableId="261842768">
    <w:abstractNumId w:val="5"/>
  </w:num>
  <w:num w:numId="3" w16cid:durableId="501161484">
    <w:abstractNumId w:val="1"/>
  </w:num>
  <w:num w:numId="4" w16cid:durableId="1551846069">
    <w:abstractNumId w:val="3"/>
  </w:num>
  <w:num w:numId="5" w16cid:durableId="1550337865">
    <w:abstractNumId w:val="4"/>
  </w:num>
  <w:num w:numId="6" w16cid:durableId="185352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NotTrackMove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26"/>
    <w:rsid w:val="000005E2"/>
    <w:rsid w:val="00000614"/>
    <w:rsid w:val="000007DC"/>
    <w:rsid w:val="000007F9"/>
    <w:rsid w:val="00000986"/>
    <w:rsid w:val="000009A7"/>
    <w:rsid w:val="00000A8C"/>
    <w:rsid w:val="00000AA1"/>
    <w:rsid w:val="00000B1C"/>
    <w:rsid w:val="00000B5E"/>
    <w:rsid w:val="00000C1F"/>
    <w:rsid w:val="00000CC3"/>
    <w:rsid w:val="00000FF5"/>
    <w:rsid w:val="000010EA"/>
    <w:rsid w:val="0000141D"/>
    <w:rsid w:val="000014B0"/>
    <w:rsid w:val="000014B4"/>
    <w:rsid w:val="00001597"/>
    <w:rsid w:val="000015B8"/>
    <w:rsid w:val="000019B5"/>
    <w:rsid w:val="00001A0D"/>
    <w:rsid w:val="00001CF8"/>
    <w:rsid w:val="00001EF6"/>
    <w:rsid w:val="0000211E"/>
    <w:rsid w:val="00002519"/>
    <w:rsid w:val="00002A58"/>
    <w:rsid w:val="00002AAA"/>
    <w:rsid w:val="00002D71"/>
    <w:rsid w:val="00003169"/>
    <w:rsid w:val="0000356F"/>
    <w:rsid w:val="00003940"/>
    <w:rsid w:val="0000394D"/>
    <w:rsid w:val="00003C35"/>
    <w:rsid w:val="00003D98"/>
    <w:rsid w:val="00003EB0"/>
    <w:rsid w:val="00003F69"/>
    <w:rsid w:val="00004004"/>
    <w:rsid w:val="00004079"/>
    <w:rsid w:val="00004083"/>
    <w:rsid w:val="00004087"/>
    <w:rsid w:val="000040CD"/>
    <w:rsid w:val="0000421D"/>
    <w:rsid w:val="00004333"/>
    <w:rsid w:val="000044CE"/>
    <w:rsid w:val="00004639"/>
    <w:rsid w:val="0000466A"/>
    <w:rsid w:val="000046E5"/>
    <w:rsid w:val="00004879"/>
    <w:rsid w:val="000048FC"/>
    <w:rsid w:val="00004A96"/>
    <w:rsid w:val="00004F69"/>
    <w:rsid w:val="00004F78"/>
    <w:rsid w:val="00005076"/>
    <w:rsid w:val="0000510B"/>
    <w:rsid w:val="0000555F"/>
    <w:rsid w:val="00005633"/>
    <w:rsid w:val="0000591C"/>
    <w:rsid w:val="00005986"/>
    <w:rsid w:val="00005F84"/>
    <w:rsid w:val="00005FBD"/>
    <w:rsid w:val="00005FDD"/>
    <w:rsid w:val="00006083"/>
    <w:rsid w:val="0000616F"/>
    <w:rsid w:val="00006190"/>
    <w:rsid w:val="000063DB"/>
    <w:rsid w:val="0000647E"/>
    <w:rsid w:val="00006521"/>
    <w:rsid w:val="000065B7"/>
    <w:rsid w:val="00006697"/>
    <w:rsid w:val="0000687E"/>
    <w:rsid w:val="00006A03"/>
    <w:rsid w:val="00006A41"/>
    <w:rsid w:val="00006AAB"/>
    <w:rsid w:val="00006ADD"/>
    <w:rsid w:val="00006F76"/>
    <w:rsid w:val="00007502"/>
    <w:rsid w:val="000077D0"/>
    <w:rsid w:val="000078FB"/>
    <w:rsid w:val="00007984"/>
    <w:rsid w:val="00007A12"/>
    <w:rsid w:val="00007B75"/>
    <w:rsid w:val="00007CF1"/>
    <w:rsid w:val="00007E51"/>
    <w:rsid w:val="00007EB7"/>
    <w:rsid w:val="00010196"/>
    <w:rsid w:val="000105B3"/>
    <w:rsid w:val="00010768"/>
    <w:rsid w:val="000107B9"/>
    <w:rsid w:val="00010ACC"/>
    <w:rsid w:val="00010D01"/>
    <w:rsid w:val="000110D3"/>
    <w:rsid w:val="00011220"/>
    <w:rsid w:val="00011242"/>
    <w:rsid w:val="0001136D"/>
    <w:rsid w:val="0001145B"/>
    <w:rsid w:val="00011577"/>
    <w:rsid w:val="0001190B"/>
    <w:rsid w:val="00011B8C"/>
    <w:rsid w:val="00011BA3"/>
    <w:rsid w:val="00011BEB"/>
    <w:rsid w:val="00011DEB"/>
    <w:rsid w:val="00011EC1"/>
    <w:rsid w:val="00012027"/>
    <w:rsid w:val="00012087"/>
    <w:rsid w:val="000121F9"/>
    <w:rsid w:val="00012234"/>
    <w:rsid w:val="000122D2"/>
    <w:rsid w:val="0001241B"/>
    <w:rsid w:val="0001256C"/>
    <w:rsid w:val="000125D3"/>
    <w:rsid w:val="0001263D"/>
    <w:rsid w:val="00012718"/>
    <w:rsid w:val="00012B6D"/>
    <w:rsid w:val="00012CD7"/>
    <w:rsid w:val="00012DB8"/>
    <w:rsid w:val="00012E1D"/>
    <w:rsid w:val="00012F98"/>
    <w:rsid w:val="00013013"/>
    <w:rsid w:val="000130C1"/>
    <w:rsid w:val="000132A4"/>
    <w:rsid w:val="00013380"/>
    <w:rsid w:val="000134A8"/>
    <w:rsid w:val="000134F7"/>
    <w:rsid w:val="0001363E"/>
    <w:rsid w:val="0001383C"/>
    <w:rsid w:val="000139E2"/>
    <w:rsid w:val="00013A6A"/>
    <w:rsid w:val="00013F86"/>
    <w:rsid w:val="00014235"/>
    <w:rsid w:val="00014736"/>
    <w:rsid w:val="000149E0"/>
    <w:rsid w:val="00014A1B"/>
    <w:rsid w:val="00014B1F"/>
    <w:rsid w:val="00014BE0"/>
    <w:rsid w:val="00014BEB"/>
    <w:rsid w:val="00014BF1"/>
    <w:rsid w:val="00014CB2"/>
    <w:rsid w:val="00014EC6"/>
    <w:rsid w:val="00014FB2"/>
    <w:rsid w:val="00014FBE"/>
    <w:rsid w:val="0001514D"/>
    <w:rsid w:val="00015167"/>
    <w:rsid w:val="000151AC"/>
    <w:rsid w:val="0001555C"/>
    <w:rsid w:val="000155B6"/>
    <w:rsid w:val="00015654"/>
    <w:rsid w:val="00015716"/>
    <w:rsid w:val="000158A0"/>
    <w:rsid w:val="000158D5"/>
    <w:rsid w:val="00015AD5"/>
    <w:rsid w:val="00015ED5"/>
    <w:rsid w:val="00015F5E"/>
    <w:rsid w:val="00016172"/>
    <w:rsid w:val="00016179"/>
    <w:rsid w:val="00016234"/>
    <w:rsid w:val="000164A3"/>
    <w:rsid w:val="000167D7"/>
    <w:rsid w:val="000168D5"/>
    <w:rsid w:val="000169EB"/>
    <w:rsid w:val="00016BE1"/>
    <w:rsid w:val="00016C64"/>
    <w:rsid w:val="00016D7B"/>
    <w:rsid w:val="00016F53"/>
    <w:rsid w:val="0001705C"/>
    <w:rsid w:val="000170B2"/>
    <w:rsid w:val="00017108"/>
    <w:rsid w:val="0001716D"/>
    <w:rsid w:val="0001731C"/>
    <w:rsid w:val="00017329"/>
    <w:rsid w:val="00017A03"/>
    <w:rsid w:val="00017A63"/>
    <w:rsid w:val="00017ACB"/>
    <w:rsid w:val="00017B11"/>
    <w:rsid w:val="00017B2A"/>
    <w:rsid w:val="00017B79"/>
    <w:rsid w:val="00017C0D"/>
    <w:rsid w:val="00017ED2"/>
    <w:rsid w:val="0002005C"/>
    <w:rsid w:val="00020271"/>
    <w:rsid w:val="00020304"/>
    <w:rsid w:val="000203DF"/>
    <w:rsid w:val="0002043C"/>
    <w:rsid w:val="000204B5"/>
    <w:rsid w:val="00020654"/>
    <w:rsid w:val="000206A0"/>
    <w:rsid w:val="000206A4"/>
    <w:rsid w:val="0002070F"/>
    <w:rsid w:val="00020887"/>
    <w:rsid w:val="00020958"/>
    <w:rsid w:val="00020A66"/>
    <w:rsid w:val="00020C23"/>
    <w:rsid w:val="00020C31"/>
    <w:rsid w:val="00020D38"/>
    <w:rsid w:val="00020D7A"/>
    <w:rsid w:val="00020F6F"/>
    <w:rsid w:val="00020F74"/>
    <w:rsid w:val="00021003"/>
    <w:rsid w:val="0002110C"/>
    <w:rsid w:val="000211D1"/>
    <w:rsid w:val="0002129F"/>
    <w:rsid w:val="000212F3"/>
    <w:rsid w:val="0002131B"/>
    <w:rsid w:val="000213BD"/>
    <w:rsid w:val="000213E5"/>
    <w:rsid w:val="000216FB"/>
    <w:rsid w:val="00021C86"/>
    <w:rsid w:val="00021C93"/>
    <w:rsid w:val="00021CAC"/>
    <w:rsid w:val="00021EA1"/>
    <w:rsid w:val="00021EF0"/>
    <w:rsid w:val="00021F24"/>
    <w:rsid w:val="00021FA1"/>
    <w:rsid w:val="00021FC2"/>
    <w:rsid w:val="000220BC"/>
    <w:rsid w:val="00022234"/>
    <w:rsid w:val="00022301"/>
    <w:rsid w:val="0002246C"/>
    <w:rsid w:val="000224D5"/>
    <w:rsid w:val="00022743"/>
    <w:rsid w:val="00022991"/>
    <w:rsid w:val="00022A65"/>
    <w:rsid w:val="00022ADC"/>
    <w:rsid w:val="00022D04"/>
    <w:rsid w:val="00022E58"/>
    <w:rsid w:val="00022E89"/>
    <w:rsid w:val="00022F50"/>
    <w:rsid w:val="000231A0"/>
    <w:rsid w:val="0002324E"/>
    <w:rsid w:val="00023592"/>
    <w:rsid w:val="000235E0"/>
    <w:rsid w:val="000236FD"/>
    <w:rsid w:val="00023949"/>
    <w:rsid w:val="00023C37"/>
    <w:rsid w:val="00023D2D"/>
    <w:rsid w:val="00023EA1"/>
    <w:rsid w:val="00023F5A"/>
    <w:rsid w:val="00024166"/>
    <w:rsid w:val="00024299"/>
    <w:rsid w:val="000242F1"/>
    <w:rsid w:val="00024416"/>
    <w:rsid w:val="000244BB"/>
    <w:rsid w:val="00024525"/>
    <w:rsid w:val="0002455A"/>
    <w:rsid w:val="00024568"/>
    <w:rsid w:val="000245AF"/>
    <w:rsid w:val="000245F2"/>
    <w:rsid w:val="0002474F"/>
    <w:rsid w:val="0002476B"/>
    <w:rsid w:val="00024949"/>
    <w:rsid w:val="00024CD3"/>
    <w:rsid w:val="00024EA6"/>
    <w:rsid w:val="0002513C"/>
    <w:rsid w:val="000255A6"/>
    <w:rsid w:val="0002585C"/>
    <w:rsid w:val="00025C3F"/>
    <w:rsid w:val="00025D1A"/>
    <w:rsid w:val="00025E81"/>
    <w:rsid w:val="00025EF8"/>
    <w:rsid w:val="00025F5F"/>
    <w:rsid w:val="00026068"/>
    <w:rsid w:val="0002614C"/>
    <w:rsid w:val="00026391"/>
    <w:rsid w:val="000266BB"/>
    <w:rsid w:val="0002670D"/>
    <w:rsid w:val="0002692E"/>
    <w:rsid w:val="00026A0E"/>
    <w:rsid w:val="00026B32"/>
    <w:rsid w:val="00026EE1"/>
    <w:rsid w:val="000272C3"/>
    <w:rsid w:val="00027679"/>
    <w:rsid w:val="00027682"/>
    <w:rsid w:val="00027895"/>
    <w:rsid w:val="000278EF"/>
    <w:rsid w:val="00027963"/>
    <w:rsid w:val="00027A47"/>
    <w:rsid w:val="00027B2E"/>
    <w:rsid w:val="00027C4C"/>
    <w:rsid w:val="00027F19"/>
    <w:rsid w:val="00027F92"/>
    <w:rsid w:val="00030111"/>
    <w:rsid w:val="00030207"/>
    <w:rsid w:val="00030249"/>
    <w:rsid w:val="000302C0"/>
    <w:rsid w:val="000304E4"/>
    <w:rsid w:val="0003053E"/>
    <w:rsid w:val="00030681"/>
    <w:rsid w:val="00030805"/>
    <w:rsid w:val="000308D3"/>
    <w:rsid w:val="0003093B"/>
    <w:rsid w:val="00030A67"/>
    <w:rsid w:val="00030BF5"/>
    <w:rsid w:val="00030D57"/>
    <w:rsid w:val="000310CE"/>
    <w:rsid w:val="000313DE"/>
    <w:rsid w:val="00031603"/>
    <w:rsid w:val="0003165F"/>
    <w:rsid w:val="00031792"/>
    <w:rsid w:val="00031994"/>
    <w:rsid w:val="00031C12"/>
    <w:rsid w:val="00031D10"/>
    <w:rsid w:val="00031D64"/>
    <w:rsid w:val="00031D98"/>
    <w:rsid w:val="00031DC6"/>
    <w:rsid w:val="00031EA9"/>
    <w:rsid w:val="00032028"/>
    <w:rsid w:val="00032392"/>
    <w:rsid w:val="00032650"/>
    <w:rsid w:val="0003287C"/>
    <w:rsid w:val="000329B8"/>
    <w:rsid w:val="00032A09"/>
    <w:rsid w:val="00032B23"/>
    <w:rsid w:val="00032B75"/>
    <w:rsid w:val="00032CFF"/>
    <w:rsid w:val="00032D53"/>
    <w:rsid w:val="00032E56"/>
    <w:rsid w:val="00032F4E"/>
    <w:rsid w:val="00032FEA"/>
    <w:rsid w:val="000331B0"/>
    <w:rsid w:val="0003323E"/>
    <w:rsid w:val="000332F1"/>
    <w:rsid w:val="0003332F"/>
    <w:rsid w:val="00033479"/>
    <w:rsid w:val="00033577"/>
    <w:rsid w:val="00033711"/>
    <w:rsid w:val="00033768"/>
    <w:rsid w:val="000338F7"/>
    <w:rsid w:val="00033A1E"/>
    <w:rsid w:val="00033A32"/>
    <w:rsid w:val="00033C87"/>
    <w:rsid w:val="00033C88"/>
    <w:rsid w:val="00033F22"/>
    <w:rsid w:val="00033F3F"/>
    <w:rsid w:val="000342C3"/>
    <w:rsid w:val="00034321"/>
    <w:rsid w:val="0003467F"/>
    <w:rsid w:val="000347D0"/>
    <w:rsid w:val="0003489E"/>
    <w:rsid w:val="000348F0"/>
    <w:rsid w:val="000348F2"/>
    <w:rsid w:val="0003490C"/>
    <w:rsid w:val="000349A2"/>
    <w:rsid w:val="00034F8F"/>
    <w:rsid w:val="00035024"/>
    <w:rsid w:val="0003504E"/>
    <w:rsid w:val="0003551C"/>
    <w:rsid w:val="0003590B"/>
    <w:rsid w:val="00035A6F"/>
    <w:rsid w:val="00035DB4"/>
    <w:rsid w:val="00035FF2"/>
    <w:rsid w:val="000362B0"/>
    <w:rsid w:val="0003647A"/>
    <w:rsid w:val="00036832"/>
    <w:rsid w:val="0003699B"/>
    <w:rsid w:val="00036A0B"/>
    <w:rsid w:val="00036A92"/>
    <w:rsid w:val="00036ABC"/>
    <w:rsid w:val="00036BE5"/>
    <w:rsid w:val="00036C28"/>
    <w:rsid w:val="00036C64"/>
    <w:rsid w:val="00036D12"/>
    <w:rsid w:val="00036F53"/>
    <w:rsid w:val="00036F55"/>
    <w:rsid w:val="000370B9"/>
    <w:rsid w:val="00037102"/>
    <w:rsid w:val="0003713A"/>
    <w:rsid w:val="00037155"/>
    <w:rsid w:val="000371A1"/>
    <w:rsid w:val="00037346"/>
    <w:rsid w:val="000374C8"/>
    <w:rsid w:val="00037593"/>
    <w:rsid w:val="000375C0"/>
    <w:rsid w:val="0003772B"/>
    <w:rsid w:val="00037E5A"/>
    <w:rsid w:val="00037F32"/>
    <w:rsid w:val="0004007E"/>
    <w:rsid w:val="0004012B"/>
    <w:rsid w:val="00040159"/>
    <w:rsid w:val="000402AE"/>
    <w:rsid w:val="000407D5"/>
    <w:rsid w:val="00040819"/>
    <w:rsid w:val="00040874"/>
    <w:rsid w:val="00040EE1"/>
    <w:rsid w:val="000413AF"/>
    <w:rsid w:val="000413DD"/>
    <w:rsid w:val="00041578"/>
    <w:rsid w:val="000415C5"/>
    <w:rsid w:val="00041822"/>
    <w:rsid w:val="00041BF3"/>
    <w:rsid w:val="00041D44"/>
    <w:rsid w:val="00041E80"/>
    <w:rsid w:val="00041EBC"/>
    <w:rsid w:val="00041EC0"/>
    <w:rsid w:val="00042016"/>
    <w:rsid w:val="00042164"/>
    <w:rsid w:val="000421D4"/>
    <w:rsid w:val="00042454"/>
    <w:rsid w:val="0004249E"/>
    <w:rsid w:val="000424D8"/>
    <w:rsid w:val="000424E9"/>
    <w:rsid w:val="00042512"/>
    <w:rsid w:val="00042712"/>
    <w:rsid w:val="00042889"/>
    <w:rsid w:val="0004292A"/>
    <w:rsid w:val="00042A84"/>
    <w:rsid w:val="00042AD5"/>
    <w:rsid w:val="00042B84"/>
    <w:rsid w:val="00042C51"/>
    <w:rsid w:val="00042D06"/>
    <w:rsid w:val="000430AE"/>
    <w:rsid w:val="00043107"/>
    <w:rsid w:val="00043121"/>
    <w:rsid w:val="000432A4"/>
    <w:rsid w:val="00043332"/>
    <w:rsid w:val="00043347"/>
    <w:rsid w:val="00043387"/>
    <w:rsid w:val="000433F1"/>
    <w:rsid w:val="00043455"/>
    <w:rsid w:val="00043526"/>
    <w:rsid w:val="00043637"/>
    <w:rsid w:val="000437DB"/>
    <w:rsid w:val="0004383F"/>
    <w:rsid w:val="00043879"/>
    <w:rsid w:val="0004399D"/>
    <w:rsid w:val="00043ED2"/>
    <w:rsid w:val="00043F26"/>
    <w:rsid w:val="00043F5A"/>
    <w:rsid w:val="0004431E"/>
    <w:rsid w:val="00044521"/>
    <w:rsid w:val="00044525"/>
    <w:rsid w:val="00044671"/>
    <w:rsid w:val="000446E1"/>
    <w:rsid w:val="00044DD4"/>
    <w:rsid w:val="00044DEB"/>
    <w:rsid w:val="00044E10"/>
    <w:rsid w:val="00044E24"/>
    <w:rsid w:val="00044E74"/>
    <w:rsid w:val="00044F47"/>
    <w:rsid w:val="00044F59"/>
    <w:rsid w:val="0004503A"/>
    <w:rsid w:val="00045091"/>
    <w:rsid w:val="000451A1"/>
    <w:rsid w:val="00045209"/>
    <w:rsid w:val="000452A9"/>
    <w:rsid w:val="000454DC"/>
    <w:rsid w:val="0004557B"/>
    <w:rsid w:val="00045620"/>
    <w:rsid w:val="0004565A"/>
    <w:rsid w:val="00045695"/>
    <w:rsid w:val="000456B0"/>
    <w:rsid w:val="00045744"/>
    <w:rsid w:val="000458D1"/>
    <w:rsid w:val="0004591A"/>
    <w:rsid w:val="000459E2"/>
    <w:rsid w:val="00045ACD"/>
    <w:rsid w:val="00045D99"/>
    <w:rsid w:val="00045E02"/>
    <w:rsid w:val="00045FE7"/>
    <w:rsid w:val="00046318"/>
    <w:rsid w:val="00046445"/>
    <w:rsid w:val="000465A7"/>
    <w:rsid w:val="000465B6"/>
    <w:rsid w:val="000466DB"/>
    <w:rsid w:val="00046727"/>
    <w:rsid w:val="00046903"/>
    <w:rsid w:val="00046917"/>
    <w:rsid w:val="000469C0"/>
    <w:rsid w:val="00046AE5"/>
    <w:rsid w:val="00046BFB"/>
    <w:rsid w:val="00046CA1"/>
    <w:rsid w:val="00046D37"/>
    <w:rsid w:val="00046D89"/>
    <w:rsid w:val="00046DA9"/>
    <w:rsid w:val="00046E95"/>
    <w:rsid w:val="00046F2A"/>
    <w:rsid w:val="0004719A"/>
    <w:rsid w:val="000471B3"/>
    <w:rsid w:val="00047653"/>
    <w:rsid w:val="000476F6"/>
    <w:rsid w:val="0004794B"/>
    <w:rsid w:val="000479F0"/>
    <w:rsid w:val="00047A70"/>
    <w:rsid w:val="00047A9D"/>
    <w:rsid w:val="00047D5F"/>
    <w:rsid w:val="00047F24"/>
    <w:rsid w:val="00050054"/>
    <w:rsid w:val="00050514"/>
    <w:rsid w:val="0005056C"/>
    <w:rsid w:val="000506F4"/>
    <w:rsid w:val="0005079B"/>
    <w:rsid w:val="00050DA3"/>
    <w:rsid w:val="00050E46"/>
    <w:rsid w:val="00050F4C"/>
    <w:rsid w:val="00050FD5"/>
    <w:rsid w:val="000510F8"/>
    <w:rsid w:val="0005123E"/>
    <w:rsid w:val="0005147F"/>
    <w:rsid w:val="000514C3"/>
    <w:rsid w:val="00051598"/>
    <w:rsid w:val="000517EE"/>
    <w:rsid w:val="00051A1E"/>
    <w:rsid w:val="00051B1E"/>
    <w:rsid w:val="00051B66"/>
    <w:rsid w:val="00051BA6"/>
    <w:rsid w:val="00051D94"/>
    <w:rsid w:val="00051EBA"/>
    <w:rsid w:val="00051F2A"/>
    <w:rsid w:val="000522F2"/>
    <w:rsid w:val="00052300"/>
    <w:rsid w:val="000523CD"/>
    <w:rsid w:val="0005242C"/>
    <w:rsid w:val="00052444"/>
    <w:rsid w:val="0005256F"/>
    <w:rsid w:val="00052626"/>
    <w:rsid w:val="00052684"/>
    <w:rsid w:val="00052834"/>
    <w:rsid w:val="00052867"/>
    <w:rsid w:val="0005292D"/>
    <w:rsid w:val="00052A2D"/>
    <w:rsid w:val="00052A4D"/>
    <w:rsid w:val="00052CD2"/>
    <w:rsid w:val="00052DD5"/>
    <w:rsid w:val="00052E80"/>
    <w:rsid w:val="000530CD"/>
    <w:rsid w:val="000530ED"/>
    <w:rsid w:val="0005317C"/>
    <w:rsid w:val="00053287"/>
    <w:rsid w:val="0005330E"/>
    <w:rsid w:val="00053457"/>
    <w:rsid w:val="000534A7"/>
    <w:rsid w:val="0005355A"/>
    <w:rsid w:val="00053561"/>
    <w:rsid w:val="00053567"/>
    <w:rsid w:val="000538F3"/>
    <w:rsid w:val="00053958"/>
    <w:rsid w:val="00053968"/>
    <w:rsid w:val="00053994"/>
    <w:rsid w:val="00053BD2"/>
    <w:rsid w:val="00053CED"/>
    <w:rsid w:val="00053E28"/>
    <w:rsid w:val="00054342"/>
    <w:rsid w:val="00054719"/>
    <w:rsid w:val="0005473B"/>
    <w:rsid w:val="00054754"/>
    <w:rsid w:val="000547C8"/>
    <w:rsid w:val="00054B68"/>
    <w:rsid w:val="00054CF4"/>
    <w:rsid w:val="00054D86"/>
    <w:rsid w:val="00054E73"/>
    <w:rsid w:val="0005512D"/>
    <w:rsid w:val="0005514D"/>
    <w:rsid w:val="000551C2"/>
    <w:rsid w:val="0005526B"/>
    <w:rsid w:val="00055334"/>
    <w:rsid w:val="000553C6"/>
    <w:rsid w:val="00055788"/>
    <w:rsid w:val="00055923"/>
    <w:rsid w:val="000559EC"/>
    <w:rsid w:val="00055E00"/>
    <w:rsid w:val="00056104"/>
    <w:rsid w:val="00056212"/>
    <w:rsid w:val="000563F3"/>
    <w:rsid w:val="00056516"/>
    <w:rsid w:val="000565B4"/>
    <w:rsid w:val="000565EF"/>
    <w:rsid w:val="00056782"/>
    <w:rsid w:val="000567F1"/>
    <w:rsid w:val="0005681A"/>
    <w:rsid w:val="000568C6"/>
    <w:rsid w:val="000569E9"/>
    <w:rsid w:val="00056A56"/>
    <w:rsid w:val="00056A62"/>
    <w:rsid w:val="00056A71"/>
    <w:rsid w:val="00056B39"/>
    <w:rsid w:val="00056C17"/>
    <w:rsid w:val="00056CCF"/>
    <w:rsid w:val="00056EDF"/>
    <w:rsid w:val="00056F0A"/>
    <w:rsid w:val="0005736F"/>
    <w:rsid w:val="000573A5"/>
    <w:rsid w:val="00057496"/>
    <w:rsid w:val="00057774"/>
    <w:rsid w:val="000577AF"/>
    <w:rsid w:val="000579AC"/>
    <w:rsid w:val="00057CD5"/>
    <w:rsid w:val="0006003F"/>
    <w:rsid w:val="0006005C"/>
    <w:rsid w:val="0006017D"/>
    <w:rsid w:val="000603A9"/>
    <w:rsid w:val="00060487"/>
    <w:rsid w:val="000605D5"/>
    <w:rsid w:val="000606B0"/>
    <w:rsid w:val="000608EB"/>
    <w:rsid w:val="0006099D"/>
    <w:rsid w:val="00060A4A"/>
    <w:rsid w:val="00060B2E"/>
    <w:rsid w:val="00060BAA"/>
    <w:rsid w:val="00060BEB"/>
    <w:rsid w:val="00060C79"/>
    <w:rsid w:val="00060D14"/>
    <w:rsid w:val="00060DD7"/>
    <w:rsid w:val="000611ED"/>
    <w:rsid w:val="0006125A"/>
    <w:rsid w:val="0006148E"/>
    <w:rsid w:val="00061591"/>
    <w:rsid w:val="00061959"/>
    <w:rsid w:val="000619E8"/>
    <w:rsid w:val="00061A87"/>
    <w:rsid w:val="00061C0D"/>
    <w:rsid w:val="00061D8C"/>
    <w:rsid w:val="0006213A"/>
    <w:rsid w:val="000621E8"/>
    <w:rsid w:val="00062352"/>
    <w:rsid w:val="0006238B"/>
    <w:rsid w:val="000623A9"/>
    <w:rsid w:val="00062673"/>
    <w:rsid w:val="0006289D"/>
    <w:rsid w:val="00062950"/>
    <w:rsid w:val="00062A96"/>
    <w:rsid w:val="00062C32"/>
    <w:rsid w:val="00062CA2"/>
    <w:rsid w:val="00062F6C"/>
    <w:rsid w:val="00063000"/>
    <w:rsid w:val="0006302F"/>
    <w:rsid w:val="000631DD"/>
    <w:rsid w:val="00063238"/>
    <w:rsid w:val="00063273"/>
    <w:rsid w:val="000632BB"/>
    <w:rsid w:val="0006340B"/>
    <w:rsid w:val="0006350F"/>
    <w:rsid w:val="0006365F"/>
    <w:rsid w:val="00063786"/>
    <w:rsid w:val="000638FC"/>
    <w:rsid w:val="0006394D"/>
    <w:rsid w:val="00063A4A"/>
    <w:rsid w:val="00063AE1"/>
    <w:rsid w:val="00063D2F"/>
    <w:rsid w:val="00063DA3"/>
    <w:rsid w:val="00063DD8"/>
    <w:rsid w:val="00063EE2"/>
    <w:rsid w:val="0006432E"/>
    <w:rsid w:val="000644E1"/>
    <w:rsid w:val="0006451D"/>
    <w:rsid w:val="00064C0C"/>
    <w:rsid w:val="00064D28"/>
    <w:rsid w:val="00064F4E"/>
    <w:rsid w:val="00064FB8"/>
    <w:rsid w:val="000650E4"/>
    <w:rsid w:val="00065208"/>
    <w:rsid w:val="00065215"/>
    <w:rsid w:val="000652D5"/>
    <w:rsid w:val="000652DC"/>
    <w:rsid w:val="000652E0"/>
    <w:rsid w:val="00065342"/>
    <w:rsid w:val="00065377"/>
    <w:rsid w:val="0006546A"/>
    <w:rsid w:val="00065527"/>
    <w:rsid w:val="00065538"/>
    <w:rsid w:val="0006565E"/>
    <w:rsid w:val="000657AF"/>
    <w:rsid w:val="0006581C"/>
    <w:rsid w:val="00065A71"/>
    <w:rsid w:val="00065B1F"/>
    <w:rsid w:val="00065BB4"/>
    <w:rsid w:val="00065CAB"/>
    <w:rsid w:val="00065E17"/>
    <w:rsid w:val="00065E68"/>
    <w:rsid w:val="00065F04"/>
    <w:rsid w:val="00065F22"/>
    <w:rsid w:val="00065FD4"/>
    <w:rsid w:val="000660E7"/>
    <w:rsid w:val="00066104"/>
    <w:rsid w:val="0006632E"/>
    <w:rsid w:val="000665FB"/>
    <w:rsid w:val="000666DB"/>
    <w:rsid w:val="000667AB"/>
    <w:rsid w:val="00066818"/>
    <w:rsid w:val="00066AB7"/>
    <w:rsid w:val="00066ABE"/>
    <w:rsid w:val="00066AC0"/>
    <w:rsid w:val="00066B9F"/>
    <w:rsid w:val="00066CB2"/>
    <w:rsid w:val="00066E68"/>
    <w:rsid w:val="00066E7D"/>
    <w:rsid w:val="00066F00"/>
    <w:rsid w:val="000672E3"/>
    <w:rsid w:val="0006781C"/>
    <w:rsid w:val="00067830"/>
    <w:rsid w:val="000678DD"/>
    <w:rsid w:val="00067937"/>
    <w:rsid w:val="0006796F"/>
    <w:rsid w:val="00067B49"/>
    <w:rsid w:val="00067D8D"/>
    <w:rsid w:val="00067DB1"/>
    <w:rsid w:val="00067EDB"/>
    <w:rsid w:val="0007000A"/>
    <w:rsid w:val="00070152"/>
    <w:rsid w:val="000701A7"/>
    <w:rsid w:val="0007041E"/>
    <w:rsid w:val="000704AC"/>
    <w:rsid w:val="000704B3"/>
    <w:rsid w:val="00070625"/>
    <w:rsid w:val="000706FE"/>
    <w:rsid w:val="00070723"/>
    <w:rsid w:val="000707D1"/>
    <w:rsid w:val="00070817"/>
    <w:rsid w:val="000708B3"/>
    <w:rsid w:val="000708C1"/>
    <w:rsid w:val="00070A31"/>
    <w:rsid w:val="00070AEC"/>
    <w:rsid w:val="00070B8A"/>
    <w:rsid w:val="00070C77"/>
    <w:rsid w:val="00070EA3"/>
    <w:rsid w:val="00070EA6"/>
    <w:rsid w:val="00070FAC"/>
    <w:rsid w:val="00071003"/>
    <w:rsid w:val="00071228"/>
    <w:rsid w:val="0007125C"/>
    <w:rsid w:val="00071272"/>
    <w:rsid w:val="000712CF"/>
    <w:rsid w:val="000712EE"/>
    <w:rsid w:val="00071455"/>
    <w:rsid w:val="000714B7"/>
    <w:rsid w:val="00071BB3"/>
    <w:rsid w:val="00071D1F"/>
    <w:rsid w:val="00071D21"/>
    <w:rsid w:val="00071DC4"/>
    <w:rsid w:val="00071FC4"/>
    <w:rsid w:val="00072243"/>
    <w:rsid w:val="00072533"/>
    <w:rsid w:val="00072596"/>
    <w:rsid w:val="0007261E"/>
    <w:rsid w:val="00072683"/>
    <w:rsid w:val="000727DE"/>
    <w:rsid w:val="00072A89"/>
    <w:rsid w:val="00072B22"/>
    <w:rsid w:val="00072BF1"/>
    <w:rsid w:val="00072E11"/>
    <w:rsid w:val="00072F1C"/>
    <w:rsid w:val="00072F97"/>
    <w:rsid w:val="00073374"/>
    <w:rsid w:val="000733F9"/>
    <w:rsid w:val="00073584"/>
    <w:rsid w:val="0007373B"/>
    <w:rsid w:val="0007375F"/>
    <w:rsid w:val="00073998"/>
    <w:rsid w:val="00073C19"/>
    <w:rsid w:val="00073C48"/>
    <w:rsid w:val="00073C9E"/>
    <w:rsid w:val="00073D75"/>
    <w:rsid w:val="000744F8"/>
    <w:rsid w:val="00074579"/>
    <w:rsid w:val="0007486A"/>
    <w:rsid w:val="00074AC2"/>
    <w:rsid w:val="00074AF4"/>
    <w:rsid w:val="00074BA7"/>
    <w:rsid w:val="00074BB6"/>
    <w:rsid w:val="00074BDA"/>
    <w:rsid w:val="00074C01"/>
    <w:rsid w:val="00074D43"/>
    <w:rsid w:val="00074DEA"/>
    <w:rsid w:val="00074FB1"/>
    <w:rsid w:val="00075003"/>
    <w:rsid w:val="000754CA"/>
    <w:rsid w:val="00075501"/>
    <w:rsid w:val="000755A6"/>
    <w:rsid w:val="000759E2"/>
    <w:rsid w:val="00075A73"/>
    <w:rsid w:val="00075B95"/>
    <w:rsid w:val="00075CAB"/>
    <w:rsid w:val="00075EF8"/>
    <w:rsid w:val="00075F1E"/>
    <w:rsid w:val="00075FBB"/>
    <w:rsid w:val="00076039"/>
    <w:rsid w:val="0007617A"/>
    <w:rsid w:val="0007625F"/>
    <w:rsid w:val="0007628B"/>
    <w:rsid w:val="000762C0"/>
    <w:rsid w:val="00076312"/>
    <w:rsid w:val="00076318"/>
    <w:rsid w:val="000763EB"/>
    <w:rsid w:val="00076606"/>
    <w:rsid w:val="00076830"/>
    <w:rsid w:val="000768A5"/>
    <w:rsid w:val="00076BA1"/>
    <w:rsid w:val="00076CB5"/>
    <w:rsid w:val="00076CBC"/>
    <w:rsid w:val="00076DD1"/>
    <w:rsid w:val="000771D2"/>
    <w:rsid w:val="000773B9"/>
    <w:rsid w:val="00077508"/>
    <w:rsid w:val="0007756B"/>
    <w:rsid w:val="00077847"/>
    <w:rsid w:val="0007798A"/>
    <w:rsid w:val="000779FB"/>
    <w:rsid w:val="00077BB3"/>
    <w:rsid w:val="00077BDF"/>
    <w:rsid w:val="00077D89"/>
    <w:rsid w:val="00077DE9"/>
    <w:rsid w:val="00080138"/>
    <w:rsid w:val="00080162"/>
    <w:rsid w:val="000802BA"/>
    <w:rsid w:val="00080502"/>
    <w:rsid w:val="00080512"/>
    <w:rsid w:val="000805B1"/>
    <w:rsid w:val="00080697"/>
    <w:rsid w:val="00080730"/>
    <w:rsid w:val="00080991"/>
    <w:rsid w:val="00080C70"/>
    <w:rsid w:val="00080CA8"/>
    <w:rsid w:val="00081179"/>
    <w:rsid w:val="000811A2"/>
    <w:rsid w:val="00081203"/>
    <w:rsid w:val="000812CD"/>
    <w:rsid w:val="0008144F"/>
    <w:rsid w:val="00081733"/>
    <w:rsid w:val="0008176B"/>
    <w:rsid w:val="00081815"/>
    <w:rsid w:val="000818F7"/>
    <w:rsid w:val="00081E57"/>
    <w:rsid w:val="00082020"/>
    <w:rsid w:val="0008209D"/>
    <w:rsid w:val="000820C4"/>
    <w:rsid w:val="00082173"/>
    <w:rsid w:val="0008223B"/>
    <w:rsid w:val="00082247"/>
    <w:rsid w:val="000823F7"/>
    <w:rsid w:val="00082627"/>
    <w:rsid w:val="00082792"/>
    <w:rsid w:val="0008279A"/>
    <w:rsid w:val="00082875"/>
    <w:rsid w:val="0008290D"/>
    <w:rsid w:val="00082952"/>
    <w:rsid w:val="00082B57"/>
    <w:rsid w:val="00082C20"/>
    <w:rsid w:val="00082C7E"/>
    <w:rsid w:val="00082C8C"/>
    <w:rsid w:val="00082E81"/>
    <w:rsid w:val="00082F87"/>
    <w:rsid w:val="00083032"/>
    <w:rsid w:val="000830B9"/>
    <w:rsid w:val="0008326A"/>
    <w:rsid w:val="00083282"/>
    <w:rsid w:val="000832B3"/>
    <w:rsid w:val="0008371A"/>
    <w:rsid w:val="00083772"/>
    <w:rsid w:val="00083E0A"/>
    <w:rsid w:val="00083E2F"/>
    <w:rsid w:val="00083E6E"/>
    <w:rsid w:val="00084215"/>
    <w:rsid w:val="00084264"/>
    <w:rsid w:val="000843E5"/>
    <w:rsid w:val="00084400"/>
    <w:rsid w:val="00084428"/>
    <w:rsid w:val="000846AB"/>
    <w:rsid w:val="000846BA"/>
    <w:rsid w:val="00084724"/>
    <w:rsid w:val="000848A9"/>
    <w:rsid w:val="000849CA"/>
    <w:rsid w:val="00084B17"/>
    <w:rsid w:val="00084B26"/>
    <w:rsid w:val="00084B4D"/>
    <w:rsid w:val="00084C2D"/>
    <w:rsid w:val="00084C73"/>
    <w:rsid w:val="00084C86"/>
    <w:rsid w:val="00084F1B"/>
    <w:rsid w:val="0008526B"/>
    <w:rsid w:val="000853D1"/>
    <w:rsid w:val="000855F1"/>
    <w:rsid w:val="000857A1"/>
    <w:rsid w:val="000857C8"/>
    <w:rsid w:val="000857FE"/>
    <w:rsid w:val="0008588F"/>
    <w:rsid w:val="0008598B"/>
    <w:rsid w:val="00085B1E"/>
    <w:rsid w:val="00085B6F"/>
    <w:rsid w:val="000860EE"/>
    <w:rsid w:val="0008618C"/>
    <w:rsid w:val="000863BE"/>
    <w:rsid w:val="000864E1"/>
    <w:rsid w:val="00086C1A"/>
    <w:rsid w:val="00086F59"/>
    <w:rsid w:val="00087266"/>
    <w:rsid w:val="0008738E"/>
    <w:rsid w:val="00087976"/>
    <w:rsid w:val="00087BF4"/>
    <w:rsid w:val="00087CE2"/>
    <w:rsid w:val="00087E73"/>
    <w:rsid w:val="00087EED"/>
    <w:rsid w:val="00090738"/>
    <w:rsid w:val="00090D49"/>
    <w:rsid w:val="00090DE1"/>
    <w:rsid w:val="00090DF4"/>
    <w:rsid w:val="00090E24"/>
    <w:rsid w:val="00091254"/>
    <w:rsid w:val="00091283"/>
    <w:rsid w:val="000912BF"/>
    <w:rsid w:val="00091466"/>
    <w:rsid w:val="00091985"/>
    <w:rsid w:val="00091A84"/>
    <w:rsid w:val="00091A8C"/>
    <w:rsid w:val="00091AC1"/>
    <w:rsid w:val="00091B5C"/>
    <w:rsid w:val="00091D6C"/>
    <w:rsid w:val="00091EE8"/>
    <w:rsid w:val="00091FCC"/>
    <w:rsid w:val="00092041"/>
    <w:rsid w:val="0009206F"/>
    <w:rsid w:val="00092092"/>
    <w:rsid w:val="00092104"/>
    <w:rsid w:val="000921EC"/>
    <w:rsid w:val="00092447"/>
    <w:rsid w:val="00092482"/>
    <w:rsid w:val="0009248A"/>
    <w:rsid w:val="000924A8"/>
    <w:rsid w:val="00092584"/>
    <w:rsid w:val="0009271D"/>
    <w:rsid w:val="0009280C"/>
    <w:rsid w:val="00092998"/>
    <w:rsid w:val="00092A4D"/>
    <w:rsid w:val="00092A92"/>
    <w:rsid w:val="00092ABA"/>
    <w:rsid w:val="00092AC3"/>
    <w:rsid w:val="00092D2B"/>
    <w:rsid w:val="00092DF2"/>
    <w:rsid w:val="0009309A"/>
    <w:rsid w:val="00093322"/>
    <w:rsid w:val="000935A5"/>
    <w:rsid w:val="000935E5"/>
    <w:rsid w:val="000935FD"/>
    <w:rsid w:val="000937E0"/>
    <w:rsid w:val="00093839"/>
    <w:rsid w:val="00093A80"/>
    <w:rsid w:val="00093ABB"/>
    <w:rsid w:val="00093AC4"/>
    <w:rsid w:val="00093B00"/>
    <w:rsid w:val="00093C2D"/>
    <w:rsid w:val="00093CB5"/>
    <w:rsid w:val="00093D19"/>
    <w:rsid w:val="00093D5E"/>
    <w:rsid w:val="00093F90"/>
    <w:rsid w:val="00094635"/>
    <w:rsid w:val="000947E1"/>
    <w:rsid w:val="000948E5"/>
    <w:rsid w:val="00094BA9"/>
    <w:rsid w:val="00094DB2"/>
    <w:rsid w:val="00094E2A"/>
    <w:rsid w:val="00094E33"/>
    <w:rsid w:val="00094EF0"/>
    <w:rsid w:val="00094FB4"/>
    <w:rsid w:val="00095048"/>
    <w:rsid w:val="0009515F"/>
    <w:rsid w:val="00095392"/>
    <w:rsid w:val="00095572"/>
    <w:rsid w:val="00095646"/>
    <w:rsid w:val="0009567D"/>
    <w:rsid w:val="000957BD"/>
    <w:rsid w:val="0009582F"/>
    <w:rsid w:val="000959E1"/>
    <w:rsid w:val="00095B8C"/>
    <w:rsid w:val="00095FC3"/>
    <w:rsid w:val="00096006"/>
    <w:rsid w:val="0009623F"/>
    <w:rsid w:val="000963FC"/>
    <w:rsid w:val="00096489"/>
    <w:rsid w:val="00096799"/>
    <w:rsid w:val="000968C8"/>
    <w:rsid w:val="0009694E"/>
    <w:rsid w:val="00096E7A"/>
    <w:rsid w:val="00096EF1"/>
    <w:rsid w:val="000970FC"/>
    <w:rsid w:val="00097577"/>
    <w:rsid w:val="00097591"/>
    <w:rsid w:val="00097634"/>
    <w:rsid w:val="00097A64"/>
    <w:rsid w:val="00097AC4"/>
    <w:rsid w:val="00097B22"/>
    <w:rsid w:val="00097FF6"/>
    <w:rsid w:val="000A0199"/>
    <w:rsid w:val="000A0263"/>
    <w:rsid w:val="000A0466"/>
    <w:rsid w:val="000A06EF"/>
    <w:rsid w:val="000A08EF"/>
    <w:rsid w:val="000A0C61"/>
    <w:rsid w:val="000A0F87"/>
    <w:rsid w:val="000A0FD7"/>
    <w:rsid w:val="000A1035"/>
    <w:rsid w:val="000A114B"/>
    <w:rsid w:val="000A12D5"/>
    <w:rsid w:val="000A14F8"/>
    <w:rsid w:val="000A155D"/>
    <w:rsid w:val="000A164D"/>
    <w:rsid w:val="000A16EA"/>
    <w:rsid w:val="000A170B"/>
    <w:rsid w:val="000A1718"/>
    <w:rsid w:val="000A18A8"/>
    <w:rsid w:val="000A18C9"/>
    <w:rsid w:val="000A1903"/>
    <w:rsid w:val="000A1985"/>
    <w:rsid w:val="000A1BE5"/>
    <w:rsid w:val="000A1BF7"/>
    <w:rsid w:val="000A1D1A"/>
    <w:rsid w:val="000A1E85"/>
    <w:rsid w:val="000A1F2F"/>
    <w:rsid w:val="000A1F9A"/>
    <w:rsid w:val="000A2171"/>
    <w:rsid w:val="000A22DA"/>
    <w:rsid w:val="000A2312"/>
    <w:rsid w:val="000A24FB"/>
    <w:rsid w:val="000A2509"/>
    <w:rsid w:val="000A250C"/>
    <w:rsid w:val="000A2560"/>
    <w:rsid w:val="000A25D1"/>
    <w:rsid w:val="000A2649"/>
    <w:rsid w:val="000A29A6"/>
    <w:rsid w:val="000A29FF"/>
    <w:rsid w:val="000A2CEF"/>
    <w:rsid w:val="000A2E48"/>
    <w:rsid w:val="000A2ED1"/>
    <w:rsid w:val="000A3253"/>
    <w:rsid w:val="000A3440"/>
    <w:rsid w:val="000A34A4"/>
    <w:rsid w:val="000A350A"/>
    <w:rsid w:val="000A35F8"/>
    <w:rsid w:val="000A3800"/>
    <w:rsid w:val="000A3AD6"/>
    <w:rsid w:val="000A3E26"/>
    <w:rsid w:val="000A3EDA"/>
    <w:rsid w:val="000A3FBD"/>
    <w:rsid w:val="000A402D"/>
    <w:rsid w:val="000A4089"/>
    <w:rsid w:val="000A41D1"/>
    <w:rsid w:val="000A437C"/>
    <w:rsid w:val="000A4537"/>
    <w:rsid w:val="000A45B7"/>
    <w:rsid w:val="000A45CD"/>
    <w:rsid w:val="000A4610"/>
    <w:rsid w:val="000A47E4"/>
    <w:rsid w:val="000A4B6D"/>
    <w:rsid w:val="000A4C1E"/>
    <w:rsid w:val="000A4CA6"/>
    <w:rsid w:val="000A4F7E"/>
    <w:rsid w:val="000A4F86"/>
    <w:rsid w:val="000A506E"/>
    <w:rsid w:val="000A52C5"/>
    <w:rsid w:val="000A52EC"/>
    <w:rsid w:val="000A545A"/>
    <w:rsid w:val="000A5E45"/>
    <w:rsid w:val="000A5FF5"/>
    <w:rsid w:val="000A610E"/>
    <w:rsid w:val="000A6285"/>
    <w:rsid w:val="000A6288"/>
    <w:rsid w:val="000A62ED"/>
    <w:rsid w:val="000A632E"/>
    <w:rsid w:val="000A6BFF"/>
    <w:rsid w:val="000A6CE1"/>
    <w:rsid w:val="000A6CF4"/>
    <w:rsid w:val="000A6ED8"/>
    <w:rsid w:val="000A6FCD"/>
    <w:rsid w:val="000A7038"/>
    <w:rsid w:val="000A7079"/>
    <w:rsid w:val="000A72C1"/>
    <w:rsid w:val="000A73AA"/>
    <w:rsid w:val="000A7462"/>
    <w:rsid w:val="000A78A0"/>
    <w:rsid w:val="000A796F"/>
    <w:rsid w:val="000A7990"/>
    <w:rsid w:val="000A79A1"/>
    <w:rsid w:val="000A7B4B"/>
    <w:rsid w:val="000A7ECD"/>
    <w:rsid w:val="000B0247"/>
    <w:rsid w:val="000B0325"/>
    <w:rsid w:val="000B066C"/>
    <w:rsid w:val="000B07A7"/>
    <w:rsid w:val="000B07D5"/>
    <w:rsid w:val="000B0942"/>
    <w:rsid w:val="000B0973"/>
    <w:rsid w:val="000B0A3D"/>
    <w:rsid w:val="000B0B2C"/>
    <w:rsid w:val="000B0C56"/>
    <w:rsid w:val="000B0C61"/>
    <w:rsid w:val="000B0FD7"/>
    <w:rsid w:val="000B109D"/>
    <w:rsid w:val="000B1911"/>
    <w:rsid w:val="000B19D1"/>
    <w:rsid w:val="000B1B39"/>
    <w:rsid w:val="000B1B8A"/>
    <w:rsid w:val="000B1B96"/>
    <w:rsid w:val="000B1EFA"/>
    <w:rsid w:val="000B1F17"/>
    <w:rsid w:val="000B2131"/>
    <w:rsid w:val="000B2158"/>
    <w:rsid w:val="000B219C"/>
    <w:rsid w:val="000B23D6"/>
    <w:rsid w:val="000B2665"/>
    <w:rsid w:val="000B2AF9"/>
    <w:rsid w:val="000B2BE4"/>
    <w:rsid w:val="000B2E5D"/>
    <w:rsid w:val="000B30C8"/>
    <w:rsid w:val="000B30EB"/>
    <w:rsid w:val="000B30F5"/>
    <w:rsid w:val="000B35FE"/>
    <w:rsid w:val="000B36A2"/>
    <w:rsid w:val="000B38B0"/>
    <w:rsid w:val="000B38BA"/>
    <w:rsid w:val="000B3A02"/>
    <w:rsid w:val="000B3A31"/>
    <w:rsid w:val="000B3DB7"/>
    <w:rsid w:val="000B3E86"/>
    <w:rsid w:val="000B3F17"/>
    <w:rsid w:val="000B3F69"/>
    <w:rsid w:val="000B412F"/>
    <w:rsid w:val="000B4139"/>
    <w:rsid w:val="000B4383"/>
    <w:rsid w:val="000B44C6"/>
    <w:rsid w:val="000B4544"/>
    <w:rsid w:val="000B457B"/>
    <w:rsid w:val="000B45A5"/>
    <w:rsid w:val="000B45FA"/>
    <w:rsid w:val="000B4746"/>
    <w:rsid w:val="000B4A19"/>
    <w:rsid w:val="000B4C39"/>
    <w:rsid w:val="000B4D8E"/>
    <w:rsid w:val="000B51EC"/>
    <w:rsid w:val="000B5204"/>
    <w:rsid w:val="000B5222"/>
    <w:rsid w:val="000B53C1"/>
    <w:rsid w:val="000B5411"/>
    <w:rsid w:val="000B5439"/>
    <w:rsid w:val="000B5582"/>
    <w:rsid w:val="000B57A1"/>
    <w:rsid w:val="000B57D7"/>
    <w:rsid w:val="000B5A15"/>
    <w:rsid w:val="000B5F7E"/>
    <w:rsid w:val="000B6021"/>
    <w:rsid w:val="000B612B"/>
    <w:rsid w:val="000B61F5"/>
    <w:rsid w:val="000B6303"/>
    <w:rsid w:val="000B6342"/>
    <w:rsid w:val="000B651E"/>
    <w:rsid w:val="000B664F"/>
    <w:rsid w:val="000B670A"/>
    <w:rsid w:val="000B68C4"/>
    <w:rsid w:val="000B68D1"/>
    <w:rsid w:val="000B6D23"/>
    <w:rsid w:val="000B6F81"/>
    <w:rsid w:val="000B6FE6"/>
    <w:rsid w:val="000B725B"/>
    <w:rsid w:val="000B725D"/>
    <w:rsid w:val="000B728E"/>
    <w:rsid w:val="000B7310"/>
    <w:rsid w:val="000B7519"/>
    <w:rsid w:val="000B75A1"/>
    <w:rsid w:val="000B7712"/>
    <w:rsid w:val="000B77C0"/>
    <w:rsid w:val="000B7A38"/>
    <w:rsid w:val="000B7D58"/>
    <w:rsid w:val="000B7EB3"/>
    <w:rsid w:val="000C0313"/>
    <w:rsid w:val="000C034B"/>
    <w:rsid w:val="000C0401"/>
    <w:rsid w:val="000C05DA"/>
    <w:rsid w:val="000C069C"/>
    <w:rsid w:val="000C0C06"/>
    <w:rsid w:val="000C0D73"/>
    <w:rsid w:val="000C1061"/>
    <w:rsid w:val="000C10FF"/>
    <w:rsid w:val="000C1396"/>
    <w:rsid w:val="000C14DC"/>
    <w:rsid w:val="000C159C"/>
    <w:rsid w:val="000C15AE"/>
    <w:rsid w:val="000C15C4"/>
    <w:rsid w:val="000C16A8"/>
    <w:rsid w:val="000C1A42"/>
    <w:rsid w:val="000C1DCC"/>
    <w:rsid w:val="000C1E62"/>
    <w:rsid w:val="000C1F12"/>
    <w:rsid w:val="000C2135"/>
    <w:rsid w:val="000C217C"/>
    <w:rsid w:val="000C22A9"/>
    <w:rsid w:val="000C23BD"/>
    <w:rsid w:val="000C2636"/>
    <w:rsid w:val="000C29EA"/>
    <w:rsid w:val="000C29FD"/>
    <w:rsid w:val="000C2ABF"/>
    <w:rsid w:val="000C3119"/>
    <w:rsid w:val="000C317D"/>
    <w:rsid w:val="000C31A5"/>
    <w:rsid w:val="000C3346"/>
    <w:rsid w:val="000C3395"/>
    <w:rsid w:val="000C339D"/>
    <w:rsid w:val="000C3438"/>
    <w:rsid w:val="000C3474"/>
    <w:rsid w:val="000C3800"/>
    <w:rsid w:val="000C3F88"/>
    <w:rsid w:val="000C408A"/>
    <w:rsid w:val="000C41D3"/>
    <w:rsid w:val="000C441F"/>
    <w:rsid w:val="000C4832"/>
    <w:rsid w:val="000C4A21"/>
    <w:rsid w:val="000C4AE5"/>
    <w:rsid w:val="000C4F05"/>
    <w:rsid w:val="000C4FF3"/>
    <w:rsid w:val="000C503B"/>
    <w:rsid w:val="000C50E1"/>
    <w:rsid w:val="000C52BF"/>
    <w:rsid w:val="000C53A6"/>
    <w:rsid w:val="000C53EC"/>
    <w:rsid w:val="000C5470"/>
    <w:rsid w:val="000C5775"/>
    <w:rsid w:val="000C5827"/>
    <w:rsid w:val="000C594C"/>
    <w:rsid w:val="000C5F26"/>
    <w:rsid w:val="000C5FFD"/>
    <w:rsid w:val="000C6054"/>
    <w:rsid w:val="000C60D9"/>
    <w:rsid w:val="000C662A"/>
    <w:rsid w:val="000C6681"/>
    <w:rsid w:val="000C6A1D"/>
    <w:rsid w:val="000C6C8A"/>
    <w:rsid w:val="000C6D6E"/>
    <w:rsid w:val="000C6D70"/>
    <w:rsid w:val="000C6F14"/>
    <w:rsid w:val="000C7097"/>
    <w:rsid w:val="000C70C0"/>
    <w:rsid w:val="000C70DA"/>
    <w:rsid w:val="000C72C3"/>
    <w:rsid w:val="000C731F"/>
    <w:rsid w:val="000C732C"/>
    <w:rsid w:val="000C735E"/>
    <w:rsid w:val="000C7557"/>
    <w:rsid w:val="000C7602"/>
    <w:rsid w:val="000C7690"/>
    <w:rsid w:val="000C76AD"/>
    <w:rsid w:val="000C7956"/>
    <w:rsid w:val="000C7D86"/>
    <w:rsid w:val="000C7E14"/>
    <w:rsid w:val="000C7E70"/>
    <w:rsid w:val="000D012D"/>
    <w:rsid w:val="000D01F5"/>
    <w:rsid w:val="000D0523"/>
    <w:rsid w:val="000D079D"/>
    <w:rsid w:val="000D0944"/>
    <w:rsid w:val="000D0E0B"/>
    <w:rsid w:val="000D0EEE"/>
    <w:rsid w:val="000D0F94"/>
    <w:rsid w:val="000D1152"/>
    <w:rsid w:val="000D1253"/>
    <w:rsid w:val="000D125A"/>
    <w:rsid w:val="000D133A"/>
    <w:rsid w:val="000D14BC"/>
    <w:rsid w:val="000D17A7"/>
    <w:rsid w:val="000D189C"/>
    <w:rsid w:val="000D1C41"/>
    <w:rsid w:val="000D1E71"/>
    <w:rsid w:val="000D20D9"/>
    <w:rsid w:val="000D25EE"/>
    <w:rsid w:val="000D2650"/>
    <w:rsid w:val="000D26E5"/>
    <w:rsid w:val="000D2860"/>
    <w:rsid w:val="000D2886"/>
    <w:rsid w:val="000D293E"/>
    <w:rsid w:val="000D2B5D"/>
    <w:rsid w:val="000D2BF5"/>
    <w:rsid w:val="000D2C13"/>
    <w:rsid w:val="000D2E57"/>
    <w:rsid w:val="000D2E8E"/>
    <w:rsid w:val="000D2ED4"/>
    <w:rsid w:val="000D305A"/>
    <w:rsid w:val="000D30DE"/>
    <w:rsid w:val="000D30E2"/>
    <w:rsid w:val="000D317A"/>
    <w:rsid w:val="000D3201"/>
    <w:rsid w:val="000D3397"/>
    <w:rsid w:val="000D33B9"/>
    <w:rsid w:val="000D33BA"/>
    <w:rsid w:val="000D3422"/>
    <w:rsid w:val="000D3477"/>
    <w:rsid w:val="000D353B"/>
    <w:rsid w:val="000D3575"/>
    <w:rsid w:val="000D35A1"/>
    <w:rsid w:val="000D36E2"/>
    <w:rsid w:val="000D3875"/>
    <w:rsid w:val="000D387D"/>
    <w:rsid w:val="000D39D7"/>
    <w:rsid w:val="000D3AE9"/>
    <w:rsid w:val="000D3DCF"/>
    <w:rsid w:val="000D3F8E"/>
    <w:rsid w:val="000D4009"/>
    <w:rsid w:val="000D409F"/>
    <w:rsid w:val="000D437F"/>
    <w:rsid w:val="000D4550"/>
    <w:rsid w:val="000D4625"/>
    <w:rsid w:val="000D462D"/>
    <w:rsid w:val="000D46BE"/>
    <w:rsid w:val="000D474D"/>
    <w:rsid w:val="000D48CA"/>
    <w:rsid w:val="000D4F5F"/>
    <w:rsid w:val="000D50F2"/>
    <w:rsid w:val="000D5413"/>
    <w:rsid w:val="000D5608"/>
    <w:rsid w:val="000D5797"/>
    <w:rsid w:val="000D57F9"/>
    <w:rsid w:val="000D5B3A"/>
    <w:rsid w:val="000D5BB3"/>
    <w:rsid w:val="000D5E1B"/>
    <w:rsid w:val="000D5E6F"/>
    <w:rsid w:val="000D5F02"/>
    <w:rsid w:val="000D5F1D"/>
    <w:rsid w:val="000D6039"/>
    <w:rsid w:val="000D6063"/>
    <w:rsid w:val="000D610B"/>
    <w:rsid w:val="000D6163"/>
    <w:rsid w:val="000D6329"/>
    <w:rsid w:val="000D6476"/>
    <w:rsid w:val="000D651D"/>
    <w:rsid w:val="000D665A"/>
    <w:rsid w:val="000D69DD"/>
    <w:rsid w:val="000D6A59"/>
    <w:rsid w:val="000D6D5D"/>
    <w:rsid w:val="000D6E40"/>
    <w:rsid w:val="000D70D5"/>
    <w:rsid w:val="000D7289"/>
    <w:rsid w:val="000D7385"/>
    <w:rsid w:val="000D747E"/>
    <w:rsid w:val="000D75AE"/>
    <w:rsid w:val="000D7659"/>
    <w:rsid w:val="000D765F"/>
    <w:rsid w:val="000D76F4"/>
    <w:rsid w:val="000D7963"/>
    <w:rsid w:val="000D7BB3"/>
    <w:rsid w:val="000D7BC8"/>
    <w:rsid w:val="000D7BD4"/>
    <w:rsid w:val="000D7D68"/>
    <w:rsid w:val="000D7F34"/>
    <w:rsid w:val="000E0206"/>
    <w:rsid w:val="000E02D6"/>
    <w:rsid w:val="000E0439"/>
    <w:rsid w:val="000E0655"/>
    <w:rsid w:val="000E0964"/>
    <w:rsid w:val="000E0B30"/>
    <w:rsid w:val="000E0CFF"/>
    <w:rsid w:val="000E0F2E"/>
    <w:rsid w:val="000E0F9A"/>
    <w:rsid w:val="000E10DA"/>
    <w:rsid w:val="000E13E9"/>
    <w:rsid w:val="000E13EC"/>
    <w:rsid w:val="000E1813"/>
    <w:rsid w:val="000E1845"/>
    <w:rsid w:val="000E1927"/>
    <w:rsid w:val="000E1944"/>
    <w:rsid w:val="000E1AFC"/>
    <w:rsid w:val="000E1C8D"/>
    <w:rsid w:val="000E1CF1"/>
    <w:rsid w:val="000E1EA1"/>
    <w:rsid w:val="000E1EE8"/>
    <w:rsid w:val="000E1EEB"/>
    <w:rsid w:val="000E2064"/>
    <w:rsid w:val="000E2315"/>
    <w:rsid w:val="000E2620"/>
    <w:rsid w:val="000E28A3"/>
    <w:rsid w:val="000E2ACF"/>
    <w:rsid w:val="000E2B0B"/>
    <w:rsid w:val="000E2BC4"/>
    <w:rsid w:val="000E2C5D"/>
    <w:rsid w:val="000E2E3E"/>
    <w:rsid w:val="000E2E78"/>
    <w:rsid w:val="000E30B3"/>
    <w:rsid w:val="000E3294"/>
    <w:rsid w:val="000E3331"/>
    <w:rsid w:val="000E3496"/>
    <w:rsid w:val="000E3929"/>
    <w:rsid w:val="000E397C"/>
    <w:rsid w:val="000E3B20"/>
    <w:rsid w:val="000E3C6D"/>
    <w:rsid w:val="000E3CC1"/>
    <w:rsid w:val="000E3EBF"/>
    <w:rsid w:val="000E3F38"/>
    <w:rsid w:val="000E3FF4"/>
    <w:rsid w:val="000E4078"/>
    <w:rsid w:val="000E4134"/>
    <w:rsid w:val="000E436D"/>
    <w:rsid w:val="000E439E"/>
    <w:rsid w:val="000E4556"/>
    <w:rsid w:val="000E4755"/>
    <w:rsid w:val="000E4BD2"/>
    <w:rsid w:val="000E4D32"/>
    <w:rsid w:val="000E4E69"/>
    <w:rsid w:val="000E50E7"/>
    <w:rsid w:val="000E560D"/>
    <w:rsid w:val="000E562E"/>
    <w:rsid w:val="000E56C5"/>
    <w:rsid w:val="000E5871"/>
    <w:rsid w:val="000E5B26"/>
    <w:rsid w:val="000E5CE2"/>
    <w:rsid w:val="000E5D77"/>
    <w:rsid w:val="000E631E"/>
    <w:rsid w:val="000E6491"/>
    <w:rsid w:val="000E67D5"/>
    <w:rsid w:val="000E6870"/>
    <w:rsid w:val="000E68B1"/>
    <w:rsid w:val="000E6914"/>
    <w:rsid w:val="000E6A6B"/>
    <w:rsid w:val="000E6C25"/>
    <w:rsid w:val="000E6F7F"/>
    <w:rsid w:val="000E7080"/>
    <w:rsid w:val="000E70FA"/>
    <w:rsid w:val="000E7108"/>
    <w:rsid w:val="000E710A"/>
    <w:rsid w:val="000E7595"/>
    <w:rsid w:val="000E79A0"/>
    <w:rsid w:val="000E79E8"/>
    <w:rsid w:val="000E7A63"/>
    <w:rsid w:val="000E7D3C"/>
    <w:rsid w:val="000E7DD7"/>
    <w:rsid w:val="000E7EAE"/>
    <w:rsid w:val="000E7F66"/>
    <w:rsid w:val="000F009D"/>
    <w:rsid w:val="000F0205"/>
    <w:rsid w:val="000F080D"/>
    <w:rsid w:val="000F0850"/>
    <w:rsid w:val="000F0C07"/>
    <w:rsid w:val="000F0C56"/>
    <w:rsid w:val="000F0CC5"/>
    <w:rsid w:val="000F0D36"/>
    <w:rsid w:val="000F0D3B"/>
    <w:rsid w:val="000F0D5E"/>
    <w:rsid w:val="000F0EC2"/>
    <w:rsid w:val="000F0F57"/>
    <w:rsid w:val="000F110F"/>
    <w:rsid w:val="000F124A"/>
    <w:rsid w:val="000F15F6"/>
    <w:rsid w:val="000F1608"/>
    <w:rsid w:val="000F1662"/>
    <w:rsid w:val="000F194A"/>
    <w:rsid w:val="000F1AD6"/>
    <w:rsid w:val="000F1D0A"/>
    <w:rsid w:val="000F1F08"/>
    <w:rsid w:val="000F2136"/>
    <w:rsid w:val="000F216D"/>
    <w:rsid w:val="000F2277"/>
    <w:rsid w:val="000F2501"/>
    <w:rsid w:val="000F27C4"/>
    <w:rsid w:val="000F292B"/>
    <w:rsid w:val="000F2937"/>
    <w:rsid w:val="000F29E1"/>
    <w:rsid w:val="000F2B94"/>
    <w:rsid w:val="000F2CB8"/>
    <w:rsid w:val="000F2E0C"/>
    <w:rsid w:val="000F2F62"/>
    <w:rsid w:val="000F307B"/>
    <w:rsid w:val="000F3174"/>
    <w:rsid w:val="000F32A3"/>
    <w:rsid w:val="000F3529"/>
    <w:rsid w:val="000F3610"/>
    <w:rsid w:val="000F3664"/>
    <w:rsid w:val="000F37B0"/>
    <w:rsid w:val="000F37D3"/>
    <w:rsid w:val="000F3829"/>
    <w:rsid w:val="000F3868"/>
    <w:rsid w:val="000F3981"/>
    <w:rsid w:val="000F39AA"/>
    <w:rsid w:val="000F39B3"/>
    <w:rsid w:val="000F3CC3"/>
    <w:rsid w:val="000F3D02"/>
    <w:rsid w:val="000F3D56"/>
    <w:rsid w:val="000F3E02"/>
    <w:rsid w:val="000F3E2D"/>
    <w:rsid w:val="000F3F5F"/>
    <w:rsid w:val="000F3FB3"/>
    <w:rsid w:val="000F4691"/>
    <w:rsid w:val="000F4697"/>
    <w:rsid w:val="000F4962"/>
    <w:rsid w:val="000F498D"/>
    <w:rsid w:val="000F49B1"/>
    <w:rsid w:val="000F4ABB"/>
    <w:rsid w:val="000F4B3D"/>
    <w:rsid w:val="000F4BF2"/>
    <w:rsid w:val="000F4BF7"/>
    <w:rsid w:val="000F4C5F"/>
    <w:rsid w:val="000F4DCE"/>
    <w:rsid w:val="000F4E17"/>
    <w:rsid w:val="000F4F51"/>
    <w:rsid w:val="000F51BC"/>
    <w:rsid w:val="000F5329"/>
    <w:rsid w:val="000F5565"/>
    <w:rsid w:val="000F57C2"/>
    <w:rsid w:val="000F583A"/>
    <w:rsid w:val="000F5C89"/>
    <w:rsid w:val="000F5CE2"/>
    <w:rsid w:val="000F5D2D"/>
    <w:rsid w:val="000F5D3E"/>
    <w:rsid w:val="000F5D71"/>
    <w:rsid w:val="000F5D7D"/>
    <w:rsid w:val="000F5DA1"/>
    <w:rsid w:val="000F6215"/>
    <w:rsid w:val="000F6436"/>
    <w:rsid w:val="000F6596"/>
    <w:rsid w:val="000F677C"/>
    <w:rsid w:val="000F6975"/>
    <w:rsid w:val="000F6C4F"/>
    <w:rsid w:val="000F6C96"/>
    <w:rsid w:val="000F6CD1"/>
    <w:rsid w:val="000F6DA4"/>
    <w:rsid w:val="000F6DB1"/>
    <w:rsid w:val="000F6EF5"/>
    <w:rsid w:val="000F6FC2"/>
    <w:rsid w:val="000F70F8"/>
    <w:rsid w:val="000F7118"/>
    <w:rsid w:val="000F713F"/>
    <w:rsid w:val="000F733C"/>
    <w:rsid w:val="000F7546"/>
    <w:rsid w:val="000F758D"/>
    <w:rsid w:val="000F75A1"/>
    <w:rsid w:val="000F75F1"/>
    <w:rsid w:val="000F7A3A"/>
    <w:rsid w:val="000F7B69"/>
    <w:rsid w:val="0010007D"/>
    <w:rsid w:val="001000E5"/>
    <w:rsid w:val="0010020E"/>
    <w:rsid w:val="0010023D"/>
    <w:rsid w:val="00100332"/>
    <w:rsid w:val="0010041C"/>
    <w:rsid w:val="00100462"/>
    <w:rsid w:val="001004CA"/>
    <w:rsid w:val="001004F5"/>
    <w:rsid w:val="00100642"/>
    <w:rsid w:val="00100B1A"/>
    <w:rsid w:val="00100C50"/>
    <w:rsid w:val="00100E8C"/>
    <w:rsid w:val="00100F07"/>
    <w:rsid w:val="00100F2E"/>
    <w:rsid w:val="00101001"/>
    <w:rsid w:val="001015F5"/>
    <w:rsid w:val="001016AD"/>
    <w:rsid w:val="00101A4A"/>
    <w:rsid w:val="00101AEA"/>
    <w:rsid w:val="00101D55"/>
    <w:rsid w:val="00101EA7"/>
    <w:rsid w:val="00102023"/>
    <w:rsid w:val="00102233"/>
    <w:rsid w:val="0010229B"/>
    <w:rsid w:val="0010231B"/>
    <w:rsid w:val="001024E5"/>
    <w:rsid w:val="00102714"/>
    <w:rsid w:val="00102A4E"/>
    <w:rsid w:val="00102A58"/>
    <w:rsid w:val="00102B0C"/>
    <w:rsid w:val="00102B10"/>
    <w:rsid w:val="00102B22"/>
    <w:rsid w:val="00102C18"/>
    <w:rsid w:val="00102EE6"/>
    <w:rsid w:val="001030B1"/>
    <w:rsid w:val="00103128"/>
    <w:rsid w:val="001031AB"/>
    <w:rsid w:val="001032E3"/>
    <w:rsid w:val="00103328"/>
    <w:rsid w:val="00103416"/>
    <w:rsid w:val="001036E7"/>
    <w:rsid w:val="00103829"/>
    <w:rsid w:val="00103D2C"/>
    <w:rsid w:val="00103F6C"/>
    <w:rsid w:val="00104015"/>
    <w:rsid w:val="00104132"/>
    <w:rsid w:val="00104170"/>
    <w:rsid w:val="001043AF"/>
    <w:rsid w:val="00104477"/>
    <w:rsid w:val="00104485"/>
    <w:rsid w:val="0010460F"/>
    <w:rsid w:val="001047E5"/>
    <w:rsid w:val="0010493E"/>
    <w:rsid w:val="0010496B"/>
    <w:rsid w:val="001049A8"/>
    <w:rsid w:val="00104BE2"/>
    <w:rsid w:val="00104C29"/>
    <w:rsid w:val="00104D82"/>
    <w:rsid w:val="00104F59"/>
    <w:rsid w:val="00104F8E"/>
    <w:rsid w:val="00105272"/>
    <w:rsid w:val="0010534E"/>
    <w:rsid w:val="0010535B"/>
    <w:rsid w:val="00105405"/>
    <w:rsid w:val="00105645"/>
    <w:rsid w:val="00105761"/>
    <w:rsid w:val="001058AB"/>
    <w:rsid w:val="00105A1D"/>
    <w:rsid w:val="00105A53"/>
    <w:rsid w:val="00105C6F"/>
    <w:rsid w:val="001060AA"/>
    <w:rsid w:val="001061B7"/>
    <w:rsid w:val="001061C5"/>
    <w:rsid w:val="001061DA"/>
    <w:rsid w:val="00106293"/>
    <w:rsid w:val="001063B1"/>
    <w:rsid w:val="0010648E"/>
    <w:rsid w:val="0010649D"/>
    <w:rsid w:val="0010664C"/>
    <w:rsid w:val="001066E4"/>
    <w:rsid w:val="001066FF"/>
    <w:rsid w:val="00106790"/>
    <w:rsid w:val="00106899"/>
    <w:rsid w:val="00106ACA"/>
    <w:rsid w:val="00106B28"/>
    <w:rsid w:val="00106E74"/>
    <w:rsid w:val="00106F68"/>
    <w:rsid w:val="00107075"/>
    <w:rsid w:val="00107098"/>
    <w:rsid w:val="001070FB"/>
    <w:rsid w:val="00107136"/>
    <w:rsid w:val="00107495"/>
    <w:rsid w:val="0010757F"/>
    <w:rsid w:val="00107598"/>
    <w:rsid w:val="00107744"/>
    <w:rsid w:val="0010781D"/>
    <w:rsid w:val="00107A62"/>
    <w:rsid w:val="00107B06"/>
    <w:rsid w:val="00107B5B"/>
    <w:rsid w:val="00107BA3"/>
    <w:rsid w:val="00107C9C"/>
    <w:rsid w:val="00107DB6"/>
    <w:rsid w:val="00107DF1"/>
    <w:rsid w:val="00107E34"/>
    <w:rsid w:val="00107F87"/>
    <w:rsid w:val="00107FF0"/>
    <w:rsid w:val="0011000E"/>
    <w:rsid w:val="0011016C"/>
    <w:rsid w:val="0011049E"/>
    <w:rsid w:val="001106DD"/>
    <w:rsid w:val="0011081E"/>
    <w:rsid w:val="00110AAB"/>
    <w:rsid w:val="00110BE3"/>
    <w:rsid w:val="00110E9B"/>
    <w:rsid w:val="001111D1"/>
    <w:rsid w:val="001112B5"/>
    <w:rsid w:val="00111536"/>
    <w:rsid w:val="00111BF7"/>
    <w:rsid w:val="00111C05"/>
    <w:rsid w:val="00111C10"/>
    <w:rsid w:val="00111CF7"/>
    <w:rsid w:val="00112249"/>
    <w:rsid w:val="001122BF"/>
    <w:rsid w:val="001123A9"/>
    <w:rsid w:val="00112588"/>
    <w:rsid w:val="001126FD"/>
    <w:rsid w:val="00112869"/>
    <w:rsid w:val="00112A7B"/>
    <w:rsid w:val="00112AFD"/>
    <w:rsid w:val="00112C16"/>
    <w:rsid w:val="00112C7A"/>
    <w:rsid w:val="00112D1A"/>
    <w:rsid w:val="00112E78"/>
    <w:rsid w:val="00112FEC"/>
    <w:rsid w:val="0011302F"/>
    <w:rsid w:val="0011321B"/>
    <w:rsid w:val="0011321C"/>
    <w:rsid w:val="001132A2"/>
    <w:rsid w:val="00113355"/>
    <w:rsid w:val="0011335D"/>
    <w:rsid w:val="001137B7"/>
    <w:rsid w:val="001137E9"/>
    <w:rsid w:val="0011393A"/>
    <w:rsid w:val="001139E5"/>
    <w:rsid w:val="00113A90"/>
    <w:rsid w:val="00113AC7"/>
    <w:rsid w:val="00113EBE"/>
    <w:rsid w:val="0011416B"/>
    <w:rsid w:val="0011416F"/>
    <w:rsid w:val="0011420F"/>
    <w:rsid w:val="0011430B"/>
    <w:rsid w:val="001143BE"/>
    <w:rsid w:val="001147DC"/>
    <w:rsid w:val="00114C3E"/>
    <w:rsid w:val="00114E06"/>
    <w:rsid w:val="00114E3A"/>
    <w:rsid w:val="00114EBF"/>
    <w:rsid w:val="001150CF"/>
    <w:rsid w:val="001151CE"/>
    <w:rsid w:val="001152CF"/>
    <w:rsid w:val="00115420"/>
    <w:rsid w:val="001156AC"/>
    <w:rsid w:val="001156E3"/>
    <w:rsid w:val="001157DB"/>
    <w:rsid w:val="0011588C"/>
    <w:rsid w:val="00115926"/>
    <w:rsid w:val="00115A09"/>
    <w:rsid w:val="00115A53"/>
    <w:rsid w:val="00115E4C"/>
    <w:rsid w:val="00115E62"/>
    <w:rsid w:val="00115F8B"/>
    <w:rsid w:val="00116318"/>
    <w:rsid w:val="0011693E"/>
    <w:rsid w:val="00116C1D"/>
    <w:rsid w:val="00116C1F"/>
    <w:rsid w:val="00116C59"/>
    <w:rsid w:val="0011747E"/>
    <w:rsid w:val="001176E5"/>
    <w:rsid w:val="0011798C"/>
    <w:rsid w:val="00117A8C"/>
    <w:rsid w:val="00117AB8"/>
    <w:rsid w:val="00117C5C"/>
    <w:rsid w:val="00117E0D"/>
    <w:rsid w:val="0012016E"/>
    <w:rsid w:val="001201E3"/>
    <w:rsid w:val="00120421"/>
    <w:rsid w:val="001204AD"/>
    <w:rsid w:val="0012081C"/>
    <w:rsid w:val="00120A35"/>
    <w:rsid w:val="00120BB4"/>
    <w:rsid w:val="00120CB4"/>
    <w:rsid w:val="00120D30"/>
    <w:rsid w:val="00120DA8"/>
    <w:rsid w:val="00120E2E"/>
    <w:rsid w:val="00121060"/>
    <w:rsid w:val="00121168"/>
    <w:rsid w:val="0012116B"/>
    <w:rsid w:val="00121273"/>
    <w:rsid w:val="00121392"/>
    <w:rsid w:val="00121451"/>
    <w:rsid w:val="0012147E"/>
    <w:rsid w:val="00121890"/>
    <w:rsid w:val="001218DF"/>
    <w:rsid w:val="001219E3"/>
    <w:rsid w:val="00121D55"/>
    <w:rsid w:val="00121E33"/>
    <w:rsid w:val="00121E72"/>
    <w:rsid w:val="00121EDA"/>
    <w:rsid w:val="0012215C"/>
    <w:rsid w:val="0012217C"/>
    <w:rsid w:val="00122180"/>
    <w:rsid w:val="00122227"/>
    <w:rsid w:val="0012223B"/>
    <w:rsid w:val="00122245"/>
    <w:rsid w:val="0012229A"/>
    <w:rsid w:val="001222AB"/>
    <w:rsid w:val="001223D9"/>
    <w:rsid w:val="00122506"/>
    <w:rsid w:val="001227BE"/>
    <w:rsid w:val="00122A6D"/>
    <w:rsid w:val="00122C13"/>
    <w:rsid w:val="00123072"/>
    <w:rsid w:val="00123073"/>
    <w:rsid w:val="001230BB"/>
    <w:rsid w:val="0012311B"/>
    <w:rsid w:val="0012333A"/>
    <w:rsid w:val="001233CE"/>
    <w:rsid w:val="00123730"/>
    <w:rsid w:val="00123821"/>
    <w:rsid w:val="00123BFF"/>
    <w:rsid w:val="00123CE9"/>
    <w:rsid w:val="0012420A"/>
    <w:rsid w:val="001243B6"/>
    <w:rsid w:val="001244BF"/>
    <w:rsid w:val="00124569"/>
    <w:rsid w:val="001245F2"/>
    <w:rsid w:val="00124734"/>
    <w:rsid w:val="00124790"/>
    <w:rsid w:val="0012498D"/>
    <w:rsid w:val="001249CE"/>
    <w:rsid w:val="001249F1"/>
    <w:rsid w:val="00124B70"/>
    <w:rsid w:val="00124BCF"/>
    <w:rsid w:val="00124CD2"/>
    <w:rsid w:val="00124CFA"/>
    <w:rsid w:val="00124DF2"/>
    <w:rsid w:val="00124F9C"/>
    <w:rsid w:val="00125289"/>
    <w:rsid w:val="00125291"/>
    <w:rsid w:val="001253B1"/>
    <w:rsid w:val="001254D2"/>
    <w:rsid w:val="00125611"/>
    <w:rsid w:val="001258D9"/>
    <w:rsid w:val="00125AE0"/>
    <w:rsid w:val="00125C81"/>
    <w:rsid w:val="00125CC2"/>
    <w:rsid w:val="00125D95"/>
    <w:rsid w:val="001260C0"/>
    <w:rsid w:val="001263FC"/>
    <w:rsid w:val="001266DD"/>
    <w:rsid w:val="00126707"/>
    <w:rsid w:val="001267FA"/>
    <w:rsid w:val="00126962"/>
    <w:rsid w:val="0012699C"/>
    <w:rsid w:val="00126B8C"/>
    <w:rsid w:val="00126D18"/>
    <w:rsid w:val="00126D58"/>
    <w:rsid w:val="00126D97"/>
    <w:rsid w:val="00126DEF"/>
    <w:rsid w:val="00127070"/>
    <w:rsid w:val="00127318"/>
    <w:rsid w:val="001273F3"/>
    <w:rsid w:val="00127400"/>
    <w:rsid w:val="001275C8"/>
    <w:rsid w:val="00127825"/>
    <w:rsid w:val="00127972"/>
    <w:rsid w:val="00127C60"/>
    <w:rsid w:val="00127E2C"/>
    <w:rsid w:val="00127F22"/>
    <w:rsid w:val="00130121"/>
    <w:rsid w:val="00130426"/>
    <w:rsid w:val="00130516"/>
    <w:rsid w:val="00130525"/>
    <w:rsid w:val="001305E5"/>
    <w:rsid w:val="00130722"/>
    <w:rsid w:val="00130870"/>
    <w:rsid w:val="0013089B"/>
    <w:rsid w:val="001308FE"/>
    <w:rsid w:val="00130A70"/>
    <w:rsid w:val="00130EE1"/>
    <w:rsid w:val="0013105B"/>
    <w:rsid w:val="0013111F"/>
    <w:rsid w:val="00131123"/>
    <w:rsid w:val="001311AB"/>
    <w:rsid w:val="001313E9"/>
    <w:rsid w:val="001315B6"/>
    <w:rsid w:val="00131755"/>
    <w:rsid w:val="001318E1"/>
    <w:rsid w:val="00131AD3"/>
    <w:rsid w:val="00131CB0"/>
    <w:rsid w:val="00131D2E"/>
    <w:rsid w:val="00131FBD"/>
    <w:rsid w:val="00132082"/>
    <w:rsid w:val="001325F4"/>
    <w:rsid w:val="001326BF"/>
    <w:rsid w:val="00132B4D"/>
    <w:rsid w:val="00132C33"/>
    <w:rsid w:val="00132E50"/>
    <w:rsid w:val="00132E5C"/>
    <w:rsid w:val="0013303E"/>
    <w:rsid w:val="0013319E"/>
    <w:rsid w:val="00133395"/>
    <w:rsid w:val="001335DE"/>
    <w:rsid w:val="00133602"/>
    <w:rsid w:val="00133644"/>
    <w:rsid w:val="0013366B"/>
    <w:rsid w:val="001336CD"/>
    <w:rsid w:val="0013382E"/>
    <w:rsid w:val="001339E6"/>
    <w:rsid w:val="00133B4C"/>
    <w:rsid w:val="00133B78"/>
    <w:rsid w:val="00133C2A"/>
    <w:rsid w:val="00133C73"/>
    <w:rsid w:val="00133CD5"/>
    <w:rsid w:val="00133E5F"/>
    <w:rsid w:val="001340D4"/>
    <w:rsid w:val="001340FD"/>
    <w:rsid w:val="001341F7"/>
    <w:rsid w:val="00134217"/>
    <w:rsid w:val="00134367"/>
    <w:rsid w:val="001345B2"/>
    <w:rsid w:val="00134786"/>
    <w:rsid w:val="001347C4"/>
    <w:rsid w:val="0013491E"/>
    <w:rsid w:val="00134BBE"/>
    <w:rsid w:val="00134C79"/>
    <w:rsid w:val="00134DE6"/>
    <w:rsid w:val="001350B8"/>
    <w:rsid w:val="001350D1"/>
    <w:rsid w:val="001352AC"/>
    <w:rsid w:val="0013531C"/>
    <w:rsid w:val="00135359"/>
    <w:rsid w:val="00135598"/>
    <w:rsid w:val="00135807"/>
    <w:rsid w:val="00135863"/>
    <w:rsid w:val="00135AAB"/>
    <w:rsid w:val="00135ADE"/>
    <w:rsid w:val="00135AF9"/>
    <w:rsid w:val="00135C03"/>
    <w:rsid w:val="00135C67"/>
    <w:rsid w:val="00135C9B"/>
    <w:rsid w:val="00135EEB"/>
    <w:rsid w:val="00135F56"/>
    <w:rsid w:val="0013609F"/>
    <w:rsid w:val="0013624A"/>
    <w:rsid w:val="001362FE"/>
    <w:rsid w:val="001363AA"/>
    <w:rsid w:val="00136417"/>
    <w:rsid w:val="0013646A"/>
    <w:rsid w:val="00136525"/>
    <w:rsid w:val="001367EA"/>
    <w:rsid w:val="001369D0"/>
    <w:rsid w:val="00136B46"/>
    <w:rsid w:val="00136B86"/>
    <w:rsid w:val="00136BA3"/>
    <w:rsid w:val="00136C9D"/>
    <w:rsid w:val="00136CE1"/>
    <w:rsid w:val="00136D1F"/>
    <w:rsid w:val="00136D37"/>
    <w:rsid w:val="00136F4C"/>
    <w:rsid w:val="00136FC6"/>
    <w:rsid w:val="0013704A"/>
    <w:rsid w:val="0013706C"/>
    <w:rsid w:val="001377FF"/>
    <w:rsid w:val="00137855"/>
    <w:rsid w:val="0013792F"/>
    <w:rsid w:val="00137A80"/>
    <w:rsid w:val="00137BD7"/>
    <w:rsid w:val="00137D54"/>
    <w:rsid w:val="00137F44"/>
    <w:rsid w:val="00137F90"/>
    <w:rsid w:val="00137FD7"/>
    <w:rsid w:val="00140048"/>
    <w:rsid w:val="00140293"/>
    <w:rsid w:val="0014035D"/>
    <w:rsid w:val="0014054F"/>
    <w:rsid w:val="001408BD"/>
    <w:rsid w:val="00140922"/>
    <w:rsid w:val="001409BC"/>
    <w:rsid w:val="00140A4D"/>
    <w:rsid w:val="00140BDD"/>
    <w:rsid w:val="00140D6D"/>
    <w:rsid w:val="00140DF8"/>
    <w:rsid w:val="00140F66"/>
    <w:rsid w:val="001412AF"/>
    <w:rsid w:val="00141368"/>
    <w:rsid w:val="001413C3"/>
    <w:rsid w:val="001413DD"/>
    <w:rsid w:val="0014147B"/>
    <w:rsid w:val="00141517"/>
    <w:rsid w:val="00141628"/>
    <w:rsid w:val="00141877"/>
    <w:rsid w:val="00141C30"/>
    <w:rsid w:val="00141CF6"/>
    <w:rsid w:val="00141E9A"/>
    <w:rsid w:val="00142002"/>
    <w:rsid w:val="0014214D"/>
    <w:rsid w:val="001422AE"/>
    <w:rsid w:val="00142410"/>
    <w:rsid w:val="00142659"/>
    <w:rsid w:val="00142902"/>
    <w:rsid w:val="00142A48"/>
    <w:rsid w:val="00142AFB"/>
    <w:rsid w:val="00142C05"/>
    <w:rsid w:val="00142C39"/>
    <w:rsid w:val="00142C67"/>
    <w:rsid w:val="00142C9F"/>
    <w:rsid w:val="00142CBA"/>
    <w:rsid w:val="00143070"/>
    <w:rsid w:val="001430D8"/>
    <w:rsid w:val="00143195"/>
    <w:rsid w:val="00143335"/>
    <w:rsid w:val="0014334C"/>
    <w:rsid w:val="001433C1"/>
    <w:rsid w:val="001434E2"/>
    <w:rsid w:val="001435F5"/>
    <w:rsid w:val="001436E8"/>
    <w:rsid w:val="001437AC"/>
    <w:rsid w:val="0014383B"/>
    <w:rsid w:val="001438C7"/>
    <w:rsid w:val="00143B55"/>
    <w:rsid w:val="00143C2A"/>
    <w:rsid w:val="00143CBB"/>
    <w:rsid w:val="00143D04"/>
    <w:rsid w:val="00143FB2"/>
    <w:rsid w:val="0014434F"/>
    <w:rsid w:val="001445FA"/>
    <w:rsid w:val="0014461B"/>
    <w:rsid w:val="00144622"/>
    <w:rsid w:val="00144883"/>
    <w:rsid w:val="00144987"/>
    <w:rsid w:val="00144997"/>
    <w:rsid w:val="00144C79"/>
    <w:rsid w:val="00144EF1"/>
    <w:rsid w:val="00144FD4"/>
    <w:rsid w:val="001451B6"/>
    <w:rsid w:val="0014542A"/>
    <w:rsid w:val="00145520"/>
    <w:rsid w:val="00145721"/>
    <w:rsid w:val="00145793"/>
    <w:rsid w:val="00145805"/>
    <w:rsid w:val="00145900"/>
    <w:rsid w:val="00145901"/>
    <w:rsid w:val="00145A70"/>
    <w:rsid w:val="00145ACE"/>
    <w:rsid w:val="00145D33"/>
    <w:rsid w:val="00145DCE"/>
    <w:rsid w:val="00145DED"/>
    <w:rsid w:val="00145E68"/>
    <w:rsid w:val="00145E93"/>
    <w:rsid w:val="0014635B"/>
    <w:rsid w:val="00146361"/>
    <w:rsid w:val="0014644B"/>
    <w:rsid w:val="00146575"/>
    <w:rsid w:val="001466AB"/>
    <w:rsid w:val="001466AF"/>
    <w:rsid w:val="0014675D"/>
    <w:rsid w:val="001467E2"/>
    <w:rsid w:val="00146869"/>
    <w:rsid w:val="00146A37"/>
    <w:rsid w:val="00146D3E"/>
    <w:rsid w:val="00146DAD"/>
    <w:rsid w:val="00146E5A"/>
    <w:rsid w:val="00146E5C"/>
    <w:rsid w:val="00146E6B"/>
    <w:rsid w:val="00146EA2"/>
    <w:rsid w:val="00146EC2"/>
    <w:rsid w:val="00146F30"/>
    <w:rsid w:val="00146F75"/>
    <w:rsid w:val="001470FB"/>
    <w:rsid w:val="0014717B"/>
    <w:rsid w:val="001471A3"/>
    <w:rsid w:val="00147467"/>
    <w:rsid w:val="00147471"/>
    <w:rsid w:val="0014752E"/>
    <w:rsid w:val="0014758A"/>
    <w:rsid w:val="00147603"/>
    <w:rsid w:val="001476C3"/>
    <w:rsid w:val="0014771E"/>
    <w:rsid w:val="001478F6"/>
    <w:rsid w:val="00147ADB"/>
    <w:rsid w:val="00147B92"/>
    <w:rsid w:val="00147D74"/>
    <w:rsid w:val="00147DAC"/>
    <w:rsid w:val="00147F31"/>
    <w:rsid w:val="0015017A"/>
    <w:rsid w:val="00150304"/>
    <w:rsid w:val="001503F2"/>
    <w:rsid w:val="00150547"/>
    <w:rsid w:val="00150552"/>
    <w:rsid w:val="00150605"/>
    <w:rsid w:val="00150718"/>
    <w:rsid w:val="00150A12"/>
    <w:rsid w:val="00150C44"/>
    <w:rsid w:val="00151065"/>
    <w:rsid w:val="00151076"/>
    <w:rsid w:val="0015114C"/>
    <w:rsid w:val="00151215"/>
    <w:rsid w:val="00151329"/>
    <w:rsid w:val="00151624"/>
    <w:rsid w:val="00151641"/>
    <w:rsid w:val="00151744"/>
    <w:rsid w:val="0015183F"/>
    <w:rsid w:val="001518C2"/>
    <w:rsid w:val="00151972"/>
    <w:rsid w:val="00151A6E"/>
    <w:rsid w:val="00151C10"/>
    <w:rsid w:val="00151C5B"/>
    <w:rsid w:val="00151D7F"/>
    <w:rsid w:val="00151F72"/>
    <w:rsid w:val="00152009"/>
    <w:rsid w:val="0015205F"/>
    <w:rsid w:val="0015238A"/>
    <w:rsid w:val="00152480"/>
    <w:rsid w:val="00152898"/>
    <w:rsid w:val="00152B4E"/>
    <w:rsid w:val="00152B53"/>
    <w:rsid w:val="00152C51"/>
    <w:rsid w:val="00152F05"/>
    <w:rsid w:val="0015303C"/>
    <w:rsid w:val="0015305D"/>
    <w:rsid w:val="001530F8"/>
    <w:rsid w:val="00153110"/>
    <w:rsid w:val="00153165"/>
    <w:rsid w:val="00153186"/>
    <w:rsid w:val="001531E4"/>
    <w:rsid w:val="001532C5"/>
    <w:rsid w:val="00153316"/>
    <w:rsid w:val="00153530"/>
    <w:rsid w:val="001535F9"/>
    <w:rsid w:val="00153773"/>
    <w:rsid w:val="0015389B"/>
    <w:rsid w:val="0015399B"/>
    <w:rsid w:val="00153A04"/>
    <w:rsid w:val="00153A26"/>
    <w:rsid w:val="00153BCD"/>
    <w:rsid w:val="00153C06"/>
    <w:rsid w:val="00153CB5"/>
    <w:rsid w:val="00153CEA"/>
    <w:rsid w:val="00153D10"/>
    <w:rsid w:val="00153F60"/>
    <w:rsid w:val="00154033"/>
    <w:rsid w:val="001540DC"/>
    <w:rsid w:val="001540EE"/>
    <w:rsid w:val="001546E0"/>
    <w:rsid w:val="00154B0A"/>
    <w:rsid w:val="00154B15"/>
    <w:rsid w:val="00154D06"/>
    <w:rsid w:val="00154D93"/>
    <w:rsid w:val="001550EB"/>
    <w:rsid w:val="001550FD"/>
    <w:rsid w:val="0015528C"/>
    <w:rsid w:val="0015530E"/>
    <w:rsid w:val="00155803"/>
    <w:rsid w:val="001558C2"/>
    <w:rsid w:val="00155CC1"/>
    <w:rsid w:val="00155CEC"/>
    <w:rsid w:val="00155D4E"/>
    <w:rsid w:val="00155FD2"/>
    <w:rsid w:val="00156039"/>
    <w:rsid w:val="00156285"/>
    <w:rsid w:val="00156428"/>
    <w:rsid w:val="00156629"/>
    <w:rsid w:val="0015662A"/>
    <w:rsid w:val="001566EB"/>
    <w:rsid w:val="00156B29"/>
    <w:rsid w:val="00156B2C"/>
    <w:rsid w:val="00156F47"/>
    <w:rsid w:val="0015710B"/>
    <w:rsid w:val="0015719B"/>
    <w:rsid w:val="00157437"/>
    <w:rsid w:val="00157A8A"/>
    <w:rsid w:val="00157C93"/>
    <w:rsid w:val="00157E6C"/>
    <w:rsid w:val="00157F2C"/>
    <w:rsid w:val="00157F6B"/>
    <w:rsid w:val="00157FE4"/>
    <w:rsid w:val="00160046"/>
    <w:rsid w:val="0016016B"/>
    <w:rsid w:val="00160269"/>
    <w:rsid w:val="00160674"/>
    <w:rsid w:val="001607F5"/>
    <w:rsid w:val="0016084F"/>
    <w:rsid w:val="00160ABA"/>
    <w:rsid w:val="00160B6F"/>
    <w:rsid w:val="00160C84"/>
    <w:rsid w:val="00160DAE"/>
    <w:rsid w:val="00160E2A"/>
    <w:rsid w:val="00160E3C"/>
    <w:rsid w:val="00160EF5"/>
    <w:rsid w:val="00160F36"/>
    <w:rsid w:val="001610C7"/>
    <w:rsid w:val="00161362"/>
    <w:rsid w:val="00161511"/>
    <w:rsid w:val="001615AD"/>
    <w:rsid w:val="001615D3"/>
    <w:rsid w:val="001616B1"/>
    <w:rsid w:val="001617C0"/>
    <w:rsid w:val="00161921"/>
    <w:rsid w:val="00161A2B"/>
    <w:rsid w:val="00161B2E"/>
    <w:rsid w:val="00161C7D"/>
    <w:rsid w:val="00161CC7"/>
    <w:rsid w:val="00161CCA"/>
    <w:rsid w:val="00161CE5"/>
    <w:rsid w:val="00161DA7"/>
    <w:rsid w:val="0016224F"/>
    <w:rsid w:val="001622BA"/>
    <w:rsid w:val="001623A5"/>
    <w:rsid w:val="00162411"/>
    <w:rsid w:val="001625A3"/>
    <w:rsid w:val="0016289E"/>
    <w:rsid w:val="001629AB"/>
    <w:rsid w:val="00162A22"/>
    <w:rsid w:val="00162E80"/>
    <w:rsid w:val="00163037"/>
    <w:rsid w:val="001632E0"/>
    <w:rsid w:val="00163505"/>
    <w:rsid w:val="001637F9"/>
    <w:rsid w:val="00163820"/>
    <w:rsid w:val="00163B3E"/>
    <w:rsid w:val="00163CD1"/>
    <w:rsid w:val="00163D6A"/>
    <w:rsid w:val="00163F9F"/>
    <w:rsid w:val="00163FE3"/>
    <w:rsid w:val="001640BE"/>
    <w:rsid w:val="001640CD"/>
    <w:rsid w:val="0016412C"/>
    <w:rsid w:val="00164328"/>
    <w:rsid w:val="001643EE"/>
    <w:rsid w:val="00164453"/>
    <w:rsid w:val="00164480"/>
    <w:rsid w:val="00164596"/>
    <w:rsid w:val="0016465D"/>
    <w:rsid w:val="001648BB"/>
    <w:rsid w:val="00164ACA"/>
    <w:rsid w:val="00164CD3"/>
    <w:rsid w:val="00164EEF"/>
    <w:rsid w:val="00164F93"/>
    <w:rsid w:val="0016509E"/>
    <w:rsid w:val="00165287"/>
    <w:rsid w:val="001654FC"/>
    <w:rsid w:val="00165648"/>
    <w:rsid w:val="0016587D"/>
    <w:rsid w:val="00165951"/>
    <w:rsid w:val="00165B0B"/>
    <w:rsid w:val="00165B3D"/>
    <w:rsid w:val="00165B8E"/>
    <w:rsid w:val="00165D13"/>
    <w:rsid w:val="001660EE"/>
    <w:rsid w:val="001661B0"/>
    <w:rsid w:val="001661CD"/>
    <w:rsid w:val="0016620D"/>
    <w:rsid w:val="00166248"/>
    <w:rsid w:val="00166398"/>
    <w:rsid w:val="00166403"/>
    <w:rsid w:val="0016681C"/>
    <w:rsid w:val="001669E4"/>
    <w:rsid w:val="00166A26"/>
    <w:rsid w:val="00166AAF"/>
    <w:rsid w:val="00166BB5"/>
    <w:rsid w:val="00166F28"/>
    <w:rsid w:val="00166F8F"/>
    <w:rsid w:val="0016713C"/>
    <w:rsid w:val="001672D9"/>
    <w:rsid w:val="001673E9"/>
    <w:rsid w:val="001677AB"/>
    <w:rsid w:val="00167904"/>
    <w:rsid w:val="0017002E"/>
    <w:rsid w:val="0017021D"/>
    <w:rsid w:val="001702FF"/>
    <w:rsid w:val="001704A3"/>
    <w:rsid w:val="00170583"/>
    <w:rsid w:val="001705D4"/>
    <w:rsid w:val="001707A5"/>
    <w:rsid w:val="0017091A"/>
    <w:rsid w:val="00170972"/>
    <w:rsid w:val="00170B55"/>
    <w:rsid w:val="00170B71"/>
    <w:rsid w:val="00170BE6"/>
    <w:rsid w:val="00170BE9"/>
    <w:rsid w:val="00170CFF"/>
    <w:rsid w:val="00170DD5"/>
    <w:rsid w:val="00170E21"/>
    <w:rsid w:val="00171055"/>
    <w:rsid w:val="00171075"/>
    <w:rsid w:val="0017119B"/>
    <w:rsid w:val="0017125C"/>
    <w:rsid w:val="001713F6"/>
    <w:rsid w:val="001717E5"/>
    <w:rsid w:val="00171938"/>
    <w:rsid w:val="00171EC8"/>
    <w:rsid w:val="00172171"/>
    <w:rsid w:val="001721E2"/>
    <w:rsid w:val="001724B1"/>
    <w:rsid w:val="001725B9"/>
    <w:rsid w:val="001726E0"/>
    <w:rsid w:val="00172719"/>
    <w:rsid w:val="0017272C"/>
    <w:rsid w:val="0017295A"/>
    <w:rsid w:val="001729D1"/>
    <w:rsid w:val="00172A6A"/>
    <w:rsid w:val="00172E7B"/>
    <w:rsid w:val="00172F87"/>
    <w:rsid w:val="00173010"/>
    <w:rsid w:val="001731C0"/>
    <w:rsid w:val="001732D8"/>
    <w:rsid w:val="001734B0"/>
    <w:rsid w:val="0017370C"/>
    <w:rsid w:val="00173806"/>
    <w:rsid w:val="00173A2A"/>
    <w:rsid w:val="00173C44"/>
    <w:rsid w:val="00173CB7"/>
    <w:rsid w:val="00173DB0"/>
    <w:rsid w:val="00173DE1"/>
    <w:rsid w:val="00173E42"/>
    <w:rsid w:val="00173ED0"/>
    <w:rsid w:val="00173F21"/>
    <w:rsid w:val="001742BF"/>
    <w:rsid w:val="00174512"/>
    <w:rsid w:val="00174556"/>
    <w:rsid w:val="0017462D"/>
    <w:rsid w:val="00174CDC"/>
    <w:rsid w:val="00174D1B"/>
    <w:rsid w:val="00174D20"/>
    <w:rsid w:val="00174E0B"/>
    <w:rsid w:val="00174EEC"/>
    <w:rsid w:val="001754C5"/>
    <w:rsid w:val="00175663"/>
    <w:rsid w:val="00175735"/>
    <w:rsid w:val="00175755"/>
    <w:rsid w:val="001757E6"/>
    <w:rsid w:val="001758F3"/>
    <w:rsid w:val="00175A55"/>
    <w:rsid w:val="00175A91"/>
    <w:rsid w:val="00175B42"/>
    <w:rsid w:val="00175B69"/>
    <w:rsid w:val="00175B87"/>
    <w:rsid w:val="00175B8C"/>
    <w:rsid w:val="00175D6F"/>
    <w:rsid w:val="00175F02"/>
    <w:rsid w:val="00175F74"/>
    <w:rsid w:val="00175F8A"/>
    <w:rsid w:val="00176065"/>
    <w:rsid w:val="00176173"/>
    <w:rsid w:val="0017625B"/>
    <w:rsid w:val="001763AB"/>
    <w:rsid w:val="001764F5"/>
    <w:rsid w:val="00176553"/>
    <w:rsid w:val="00176585"/>
    <w:rsid w:val="001766C3"/>
    <w:rsid w:val="00176845"/>
    <w:rsid w:val="0017687F"/>
    <w:rsid w:val="00176894"/>
    <w:rsid w:val="001769E4"/>
    <w:rsid w:val="00176B9E"/>
    <w:rsid w:val="00176C5D"/>
    <w:rsid w:val="00176CB6"/>
    <w:rsid w:val="00176D74"/>
    <w:rsid w:val="00177037"/>
    <w:rsid w:val="0017724C"/>
    <w:rsid w:val="0017750F"/>
    <w:rsid w:val="001775AC"/>
    <w:rsid w:val="0017768F"/>
    <w:rsid w:val="001776C6"/>
    <w:rsid w:val="00177A2B"/>
    <w:rsid w:val="00177A6C"/>
    <w:rsid w:val="00177AA9"/>
    <w:rsid w:val="00177D42"/>
    <w:rsid w:val="00177D84"/>
    <w:rsid w:val="00177E50"/>
    <w:rsid w:val="00180167"/>
    <w:rsid w:val="001801A0"/>
    <w:rsid w:val="0018022B"/>
    <w:rsid w:val="00180243"/>
    <w:rsid w:val="001802D5"/>
    <w:rsid w:val="00180A21"/>
    <w:rsid w:val="00180C92"/>
    <w:rsid w:val="00180F3F"/>
    <w:rsid w:val="00180FD8"/>
    <w:rsid w:val="0018103D"/>
    <w:rsid w:val="00181071"/>
    <w:rsid w:val="0018108B"/>
    <w:rsid w:val="001810F7"/>
    <w:rsid w:val="0018128D"/>
    <w:rsid w:val="00181291"/>
    <w:rsid w:val="001814DC"/>
    <w:rsid w:val="001816FC"/>
    <w:rsid w:val="00181B78"/>
    <w:rsid w:val="00181C8A"/>
    <w:rsid w:val="00181CDB"/>
    <w:rsid w:val="00181D26"/>
    <w:rsid w:val="00181E6E"/>
    <w:rsid w:val="00181FEF"/>
    <w:rsid w:val="0018246A"/>
    <w:rsid w:val="0018250B"/>
    <w:rsid w:val="00182521"/>
    <w:rsid w:val="001827E3"/>
    <w:rsid w:val="00182990"/>
    <w:rsid w:val="00182A05"/>
    <w:rsid w:val="00182BD0"/>
    <w:rsid w:val="00182EA0"/>
    <w:rsid w:val="00182F70"/>
    <w:rsid w:val="0018310F"/>
    <w:rsid w:val="001831B5"/>
    <w:rsid w:val="001831E0"/>
    <w:rsid w:val="001832C8"/>
    <w:rsid w:val="00183435"/>
    <w:rsid w:val="0018360E"/>
    <w:rsid w:val="0018375C"/>
    <w:rsid w:val="001837D1"/>
    <w:rsid w:val="0018382A"/>
    <w:rsid w:val="00183885"/>
    <w:rsid w:val="001838AD"/>
    <w:rsid w:val="00183975"/>
    <w:rsid w:val="00183AB5"/>
    <w:rsid w:val="00183B75"/>
    <w:rsid w:val="00183CDB"/>
    <w:rsid w:val="00183CE0"/>
    <w:rsid w:val="00183CEA"/>
    <w:rsid w:val="00183D57"/>
    <w:rsid w:val="00183E51"/>
    <w:rsid w:val="00183FD7"/>
    <w:rsid w:val="001842A9"/>
    <w:rsid w:val="00184302"/>
    <w:rsid w:val="0018445F"/>
    <w:rsid w:val="001844A2"/>
    <w:rsid w:val="00184900"/>
    <w:rsid w:val="00184919"/>
    <w:rsid w:val="00184A2B"/>
    <w:rsid w:val="00184BC5"/>
    <w:rsid w:val="00184BDC"/>
    <w:rsid w:val="00184FDD"/>
    <w:rsid w:val="00185499"/>
    <w:rsid w:val="0018557B"/>
    <w:rsid w:val="001856E6"/>
    <w:rsid w:val="0018585A"/>
    <w:rsid w:val="00185999"/>
    <w:rsid w:val="001859BF"/>
    <w:rsid w:val="001859C5"/>
    <w:rsid w:val="00185BEB"/>
    <w:rsid w:val="00185CCC"/>
    <w:rsid w:val="00185E90"/>
    <w:rsid w:val="00185F25"/>
    <w:rsid w:val="00185F44"/>
    <w:rsid w:val="001860D7"/>
    <w:rsid w:val="001864E1"/>
    <w:rsid w:val="001865F8"/>
    <w:rsid w:val="00186605"/>
    <w:rsid w:val="0018661D"/>
    <w:rsid w:val="0018696E"/>
    <w:rsid w:val="00186BBE"/>
    <w:rsid w:val="00187311"/>
    <w:rsid w:val="00187335"/>
    <w:rsid w:val="001873FD"/>
    <w:rsid w:val="001874E9"/>
    <w:rsid w:val="00187825"/>
    <w:rsid w:val="00187928"/>
    <w:rsid w:val="0018793A"/>
    <w:rsid w:val="001879AC"/>
    <w:rsid w:val="00187C4B"/>
    <w:rsid w:val="00187E1D"/>
    <w:rsid w:val="00187E5B"/>
    <w:rsid w:val="0019003A"/>
    <w:rsid w:val="00190252"/>
    <w:rsid w:val="001905F9"/>
    <w:rsid w:val="0019070A"/>
    <w:rsid w:val="001907A8"/>
    <w:rsid w:val="001907DC"/>
    <w:rsid w:val="00190A52"/>
    <w:rsid w:val="00190B16"/>
    <w:rsid w:val="00190B98"/>
    <w:rsid w:val="00190C60"/>
    <w:rsid w:val="00190CAC"/>
    <w:rsid w:val="00190E2D"/>
    <w:rsid w:val="00191039"/>
    <w:rsid w:val="00191194"/>
    <w:rsid w:val="0019135D"/>
    <w:rsid w:val="00191620"/>
    <w:rsid w:val="00191665"/>
    <w:rsid w:val="00191760"/>
    <w:rsid w:val="0019179B"/>
    <w:rsid w:val="0019183D"/>
    <w:rsid w:val="001918DD"/>
    <w:rsid w:val="00191934"/>
    <w:rsid w:val="00191C6E"/>
    <w:rsid w:val="00191D53"/>
    <w:rsid w:val="00191D67"/>
    <w:rsid w:val="00191E78"/>
    <w:rsid w:val="00191F55"/>
    <w:rsid w:val="0019216A"/>
    <w:rsid w:val="0019222E"/>
    <w:rsid w:val="00192256"/>
    <w:rsid w:val="00192264"/>
    <w:rsid w:val="00192279"/>
    <w:rsid w:val="00192289"/>
    <w:rsid w:val="0019256F"/>
    <w:rsid w:val="00192585"/>
    <w:rsid w:val="00192648"/>
    <w:rsid w:val="0019267D"/>
    <w:rsid w:val="001926A0"/>
    <w:rsid w:val="001927BE"/>
    <w:rsid w:val="0019280B"/>
    <w:rsid w:val="00192880"/>
    <w:rsid w:val="00192CC0"/>
    <w:rsid w:val="00192CC6"/>
    <w:rsid w:val="00192D85"/>
    <w:rsid w:val="00192F41"/>
    <w:rsid w:val="00192FA1"/>
    <w:rsid w:val="00192FC8"/>
    <w:rsid w:val="00193312"/>
    <w:rsid w:val="0019345E"/>
    <w:rsid w:val="0019348B"/>
    <w:rsid w:val="0019352F"/>
    <w:rsid w:val="001938BC"/>
    <w:rsid w:val="001939DF"/>
    <w:rsid w:val="00193D0D"/>
    <w:rsid w:val="00193D67"/>
    <w:rsid w:val="00193E91"/>
    <w:rsid w:val="00194056"/>
    <w:rsid w:val="00194768"/>
    <w:rsid w:val="001947EA"/>
    <w:rsid w:val="00194828"/>
    <w:rsid w:val="00194D9A"/>
    <w:rsid w:val="00194EF7"/>
    <w:rsid w:val="001950CE"/>
    <w:rsid w:val="0019520F"/>
    <w:rsid w:val="0019522A"/>
    <w:rsid w:val="001953BE"/>
    <w:rsid w:val="0019540C"/>
    <w:rsid w:val="001955DD"/>
    <w:rsid w:val="00195631"/>
    <w:rsid w:val="001957C8"/>
    <w:rsid w:val="00195BCE"/>
    <w:rsid w:val="00195D97"/>
    <w:rsid w:val="00195DB4"/>
    <w:rsid w:val="00195E54"/>
    <w:rsid w:val="00195F47"/>
    <w:rsid w:val="00195F81"/>
    <w:rsid w:val="001960D8"/>
    <w:rsid w:val="0019611E"/>
    <w:rsid w:val="001962B3"/>
    <w:rsid w:val="001963F9"/>
    <w:rsid w:val="00196548"/>
    <w:rsid w:val="001968F3"/>
    <w:rsid w:val="00196928"/>
    <w:rsid w:val="00196A96"/>
    <w:rsid w:val="00196B90"/>
    <w:rsid w:val="00196C8B"/>
    <w:rsid w:val="00196D47"/>
    <w:rsid w:val="00196E27"/>
    <w:rsid w:val="0019735A"/>
    <w:rsid w:val="00197375"/>
    <w:rsid w:val="001973D6"/>
    <w:rsid w:val="001973DC"/>
    <w:rsid w:val="00197605"/>
    <w:rsid w:val="001976D5"/>
    <w:rsid w:val="001977D9"/>
    <w:rsid w:val="0019785A"/>
    <w:rsid w:val="00197B1C"/>
    <w:rsid w:val="00197D2D"/>
    <w:rsid w:val="00197DAE"/>
    <w:rsid w:val="00197E20"/>
    <w:rsid w:val="00197F2E"/>
    <w:rsid w:val="00197F32"/>
    <w:rsid w:val="00197FF8"/>
    <w:rsid w:val="001A00A0"/>
    <w:rsid w:val="001A014C"/>
    <w:rsid w:val="001A01A7"/>
    <w:rsid w:val="001A0375"/>
    <w:rsid w:val="001A069B"/>
    <w:rsid w:val="001A0911"/>
    <w:rsid w:val="001A09E9"/>
    <w:rsid w:val="001A0A66"/>
    <w:rsid w:val="001A0A86"/>
    <w:rsid w:val="001A0BB2"/>
    <w:rsid w:val="001A0CAC"/>
    <w:rsid w:val="001A0D08"/>
    <w:rsid w:val="001A0EA7"/>
    <w:rsid w:val="001A0EE9"/>
    <w:rsid w:val="001A0F5A"/>
    <w:rsid w:val="001A1296"/>
    <w:rsid w:val="001A12F1"/>
    <w:rsid w:val="001A140F"/>
    <w:rsid w:val="001A16A0"/>
    <w:rsid w:val="001A16B9"/>
    <w:rsid w:val="001A16BD"/>
    <w:rsid w:val="001A16E9"/>
    <w:rsid w:val="001A1732"/>
    <w:rsid w:val="001A1784"/>
    <w:rsid w:val="001A17F5"/>
    <w:rsid w:val="001A1AE2"/>
    <w:rsid w:val="001A1D36"/>
    <w:rsid w:val="001A20AF"/>
    <w:rsid w:val="001A2423"/>
    <w:rsid w:val="001A2565"/>
    <w:rsid w:val="001A26A9"/>
    <w:rsid w:val="001A2CFA"/>
    <w:rsid w:val="001A2FA5"/>
    <w:rsid w:val="001A308D"/>
    <w:rsid w:val="001A3209"/>
    <w:rsid w:val="001A329C"/>
    <w:rsid w:val="001A3346"/>
    <w:rsid w:val="001A334F"/>
    <w:rsid w:val="001A3477"/>
    <w:rsid w:val="001A3A72"/>
    <w:rsid w:val="001A3CEF"/>
    <w:rsid w:val="001A3F6C"/>
    <w:rsid w:val="001A3FFB"/>
    <w:rsid w:val="001A414D"/>
    <w:rsid w:val="001A420C"/>
    <w:rsid w:val="001A42C2"/>
    <w:rsid w:val="001A466E"/>
    <w:rsid w:val="001A4675"/>
    <w:rsid w:val="001A47D9"/>
    <w:rsid w:val="001A485F"/>
    <w:rsid w:val="001A48A0"/>
    <w:rsid w:val="001A49DA"/>
    <w:rsid w:val="001A4A15"/>
    <w:rsid w:val="001A4BD6"/>
    <w:rsid w:val="001A52E6"/>
    <w:rsid w:val="001A54BE"/>
    <w:rsid w:val="001A54CC"/>
    <w:rsid w:val="001A580F"/>
    <w:rsid w:val="001A5BA0"/>
    <w:rsid w:val="001A5D16"/>
    <w:rsid w:val="001A65D7"/>
    <w:rsid w:val="001A6734"/>
    <w:rsid w:val="001A6983"/>
    <w:rsid w:val="001A69F3"/>
    <w:rsid w:val="001A6C8A"/>
    <w:rsid w:val="001A6D5E"/>
    <w:rsid w:val="001A6D91"/>
    <w:rsid w:val="001A6ED6"/>
    <w:rsid w:val="001A71EB"/>
    <w:rsid w:val="001A7470"/>
    <w:rsid w:val="001A74AD"/>
    <w:rsid w:val="001A7723"/>
    <w:rsid w:val="001A78B2"/>
    <w:rsid w:val="001A78DC"/>
    <w:rsid w:val="001A78F4"/>
    <w:rsid w:val="001A7C3A"/>
    <w:rsid w:val="001A7CB4"/>
    <w:rsid w:val="001A7CE0"/>
    <w:rsid w:val="001A7D18"/>
    <w:rsid w:val="001A7DF9"/>
    <w:rsid w:val="001A7E3B"/>
    <w:rsid w:val="001B0100"/>
    <w:rsid w:val="001B01BC"/>
    <w:rsid w:val="001B0394"/>
    <w:rsid w:val="001B0445"/>
    <w:rsid w:val="001B0783"/>
    <w:rsid w:val="001B0929"/>
    <w:rsid w:val="001B0AFE"/>
    <w:rsid w:val="001B0D21"/>
    <w:rsid w:val="001B0EA6"/>
    <w:rsid w:val="001B0EAD"/>
    <w:rsid w:val="001B0EFE"/>
    <w:rsid w:val="001B0F29"/>
    <w:rsid w:val="001B0F8A"/>
    <w:rsid w:val="001B0FF2"/>
    <w:rsid w:val="001B1070"/>
    <w:rsid w:val="001B1126"/>
    <w:rsid w:val="001B1178"/>
    <w:rsid w:val="001B13C2"/>
    <w:rsid w:val="001B1633"/>
    <w:rsid w:val="001B1856"/>
    <w:rsid w:val="001B1AE5"/>
    <w:rsid w:val="001B1EE2"/>
    <w:rsid w:val="001B1F00"/>
    <w:rsid w:val="001B1FCD"/>
    <w:rsid w:val="001B224E"/>
    <w:rsid w:val="001B22E2"/>
    <w:rsid w:val="001B2308"/>
    <w:rsid w:val="001B2386"/>
    <w:rsid w:val="001B257D"/>
    <w:rsid w:val="001B25F1"/>
    <w:rsid w:val="001B2647"/>
    <w:rsid w:val="001B2651"/>
    <w:rsid w:val="001B2814"/>
    <w:rsid w:val="001B2819"/>
    <w:rsid w:val="001B297F"/>
    <w:rsid w:val="001B2AC7"/>
    <w:rsid w:val="001B2D5D"/>
    <w:rsid w:val="001B2FB9"/>
    <w:rsid w:val="001B31ED"/>
    <w:rsid w:val="001B32CA"/>
    <w:rsid w:val="001B339B"/>
    <w:rsid w:val="001B33F3"/>
    <w:rsid w:val="001B343D"/>
    <w:rsid w:val="001B3533"/>
    <w:rsid w:val="001B3598"/>
    <w:rsid w:val="001B3612"/>
    <w:rsid w:val="001B36C7"/>
    <w:rsid w:val="001B37CE"/>
    <w:rsid w:val="001B3B08"/>
    <w:rsid w:val="001B3B4A"/>
    <w:rsid w:val="001B3C14"/>
    <w:rsid w:val="001B3D98"/>
    <w:rsid w:val="001B439E"/>
    <w:rsid w:val="001B4409"/>
    <w:rsid w:val="001B4511"/>
    <w:rsid w:val="001B45EA"/>
    <w:rsid w:val="001B46F4"/>
    <w:rsid w:val="001B48B5"/>
    <w:rsid w:val="001B49D3"/>
    <w:rsid w:val="001B4BB4"/>
    <w:rsid w:val="001B4CDF"/>
    <w:rsid w:val="001B50E4"/>
    <w:rsid w:val="001B5167"/>
    <w:rsid w:val="001B54C4"/>
    <w:rsid w:val="001B56A8"/>
    <w:rsid w:val="001B56EA"/>
    <w:rsid w:val="001B56FA"/>
    <w:rsid w:val="001B5881"/>
    <w:rsid w:val="001B596B"/>
    <w:rsid w:val="001B597E"/>
    <w:rsid w:val="001B59E9"/>
    <w:rsid w:val="001B5B0B"/>
    <w:rsid w:val="001B5BDA"/>
    <w:rsid w:val="001B5CD2"/>
    <w:rsid w:val="001B5D22"/>
    <w:rsid w:val="001B5F31"/>
    <w:rsid w:val="001B5FC5"/>
    <w:rsid w:val="001B605F"/>
    <w:rsid w:val="001B6334"/>
    <w:rsid w:val="001B669E"/>
    <w:rsid w:val="001B6836"/>
    <w:rsid w:val="001B6AF9"/>
    <w:rsid w:val="001B6B03"/>
    <w:rsid w:val="001B6BA6"/>
    <w:rsid w:val="001B6C3D"/>
    <w:rsid w:val="001B6D7A"/>
    <w:rsid w:val="001B6DB4"/>
    <w:rsid w:val="001B7048"/>
    <w:rsid w:val="001B71C1"/>
    <w:rsid w:val="001B732A"/>
    <w:rsid w:val="001B755F"/>
    <w:rsid w:val="001B75B5"/>
    <w:rsid w:val="001B7817"/>
    <w:rsid w:val="001B7A27"/>
    <w:rsid w:val="001B7D39"/>
    <w:rsid w:val="001C01AF"/>
    <w:rsid w:val="001C03D2"/>
    <w:rsid w:val="001C03D7"/>
    <w:rsid w:val="001C0536"/>
    <w:rsid w:val="001C0544"/>
    <w:rsid w:val="001C0640"/>
    <w:rsid w:val="001C0642"/>
    <w:rsid w:val="001C096E"/>
    <w:rsid w:val="001C0A75"/>
    <w:rsid w:val="001C0AE9"/>
    <w:rsid w:val="001C0D99"/>
    <w:rsid w:val="001C0DF6"/>
    <w:rsid w:val="001C1058"/>
    <w:rsid w:val="001C118D"/>
    <w:rsid w:val="001C147D"/>
    <w:rsid w:val="001C14A7"/>
    <w:rsid w:val="001C184B"/>
    <w:rsid w:val="001C1B5E"/>
    <w:rsid w:val="001C1BC3"/>
    <w:rsid w:val="001C1FA1"/>
    <w:rsid w:val="001C2046"/>
    <w:rsid w:val="001C2159"/>
    <w:rsid w:val="001C215D"/>
    <w:rsid w:val="001C2208"/>
    <w:rsid w:val="001C23A8"/>
    <w:rsid w:val="001C23EF"/>
    <w:rsid w:val="001C25C0"/>
    <w:rsid w:val="001C2761"/>
    <w:rsid w:val="001C2773"/>
    <w:rsid w:val="001C277B"/>
    <w:rsid w:val="001C281F"/>
    <w:rsid w:val="001C28E0"/>
    <w:rsid w:val="001C296A"/>
    <w:rsid w:val="001C2A1D"/>
    <w:rsid w:val="001C2B8C"/>
    <w:rsid w:val="001C2ED0"/>
    <w:rsid w:val="001C2FB3"/>
    <w:rsid w:val="001C32F8"/>
    <w:rsid w:val="001C3326"/>
    <w:rsid w:val="001C34E8"/>
    <w:rsid w:val="001C3537"/>
    <w:rsid w:val="001C355A"/>
    <w:rsid w:val="001C3590"/>
    <w:rsid w:val="001C359A"/>
    <w:rsid w:val="001C37CB"/>
    <w:rsid w:val="001C38C2"/>
    <w:rsid w:val="001C3BFE"/>
    <w:rsid w:val="001C3CB4"/>
    <w:rsid w:val="001C3F4D"/>
    <w:rsid w:val="001C4386"/>
    <w:rsid w:val="001C43DA"/>
    <w:rsid w:val="001C4636"/>
    <w:rsid w:val="001C4797"/>
    <w:rsid w:val="001C47C6"/>
    <w:rsid w:val="001C483B"/>
    <w:rsid w:val="001C4AC5"/>
    <w:rsid w:val="001C50C1"/>
    <w:rsid w:val="001C5155"/>
    <w:rsid w:val="001C51B4"/>
    <w:rsid w:val="001C5203"/>
    <w:rsid w:val="001C5286"/>
    <w:rsid w:val="001C53BD"/>
    <w:rsid w:val="001C5669"/>
    <w:rsid w:val="001C5823"/>
    <w:rsid w:val="001C588B"/>
    <w:rsid w:val="001C5944"/>
    <w:rsid w:val="001C5AA5"/>
    <w:rsid w:val="001C5AB1"/>
    <w:rsid w:val="001C5CA7"/>
    <w:rsid w:val="001C5CAE"/>
    <w:rsid w:val="001C5CB5"/>
    <w:rsid w:val="001C5CF7"/>
    <w:rsid w:val="001C5D62"/>
    <w:rsid w:val="001C5E2D"/>
    <w:rsid w:val="001C5E89"/>
    <w:rsid w:val="001C617B"/>
    <w:rsid w:val="001C6238"/>
    <w:rsid w:val="001C62A9"/>
    <w:rsid w:val="001C6307"/>
    <w:rsid w:val="001C64ED"/>
    <w:rsid w:val="001C664F"/>
    <w:rsid w:val="001C66E8"/>
    <w:rsid w:val="001C67B5"/>
    <w:rsid w:val="001C69D9"/>
    <w:rsid w:val="001C6A05"/>
    <w:rsid w:val="001C6A40"/>
    <w:rsid w:val="001C6A99"/>
    <w:rsid w:val="001C6B7E"/>
    <w:rsid w:val="001C717E"/>
    <w:rsid w:val="001C7480"/>
    <w:rsid w:val="001C74ED"/>
    <w:rsid w:val="001C77D1"/>
    <w:rsid w:val="001C7850"/>
    <w:rsid w:val="001C7949"/>
    <w:rsid w:val="001C795D"/>
    <w:rsid w:val="001C79D6"/>
    <w:rsid w:val="001C7A71"/>
    <w:rsid w:val="001C7C4C"/>
    <w:rsid w:val="001C7CD2"/>
    <w:rsid w:val="001C7F26"/>
    <w:rsid w:val="001C7F8A"/>
    <w:rsid w:val="001D00D7"/>
    <w:rsid w:val="001D026C"/>
    <w:rsid w:val="001D03C7"/>
    <w:rsid w:val="001D03DA"/>
    <w:rsid w:val="001D0516"/>
    <w:rsid w:val="001D06FA"/>
    <w:rsid w:val="001D0885"/>
    <w:rsid w:val="001D08F3"/>
    <w:rsid w:val="001D0AE4"/>
    <w:rsid w:val="001D0C1D"/>
    <w:rsid w:val="001D0C44"/>
    <w:rsid w:val="001D0D4A"/>
    <w:rsid w:val="001D0E95"/>
    <w:rsid w:val="001D0F13"/>
    <w:rsid w:val="001D10F2"/>
    <w:rsid w:val="001D17FD"/>
    <w:rsid w:val="001D1846"/>
    <w:rsid w:val="001D195D"/>
    <w:rsid w:val="001D1F27"/>
    <w:rsid w:val="001D20A0"/>
    <w:rsid w:val="001D20AE"/>
    <w:rsid w:val="001D2246"/>
    <w:rsid w:val="001D235A"/>
    <w:rsid w:val="001D24FA"/>
    <w:rsid w:val="001D252F"/>
    <w:rsid w:val="001D2603"/>
    <w:rsid w:val="001D2695"/>
    <w:rsid w:val="001D2701"/>
    <w:rsid w:val="001D2AE7"/>
    <w:rsid w:val="001D2EE0"/>
    <w:rsid w:val="001D30DE"/>
    <w:rsid w:val="001D314D"/>
    <w:rsid w:val="001D327B"/>
    <w:rsid w:val="001D3369"/>
    <w:rsid w:val="001D3390"/>
    <w:rsid w:val="001D3468"/>
    <w:rsid w:val="001D34B1"/>
    <w:rsid w:val="001D363A"/>
    <w:rsid w:val="001D371C"/>
    <w:rsid w:val="001D3830"/>
    <w:rsid w:val="001D384F"/>
    <w:rsid w:val="001D398C"/>
    <w:rsid w:val="001D39BA"/>
    <w:rsid w:val="001D39C5"/>
    <w:rsid w:val="001D3A20"/>
    <w:rsid w:val="001D3A84"/>
    <w:rsid w:val="001D3B5F"/>
    <w:rsid w:val="001D3DDF"/>
    <w:rsid w:val="001D414B"/>
    <w:rsid w:val="001D41DD"/>
    <w:rsid w:val="001D4276"/>
    <w:rsid w:val="001D435B"/>
    <w:rsid w:val="001D4593"/>
    <w:rsid w:val="001D46DA"/>
    <w:rsid w:val="001D48BE"/>
    <w:rsid w:val="001D4B87"/>
    <w:rsid w:val="001D4C3F"/>
    <w:rsid w:val="001D4E22"/>
    <w:rsid w:val="001D5013"/>
    <w:rsid w:val="001D50A1"/>
    <w:rsid w:val="001D515C"/>
    <w:rsid w:val="001D54A7"/>
    <w:rsid w:val="001D54E5"/>
    <w:rsid w:val="001D56F8"/>
    <w:rsid w:val="001D5765"/>
    <w:rsid w:val="001D5C12"/>
    <w:rsid w:val="001D5CA9"/>
    <w:rsid w:val="001D5DC9"/>
    <w:rsid w:val="001D5E39"/>
    <w:rsid w:val="001D5E64"/>
    <w:rsid w:val="001D5E93"/>
    <w:rsid w:val="001D6273"/>
    <w:rsid w:val="001D636F"/>
    <w:rsid w:val="001D65DC"/>
    <w:rsid w:val="001D6733"/>
    <w:rsid w:val="001D6754"/>
    <w:rsid w:val="001D6B81"/>
    <w:rsid w:val="001D703D"/>
    <w:rsid w:val="001D70CC"/>
    <w:rsid w:val="001D726A"/>
    <w:rsid w:val="001D7463"/>
    <w:rsid w:val="001D748B"/>
    <w:rsid w:val="001D75FF"/>
    <w:rsid w:val="001D7659"/>
    <w:rsid w:val="001D76C1"/>
    <w:rsid w:val="001D77FA"/>
    <w:rsid w:val="001D7D88"/>
    <w:rsid w:val="001E00A0"/>
    <w:rsid w:val="001E0232"/>
    <w:rsid w:val="001E02DA"/>
    <w:rsid w:val="001E0352"/>
    <w:rsid w:val="001E04B9"/>
    <w:rsid w:val="001E066B"/>
    <w:rsid w:val="001E0764"/>
    <w:rsid w:val="001E0900"/>
    <w:rsid w:val="001E094C"/>
    <w:rsid w:val="001E0A6D"/>
    <w:rsid w:val="001E0B4C"/>
    <w:rsid w:val="001E0C05"/>
    <w:rsid w:val="001E0C5A"/>
    <w:rsid w:val="001E0D50"/>
    <w:rsid w:val="001E0D62"/>
    <w:rsid w:val="001E0EF3"/>
    <w:rsid w:val="001E0F35"/>
    <w:rsid w:val="001E1134"/>
    <w:rsid w:val="001E119A"/>
    <w:rsid w:val="001E11EE"/>
    <w:rsid w:val="001E143D"/>
    <w:rsid w:val="001E1501"/>
    <w:rsid w:val="001E152A"/>
    <w:rsid w:val="001E1594"/>
    <w:rsid w:val="001E196B"/>
    <w:rsid w:val="001E19E5"/>
    <w:rsid w:val="001E1BC4"/>
    <w:rsid w:val="001E1C0B"/>
    <w:rsid w:val="001E1CBE"/>
    <w:rsid w:val="001E1F19"/>
    <w:rsid w:val="001E204E"/>
    <w:rsid w:val="001E2133"/>
    <w:rsid w:val="001E22E2"/>
    <w:rsid w:val="001E230C"/>
    <w:rsid w:val="001E251E"/>
    <w:rsid w:val="001E2609"/>
    <w:rsid w:val="001E2616"/>
    <w:rsid w:val="001E2872"/>
    <w:rsid w:val="001E288B"/>
    <w:rsid w:val="001E28DA"/>
    <w:rsid w:val="001E2961"/>
    <w:rsid w:val="001E296D"/>
    <w:rsid w:val="001E32E1"/>
    <w:rsid w:val="001E3347"/>
    <w:rsid w:val="001E334F"/>
    <w:rsid w:val="001E3370"/>
    <w:rsid w:val="001E3531"/>
    <w:rsid w:val="001E36C4"/>
    <w:rsid w:val="001E38AF"/>
    <w:rsid w:val="001E3A38"/>
    <w:rsid w:val="001E3B4A"/>
    <w:rsid w:val="001E3CAD"/>
    <w:rsid w:val="001E3E1C"/>
    <w:rsid w:val="001E3F81"/>
    <w:rsid w:val="001E451A"/>
    <w:rsid w:val="001E4575"/>
    <w:rsid w:val="001E4587"/>
    <w:rsid w:val="001E461C"/>
    <w:rsid w:val="001E4655"/>
    <w:rsid w:val="001E46CB"/>
    <w:rsid w:val="001E4741"/>
    <w:rsid w:val="001E4CA0"/>
    <w:rsid w:val="001E4E64"/>
    <w:rsid w:val="001E4F5D"/>
    <w:rsid w:val="001E4F98"/>
    <w:rsid w:val="001E4FC3"/>
    <w:rsid w:val="001E4FCA"/>
    <w:rsid w:val="001E5034"/>
    <w:rsid w:val="001E5661"/>
    <w:rsid w:val="001E566A"/>
    <w:rsid w:val="001E58C7"/>
    <w:rsid w:val="001E58DD"/>
    <w:rsid w:val="001E59EC"/>
    <w:rsid w:val="001E5A2E"/>
    <w:rsid w:val="001E5FDC"/>
    <w:rsid w:val="001E60A9"/>
    <w:rsid w:val="001E62CC"/>
    <w:rsid w:val="001E6438"/>
    <w:rsid w:val="001E651A"/>
    <w:rsid w:val="001E6918"/>
    <w:rsid w:val="001E6A5F"/>
    <w:rsid w:val="001E6ABF"/>
    <w:rsid w:val="001E6B37"/>
    <w:rsid w:val="001E6B7E"/>
    <w:rsid w:val="001E6BBB"/>
    <w:rsid w:val="001E6C7F"/>
    <w:rsid w:val="001E6C80"/>
    <w:rsid w:val="001E6DB3"/>
    <w:rsid w:val="001E6F2A"/>
    <w:rsid w:val="001E6F82"/>
    <w:rsid w:val="001E6FA1"/>
    <w:rsid w:val="001E6FE3"/>
    <w:rsid w:val="001E703E"/>
    <w:rsid w:val="001E7262"/>
    <w:rsid w:val="001E75C8"/>
    <w:rsid w:val="001E78F0"/>
    <w:rsid w:val="001E78F4"/>
    <w:rsid w:val="001E795B"/>
    <w:rsid w:val="001E79BE"/>
    <w:rsid w:val="001E7AEA"/>
    <w:rsid w:val="001E7B30"/>
    <w:rsid w:val="001E7BB3"/>
    <w:rsid w:val="001E7CF4"/>
    <w:rsid w:val="001E7F08"/>
    <w:rsid w:val="001E7F34"/>
    <w:rsid w:val="001F03CE"/>
    <w:rsid w:val="001F0529"/>
    <w:rsid w:val="001F05BF"/>
    <w:rsid w:val="001F0651"/>
    <w:rsid w:val="001F06A4"/>
    <w:rsid w:val="001F0794"/>
    <w:rsid w:val="001F0841"/>
    <w:rsid w:val="001F08F0"/>
    <w:rsid w:val="001F094A"/>
    <w:rsid w:val="001F0971"/>
    <w:rsid w:val="001F0A20"/>
    <w:rsid w:val="001F0B62"/>
    <w:rsid w:val="001F0DA9"/>
    <w:rsid w:val="001F10F2"/>
    <w:rsid w:val="001F1349"/>
    <w:rsid w:val="001F1511"/>
    <w:rsid w:val="001F1632"/>
    <w:rsid w:val="001F16A0"/>
    <w:rsid w:val="001F16FD"/>
    <w:rsid w:val="001F17F6"/>
    <w:rsid w:val="001F189C"/>
    <w:rsid w:val="001F1A76"/>
    <w:rsid w:val="001F1EC4"/>
    <w:rsid w:val="001F1FBE"/>
    <w:rsid w:val="001F2148"/>
    <w:rsid w:val="001F220C"/>
    <w:rsid w:val="001F223A"/>
    <w:rsid w:val="001F2319"/>
    <w:rsid w:val="001F250E"/>
    <w:rsid w:val="001F271D"/>
    <w:rsid w:val="001F2877"/>
    <w:rsid w:val="001F28AD"/>
    <w:rsid w:val="001F2BE0"/>
    <w:rsid w:val="001F2D17"/>
    <w:rsid w:val="001F2EF9"/>
    <w:rsid w:val="001F3033"/>
    <w:rsid w:val="001F30D2"/>
    <w:rsid w:val="001F3220"/>
    <w:rsid w:val="001F32DD"/>
    <w:rsid w:val="001F34A5"/>
    <w:rsid w:val="001F35B6"/>
    <w:rsid w:val="001F35DD"/>
    <w:rsid w:val="001F35EA"/>
    <w:rsid w:val="001F375B"/>
    <w:rsid w:val="001F3801"/>
    <w:rsid w:val="001F382E"/>
    <w:rsid w:val="001F394D"/>
    <w:rsid w:val="001F3A0E"/>
    <w:rsid w:val="001F3B1E"/>
    <w:rsid w:val="001F3B32"/>
    <w:rsid w:val="001F3CEE"/>
    <w:rsid w:val="001F3DD5"/>
    <w:rsid w:val="001F3DD9"/>
    <w:rsid w:val="001F3F10"/>
    <w:rsid w:val="001F3FA2"/>
    <w:rsid w:val="001F4075"/>
    <w:rsid w:val="001F427E"/>
    <w:rsid w:val="001F4295"/>
    <w:rsid w:val="001F44F1"/>
    <w:rsid w:val="001F457A"/>
    <w:rsid w:val="001F472D"/>
    <w:rsid w:val="001F47B5"/>
    <w:rsid w:val="001F4969"/>
    <w:rsid w:val="001F49CE"/>
    <w:rsid w:val="001F4BF0"/>
    <w:rsid w:val="001F4BFD"/>
    <w:rsid w:val="001F520A"/>
    <w:rsid w:val="001F53E2"/>
    <w:rsid w:val="001F5414"/>
    <w:rsid w:val="001F561A"/>
    <w:rsid w:val="001F5645"/>
    <w:rsid w:val="001F5725"/>
    <w:rsid w:val="001F575A"/>
    <w:rsid w:val="001F57D5"/>
    <w:rsid w:val="001F5875"/>
    <w:rsid w:val="001F5973"/>
    <w:rsid w:val="001F598D"/>
    <w:rsid w:val="001F59C1"/>
    <w:rsid w:val="001F59D8"/>
    <w:rsid w:val="001F5AEC"/>
    <w:rsid w:val="001F5BC0"/>
    <w:rsid w:val="001F5CBE"/>
    <w:rsid w:val="001F5DAE"/>
    <w:rsid w:val="001F5E40"/>
    <w:rsid w:val="001F5FFD"/>
    <w:rsid w:val="001F65B1"/>
    <w:rsid w:val="001F65BD"/>
    <w:rsid w:val="001F65DB"/>
    <w:rsid w:val="001F6766"/>
    <w:rsid w:val="001F67CE"/>
    <w:rsid w:val="001F67E6"/>
    <w:rsid w:val="001F6887"/>
    <w:rsid w:val="001F696A"/>
    <w:rsid w:val="001F6BE4"/>
    <w:rsid w:val="001F6E9A"/>
    <w:rsid w:val="001F710B"/>
    <w:rsid w:val="001F7165"/>
    <w:rsid w:val="001F7501"/>
    <w:rsid w:val="001F75C1"/>
    <w:rsid w:val="001F75E6"/>
    <w:rsid w:val="001F7DBB"/>
    <w:rsid w:val="002000E8"/>
    <w:rsid w:val="0020012C"/>
    <w:rsid w:val="002001FB"/>
    <w:rsid w:val="00200250"/>
    <w:rsid w:val="002003F7"/>
    <w:rsid w:val="002004A3"/>
    <w:rsid w:val="002004FB"/>
    <w:rsid w:val="00200562"/>
    <w:rsid w:val="00200624"/>
    <w:rsid w:val="0020067E"/>
    <w:rsid w:val="0020103F"/>
    <w:rsid w:val="002010BC"/>
    <w:rsid w:val="0020122D"/>
    <w:rsid w:val="0020130A"/>
    <w:rsid w:val="00201330"/>
    <w:rsid w:val="002013BF"/>
    <w:rsid w:val="00201406"/>
    <w:rsid w:val="002014C8"/>
    <w:rsid w:val="002014EA"/>
    <w:rsid w:val="0020155A"/>
    <w:rsid w:val="002015A0"/>
    <w:rsid w:val="002016F9"/>
    <w:rsid w:val="00201763"/>
    <w:rsid w:val="00201ACA"/>
    <w:rsid w:val="00201BCE"/>
    <w:rsid w:val="00201C91"/>
    <w:rsid w:val="00201FF2"/>
    <w:rsid w:val="002020A6"/>
    <w:rsid w:val="00202503"/>
    <w:rsid w:val="002025DE"/>
    <w:rsid w:val="00202AE0"/>
    <w:rsid w:val="00202EA6"/>
    <w:rsid w:val="00202EBE"/>
    <w:rsid w:val="00202F0E"/>
    <w:rsid w:val="00203099"/>
    <w:rsid w:val="00203287"/>
    <w:rsid w:val="0020329E"/>
    <w:rsid w:val="00203329"/>
    <w:rsid w:val="002036F3"/>
    <w:rsid w:val="002036FF"/>
    <w:rsid w:val="00203972"/>
    <w:rsid w:val="00203D4B"/>
    <w:rsid w:val="00203D93"/>
    <w:rsid w:val="0020420D"/>
    <w:rsid w:val="002044DA"/>
    <w:rsid w:val="0020489F"/>
    <w:rsid w:val="00204BC0"/>
    <w:rsid w:val="00204CA5"/>
    <w:rsid w:val="00204CF7"/>
    <w:rsid w:val="0020512E"/>
    <w:rsid w:val="00205911"/>
    <w:rsid w:val="00205988"/>
    <w:rsid w:val="00205FA2"/>
    <w:rsid w:val="002060A2"/>
    <w:rsid w:val="002060E0"/>
    <w:rsid w:val="00206131"/>
    <w:rsid w:val="00206135"/>
    <w:rsid w:val="00206218"/>
    <w:rsid w:val="002062EF"/>
    <w:rsid w:val="002063C2"/>
    <w:rsid w:val="00206424"/>
    <w:rsid w:val="00206432"/>
    <w:rsid w:val="002065B4"/>
    <w:rsid w:val="00206639"/>
    <w:rsid w:val="0020667A"/>
    <w:rsid w:val="0020692D"/>
    <w:rsid w:val="002069A5"/>
    <w:rsid w:val="00206C7B"/>
    <w:rsid w:val="00206CFD"/>
    <w:rsid w:val="00206DB1"/>
    <w:rsid w:val="00206FFC"/>
    <w:rsid w:val="002071C7"/>
    <w:rsid w:val="002074D1"/>
    <w:rsid w:val="00207607"/>
    <w:rsid w:val="002076E2"/>
    <w:rsid w:val="00207D38"/>
    <w:rsid w:val="00207D46"/>
    <w:rsid w:val="00207DD7"/>
    <w:rsid w:val="00207F07"/>
    <w:rsid w:val="00207F88"/>
    <w:rsid w:val="0021000A"/>
    <w:rsid w:val="00210053"/>
    <w:rsid w:val="0021051C"/>
    <w:rsid w:val="00210670"/>
    <w:rsid w:val="002107DA"/>
    <w:rsid w:val="00210A90"/>
    <w:rsid w:val="00210B58"/>
    <w:rsid w:val="00210CC9"/>
    <w:rsid w:val="00210E1B"/>
    <w:rsid w:val="00210EC0"/>
    <w:rsid w:val="00211560"/>
    <w:rsid w:val="00211786"/>
    <w:rsid w:val="0021196A"/>
    <w:rsid w:val="00211B23"/>
    <w:rsid w:val="00211B33"/>
    <w:rsid w:val="00211BAF"/>
    <w:rsid w:val="00212007"/>
    <w:rsid w:val="00212322"/>
    <w:rsid w:val="00212524"/>
    <w:rsid w:val="002126D2"/>
    <w:rsid w:val="00212CD0"/>
    <w:rsid w:val="00212D23"/>
    <w:rsid w:val="00212D85"/>
    <w:rsid w:val="00212E07"/>
    <w:rsid w:val="00213003"/>
    <w:rsid w:val="002130ED"/>
    <w:rsid w:val="00213219"/>
    <w:rsid w:val="002134A9"/>
    <w:rsid w:val="002135A3"/>
    <w:rsid w:val="002135F6"/>
    <w:rsid w:val="002138B9"/>
    <w:rsid w:val="00213948"/>
    <w:rsid w:val="0021394B"/>
    <w:rsid w:val="00213B17"/>
    <w:rsid w:val="00213C2E"/>
    <w:rsid w:val="00213C56"/>
    <w:rsid w:val="00213C5D"/>
    <w:rsid w:val="00213CF6"/>
    <w:rsid w:val="00213DA3"/>
    <w:rsid w:val="00213E33"/>
    <w:rsid w:val="00213F0D"/>
    <w:rsid w:val="00213FFF"/>
    <w:rsid w:val="00214841"/>
    <w:rsid w:val="00214AC2"/>
    <w:rsid w:val="00214BC3"/>
    <w:rsid w:val="00214C04"/>
    <w:rsid w:val="00214D3A"/>
    <w:rsid w:val="00214F21"/>
    <w:rsid w:val="002152AF"/>
    <w:rsid w:val="002153DF"/>
    <w:rsid w:val="00215472"/>
    <w:rsid w:val="002154FE"/>
    <w:rsid w:val="0021558D"/>
    <w:rsid w:val="002155D6"/>
    <w:rsid w:val="00215610"/>
    <w:rsid w:val="0021566E"/>
    <w:rsid w:val="00215675"/>
    <w:rsid w:val="00215792"/>
    <w:rsid w:val="002157E9"/>
    <w:rsid w:val="00215811"/>
    <w:rsid w:val="002159D8"/>
    <w:rsid w:val="00215A9A"/>
    <w:rsid w:val="00215D7B"/>
    <w:rsid w:val="00216428"/>
    <w:rsid w:val="002164C5"/>
    <w:rsid w:val="00216577"/>
    <w:rsid w:val="002166C1"/>
    <w:rsid w:val="0021673E"/>
    <w:rsid w:val="00216849"/>
    <w:rsid w:val="002169AB"/>
    <w:rsid w:val="00216A09"/>
    <w:rsid w:val="00216BA8"/>
    <w:rsid w:val="00216C8C"/>
    <w:rsid w:val="00216D59"/>
    <w:rsid w:val="00216DCE"/>
    <w:rsid w:val="00217028"/>
    <w:rsid w:val="00217059"/>
    <w:rsid w:val="002170D2"/>
    <w:rsid w:val="00217125"/>
    <w:rsid w:val="0021712D"/>
    <w:rsid w:val="0021746A"/>
    <w:rsid w:val="002176CB"/>
    <w:rsid w:val="0021776A"/>
    <w:rsid w:val="002177EB"/>
    <w:rsid w:val="00217917"/>
    <w:rsid w:val="00217AA9"/>
    <w:rsid w:val="00217F58"/>
    <w:rsid w:val="002202E9"/>
    <w:rsid w:val="002203C1"/>
    <w:rsid w:val="00220515"/>
    <w:rsid w:val="0022054C"/>
    <w:rsid w:val="00220583"/>
    <w:rsid w:val="002205AD"/>
    <w:rsid w:val="002205D8"/>
    <w:rsid w:val="0022077A"/>
    <w:rsid w:val="002208BB"/>
    <w:rsid w:val="00220BBD"/>
    <w:rsid w:val="00220CB8"/>
    <w:rsid w:val="00220EA6"/>
    <w:rsid w:val="00220F58"/>
    <w:rsid w:val="00221363"/>
    <w:rsid w:val="00221402"/>
    <w:rsid w:val="00221579"/>
    <w:rsid w:val="0022161D"/>
    <w:rsid w:val="0022181A"/>
    <w:rsid w:val="00221A09"/>
    <w:rsid w:val="00221B6B"/>
    <w:rsid w:val="00221B88"/>
    <w:rsid w:val="00221C27"/>
    <w:rsid w:val="00221C79"/>
    <w:rsid w:val="00221CD4"/>
    <w:rsid w:val="00221F7A"/>
    <w:rsid w:val="00221FA7"/>
    <w:rsid w:val="00222050"/>
    <w:rsid w:val="00222086"/>
    <w:rsid w:val="002220E7"/>
    <w:rsid w:val="00222137"/>
    <w:rsid w:val="002223AA"/>
    <w:rsid w:val="002227B6"/>
    <w:rsid w:val="00222C68"/>
    <w:rsid w:val="00222D5E"/>
    <w:rsid w:val="00222DB9"/>
    <w:rsid w:val="00222DCC"/>
    <w:rsid w:val="00222E9E"/>
    <w:rsid w:val="00223667"/>
    <w:rsid w:val="002237AB"/>
    <w:rsid w:val="002239D5"/>
    <w:rsid w:val="00223B0B"/>
    <w:rsid w:val="00223D20"/>
    <w:rsid w:val="00223D39"/>
    <w:rsid w:val="00224291"/>
    <w:rsid w:val="002243E0"/>
    <w:rsid w:val="00224487"/>
    <w:rsid w:val="00224503"/>
    <w:rsid w:val="002245DF"/>
    <w:rsid w:val="002246EB"/>
    <w:rsid w:val="00224750"/>
    <w:rsid w:val="002248F5"/>
    <w:rsid w:val="00224998"/>
    <w:rsid w:val="00224AA4"/>
    <w:rsid w:val="00224B0C"/>
    <w:rsid w:val="00224EAE"/>
    <w:rsid w:val="00224FB4"/>
    <w:rsid w:val="0022510D"/>
    <w:rsid w:val="0022521C"/>
    <w:rsid w:val="0022579C"/>
    <w:rsid w:val="0022593D"/>
    <w:rsid w:val="002259B9"/>
    <w:rsid w:val="00225C51"/>
    <w:rsid w:val="00225C57"/>
    <w:rsid w:val="00225D66"/>
    <w:rsid w:val="00225F3D"/>
    <w:rsid w:val="00225FE2"/>
    <w:rsid w:val="0022600E"/>
    <w:rsid w:val="002260DE"/>
    <w:rsid w:val="00226152"/>
    <w:rsid w:val="002263EF"/>
    <w:rsid w:val="0022683A"/>
    <w:rsid w:val="00226911"/>
    <w:rsid w:val="002269DC"/>
    <w:rsid w:val="002269F9"/>
    <w:rsid w:val="00226BE2"/>
    <w:rsid w:val="002270B8"/>
    <w:rsid w:val="00227196"/>
    <w:rsid w:val="002272CA"/>
    <w:rsid w:val="002272D8"/>
    <w:rsid w:val="0022769F"/>
    <w:rsid w:val="00227828"/>
    <w:rsid w:val="00227970"/>
    <w:rsid w:val="00227A69"/>
    <w:rsid w:val="00227A8C"/>
    <w:rsid w:val="00227AD5"/>
    <w:rsid w:val="00227F0C"/>
    <w:rsid w:val="00230117"/>
    <w:rsid w:val="00230148"/>
    <w:rsid w:val="0023020A"/>
    <w:rsid w:val="002302F9"/>
    <w:rsid w:val="0023038F"/>
    <w:rsid w:val="00230684"/>
    <w:rsid w:val="002307B0"/>
    <w:rsid w:val="00230909"/>
    <w:rsid w:val="00230C21"/>
    <w:rsid w:val="00230D4E"/>
    <w:rsid w:val="00230D6B"/>
    <w:rsid w:val="00231005"/>
    <w:rsid w:val="00231044"/>
    <w:rsid w:val="00231157"/>
    <w:rsid w:val="002311DD"/>
    <w:rsid w:val="00231378"/>
    <w:rsid w:val="0023150C"/>
    <w:rsid w:val="00231543"/>
    <w:rsid w:val="002318D8"/>
    <w:rsid w:val="00231993"/>
    <w:rsid w:val="00231B7C"/>
    <w:rsid w:val="00231C08"/>
    <w:rsid w:val="00231C23"/>
    <w:rsid w:val="00231E42"/>
    <w:rsid w:val="00231F40"/>
    <w:rsid w:val="002320B8"/>
    <w:rsid w:val="0023213D"/>
    <w:rsid w:val="00232152"/>
    <w:rsid w:val="002322C0"/>
    <w:rsid w:val="00232398"/>
    <w:rsid w:val="00232645"/>
    <w:rsid w:val="002326C0"/>
    <w:rsid w:val="002327A4"/>
    <w:rsid w:val="00232997"/>
    <w:rsid w:val="00232AF6"/>
    <w:rsid w:val="00232C0E"/>
    <w:rsid w:val="00232DED"/>
    <w:rsid w:val="00232F65"/>
    <w:rsid w:val="002333F4"/>
    <w:rsid w:val="002334F2"/>
    <w:rsid w:val="002335D1"/>
    <w:rsid w:val="00233689"/>
    <w:rsid w:val="002337F6"/>
    <w:rsid w:val="0023389F"/>
    <w:rsid w:val="00233983"/>
    <w:rsid w:val="00233AF8"/>
    <w:rsid w:val="00233BDF"/>
    <w:rsid w:val="00233BEB"/>
    <w:rsid w:val="00233CB2"/>
    <w:rsid w:val="00233D60"/>
    <w:rsid w:val="00233EE6"/>
    <w:rsid w:val="00233EF0"/>
    <w:rsid w:val="00233FB8"/>
    <w:rsid w:val="00234284"/>
    <w:rsid w:val="002343F9"/>
    <w:rsid w:val="0023448F"/>
    <w:rsid w:val="002344E2"/>
    <w:rsid w:val="002347D9"/>
    <w:rsid w:val="00234D10"/>
    <w:rsid w:val="00235269"/>
    <w:rsid w:val="00235545"/>
    <w:rsid w:val="002355C2"/>
    <w:rsid w:val="00235799"/>
    <w:rsid w:val="002358D3"/>
    <w:rsid w:val="00235B35"/>
    <w:rsid w:val="00235C6C"/>
    <w:rsid w:val="00235CD9"/>
    <w:rsid w:val="00235EFC"/>
    <w:rsid w:val="00235F63"/>
    <w:rsid w:val="002362FF"/>
    <w:rsid w:val="0023630E"/>
    <w:rsid w:val="00236462"/>
    <w:rsid w:val="0023674F"/>
    <w:rsid w:val="00236796"/>
    <w:rsid w:val="0023692F"/>
    <w:rsid w:val="00236A51"/>
    <w:rsid w:val="00236A9C"/>
    <w:rsid w:val="00236AF7"/>
    <w:rsid w:val="00236B5D"/>
    <w:rsid w:val="00236EA9"/>
    <w:rsid w:val="00236F73"/>
    <w:rsid w:val="00237072"/>
    <w:rsid w:val="00237253"/>
    <w:rsid w:val="00237495"/>
    <w:rsid w:val="002374C0"/>
    <w:rsid w:val="002374CE"/>
    <w:rsid w:val="0023769E"/>
    <w:rsid w:val="00237724"/>
    <w:rsid w:val="00237776"/>
    <w:rsid w:val="00237998"/>
    <w:rsid w:val="002379A3"/>
    <w:rsid w:val="00237C7A"/>
    <w:rsid w:val="00237D4F"/>
    <w:rsid w:val="00237F10"/>
    <w:rsid w:val="00237F72"/>
    <w:rsid w:val="00240156"/>
    <w:rsid w:val="00240274"/>
    <w:rsid w:val="0024037E"/>
    <w:rsid w:val="002404CB"/>
    <w:rsid w:val="002405A7"/>
    <w:rsid w:val="002405D6"/>
    <w:rsid w:val="00240620"/>
    <w:rsid w:val="0024085F"/>
    <w:rsid w:val="002408AF"/>
    <w:rsid w:val="002408CB"/>
    <w:rsid w:val="00240A6C"/>
    <w:rsid w:val="00240AEE"/>
    <w:rsid w:val="00240C24"/>
    <w:rsid w:val="00240C6D"/>
    <w:rsid w:val="00240CF0"/>
    <w:rsid w:val="00240D99"/>
    <w:rsid w:val="00240E65"/>
    <w:rsid w:val="0024109D"/>
    <w:rsid w:val="0024111F"/>
    <w:rsid w:val="00241300"/>
    <w:rsid w:val="002413C6"/>
    <w:rsid w:val="002415AC"/>
    <w:rsid w:val="00241691"/>
    <w:rsid w:val="002416F1"/>
    <w:rsid w:val="00241714"/>
    <w:rsid w:val="0024183D"/>
    <w:rsid w:val="002418C3"/>
    <w:rsid w:val="00241A68"/>
    <w:rsid w:val="00241C05"/>
    <w:rsid w:val="00241C56"/>
    <w:rsid w:val="00241CFA"/>
    <w:rsid w:val="00241DFC"/>
    <w:rsid w:val="00241F37"/>
    <w:rsid w:val="00242168"/>
    <w:rsid w:val="002421FC"/>
    <w:rsid w:val="00242202"/>
    <w:rsid w:val="002422D0"/>
    <w:rsid w:val="00242776"/>
    <w:rsid w:val="002427B1"/>
    <w:rsid w:val="002428BA"/>
    <w:rsid w:val="00242DF6"/>
    <w:rsid w:val="0024312A"/>
    <w:rsid w:val="00243196"/>
    <w:rsid w:val="002434C9"/>
    <w:rsid w:val="00243592"/>
    <w:rsid w:val="002436DB"/>
    <w:rsid w:val="0024386B"/>
    <w:rsid w:val="00243A85"/>
    <w:rsid w:val="00244033"/>
    <w:rsid w:val="00244129"/>
    <w:rsid w:val="002441DD"/>
    <w:rsid w:val="002445F8"/>
    <w:rsid w:val="00244645"/>
    <w:rsid w:val="002447BF"/>
    <w:rsid w:val="00244869"/>
    <w:rsid w:val="00244B7D"/>
    <w:rsid w:val="00244C00"/>
    <w:rsid w:val="0024542D"/>
    <w:rsid w:val="0024566F"/>
    <w:rsid w:val="00245819"/>
    <w:rsid w:val="00245A31"/>
    <w:rsid w:val="00245B68"/>
    <w:rsid w:val="00245BC9"/>
    <w:rsid w:val="00245C70"/>
    <w:rsid w:val="00245D5C"/>
    <w:rsid w:val="00245FC0"/>
    <w:rsid w:val="00246033"/>
    <w:rsid w:val="002460AC"/>
    <w:rsid w:val="002460EE"/>
    <w:rsid w:val="00246186"/>
    <w:rsid w:val="00246263"/>
    <w:rsid w:val="00246427"/>
    <w:rsid w:val="00246854"/>
    <w:rsid w:val="00246A49"/>
    <w:rsid w:val="00246A56"/>
    <w:rsid w:val="00246C58"/>
    <w:rsid w:val="00246EAA"/>
    <w:rsid w:val="00247103"/>
    <w:rsid w:val="00247318"/>
    <w:rsid w:val="00247537"/>
    <w:rsid w:val="002475AE"/>
    <w:rsid w:val="002476A5"/>
    <w:rsid w:val="00247711"/>
    <w:rsid w:val="0024771E"/>
    <w:rsid w:val="002477A1"/>
    <w:rsid w:val="002477BA"/>
    <w:rsid w:val="0024790F"/>
    <w:rsid w:val="002479B6"/>
    <w:rsid w:val="00247AF5"/>
    <w:rsid w:val="00247FE7"/>
    <w:rsid w:val="002501F9"/>
    <w:rsid w:val="0025044D"/>
    <w:rsid w:val="002504D7"/>
    <w:rsid w:val="0025054F"/>
    <w:rsid w:val="00250632"/>
    <w:rsid w:val="002507D5"/>
    <w:rsid w:val="002509AF"/>
    <w:rsid w:val="00250B34"/>
    <w:rsid w:val="00250C4A"/>
    <w:rsid w:val="00250C86"/>
    <w:rsid w:val="00250CCD"/>
    <w:rsid w:val="0025101A"/>
    <w:rsid w:val="0025108A"/>
    <w:rsid w:val="00251C96"/>
    <w:rsid w:val="00251E54"/>
    <w:rsid w:val="00252068"/>
    <w:rsid w:val="002521DF"/>
    <w:rsid w:val="0025234A"/>
    <w:rsid w:val="00252409"/>
    <w:rsid w:val="00252728"/>
    <w:rsid w:val="002527A2"/>
    <w:rsid w:val="002528D4"/>
    <w:rsid w:val="00252BA0"/>
    <w:rsid w:val="00252C0D"/>
    <w:rsid w:val="00252DDF"/>
    <w:rsid w:val="00252E58"/>
    <w:rsid w:val="00252FC5"/>
    <w:rsid w:val="00253270"/>
    <w:rsid w:val="00253410"/>
    <w:rsid w:val="00253488"/>
    <w:rsid w:val="0025352B"/>
    <w:rsid w:val="002535C2"/>
    <w:rsid w:val="00253FDF"/>
    <w:rsid w:val="00254477"/>
    <w:rsid w:val="0025452E"/>
    <w:rsid w:val="00254581"/>
    <w:rsid w:val="002545B8"/>
    <w:rsid w:val="002547B4"/>
    <w:rsid w:val="00254884"/>
    <w:rsid w:val="002548C8"/>
    <w:rsid w:val="00254A57"/>
    <w:rsid w:val="00254EF8"/>
    <w:rsid w:val="00254FD7"/>
    <w:rsid w:val="0025521B"/>
    <w:rsid w:val="0025540D"/>
    <w:rsid w:val="00255516"/>
    <w:rsid w:val="002555CE"/>
    <w:rsid w:val="002558A0"/>
    <w:rsid w:val="00255A4E"/>
    <w:rsid w:val="00255D23"/>
    <w:rsid w:val="00255DAB"/>
    <w:rsid w:val="00256011"/>
    <w:rsid w:val="00256189"/>
    <w:rsid w:val="00256231"/>
    <w:rsid w:val="00256563"/>
    <w:rsid w:val="002565F4"/>
    <w:rsid w:val="00256665"/>
    <w:rsid w:val="002566B0"/>
    <w:rsid w:val="00256A87"/>
    <w:rsid w:val="00256B84"/>
    <w:rsid w:val="00256E56"/>
    <w:rsid w:val="00257003"/>
    <w:rsid w:val="0025712A"/>
    <w:rsid w:val="00257138"/>
    <w:rsid w:val="00257212"/>
    <w:rsid w:val="002572CA"/>
    <w:rsid w:val="0025733E"/>
    <w:rsid w:val="00257519"/>
    <w:rsid w:val="00257536"/>
    <w:rsid w:val="00257A80"/>
    <w:rsid w:val="00257ADF"/>
    <w:rsid w:val="00257B8F"/>
    <w:rsid w:val="00257B90"/>
    <w:rsid w:val="00257E28"/>
    <w:rsid w:val="002600E6"/>
    <w:rsid w:val="00260197"/>
    <w:rsid w:val="00260330"/>
    <w:rsid w:val="0026062D"/>
    <w:rsid w:val="00260996"/>
    <w:rsid w:val="00260C91"/>
    <w:rsid w:val="00260CDC"/>
    <w:rsid w:val="00260E5E"/>
    <w:rsid w:val="002610FE"/>
    <w:rsid w:val="0026142A"/>
    <w:rsid w:val="002617BD"/>
    <w:rsid w:val="002619DD"/>
    <w:rsid w:val="00261DD4"/>
    <w:rsid w:val="00261DF3"/>
    <w:rsid w:val="00261F05"/>
    <w:rsid w:val="00261F37"/>
    <w:rsid w:val="00261F41"/>
    <w:rsid w:val="0026209F"/>
    <w:rsid w:val="00262159"/>
    <w:rsid w:val="00262278"/>
    <w:rsid w:val="00262635"/>
    <w:rsid w:val="00262708"/>
    <w:rsid w:val="00262766"/>
    <w:rsid w:val="00262B01"/>
    <w:rsid w:val="00262C41"/>
    <w:rsid w:val="00262E0C"/>
    <w:rsid w:val="00262EAF"/>
    <w:rsid w:val="00263292"/>
    <w:rsid w:val="00263544"/>
    <w:rsid w:val="00263603"/>
    <w:rsid w:val="0026367F"/>
    <w:rsid w:val="0026379B"/>
    <w:rsid w:val="002637D6"/>
    <w:rsid w:val="0026389A"/>
    <w:rsid w:val="00263B71"/>
    <w:rsid w:val="00263C17"/>
    <w:rsid w:val="00263C81"/>
    <w:rsid w:val="00263CAC"/>
    <w:rsid w:val="00263D81"/>
    <w:rsid w:val="00263FA5"/>
    <w:rsid w:val="00263FC5"/>
    <w:rsid w:val="002643FD"/>
    <w:rsid w:val="0026455B"/>
    <w:rsid w:val="002646CA"/>
    <w:rsid w:val="002648AF"/>
    <w:rsid w:val="00264980"/>
    <w:rsid w:val="00264A28"/>
    <w:rsid w:val="00264B3D"/>
    <w:rsid w:val="00264D31"/>
    <w:rsid w:val="00264DD4"/>
    <w:rsid w:val="00264F06"/>
    <w:rsid w:val="0026509A"/>
    <w:rsid w:val="002656BD"/>
    <w:rsid w:val="002657FA"/>
    <w:rsid w:val="00265814"/>
    <w:rsid w:val="002658D0"/>
    <w:rsid w:val="00265AD1"/>
    <w:rsid w:val="00265AEE"/>
    <w:rsid w:val="00265B5F"/>
    <w:rsid w:val="00265CC8"/>
    <w:rsid w:val="00265DB1"/>
    <w:rsid w:val="00265E4C"/>
    <w:rsid w:val="00265E61"/>
    <w:rsid w:val="00265EE5"/>
    <w:rsid w:val="00266140"/>
    <w:rsid w:val="00266192"/>
    <w:rsid w:val="00266529"/>
    <w:rsid w:val="0026655F"/>
    <w:rsid w:val="002665C1"/>
    <w:rsid w:val="002666CF"/>
    <w:rsid w:val="002666F2"/>
    <w:rsid w:val="00266D6B"/>
    <w:rsid w:val="0026747D"/>
    <w:rsid w:val="0026769D"/>
    <w:rsid w:val="00267757"/>
    <w:rsid w:val="00267777"/>
    <w:rsid w:val="002678E5"/>
    <w:rsid w:val="002678F9"/>
    <w:rsid w:val="002679BD"/>
    <w:rsid w:val="00267BC2"/>
    <w:rsid w:val="00267D30"/>
    <w:rsid w:val="00267E2B"/>
    <w:rsid w:val="00267FB4"/>
    <w:rsid w:val="00267FC0"/>
    <w:rsid w:val="00270063"/>
    <w:rsid w:val="0027031B"/>
    <w:rsid w:val="0027035A"/>
    <w:rsid w:val="0027046C"/>
    <w:rsid w:val="0027057F"/>
    <w:rsid w:val="002705BB"/>
    <w:rsid w:val="00270719"/>
    <w:rsid w:val="00270766"/>
    <w:rsid w:val="00270773"/>
    <w:rsid w:val="0027078E"/>
    <w:rsid w:val="002709C6"/>
    <w:rsid w:val="002709CA"/>
    <w:rsid w:val="00270A33"/>
    <w:rsid w:val="00270BF7"/>
    <w:rsid w:val="00271172"/>
    <w:rsid w:val="0027124D"/>
    <w:rsid w:val="00271308"/>
    <w:rsid w:val="00271356"/>
    <w:rsid w:val="00271457"/>
    <w:rsid w:val="00271469"/>
    <w:rsid w:val="0027150E"/>
    <w:rsid w:val="00271560"/>
    <w:rsid w:val="002716A8"/>
    <w:rsid w:val="002716DA"/>
    <w:rsid w:val="002717C4"/>
    <w:rsid w:val="00271808"/>
    <w:rsid w:val="00271C4E"/>
    <w:rsid w:val="00271EEB"/>
    <w:rsid w:val="0027222B"/>
    <w:rsid w:val="00272292"/>
    <w:rsid w:val="0027251C"/>
    <w:rsid w:val="00272576"/>
    <w:rsid w:val="00272623"/>
    <w:rsid w:val="00272819"/>
    <w:rsid w:val="00272892"/>
    <w:rsid w:val="00272934"/>
    <w:rsid w:val="00272AF4"/>
    <w:rsid w:val="00272DAF"/>
    <w:rsid w:val="00272EB2"/>
    <w:rsid w:val="00272F9D"/>
    <w:rsid w:val="0027320A"/>
    <w:rsid w:val="00273269"/>
    <w:rsid w:val="0027362B"/>
    <w:rsid w:val="00273771"/>
    <w:rsid w:val="00273A59"/>
    <w:rsid w:val="00273A5B"/>
    <w:rsid w:val="00273A83"/>
    <w:rsid w:val="00273B6D"/>
    <w:rsid w:val="00273C6E"/>
    <w:rsid w:val="00273CE7"/>
    <w:rsid w:val="00273D14"/>
    <w:rsid w:val="00273D5D"/>
    <w:rsid w:val="00273D9E"/>
    <w:rsid w:val="00273DF4"/>
    <w:rsid w:val="00273E98"/>
    <w:rsid w:val="00274159"/>
    <w:rsid w:val="002741BF"/>
    <w:rsid w:val="0027426F"/>
    <w:rsid w:val="002742E5"/>
    <w:rsid w:val="00274387"/>
    <w:rsid w:val="00274444"/>
    <w:rsid w:val="002746E8"/>
    <w:rsid w:val="002746EA"/>
    <w:rsid w:val="00274A54"/>
    <w:rsid w:val="00274C6C"/>
    <w:rsid w:val="00274E58"/>
    <w:rsid w:val="00275254"/>
    <w:rsid w:val="00275592"/>
    <w:rsid w:val="00275599"/>
    <w:rsid w:val="00275614"/>
    <w:rsid w:val="0027562A"/>
    <w:rsid w:val="002756EC"/>
    <w:rsid w:val="002758F5"/>
    <w:rsid w:val="00275B0F"/>
    <w:rsid w:val="00275BA9"/>
    <w:rsid w:val="00275C74"/>
    <w:rsid w:val="00275CAC"/>
    <w:rsid w:val="00276038"/>
    <w:rsid w:val="0027605B"/>
    <w:rsid w:val="00276080"/>
    <w:rsid w:val="002760DE"/>
    <w:rsid w:val="0027616B"/>
    <w:rsid w:val="0027616F"/>
    <w:rsid w:val="002762AF"/>
    <w:rsid w:val="002765A9"/>
    <w:rsid w:val="002765CA"/>
    <w:rsid w:val="0027684A"/>
    <w:rsid w:val="00276B70"/>
    <w:rsid w:val="00276B77"/>
    <w:rsid w:val="00276D2E"/>
    <w:rsid w:val="00276DBB"/>
    <w:rsid w:val="00276F7F"/>
    <w:rsid w:val="00276FBE"/>
    <w:rsid w:val="002772BA"/>
    <w:rsid w:val="002773F5"/>
    <w:rsid w:val="00277410"/>
    <w:rsid w:val="00277499"/>
    <w:rsid w:val="00277B3C"/>
    <w:rsid w:val="00277BD9"/>
    <w:rsid w:val="00277C13"/>
    <w:rsid w:val="00277FB3"/>
    <w:rsid w:val="00280023"/>
    <w:rsid w:val="002800D9"/>
    <w:rsid w:val="00280181"/>
    <w:rsid w:val="0028019B"/>
    <w:rsid w:val="002802CF"/>
    <w:rsid w:val="002806C1"/>
    <w:rsid w:val="0028079C"/>
    <w:rsid w:val="00280DAB"/>
    <w:rsid w:val="0028102A"/>
    <w:rsid w:val="00281090"/>
    <w:rsid w:val="002814DA"/>
    <w:rsid w:val="0028160B"/>
    <w:rsid w:val="002817C4"/>
    <w:rsid w:val="00281981"/>
    <w:rsid w:val="00281A20"/>
    <w:rsid w:val="00281CFC"/>
    <w:rsid w:val="00281D99"/>
    <w:rsid w:val="00281DD8"/>
    <w:rsid w:val="00281F00"/>
    <w:rsid w:val="00282181"/>
    <w:rsid w:val="002822A1"/>
    <w:rsid w:val="002825AB"/>
    <w:rsid w:val="002825E3"/>
    <w:rsid w:val="002826C4"/>
    <w:rsid w:val="002826FF"/>
    <w:rsid w:val="002827B4"/>
    <w:rsid w:val="0028280E"/>
    <w:rsid w:val="00282B10"/>
    <w:rsid w:val="00282E4C"/>
    <w:rsid w:val="00282F55"/>
    <w:rsid w:val="002830D8"/>
    <w:rsid w:val="002830DB"/>
    <w:rsid w:val="00283202"/>
    <w:rsid w:val="00283520"/>
    <w:rsid w:val="0028364D"/>
    <w:rsid w:val="0028371B"/>
    <w:rsid w:val="00283761"/>
    <w:rsid w:val="002837C5"/>
    <w:rsid w:val="0028383C"/>
    <w:rsid w:val="00283AC4"/>
    <w:rsid w:val="00283CB7"/>
    <w:rsid w:val="00283EA5"/>
    <w:rsid w:val="00283EBB"/>
    <w:rsid w:val="00284193"/>
    <w:rsid w:val="00284255"/>
    <w:rsid w:val="00284441"/>
    <w:rsid w:val="00284556"/>
    <w:rsid w:val="002845F7"/>
    <w:rsid w:val="0028460A"/>
    <w:rsid w:val="0028469D"/>
    <w:rsid w:val="002847E3"/>
    <w:rsid w:val="00284814"/>
    <w:rsid w:val="002848BB"/>
    <w:rsid w:val="002849FD"/>
    <w:rsid w:val="00284BE3"/>
    <w:rsid w:val="00284E99"/>
    <w:rsid w:val="00284EE0"/>
    <w:rsid w:val="00284F2B"/>
    <w:rsid w:val="00284F34"/>
    <w:rsid w:val="0028510C"/>
    <w:rsid w:val="00285159"/>
    <w:rsid w:val="0028526D"/>
    <w:rsid w:val="002852AB"/>
    <w:rsid w:val="002852B2"/>
    <w:rsid w:val="00285430"/>
    <w:rsid w:val="002854D2"/>
    <w:rsid w:val="00285565"/>
    <w:rsid w:val="002855E8"/>
    <w:rsid w:val="0028578F"/>
    <w:rsid w:val="00285883"/>
    <w:rsid w:val="00285AB6"/>
    <w:rsid w:val="00285C41"/>
    <w:rsid w:val="00285D55"/>
    <w:rsid w:val="00285E12"/>
    <w:rsid w:val="00285EA3"/>
    <w:rsid w:val="00286590"/>
    <w:rsid w:val="00286866"/>
    <w:rsid w:val="0028695C"/>
    <w:rsid w:val="002869F4"/>
    <w:rsid w:val="00286AC2"/>
    <w:rsid w:val="00286B94"/>
    <w:rsid w:val="00286C2F"/>
    <w:rsid w:val="00286D01"/>
    <w:rsid w:val="00286EF3"/>
    <w:rsid w:val="00286FF5"/>
    <w:rsid w:val="002870FE"/>
    <w:rsid w:val="0028713E"/>
    <w:rsid w:val="0028731D"/>
    <w:rsid w:val="00287329"/>
    <w:rsid w:val="00287339"/>
    <w:rsid w:val="0028740A"/>
    <w:rsid w:val="00287527"/>
    <w:rsid w:val="002877CF"/>
    <w:rsid w:val="002878A2"/>
    <w:rsid w:val="00287AD3"/>
    <w:rsid w:val="00287B90"/>
    <w:rsid w:val="00287D06"/>
    <w:rsid w:val="00287DCD"/>
    <w:rsid w:val="00287EA3"/>
    <w:rsid w:val="00287EA8"/>
    <w:rsid w:val="00287EB4"/>
    <w:rsid w:val="00290203"/>
    <w:rsid w:val="00290258"/>
    <w:rsid w:val="00290405"/>
    <w:rsid w:val="0029040B"/>
    <w:rsid w:val="0029041E"/>
    <w:rsid w:val="00290512"/>
    <w:rsid w:val="0029054F"/>
    <w:rsid w:val="0029058A"/>
    <w:rsid w:val="002906D4"/>
    <w:rsid w:val="00290706"/>
    <w:rsid w:val="00290798"/>
    <w:rsid w:val="0029079B"/>
    <w:rsid w:val="002908EF"/>
    <w:rsid w:val="002909E1"/>
    <w:rsid w:val="00290C0D"/>
    <w:rsid w:val="00290EA1"/>
    <w:rsid w:val="00290ECC"/>
    <w:rsid w:val="00291081"/>
    <w:rsid w:val="002911B7"/>
    <w:rsid w:val="00291230"/>
    <w:rsid w:val="0029123C"/>
    <w:rsid w:val="002913CD"/>
    <w:rsid w:val="00291771"/>
    <w:rsid w:val="002917E7"/>
    <w:rsid w:val="002918D8"/>
    <w:rsid w:val="00291904"/>
    <w:rsid w:val="00291B16"/>
    <w:rsid w:val="00291C0A"/>
    <w:rsid w:val="00291C33"/>
    <w:rsid w:val="00291F25"/>
    <w:rsid w:val="00291F6A"/>
    <w:rsid w:val="00292064"/>
    <w:rsid w:val="00292101"/>
    <w:rsid w:val="002922FF"/>
    <w:rsid w:val="002928EE"/>
    <w:rsid w:val="00292AAD"/>
    <w:rsid w:val="00292BE5"/>
    <w:rsid w:val="00292EEC"/>
    <w:rsid w:val="0029312E"/>
    <w:rsid w:val="0029314F"/>
    <w:rsid w:val="002935A2"/>
    <w:rsid w:val="002937D7"/>
    <w:rsid w:val="0029397F"/>
    <w:rsid w:val="00293A47"/>
    <w:rsid w:val="00293BBC"/>
    <w:rsid w:val="00293C09"/>
    <w:rsid w:val="00293C7A"/>
    <w:rsid w:val="00293C8F"/>
    <w:rsid w:val="00293DDD"/>
    <w:rsid w:val="00294303"/>
    <w:rsid w:val="00294331"/>
    <w:rsid w:val="00294451"/>
    <w:rsid w:val="0029446A"/>
    <w:rsid w:val="002944A6"/>
    <w:rsid w:val="002944B1"/>
    <w:rsid w:val="002947B7"/>
    <w:rsid w:val="002949C4"/>
    <w:rsid w:val="002949F0"/>
    <w:rsid w:val="00294BC5"/>
    <w:rsid w:val="00294C77"/>
    <w:rsid w:val="00294D1F"/>
    <w:rsid w:val="00294DF4"/>
    <w:rsid w:val="00294DF5"/>
    <w:rsid w:val="00295216"/>
    <w:rsid w:val="0029530C"/>
    <w:rsid w:val="002954B2"/>
    <w:rsid w:val="00295786"/>
    <w:rsid w:val="002957C3"/>
    <w:rsid w:val="002958FC"/>
    <w:rsid w:val="00295AE3"/>
    <w:rsid w:val="00295BCF"/>
    <w:rsid w:val="00295CE1"/>
    <w:rsid w:val="00295D8D"/>
    <w:rsid w:val="00295ECD"/>
    <w:rsid w:val="002961E4"/>
    <w:rsid w:val="00296437"/>
    <w:rsid w:val="002967F4"/>
    <w:rsid w:val="0029692E"/>
    <w:rsid w:val="00296BC8"/>
    <w:rsid w:val="00296C09"/>
    <w:rsid w:val="00296D91"/>
    <w:rsid w:val="00296DA2"/>
    <w:rsid w:val="00296F61"/>
    <w:rsid w:val="002973FC"/>
    <w:rsid w:val="00297668"/>
    <w:rsid w:val="002977C5"/>
    <w:rsid w:val="002977CC"/>
    <w:rsid w:val="00297B68"/>
    <w:rsid w:val="00297C52"/>
    <w:rsid w:val="00297DCA"/>
    <w:rsid w:val="00297F92"/>
    <w:rsid w:val="002A02A9"/>
    <w:rsid w:val="002A0378"/>
    <w:rsid w:val="002A065F"/>
    <w:rsid w:val="002A078C"/>
    <w:rsid w:val="002A0A5E"/>
    <w:rsid w:val="002A0BA8"/>
    <w:rsid w:val="002A0C53"/>
    <w:rsid w:val="002A0E3E"/>
    <w:rsid w:val="002A0E87"/>
    <w:rsid w:val="002A1150"/>
    <w:rsid w:val="002A115F"/>
    <w:rsid w:val="002A1170"/>
    <w:rsid w:val="002A12E7"/>
    <w:rsid w:val="002A13C9"/>
    <w:rsid w:val="002A1513"/>
    <w:rsid w:val="002A18FA"/>
    <w:rsid w:val="002A192B"/>
    <w:rsid w:val="002A199B"/>
    <w:rsid w:val="002A1A2D"/>
    <w:rsid w:val="002A1B0D"/>
    <w:rsid w:val="002A1B13"/>
    <w:rsid w:val="002A22F5"/>
    <w:rsid w:val="002A2423"/>
    <w:rsid w:val="002A2432"/>
    <w:rsid w:val="002A24C2"/>
    <w:rsid w:val="002A263C"/>
    <w:rsid w:val="002A2A8D"/>
    <w:rsid w:val="002A2B27"/>
    <w:rsid w:val="002A2BEA"/>
    <w:rsid w:val="002A2BF7"/>
    <w:rsid w:val="002A2C33"/>
    <w:rsid w:val="002A2DA2"/>
    <w:rsid w:val="002A3008"/>
    <w:rsid w:val="002A30E3"/>
    <w:rsid w:val="002A360D"/>
    <w:rsid w:val="002A37A3"/>
    <w:rsid w:val="002A37B0"/>
    <w:rsid w:val="002A39E7"/>
    <w:rsid w:val="002A3ADB"/>
    <w:rsid w:val="002A3F3A"/>
    <w:rsid w:val="002A3FAA"/>
    <w:rsid w:val="002A41FF"/>
    <w:rsid w:val="002A431B"/>
    <w:rsid w:val="002A4537"/>
    <w:rsid w:val="002A469C"/>
    <w:rsid w:val="002A476E"/>
    <w:rsid w:val="002A4AEB"/>
    <w:rsid w:val="002A4BD1"/>
    <w:rsid w:val="002A4C5A"/>
    <w:rsid w:val="002A4CA5"/>
    <w:rsid w:val="002A4DD7"/>
    <w:rsid w:val="002A5128"/>
    <w:rsid w:val="002A5423"/>
    <w:rsid w:val="002A5436"/>
    <w:rsid w:val="002A56CB"/>
    <w:rsid w:val="002A57A5"/>
    <w:rsid w:val="002A57AF"/>
    <w:rsid w:val="002A5875"/>
    <w:rsid w:val="002A593C"/>
    <w:rsid w:val="002A59A8"/>
    <w:rsid w:val="002A5E15"/>
    <w:rsid w:val="002A5E60"/>
    <w:rsid w:val="002A5F1D"/>
    <w:rsid w:val="002A6007"/>
    <w:rsid w:val="002A604C"/>
    <w:rsid w:val="002A6066"/>
    <w:rsid w:val="002A60E4"/>
    <w:rsid w:val="002A6314"/>
    <w:rsid w:val="002A64E7"/>
    <w:rsid w:val="002A65D4"/>
    <w:rsid w:val="002A65F2"/>
    <w:rsid w:val="002A672A"/>
    <w:rsid w:val="002A6A15"/>
    <w:rsid w:val="002A6AC8"/>
    <w:rsid w:val="002A6F15"/>
    <w:rsid w:val="002A6F73"/>
    <w:rsid w:val="002A6F82"/>
    <w:rsid w:val="002A717E"/>
    <w:rsid w:val="002A7383"/>
    <w:rsid w:val="002A73C8"/>
    <w:rsid w:val="002A7424"/>
    <w:rsid w:val="002A74D7"/>
    <w:rsid w:val="002A7636"/>
    <w:rsid w:val="002A7655"/>
    <w:rsid w:val="002A76FB"/>
    <w:rsid w:val="002A7B64"/>
    <w:rsid w:val="002A7C6A"/>
    <w:rsid w:val="002A7E1D"/>
    <w:rsid w:val="002B0258"/>
    <w:rsid w:val="002B025F"/>
    <w:rsid w:val="002B035F"/>
    <w:rsid w:val="002B0879"/>
    <w:rsid w:val="002B08DD"/>
    <w:rsid w:val="002B0BC5"/>
    <w:rsid w:val="002B0DA7"/>
    <w:rsid w:val="002B1237"/>
    <w:rsid w:val="002B12B1"/>
    <w:rsid w:val="002B1350"/>
    <w:rsid w:val="002B1475"/>
    <w:rsid w:val="002B14A2"/>
    <w:rsid w:val="002B1546"/>
    <w:rsid w:val="002B157E"/>
    <w:rsid w:val="002B15F8"/>
    <w:rsid w:val="002B1805"/>
    <w:rsid w:val="002B1837"/>
    <w:rsid w:val="002B1841"/>
    <w:rsid w:val="002B190E"/>
    <w:rsid w:val="002B1A05"/>
    <w:rsid w:val="002B1A1C"/>
    <w:rsid w:val="002B1B36"/>
    <w:rsid w:val="002B1BE8"/>
    <w:rsid w:val="002B2007"/>
    <w:rsid w:val="002B20FA"/>
    <w:rsid w:val="002B21C6"/>
    <w:rsid w:val="002B24C4"/>
    <w:rsid w:val="002B252B"/>
    <w:rsid w:val="002B2850"/>
    <w:rsid w:val="002B295D"/>
    <w:rsid w:val="002B2A37"/>
    <w:rsid w:val="002B2AE6"/>
    <w:rsid w:val="002B2D84"/>
    <w:rsid w:val="002B2FB2"/>
    <w:rsid w:val="002B300D"/>
    <w:rsid w:val="002B30E9"/>
    <w:rsid w:val="002B3190"/>
    <w:rsid w:val="002B393D"/>
    <w:rsid w:val="002B394F"/>
    <w:rsid w:val="002B3C12"/>
    <w:rsid w:val="002B3CA6"/>
    <w:rsid w:val="002B3DA9"/>
    <w:rsid w:val="002B3E99"/>
    <w:rsid w:val="002B4350"/>
    <w:rsid w:val="002B43B7"/>
    <w:rsid w:val="002B43BD"/>
    <w:rsid w:val="002B4514"/>
    <w:rsid w:val="002B473A"/>
    <w:rsid w:val="002B47C7"/>
    <w:rsid w:val="002B4886"/>
    <w:rsid w:val="002B48FA"/>
    <w:rsid w:val="002B498D"/>
    <w:rsid w:val="002B4997"/>
    <w:rsid w:val="002B4B38"/>
    <w:rsid w:val="002B4B8F"/>
    <w:rsid w:val="002B4D1F"/>
    <w:rsid w:val="002B4FF4"/>
    <w:rsid w:val="002B52EF"/>
    <w:rsid w:val="002B53F0"/>
    <w:rsid w:val="002B5561"/>
    <w:rsid w:val="002B55A2"/>
    <w:rsid w:val="002B56CE"/>
    <w:rsid w:val="002B5A3D"/>
    <w:rsid w:val="002B5ADF"/>
    <w:rsid w:val="002B5D35"/>
    <w:rsid w:val="002B5F3A"/>
    <w:rsid w:val="002B60D1"/>
    <w:rsid w:val="002B6173"/>
    <w:rsid w:val="002B62C6"/>
    <w:rsid w:val="002B635D"/>
    <w:rsid w:val="002B638D"/>
    <w:rsid w:val="002B6648"/>
    <w:rsid w:val="002B6706"/>
    <w:rsid w:val="002B6734"/>
    <w:rsid w:val="002B6A1A"/>
    <w:rsid w:val="002B6B35"/>
    <w:rsid w:val="002B6B64"/>
    <w:rsid w:val="002B6BBA"/>
    <w:rsid w:val="002B6C24"/>
    <w:rsid w:val="002B6CC9"/>
    <w:rsid w:val="002B7112"/>
    <w:rsid w:val="002B71C2"/>
    <w:rsid w:val="002B7337"/>
    <w:rsid w:val="002B74AE"/>
    <w:rsid w:val="002B754A"/>
    <w:rsid w:val="002B75E6"/>
    <w:rsid w:val="002B7DF1"/>
    <w:rsid w:val="002B7DF7"/>
    <w:rsid w:val="002B7E5E"/>
    <w:rsid w:val="002C0006"/>
    <w:rsid w:val="002C010B"/>
    <w:rsid w:val="002C03AC"/>
    <w:rsid w:val="002C0458"/>
    <w:rsid w:val="002C059A"/>
    <w:rsid w:val="002C0C7E"/>
    <w:rsid w:val="002C0DED"/>
    <w:rsid w:val="002C0E19"/>
    <w:rsid w:val="002C0FDE"/>
    <w:rsid w:val="002C0FED"/>
    <w:rsid w:val="002C113F"/>
    <w:rsid w:val="002C1142"/>
    <w:rsid w:val="002C18BD"/>
    <w:rsid w:val="002C19F3"/>
    <w:rsid w:val="002C1A21"/>
    <w:rsid w:val="002C1A3C"/>
    <w:rsid w:val="002C1A59"/>
    <w:rsid w:val="002C1B66"/>
    <w:rsid w:val="002C1B81"/>
    <w:rsid w:val="002C1C17"/>
    <w:rsid w:val="002C1CB6"/>
    <w:rsid w:val="002C1E76"/>
    <w:rsid w:val="002C236E"/>
    <w:rsid w:val="002C23B4"/>
    <w:rsid w:val="002C29A9"/>
    <w:rsid w:val="002C2A34"/>
    <w:rsid w:val="002C2D7D"/>
    <w:rsid w:val="002C2DCE"/>
    <w:rsid w:val="002C30A6"/>
    <w:rsid w:val="002C326A"/>
    <w:rsid w:val="002C34ED"/>
    <w:rsid w:val="002C350A"/>
    <w:rsid w:val="002C3794"/>
    <w:rsid w:val="002C38F7"/>
    <w:rsid w:val="002C3AA9"/>
    <w:rsid w:val="002C3B3C"/>
    <w:rsid w:val="002C3F93"/>
    <w:rsid w:val="002C3FC4"/>
    <w:rsid w:val="002C3FEE"/>
    <w:rsid w:val="002C4054"/>
    <w:rsid w:val="002C408C"/>
    <w:rsid w:val="002C43EB"/>
    <w:rsid w:val="002C45E2"/>
    <w:rsid w:val="002C4788"/>
    <w:rsid w:val="002C4814"/>
    <w:rsid w:val="002C4B1E"/>
    <w:rsid w:val="002C4BF0"/>
    <w:rsid w:val="002C4D52"/>
    <w:rsid w:val="002C4EA5"/>
    <w:rsid w:val="002C4F02"/>
    <w:rsid w:val="002C51E0"/>
    <w:rsid w:val="002C53CC"/>
    <w:rsid w:val="002C578E"/>
    <w:rsid w:val="002C59D1"/>
    <w:rsid w:val="002C5AE7"/>
    <w:rsid w:val="002C5B40"/>
    <w:rsid w:val="002C5B83"/>
    <w:rsid w:val="002C5C0F"/>
    <w:rsid w:val="002C5C1E"/>
    <w:rsid w:val="002C5CE2"/>
    <w:rsid w:val="002C5D9B"/>
    <w:rsid w:val="002C5F33"/>
    <w:rsid w:val="002C5F3A"/>
    <w:rsid w:val="002C6079"/>
    <w:rsid w:val="002C628D"/>
    <w:rsid w:val="002C65B0"/>
    <w:rsid w:val="002C6678"/>
    <w:rsid w:val="002C66D9"/>
    <w:rsid w:val="002C67B6"/>
    <w:rsid w:val="002C67B9"/>
    <w:rsid w:val="002C67FA"/>
    <w:rsid w:val="002C6836"/>
    <w:rsid w:val="002C6AB7"/>
    <w:rsid w:val="002C6AE7"/>
    <w:rsid w:val="002C6C8A"/>
    <w:rsid w:val="002C6ECE"/>
    <w:rsid w:val="002C6EFF"/>
    <w:rsid w:val="002C6F58"/>
    <w:rsid w:val="002C6FD9"/>
    <w:rsid w:val="002C70FD"/>
    <w:rsid w:val="002C7209"/>
    <w:rsid w:val="002C72C9"/>
    <w:rsid w:val="002C72EF"/>
    <w:rsid w:val="002C7317"/>
    <w:rsid w:val="002C7491"/>
    <w:rsid w:val="002C762F"/>
    <w:rsid w:val="002C796D"/>
    <w:rsid w:val="002C7A73"/>
    <w:rsid w:val="002C7CDF"/>
    <w:rsid w:val="002C7E80"/>
    <w:rsid w:val="002C7F2E"/>
    <w:rsid w:val="002C7FD9"/>
    <w:rsid w:val="002D001E"/>
    <w:rsid w:val="002D0051"/>
    <w:rsid w:val="002D0171"/>
    <w:rsid w:val="002D089E"/>
    <w:rsid w:val="002D094E"/>
    <w:rsid w:val="002D09D6"/>
    <w:rsid w:val="002D0BAD"/>
    <w:rsid w:val="002D0C90"/>
    <w:rsid w:val="002D0CDC"/>
    <w:rsid w:val="002D0DBB"/>
    <w:rsid w:val="002D0F6D"/>
    <w:rsid w:val="002D109C"/>
    <w:rsid w:val="002D1238"/>
    <w:rsid w:val="002D124F"/>
    <w:rsid w:val="002D14F3"/>
    <w:rsid w:val="002D15FB"/>
    <w:rsid w:val="002D1839"/>
    <w:rsid w:val="002D1894"/>
    <w:rsid w:val="002D19F3"/>
    <w:rsid w:val="002D1A4F"/>
    <w:rsid w:val="002D1AF1"/>
    <w:rsid w:val="002D1DB7"/>
    <w:rsid w:val="002D1F76"/>
    <w:rsid w:val="002D1FDF"/>
    <w:rsid w:val="002D2244"/>
    <w:rsid w:val="002D2276"/>
    <w:rsid w:val="002D227C"/>
    <w:rsid w:val="002D22E1"/>
    <w:rsid w:val="002D2348"/>
    <w:rsid w:val="002D2435"/>
    <w:rsid w:val="002D252C"/>
    <w:rsid w:val="002D2663"/>
    <w:rsid w:val="002D26B1"/>
    <w:rsid w:val="002D27D7"/>
    <w:rsid w:val="002D282D"/>
    <w:rsid w:val="002D292A"/>
    <w:rsid w:val="002D2A49"/>
    <w:rsid w:val="002D2C8F"/>
    <w:rsid w:val="002D2E14"/>
    <w:rsid w:val="002D2E87"/>
    <w:rsid w:val="002D3546"/>
    <w:rsid w:val="002D37DC"/>
    <w:rsid w:val="002D3A52"/>
    <w:rsid w:val="002D3AE8"/>
    <w:rsid w:val="002D3C51"/>
    <w:rsid w:val="002D3D01"/>
    <w:rsid w:val="002D3E2E"/>
    <w:rsid w:val="002D3F6B"/>
    <w:rsid w:val="002D41D5"/>
    <w:rsid w:val="002D464E"/>
    <w:rsid w:val="002D469E"/>
    <w:rsid w:val="002D4793"/>
    <w:rsid w:val="002D483E"/>
    <w:rsid w:val="002D4A2D"/>
    <w:rsid w:val="002D4A60"/>
    <w:rsid w:val="002D4AF9"/>
    <w:rsid w:val="002D4C0D"/>
    <w:rsid w:val="002D4CCD"/>
    <w:rsid w:val="002D4DA9"/>
    <w:rsid w:val="002D4DE2"/>
    <w:rsid w:val="002D4E2F"/>
    <w:rsid w:val="002D4F0F"/>
    <w:rsid w:val="002D4F28"/>
    <w:rsid w:val="002D50B9"/>
    <w:rsid w:val="002D5740"/>
    <w:rsid w:val="002D5A74"/>
    <w:rsid w:val="002D5C47"/>
    <w:rsid w:val="002D5D3D"/>
    <w:rsid w:val="002D5E24"/>
    <w:rsid w:val="002D6196"/>
    <w:rsid w:val="002D6285"/>
    <w:rsid w:val="002D669D"/>
    <w:rsid w:val="002D671C"/>
    <w:rsid w:val="002D67BC"/>
    <w:rsid w:val="002D683B"/>
    <w:rsid w:val="002D6AF1"/>
    <w:rsid w:val="002D6CEF"/>
    <w:rsid w:val="002D6E11"/>
    <w:rsid w:val="002D7198"/>
    <w:rsid w:val="002D755E"/>
    <w:rsid w:val="002D76E9"/>
    <w:rsid w:val="002D77A3"/>
    <w:rsid w:val="002D789C"/>
    <w:rsid w:val="002D79B7"/>
    <w:rsid w:val="002D7A48"/>
    <w:rsid w:val="002D7BE5"/>
    <w:rsid w:val="002D7C0B"/>
    <w:rsid w:val="002D7D20"/>
    <w:rsid w:val="002D7D46"/>
    <w:rsid w:val="002D7D65"/>
    <w:rsid w:val="002D7DD8"/>
    <w:rsid w:val="002E00C0"/>
    <w:rsid w:val="002E017E"/>
    <w:rsid w:val="002E02E5"/>
    <w:rsid w:val="002E0330"/>
    <w:rsid w:val="002E035E"/>
    <w:rsid w:val="002E03B2"/>
    <w:rsid w:val="002E06CE"/>
    <w:rsid w:val="002E0700"/>
    <w:rsid w:val="002E08CF"/>
    <w:rsid w:val="002E09D0"/>
    <w:rsid w:val="002E0A09"/>
    <w:rsid w:val="002E0B55"/>
    <w:rsid w:val="002E1092"/>
    <w:rsid w:val="002E1137"/>
    <w:rsid w:val="002E123D"/>
    <w:rsid w:val="002E1339"/>
    <w:rsid w:val="002E13F1"/>
    <w:rsid w:val="002E16E2"/>
    <w:rsid w:val="002E1724"/>
    <w:rsid w:val="002E18A5"/>
    <w:rsid w:val="002E1AEA"/>
    <w:rsid w:val="002E1C0F"/>
    <w:rsid w:val="002E1EBB"/>
    <w:rsid w:val="002E1F95"/>
    <w:rsid w:val="002E2055"/>
    <w:rsid w:val="002E2210"/>
    <w:rsid w:val="002E2513"/>
    <w:rsid w:val="002E25CA"/>
    <w:rsid w:val="002E2773"/>
    <w:rsid w:val="002E27EC"/>
    <w:rsid w:val="002E27F7"/>
    <w:rsid w:val="002E295B"/>
    <w:rsid w:val="002E29FD"/>
    <w:rsid w:val="002E2AE8"/>
    <w:rsid w:val="002E2BF9"/>
    <w:rsid w:val="002E2D62"/>
    <w:rsid w:val="002E2E27"/>
    <w:rsid w:val="002E2EF5"/>
    <w:rsid w:val="002E2FD2"/>
    <w:rsid w:val="002E3125"/>
    <w:rsid w:val="002E312F"/>
    <w:rsid w:val="002E327F"/>
    <w:rsid w:val="002E351F"/>
    <w:rsid w:val="002E3598"/>
    <w:rsid w:val="002E382F"/>
    <w:rsid w:val="002E3967"/>
    <w:rsid w:val="002E3A17"/>
    <w:rsid w:val="002E3BB5"/>
    <w:rsid w:val="002E3C72"/>
    <w:rsid w:val="002E3ECC"/>
    <w:rsid w:val="002E3F1C"/>
    <w:rsid w:val="002E4197"/>
    <w:rsid w:val="002E439D"/>
    <w:rsid w:val="002E4594"/>
    <w:rsid w:val="002E4701"/>
    <w:rsid w:val="002E49A0"/>
    <w:rsid w:val="002E4B61"/>
    <w:rsid w:val="002E4BC1"/>
    <w:rsid w:val="002E4CC6"/>
    <w:rsid w:val="002E50FA"/>
    <w:rsid w:val="002E518D"/>
    <w:rsid w:val="002E51D1"/>
    <w:rsid w:val="002E51E8"/>
    <w:rsid w:val="002E51F0"/>
    <w:rsid w:val="002E52B0"/>
    <w:rsid w:val="002E53ED"/>
    <w:rsid w:val="002E541F"/>
    <w:rsid w:val="002E5799"/>
    <w:rsid w:val="002E57C2"/>
    <w:rsid w:val="002E5C43"/>
    <w:rsid w:val="002E5CAA"/>
    <w:rsid w:val="002E5DF7"/>
    <w:rsid w:val="002E5FE8"/>
    <w:rsid w:val="002E62E8"/>
    <w:rsid w:val="002E6459"/>
    <w:rsid w:val="002E675E"/>
    <w:rsid w:val="002E676C"/>
    <w:rsid w:val="002E67D9"/>
    <w:rsid w:val="002E68E4"/>
    <w:rsid w:val="002E6BAB"/>
    <w:rsid w:val="002E6BED"/>
    <w:rsid w:val="002E6CF4"/>
    <w:rsid w:val="002E6E5C"/>
    <w:rsid w:val="002E6FBC"/>
    <w:rsid w:val="002E6FF8"/>
    <w:rsid w:val="002E7077"/>
    <w:rsid w:val="002E711B"/>
    <w:rsid w:val="002E718F"/>
    <w:rsid w:val="002E729F"/>
    <w:rsid w:val="002E735C"/>
    <w:rsid w:val="002E737E"/>
    <w:rsid w:val="002E73FE"/>
    <w:rsid w:val="002E7799"/>
    <w:rsid w:val="002E7A21"/>
    <w:rsid w:val="002E7B9B"/>
    <w:rsid w:val="002E7C8B"/>
    <w:rsid w:val="002E7E54"/>
    <w:rsid w:val="002E7E7D"/>
    <w:rsid w:val="002F0061"/>
    <w:rsid w:val="002F039E"/>
    <w:rsid w:val="002F048D"/>
    <w:rsid w:val="002F058B"/>
    <w:rsid w:val="002F06AD"/>
    <w:rsid w:val="002F06DA"/>
    <w:rsid w:val="002F0769"/>
    <w:rsid w:val="002F07B0"/>
    <w:rsid w:val="002F0812"/>
    <w:rsid w:val="002F0910"/>
    <w:rsid w:val="002F0EF9"/>
    <w:rsid w:val="002F10BC"/>
    <w:rsid w:val="002F12DF"/>
    <w:rsid w:val="002F1487"/>
    <w:rsid w:val="002F1573"/>
    <w:rsid w:val="002F1588"/>
    <w:rsid w:val="002F1BB7"/>
    <w:rsid w:val="002F1BDE"/>
    <w:rsid w:val="002F210C"/>
    <w:rsid w:val="002F216A"/>
    <w:rsid w:val="002F225C"/>
    <w:rsid w:val="002F22D2"/>
    <w:rsid w:val="002F27C7"/>
    <w:rsid w:val="002F28B7"/>
    <w:rsid w:val="002F291B"/>
    <w:rsid w:val="002F2AE9"/>
    <w:rsid w:val="002F2B66"/>
    <w:rsid w:val="002F2BFB"/>
    <w:rsid w:val="002F2C24"/>
    <w:rsid w:val="002F2C3D"/>
    <w:rsid w:val="002F2F2A"/>
    <w:rsid w:val="002F31EB"/>
    <w:rsid w:val="002F33E0"/>
    <w:rsid w:val="002F34F1"/>
    <w:rsid w:val="002F358F"/>
    <w:rsid w:val="002F37C9"/>
    <w:rsid w:val="002F391F"/>
    <w:rsid w:val="002F3F35"/>
    <w:rsid w:val="002F407C"/>
    <w:rsid w:val="002F418E"/>
    <w:rsid w:val="002F419B"/>
    <w:rsid w:val="002F4257"/>
    <w:rsid w:val="002F426D"/>
    <w:rsid w:val="002F42DB"/>
    <w:rsid w:val="002F4461"/>
    <w:rsid w:val="002F4518"/>
    <w:rsid w:val="002F4569"/>
    <w:rsid w:val="002F4666"/>
    <w:rsid w:val="002F470E"/>
    <w:rsid w:val="002F47D6"/>
    <w:rsid w:val="002F4A20"/>
    <w:rsid w:val="002F4A68"/>
    <w:rsid w:val="002F4E13"/>
    <w:rsid w:val="002F4EED"/>
    <w:rsid w:val="002F5066"/>
    <w:rsid w:val="002F5392"/>
    <w:rsid w:val="002F543A"/>
    <w:rsid w:val="002F5465"/>
    <w:rsid w:val="002F5660"/>
    <w:rsid w:val="002F5663"/>
    <w:rsid w:val="002F5682"/>
    <w:rsid w:val="002F56AB"/>
    <w:rsid w:val="002F56EF"/>
    <w:rsid w:val="002F575F"/>
    <w:rsid w:val="002F5766"/>
    <w:rsid w:val="002F57DC"/>
    <w:rsid w:val="002F5A14"/>
    <w:rsid w:val="002F5A2E"/>
    <w:rsid w:val="002F5AC4"/>
    <w:rsid w:val="002F5AC7"/>
    <w:rsid w:val="002F5AF9"/>
    <w:rsid w:val="002F5B73"/>
    <w:rsid w:val="002F5E03"/>
    <w:rsid w:val="002F5EC4"/>
    <w:rsid w:val="002F5F9B"/>
    <w:rsid w:val="002F600A"/>
    <w:rsid w:val="002F6024"/>
    <w:rsid w:val="002F624E"/>
    <w:rsid w:val="002F6349"/>
    <w:rsid w:val="002F639B"/>
    <w:rsid w:val="002F652B"/>
    <w:rsid w:val="002F655D"/>
    <w:rsid w:val="002F65A8"/>
    <w:rsid w:val="002F6634"/>
    <w:rsid w:val="002F680D"/>
    <w:rsid w:val="002F68D4"/>
    <w:rsid w:val="002F6A6A"/>
    <w:rsid w:val="002F6A6B"/>
    <w:rsid w:val="002F6BFF"/>
    <w:rsid w:val="002F6D43"/>
    <w:rsid w:val="002F6FA4"/>
    <w:rsid w:val="002F71B6"/>
    <w:rsid w:val="002F736A"/>
    <w:rsid w:val="002F76E0"/>
    <w:rsid w:val="002F78DF"/>
    <w:rsid w:val="002F7B85"/>
    <w:rsid w:val="002F7C1F"/>
    <w:rsid w:val="002F7D31"/>
    <w:rsid w:val="002F7E2D"/>
    <w:rsid w:val="002F7F1B"/>
    <w:rsid w:val="002F7F86"/>
    <w:rsid w:val="00300172"/>
    <w:rsid w:val="0030036C"/>
    <w:rsid w:val="003004B4"/>
    <w:rsid w:val="0030062B"/>
    <w:rsid w:val="003007C9"/>
    <w:rsid w:val="0030090E"/>
    <w:rsid w:val="00300BEE"/>
    <w:rsid w:val="00300BFD"/>
    <w:rsid w:val="00300E64"/>
    <w:rsid w:val="00300EAB"/>
    <w:rsid w:val="00300F6B"/>
    <w:rsid w:val="00301040"/>
    <w:rsid w:val="003012D0"/>
    <w:rsid w:val="00301321"/>
    <w:rsid w:val="00301415"/>
    <w:rsid w:val="0030149D"/>
    <w:rsid w:val="00301679"/>
    <w:rsid w:val="00301681"/>
    <w:rsid w:val="0030174A"/>
    <w:rsid w:val="00301784"/>
    <w:rsid w:val="003019B1"/>
    <w:rsid w:val="00301CCF"/>
    <w:rsid w:val="00301D93"/>
    <w:rsid w:val="00301DD9"/>
    <w:rsid w:val="00302110"/>
    <w:rsid w:val="0030213D"/>
    <w:rsid w:val="003028F8"/>
    <w:rsid w:val="00302C3B"/>
    <w:rsid w:val="00302DFE"/>
    <w:rsid w:val="00302E04"/>
    <w:rsid w:val="00302E56"/>
    <w:rsid w:val="00303125"/>
    <w:rsid w:val="00303178"/>
    <w:rsid w:val="003031E5"/>
    <w:rsid w:val="00303296"/>
    <w:rsid w:val="0030342E"/>
    <w:rsid w:val="003037F1"/>
    <w:rsid w:val="0030381D"/>
    <w:rsid w:val="0030395A"/>
    <w:rsid w:val="0030398F"/>
    <w:rsid w:val="00303A1F"/>
    <w:rsid w:val="00303E99"/>
    <w:rsid w:val="00303EFB"/>
    <w:rsid w:val="00304079"/>
    <w:rsid w:val="0030428C"/>
    <w:rsid w:val="00304321"/>
    <w:rsid w:val="00304433"/>
    <w:rsid w:val="00304489"/>
    <w:rsid w:val="003046E6"/>
    <w:rsid w:val="0030494F"/>
    <w:rsid w:val="00304A2B"/>
    <w:rsid w:val="00304B27"/>
    <w:rsid w:val="00304BBD"/>
    <w:rsid w:val="00304BC5"/>
    <w:rsid w:val="00304D9D"/>
    <w:rsid w:val="00304DF1"/>
    <w:rsid w:val="00304F2C"/>
    <w:rsid w:val="0030517B"/>
    <w:rsid w:val="003054BA"/>
    <w:rsid w:val="00305521"/>
    <w:rsid w:val="0030583D"/>
    <w:rsid w:val="003059A3"/>
    <w:rsid w:val="00305A88"/>
    <w:rsid w:val="00305B69"/>
    <w:rsid w:val="00305C6F"/>
    <w:rsid w:val="00305C97"/>
    <w:rsid w:val="00305CF5"/>
    <w:rsid w:val="00305DA6"/>
    <w:rsid w:val="00305DBF"/>
    <w:rsid w:val="00305ED7"/>
    <w:rsid w:val="00305F84"/>
    <w:rsid w:val="00306481"/>
    <w:rsid w:val="00306513"/>
    <w:rsid w:val="00306650"/>
    <w:rsid w:val="0030668F"/>
    <w:rsid w:val="0030674D"/>
    <w:rsid w:val="00306AA6"/>
    <w:rsid w:val="00306D36"/>
    <w:rsid w:val="0030710C"/>
    <w:rsid w:val="003071FF"/>
    <w:rsid w:val="00307351"/>
    <w:rsid w:val="003074C1"/>
    <w:rsid w:val="00307796"/>
    <w:rsid w:val="00307A3A"/>
    <w:rsid w:val="00307B2D"/>
    <w:rsid w:val="00307B49"/>
    <w:rsid w:val="00307C04"/>
    <w:rsid w:val="00307D2B"/>
    <w:rsid w:val="00307E96"/>
    <w:rsid w:val="00310366"/>
    <w:rsid w:val="003103A9"/>
    <w:rsid w:val="003104AE"/>
    <w:rsid w:val="00310506"/>
    <w:rsid w:val="003105B9"/>
    <w:rsid w:val="003106B2"/>
    <w:rsid w:val="003106EA"/>
    <w:rsid w:val="003109A2"/>
    <w:rsid w:val="003109AB"/>
    <w:rsid w:val="00310C52"/>
    <w:rsid w:val="00310F38"/>
    <w:rsid w:val="00310F65"/>
    <w:rsid w:val="00311223"/>
    <w:rsid w:val="00311394"/>
    <w:rsid w:val="0031146A"/>
    <w:rsid w:val="00311542"/>
    <w:rsid w:val="003115E6"/>
    <w:rsid w:val="0031171E"/>
    <w:rsid w:val="00311739"/>
    <w:rsid w:val="003119CE"/>
    <w:rsid w:val="003119ED"/>
    <w:rsid w:val="00311A05"/>
    <w:rsid w:val="00311AEB"/>
    <w:rsid w:val="00311CF9"/>
    <w:rsid w:val="00311F6E"/>
    <w:rsid w:val="00312174"/>
    <w:rsid w:val="00312233"/>
    <w:rsid w:val="00312382"/>
    <w:rsid w:val="00312636"/>
    <w:rsid w:val="003126FF"/>
    <w:rsid w:val="00312709"/>
    <w:rsid w:val="00312977"/>
    <w:rsid w:val="00312E58"/>
    <w:rsid w:val="00312E9B"/>
    <w:rsid w:val="00312F74"/>
    <w:rsid w:val="003130E7"/>
    <w:rsid w:val="003131A0"/>
    <w:rsid w:val="003131FD"/>
    <w:rsid w:val="00313326"/>
    <w:rsid w:val="003134A8"/>
    <w:rsid w:val="003135EE"/>
    <w:rsid w:val="00313611"/>
    <w:rsid w:val="00313656"/>
    <w:rsid w:val="00313673"/>
    <w:rsid w:val="00313772"/>
    <w:rsid w:val="003138F6"/>
    <w:rsid w:val="00313A42"/>
    <w:rsid w:val="00313B8A"/>
    <w:rsid w:val="00313CBA"/>
    <w:rsid w:val="00313E10"/>
    <w:rsid w:val="00313F77"/>
    <w:rsid w:val="0031413D"/>
    <w:rsid w:val="00314196"/>
    <w:rsid w:val="003141AB"/>
    <w:rsid w:val="00314342"/>
    <w:rsid w:val="00314427"/>
    <w:rsid w:val="0031467C"/>
    <w:rsid w:val="00314789"/>
    <w:rsid w:val="003147CA"/>
    <w:rsid w:val="003148ED"/>
    <w:rsid w:val="003149DA"/>
    <w:rsid w:val="00314B5A"/>
    <w:rsid w:val="00314C8A"/>
    <w:rsid w:val="00314CF9"/>
    <w:rsid w:val="00314EFB"/>
    <w:rsid w:val="00314F3E"/>
    <w:rsid w:val="00314FE2"/>
    <w:rsid w:val="003151A8"/>
    <w:rsid w:val="00315393"/>
    <w:rsid w:val="003153AE"/>
    <w:rsid w:val="00315424"/>
    <w:rsid w:val="003155CD"/>
    <w:rsid w:val="00315832"/>
    <w:rsid w:val="0031591E"/>
    <w:rsid w:val="00315A9B"/>
    <w:rsid w:val="00315B6F"/>
    <w:rsid w:val="00315B70"/>
    <w:rsid w:val="00315CB8"/>
    <w:rsid w:val="00315F84"/>
    <w:rsid w:val="00315FBD"/>
    <w:rsid w:val="00316105"/>
    <w:rsid w:val="0031619B"/>
    <w:rsid w:val="00316210"/>
    <w:rsid w:val="0031643F"/>
    <w:rsid w:val="00316641"/>
    <w:rsid w:val="003168F7"/>
    <w:rsid w:val="00316A05"/>
    <w:rsid w:val="00316AF3"/>
    <w:rsid w:val="00316AF8"/>
    <w:rsid w:val="00316B30"/>
    <w:rsid w:val="00316C99"/>
    <w:rsid w:val="00316CCD"/>
    <w:rsid w:val="00316E8C"/>
    <w:rsid w:val="00316EC4"/>
    <w:rsid w:val="00316F49"/>
    <w:rsid w:val="00317188"/>
    <w:rsid w:val="00317338"/>
    <w:rsid w:val="0031743B"/>
    <w:rsid w:val="003174C8"/>
    <w:rsid w:val="00317567"/>
    <w:rsid w:val="003178B0"/>
    <w:rsid w:val="00317A5D"/>
    <w:rsid w:val="00317C1A"/>
    <w:rsid w:val="00317CC3"/>
    <w:rsid w:val="00317DD8"/>
    <w:rsid w:val="0032031F"/>
    <w:rsid w:val="003203BE"/>
    <w:rsid w:val="00320889"/>
    <w:rsid w:val="003208CD"/>
    <w:rsid w:val="003209CF"/>
    <w:rsid w:val="00320F23"/>
    <w:rsid w:val="00320F58"/>
    <w:rsid w:val="00320F6D"/>
    <w:rsid w:val="003211E7"/>
    <w:rsid w:val="003211F9"/>
    <w:rsid w:val="00321493"/>
    <w:rsid w:val="003214E4"/>
    <w:rsid w:val="00321820"/>
    <w:rsid w:val="00321894"/>
    <w:rsid w:val="003218DD"/>
    <w:rsid w:val="00321C3C"/>
    <w:rsid w:val="00321CB1"/>
    <w:rsid w:val="00321D45"/>
    <w:rsid w:val="00321D54"/>
    <w:rsid w:val="00321D6F"/>
    <w:rsid w:val="0032204D"/>
    <w:rsid w:val="003220E1"/>
    <w:rsid w:val="003220EE"/>
    <w:rsid w:val="003220F1"/>
    <w:rsid w:val="0032224C"/>
    <w:rsid w:val="0032236C"/>
    <w:rsid w:val="003228EB"/>
    <w:rsid w:val="00322959"/>
    <w:rsid w:val="003229EB"/>
    <w:rsid w:val="00322A17"/>
    <w:rsid w:val="00322AE6"/>
    <w:rsid w:val="00322B7F"/>
    <w:rsid w:val="00322BD1"/>
    <w:rsid w:val="00322FFA"/>
    <w:rsid w:val="00323216"/>
    <w:rsid w:val="00323259"/>
    <w:rsid w:val="003235D6"/>
    <w:rsid w:val="003236CC"/>
    <w:rsid w:val="0032380B"/>
    <w:rsid w:val="00323845"/>
    <w:rsid w:val="003238AB"/>
    <w:rsid w:val="0032392A"/>
    <w:rsid w:val="00323CDF"/>
    <w:rsid w:val="00323E09"/>
    <w:rsid w:val="00323F35"/>
    <w:rsid w:val="00324088"/>
    <w:rsid w:val="00324D92"/>
    <w:rsid w:val="00324DAA"/>
    <w:rsid w:val="00324E2C"/>
    <w:rsid w:val="00324ED1"/>
    <w:rsid w:val="00324FF3"/>
    <w:rsid w:val="00325070"/>
    <w:rsid w:val="00325072"/>
    <w:rsid w:val="0032524D"/>
    <w:rsid w:val="00325393"/>
    <w:rsid w:val="0032550C"/>
    <w:rsid w:val="0032555F"/>
    <w:rsid w:val="00325600"/>
    <w:rsid w:val="00325652"/>
    <w:rsid w:val="00325718"/>
    <w:rsid w:val="003257C4"/>
    <w:rsid w:val="0032596B"/>
    <w:rsid w:val="00325AF6"/>
    <w:rsid w:val="00325B01"/>
    <w:rsid w:val="00325BF3"/>
    <w:rsid w:val="00325C27"/>
    <w:rsid w:val="00325C3B"/>
    <w:rsid w:val="00325CFB"/>
    <w:rsid w:val="00325E86"/>
    <w:rsid w:val="00326071"/>
    <w:rsid w:val="003264A0"/>
    <w:rsid w:val="0032656D"/>
    <w:rsid w:val="0032659A"/>
    <w:rsid w:val="003266C2"/>
    <w:rsid w:val="003269F3"/>
    <w:rsid w:val="00326B9F"/>
    <w:rsid w:val="00326CAA"/>
    <w:rsid w:val="00326D36"/>
    <w:rsid w:val="00326DDC"/>
    <w:rsid w:val="0032711D"/>
    <w:rsid w:val="00327181"/>
    <w:rsid w:val="00327238"/>
    <w:rsid w:val="00327332"/>
    <w:rsid w:val="00327346"/>
    <w:rsid w:val="0032742B"/>
    <w:rsid w:val="003275F3"/>
    <w:rsid w:val="0032761E"/>
    <w:rsid w:val="00327803"/>
    <w:rsid w:val="00327C92"/>
    <w:rsid w:val="00327CF5"/>
    <w:rsid w:val="00327EFC"/>
    <w:rsid w:val="00327F63"/>
    <w:rsid w:val="00330031"/>
    <w:rsid w:val="003300DF"/>
    <w:rsid w:val="003300F0"/>
    <w:rsid w:val="00330123"/>
    <w:rsid w:val="0033015F"/>
    <w:rsid w:val="0033029D"/>
    <w:rsid w:val="003302D5"/>
    <w:rsid w:val="00330408"/>
    <w:rsid w:val="00330550"/>
    <w:rsid w:val="0033082D"/>
    <w:rsid w:val="003309B7"/>
    <w:rsid w:val="00330A74"/>
    <w:rsid w:val="00330AA4"/>
    <w:rsid w:val="00330ADB"/>
    <w:rsid w:val="00330C27"/>
    <w:rsid w:val="0033114D"/>
    <w:rsid w:val="0033115D"/>
    <w:rsid w:val="003313A4"/>
    <w:rsid w:val="003315B9"/>
    <w:rsid w:val="00331876"/>
    <w:rsid w:val="00331C31"/>
    <w:rsid w:val="00331C44"/>
    <w:rsid w:val="00331CC2"/>
    <w:rsid w:val="00331CF8"/>
    <w:rsid w:val="00331D8A"/>
    <w:rsid w:val="00332193"/>
    <w:rsid w:val="0033226A"/>
    <w:rsid w:val="00332387"/>
    <w:rsid w:val="003323BC"/>
    <w:rsid w:val="0033248B"/>
    <w:rsid w:val="00332526"/>
    <w:rsid w:val="003325DD"/>
    <w:rsid w:val="00332667"/>
    <w:rsid w:val="0033280B"/>
    <w:rsid w:val="00332851"/>
    <w:rsid w:val="0033292E"/>
    <w:rsid w:val="003329E4"/>
    <w:rsid w:val="00332A4D"/>
    <w:rsid w:val="00332C4E"/>
    <w:rsid w:val="00332D0C"/>
    <w:rsid w:val="00332DBB"/>
    <w:rsid w:val="00332E3D"/>
    <w:rsid w:val="003333B1"/>
    <w:rsid w:val="003333D5"/>
    <w:rsid w:val="00333663"/>
    <w:rsid w:val="003337FF"/>
    <w:rsid w:val="003339EB"/>
    <w:rsid w:val="00333D2B"/>
    <w:rsid w:val="00333DF1"/>
    <w:rsid w:val="003340E7"/>
    <w:rsid w:val="00334157"/>
    <w:rsid w:val="003341AB"/>
    <w:rsid w:val="003342E6"/>
    <w:rsid w:val="00334328"/>
    <w:rsid w:val="00334405"/>
    <w:rsid w:val="003344B9"/>
    <w:rsid w:val="00334A63"/>
    <w:rsid w:val="00334C0D"/>
    <w:rsid w:val="00334D33"/>
    <w:rsid w:val="00334DDA"/>
    <w:rsid w:val="00334F12"/>
    <w:rsid w:val="00334F51"/>
    <w:rsid w:val="00334F69"/>
    <w:rsid w:val="003350BB"/>
    <w:rsid w:val="00335156"/>
    <w:rsid w:val="0033517C"/>
    <w:rsid w:val="003351B0"/>
    <w:rsid w:val="00335260"/>
    <w:rsid w:val="00335317"/>
    <w:rsid w:val="0033531E"/>
    <w:rsid w:val="0033542A"/>
    <w:rsid w:val="003354B6"/>
    <w:rsid w:val="0033560A"/>
    <w:rsid w:val="0033572F"/>
    <w:rsid w:val="00335934"/>
    <w:rsid w:val="0033599E"/>
    <w:rsid w:val="003359CB"/>
    <w:rsid w:val="00335B29"/>
    <w:rsid w:val="00335C67"/>
    <w:rsid w:val="00335C6F"/>
    <w:rsid w:val="00335CE5"/>
    <w:rsid w:val="00335D60"/>
    <w:rsid w:val="00335DE2"/>
    <w:rsid w:val="00335DF3"/>
    <w:rsid w:val="00335F91"/>
    <w:rsid w:val="00336123"/>
    <w:rsid w:val="00336164"/>
    <w:rsid w:val="00336336"/>
    <w:rsid w:val="00336416"/>
    <w:rsid w:val="00336420"/>
    <w:rsid w:val="0033646A"/>
    <w:rsid w:val="00336512"/>
    <w:rsid w:val="003366FF"/>
    <w:rsid w:val="00336863"/>
    <w:rsid w:val="00336954"/>
    <w:rsid w:val="003369C1"/>
    <w:rsid w:val="00336A74"/>
    <w:rsid w:val="00336FAF"/>
    <w:rsid w:val="00337186"/>
    <w:rsid w:val="003374E8"/>
    <w:rsid w:val="003375E0"/>
    <w:rsid w:val="003378AD"/>
    <w:rsid w:val="00337971"/>
    <w:rsid w:val="00337B2D"/>
    <w:rsid w:val="00337B5A"/>
    <w:rsid w:val="00337C0D"/>
    <w:rsid w:val="00337EAD"/>
    <w:rsid w:val="00337F49"/>
    <w:rsid w:val="00340022"/>
    <w:rsid w:val="003400BF"/>
    <w:rsid w:val="003400C0"/>
    <w:rsid w:val="003401D1"/>
    <w:rsid w:val="00340276"/>
    <w:rsid w:val="003402D6"/>
    <w:rsid w:val="003404B5"/>
    <w:rsid w:val="003405BA"/>
    <w:rsid w:val="00340791"/>
    <w:rsid w:val="003407C4"/>
    <w:rsid w:val="00340857"/>
    <w:rsid w:val="00340882"/>
    <w:rsid w:val="003408BD"/>
    <w:rsid w:val="003409C0"/>
    <w:rsid w:val="00340DF3"/>
    <w:rsid w:val="00340F45"/>
    <w:rsid w:val="00341062"/>
    <w:rsid w:val="003411CA"/>
    <w:rsid w:val="003411F0"/>
    <w:rsid w:val="0034135F"/>
    <w:rsid w:val="003413F5"/>
    <w:rsid w:val="0034152A"/>
    <w:rsid w:val="003415A6"/>
    <w:rsid w:val="0034175D"/>
    <w:rsid w:val="00341B5E"/>
    <w:rsid w:val="00341C00"/>
    <w:rsid w:val="00341D31"/>
    <w:rsid w:val="00341DB5"/>
    <w:rsid w:val="00341E7E"/>
    <w:rsid w:val="003420B7"/>
    <w:rsid w:val="003420FD"/>
    <w:rsid w:val="00342200"/>
    <w:rsid w:val="00342371"/>
    <w:rsid w:val="0034238C"/>
    <w:rsid w:val="00342645"/>
    <w:rsid w:val="0034273E"/>
    <w:rsid w:val="003428E8"/>
    <w:rsid w:val="003428E9"/>
    <w:rsid w:val="00342BA7"/>
    <w:rsid w:val="00342BB9"/>
    <w:rsid w:val="00342D41"/>
    <w:rsid w:val="00342E67"/>
    <w:rsid w:val="00342F1C"/>
    <w:rsid w:val="00343289"/>
    <w:rsid w:val="003432C1"/>
    <w:rsid w:val="003432F9"/>
    <w:rsid w:val="003433CC"/>
    <w:rsid w:val="00343683"/>
    <w:rsid w:val="00343731"/>
    <w:rsid w:val="003437CB"/>
    <w:rsid w:val="00343925"/>
    <w:rsid w:val="00343AF2"/>
    <w:rsid w:val="00343AFC"/>
    <w:rsid w:val="00343C19"/>
    <w:rsid w:val="00343C35"/>
    <w:rsid w:val="00343E73"/>
    <w:rsid w:val="00343F5E"/>
    <w:rsid w:val="00343FD5"/>
    <w:rsid w:val="00343FF2"/>
    <w:rsid w:val="00344359"/>
    <w:rsid w:val="003447C2"/>
    <w:rsid w:val="003449E9"/>
    <w:rsid w:val="00344C65"/>
    <w:rsid w:val="00344D61"/>
    <w:rsid w:val="00344E3A"/>
    <w:rsid w:val="00344EA5"/>
    <w:rsid w:val="00344EDF"/>
    <w:rsid w:val="003450D2"/>
    <w:rsid w:val="00345274"/>
    <w:rsid w:val="003452AA"/>
    <w:rsid w:val="0034530B"/>
    <w:rsid w:val="003454EC"/>
    <w:rsid w:val="00345513"/>
    <w:rsid w:val="00345576"/>
    <w:rsid w:val="00345631"/>
    <w:rsid w:val="003457F4"/>
    <w:rsid w:val="0034589E"/>
    <w:rsid w:val="00345B9B"/>
    <w:rsid w:val="00345BDC"/>
    <w:rsid w:val="00345C17"/>
    <w:rsid w:val="00345E1D"/>
    <w:rsid w:val="00345F07"/>
    <w:rsid w:val="003462AF"/>
    <w:rsid w:val="00346571"/>
    <w:rsid w:val="003465F6"/>
    <w:rsid w:val="003466B7"/>
    <w:rsid w:val="003468A4"/>
    <w:rsid w:val="003468C8"/>
    <w:rsid w:val="00346950"/>
    <w:rsid w:val="00346E98"/>
    <w:rsid w:val="00346EB0"/>
    <w:rsid w:val="00346F19"/>
    <w:rsid w:val="00346FC3"/>
    <w:rsid w:val="00347048"/>
    <w:rsid w:val="0034709C"/>
    <w:rsid w:val="0034722D"/>
    <w:rsid w:val="00347522"/>
    <w:rsid w:val="003477E5"/>
    <w:rsid w:val="00347844"/>
    <w:rsid w:val="00347ABE"/>
    <w:rsid w:val="00347D91"/>
    <w:rsid w:val="00347EA5"/>
    <w:rsid w:val="00347EB4"/>
    <w:rsid w:val="00347ECE"/>
    <w:rsid w:val="00347ED2"/>
    <w:rsid w:val="00350137"/>
    <w:rsid w:val="00350243"/>
    <w:rsid w:val="00350287"/>
    <w:rsid w:val="0035029F"/>
    <w:rsid w:val="0035031C"/>
    <w:rsid w:val="00350380"/>
    <w:rsid w:val="00350417"/>
    <w:rsid w:val="0035066F"/>
    <w:rsid w:val="00350770"/>
    <w:rsid w:val="003509AB"/>
    <w:rsid w:val="00350CFC"/>
    <w:rsid w:val="00350DEC"/>
    <w:rsid w:val="00350DF8"/>
    <w:rsid w:val="00350F18"/>
    <w:rsid w:val="00351038"/>
    <w:rsid w:val="003511F4"/>
    <w:rsid w:val="0035130D"/>
    <w:rsid w:val="00351419"/>
    <w:rsid w:val="003514FB"/>
    <w:rsid w:val="00351650"/>
    <w:rsid w:val="003518C8"/>
    <w:rsid w:val="00351934"/>
    <w:rsid w:val="00351A55"/>
    <w:rsid w:val="00351B0C"/>
    <w:rsid w:val="00351B4A"/>
    <w:rsid w:val="00351BC3"/>
    <w:rsid w:val="00351E90"/>
    <w:rsid w:val="00351EFF"/>
    <w:rsid w:val="00351F6F"/>
    <w:rsid w:val="00351F79"/>
    <w:rsid w:val="003527F1"/>
    <w:rsid w:val="00352930"/>
    <w:rsid w:val="00352C33"/>
    <w:rsid w:val="00352D89"/>
    <w:rsid w:val="0035304F"/>
    <w:rsid w:val="00353225"/>
    <w:rsid w:val="003533A8"/>
    <w:rsid w:val="0035351E"/>
    <w:rsid w:val="003535BE"/>
    <w:rsid w:val="0035361A"/>
    <w:rsid w:val="00353630"/>
    <w:rsid w:val="0035363A"/>
    <w:rsid w:val="0035368C"/>
    <w:rsid w:val="0035385D"/>
    <w:rsid w:val="0035396C"/>
    <w:rsid w:val="00353A84"/>
    <w:rsid w:val="00353A95"/>
    <w:rsid w:val="00353B1E"/>
    <w:rsid w:val="00353B2E"/>
    <w:rsid w:val="00353B5A"/>
    <w:rsid w:val="00353CB8"/>
    <w:rsid w:val="00353E54"/>
    <w:rsid w:val="00353F43"/>
    <w:rsid w:val="003540CA"/>
    <w:rsid w:val="00354161"/>
    <w:rsid w:val="00354362"/>
    <w:rsid w:val="003544F5"/>
    <w:rsid w:val="0035450E"/>
    <w:rsid w:val="0035462B"/>
    <w:rsid w:val="0035463C"/>
    <w:rsid w:val="0035464F"/>
    <w:rsid w:val="00354671"/>
    <w:rsid w:val="003547E7"/>
    <w:rsid w:val="00354C0C"/>
    <w:rsid w:val="00354D31"/>
    <w:rsid w:val="00354E8A"/>
    <w:rsid w:val="003550B3"/>
    <w:rsid w:val="0035518A"/>
    <w:rsid w:val="003551DF"/>
    <w:rsid w:val="0035523E"/>
    <w:rsid w:val="00355426"/>
    <w:rsid w:val="00355549"/>
    <w:rsid w:val="0035567C"/>
    <w:rsid w:val="00355688"/>
    <w:rsid w:val="003556C3"/>
    <w:rsid w:val="00355911"/>
    <w:rsid w:val="00355997"/>
    <w:rsid w:val="00355A70"/>
    <w:rsid w:val="00355C21"/>
    <w:rsid w:val="00355C32"/>
    <w:rsid w:val="00355CAE"/>
    <w:rsid w:val="00355E3A"/>
    <w:rsid w:val="00355E81"/>
    <w:rsid w:val="00356040"/>
    <w:rsid w:val="00356278"/>
    <w:rsid w:val="003562FE"/>
    <w:rsid w:val="003563C5"/>
    <w:rsid w:val="003563D8"/>
    <w:rsid w:val="003564C4"/>
    <w:rsid w:val="003565E1"/>
    <w:rsid w:val="00356B0B"/>
    <w:rsid w:val="00356BC1"/>
    <w:rsid w:val="00356BDD"/>
    <w:rsid w:val="00356C95"/>
    <w:rsid w:val="0035704E"/>
    <w:rsid w:val="003570A1"/>
    <w:rsid w:val="003570FF"/>
    <w:rsid w:val="00357173"/>
    <w:rsid w:val="003571A1"/>
    <w:rsid w:val="0035722A"/>
    <w:rsid w:val="00357512"/>
    <w:rsid w:val="003576A8"/>
    <w:rsid w:val="00357810"/>
    <w:rsid w:val="00357833"/>
    <w:rsid w:val="0035795A"/>
    <w:rsid w:val="003579DB"/>
    <w:rsid w:val="003579FF"/>
    <w:rsid w:val="00357A53"/>
    <w:rsid w:val="00357F27"/>
    <w:rsid w:val="00357F6A"/>
    <w:rsid w:val="00360082"/>
    <w:rsid w:val="00360265"/>
    <w:rsid w:val="00360341"/>
    <w:rsid w:val="003606FB"/>
    <w:rsid w:val="00360803"/>
    <w:rsid w:val="00360866"/>
    <w:rsid w:val="003608C4"/>
    <w:rsid w:val="00360B38"/>
    <w:rsid w:val="00360D15"/>
    <w:rsid w:val="00360E8E"/>
    <w:rsid w:val="00360EB9"/>
    <w:rsid w:val="00360FD9"/>
    <w:rsid w:val="0036128D"/>
    <w:rsid w:val="0036135F"/>
    <w:rsid w:val="0036156D"/>
    <w:rsid w:val="003615D2"/>
    <w:rsid w:val="0036160E"/>
    <w:rsid w:val="00361868"/>
    <w:rsid w:val="00361894"/>
    <w:rsid w:val="003618D4"/>
    <w:rsid w:val="0036194C"/>
    <w:rsid w:val="00361BF9"/>
    <w:rsid w:val="00361FA2"/>
    <w:rsid w:val="0036203C"/>
    <w:rsid w:val="00362080"/>
    <w:rsid w:val="003621E4"/>
    <w:rsid w:val="003622D1"/>
    <w:rsid w:val="0036236C"/>
    <w:rsid w:val="00362467"/>
    <w:rsid w:val="00362639"/>
    <w:rsid w:val="00362810"/>
    <w:rsid w:val="00362A2C"/>
    <w:rsid w:val="00362A2E"/>
    <w:rsid w:val="00362BF9"/>
    <w:rsid w:val="003634BE"/>
    <w:rsid w:val="00363706"/>
    <w:rsid w:val="0036378F"/>
    <w:rsid w:val="003639E2"/>
    <w:rsid w:val="00363A3F"/>
    <w:rsid w:val="00363A9F"/>
    <w:rsid w:val="00363CCC"/>
    <w:rsid w:val="00363DD8"/>
    <w:rsid w:val="00363F24"/>
    <w:rsid w:val="00364223"/>
    <w:rsid w:val="0036425E"/>
    <w:rsid w:val="003644E1"/>
    <w:rsid w:val="00364701"/>
    <w:rsid w:val="00364988"/>
    <w:rsid w:val="00364B4F"/>
    <w:rsid w:val="00364D50"/>
    <w:rsid w:val="00364DF1"/>
    <w:rsid w:val="00364E46"/>
    <w:rsid w:val="00364FA2"/>
    <w:rsid w:val="0036506F"/>
    <w:rsid w:val="003653D1"/>
    <w:rsid w:val="003656CB"/>
    <w:rsid w:val="00365737"/>
    <w:rsid w:val="00365938"/>
    <w:rsid w:val="003659A6"/>
    <w:rsid w:val="00365A49"/>
    <w:rsid w:val="00365CB3"/>
    <w:rsid w:val="00365CC5"/>
    <w:rsid w:val="00365ED4"/>
    <w:rsid w:val="003660BE"/>
    <w:rsid w:val="0036621E"/>
    <w:rsid w:val="003662FA"/>
    <w:rsid w:val="00366512"/>
    <w:rsid w:val="00366834"/>
    <w:rsid w:val="0036687A"/>
    <w:rsid w:val="00366A72"/>
    <w:rsid w:val="00366AAD"/>
    <w:rsid w:val="00366C4B"/>
    <w:rsid w:val="00366EB2"/>
    <w:rsid w:val="00367229"/>
    <w:rsid w:val="00367418"/>
    <w:rsid w:val="00367532"/>
    <w:rsid w:val="003678BC"/>
    <w:rsid w:val="0036796C"/>
    <w:rsid w:val="00367A9B"/>
    <w:rsid w:val="00367BDC"/>
    <w:rsid w:val="00367E61"/>
    <w:rsid w:val="00367F12"/>
    <w:rsid w:val="0037000C"/>
    <w:rsid w:val="00370049"/>
    <w:rsid w:val="00370371"/>
    <w:rsid w:val="0037048B"/>
    <w:rsid w:val="00370493"/>
    <w:rsid w:val="00370689"/>
    <w:rsid w:val="00370A31"/>
    <w:rsid w:val="00370A5F"/>
    <w:rsid w:val="00370E0F"/>
    <w:rsid w:val="00370E82"/>
    <w:rsid w:val="00370F34"/>
    <w:rsid w:val="00370F41"/>
    <w:rsid w:val="00371127"/>
    <w:rsid w:val="003712B7"/>
    <w:rsid w:val="00371368"/>
    <w:rsid w:val="00371714"/>
    <w:rsid w:val="00371716"/>
    <w:rsid w:val="00371830"/>
    <w:rsid w:val="0037196E"/>
    <w:rsid w:val="00371973"/>
    <w:rsid w:val="00371B93"/>
    <w:rsid w:val="00371C0E"/>
    <w:rsid w:val="00371DF2"/>
    <w:rsid w:val="00371F45"/>
    <w:rsid w:val="003720CB"/>
    <w:rsid w:val="003721CD"/>
    <w:rsid w:val="00372239"/>
    <w:rsid w:val="0037232A"/>
    <w:rsid w:val="00372475"/>
    <w:rsid w:val="003724C1"/>
    <w:rsid w:val="00372640"/>
    <w:rsid w:val="00372663"/>
    <w:rsid w:val="003727E2"/>
    <w:rsid w:val="00372C8A"/>
    <w:rsid w:val="00372D18"/>
    <w:rsid w:val="00372DC1"/>
    <w:rsid w:val="00372E04"/>
    <w:rsid w:val="00372EFF"/>
    <w:rsid w:val="00373099"/>
    <w:rsid w:val="003731E6"/>
    <w:rsid w:val="00373365"/>
    <w:rsid w:val="0037339F"/>
    <w:rsid w:val="003734E9"/>
    <w:rsid w:val="00373698"/>
    <w:rsid w:val="003736E1"/>
    <w:rsid w:val="00373714"/>
    <w:rsid w:val="0037379B"/>
    <w:rsid w:val="00373837"/>
    <w:rsid w:val="00373867"/>
    <w:rsid w:val="00373949"/>
    <w:rsid w:val="00373965"/>
    <w:rsid w:val="00373AA2"/>
    <w:rsid w:val="00373B27"/>
    <w:rsid w:val="00373B56"/>
    <w:rsid w:val="00373D30"/>
    <w:rsid w:val="00373ECB"/>
    <w:rsid w:val="00373FC7"/>
    <w:rsid w:val="0037404C"/>
    <w:rsid w:val="0037410F"/>
    <w:rsid w:val="00374142"/>
    <w:rsid w:val="0037415F"/>
    <w:rsid w:val="003741D5"/>
    <w:rsid w:val="003742E9"/>
    <w:rsid w:val="00374533"/>
    <w:rsid w:val="00374582"/>
    <w:rsid w:val="0037459C"/>
    <w:rsid w:val="003745AB"/>
    <w:rsid w:val="003745B6"/>
    <w:rsid w:val="003747FE"/>
    <w:rsid w:val="00374916"/>
    <w:rsid w:val="00374ABA"/>
    <w:rsid w:val="00374D25"/>
    <w:rsid w:val="00374DCA"/>
    <w:rsid w:val="00374E03"/>
    <w:rsid w:val="00375030"/>
    <w:rsid w:val="0037506E"/>
    <w:rsid w:val="00375075"/>
    <w:rsid w:val="00375372"/>
    <w:rsid w:val="003753A4"/>
    <w:rsid w:val="003753F0"/>
    <w:rsid w:val="00375450"/>
    <w:rsid w:val="0037546C"/>
    <w:rsid w:val="003754FA"/>
    <w:rsid w:val="003755F9"/>
    <w:rsid w:val="003756DE"/>
    <w:rsid w:val="003756E5"/>
    <w:rsid w:val="003757EF"/>
    <w:rsid w:val="00375802"/>
    <w:rsid w:val="003759B0"/>
    <w:rsid w:val="00375A31"/>
    <w:rsid w:val="00375C02"/>
    <w:rsid w:val="00375C35"/>
    <w:rsid w:val="00375CB9"/>
    <w:rsid w:val="00375E4A"/>
    <w:rsid w:val="00375EF9"/>
    <w:rsid w:val="00375F79"/>
    <w:rsid w:val="00375F86"/>
    <w:rsid w:val="00376034"/>
    <w:rsid w:val="00376100"/>
    <w:rsid w:val="0037629D"/>
    <w:rsid w:val="00376745"/>
    <w:rsid w:val="003769A5"/>
    <w:rsid w:val="00376A50"/>
    <w:rsid w:val="00376AB8"/>
    <w:rsid w:val="00376D5A"/>
    <w:rsid w:val="00377052"/>
    <w:rsid w:val="0037713E"/>
    <w:rsid w:val="00377399"/>
    <w:rsid w:val="003773ED"/>
    <w:rsid w:val="0037756E"/>
    <w:rsid w:val="003775EC"/>
    <w:rsid w:val="003776C4"/>
    <w:rsid w:val="00377923"/>
    <w:rsid w:val="00377B40"/>
    <w:rsid w:val="00377B5B"/>
    <w:rsid w:val="00377BF9"/>
    <w:rsid w:val="00377DA5"/>
    <w:rsid w:val="00380051"/>
    <w:rsid w:val="003800C6"/>
    <w:rsid w:val="00380144"/>
    <w:rsid w:val="003802FE"/>
    <w:rsid w:val="0038030B"/>
    <w:rsid w:val="00380371"/>
    <w:rsid w:val="003804F6"/>
    <w:rsid w:val="00380688"/>
    <w:rsid w:val="00380A85"/>
    <w:rsid w:val="00380A88"/>
    <w:rsid w:val="00380A8F"/>
    <w:rsid w:val="00380AD9"/>
    <w:rsid w:val="00380B51"/>
    <w:rsid w:val="00380C5D"/>
    <w:rsid w:val="00381099"/>
    <w:rsid w:val="00381222"/>
    <w:rsid w:val="003812B3"/>
    <w:rsid w:val="00381317"/>
    <w:rsid w:val="003814C0"/>
    <w:rsid w:val="003815E1"/>
    <w:rsid w:val="00381651"/>
    <w:rsid w:val="0038172B"/>
    <w:rsid w:val="00381885"/>
    <w:rsid w:val="003819AC"/>
    <w:rsid w:val="003819FD"/>
    <w:rsid w:val="00381A00"/>
    <w:rsid w:val="00381A57"/>
    <w:rsid w:val="00381BEB"/>
    <w:rsid w:val="00382046"/>
    <w:rsid w:val="0038253C"/>
    <w:rsid w:val="003825F4"/>
    <w:rsid w:val="00382698"/>
    <w:rsid w:val="003827BC"/>
    <w:rsid w:val="003828B3"/>
    <w:rsid w:val="003829D8"/>
    <w:rsid w:val="00382BE9"/>
    <w:rsid w:val="00382E95"/>
    <w:rsid w:val="00383040"/>
    <w:rsid w:val="003831E8"/>
    <w:rsid w:val="00383268"/>
    <w:rsid w:val="00383544"/>
    <w:rsid w:val="0038358E"/>
    <w:rsid w:val="003835AC"/>
    <w:rsid w:val="0038360F"/>
    <w:rsid w:val="003837C2"/>
    <w:rsid w:val="003839FA"/>
    <w:rsid w:val="00383A36"/>
    <w:rsid w:val="00383A63"/>
    <w:rsid w:val="00383B5C"/>
    <w:rsid w:val="00383C51"/>
    <w:rsid w:val="00383D98"/>
    <w:rsid w:val="00384046"/>
    <w:rsid w:val="00384474"/>
    <w:rsid w:val="0038474B"/>
    <w:rsid w:val="00384891"/>
    <w:rsid w:val="00384958"/>
    <w:rsid w:val="00384B1D"/>
    <w:rsid w:val="003851B2"/>
    <w:rsid w:val="003853F8"/>
    <w:rsid w:val="00385552"/>
    <w:rsid w:val="0038557E"/>
    <w:rsid w:val="00385586"/>
    <w:rsid w:val="0038599A"/>
    <w:rsid w:val="003859E1"/>
    <w:rsid w:val="00385BF3"/>
    <w:rsid w:val="00385CAC"/>
    <w:rsid w:val="00385CEA"/>
    <w:rsid w:val="00385D24"/>
    <w:rsid w:val="00385E93"/>
    <w:rsid w:val="00385EEF"/>
    <w:rsid w:val="00386105"/>
    <w:rsid w:val="003863F9"/>
    <w:rsid w:val="003865B1"/>
    <w:rsid w:val="0038661F"/>
    <w:rsid w:val="00386625"/>
    <w:rsid w:val="0038681C"/>
    <w:rsid w:val="00386F2B"/>
    <w:rsid w:val="00386FEB"/>
    <w:rsid w:val="00386FF8"/>
    <w:rsid w:val="00387047"/>
    <w:rsid w:val="0038722F"/>
    <w:rsid w:val="003872A1"/>
    <w:rsid w:val="003877A4"/>
    <w:rsid w:val="003877D4"/>
    <w:rsid w:val="00387817"/>
    <w:rsid w:val="003879F2"/>
    <w:rsid w:val="00387A29"/>
    <w:rsid w:val="00387F7D"/>
    <w:rsid w:val="003900D3"/>
    <w:rsid w:val="00390173"/>
    <w:rsid w:val="003901A7"/>
    <w:rsid w:val="0039037D"/>
    <w:rsid w:val="003903D7"/>
    <w:rsid w:val="00390686"/>
    <w:rsid w:val="003906D0"/>
    <w:rsid w:val="003907A9"/>
    <w:rsid w:val="003907CE"/>
    <w:rsid w:val="00390871"/>
    <w:rsid w:val="003908EC"/>
    <w:rsid w:val="00390993"/>
    <w:rsid w:val="00390A51"/>
    <w:rsid w:val="00390DE0"/>
    <w:rsid w:val="003911DA"/>
    <w:rsid w:val="003913EA"/>
    <w:rsid w:val="0039140A"/>
    <w:rsid w:val="00391610"/>
    <w:rsid w:val="00391650"/>
    <w:rsid w:val="00391782"/>
    <w:rsid w:val="0039186D"/>
    <w:rsid w:val="003918A5"/>
    <w:rsid w:val="00391A72"/>
    <w:rsid w:val="00391B6F"/>
    <w:rsid w:val="00391BB7"/>
    <w:rsid w:val="00391BE1"/>
    <w:rsid w:val="00391D30"/>
    <w:rsid w:val="00391EC6"/>
    <w:rsid w:val="003920B4"/>
    <w:rsid w:val="003922D4"/>
    <w:rsid w:val="0039242A"/>
    <w:rsid w:val="0039247C"/>
    <w:rsid w:val="00392548"/>
    <w:rsid w:val="0039260D"/>
    <w:rsid w:val="003926A7"/>
    <w:rsid w:val="00392A68"/>
    <w:rsid w:val="00392CB2"/>
    <w:rsid w:val="00392E91"/>
    <w:rsid w:val="0039314E"/>
    <w:rsid w:val="00393444"/>
    <w:rsid w:val="003934F8"/>
    <w:rsid w:val="00393518"/>
    <w:rsid w:val="003936FE"/>
    <w:rsid w:val="00393789"/>
    <w:rsid w:val="00393828"/>
    <w:rsid w:val="0039398C"/>
    <w:rsid w:val="00393B25"/>
    <w:rsid w:val="00393E20"/>
    <w:rsid w:val="00394262"/>
    <w:rsid w:val="00394293"/>
    <w:rsid w:val="003942DA"/>
    <w:rsid w:val="00394481"/>
    <w:rsid w:val="00394612"/>
    <w:rsid w:val="00394754"/>
    <w:rsid w:val="00394921"/>
    <w:rsid w:val="00394A85"/>
    <w:rsid w:val="00394B2D"/>
    <w:rsid w:val="00394E1C"/>
    <w:rsid w:val="00394E4B"/>
    <w:rsid w:val="00394F63"/>
    <w:rsid w:val="00395180"/>
    <w:rsid w:val="00395879"/>
    <w:rsid w:val="00395973"/>
    <w:rsid w:val="00395A58"/>
    <w:rsid w:val="00395B78"/>
    <w:rsid w:val="00395D8D"/>
    <w:rsid w:val="00395DBE"/>
    <w:rsid w:val="00395F8E"/>
    <w:rsid w:val="00395F90"/>
    <w:rsid w:val="00395FD6"/>
    <w:rsid w:val="0039600D"/>
    <w:rsid w:val="00396085"/>
    <w:rsid w:val="003960F8"/>
    <w:rsid w:val="003960FE"/>
    <w:rsid w:val="003961E3"/>
    <w:rsid w:val="00396488"/>
    <w:rsid w:val="00396494"/>
    <w:rsid w:val="003964B3"/>
    <w:rsid w:val="00396561"/>
    <w:rsid w:val="003965BF"/>
    <w:rsid w:val="00396736"/>
    <w:rsid w:val="003967DD"/>
    <w:rsid w:val="00396802"/>
    <w:rsid w:val="00396A37"/>
    <w:rsid w:val="00396B9A"/>
    <w:rsid w:val="00396BEC"/>
    <w:rsid w:val="00396EB0"/>
    <w:rsid w:val="00396F90"/>
    <w:rsid w:val="00397050"/>
    <w:rsid w:val="0039706E"/>
    <w:rsid w:val="0039716B"/>
    <w:rsid w:val="00397204"/>
    <w:rsid w:val="0039739B"/>
    <w:rsid w:val="003973D5"/>
    <w:rsid w:val="00397404"/>
    <w:rsid w:val="00397447"/>
    <w:rsid w:val="003974DB"/>
    <w:rsid w:val="003974DE"/>
    <w:rsid w:val="003975CE"/>
    <w:rsid w:val="0039765F"/>
    <w:rsid w:val="003978DA"/>
    <w:rsid w:val="00397A7D"/>
    <w:rsid w:val="00397DD8"/>
    <w:rsid w:val="00397E11"/>
    <w:rsid w:val="00397EE2"/>
    <w:rsid w:val="00397EFB"/>
    <w:rsid w:val="003A01C9"/>
    <w:rsid w:val="003A0217"/>
    <w:rsid w:val="003A03D3"/>
    <w:rsid w:val="003A0642"/>
    <w:rsid w:val="003A0779"/>
    <w:rsid w:val="003A085E"/>
    <w:rsid w:val="003A087D"/>
    <w:rsid w:val="003A08BE"/>
    <w:rsid w:val="003A0931"/>
    <w:rsid w:val="003A09F3"/>
    <w:rsid w:val="003A0B4A"/>
    <w:rsid w:val="003A0C12"/>
    <w:rsid w:val="003A0CB7"/>
    <w:rsid w:val="003A0F96"/>
    <w:rsid w:val="003A0FDC"/>
    <w:rsid w:val="003A1316"/>
    <w:rsid w:val="003A15DA"/>
    <w:rsid w:val="003A15E6"/>
    <w:rsid w:val="003A17B4"/>
    <w:rsid w:val="003A1806"/>
    <w:rsid w:val="003A1885"/>
    <w:rsid w:val="003A1A47"/>
    <w:rsid w:val="003A1DD6"/>
    <w:rsid w:val="003A228A"/>
    <w:rsid w:val="003A2320"/>
    <w:rsid w:val="003A258A"/>
    <w:rsid w:val="003A27AC"/>
    <w:rsid w:val="003A2B6A"/>
    <w:rsid w:val="003A2CBB"/>
    <w:rsid w:val="003A2D32"/>
    <w:rsid w:val="003A2D9F"/>
    <w:rsid w:val="003A307C"/>
    <w:rsid w:val="003A30BB"/>
    <w:rsid w:val="003A31D6"/>
    <w:rsid w:val="003A323B"/>
    <w:rsid w:val="003A3245"/>
    <w:rsid w:val="003A33BC"/>
    <w:rsid w:val="003A3443"/>
    <w:rsid w:val="003A35FC"/>
    <w:rsid w:val="003A3628"/>
    <w:rsid w:val="003A36EE"/>
    <w:rsid w:val="003A3ADD"/>
    <w:rsid w:val="003A3DA4"/>
    <w:rsid w:val="003A3F71"/>
    <w:rsid w:val="003A411E"/>
    <w:rsid w:val="003A4166"/>
    <w:rsid w:val="003A41CE"/>
    <w:rsid w:val="003A430F"/>
    <w:rsid w:val="003A4319"/>
    <w:rsid w:val="003A4859"/>
    <w:rsid w:val="003A48C0"/>
    <w:rsid w:val="003A49BC"/>
    <w:rsid w:val="003A4A86"/>
    <w:rsid w:val="003A4E4D"/>
    <w:rsid w:val="003A4F66"/>
    <w:rsid w:val="003A4FDA"/>
    <w:rsid w:val="003A5090"/>
    <w:rsid w:val="003A528D"/>
    <w:rsid w:val="003A52ED"/>
    <w:rsid w:val="003A541D"/>
    <w:rsid w:val="003A5709"/>
    <w:rsid w:val="003A5718"/>
    <w:rsid w:val="003A5992"/>
    <w:rsid w:val="003A5A02"/>
    <w:rsid w:val="003A5AC9"/>
    <w:rsid w:val="003A5BFE"/>
    <w:rsid w:val="003A5E3E"/>
    <w:rsid w:val="003A5E40"/>
    <w:rsid w:val="003A5E63"/>
    <w:rsid w:val="003A5EF8"/>
    <w:rsid w:val="003A5F6A"/>
    <w:rsid w:val="003A60F6"/>
    <w:rsid w:val="003A6259"/>
    <w:rsid w:val="003A62CC"/>
    <w:rsid w:val="003A6365"/>
    <w:rsid w:val="003A658F"/>
    <w:rsid w:val="003A65B5"/>
    <w:rsid w:val="003A6717"/>
    <w:rsid w:val="003A6737"/>
    <w:rsid w:val="003A681F"/>
    <w:rsid w:val="003A6829"/>
    <w:rsid w:val="003A6E00"/>
    <w:rsid w:val="003A6E3E"/>
    <w:rsid w:val="003A6FA6"/>
    <w:rsid w:val="003A705C"/>
    <w:rsid w:val="003A70C6"/>
    <w:rsid w:val="003A70C9"/>
    <w:rsid w:val="003A71B1"/>
    <w:rsid w:val="003A741E"/>
    <w:rsid w:val="003A7481"/>
    <w:rsid w:val="003A7689"/>
    <w:rsid w:val="003A7746"/>
    <w:rsid w:val="003A79C0"/>
    <w:rsid w:val="003A7ACB"/>
    <w:rsid w:val="003A7D9C"/>
    <w:rsid w:val="003A7E61"/>
    <w:rsid w:val="003A7FF1"/>
    <w:rsid w:val="003B01E3"/>
    <w:rsid w:val="003B0210"/>
    <w:rsid w:val="003B078D"/>
    <w:rsid w:val="003B0BC1"/>
    <w:rsid w:val="003B0DD5"/>
    <w:rsid w:val="003B0DE4"/>
    <w:rsid w:val="003B0EBC"/>
    <w:rsid w:val="003B0EE3"/>
    <w:rsid w:val="003B0EF0"/>
    <w:rsid w:val="003B108E"/>
    <w:rsid w:val="003B1461"/>
    <w:rsid w:val="003B1496"/>
    <w:rsid w:val="003B1652"/>
    <w:rsid w:val="003B1A6C"/>
    <w:rsid w:val="003B1EB6"/>
    <w:rsid w:val="003B2120"/>
    <w:rsid w:val="003B21C2"/>
    <w:rsid w:val="003B21DE"/>
    <w:rsid w:val="003B26EF"/>
    <w:rsid w:val="003B2785"/>
    <w:rsid w:val="003B2ED4"/>
    <w:rsid w:val="003B2F5A"/>
    <w:rsid w:val="003B2FDB"/>
    <w:rsid w:val="003B3062"/>
    <w:rsid w:val="003B309F"/>
    <w:rsid w:val="003B30F4"/>
    <w:rsid w:val="003B310D"/>
    <w:rsid w:val="003B3592"/>
    <w:rsid w:val="003B3598"/>
    <w:rsid w:val="003B36EA"/>
    <w:rsid w:val="003B36F3"/>
    <w:rsid w:val="003B3840"/>
    <w:rsid w:val="003B3B0C"/>
    <w:rsid w:val="003B3C3A"/>
    <w:rsid w:val="003B3C5B"/>
    <w:rsid w:val="003B3CFE"/>
    <w:rsid w:val="003B3D11"/>
    <w:rsid w:val="003B3F6B"/>
    <w:rsid w:val="003B3F7B"/>
    <w:rsid w:val="003B4028"/>
    <w:rsid w:val="003B42FC"/>
    <w:rsid w:val="003B4471"/>
    <w:rsid w:val="003B4611"/>
    <w:rsid w:val="003B495F"/>
    <w:rsid w:val="003B4963"/>
    <w:rsid w:val="003B498D"/>
    <w:rsid w:val="003B49CA"/>
    <w:rsid w:val="003B4A50"/>
    <w:rsid w:val="003B4B8F"/>
    <w:rsid w:val="003B4BC2"/>
    <w:rsid w:val="003B4CAF"/>
    <w:rsid w:val="003B4D6F"/>
    <w:rsid w:val="003B4E54"/>
    <w:rsid w:val="003B532E"/>
    <w:rsid w:val="003B53F3"/>
    <w:rsid w:val="003B5636"/>
    <w:rsid w:val="003B5724"/>
    <w:rsid w:val="003B573D"/>
    <w:rsid w:val="003B582F"/>
    <w:rsid w:val="003B5DCE"/>
    <w:rsid w:val="003B5E23"/>
    <w:rsid w:val="003B5E3C"/>
    <w:rsid w:val="003B6135"/>
    <w:rsid w:val="003B6238"/>
    <w:rsid w:val="003B62A0"/>
    <w:rsid w:val="003B62B2"/>
    <w:rsid w:val="003B6412"/>
    <w:rsid w:val="003B64B8"/>
    <w:rsid w:val="003B64E1"/>
    <w:rsid w:val="003B6518"/>
    <w:rsid w:val="003B67DE"/>
    <w:rsid w:val="003B68E7"/>
    <w:rsid w:val="003B6913"/>
    <w:rsid w:val="003B6DEE"/>
    <w:rsid w:val="003B6E81"/>
    <w:rsid w:val="003B6F11"/>
    <w:rsid w:val="003B76B5"/>
    <w:rsid w:val="003B789F"/>
    <w:rsid w:val="003B78B2"/>
    <w:rsid w:val="003B79E0"/>
    <w:rsid w:val="003B7AB6"/>
    <w:rsid w:val="003B7AD8"/>
    <w:rsid w:val="003B7B72"/>
    <w:rsid w:val="003B7CE1"/>
    <w:rsid w:val="003C0085"/>
    <w:rsid w:val="003C02E9"/>
    <w:rsid w:val="003C02F5"/>
    <w:rsid w:val="003C05A3"/>
    <w:rsid w:val="003C0710"/>
    <w:rsid w:val="003C0798"/>
    <w:rsid w:val="003C088E"/>
    <w:rsid w:val="003C08D1"/>
    <w:rsid w:val="003C0A15"/>
    <w:rsid w:val="003C0C76"/>
    <w:rsid w:val="003C0E10"/>
    <w:rsid w:val="003C0F01"/>
    <w:rsid w:val="003C0F6F"/>
    <w:rsid w:val="003C12D1"/>
    <w:rsid w:val="003C152A"/>
    <w:rsid w:val="003C1A55"/>
    <w:rsid w:val="003C1B5F"/>
    <w:rsid w:val="003C1BFC"/>
    <w:rsid w:val="003C1C17"/>
    <w:rsid w:val="003C1DED"/>
    <w:rsid w:val="003C1F11"/>
    <w:rsid w:val="003C22D7"/>
    <w:rsid w:val="003C22FA"/>
    <w:rsid w:val="003C2AD5"/>
    <w:rsid w:val="003C2AE4"/>
    <w:rsid w:val="003C2C97"/>
    <w:rsid w:val="003C2C9B"/>
    <w:rsid w:val="003C3296"/>
    <w:rsid w:val="003C3462"/>
    <w:rsid w:val="003C359B"/>
    <w:rsid w:val="003C3660"/>
    <w:rsid w:val="003C3837"/>
    <w:rsid w:val="003C3A9D"/>
    <w:rsid w:val="003C3AAC"/>
    <w:rsid w:val="003C3AD8"/>
    <w:rsid w:val="003C3C9A"/>
    <w:rsid w:val="003C3D5E"/>
    <w:rsid w:val="003C3EEB"/>
    <w:rsid w:val="003C409F"/>
    <w:rsid w:val="003C42E8"/>
    <w:rsid w:val="003C4303"/>
    <w:rsid w:val="003C43CA"/>
    <w:rsid w:val="003C43EB"/>
    <w:rsid w:val="003C450E"/>
    <w:rsid w:val="003C453F"/>
    <w:rsid w:val="003C47D1"/>
    <w:rsid w:val="003C4A13"/>
    <w:rsid w:val="003C4B1E"/>
    <w:rsid w:val="003C4B8A"/>
    <w:rsid w:val="003C4C05"/>
    <w:rsid w:val="003C4D75"/>
    <w:rsid w:val="003C4F65"/>
    <w:rsid w:val="003C5148"/>
    <w:rsid w:val="003C517C"/>
    <w:rsid w:val="003C5554"/>
    <w:rsid w:val="003C5559"/>
    <w:rsid w:val="003C569E"/>
    <w:rsid w:val="003C5853"/>
    <w:rsid w:val="003C5886"/>
    <w:rsid w:val="003C5AB9"/>
    <w:rsid w:val="003C5DEA"/>
    <w:rsid w:val="003C5EAD"/>
    <w:rsid w:val="003C6066"/>
    <w:rsid w:val="003C6087"/>
    <w:rsid w:val="003C60D0"/>
    <w:rsid w:val="003C6181"/>
    <w:rsid w:val="003C6213"/>
    <w:rsid w:val="003C6261"/>
    <w:rsid w:val="003C627E"/>
    <w:rsid w:val="003C66C0"/>
    <w:rsid w:val="003C672B"/>
    <w:rsid w:val="003C67B3"/>
    <w:rsid w:val="003C69EC"/>
    <w:rsid w:val="003C6B95"/>
    <w:rsid w:val="003C6BE1"/>
    <w:rsid w:val="003C6E6B"/>
    <w:rsid w:val="003C7137"/>
    <w:rsid w:val="003C71A2"/>
    <w:rsid w:val="003C7453"/>
    <w:rsid w:val="003C7478"/>
    <w:rsid w:val="003C76AC"/>
    <w:rsid w:val="003C76BE"/>
    <w:rsid w:val="003C77A3"/>
    <w:rsid w:val="003C7966"/>
    <w:rsid w:val="003C7EA5"/>
    <w:rsid w:val="003C7FA4"/>
    <w:rsid w:val="003D00A1"/>
    <w:rsid w:val="003D02AC"/>
    <w:rsid w:val="003D02D7"/>
    <w:rsid w:val="003D0451"/>
    <w:rsid w:val="003D0631"/>
    <w:rsid w:val="003D06B4"/>
    <w:rsid w:val="003D07B2"/>
    <w:rsid w:val="003D0863"/>
    <w:rsid w:val="003D0875"/>
    <w:rsid w:val="003D08EB"/>
    <w:rsid w:val="003D08F8"/>
    <w:rsid w:val="003D090A"/>
    <w:rsid w:val="003D0A0A"/>
    <w:rsid w:val="003D0C1A"/>
    <w:rsid w:val="003D0CBC"/>
    <w:rsid w:val="003D0D39"/>
    <w:rsid w:val="003D12B8"/>
    <w:rsid w:val="003D1550"/>
    <w:rsid w:val="003D1630"/>
    <w:rsid w:val="003D19C6"/>
    <w:rsid w:val="003D1AE5"/>
    <w:rsid w:val="003D1BA3"/>
    <w:rsid w:val="003D1CA6"/>
    <w:rsid w:val="003D20B9"/>
    <w:rsid w:val="003D228B"/>
    <w:rsid w:val="003D2581"/>
    <w:rsid w:val="003D2639"/>
    <w:rsid w:val="003D291D"/>
    <w:rsid w:val="003D2951"/>
    <w:rsid w:val="003D29E7"/>
    <w:rsid w:val="003D2BF2"/>
    <w:rsid w:val="003D2CCD"/>
    <w:rsid w:val="003D2E7A"/>
    <w:rsid w:val="003D2E8A"/>
    <w:rsid w:val="003D2FDC"/>
    <w:rsid w:val="003D300E"/>
    <w:rsid w:val="003D30A9"/>
    <w:rsid w:val="003D316C"/>
    <w:rsid w:val="003D3269"/>
    <w:rsid w:val="003D3555"/>
    <w:rsid w:val="003D35E8"/>
    <w:rsid w:val="003D368E"/>
    <w:rsid w:val="003D3698"/>
    <w:rsid w:val="003D379B"/>
    <w:rsid w:val="003D391A"/>
    <w:rsid w:val="003D393E"/>
    <w:rsid w:val="003D3991"/>
    <w:rsid w:val="003D39DF"/>
    <w:rsid w:val="003D39F4"/>
    <w:rsid w:val="003D3ACC"/>
    <w:rsid w:val="003D3CCF"/>
    <w:rsid w:val="003D3D4C"/>
    <w:rsid w:val="003D3D66"/>
    <w:rsid w:val="003D3DFF"/>
    <w:rsid w:val="003D3E5E"/>
    <w:rsid w:val="003D3F0F"/>
    <w:rsid w:val="003D3F28"/>
    <w:rsid w:val="003D3FA0"/>
    <w:rsid w:val="003D458F"/>
    <w:rsid w:val="003D4792"/>
    <w:rsid w:val="003D4B13"/>
    <w:rsid w:val="003D4B32"/>
    <w:rsid w:val="003D4E10"/>
    <w:rsid w:val="003D4EA7"/>
    <w:rsid w:val="003D517D"/>
    <w:rsid w:val="003D51CD"/>
    <w:rsid w:val="003D5262"/>
    <w:rsid w:val="003D52E4"/>
    <w:rsid w:val="003D534F"/>
    <w:rsid w:val="003D547E"/>
    <w:rsid w:val="003D5630"/>
    <w:rsid w:val="003D5A91"/>
    <w:rsid w:val="003D5C64"/>
    <w:rsid w:val="003D5D6D"/>
    <w:rsid w:val="003D5D95"/>
    <w:rsid w:val="003D5EE6"/>
    <w:rsid w:val="003D60B7"/>
    <w:rsid w:val="003D629E"/>
    <w:rsid w:val="003D6557"/>
    <w:rsid w:val="003D65FB"/>
    <w:rsid w:val="003D66A0"/>
    <w:rsid w:val="003D682C"/>
    <w:rsid w:val="003D69FB"/>
    <w:rsid w:val="003D6AF3"/>
    <w:rsid w:val="003D6D45"/>
    <w:rsid w:val="003D6EA8"/>
    <w:rsid w:val="003D6F31"/>
    <w:rsid w:val="003D6F37"/>
    <w:rsid w:val="003D6FBD"/>
    <w:rsid w:val="003D739E"/>
    <w:rsid w:val="003D73D6"/>
    <w:rsid w:val="003D76DB"/>
    <w:rsid w:val="003D78F2"/>
    <w:rsid w:val="003D7A0F"/>
    <w:rsid w:val="003D7B61"/>
    <w:rsid w:val="003D7C20"/>
    <w:rsid w:val="003D7D44"/>
    <w:rsid w:val="003D7DD4"/>
    <w:rsid w:val="003D7DDD"/>
    <w:rsid w:val="003D7E57"/>
    <w:rsid w:val="003E068E"/>
    <w:rsid w:val="003E0757"/>
    <w:rsid w:val="003E077F"/>
    <w:rsid w:val="003E07C4"/>
    <w:rsid w:val="003E0984"/>
    <w:rsid w:val="003E0A5B"/>
    <w:rsid w:val="003E0B51"/>
    <w:rsid w:val="003E11E4"/>
    <w:rsid w:val="003E12A0"/>
    <w:rsid w:val="003E1447"/>
    <w:rsid w:val="003E14AD"/>
    <w:rsid w:val="003E14BE"/>
    <w:rsid w:val="003E153A"/>
    <w:rsid w:val="003E1593"/>
    <w:rsid w:val="003E17A2"/>
    <w:rsid w:val="003E17E1"/>
    <w:rsid w:val="003E192A"/>
    <w:rsid w:val="003E1E25"/>
    <w:rsid w:val="003E1EE1"/>
    <w:rsid w:val="003E1FB3"/>
    <w:rsid w:val="003E201F"/>
    <w:rsid w:val="003E2026"/>
    <w:rsid w:val="003E266B"/>
    <w:rsid w:val="003E2704"/>
    <w:rsid w:val="003E2801"/>
    <w:rsid w:val="003E28B4"/>
    <w:rsid w:val="003E2994"/>
    <w:rsid w:val="003E2CAB"/>
    <w:rsid w:val="003E2D1B"/>
    <w:rsid w:val="003E2EFF"/>
    <w:rsid w:val="003E347C"/>
    <w:rsid w:val="003E37A9"/>
    <w:rsid w:val="003E3ADF"/>
    <w:rsid w:val="003E3CCC"/>
    <w:rsid w:val="003E3E29"/>
    <w:rsid w:val="003E400B"/>
    <w:rsid w:val="003E4171"/>
    <w:rsid w:val="003E4456"/>
    <w:rsid w:val="003E45DB"/>
    <w:rsid w:val="003E4650"/>
    <w:rsid w:val="003E48FC"/>
    <w:rsid w:val="003E49B5"/>
    <w:rsid w:val="003E4B8D"/>
    <w:rsid w:val="003E4BD9"/>
    <w:rsid w:val="003E4DFE"/>
    <w:rsid w:val="003E4E6E"/>
    <w:rsid w:val="003E4F41"/>
    <w:rsid w:val="003E5151"/>
    <w:rsid w:val="003E533C"/>
    <w:rsid w:val="003E5501"/>
    <w:rsid w:val="003E557E"/>
    <w:rsid w:val="003E572E"/>
    <w:rsid w:val="003E586E"/>
    <w:rsid w:val="003E58BC"/>
    <w:rsid w:val="003E592C"/>
    <w:rsid w:val="003E5979"/>
    <w:rsid w:val="003E5B7F"/>
    <w:rsid w:val="003E6323"/>
    <w:rsid w:val="003E6855"/>
    <w:rsid w:val="003E6994"/>
    <w:rsid w:val="003E6C0B"/>
    <w:rsid w:val="003E6F6E"/>
    <w:rsid w:val="003E6FF8"/>
    <w:rsid w:val="003E705F"/>
    <w:rsid w:val="003E71E5"/>
    <w:rsid w:val="003E7380"/>
    <w:rsid w:val="003E743B"/>
    <w:rsid w:val="003E787A"/>
    <w:rsid w:val="003E798A"/>
    <w:rsid w:val="003E79A8"/>
    <w:rsid w:val="003E79F6"/>
    <w:rsid w:val="003E7A98"/>
    <w:rsid w:val="003E7AE3"/>
    <w:rsid w:val="003E7BFE"/>
    <w:rsid w:val="003E7C42"/>
    <w:rsid w:val="003E7C97"/>
    <w:rsid w:val="003E7E9A"/>
    <w:rsid w:val="003E7F20"/>
    <w:rsid w:val="003E7F54"/>
    <w:rsid w:val="003F0462"/>
    <w:rsid w:val="003F050A"/>
    <w:rsid w:val="003F0514"/>
    <w:rsid w:val="003F0562"/>
    <w:rsid w:val="003F0A8E"/>
    <w:rsid w:val="003F0C5B"/>
    <w:rsid w:val="003F0D07"/>
    <w:rsid w:val="003F0D24"/>
    <w:rsid w:val="003F0E4E"/>
    <w:rsid w:val="003F0F46"/>
    <w:rsid w:val="003F0F83"/>
    <w:rsid w:val="003F10B5"/>
    <w:rsid w:val="003F11DF"/>
    <w:rsid w:val="003F144F"/>
    <w:rsid w:val="003F1459"/>
    <w:rsid w:val="003F1476"/>
    <w:rsid w:val="003F1511"/>
    <w:rsid w:val="003F151E"/>
    <w:rsid w:val="003F157C"/>
    <w:rsid w:val="003F163C"/>
    <w:rsid w:val="003F1855"/>
    <w:rsid w:val="003F18BE"/>
    <w:rsid w:val="003F1927"/>
    <w:rsid w:val="003F1B6D"/>
    <w:rsid w:val="003F1F43"/>
    <w:rsid w:val="003F2098"/>
    <w:rsid w:val="003F22E0"/>
    <w:rsid w:val="003F244D"/>
    <w:rsid w:val="003F2695"/>
    <w:rsid w:val="003F28E0"/>
    <w:rsid w:val="003F2938"/>
    <w:rsid w:val="003F2972"/>
    <w:rsid w:val="003F2986"/>
    <w:rsid w:val="003F2D81"/>
    <w:rsid w:val="003F2D82"/>
    <w:rsid w:val="003F2F60"/>
    <w:rsid w:val="003F302D"/>
    <w:rsid w:val="003F305A"/>
    <w:rsid w:val="003F322A"/>
    <w:rsid w:val="003F3343"/>
    <w:rsid w:val="003F33B5"/>
    <w:rsid w:val="003F390B"/>
    <w:rsid w:val="003F3991"/>
    <w:rsid w:val="003F39EE"/>
    <w:rsid w:val="003F3C42"/>
    <w:rsid w:val="003F4415"/>
    <w:rsid w:val="003F4676"/>
    <w:rsid w:val="003F46B8"/>
    <w:rsid w:val="003F480C"/>
    <w:rsid w:val="003F48BF"/>
    <w:rsid w:val="003F4991"/>
    <w:rsid w:val="003F499F"/>
    <w:rsid w:val="003F4A4C"/>
    <w:rsid w:val="003F4CF4"/>
    <w:rsid w:val="003F4E4A"/>
    <w:rsid w:val="003F5092"/>
    <w:rsid w:val="003F52B2"/>
    <w:rsid w:val="003F5344"/>
    <w:rsid w:val="003F54AF"/>
    <w:rsid w:val="003F571B"/>
    <w:rsid w:val="003F5842"/>
    <w:rsid w:val="003F587E"/>
    <w:rsid w:val="003F592B"/>
    <w:rsid w:val="003F596F"/>
    <w:rsid w:val="003F5994"/>
    <w:rsid w:val="003F5BD3"/>
    <w:rsid w:val="003F5C4A"/>
    <w:rsid w:val="003F5D9D"/>
    <w:rsid w:val="003F5E68"/>
    <w:rsid w:val="003F5ECF"/>
    <w:rsid w:val="003F5FCF"/>
    <w:rsid w:val="003F6124"/>
    <w:rsid w:val="003F65E8"/>
    <w:rsid w:val="003F66E9"/>
    <w:rsid w:val="003F6906"/>
    <w:rsid w:val="003F6A08"/>
    <w:rsid w:val="003F6AB2"/>
    <w:rsid w:val="003F6AE0"/>
    <w:rsid w:val="003F6C9F"/>
    <w:rsid w:val="003F6D1F"/>
    <w:rsid w:val="003F6DE9"/>
    <w:rsid w:val="003F6E41"/>
    <w:rsid w:val="003F7101"/>
    <w:rsid w:val="003F7102"/>
    <w:rsid w:val="003F7286"/>
    <w:rsid w:val="003F72F1"/>
    <w:rsid w:val="003F7848"/>
    <w:rsid w:val="003F792F"/>
    <w:rsid w:val="003F7AA6"/>
    <w:rsid w:val="003F7AD0"/>
    <w:rsid w:val="003F7C7E"/>
    <w:rsid w:val="003F7D5E"/>
    <w:rsid w:val="003F7E9C"/>
    <w:rsid w:val="003F7EF5"/>
    <w:rsid w:val="003F7F45"/>
    <w:rsid w:val="00400002"/>
    <w:rsid w:val="004000EA"/>
    <w:rsid w:val="00400141"/>
    <w:rsid w:val="0040065F"/>
    <w:rsid w:val="00400710"/>
    <w:rsid w:val="00400779"/>
    <w:rsid w:val="00400BB4"/>
    <w:rsid w:val="00400BE3"/>
    <w:rsid w:val="00400D13"/>
    <w:rsid w:val="00400DAD"/>
    <w:rsid w:val="00401242"/>
    <w:rsid w:val="00401725"/>
    <w:rsid w:val="00401A4E"/>
    <w:rsid w:val="00401CA9"/>
    <w:rsid w:val="00401CBC"/>
    <w:rsid w:val="00401EF4"/>
    <w:rsid w:val="0040218B"/>
    <w:rsid w:val="0040264C"/>
    <w:rsid w:val="00402698"/>
    <w:rsid w:val="00402A9D"/>
    <w:rsid w:val="00402C44"/>
    <w:rsid w:val="00402CB8"/>
    <w:rsid w:val="00402E10"/>
    <w:rsid w:val="00402E44"/>
    <w:rsid w:val="00402E80"/>
    <w:rsid w:val="00402EF2"/>
    <w:rsid w:val="00402F2F"/>
    <w:rsid w:val="004030EA"/>
    <w:rsid w:val="00403166"/>
    <w:rsid w:val="00403435"/>
    <w:rsid w:val="004035D7"/>
    <w:rsid w:val="004038A4"/>
    <w:rsid w:val="00403CF3"/>
    <w:rsid w:val="00403E32"/>
    <w:rsid w:val="00403E69"/>
    <w:rsid w:val="004041DD"/>
    <w:rsid w:val="0040435D"/>
    <w:rsid w:val="0040449C"/>
    <w:rsid w:val="004045CB"/>
    <w:rsid w:val="00404AA5"/>
    <w:rsid w:val="00404B64"/>
    <w:rsid w:val="00404C49"/>
    <w:rsid w:val="00404E40"/>
    <w:rsid w:val="00404EB2"/>
    <w:rsid w:val="00404F14"/>
    <w:rsid w:val="004051A5"/>
    <w:rsid w:val="004053D2"/>
    <w:rsid w:val="0040544C"/>
    <w:rsid w:val="00405AEB"/>
    <w:rsid w:val="00405C0C"/>
    <w:rsid w:val="00405CA5"/>
    <w:rsid w:val="00405D45"/>
    <w:rsid w:val="00405E01"/>
    <w:rsid w:val="00405E7F"/>
    <w:rsid w:val="00405E8B"/>
    <w:rsid w:val="004061C1"/>
    <w:rsid w:val="004061F6"/>
    <w:rsid w:val="00406808"/>
    <w:rsid w:val="00406CE5"/>
    <w:rsid w:val="00406D6A"/>
    <w:rsid w:val="00406E60"/>
    <w:rsid w:val="00407316"/>
    <w:rsid w:val="004073CA"/>
    <w:rsid w:val="0040752F"/>
    <w:rsid w:val="004075E2"/>
    <w:rsid w:val="00407696"/>
    <w:rsid w:val="0040776C"/>
    <w:rsid w:val="00407B5A"/>
    <w:rsid w:val="00407C45"/>
    <w:rsid w:val="00407E94"/>
    <w:rsid w:val="00410025"/>
    <w:rsid w:val="0041004E"/>
    <w:rsid w:val="0041049F"/>
    <w:rsid w:val="004104B0"/>
    <w:rsid w:val="0041059C"/>
    <w:rsid w:val="00410CE3"/>
    <w:rsid w:val="00410CE5"/>
    <w:rsid w:val="00410D99"/>
    <w:rsid w:val="00410FF9"/>
    <w:rsid w:val="0041181D"/>
    <w:rsid w:val="004118BF"/>
    <w:rsid w:val="00411A01"/>
    <w:rsid w:val="00411A73"/>
    <w:rsid w:val="00411AEB"/>
    <w:rsid w:val="00411B55"/>
    <w:rsid w:val="00411CB9"/>
    <w:rsid w:val="00412046"/>
    <w:rsid w:val="004120ED"/>
    <w:rsid w:val="0041225F"/>
    <w:rsid w:val="00412608"/>
    <w:rsid w:val="004126C0"/>
    <w:rsid w:val="004126F7"/>
    <w:rsid w:val="00412748"/>
    <w:rsid w:val="004128A0"/>
    <w:rsid w:val="0041296D"/>
    <w:rsid w:val="004129EF"/>
    <w:rsid w:val="00412B7B"/>
    <w:rsid w:val="00412BB6"/>
    <w:rsid w:val="00412E69"/>
    <w:rsid w:val="00413103"/>
    <w:rsid w:val="0041329A"/>
    <w:rsid w:val="00413575"/>
    <w:rsid w:val="004135BD"/>
    <w:rsid w:val="00413843"/>
    <w:rsid w:val="00413A4E"/>
    <w:rsid w:val="00413A5D"/>
    <w:rsid w:val="00413A79"/>
    <w:rsid w:val="00413AD9"/>
    <w:rsid w:val="00413C66"/>
    <w:rsid w:val="00413CC5"/>
    <w:rsid w:val="00413D7E"/>
    <w:rsid w:val="00413F4C"/>
    <w:rsid w:val="00413FE5"/>
    <w:rsid w:val="00414029"/>
    <w:rsid w:val="00414184"/>
    <w:rsid w:val="0041424B"/>
    <w:rsid w:val="0041429E"/>
    <w:rsid w:val="00414885"/>
    <w:rsid w:val="0041495B"/>
    <w:rsid w:val="00414ACC"/>
    <w:rsid w:val="00414BE0"/>
    <w:rsid w:val="00414CC6"/>
    <w:rsid w:val="00414CE9"/>
    <w:rsid w:val="00414D51"/>
    <w:rsid w:val="00414FC0"/>
    <w:rsid w:val="004151BA"/>
    <w:rsid w:val="00415807"/>
    <w:rsid w:val="00415918"/>
    <w:rsid w:val="00415925"/>
    <w:rsid w:val="00415D55"/>
    <w:rsid w:val="00415D89"/>
    <w:rsid w:val="00415E8A"/>
    <w:rsid w:val="0041607E"/>
    <w:rsid w:val="004160D3"/>
    <w:rsid w:val="00416119"/>
    <w:rsid w:val="004162A1"/>
    <w:rsid w:val="0041632C"/>
    <w:rsid w:val="004163E4"/>
    <w:rsid w:val="0041643C"/>
    <w:rsid w:val="00416668"/>
    <w:rsid w:val="00416763"/>
    <w:rsid w:val="004169B8"/>
    <w:rsid w:val="00416C6B"/>
    <w:rsid w:val="00416C9C"/>
    <w:rsid w:val="00416D56"/>
    <w:rsid w:val="00416E0F"/>
    <w:rsid w:val="00416ECA"/>
    <w:rsid w:val="00416FF2"/>
    <w:rsid w:val="0041706C"/>
    <w:rsid w:val="0041706F"/>
    <w:rsid w:val="004170E9"/>
    <w:rsid w:val="004173E1"/>
    <w:rsid w:val="0041789B"/>
    <w:rsid w:val="00417B9F"/>
    <w:rsid w:val="00417CEC"/>
    <w:rsid w:val="00417F1E"/>
    <w:rsid w:val="004200D6"/>
    <w:rsid w:val="00420122"/>
    <w:rsid w:val="00420280"/>
    <w:rsid w:val="00420329"/>
    <w:rsid w:val="0042073D"/>
    <w:rsid w:val="004208F3"/>
    <w:rsid w:val="004208FD"/>
    <w:rsid w:val="004209B0"/>
    <w:rsid w:val="00420B40"/>
    <w:rsid w:val="00420C8D"/>
    <w:rsid w:val="00420F20"/>
    <w:rsid w:val="00420F54"/>
    <w:rsid w:val="00420F71"/>
    <w:rsid w:val="00420FE6"/>
    <w:rsid w:val="00421118"/>
    <w:rsid w:val="0042114C"/>
    <w:rsid w:val="004215AC"/>
    <w:rsid w:val="004215B4"/>
    <w:rsid w:val="004215BA"/>
    <w:rsid w:val="00421615"/>
    <w:rsid w:val="004216A7"/>
    <w:rsid w:val="0042175F"/>
    <w:rsid w:val="0042184A"/>
    <w:rsid w:val="004218AC"/>
    <w:rsid w:val="004218DB"/>
    <w:rsid w:val="004218E9"/>
    <w:rsid w:val="00421923"/>
    <w:rsid w:val="004219D5"/>
    <w:rsid w:val="00421C67"/>
    <w:rsid w:val="00421D65"/>
    <w:rsid w:val="00421E92"/>
    <w:rsid w:val="0042210B"/>
    <w:rsid w:val="004221EC"/>
    <w:rsid w:val="004221EE"/>
    <w:rsid w:val="00422232"/>
    <w:rsid w:val="004226EB"/>
    <w:rsid w:val="00422864"/>
    <w:rsid w:val="004229B8"/>
    <w:rsid w:val="00422A3A"/>
    <w:rsid w:val="00422B76"/>
    <w:rsid w:val="00422C43"/>
    <w:rsid w:val="00422E91"/>
    <w:rsid w:val="0042305C"/>
    <w:rsid w:val="00423088"/>
    <w:rsid w:val="00423298"/>
    <w:rsid w:val="00423322"/>
    <w:rsid w:val="00423459"/>
    <w:rsid w:val="004234B4"/>
    <w:rsid w:val="004235C8"/>
    <w:rsid w:val="00423756"/>
    <w:rsid w:val="004237E0"/>
    <w:rsid w:val="00423881"/>
    <w:rsid w:val="004238B1"/>
    <w:rsid w:val="00423A71"/>
    <w:rsid w:val="00423A87"/>
    <w:rsid w:val="00423A95"/>
    <w:rsid w:val="00423D5C"/>
    <w:rsid w:val="00423E9A"/>
    <w:rsid w:val="00424040"/>
    <w:rsid w:val="0042407E"/>
    <w:rsid w:val="004241C4"/>
    <w:rsid w:val="00424608"/>
    <w:rsid w:val="00424640"/>
    <w:rsid w:val="00424738"/>
    <w:rsid w:val="0042474F"/>
    <w:rsid w:val="004247A9"/>
    <w:rsid w:val="004249EA"/>
    <w:rsid w:val="00424AA8"/>
    <w:rsid w:val="00424C85"/>
    <w:rsid w:val="00424F4D"/>
    <w:rsid w:val="00424FC3"/>
    <w:rsid w:val="00424FF1"/>
    <w:rsid w:val="00425055"/>
    <w:rsid w:val="00425290"/>
    <w:rsid w:val="00425331"/>
    <w:rsid w:val="00425364"/>
    <w:rsid w:val="00425372"/>
    <w:rsid w:val="0042550A"/>
    <w:rsid w:val="00425988"/>
    <w:rsid w:val="00425ECB"/>
    <w:rsid w:val="004261BD"/>
    <w:rsid w:val="00426225"/>
    <w:rsid w:val="00426326"/>
    <w:rsid w:val="004263A8"/>
    <w:rsid w:val="004263B3"/>
    <w:rsid w:val="00426427"/>
    <w:rsid w:val="0042683F"/>
    <w:rsid w:val="004268C2"/>
    <w:rsid w:val="00426A37"/>
    <w:rsid w:val="00426B39"/>
    <w:rsid w:val="00426B4E"/>
    <w:rsid w:val="00426B65"/>
    <w:rsid w:val="00426BF7"/>
    <w:rsid w:val="00426C47"/>
    <w:rsid w:val="00426E0B"/>
    <w:rsid w:val="00427081"/>
    <w:rsid w:val="004270E8"/>
    <w:rsid w:val="00427411"/>
    <w:rsid w:val="0042796F"/>
    <w:rsid w:val="00427999"/>
    <w:rsid w:val="00427A96"/>
    <w:rsid w:val="00427A9A"/>
    <w:rsid w:val="00427AE0"/>
    <w:rsid w:val="00427C91"/>
    <w:rsid w:val="00427D1E"/>
    <w:rsid w:val="00427E5C"/>
    <w:rsid w:val="004302F9"/>
    <w:rsid w:val="0043058A"/>
    <w:rsid w:val="0043062A"/>
    <w:rsid w:val="004307C1"/>
    <w:rsid w:val="004307C6"/>
    <w:rsid w:val="00430911"/>
    <w:rsid w:val="00430995"/>
    <w:rsid w:val="00430A80"/>
    <w:rsid w:val="00430B0E"/>
    <w:rsid w:val="00430BA3"/>
    <w:rsid w:val="004312B4"/>
    <w:rsid w:val="004314B7"/>
    <w:rsid w:val="00431816"/>
    <w:rsid w:val="00431871"/>
    <w:rsid w:val="00431C47"/>
    <w:rsid w:val="00431D56"/>
    <w:rsid w:val="00431E30"/>
    <w:rsid w:val="00431F90"/>
    <w:rsid w:val="00432013"/>
    <w:rsid w:val="00432156"/>
    <w:rsid w:val="00432241"/>
    <w:rsid w:val="004322EE"/>
    <w:rsid w:val="0043237C"/>
    <w:rsid w:val="0043261F"/>
    <w:rsid w:val="004327FC"/>
    <w:rsid w:val="00432AA7"/>
    <w:rsid w:val="00432BF8"/>
    <w:rsid w:val="00432C29"/>
    <w:rsid w:val="00432D62"/>
    <w:rsid w:val="00432EC6"/>
    <w:rsid w:val="00432ED6"/>
    <w:rsid w:val="00432FF8"/>
    <w:rsid w:val="00433021"/>
    <w:rsid w:val="00433273"/>
    <w:rsid w:val="00433314"/>
    <w:rsid w:val="0043349D"/>
    <w:rsid w:val="004335B2"/>
    <w:rsid w:val="004335E2"/>
    <w:rsid w:val="00433750"/>
    <w:rsid w:val="00433939"/>
    <w:rsid w:val="00433B79"/>
    <w:rsid w:val="00433E1F"/>
    <w:rsid w:val="00434098"/>
    <w:rsid w:val="0043411E"/>
    <w:rsid w:val="004341A9"/>
    <w:rsid w:val="004341D0"/>
    <w:rsid w:val="004342C5"/>
    <w:rsid w:val="004343D8"/>
    <w:rsid w:val="00434537"/>
    <w:rsid w:val="00434554"/>
    <w:rsid w:val="00434594"/>
    <w:rsid w:val="00434730"/>
    <w:rsid w:val="004347CA"/>
    <w:rsid w:val="00434813"/>
    <w:rsid w:val="004348B2"/>
    <w:rsid w:val="00434B05"/>
    <w:rsid w:val="00434BA4"/>
    <w:rsid w:val="00434BFF"/>
    <w:rsid w:val="00434E9C"/>
    <w:rsid w:val="00434EE9"/>
    <w:rsid w:val="00434F5F"/>
    <w:rsid w:val="00434FEC"/>
    <w:rsid w:val="00435100"/>
    <w:rsid w:val="004352AC"/>
    <w:rsid w:val="00435537"/>
    <w:rsid w:val="00435617"/>
    <w:rsid w:val="0043583C"/>
    <w:rsid w:val="00435A52"/>
    <w:rsid w:val="00435D69"/>
    <w:rsid w:val="00435DC9"/>
    <w:rsid w:val="00435EEF"/>
    <w:rsid w:val="00436290"/>
    <w:rsid w:val="004362E7"/>
    <w:rsid w:val="0043633D"/>
    <w:rsid w:val="00436342"/>
    <w:rsid w:val="004364AC"/>
    <w:rsid w:val="0043667C"/>
    <w:rsid w:val="004367DC"/>
    <w:rsid w:val="004368ED"/>
    <w:rsid w:val="00436920"/>
    <w:rsid w:val="00436C20"/>
    <w:rsid w:val="00436CEF"/>
    <w:rsid w:val="00436DC6"/>
    <w:rsid w:val="00436E69"/>
    <w:rsid w:val="004370CB"/>
    <w:rsid w:val="00437183"/>
    <w:rsid w:val="00437372"/>
    <w:rsid w:val="0043743E"/>
    <w:rsid w:val="004374C8"/>
    <w:rsid w:val="00437519"/>
    <w:rsid w:val="00437529"/>
    <w:rsid w:val="0043758E"/>
    <w:rsid w:val="004375AF"/>
    <w:rsid w:val="0043766A"/>
    <w:rsid w:val="0043768D"/>
    <w:rsid w:val="0043776E"/>
    <w:rsid w:val="00437E11"/>
    <w:rsid w:val="00437F31"/>
    <w:rsid w:val="00440224"/>
    <w:rsid w:val="0044043D"/>
    <w:rsid w:val="00440717"/>
    <w:rsid w:val="00440783"/>
    <w:rsid w:val="004408F5"/>
    <w:rsid w:val="0044098A"/>
    <w:rsid w:val="00440B63"/>
    <w:rsid w:val="00440FEF"/>
    <w:rsid w:val="004411BF"/>
    <w:rsid w:val="00441348"/>
    <w:rsid w:val="0044164D"/>
    <w:rsid w:val="004417FB"/>
    <w:rsid w:val="00441A29"/>
    <w:rsid w:val="00441A74"/>
    <w:rsid w:val="00441B10"/>
    <w:rsid w:val="00441BEB"/>
    <w:rsid w:val="00441CBE"/>
    <w:rsid w:val="00441D6D"/>
    <w:rsid w:val="00441DE8"/>
    <w:rsid w:val="00441F81"/>
    <w:rsid w:val="00442128"/>
    <w:rsid w:val="004422B6"/>
    <w:rsid w:val="00442575"/>
    <w:rsid w:val="0044270F"/>
    <w:rsid w:val="00442728"/>
    <w:rsid w:val="004427B7"/>
    <w:rsid w:val="00442857"/>
    <w:rsid w:val="00442D3B"/>
    <w:rsid w:val="00442D67"/>
    <w:rsid w:val="00442E22"/>
    <w:rsid w:val="00442ED5"/>
    <w:rsid w:val="00443010"/>
    <w:rsid w:val="00443046"/>
    <w:rsid w:val="004431DB"/>
    <w:rsid w:val="004432C5"/>
    <w:rsid w:val="00443325"/>
    <w:rsid w:val="0044346A"/>
    <w:rsid w:val="00443590"/>
    <w:rsid w:val="0044372B"/>
    <w:rsid w:val="004439EF"/>
    <w:rsid w:val="00443C7B"/>
    <w:rsid w:val="00443CB9"/>
    <w:rsid w:val="00443D2C"/>
    <w:rsid w:val="00443E46"/>
    <w:rsid w:val="0044407A"/>
    <w:rsid w:val="004443A6"/>
    <w:rsid w:val="00444435"/>
    <w:rsid w:val="004445AC"/>
    <w:rsid w:val="004448AF"/>
    <w:rsid w:val="00444974"/>
    <w:rsid w:val="00444D82"/>
    <w:rsid w:val="00444FDB"/>
    <w:rsid w:val="004450BE"/>
    <w:rsid w:val="00445139"/>
    <w:rsid w:val="00445142"/>
    <w:rsid w:val="00445422"/>
    <w:rsid w:val="004454E3"/>
    <w:rsid w:val="004456DB"/>
    <w:rsid w:val="00445972"/>
    <w:rsid w:val="00445DEE"/>
    <w:rsid w:val="00445EB9"/>
    <w:rsid w:val="00445EEC"/>
    <w:rsid w:val="00445F7F"/>
    <w:rsid w:val="00446266"/>
    <w:rsid w:val="004463F0"/>
    <w:rsid w:val="0044656C"/>
    <w:rsid w:val="004465D5"/>
    <w:rsid w:val="00446757"/>
    <w:rsid w:val="00446928"/>
    <w:rsid w:val="00446B2B"/>
    <w:rsid w:val="00446C3A"/>
    <w:rsid w:val="00446DC2"/>
    <w:rsid w:val="00447040"/>
    <w:rsid w:val="0044722F"/>
    <w:rsid w:val="0044725B"/>
    <w:rsid w:val="00447377"/>
    <w:rsid w:val="0044777F"/>
    <w:rsid w:val="00447820"/>
    <w:rsid w:val="0044795E"/>
    <w:rsid w:val="00447B1F"/>
    <w:rsid w:val="00447CBB"/>
    <w:rsid w:val="00447F09"/>
    <w:rsid w:val="00447FBA"/>
    <w:rsid w:val="0045002D"/>
    <w:rsid w:val="0045003E"/>
    <w:rsid w:val="0045006A"/>
    <w:rsid w:val="0045016C"/>
    <w:rsid w:val="004501DD"/>
    <w:rsid w:val="00450252"/>
    <w:rsid w:val="004502FB"/>
    <w:rsid w:val="004505FE"/>
    <w:rsid w:val="00450671"/>
    <w:rsid w:val="004507A4"/>
    <w:rsid w:val="0045083C"/>
    <w:rsid w:val="00450A47"/>
    <w:rsid w:val="00450AB5"/>
    <w:rsid w:val="00450C3C"/>
    <w:rsid w:val="00450E90"/>
    <w:rsid w:val="0045107D"/>
    <w:rsid w:val="00451288"/>
    <w:rsid w:val="004516A1"/>
    <w:rsid w:val="0045174D"/>
    <w:rsid w:val="00451763"/>
    <w:rsid w:val="0045179C"/>
    <w:rsid w:val="004517B4"/>
    <w:rsid w:val="004519DE"/>
    <w:rsid w:val="00451E07"/>
    <w:rsid w:val="00451E35"/>
    <w:rsid w:val="00451FD2"/>
    <w:rsid w:val="00451FF5"/>
    <w:rsid w:val="0045220B"/>
    <w:rsid w:val="00452221"/>
    <w:rsid w:val="00452243"/>
    <w:rsid w:val="00452262"/>
    <w:rsid w:val="00452496"/>
    <w:rsid w:val="00452612"/>
    <w:rsid w:val="00452693"/>
    <w:rsid w:val="004527E8"/>
    <w:rsid w:val="004527EB"/>
    <w:rsid w:val="00452A10"/>
    <w:rsid w:val="00452B92"/>
    <w:rsid w:val="00452BA9"/>
    <w:rsid w:val="00452D33"/>
    <w:rsid w:val="00452EA8"/>
    <w:rsid w:val="00452F50"/>
    <w:rsid w:val="00452F95"/>
    <w:rsid w:val="004530CC"/>
    <w:rsid w:val="004530DB"/>
    <w:rsid w:val="004530F8"/>
    <w:rsid w:val="00453116"/>
    <w:rsid w:val="00453265"/>
    <w:rsid w:val="0045368C"/>
    <w:rsid w:val="004536D9"/>
    <w:rsid w:val="00453918"/>
    <w:rsid w:val="00453A5E"/>
    <w:rsid w:val="00453C5D"/>
    <w:rsid w:val="00453DBC"/>
    <w:rsid w:val="00453FBF"/>
    <w:rsid w:val="00453FD4"/>
    <w:rsid w:val="00454124"/>
    <w:rsid w:val="00454328"/>
    <w:rsid w:val="0045448B"/>
    <w:rsid w:val="0045475B"/>
    <w:rsid w:val="00454815"/>
    <w:rsid w:val="00454869"/>
    <w:rsid w:val="00454B84"/>
    <w:rsid w:val="00454E8E"/>
    <w:rsid w:val="00454EEA"/>
    <w:rsid w:val="00454F69"/>
    <w:rsid w:val="00454FA0"/>
    <w:rsid w:val="0045555F"/>
    <w:rsid w:val="00455678"/>
    <w:rsid w:val="00455A5C"/>
    <w:rsid w:val="00455AA0"/>
    <w:rsid w:val="00455AD8"/>
    <w:rsid w:val="00455C1E"/>
    <w:rsid w:val="00455D6B"/>
    <w:rsid w:val="004563D1"/>
    <w:rsid w:val="004563EF"/>
    <w:rsid w:val="00456495"/>
    <w:rsid w:val="00456616"/>
    <w:rsid w:val="00456695"/>
    <w:rsid w:val="00456720"/>
    <w:rsid w:val="00456A4A"/>
    <w:rsid w:val="00456ADA"/>
    <w:rsid w:val="00456D0A"/>
    <w:rsid w:val="00456D38"/>
    <w:rsid w:val="00456DA7"/>
    <w:rsid w:val="00456E1F"/>
    <w:rsid w:val="00456FA6"/>
    <w:rsid w:val="00457125"/>
    <w:rsid w:val="004573CA"/>
    <w:rsid w:val="0045777E"/>
    <w:rsid w:val="004578B8"/>
    <w:rsid w:val="00457BCA"/>
    <w:rsid w:val="00457E6B"/>
    <w:rsid w:val="00457E9F"/>
    <w:rsid w:val="00457F2C"/>
    <w:rsid w:val="00457FD2"/>
    <w:rsid w:val="00460106"/>
    <w:rsid w:val="004601B1"/>
    <w:rsid w:val="004601EB"/>
    <w:rsid w:val="00460319"/>
    <w:rsid w:val="00460383"/>
    <w:rsid w:val="00460482"/>
    <w:rsid w:val="004606EC"/>
    <w:rsid w:val="00460901"/>
    <w:rsid w:val="00460EB2"/>
    <w:rsid w:val="00460F40"/>
    <w:rsid w:val="00460FF0"/>
    <w:rsid w:val="004610E3"/>
    <w:rsid w:val="0046136D"/>
    <w:rsid w:val="0046168F"/>
    <w:rsid w:val="00461793"/>
    <w:rsid w:val="004618E5"/>
    <w:rsid w:val="00461AF8"/>
    <w:rsid w:val="00461AFD"/>
    <w:rsid w:val="00461D3D"/>
    <w:rsid w:val="00461D50"/>
    <w:rsid w:val="00461D56"/>
    <w:rsid w:val="00461E0F"/>
    <w:rsid w:val="00461ECD"/>
    <w:rsid w:val="0046220E"/>
    <w:rsid w:val="0046220F"/>
    <w:rsid w:val="00462597"/>
    <w:rsid w:val="004626C9"/>
    <w:rsid w:val="0046280E"/>
    <w:rsid w:val="00462911"/>
    <w:rsid w:val="00462C6F"/>
    <w:rsid w:val="00462C7D"/>
    <w:rsid w:val="00462D9A"/>
    <w:rsid w:val="00462DC7"/>
    <w:rsid w:val="00462DD9"/>
    <w:rsid w:val="00462DFF"/>
    <w:rsid w:val="004631BA"/>
    <w:rsid w:val="00463310"/>
    <w:rsid w:val="0046338A"/>
    <w:rsid w:val="004633BC"/>
    <w:rsid w:val="00463425"/>
    <w:rsid w:val="00463488"/>
    <w:rsid w:val="0046364B"/>
    <w:rsid w:val="00463678"/>
    <w:rsid w:val="00463938"/>
    <w:rsid w:val="00463A53"/>
    <w:rsid w:val="00463A9C"/>
    <w:rsid w:val="00463BB2"/>
    <w:rsid w:val="00463BC4"/>
    <w:rsid w:val="00463CF6"/>
    <w:rsid w:val="00463DD0"/>
    <w:rsid w:val="00463F53"/>
    <w:rsid w:val="00463FAB"/>
    <w:rsid w:val="00464055"/>
    <w:rsid w:val="004640DF"/>
    <w:rsid w:val="00464290"/>
    <w:rsid w:val="0046442B"/>
    <w:rsid w:val="00464501"/>
    <w:rsid w:val="0046464B"/>
    <w:rsid w:val="004647C4"/>
    <w:rsid w:val="00464AF8"/>
    <w:rsid w:val="00464E69"/>
    <w:rsid w:val="00464F87"/>
    <w:rsid w:val="004653F6"/>
    <w:rsid w:val="004654F6"/>
    <w:rsid w:val="00465794"/>
    <w:rsid w:val="004657EA"/>
    <w:rsid w:val="00465957"/>
    <w:rsid w:val="00465AFE"/>
    <w:rsid w:val="00465D98"/>
    <w:rsid w:val="00465E48"/>
    <w:rsid w:val="00465FE7"/>
    <w:rsid w:val="00466031"/>
    <w:rsid w:val="00466185"/>
    <w:rsid w:val="004664F7"/>
    <w:rsid w:val="0046651A"/>
    <w:rsid w:val="00466AA2"/>
    <w:rsid w:val="00466BCE"/>
    <w:rsid w:val="00466CFB"/>
    <w:rsid w:val="00466E41"/>
    <w:rsid w:val="00466FCD"/>
    <w:rsid w:val="004671B3"/>
    <w:rsid w:val="00467223"/>
    <w:rsid w:val="00467241"/>
    <w:rsid w:val="00467332"/>
    <w:rsid w:val="004673AE"/>
    <w:rsid w:val="004673ED"/>
    <w:rsid w:val="00467417"/>
    <w:rsid w:val="00467477"/>
    <w:rsid w:val="00467551"/>
    <w:rsid w:val="00467560"/>
    <w:rsid w:val="00467573"/>
    <w:rsid w:val="004675CE"/>
    <w:rsid w:val="0046779A"/>
    <w:rsid w:val="00467803"/>
    <w:rsid w:val="00467A15"/>
    <w:rsid w:val="00467AAA"/>
    <w:rsid w:val="00467F94"/>
    <w:rsid w:val="0047003A"/>
    <w:rsid w:val="00470079"/>
    <w:rsid w:val="004704CF"/>
    <w:rsid w:val="004704F1"/>
    <w:rsid w:val="00470584"/>
    <w:rsid w:val="00470622"/>
    <w:rsid w:val="00470702"/>
    <w:rsid w:val="00470901"/>
    <w:rsid w:val="00470956"/>
    <w:rsid w:val="00470FBE"/>
    <w:rsid w:val="00471296"/>
    <w:rsid w:val="004715A8"/>
    <w:rsid w:val="004717BC"/>
    <w:rsid w:val="004718A7"/>
    <w:rsid w:val="00471982"/>
    <w:rsid w:val="004719E2"/>
    <w:rsid w:val="004719F9"/>
    <w:rsid w:val="00471A02"/>
    <w:rsid w:val="00471A26"/>
    <w:rsid w:val="00471CD1"/>
    <w:rsid w:val="00471FD5"/>
    <w:rsid w:val="0047206C"/>
    <w:rsid w:val="004720CD"/>
    <w:rsid w:val="004720D8"/>
    <w:rsid w:val="0047210B"/>
    <w:rsid w:val="0047226A"/>
    <w:rsid w:val="004722E3"/>
    <w:rsid w:val="0047232D"/>
    <w:rsid w:val="004727D3"/>
    <w:rsid w:val="00472965"/>
    <w:rsid w:val="00472B0A"/>
    <w:rsid w:val="00472CE1"/>
    <w:rsid w:val="00472DC7"/>
    <w:rsid w:val="00472F62"/>
    <w:rsid w:val="0047312F"/>
    <w:rsid w:val="00473196"/>
    <w:rsid w:val="0047335D"/>
    <w:rsid w:val="004734E0"/>
    <w:rsid w:val="0047358C"/>
    <w:rsid w:val="0047359A"/>
    <w:rsid w:val="004736B5"/>
    <w:rsid w:val="00473843"/>
    <w:rsid w:val="00473886"/>
    <w:rsid w:val="0047395C"/>
    <w:rsid w:val="004739A3"/>
    <w:rsid w:val="004739D6"/>
    <w:rsid w:val="00473BCE"/>
    <w:rsid w:val="00473D6D"/>
    <w:rsid w:val="00473E0D"/>
    <w:rsid w:val="0047424C"/>
    <w:rsid w:val="00474387"/>
    <w:rsid w:val="00474478"/>
    <w:rsid w:val="0047459C"/>
    <w:rsid w:val="00474783"/>
    <w:rsid w:val="0047489D"/>
    <w:rsid w:val="00474B77"/>
    <w:rsid w:val="00474CDE"/>
    <w:rsid w:val="004750CC"/>
    <w:rsid w:val="004752A7"/>
    <w:rsid w:val="0047533A"/>
    <w:rsid w:val="00475687"/>
    <w:rsid w:val="00475699"/>
    <w:rsid w:val="004756BF"/>
    <w:rsid w:val="0047582E"/>
    <w:rsid w:val="00475972"/>
    <w:rsid w:val="00475AA8"/>
    <w:rsid w:val="00475C46"/>
    <w:rsid w:val="00475D2E"/>
    <w:rsid w:val="00475E2B"/>
    <w:rsid w:val="00475EF8"/>
    <w:rsid w:val="00476172"/>
    <w:rsid w:val="00476492"/>
    <w:rsid w:val="00476553"/>
    <w:rsid w:val="0047683B"/>
    <w:rsid w:val="00476A60"/>
    <w:rsid w:val="00476B5C"/>
    <w:rsid w:val="00476B6E"/>
    <w:rsid w:val="00476C4A"/>
    <w:rsid w:val="0047723C"/>
    <w:rsid w:val="0047729B"/>
    <w:rsid w:val="004772C7"/>
    <w:rsid w:val="00477328"/>
    <w:rsid w:val="004779A3"/>
    <w:rsid w:val="00477C7B"/>
    <w:rsid w:val="00477DC1"/>
    <w:rsid w:val="00477EE7"/>
    <w:rsid w:val="00477FA5"/>
    <w:rsid w:val="0048008D"/>
    <w:rsid w:val="004803EC"/>
    <w:rsid w:val="00480433"/>
    <w:rsid w:val="0048070A"/>
    <w:rsid w:val="004807FC"/>
    <w:rsid w:val="00480B2C"/>
    <w:rsid w:val="00480B66"/>
    <w:rsid w:val="00480DE7"/>
    <w:rsid w:val="00480E27"/>
    <w:rsid w:val="00480F9E"/>
    <w:rsid w:val="004810F1"/>
    <w:rsid w:val="004814EE"/>
    <w:rsid w:val="00481502"/>
    <w:rsid w:val="004815C3"/>
    <w:rsid w:val="0048191E"/>
    <w:rsid w:val="00481A2D"/>
    <w:rsid w:val="00481B5F"/>
    <w:rsid w:val="00481E22"/>
    <w:rsid w:val="00482171"/>
    <w:rsid w:val="004821A0"/>
    <w:rsid w:val="0048226A"/>
    <w:rsid w:val="004823BA"/>
    <w:rsid w:val="004823DE"/>
    <w:rsid w:val="004825C7"/>
    <w:rsid w:val="004825F0"/>
    <w:rsid w:val="0048289C"/>
    <w:rsid w:val="00482CD6"/>
    <w:rsid w:val="004832F2"/>
    <w:rsid w:val="00483312"/>
    <w:rsid w:val="00483412"/>
    <w:rsid w:val="00483544"/>
    <w:rsid w:val="0048354E"/>
    <w:rsid w:val="004836E8"/>
    <w:rsid w:val="004837AC"/>
    <w:rsid w:val="0048380E"/>
    <w:rsid w:val="00483C59"/>
    <w:rsid w:val="00483C60"/>
    <w:rsid w:val="00483C88"/>
    <w:rsid w:val="00483CB3"/>
    <w:rsid w:val="00483D56"/>
    <w:rsid w:val="00483F3F"/>
    <w:rsid w:val="00483FFD"/>
    <w:rsid w:val="0048411E"/>
    <w:rsid w:val="00484498"/>
    <w:rsid w:val="0048472C"/>
    <w:rsid w:val="004849BA"/>
    <w:rsid w:val="004849EF"/>
    <w:rsid w:val="00484B95"/>
    <w:rsid w:val="00484BFF"/>
    <w:rsid w:val="00484D54"/>
    <w:rsid w:val="00484DD8"/>
    <w:rsid w:val="00484EE1"/>
    <w:rsid w:val="0048524F"/>
    <w:rsid w:val="00485486"/>
    <w:rsid w:val="00485892"/>
    <w:rsid w:val="004859B9"/>
    <w:rsid w:val="00485C37"/>
    <w:rsid w:val="00485C86"/>
    <w:rsid w:val="00485EE8"/>
    <w:rsid w:val="00485F64"/>
    <w:rsid w:val="00485F73"/>
    <w:rsid w:val="0048622C"/>
    <w:rsid w:val="00486318"/>
    <w:rsid w:val="0048633B"/>
    <w:rsid w:val="004864CF"/>
    <w:rsid w:val="004865DA"/>
    <w:rsid w:val="004865E7"/>
    <w:rsid w:val="00486642"/>
    <w:rsid w:val="00486719"/>
    <w:rsid w:val="00486C1F"/>
    <w:rsid w:val="00486CB7"/>
    <w:rsid w:val="00486E3C"/>
    <w:rsid w:val="00486E47"/>
    <w:rsid w:val="00487102"/>
    <w:rsid w:val="00487170"/>
    <w:rsid w:val="00487255"/>
    <w:rsid w:val="0048733C"/>
    <w:rsid w:val="004873D2"/>
    <w:rsid w:val="00487523"/>
    <w:rsid w:val="00487525"/>
    <w:rsid w:val="0048758B"/>
    <w:rsid w:val="0048770B"/>
    <w:rsid w:val="00487A86"/>
    <w:rsid w:val="00487A8F"/>
    <w:rsid w:val="00487ADD"/>
    <w:rsid w:val="00487DE4"/>
    <w:rsid w:val="00487EBE"/>
    <w:rsid w:val="00487EFB"/>
    <w:rsid w:val="00487F07"/>
    <w:rsid w:val="004904C6"/>
    <w:rsid w:val="00490681"/>
    <w:rsid w:val="004907C5"/>
    <w:rsid w:val="00490C4D"/>
    <w:rsid w:val="00490DCC"/>
    <w:rsid w:val="00491349"/>
    <w:rsid w:val="00491370"/>
    <w:rsid w:val="00491493"/>
    <w:rsid w:val="00491542"/>
    <w:rsid w:val="004916E3"/>
    <w:rsid w:val="00491B8D"/>
    <w:rsid w:val="00491FD4"/>
    <w:rsid w:val="00492207"/>
    <w:rsid w:val="004923E7"/>
    <w:rsid w:val="0049252E"/>
    <w:rsid w:val="004925F0"/>
    <w:rsid w:val="00492635"/>
    <w:rsid w:val="00492680"/>
    <w:rsid w:val="0049280A"/>
    <w:rsid w:val="004928A8"/>
    <w:rsid w:val="00492AD4"/>
    <w:rsid w:val="00492C20"/>
    <w:rsid w:val="004931D8"/>
    <w:rsid w:val="0049323A"/>
    <w:rsid w:val="0049362B"/>
    <w:rsid w:val="0049377D"/>
    <w:rsid w:val="004937BC"/>
    <w:rsid w:val="00493A4D"/>
    <w:rsid w:val="00493AF7"/>
    <w:rsid w:val="00493B4C"/>
    <w:rsid w:val="00493C05"/>
    <w:rsid w:val="00493C67"/>
    <w:rsid w:val="00493C79"/>
    <w:rsid w:val="00493D7D"/>
    <w:rsid w:val="0049402E"/>
    <w:rsid w:val="0049432D"/>
    <w:rsid w:val="004944C2"/>
    <w:rsid w:val="004945B8"/>
    <w:rsid w:val="004945F2"/>
    <w:rsid w:val="0049479B"/>
    <w:rsid w:val="004947E8"/>
    <w:rsid w:val="00494859"/>
    <w:rsid w:val="00494A2A"/>
    <w:rsid w:val="00494B42"/>
    <w:rsid w:val="00494C76"/>
    <w:rsid w:val="00494CE3"/>
    <w:rsid w:val="00494E3D"/>
    <w:rsid w:val="00494EC6"/>
    <w:rsid w:val="00494FD3"/>
    <w:rsid w:val="00495144"/>
    <w:rsid w:val="00495395"/>
    <w:rsid w:val="00495596"/>
    <w:rsid w:val="00495A0E"/>
    <w:rsid w:val="00495A94"/>
    <w:rsid w:val="00495B78"/>
    <w:rsid w:val="00495D26"/>
    <w:rsid w:val="00495F21"/>
    <w:rsid w:val="00495F5E"/>
    <w:rsid w:val="00496431"/>
    <w:rsid w:val="00496432"/>
    <w:rsid w:val="00496436"/>
    <w:rsid w:val="00496933"/>
    <w:rsid w:val="00496939"/>
    <w:rsid w:val="00496975"/>
    <w:rsid w:val="00496AB4"/>
    <w:rsid w:val="00496D0A"/>
    <w:rsid w:val="00496D7C"/>
    <w:rsid w:val="00496DB7"/>
    <w:rsid w:val="00496EF5"/>
    <w:rsid w:val="00497067"/>
    <w:rsid w:val="004974B5"/>
    <w:rsid w:val="00497628"/>
    <w:rsid w:val="00497792"/>
    <w:rsid w:val="004977C5"/>
    <w:rsid w:val="004977F9"/>
    <w:rsid w:val="00497EEE"/>
    <w:rsid w:val="004A006C"/>
    <w:rsid w:val="004A0074"/>
    <w:rsid w:val="004A02CD"/>
    <w:rsid w:val="004A03AC"/>
    <w:rsid w:val="004A05CB"/>
    <w:rsid w:val="004A05D2"/>
    <w:rsid w:val="004A06E4"/>
    <w:rsid w:val="004A0703"/>
    <w:rsid w:val="004A095E"/>
    <w:rsid w:val="004A0AA1"/>
    <w:rsid w:val="004A0ACA"/>
    <w:rsid w:val="004A0B3D"/>
    <w:rsid w:val="004A0C92"/>
    <w:rsid w:val="004A0C9C"/>
    <w:rsid w:val="004A0D93"/>
    <w:rsid w:val="004A1143"/>
    <w:rsid w:val="004A1196"/>
    <w:rsid w:val="004A122B"/>
    <w:rsid w:val="004A1271"/>
    <w:rsid w:val="004A1325"/>
    <w:rsid w:val="004A132C"/>
    <w:rsid w:val="004A13B9"/>
    <w:rsid w:val="004A1737"/>
    <w:rsid w:val="004A1891"/>
    <w:rsid w:val="004A19C8"/>
    <w:rsid w:val="004A1A22"/>
    <w:rsid w:val="004A1BF9"/>
    <w:rsid w:val="004A1CA1"/>
    <w:rsid w:val="004A1D95"/>
    <w:rsid w:val="004A1E0D"/>
    <w:rsid w:val="004A2164"/>
    <w:rsid w:val="004A21BC"/>
    <w:rsid w:val="004A2359"/>
    <w:rsid w:val="004A23AE"/>
    <w:rsid w:val="004A2406"/>
    <w:rsid w:val="004A28BD"/>
    <w:rsid w:val="004A2959"/>
    <w:rsid w:val="004A2AD0"/>
    <w:rsid w:val="004A2E89"/>
    <w:rsid w:val="004A2EEB"/>
    <w:rsid w:val="004A2F24"/>
    <w:rsid w:val="004A2F48"/>
    <w:rsid w:val="004A304D"/>
    <w:rsid w:val="004A3232"/>
    <w:rsid w:val="004A3233"/>
    <w:rsid w:val="004A3407"/>
    <w:rsid w:val="004A354A"/>
    <w:rsid w:val="004A37FA"/>
    <w:rsid w:val="004A3891"/>
    <w:rsid w:val="004A3CFD"/>
    <w:rsid w:val="004A3FC2"/>
    <w:rsid w:val="004A3FD8"/>
    <w:rsid w:val="004A4051"/>
    <w:rsid w:val="004A4070"/>
    <w:rsid w:val="004A432D"/>
    <w:rsid w:val="004A43CC"/>
    <w:rsid w:val="004A45C9"/>
    <w:rsid w:val="004A468F"/>
    <w:rsid w:val="004A470C"/>
    <w:rsid w:val="004A4753"/>
    <w:rsid w:val="004A484E"/>
    <w:rsid w:val="004A4932"/>
    <w:rsid w:val="004A49C7"/>
    <w:rsid w:val="004A4B39"/>
    <w:rsid w:val="004A4B75"/>
    <w:rsid w:val="004A4B9D"/>
    <w:rsid w:val="004A4CC3"/>
    <w:rsid w:val="004A4E90"/>
    <w:rsid w:val="004A4F9D"/>
    <w:rsid w:val="004A5022"/>
    <w:rsid w:val="004A51CE"/>
    <w:rsid w:val="004A5286"/>
    <w:rsid w:val="004A5416"/>
    <w:rsid w:val="004A542A"/>
    <w:rsid w:val="004A5479"/>
    <w:rsid w:val="004A5611"/>
    <w:rsid w:val="004A5633"/>
    <w:rsid w:val="004A5675"/>
    <w:rsid w:val="004A56E7"/>
    <w:rsid w:val="004A57D9"/>
    <w:rsid w:val="004A59F5"/>
    <w:rsid w:val="004A5B40"/>
    <w:rsid w:val="004A5BF8"/>
    <w:rsid w:val="004A5C21"/>
    <w:rsid w:val="004A5CD9"/>
    <w:rsid w:val="004A5D9F"/>
    <w:rsid w:val="004A5E8A"/>
    <w:rsid w:val="004A60FB"/>
    <w:rsid w:val="004A6148"/>
    <w:rsid w:val="004A617C"/>
    <w:rsid w:val="004A6240"/>
    <w:rsid w:val="004A6346"/>
    <w:rsid w:val="004A63B7"/>
    <w:rsid w:val="004A63FE"/>
    <w:rsid w:val="004A6795"/>
    <w:rsid w:val="004A67BD"/>
    <w:rsid w:val="004A6A5C"/>
    <w:rsid w:val="004A6B09"/>
    <w:rsid w:val="004A6C36"/>
    <w:rsid w:val="004A6DF8"/>
    <w:rsid w:val="004A747C"/>
    <w:rsid w:val="004A74C3"/>
    <w:rsid w:val="004A753C"/>
    <w:rsid w:val="004A75A5"/>
    <w:rsid w:val="004A7930"/>
    <w:rsid w:val="004A79EA"/>
    <w:rsid w:val="004A7A5C"/>
    <w:rsid w:val="004A7A74"/>
    <w:rsid w:val="004A7A87"/>
    <w:rsid w:val="004A7A99"/>
    <w:rsid w:val="004A7CA2"/>
    <w:rsid w:val="004A7CFC"/>
    <w:rsid w:val="004A7E6A"/>
    <w:rsid w:val="004B01E8"/>
    <w:rsid w:val="004B0327"/>
    <w:rsid w:val="004B0388"/>
    <w:rsid w:val="004B05FD"/>
    <w:rsid w:val="004B0654"/>
    <w:rsid w:val="004B090A"/>
    <w:rsid w:val="004B0992"/>
    <w:rsid w:val="004B0A04"/>
    <w:rsid w:val="004B0B96"/>
    <w:rsid w:val="004B0BAD"/>
    <w:rsid w:val="004B0CB9"/>
    <w:rsid w:val="004B0D9C"/>
    <w:rsid w:val="004B0DD0"/>
    <w:rsid w:val="004B0EDE"/>
    <w:rsid w:val="004B0FF1"/>
    <w:rsid w:val="004B119D"/>
    <w:rsid w:val="004B11EC"/>
    <w:rsid w:val="004B1229"/>
    <w:rsid w:val="004B12F0"/>
    <w:rsid w:val="004B13B8"/>
    <w:rsid w:val="004B140D"/>
    <w:rsid w:val="004B1512"/>
    <w:rsid w:val="004B1694"/>
    <w:rsid w:val="004B17CC"/>
    <w:rsid w:val="004B18C4"/>
    <w:rsid w:val="004B1ADE"/>
    <w:rsid w:val="004B1D42"/>
    <w:rsid w:val="004B1EB0"/>
    <w:rsid w:val="004B1F6C"/>
    <w:rsid w:val="004B206F"/>
    <w:rsid w:val="004B2187"/>
    <w:rsid w:val="004B2263"/>
    <w:rsid w:val="004B2654"/>
    <w:rsid w:val="004B28C4"/>
    <w:rsid w:val="004B2A0C"/>
    <w:rsid w:val="004B2A4E"/>
    <w:rsid w:val="004B2A65"/>
    <w:rsid w:val="004B2EC0"/>
    <w:rsid w:val="004B300D"/>
    <w:rsid w:val="004B332C"/>
    <w:rsid w:val="004B336D"/>
    <w:rsid w:val="004B35F1"/>
    <w:rsid w:val="004B3745"/>
    <w:rsid w:val="004B3813"/>
    <w:rsid w:val="004B388F"/>
    <w:rsid w:val="004B38CC"/>
    <w:rsid w:val="004B3996"/>
    <w:rsid w:val="004B3D46"/>
    <w:rsid w:val="004B3EF9"/>
    <w:rsid w:val="004B4071"/>
    <w:rsid w:val="004B4187"/>
    <w:rsid w:val="004B4444"/>
    <w:rsid w:val="004B44FE"/>
    <w:rsid w:val="004B45A4"/>
    <w:rsid w:val="004B460E"/>
    <w:rsid w:val="004B47F6"/>
    <w:rsid w:val="004B49CC"/>
    <w:rsid w:val="004B4B11"/>
    <w:rsid w:val="004B4C15"/>
    <w:rsid w:val="004B4CA2"/>
    <w:rsid w:val="004B529A"/>
    <w:rsid w:val="004B53DC"/>
    <w:rsid w:val="004B5573"/>
    <w:rsid w:val="004B5664"/>
    <w:rsid w:val="004B5746"/>
    <w:rsid w:val="004B58AF"/>
    <w:rsid w:val="004B591F"/>
    <w:rsid w:val="004B5984"/>
    <w:rsid w:val="004B5AB1"/>
    <w:rsid w:val="004B5B35"/>
    <w:rsid w:val="004B5C1C"/>
    <w:rsid w:val="004B5D79"/>
    <w:rsid w:val="004B5DA8"/>
    <w:rsid w:val="004B5EDD"/>
    <w:rsid w:val="004B609D"/>
    <w:rsid w:val="004B63F9"/>
    <w:rsid w:val="004B64D7"/>
    <w:rsid w:val="004B65CA"/>
    <w:rsid w:val="004B660D"/>
    <w:rsid w:val="004B6629"/>
    <w:rsid w:val="004B66E4"/>
    <w:rsid w:val="004B672B"/>
    <w:rsid w:val="004B6871"/>
    <w:rsid w:val="004B6A95"/>
    <w:rsid w:val="004B6B3D"/>
    <w:rsid w:val="004B6B6A"/>
    <w:rsid w:val="004B6C3D"/>
    <w:rsid w:val="004B6C3F"/>
    <w:rsid w:val="004B6F75"/>
    <w:rsid w:val="004B6FC3"/>
    <w:rsid w:val="004B71FE"/>
    <w:rsid w:val="004B7753"/>
    <w:rsid w:val="004B77DC"/>
    <w:rsid w:val="004B7924"/>
    <w:rsid w:val="004B7A6E"/>
    <w:rsid w:val="004B7A94"/>
    <w:rsid w:val="004B7AED"/>
    <w:rsid w:val="004B7E44"/>
    <w:rsid w:val="004B7E76"/>
    <w:rsid w:val="004C0161"/>
    <w:rsid w:val="004C01B2"/>
    <w:rsid w:val="004C01FA"/>
    <w:rsid w:val="004C04D0"/>
    <w:rsid w:val="004C064F"/>
    <w:rsid w:val="004C06F6"/>
    <w:rsid w:val="004C09DC"/>
    <w:rsid w:val="004C0A2B"/>
    <w:rsid w:val="004C0A39"/>
    <w:rsid w:val="004C0B84"/>
    <w:rsid w:val="004C0CB4"/>
    <w:rsid w:val="004C0F02"/>
    <w:rsid w:val="004C0F8F"/>
    <w:rsid w:val="004C1053"/>
    <w:rsid w:val="004C108C"/>
    <w:rsid w:val="004C10B4"/>
    <w:rsid w:val="004C12E5"/>
    <w:rsid w:val="004C142D"/>
    <w:rsid w:val="004C1606"/>
    <w:rsid w:val="004C17E9"/>
    <w:rsid w:val="004C1802"/>
    <w:rsid w:val="004C19FB"/>
    <w:rsid w:val="004C1C32"/>
    <w:rsid w:val="004C1C43"/>
    <w:rsid w:val="004C1CCE"/>
    <w:rsid w:val="004C1E6E"/>
    <w:rsid w:val="004C1E8F"/>
    <w:rsid w:val="004C1EFC"/>
    <w:rsid w:val="004C1F21"/>
    <w:rsid w:val="004C2119"/>
    <w:rsid w:val="004C2264"/>
    <w:rsid w:val="004C2337"/>
    <w:rsid w:val="004C261D"/>
    <w:rsid w:val="004C264F"/>
    <w:rsid w:val="004C2687"/>
    <w:rsid w:val="004C2777"/>
    <w:rsid w:val="004C2B33"/>
    <w:rsid w:val="004C2C1D"/>
    <w:rsid w:val="004C2D72"/>
    <w:rsid w:val="004C2EE0"/>
    <w:rsid w:val="004C3013"/>
    <w:rsid w:val="004C3054"/>
    <w:rsid w:val="004C3241"/>
    <w:rsid w:val="004C3285"/>
    <w:rsid w:val="004C32B3"/>
    <w:rsid w:val="004C3582"/>
    <w:rsid w:val="004C364D"/>
    <w:rsid w:val="004C3830"/>
    <w:rsid w:val="004C3899"/>
    <w:rsid w:val="004C39B9"/>
    <w:rsid w:val="004C3A1A"/>
    <w:rsid w:val="004C3AD8"/>
    <w:rsid w:val="004C3D56"/>
    <w:rsid w:val="004C3D5D"/>
    <w:rsid w:val="004C3DEA"/>
    <w:rsid w:val="004C3E23"/>
    <w:rsid w:val="004C3E65"/>
    <w:rsid w:val="004C3EDC"/>
    <w:rsid w:val="004C3FA8"/>
    <w:rsid w:val="004C40E7"/>
    <w:rsid w:val="004C4397"/>
    <w:rsid w:val="004C442D"/>
    <w:rsid w:val="004C4435"/>
    <w:rsid w:val="004C4979"/>
    <w:rsid w:val="004C4B81"/>
    <w:rsid w:val="004C4CBE"/>
    <w:rsid w:val="004C4CEA"/>
    <w:rsid w:val="004C51B6"/>
    <w:rsid w:val="004C57EA"/>
    <w:rsid w:val="004C57F4"/>
    <w:rsid w:val="004C582C"/>
    <w:rsid w:val="004C58F5"/>
    <w:rsid w:val="004C5A5C"/>
    <w:rsid w:val="004C5C9A"/>
    <w:rsid w:val="004C5CB4"/>
    <w:rsid w:val="004C5E60"/>
    <w:rsid w:val="004C611F"/>
    <w:rsid w:val="004C6182"/>
    <w:rsid w:val="004C6309"/>
    <w:rsid w:val="004C65EB"/>
    <w:rsid w:val="004C67DE"/>
    <w:rsid w:val="004C67F4"/>
    <w:rsid w:val="004C692D"/>
    <w:rsid w:val="004C6BD7"/>
    <w:rsid w:val="004C6C83"/>
    <w:rsid w:val="004C6F6D"/>
    <w:rsid w:val="004C707A"/>
    <w:rsid w:val="004C7126"/>
    <w:rsid w:val="004C7138"/>
    <w:rsid w:val="004C7619"/>
    <w:rsid w:val="004C7685"/>
    <w:rsid w:val="004C79A0"/>
    <w:rsid w:val="004C7AE9"/>
    <w:rsid w:val="004C7BB6"/>
    <w:rsid w:val="004C7BCE"/>
    <w:rsid w:val="004C7C98"/>
    <w:rsid w:val="004C7D42"/>
    <w:rsid w:val="004D001B"/>
    <w:rsid w:val="004D00E1"/>
    <w:rsid w:val="004D012D"/>
    <w:rsid w:val="004D0132"/>
    <w:rsid w:val="004D022A"/>
    <w:rsid w:val="004D041E"/>
    <w:rsid w:val="004D0452"/>
    <w:rsid w:val="004D0469"/>
    <w:rsid w:val="004D05D9"/>
    <w:rsid w:val="004D0966"/>
    <w:rsid w:val="004D0983"/>
    <w:rsid w:val="004D0ACC"/>
    <w:rsid w:val="004D0BD4"/>
    <w:rsid w:val="004D0FCC"/>
    <w:rsid w:val="004D1069"/>
    <w:rsid w:val="004D10B6"/>
    <w:rsid w:val="004D10FA"/>
    <w:rsid w:val="004D11F5"/>
    <w:rsid w:val="004D1469"/>
    <w:rsid w:val="004D16C5"/>
    <w:rsid w:val="004D198F"/>
    <w:rsid w:val="004D1991"/>
    <w:rsid w:val="004D1993"/>
    <w:rsid w:val="004D1A43"/>
    <w:rsid w:val="004D1BE7"/>
    <w:rsid w:val="004D1CB1"/>
    <w:rsid w:val="004D1CF3"/>
    <w:rsid w:val="004D1E0C"/>
    <w:rsid w:val="004D1ECB"/>
    <w:rsid w:val="004D20D7"/>
    <w:rsid w:val="004D2215"/>
    <w:rsid w:val="004D268F"/>
    <w:rsid w:val="004D28AE"/>
    <w:rsid w:val="004D2A8B"/>
    <w:rsid w:val="004D2A91"/>
    <w:rsid w:val="004D2F3B"/>
    <w:rsid w:val="004D2FDB"/>
    <w:rsid w:val="004D32A2"/>
    <w:rsid w:val="004D33F0"/>
    <w:rsid w:val="004D39C3"/>
    <w:rsid w:val="004D3B66"/>
    <w:rsid w:val="004D3D41"/>
    <w:rsid w:val="004D3DF4"/>
    <w:rsid w:val="004D3EA9"/>
    <w:rsid w:val="004D4213"/>
    <w:rsid w:val="004D432B"/>
    <w:rsid w:val="004D43F5"/>
    <w:rsid w:val="004D4462"/>
    <w:rsid w:val="004D453B"/>
    <w:rsid w:val="004D453C"/>
    <w:rsid w:val="004D485A"/>
    <w:rsid w:val="004D4A3B"/>
    <w:rsid w:val="004D4AF7"/>
    <w:rsid w:val="004D4C0F"/>
    <w:rsid w:val="004D4C5A"/>
    <w:rsid w:val="004D4D05"/>
    <w:rsid w:val="004D4D30"/>
    <w:rsid w:val="004D4E72"/>
    <w:rsid w:val="004D4F36"/>
    <w:rsid w:val="004D4FCB"/>
    <w:rsid w:val="004D5336"/>
    <w:rsid w:val="004D53DF"/>
    <w:rsid w:val="004D557C"/>
    <w:rsid w:val="004D5605"/>
    <w:rsid w:val="004D5692"/>
    <w:rsid w:val="004D5755"/>
    <w:rsid w:val="004D5AC5"/>
    <w:rsid w:val="004D5C2D"/>
    <w:rsid w:val="004D5CB9"/>
    <w:rsid w:val="004D5D3B"/>
    <w:rsid w:val="004D5E72"/>
    <w:rsid w:val="004D5F59"/>
    <w:rsid w:val="004D5FC6"/>
    <w:rsid w:val="004D60A1"/>
    <w:rsid w:val="004D61B4"/>
    <w:rsid w:val="004D61FE"/>
    <w:rsid w:val="004D6274"/>
    <w:rsid w:val="004D630E"/>
    <w:rsid w:val="004D631E"/>
    <w:rsid w:val="004D6360"/>
    <w:rsid w:val="004D673D"/>
    <w:rsid w:val="004D6773"/>
    <w:rsid w:val="004D6EA9"/>
    <w:rsid w:val="004D6EF0"/>
    <w:rsid w:val="004D702E"/>
    <w:rsid w:val="004D74CE"/>
    <w:rsid w:val="004D7536"/>
    <w:rsid w:val="004D76CF"/>
    <w:rsid w:val="004D76FD"/>
    <w:rsid w:val="004D793C"/>
    <w:rsid w:val="004D7C9C"/>
    <w:rsid w:val="004D7D86"/>
    <w:rsid w:val="004D7E2A"/>
    <w:rsid w:val="004D7E97"/>
    <w:rsid w:val="004E0071"/>
    <w:rsid w:val="004E00A1"/>
    <w:rsid w:val="004E011F"/>
    <w:rsid w:val="004E0217"/>
    <w:rsid w:val="004E026E"/>
    <w:rsid w:val="004E0299"/>
    <w:rsid w:val="004E0377"/>
    <w:rsid w:val="004E0530"/>
    <w:rsid w:val="004E064F"/>
    <w:rsid w:val="004E06FE"/>
    <w:rsid w:val="004E0720"/>
    <w:rsid w:val="004E07CD"/>
    <w:rsid w:val="004E090C"/>
    <w:rsid w:val="004E0ACF"/>
    <w:rsid w:val="004E0B7B"/>
    <w:rsid w:val="004E0E4C"/>
    <w:rsid w:val="004E0F64"/>
    <w:rsid w:val="004E0FA5"/>
    <w:rsid w:val="004E10EC"/>
    <w:rsid w:val="004E1492"/>
    <w:rsid w:val="004E14EB"/>
    <w:rsid w:val="004E17A8"/>
    <w:rsid w:val="004E1AE8"/>
    <w:rsid w:val="004E1D2E"/>
    <w:rsid w:val="004E1D52"/>
    <w:rsid w:val="004E1E0D"/>
    <w:rsid w:val="004E1EA5"/>
    <w:rsid w:val="004E2093"/>
    <w:rsid w:val="004E22D0"/>
    <w:rsid w:val="004E2605"/>
    <w:rsid w:val="004E28A4"/>
    <w:rsid w:val="004E29E6"/>
    <w:rsid w:val="004E2A5C"/>
    <w:rsid w:val="004E2AC5"/>
    <w:rsid w:val="004E2B3A"/>
    <w:rsid w:val="004E2C64"/>
    <w:rsid w:val="004E2D04"/>
    <w:rsid w:val="004E2E9F"/>
    <w:rsid w:val="004E2FDA"/>
    <w:rsid w:val="004E3046"/>
    <w:rsid w:val="004E3095"/>
    <w:rsid w:val="004E319C"/>
    <w:rsid w:val="004E33DA"/>
    <w:rsid w:val="004E349B"/>
    <w:rsid w:val="004E37C6"/>
    <w:rsid w:val="004E3CC1"/>
    <w:rsid w:val="004E3D93"/>
    <w:rsid w:val="004E3E1B"/>
    <w:rsid w:val="004E3E70"/>
    <w:rsid w:val="004E3F97"/>
    <w:rsid w:val="004E400A"/>
    <w:rsid w:val="004E40D1"/>
    <w:rsid w:val="004E4292"/>
    <w:rsid w:val="004E4301"/>
    <w:rsid w:val="004E4341"/>
    <w:rsid w:val="004E43D3"/>
    <w:rsid w:val="004E43DC"/>
    <w:rsid w:val="004E4577"/>
    <w:rsid w:val="004E45E8"/>
    <w:rsid w:val="004E4662"/>
    <w:rsid w:val="004E472A"/>
    <w:rsid w:val="004E485F"/>
    <w:rsid w:val="004E4864"/>
    <w:rsid w:val="004E4BDC"/>
    <w:rsid w:val="004E4D0A"/>
    <w:rsid w:val="004E4ECA"/>
    <w:rsid w:val="004E4ED8"/>
    <w:rsid w:val="004E4F78"/>
    <w:rsid w:val="004E559E"/>
    <w:rsid w:val="004E5609"/>
    <w:rsid w:val="004E56A9"/>
    <w:rsid w:val="004E5842"/>
    <w:rsid w:val="004E5D0A"/>
    <w:rsid w:val="004E6087"/>
    <w:rsid w:val="004E6187"/>
    <w:rsid w:val="004E6534"/>
    <w:rsid w:val="004E671B"/>
    <w:rsid w:val="004E6907"/>
    <w:rsid w:val="004E69FB"/>
    <w:rsid w:val="004E6A11"/>
    <w:rsid w:val="004E6BF4"/>
    <w:rsid w:val="004E703C"/>
    <w:rsid w:val="004E71D5"/>
    <w:rsid w:val="004E73C0"/>
    <w:rsid w:val="004E7510"/>
    <w:rsid w:val="004E76B6"/>
    <w:rsid w:val="004E774A"/>
    <w:rsid w:val="004E77EC"/>
    <w:rsid w:val="004E7852"/>
    <w:rsid w:val="004E789F"/>
    <w:rsid w:val="004E7A72"/>
    <w:rsid w:val="004E7B6F"/>
    <w:rsid w:val="004E7EAF"/>
    <w:rsid w:val="004F0071"/>
    <w:rsid w:val="004F009A"/>
    <w:rsid w:val="004F00F6"/>
    <w:rsid w:val="004F0345"/>
    <w:rsid w:val="004F0359"/>
    <w:rsid w:val="004F0460"/>
    <w:rsid w:val="004F0944"/>
    <w:rsid w:val="004F09CF"/>
    <w:rsid w:val="004F0AF7"/>
    <w:rsid w:val="004F0B35"/>
    <w:rsid w:val="004F0CA9"/>
    <w:rsid w:val="004F122A"/>
    <w:rsid w:val="004F131C"/>
    <w:rsid w:val="004F133B"/>
    <w:rsid w:val="004F13C1"/>
    <w:rsid w:val="004F13FE"/>
    <w:rsid w:val="004F14AF"/>
    <w:rsid w:val="004F14F9"/>
    <w:rsid w:val="004F1631"/>
    <w:rsid w:val="004F1635"/>
    <w:rsid w:val="004F16E8"/>
    <w:rsid w:val="004F1890"/>
    <w:rsid w:val="004F19E5"/>
    <w:rsid w:val="004F1A18"/>
    <w:rsid w:val="004F1A1A"/>
    <w:rsid w:val="004F1AE0"/>
    <w:rsid w:val="004F1C33"/>
    <w:rsid w:val="004F1CB8"/>
    <w:rsid w:val="004F1D94"/>
    <w:rsid w:val="004F1E61"/>
    <w:rsid w:val="004F2036"/>
    <w:rsid w:val="004F22D6"/>
    <w:rsid w:val="004F2498"/>
    <w:rsid w:val="004F262E"/>
    <w:rsid w:val="004F271A"/>
    <w:rsid w:val="004F2756"/>
    <w:rsid w:val="004F2792"/>
    <w:rsid w:val="004F29D2"/>
    <w:rsid w:val="004F2B49"/>
    <w:rsid w:val="004F2B8A"/>
    <w:rsid w:val="004F2BD5"/>
    <w:rsid w:val="004F2C57"/>
    <w:rsid w:val="004F2CFC"/>
    <w:rsid w:val="004F301E"/>
    <w:rsid w:val="004F31B7"/>
    <w:rsid w:val="004F347C"/>
    <w:rsid w:val="004F3496"/>
    <w:rsid w:val="004F351A"/>
    <w:rsid w:val="004F364C"/>
    <w:rsid w:val="004F368A"/>
    <w:rsid w:val="004F382C"/>
    <w:rsid w:val="004F3897"/>
    <w:rsid w:val="004F3A7B"/>
    <w:rsid w:val="004F3B08"/>
    <w:rsid w:val="004F3B4A"/>
    <w:rsid w:val="004F3B67"/>
    <w:rsid w:val="004F3CD6"/>
    <w:rsid w:val="004F3D06"/>
    <w:rsid w:val="004F3DBC"/>
    <w:rsid w:val="004F3E33"/>
    <w:rsid w:val="004F3F4D"/>
    <w:rsid w:val="004F41D8"/>
    <w:rsid w:val="004F4232"/>
    <w:rsid w:val="004F430B"/>
    <w:rsid w:val="004F441A"/>
    <w:rsid w:val="004F456C"/>
    <w:rsid w:val="004F47B7"/>
    <w:rsid w:val="004F4810"/>
    <w:rsid w:val="004F49C4"/>
    <w:rsid w:val="004F4A26"/>
    <w:rsid w:val="004F4A5D"/>
    <w:rsid w:val="004F4ACB"/>
    <w:rsid w:val="004F4B05"/>
    <w:rsid w:val="004F4CB9"/>
    <w:rsid w:val="004F4EAD"/>
    <w:rsid w:val="004F4ECA"/>
    <w:rsid w:val="004F50DF"/>
    <w:rsid w:val="004F530F"/>
    <w:rsid w:val="004F539D"/>
    <w:rsid w:val="004F53A9"/>
    <w:rsid w:val="004F5573"/>
    <w:rsid w:val="004F55AC"/>
    <w:rsid w:val="004F56AA"/>
    <w:rsid w:val="004F575F"/>
    <w:rsid w:val="004F5A20"/>
    <w:rsid w:val="004F5B77"/>
    <w:rsid w:val="004F5BAE"/>
    <w:rsid w:val="004F5BDD"/>
    <w:rsid w:val="004F5DA3"/>
    <w:rsid w:val="004F5DE5"/>
    <w:rsid w:val="004F6097"/>
    <w:rsid w:val="004F6320"/>
    <w:rsid w:val="004F6359"/>
    <w:rsid w:val="004F6487"/>
    <w:rsid w:val="004F6492"/>
    <w:rsid w:val="004F663D"/>
    <w:rsid w:val="004F686A"/>
    <w:rsid w:val="004F6907"/>
    <w:rsid w:val="004F6919"/>
    <w:rsid w:val="004F69DE"/>
    <w:rsid w:val="004F6B10"/>
    <w:rsid w:val="004F6C82"/>
    <w:rsid w:val="004F6FBD"/>
    <w:rsid w:val="004F726C"/>
    <w:rsid w:val="004F74B1"/>
    <w:rsid w:val="004F7640"/>
    <w:rsid w:val="004F766C"/>
    <w:rsid w:val="004F7686"/>
    <w:rsid w:val="004F76DB"/>
    <w:rsid w:val="004F777D"/>
    <w:rsid w:val="004F7B47"/>
    <w:rsid w:val="004F7B75"/>
    <w:rsid w:val="004F7BA6"/>
    <w:rsid w:val="004F7C78"/>
    <w:rsid w:val="004F7CE9"/>
    <w:rsid w:val="005000ED"/>
    <w:rsid w:val="0050018C"/>
    <w:rsid w:val="005001C2"/>
    <w:rsid w:val="00500557"/>
    <w:rsid w:val="005008E4"/>
    <w:rsid w:val="0050091C"/>
    <w:rsid w:val="00500A09"/>
    <w:rsid w:val="00500A50"/>
    <w:rsid w:val="00500FA6"/>
    <w:rsid w:val="005010BC"/>
    <w:rsid w:val="00501105"/>
    <w:rsid w:val="0050117E"/>
    <w:rsid w:val="005015C7"/>
    <w:rsid w:val="00501754"/>
    <w:rsid w:val="005018C1"/>
    <w:rsid w:val="00501AAA"/>
    <w:rsid w:val="00501AFE"/>
    <w:rsid w:val="00501BB7"/>
    <w:rsid w:val="00501C6A"/>
    <w:rsid w:val="00501CB4"/>
    <w:rsid w:val="00501E3F"/>
    <w:rsid w:val="0050222C"/>
    <w:rsid w:val="0050239A"/>
    <w:rsid w:val="00502628"/>
    <w:rsid w:val="00502942"/>
    <w:rsid w:val="00502B2D"/>
    <w:rsid w:val="00502FCC"/>
    <w:rsid w:val="00502FE3"/>
    <w:rsid w:val="0050337B"/>
    <w:rsid w:val="005034ED"/>
    <w:rsid w:val="00503511"/>
    <w:rsid w:val="0050367C"/>
    <w:rsid w:val="00503723"/>
    <w:rsid w:val="005037EA"/>
    <w:rsid w:val="00503AA6"/>
    <w:rsid w:val="00503C2E"/>
    <w:rsid w:val="00503D18"/>
    <w:rsid w:val="00504080"/>
    <w:rsid w:val="00504087"/>
    <w:rsid w:val="00504101"/>
    <w:rsid w:val="00504380"/>
    <w:rsid w:val="00504472"/>
    <w:rsid w:val="005044F6"/>
    <w:rsid w:val="00504843"/>
    <w:rsid w:val="005050BA"/>
    <w:rsid w:val="0050527B"/>
    <w:rsid w:val="0050546F"/>
    <w:rsid w:val="00505510"/>
    <w:rsid w:val="0050572B"/>
    <w:rsid w:val="00505A3C"/>
    <w:rsid w:val="00505D72"/>
    <w:rsid w:val="00505D7E"/>
    <w:rsid w:val="00505DA4"/>
    <w:rsid w:val="00505E6B"/>
    <w:rsid w:val="0050603F"/>
    <w:rsid w:val="00506118"/>
    <w:rsid w:val="005061E9"/>
    <w:rsid w:val="00506302"/>
    <w:rsid w:val="0050640B"/>
    <w:rsid w:val="0050640F"/>
    <w:rsid w:val="00506624"/>
    <w:rsid w:val="0050664C"/>
    <w:rsid w:val="00506671"/>
    <w:rsid w:val="00506722"/>
    <w:rsid w:val="0050685E"/>
    <w:rsid w:val="00506AC9"/>
    <w:rsid w:val="00506B77"/>
    <w:rsid w:val="00506C65"/>
    <w:rsid w:val="00506C74"/>
    <w:rsid w:val="00506CD3"/>
    <w:rsid w:val="00506D97"/>
    <w:rsid w:val="00506E49"/>
    <w:rsid w:val="00506E57"/>
    <w:rsid w:val="0050746B"/>
    <w:rsid w:val="0050776F"/>
    <w:rsid w:val="005078EA"/>
    <w:rsid w:val="00507980"/>
    <w:rsid w:val="00507A7F"/>
    <w:rsid w:val="00507B58"/>
    <w:rsid w:val="00507BDF"/>
    <w:rsid w:val="00507CED"/>
    <w:rsid w:val="00507D74"/>
    <w:rsid w:val="00507DB9"/>
    <w:rsid w:val="00507EDE"/>
    <w:rsid w:val="00507F47"/>
    <w:rsid w:val="00510563"/>
    <w:rsid w:val="00510610"/>
    <w:rsid w:val="00510696"/>
    <w:rsid w:val="005107F8"/>
    <w:rsid w:val="00510954"/>
    <w:rsid w:val="0051096F"/>
    <w:rsid w:val="00510BBC"/>
    <w:rsid w:val="00510DC3"/>
    <w:rsid w:val="00510EC6"/>
    <w:rsid w:val="00511010"/>
    <w:rsid w:val="005112E5"/>
    <w:rsid w:val="00511559"/>
    <w:rsid w:val="00511658"/>
    <w:rsid w:val="0051169C"/>
    <w:rsid w:val="0051177A"/>
    <w:rsid w:val="00511A7D"/>
    <w:rsid w:val="0051205B"/>
    <w:rsid w:val="005121CE"/>
    <w:rsid w:val="00512288"/>
    <w:rsid w:val="005125A0"/>
    <w:rsid w:val="005126B3"/>
    <w:rsid w:val="005126BB"/>
    <w:rsid w:val="0051279B"/>
    <w:rsid w:val="005127E8"/>
    <w:rsid w:val="00512B33"/>
    <w:rsid w:val="00512D09"/>
    <w:rsid w:val="00512F2A"/>
    <w:rsid w:val="0051310B"/>
    <w:rsid w:val="005132FF"/>
    <w:rsid w:val="005133BF"/>
    <w:rsid w:val="005133C8"/>
    <w:rsid w:val="005133DD"/>
    <w:rsid w:val="00513469"/>
    <w:rsid w:val="00513617"/>
    <w:rsid w:val="00513622"/>
    <w:rsid w:val="00513762"/>
    <w:rsid w:val="00513899"/>
    <w:rsid w:val="005139AC"/>
    <w:rsid w:val="00513AB1"/>
    <w:rsid w:val="00513CBE"/>
    <w:rsid w:val="00513D39"/>
    <w:rsid w:val="00513DF6"/>
    <w:rsid w:val="00513E35"/>
    <w:rsid w:val="00513F39"/>
    <w:rsid w:val="00513FC9"/>
    <w:rsid w:val="0051407F"/>
    <w:rsid w:val="0051409A"/>
    <w:rsid w:val="005140D4"/>
    <w:rsid w:val="005141D2"/>
    <w:rsid w:val="005142E3"/>
    <w:rsid w:val="005145AC"/>
    <w:rsid w:val="00514895"/>
    <w:rsid w:val="00514B57"/>
    <w:rsid w:val="00514BB6"/>
    <w:rsid w:val="00515085"/>
    <w:rsid w:val="0051555F"/>
    <w:rsid w:val="005155F5"/>
    <w:rsid w:val="005159D7"/>
    <w:rsid w:val="00515B67"/>
    <w:rsid w:val="00515D54"/>
    <w:rsid w:val="00515E3D"/>
    <w:rsid w:val="00515F7B"/>
    <w:rsid w:val="005161EA"/>
    <w:rsid w:val="00516655"/>
    <w:rsid w:val="005166E0"/>
    <w:rsid w:val="00516717"/>
    <w:rsid w:val="005167D4"/>
    <w:rsid w:val="005168B7"/>
    <w:rsid w:val="00516E4C"/>
    <w:rsid w:val="005170CF"/>
    <w:rsid w:val="00517108"/>
    <w:rsid w:val="005171B1"/>
    <w:rsid w:val="005172EC"/>
    <w:rsid w:val="00517496"/>
    <w:rsid w:val="005174C9"/>
    <w:rsid w:val="005175AB"/>
    <w:rsid w:val="005177E6"/>
    <w:rsid w:val="00517875"/>
    <w:rsid w:val="0051798E"/>
    <w:rsid w:val="005179A1"/>
    <w:rsid w:val="00517D8A"/>
    <w:rsid w:val="00517E7B"/>
    <w:rsid w:val="00517FDC"/>
    <w:rsid w:val="005204FA"/>
    <w:rsid w:val="0052055D"/>
    <w:rsid w:val="0052071C"/>
    <w:rsid w:val="005208D0"/>
    <w:rsid w:val="00520900"/>
    <w:rsid w:val="00520A0E"/>
    <w:rsid w:val="00520AFC"/>
    <w:rsid w:val="00520B59"/>
    <w:rsid w:val="00520BA0"/>
    <w:rsid w:val="00520E31"/>
    <w:rsid w:val="00520EA9"/>
    <w:rsid w:val="00520F75"/>
    <w:rsid w:val="005210CC"/>
    <w:rsid w:val="005210D0"/>
    <w:rsid w:val="00521165"/>
    <w:rsid w:val="005212FF"/>
    <w:rsid w:val="0052147D"/>
    <w:rsid w:val="005214E3"/>
    <w:rsid w:val="005216B1"/>
    <w:rsid w:val="005216F5"/>
    <w:rsid w:val="00521850"/>
    <w:rsid w:val="00521888"/>
    <w:rsid w:val="0052196F"/>
    <w:rsid w:val="00521A4D"/>
    <w:rsid w:val="00521B1F"/>
    <w:rsid w:val="00521B49"/>
    <w:rsid w:val="00521C95"/>
    <w:rsid w:val="00521CC5"/>
    <w:rsid w:val="00521CD6"/>
    <w:rsid w:val="00521E2A"/>
    <w:rsid w:val="00521E73"/>
    <w:rsid w:val="00521FF0"/>
    <w:rsid w:val="00522059"/>
    <w:rsid w:val="005225B3"/>
    <w:rsid w:val="005226BE"/>
    <w:rsid w:val="005226F6"/>
    <w:rsid w:val="005227D5"/>
    <w:rsid w:val="00522C3B"/>
    <w:rsid w:val="00522DB3"/>
    <w:rsid w:val="00522E89"/>
    <w:rsid w:val="00522F45"/>
    <w:rsid w:val="005230C0"/>
    <w:rsid w:val="005233AA"/>
    <w:rsid w:val="00523442"/>
    <w:rsid w:val="00523506"/>
    <w:rsid w:val="0052394C"/>
    <w:rsid w:val="00523AAB"/>
    <w:rsid w:val="00523E63"/>
    <w:rsid w:val="00523E7F"/>
    <w:rsid w:val="00524123"/>
    <w:rsid w:val="00524315"/>
    <w:rsid w:val="00524384"/>
    <w:rsid w:val="005244EE"/>
    <w:rsid w:val="005245A4"/>
    <w:rsid w:val="00524656"/>
    <w:rsid w:val="00524662"/>
    <w:rsid w:val="00524722"/>
    <w:rsid w:val="0052517A"/>
    <w:rsid w:val="005251AC"/>
    <w:rsid w:val="005253E0"/>
    <w:rsid w:val="005255B0"/>
    <w:rsid w:val="005255CE"/>
    <w:rsid w:val="005255CF"/>
    <w:rsid w:val="00525678"/>
    <w:rsid w:val="005257E4"/>
    <w:rsid w:val="00525834"/>
    <w:rsid w:val="00525952"/>
    <w:rsid w:val="00525BD1"/>
    <w:rsid w:val="00525DA9"/>
    <w:rsid w:val="00525F5C"/>
    <w:rsid w:val="00525FCE"/>
    <w:rsid w:val="00526061"/>
    <w:rsid w:val="005261BC"/>
    <w:rsid w:val="005261FB"/>
    <w:rsid w:val="00526297"/>
    <w:rsid w:val="0052668E"/>
    <w:rsid w:val="00526781"/>
    <w:rsid w:val="00526914"/>
    <w:rsid w:val="005269F3"/>
    <w:rsid w:val="00526A32"/>
    <w:rsid w:val="00526D70"/>
    <w:rsid w:val="00526E4D"/>
    <w:rsid w:val="00526E4F"/>
    <w:rsid w:val="00526FB1"/>
    <w:rsid w:val="0052700F"/>
    <w:rsid w:val="0052735F"/>
    <w:rsid w:val="0052738F"/>
    <w:rsid w:val="00527565"/>
    <w:rsid w:val="00527580"/>
    <w:rsid w:val="00527583"/>
    <w:rsid w:val="00527865"/>
    <w:rsid w:val="00527936"/>
    <w:rsid w:val="00527A08"/>
    <w:rsid w:val="00527A85"/>
    <w:rsid w:val="00527B39"/>
    <w:rsid w:val="00527C54"/>
    <w:rsid w:val="00527D8C"/>
    <w:rsid w:val="00527E4A"/>
    <w:rsid w:val="00527E91"/>
    <w:rsid w:val="0053006D"/>
    <w:rsid w:val="005301F5"/>
    <w:rsid w:val="00530441"/>
    <w:rsid w:val="005305FA"/>
    <w:rsid w:val="0053064D"/>
    <w:rsid w:val="005306E2"/>
    <w:rsid w:val="00530B81"/>
    <w:rsid w:val="00530C69"/>
    <w:rsid w:val="00530CAC"/>
    <w:rsid w:val="00530CE9"/>
    <w:rsid w:val="00530EA1"/>
    <w:rsid w:val="0053101A"/>
    <w:rsid w:val="005310DA"/>
    <w:rsid w:val="00531168"/>
    <w:rsid w:val="005313C0"/>
    <w:rsid w:val="0053160C"/>
    <w:rsid w:val="005317FF"/>
    <w:rsid w:val="0053182F"/>
    <w:rsid w:val="00531A90"/>
    <w:rsid w:val="00531B88"/>
    <w:rsid w:val="00531D60"/>
    <w:rsid w:val="00531D63"/>
    <w:rsid w:val="00531E44"/>
    <w:rsid w:val="00531FCD"/>
    <w:rsid w:val="00532702"/>
    <w:rsid w:val="00532870"/>
    <w:rsid w:val="00532A65"/>
    <w:rsid w:val="00532B47"/>
    <w:rsid w:val="00532E16"/>
    <w:rsid w:val="00532EB1"/>
    <w:rsid w:val="005332BA"/>
    <w:rsid w:val="005333BC"/>
    <w:rsid w:val="00533429"/>
    <w:rsid w:val="005334D3"/>
    <w:rsid w:val="005335F2"/>
    <w:rsid w:val="00533995"/>
    <w:rsid w:val="005339D2"/>
    <w:rsid w:val="00533B3B"/>
    <w:rsid w:val="00533BA0"/>
    <w:rsid w:val="00533BCB"/>
    <w:rsid w:val="00533D61"/>
    <w:rsid w:val="00533DCF"/>
    <w:rsid w:val="00533ECE"/>
    <w:rsid w:val="00534141"/>
    <w:rsid w:val="00534149"/>
    <w:rsid w:val="00534238"/>
    <w:rsid w:val="00534486"/>
    <w:rsid w:val="00534501"/>
    <w:rsid w:val="005345EF"/>
    <w:rsid w:val="005345F3"/>
    <w:rsid w:val="0053486A"/>
    <w:rsid w:val="00534B99"/>
    <w:rsid w:val="00534BFD"/>
    <w:rsid w:val="00535147"/>
    <w:rsid w:val="005351ED"/>
    <w:rsid w:val="00535384"/>
    <w:rsid w:val="005353BC"/>
    <w:rsid w:val="00535660"/>
    <w:rsid w:val="005356F0"/>
    <w:rsid w:val="00535870"/>
    <w:rsid w:val="005358A8"/>
    <w:rsid w:val="005358B1"/>
    <w:rsid w:val="005358D4"/>
    <w:rsid w:val="00535B05"/>
    <w:rsid w:val="00535D35"/>
    <w:rsid w:val="00535EFB"/>
    <w:rsid w:val="00535FA0"/>
    <w:rsid w:val="0053601E"/>
    <w:rsid w:val="00536030"/>
    <w:rsid w:val="00536106"/>
    <w:rsid w:val="00536107"/>
    <w:rsid w:val="00536112"/>
    <w:rsid w:val="0053626F"/>
    <w:rsid w:val="005362B8"/>
    <w:rsid w:val="0053635D"/>
    <w:rsid w:val="005364C0"/>
    <w:rsid w:val="00536576"/>
    <w:rsid w:val="00536660"/>
    <w:rsid w:val="00536693"/>
    <w:rsid w:val="005366D9"/>
    <w:rsid w:val="00536825"/>
    <w:rsid w:val="005368B8"/>
    <w:rsid w:val="00536AF9"/>
    <w:rsid w:val="00536C0F"/>
    <w:rsid w:val="00536C69"/>
    <w:rsid w:val="00536CBA"/>
    <w:rsid w:val="0053700D"/>
    <w:rsid w:val="00537115"/>
    <w:rsid w:val="005373A3"/>
    <w:rsid w:val="005374E3"/>
    <w:rsid w:val="00537657"/>
    <w:rsid w:val="005378EE"/>
    <w:rsid w:val="00537977"/>
    <w:rsid w:val="005379E4"/>
    <w:rsid w:val="00537A7F"/>
    <w:rsid w:val="00537A90"/>
    <w:rsid w:val="00537B39"/>
    <w:rsid w:val="00537DAD"/>
    <w:rsid w:val="00537EE6"/>
    <w:rsid w:val="00537FBA"/>
    <w:rsid w:val="005401D9"/>
    <w:rsid w:val="0054029A"/>
    <w:rsid w:val="00540416"/>
    <w:rsid w:val="00540523"/>
    <w:rsid w:val="00540534"/>
    <w:rsid w:val="00540724"/>
    <w:rsid w:val="00540910"/>
    <w:rsid w:val="00540A6B"/>
    <w:rsid w:val="00540C44"/>
    <w:rsid w:val="00540C7E"/>
    <w:rsid w:val="00540CD8"/>
    <w:rsid w:val="00540DFA"/>
    <w:rsid w:val="00540E4B"/>
    <w:rsid w:val="00541067"/>
    <w:rsid w:val="0054117C"/>
    <w:rsid w:val="0054128B"/>
    <w:rsid w:val="0054128D"/>
    <w:rsid w:val="005412AB"/>
    <w:rsid w:val="005412F1"/>
    <w:rsid w:val="005413F8"/>
    <w:rsid w:val="005414A1"/>
    <w:rsid w:val="00541685"/>
    <w:rsid w:val="00541BB9"/>
    <w:rsid w:val="00541C92"/>
    <w:rsid w:val="00541D29"/>
    <w:rsid w:val="00541DF6"/>
    <w:rsid w:val="00541E94"/>
    <w:rsid w:val="00541EFA"/>
    <w:rsid w:val="0054205A"/>
    <w:rsid w:val="005421E2"/>
    <w:rsid w:val="0054239E"/>
    <w:rsid w:val="005424D8"/>
    <w:rsid w:val="005424EB"/>
    <w:rsid w:val="005429D1"/>
    <w:rsid w:val="00542A6F"/>
    <w:rsid w:val="00542B2A"/>
    <w:rsid w:val="00542B8C"/>
    <w:rsid w:val="005430AD"/>
    <w:rsid w:val="005430B4"/>
    <w:rsid w:val="0054310B"/>
    <w:rsid w:val="005431F3"/>
    <w:rsid w:val="00543430"/>
    <w:rsid w:val="00543549"/>
    <w:rsid w:val="005435D9"/>
    <w:rsid w:val="0054363E"/>
    <w:rsid w:val="0054374C"/>
    <w:rsid w:val="00543E6F"/>
    <w:rsid w:val="00543F04"/>
    <w:rsid w:val="00543F4C"/>
    <w:rsid w:val="00544019"/>
    <w:rsid w:val="00544543"/>
    <w:rsid w:val="00544599"/>
    <w:rsid w:val="0054462A"/>
    <w:rsid w:val="00544A0B"/>
    <w:rsid w:val="00544A0C"/>
    <w:rsid w:val="00544A9D"/>
    <w:rsid w:val="00544BEB"/>
    <w:rsid w:val="00544C43"/>
    <w:rsid w:val="00544E85"/>
    <w:rsid w:val="00544EA7"/>
    <w:rsid w:val="00544EBC"/>
    <w:rsid w:val="00544EC4"/>
    <w:rsid w:val="0054507C"/>
    <w:rsid w:val="00545089"/>
    <w:rsid w:val="0054508C"/>
    <w:rsid w:val="005452E6"/>
    <w:rsid w:val="00545484"/>
    <w:rsid w:val="00545535"/>
    <w:rsid w:val="00545680"/>
    <w:rsid w:val="005456E1"/>
    <w:rsid w:val="00545797"/>
    <w:rsid w:val="00545BE2"/>
    <w:rsid w:val="00545D9E"/>
    <w:rsid w:val="00546125"/>
    <w:rsid w:val="0054618C"/>
    <w:rsid w:val="005461C4"/>
    <w:rsid w:val="00546507"/>
    <w:rsid w:val="005465EE"/>
    <w:rsid w:val="005468A2"/>
    <w:rsid w:val="005469A5"/>
    <w:rsid w:val="00546A38"/>
    <w:rsid w:val="00546B63"/>
    <w:rsid w:val="00546C65"/>
    <w:rsid w:val="00546E49"/>
    <w:rsid w:val="005470B6"/>
    <w:rsid w:val="0054720D"/>
    <w:rsid w:val="0054766C"/>
    <w:rsid w:val="0054775A"/>
    <w:rsid w:val="005478B8"/>
    <w:rsid w:val="00547924"/>
    <w:rsid w:val="00547BC7"/>
    <w:rsid w:val="00547D4B"/>
    <w:rsid w:val="005500A2"/>
    <w:rsid w:val="00550157"/>
    <w:rsid w:val="00550537"/>
    <w:rsid w:val="00550574"/>
    <w:rsid w:val="00550A6B"/>
    <w:rsid w:val="00550C53"/>
    <w:rsid w:val="00550E35"/>
    <w:rsid w:val="00550EC7"/>
    <w:rsid w:val="005511BC"/>
    <w:rsid w:val="0055142D"/>
    <w:rsid w:val="005518EA"/>
    <w:rsid w:val="00551A2F"/>
    <w:rsid w:val="00551ACF"/>
    <w:rsid w:val="00551BF7"/>
    <w:rsid w:val="00551C01"/>
    <w:rsid w:val="00551C33"/>
    <w:rsid w:val="00551CA1"/>
    <w:rsid w:val="00551CB0"/>
    <w:rsid w:val="00551D9F"/>
    <w:rsid w:val="00551E8C"/>
    <w:rsid w:val="00552074"/>
    <w:rsid w:val="0055217C"/>
    <w:rsid w:val="005521A5"/>
    <w:rsid w:val="005522FC"/>
    <w:rsid w:val="005523CC"/>
    <w:rsid w:val="00552462"/>
    <w:rsid w:val="0055252E"/>
    <w:rsid w:val="005525C9"/>
    <w:rsid w:val="005526BA"/>
    <w:rsid w:val="00552733"/>
    <w:rsid w:val="0055294A"/>
    <w:rsid w:val="00552A8A"/>
    <w:rsid w:val="00552B2D"/>
    <w:rsid w:val="00552DD3"/>
    <w:rsid w:val="00552E5E"/>
    <w:rsid w:val="00553110"/>
    <w:rsid w:val="0055323C"/>
    <w:rsid w:val="005539FE"/>
    <w:rsid w:val="00553B6B"/>
    <w:rsid w:val="00553BC0"/>
    <w:rsid w:val="00553E9D"/>
    <w:rsid w:val="0055416A"/>
    <w:rsid w:val="005542D8"/>
    <w:rsid w:val="005543A0"/>
    <w:rsid w:val="00554411"/>
    <w:rsid w:val="00554794"/>
    <w:rsid w:val="00554814"/>
    <w:rsid w:val="00554A1B"/>
    <w:rsid w:val="00554E60"/>
    <w:rsid w:val="00554F6B"/>
    <w:rsid w:val="00555055"/>
    <w:rsid w:val="005553C6"/>
    <w:rsid w:val="00555495"/>
    <w:rsid w:val="005558CE"/>
    <w:rsid w:val="00555964"/>
    <w:rsid w:val="005559AD"/>
    <w:rsid w:val="005559E9"/>
    <w:rsid w:val="005559FC"/>
    <w:rsid w:val="00555D7A"/>
    <w:rsid w:val="00555E9D"/>
    <w:rsid w:val="00556036"/>
    <w:rsid w:val="00556060"/>
    <w:rsid w:val="00556072"/>
    <w:rsid w:val="00556085"/>
    <w:rsid w:val="00556128"/>
    <w:rsid w:val="0055628C"/>
    <w:rsid w:val="0055643D"/>
    <w:rsid w:val="00556620"/>
    <w:rsid w:val="00556756"/>
    <w:rsid w:val="0055698D"/>
    <w:rsid w:val="00556C16"/>
    <w:rsid w:val="00556DD8"/>
    <w:rsid w:val="00557032"/>
    <w:rsid w:val="0055705B"/>
    <w:rsid w:val="0055713E"/>
    <w:rsid w:val="00557267"/>
    <w:rsid w:val="0055739A"/>
    <w:rsid w:val="005574F0"/>
    <w:rsid w:val="005575E4"/>
    <w:rsid w:val="00557709"/>
    <w:rsid w:val="00557829"/>
    <w:rsid w:val="00557938"/>
    <w:rsid w:val="00557A42"/>
    <w:rsid w:val="00557A86"/>
    <w:rsid w:val="00557B8D"/>
    <w:rsid w:val="00557C5C"/>
    <w:rsid w:val="00557F5F"/>
    <w:rsid w:val="00560142"/>
    <w:rsid w:val="00560254"/>
    <w:rsid w:val="00560353"/>
    <w:rsid w:val="005604AC"/>
    <w:rsid w:val="005609DE"/>
    <w:rsid w:val="00560C35"/>
    <w:rsid w:val="00560CCE"/>
    <w:rsid w:val="00560CD2"/>
    <w:rsid w:val="00560D8C"/>
    <w:rsid w:val="00560E3F"/>
    <w:rsid w:val="00560E74"/>
    <w:rsid w:val="00560F79"/>
    <w:rsid w:val="00561121"/>
    <w:rsid w:val="00561158"/>
    <w:rsid w:val="005613EC"/>
    <w:rsid w:val="00561411"/>
    <w:rsid w:val="0056146D"/>
    <w:rsid w:val="00561490"/>
    <w:rsid w:val="00561538"/>
    <w:rsid w:val="0056153F"/>
    <w:rsid w:val="00561659"/>
    <w:rsid w:val="0056177F"/>
    <w:rsid w:val="00561839"/>
    <w:rsid w:val="005619B8"/>
    <w:rsid w:val="005619ED"/>
    <w:rsid w:val="005619F0"/>
    <w:rsid w:val="005619F2"/>
    <w:rsid w:val="005619F7"/>
    <w:rsid w:val="00561A1C"/>
    <w:rsid w:val="00561B67"/>
    <w:rsid w:val="00561DCD"/>
    <w:rsid w:val="00561FFF"/>
    <w:rsid w:val="0056217F"/>
    <w:rsid w:val="005622E4"/>
    <w:rsid w:val="005622F8"/>
    <w:rsid w:val="00562343"/>
    <w:rsid w:val="00562593"/>
    <w:rsid w:val="00562694"/>
    <w:rsid w:val="00562846"/>
    <w:rsid w:val="00562A8F"/>
    <w:rsid w:val="00562B2E"/>
    <w:rsid w:val="00562B46"/>
    <w:rsid w:val="00562B75"/>
    <w:rsid w:val="00562C46"/>
    <w:rsid w:val="00562DF7"/>
    <w:rsid w:val="00562FB8"/>
    <w:rsid w:val="005631DC"/>
    <w:rsid w:val="0056362A"/>
    <w:rsid w:val="00563646"/>
    <w:rsid w:val="005637D5"/>
    <w:rsid w:val="00563A15"/>
    <w:rsid w:val="00563CB1"/>
    <w:rsid w:val="00563D77"/>
    <w:rsid w:val="00564178"/>
    <w:rsid w:val="0056419B"/>
    <w:rsid w:val="0056426D"/>
    <w:rsid w:val="005642D1"/>
    <w:rsid w:val="00564311"/>
    <w:rsid w:val="00564708"/>
    <w:rsid w:val="00564864"/>
    <w:rsid w:val="00564BDA"/>
    <w:rsid w:val="00564DC5"/>
    <w:rsid w:val="00564E7D"/>
    <w:rsid w:val="0056517E"/>
    <w:rsid w:val="0056519C"/>
    <w:rsid w:val="00565219"/>
    <w:rsid w:val="00565461"/>
    <w:rsid w:val="005654DF"/>
    <w:rsid w:val="00565536"/>
    <w:rsid w:val="00565624"/>
    <w:rsid w:val="005657BF"/>
    <w:rsid w:val="005658FD"/>
    <w:rsid w:val="00565988"/>
    <w:rsid w:val="0056598E"/>
    <w:rsid w:val="00565A18"/>
    <w:rsid w:val="00565A33"/>
    <w:rsid w:val="00565AF7"/>
    <w:rsid w:val="00565C0F"/>
    <w:rsid w:val="00565D0D"/>
    <w:rsid w:val="00565EB2"/>
    <w:rsid w:val="00565F31"/>
    <w:rsid w:val="0056633A"/>
    <w:rsid w:val="00566356"/>
    <w:rsid w:val="005664FB"/>
    <w:rsid w:val="00566506"/>
    <w:rsid w:val="005666A2"/>
    <w:rsid w:val="005666D0"/>
    <w:rsid w:val="00566970"/>
    <w:rsid w:val="00566981"/>
    <w:rsid w:val="005669C7"/>
    <w:rsid w:val="00566A4F"/>
    <w:rsid w:val="00566A97"/>
    <w:rsid w:val="00566BF6"/>
    <w:rsid w:val="00566EF2"/>
    <w:rsid w:val="005671D8"/>
    <w:rsid w:val="005674A7"/>
    <w:rsid w:val="0056758E"/>
    <w:rsid w:val="00567A08"/>
    <w:rsid w:val="00570035"/>
    <w:rsid w:val="00570315"/>
    <w:rsid w:val="005703EA"/>
    <w:rsid w:val="005704C8"/>
    <w:rsid w:val="00570780"/>
    <w:rsid w:val="0057087B"/>
    <w:rsid w:val="0057087F"/>
    <w:rsid w:val="005708A9"/>
    <w:rsid w:val="00570AC8"/>
    <w:rsid w:val="00570C82"/>
    <w:rsid w:val="00570EF1"/>
    <w:rsid w:val="00570F4D"/>
    <w:rsid w:val="00570FD0"/>
    <w:rsid w:val="00571197"/>
    <w:rsid w:val="0057130C"/>
    <w:rsid w:val="0057155F"/>
    <w:rsid w:val="0057156A"/>
    <w:rsid w:val="00571661"/>
    <w:rsid w:val="0057169D"/>
    <w:rsid w:val="0057171B"/>
    <w:rsid w:val="00571932"/>
    <w:rsid w:val="00571979"/>
    <w:rsid w:val="00571CEA"/>
    <w:rsid w:val="00571D1E"/>
    <w:rsid w:val="00571D90"/>
    <w:rsid w:val="00571EF3"/>
    <w:rsid w:val="00572013"/>
    <w:rsid w:val="00572071"/>
    <w:rsid w:val="005720B1"/>
    <w:rsid w:val="005720C3"/>
    <w:rsid w:val="0057222A"/>
    <w:rsid w:val="0057223E"/>
    <w:rsid w:val="00572430"/>
    <w:rsid w:val="00572704"/>
    <w:rsid w:val="005727E6"/>
    <w:rsid w:val="00572954"/>
    <w:rsid w:val="0057295A"/>
    <w:rsid w:val="00572BCF"/>
    <w:rsid w:val="00572C9F"/>
    <w:rsid w:val="00572D50"/>
    <w:rsid w:val="00572DB2"/>
    <w:rsid w:val="00572ECB"/>
    <w:rsid w:val="00573025"/>
    <w:rsid w:val="0057312D"/>
    <w:rsid w:val="00573650"/>
    <w:rsid w:val="00573671"/>
    <w:rsid w:val="005738AF"/>
    <w:rsid w:val="00573B12"/>
    <w:rsid w:val="00573C84"/>
    <w:rsid w:val="00573EB1"/>
    <w:rsid w:val="00573F12"/>
    <w:rsid w:val="00574076"/>
    <w:rsid w:val="0057413C"/>
    <w:rsid w:val="00574194"/>
    <w:rsid w:val="005741D8"/>
    <w:rsid w:val="0057431A"/>
    <w:rsid w:val="005744F5"/>
    <w:rsid w:val="005744FD"/>
    <w:rsid w:val="00574530"/>
    <w:rsid w:val="0057464F"/>
    <w:rsid w:val="005747F3"/>
    <w:rsid w:val="00574801"/>
    <w:rsid w:val="00574856"/>
    <w:rsid w:val="005748DE"/>
    <w:rsid w:val="00574B31"/>
    <w:rsid w:val="00574BA7"/>
    <w:rsid w:val="00574D32"/>
    <w:rsid w:val="0057535A"/>
    <w:rsid w:val="005755B3"/>
    <w:rsid w:val="005757AD"/>
    <w:rsid w:val="005758DF"/>
    <w:rsid w:val="0057592C"/>
    <w:rsid w:val="00575A85"/>
    <w:rsid w:val="00575ABB"/>
    <w:rsid w:val="00575BBD"/>
    <w:rsid w:val="00575CB7"/>
    <w:rsid w:val="00575D60"/>
    <w:rsid w:val="00575D6B"/>
    <w:rsid w:val="0057603A"/>
    <w:rsid w:val="0057615B"/>
    <w:rsid w:val="005762BE"/>
    <w:rsid w:val="00576329"/>
    <w:rsid w:val="00576445"/>
    <w:rsid w:val="005765ED"/>
    <w:rsid w:val="00576612"/>
    <w:rsid w:val="00576971"/>
    <w:rsid w:val="00576A00"/>
    <w:rsid w:val="00576ACF"/>
    <w:rsid w:val="00576CD7"/>
    <w:rsid w:val="00576DB6"/>
    <w:rsid w:val="00577092"/>
    <w:rsid w:val="00577140"/>
    <w:rsid w:val="0057721D"/>
    <w:rsid w:val="005775E9"/>
    <w:rsid w:val="0057760A"/>
    <w:rsid w:val="0057769A"/>
    <w:rsid w:val="005776E1"/>
    <w:rsid w:val="005776E9"/>
    <w:rsid w:val="005777DB"/>
    <w:rsid w:val="005777DC"/>
    <w:rsid w:val="00577916"/>
    <w:rsid w:val="00577A5E"/>
    <w:rsid w:val="00577B3B"/>
    <w:rsid w:val="00577D8F"/>
    <w:rsid w:val="00577EF3"/>
    <w:rsid w:val="00580052"/>
    <w:rsid w:val="00580064"/>
    <w:rsid w:val="00580103"/>
    <w:rsid w:val="005802FF"/>
    <w:rsid w:val="00580394"/>
    <w:rsid w:val="005806EB"/>
    <w:rsid w:val="00580777"/>
    <w:rsid w:val="005807DC"/>
    <w:rsid w:val="0058083B"/>
    <w:rsid w:val="00580A6E"/>
    <w:rsid w:val="00580B79"/>
    <w:rsid w:val="00580BDF"/>
    <w:rsid w:val="00580CC6"/>
    <w:rsid w:val="00580E9A"/>
    <w:rsid w:val="00580EFA"/>
    <w:rsid w:val="00580F95"/>
    <w:rsid w:val="00581016"/>
    <w:rsid w:val="0058121A"/>
    <w:rsid w:val="0058124F"/>
    <w:rsid w:val="00581552"/>
    <w:rsid w:val="005817A0"/>
    <w:rsid w:val="00581995"/>
    <w:rsid w:val="00581C43"/>
    <w:rsid w:val="00581C5C"/>
    <w:rsid w:val="00581D67"/>
    <w:rsid w:val="00581EB5"/>
    <w:rsid w:val="00582027"/>
    <w:rsid w:val="00582523"/>
    <w:rsid w:val="00582628"/>
    <w:rsid w:val="005826D2"/>
    <w:rsid w:val="00582732"/>
    <w:rsid w:val="0058275E"/>
    <w:rsid w:val="005827C7"/>
    <w:rsid w:val="00582A47"/>
    <w:rsid w:val="00582AA3"/>
    <w:rsid w:val="00582AF9"/>
    <w:rsid w:val="00582BCD"/>
    <w:rsid w:val="00582DBD"/>
    <w:rsid w:val="00582E6B"/>
    <w:rsid w:val="00583079"/>
    <w:rsid w:val="00583119"/>
    <w:rsid w:val="0058316E"/>
    <w:rsid w:val="005832F5"/>
    <w:rsid w:val="0058345F"/>
    <w:rsid w:val="005834C1"/>
    <w:rsid w:val="00583505"/>
    <w:rsid w:val="0058355B"/>
    <w:rsid w:val="00583983"/>
    <w:rsid w:val="00583AB6"/>
    <w:rsid w:val="00583B0F"/>
    <w:rsid w:val="00583D02"/>
    <w:rsid w:val="00583E12"/>
    <w:rsid w:val="00583FBF"/>
    <w:rsid w:val="005840D5"/>
    <w:rsid w:val="005841F9"/>
    <w:rsid w:val="005842B2"/>
    <w:rsid w:val="0058469B"/>
    <w:rsid w:val="0058475D"/>
    <w:rsid w:val="005847E6"/>
    <w:rsid w:val="005848CE"/>
    <w:rsid w:val="005848D1"/>
    <w:rsid w:val="005848E0"/>
    <w:rsid w:val="00584A53"/>
    <w:rsid w:val="00584D57"/>
    <w:rsid w:val="00584DFC"/>
    <w:rsid w:val="00584E54"/>
    <w:rsid w:val="00584F8E"/>
    <w:rsid w:val="00584FBD"/>
    <w:rsid w:val="00585031"/>
    <w:rsid w:val="005851B8"/>
    <w:rsid w:val="005851FF"/>
    <w:rsid w:val="0058566D"/>
    <w:rsid w:val="0058571A"/>
    <w:rsid w:val="00585733"/>
    <w:rsid w:val="0058598D"/>
    <w:rsid w:val="005859D4"/>
    <w:rsid w:val="00585CE7"/>
    <w:rsid w:val="00585F4A"/>
    <w:rsid w:val="005863C3"/>
    <w:rsid w:val="00586426"/>
    <w:rsid w:val="005865AE"/>
    <w:rsid w:val="0058676F"/>
    <w:rsid w:val="005868F0"/>
    <w:rsid w:val="00586A7D"/>
    <w:rsid w:val="00586B83"/>
    <w:rsid w:val="00586B8F"/>
    <w:rsid w:val="00586E0C"/>
    <w:rsid w:val="00586F6A"/>
    <w:rsid w:val="00587050"/>
    <w:rsid w:val="00587249"/>
    <w:rsid w:val="0058746A"/>
    <w:rsid w:val="00587562"/>
    <w:rsid w:val="00587607"/>
    <w:rsid w:val="0058761D"/>
    <w:rsid w:val="005876DC"/>
    <w:rsid w:val="00587770"/>
    <w:rsid w:val="005877E0"/>
    <w:rsid w:val="0058794C"/>
    <w:rsid w:val="005879DB"/>
    <w:rsid w:val="00587C61"/>
    <w:rsid w:val="00587D08"/>
    <w:rsid w:val="00587ED0"/>
    <w:rsid w:val="00590149"/>
    <w:rsid w:val="0059015E"/>
    <w:rsid w:val="00590213"/>
    <w:rsid w:val="00590614"/>
    <w:rsid w:val="00590666"/>
    <w:rsid w:val="00590907"/>
    <w:rsid w:val="00590B7D"/>
    <w:rsid w:val="00590B9C"/>
    <w:rsid w:val="00590DE7"/>
    <w:rsid w:val="00590DE9"/>
    <w:rsid w:val="00590E31"/>
    <w:rsid w:val="00590F5F"/>
    <w:rsid w:val="00590F9E"/>
    <w:rsid w:val="005910B2"/>
    <w:rsid w:val="005910C2"/>
    <w:rsid w:val="0059123E"/>
    <w:rsid w:val="0059124D"/>
    <w:rsid w:val="00591437"/>
    <w:rsid w:val="00591644"/>
    <w:rsid w:val="00591759"/>
    <w:rsid w:val="00591888"/>
    <w:rsid w:val="005919EF"/>
    <w:rsid w:val="00591D7C"/>
    <w:rsid w:val="00591EAE"/>
    <w:rsid w:val="005922A9"/>
    <w:rsid w:val="005922C4"/>
    <w:rsid w:val="00592650"/>
    <w:rsid w:val="005928A0"/>
    <w:rsid w:val="00592B3D"/>
    <w:rsid w:val="00592CE3"/>
    <w:rsid w:val="00592D28"/>
    <w:rsid w:val="00592E35"/>
    <w:rsid w:val="00592F42"/>
    <w:rsid w:val="0059307E"/>
    <w:rsid w:val="005930C3"/>
    <w:rsid w:val="005931E6"/>
    <w:rsid w:val="00593236"/>
    <w:rsid w:val="00593368"/>
    <w:rsid w:val="00593554"/>
    <w:rsid w:val="0059363B"/>
    <w:rsid w:val="00593762"/>
    <w:rsid w:val="00593A34"/>
    <w:rsid w:val="00593A7C"/>
    <w:rsid w:val="00593CA4"/>
    <w:rsid w:val="00593E01"/>
    <w:rsid w:val="00593E50"/>
    <w:rsid w:val="00594141"/>
    <w:rsid w:val="005941AF"/>
    <w:rsid w:val="00594225"/>
    <w:rsid w:val="00594264"/>
    <w:rsid w:val="005942D9"/>
    <w:rsid w:val="00594444"/>
    <w:rsid w:val="00594AE1"/>
    <w:rsid w:val="00595100"/>
    <w:rsid w:val="0059512F"/>
    <w:rsid w:val="00595159"/>
    <w:rsid w:val="00595333"/>
    <w:rsid w:val="00595435"/>
    <w:rsid w:val="0059554D"/>
    <w:rsid w:val="00595583"/>
    <w:rsid w:val="0059566D"/>
    <w:rsid w:val="00595824"/>
    <w:rsid w:val="005958CB"/>
    <w:rsid w:val="00595AF4"/>
    <w:rsid w:val="00595BC4"/>
    <w:rsid w:val="00595F21"/>
    <w:rsid w:val="00596054"/>
    <w:rsid w:val="00596131"/>
    <w:rsid w:val="00596274"/>
    <w:rsid w:val="005962B8"/>
    <w:rsid w:val="0059641D"/>
    <w:rsid w:val="005964A7"/>
    <w:rsid w:val="00596515"/>
    <w:rsid w:val="00596742"/>
    <w:rsid w:val="00596926"/>
    <w:rsid w:val="005969C5"/>
    <w:rsid w:val="00596AEB"/>
    <w:rsid w:val="00596B2C"/>
    <w:rsid w:val="00596B36"/>
    <w:rsid w:val="00596C2D"/>
    <w:rsid w:val="00596DA1"/>
    <w:rsid w:val="00596F01"/>
    <w:rsid w:val="0059701B"/>
    <w:rsid w:val="005971D7"/>
    <w:rsid w:val="00597237"/>
    <w:rsid w:val="005973A7"/>
    <w:rsid w:val="00597534"/>
    <w:rsid w:val="005975A8"/>
    <w:rsid w:val="005975AC"/>
    <w:rsid w:val="005975D8"/>
    <w:rsid w:val="005976F9"/>
    <w:rsid w:val="005978A1"/>
    <w:rsid w:val="00597A22"/>
    <w:rsid w:val="00597D76"/>
    <w:rsid w:val="00597DAF"/>
    <w:rsid w:val="00597E4B"/>
    <w:rsid w:val="00597FCD"/>
    <w:rsid w:val="005A0273"/>
    <w:rsid w:val="005A027C"/>
    <w:rsid w:val="005A035C"/>
    <w:rsid w:val="005A06A9"/>
    <w:rsid w:val="005A0794"/>
    <w:rsid w:val="005A07B9"/>
    <w:rsid w:val="005A081F"/>
    <w:rsid w:val="005A089C"/>
    <w:rsid w:val="005A08E5"/>
    <w:rsid w:val="005A097F"/>
    <w:rsid w:val="005A0AFA"/>
    <w:rsid w:val="005A0DA2"/>
    <w:rsid w:val="005A0EF7"/>
    <w:rsid w:val="005A0FB7"/>
    <w:rsid w:val="005A1330"/>
    <w:rsid w:val="005A13BE"/>
    <w:rsid w:val="005A1422"/>
    <w:rsid w:val="005A1837"/>
    <w:rsid w:val="005A1884"/>
    <w:rsid w:val="005A18A9"/>
    <w:rsid w:val="005A1D0C"/>
    <w:rsid w:val="005A209F"/>
    <w:rsid w:val="005A20D0"/>
    <w:rsid w:val="005A20D5"/>
    <w:rsid w:val="005A2436"/>
    <w:rsid w:val="005A24EA"/>
    <w:rsid w:val="005A24F1"/>
    <w:rsid w:val="005A2627"/>
    <w:rsid w:val="005A27B8"/>
    <w:rsid w:val="005A29C6"/>
    <w:rsid w:val="005A29E7"/>
    <w:rsid w:val="005A2A47"/>
    <w:rsid w:val="005A2B7B"/>
    <w:rsid w:val="005A2C0B"/>
    <w:rsid w:val="005A2F0B"/>
    <w:rsid w:val="005A3281"/>
    <w:rsid w:val="005A3410"/>
    <w:rsid w:val="005A38E8"/>
    <w:rsid w:val="005A394E"/>
    <w:rsid w:val="005A3998"/>
    <w:rsid w:val="005A3C74"/>
    <w:rsid w:val="005A3C9E"/>
    <w:rsid w:val="005A3D59"/>
    <w:rsid w:val="005A3D5A"/>
    <w:rsid w:val="005A3DBD"/>
    <w:rsid w:val="005A4021"/>
    <w:rsid w:val="005A40BA"/>
    <w:rsid w:val="005A414D"/>
    <w:rsid w:val="005A42EB"/>
    <w:rsid w:val="005A4494"/>
    <w:rsid w:val="005A45AF"/>
    <w:rsid w:val="005A45F9"/>
    <w:rsid w:val="005A470F"/>
    <w:rsid w:val="005A4B07"/>
    <w:rsid w:val="005A4B37"/>
    <w:rsid w:val="005A4CFA"/>
    <w:rsid w:val="005A4D5E"/>
    <w:rsid w:val="005A4E56"/>
    <w:rsid w:val="005A504E"/>
    <w:rsid w:val="005A50E4"/>
    <w:rsid w:val="005A515F"/>
    <w:rsid w:val="005A521E"/>
    <w:rsid w:val="005A526C"/>
    <w:rsid w:val="005A5337"/>
    <w:rsid w:val="005A53B0"/>
    <w:rsid w:val="005A5452"/>
    <w:rsid w:val="005A57E6"/>
    <w:rsid w:val="005A586A"/>
    <w:rsid w:val="005A590F"/>
    <w:rsid w:val="005A5A01"/>
    <w:rsid w:val="005A5DE4"/>
    <w:rsid w:val="005A5DFE"/>
    <w:rsid w:val="005A60DF"/>
    <w:rsid w:val="005A628C"/>
    <w:rsid w:val="005A63B3"/>
    <w:rsid w:val="005A641A"/>
    <w:rsid w:val="005A6505"/>
    <w:rsid w:val="005A666D"/>
    <w:rsid w:val="005A6690"/>
    <w:rsid w:val="005A66C5"/>
    <w:rsid w:val="005A66E6"/>
    <w:rsid w:val="005A670D"/>
    <w:rsid w:val="005A67BD"/>
    <w:rsid w:val="005A6959"/>
    <w:rsid w:val="005A6B1F"/>
    <w:rsid w:val="005A6B3E"/>
    <w:rsid w:val="005A6D48"/>
    <w:rsid w:val="005A6F71"/>
    <w:rsid w:val="005A6FC1"/>
    <w:rsid w:val="005A6FE4"/>
    <w:rsid w:val="005A7076"/>
    <w:rsid w:val="005A7133"/>
    <w:rsid w:val="005A7154"/>
    <w:rsid w:val="005A71E8"/>
    <w:rsid w:val="005A7608"/>
    <w:rsid w:val="005A7662"/>
    <w:rsid w:val="005A76B5"/>
    <w:rsid w:val="005A776A"/>
    <w:rsid w:val="005A782B"/>
    <w:rsid w:val="005A788D"/>
    <w:rsid w:val="005A78D0"/>
    <w:rsid w:val="005A7979"/>
    <w:rsid w:val="005A7A7F"/>
    <w:rsid w:val="005A7CAF"/>
    <w:rsid w:val="005B0321"/>
    <w:rsid w:val="005B050B"/>
    <w:rsid w:val="005B07C3"/>
    <w:rsid w:val="005B0DBE"/>
    <w:rsid w:val="005B0E5D"/>
    <w:rsid w:val="005B0E62"/>
    <w:rsid w:val="005B0EDA"/>
    <w:rsid w:val="005B0F33"/>
    <w:rsid w:val="005B0FE0"/>
    <w:rsid w:val="005B119B"/>
    <w:rsid w:val="005B11AD"/>
    <w:rsid w:val="005B11CD"/>
    <w:rsid w:val="005B1365"/>
    <w:rsid w:val="005B13C2"/>
    <w:rsid w:val="005B1425"/>
    <w:rsid w:val="005B14B9"/>
    <w:rsid w:val="005B14D7"/>
    <w:rsid w:val="005B14E1"/>
    <w:rsid w:val="005B1580"/>
    <w:rsid w:val="005B15CD"/>
    <w:rsid w:val="005B18F2"/>
    <w:rsid w:val="005B1982"/>
    <w:rsid w:val="005B1A60"/>
    <w:rsid w:val="005B1C99"/>
    <w:rsid w:val="005B1E25"/>
    <w:rsid w:val="005B2008"/>
    <w:rsid w:val="005B2271"/>
    <w:rsid w:val="005B24B0"/>
    <w:rsid w:val="005B28B4"/>
    <w:rsid w:val="005B28C3"/>
    <w:rsid w:val="005B2A9F"/>
    <w:rsid w:val="005B2F34"/>
    <w:rsid w:val="005B2F57"/>
    <w:rsid w:val="005B3080"/>
    <w:rsid w:val="005B31B1"/>
    <w:rsid w:val="005B32F4"/>
    <w:rsid w:val="005B3334"/>
    <w:rsid w:val="005B33B7"/>
    <w:rsid w:val="005B3650"/>
    <w:rsid w:val="005B369B"/>
    <w:rsid w:val="005B379C"/>
    <w:rsid w:val="005B3878"/>
    <w:rsid w:val="005B3919"/>
    <w:rsid w:val="005B391C"/>
    <w:rsid w:val="005B3A8C"/>
    <w:rsid w:val="005B3E63"/>
    <w:rsid w:val="005B409B"/>
    <w:rsid w:val="005B4195"/>
    <w:rsid w:val="005B44A8"/>
    <w:rsid w:val="005B4590"/>
    <w:rsid w:val="005B45FC"/>
    <w:rsid w:val="005B4787"/>
    <w:rsid w:val="005B47B3"/>
    <w:rsid w:val="005B47E6"/>
    <w:rsid w:val="005B484B"/>
    <w:rsid w:val="005B4872"/>
    <w:rsid w:val="005B48E7"/>
    <w:rsid w:val="005B4CC3"/>
    <w:rsid w:val="005B4DA5"/>
    <w:rsid w:val="005B4EFE"/>
    <w:rsid w:val="005B50E0"/>
    <w:rsid w:val="005B52AA"/>
    <w:rsid w:val="005B52DB"/>
    <w:rsid w:val="005B5321"/>
    <w:rsid w:val="005B537B"/>
    <w:rsid w:val="005B5839"/>
    <w:rsid w:val="005B5882"/>
    <w:rsid w:val="005B58E6"/>
    <w:rsid w:val="005B5BD1"/>
    <w:rsid w:val="005B5C64"/>
    <w:rsid w:val="005B6021"/>
    <w:rsid w:val="005B61A2"/>
    <w:rsid w:val="005B632C"/>
    <w:rsid w:val="005B633A"/>
    <w:rsid w:val="005B64BC"/>
    <w:rsid w:val="005B64CA"/>
    <w:rsid w:val="005B65B2"/>
    <w:rsid w:val="005B6852"/>
    <w:rsid w:val="005B68E1"/>
    <w:rsid w:val="005B6905"/>
    <w:rsid w:val="005B692D"/>
    <w:rsid w:val="005B6971"/>
    <w:rsid w:val="005B69AA"/>
    <w:rsid w:val="005B69EF"/>
    <w:rsid w:val="005B6A6F"/>
    <w:rsid w:val="005B6E1A"/>
    <w:rsid w:val="005B6E63"/>
    <w:rsid w:val="005B6F0E"/>
    <w:rsid w:val="005B6F0F"/>
    <w:rsid w:val="005B7010"/>
    <w:rsid w:val="005B7079"/>
    <w:rsid w:val="005B71A2"/>
    <w:rsid w:val="005B7332"/>
    <w:rsid w:val="005B7406"/>
    <w:rsid w:val="005B75B0"/>
    <w:rsid w:val="005B75E6"/>
    <w:rsid w:val="005B775E"/>
    <w:rsid w:val="005B77A9"/>
    <w:rsid w:val="005B7A4A"/>
    <w:rsid w:val="005B7A64"/>
    <w:rsid w:val="005B7C66"/>
    <w:rsid w:val="005B7CE5"/>
    <w:rsid w:val="005B7E63"/>
    <w:rsid w:val="005B7F12"/>
    <w:rsid w:val="005B7FAB"/>
    <w:rsid w:val="005C006E"/>
    <w:rsid w:val="005C0261"/>
    <w:rsid w:val="005C02A8"/>
    <w:rsid w:val="005C02FE"/>
    <w:rsid w:val="005C046E"/>
    <w:rsid w:val="005C05B0"/>
    <w:rsid w:val="005C06D0"/>
    <w:rsid w:val="005C0931"/>
    <w:rsid w:val="005C0FB6"/>
    <w:rsid w:val="005C103B"/>
    <w:rsid w:val="005C104F"/>
    <w:rsid w:val="005C11F1"/>
    <w:rsid w:val="005C1404"/>
    <w:rsid w:val="005C143C"/>
    <w:rsid w:val="005C15D6"/>
    <w:rsid w:val="005C15F0"/>
    <w:rsid w:val="005C18BB"/>
    <w:rsid w:val="005C1935"/>
    <w:rsid w:val="005C19AE"/>
    <w:rsid w:val="005C1E62"/>
    <w:rsid w:val="005C1F1D"/>
    <w:rsid w:val="005C1F2E"/>
    <w:rsid w:val="005C1F63"/>
    <w:rsid w:val="005C203A"/>
    <w:rsid w:val="005C2105"/>
    <w:rsid w:val="005C23E2"/>
    <w:rsid w:val="005C244B"/>
    <w:rsid w:val="005C2455"/>
    <w:rsid w:val="005C2ACA"/>
    <w:rsid w:val="005C2BA5"/>
    <w:rsid w:val="005C2E08"/>
    <w:rsid w:val="005C2E49"/>
    <w:rsid w:val="005C2EB9"/>
    <w:rsid w:val="005C307D"/>
    <w:rsid w:val="005C33F6"/>
    <w:rsid w:val="005C34D3"/>
    <w:rsid w:val="005C37FB"/>
    <w:rsid w:val="005C3D21"/>
    <w:rsid w:val="005C3E24"/>
    <w:rsid w:val="005C3E9B"/>
    <w:rsid w:val="005C42D0"/>
    <w:rsid w:val="005C43AE"/>
    <w:rsid w:val="005C440B"/>
    <w:rsid w:val="005C4821"/>
    <w:rsid w:val="005C4C03"/>
    <w:rsid w:val="005C4CD9"/>
    <w:rsid w:val="005C4E91"/>
    <w:rsid w:val="005C4F07"/>
    <w:rsid w:val="005C4F82"/>
    <w:rsid w:val="005C4FF1"/>
    <w:rsid w:val="005C50EC"/>
    <w:rsid w:val="005C532B"/>
    <w:rsid w:val="005C57B3"/>
    <w:rsid w:val="005C59D7"/>
    <w:rsid w:val="005C6053"/>
    <w:rsid w:val="005C61B3"/>
    <w:rsid w:val="005C6203"/>
    <w:rsid w:val="005C62A9"/>
    <w:rsid w:val="005C6331"/>
    <w:rsid w:val="005C647F"/>
    <w:rsid w:val="005C64DB"/>
    <w:rsid w:val="005C6606"/>
    <w:rsid w:val="005C66FB"/>
    <w:rsid w:val="005C6706"/>
    <w:rsid w:val="005C6733"/>
    <w:rsid w:val="005C6738"/>
    <w:rsid w:val="005C6757"/>
    <w:rsid w:val="005C698E"/>
    <w:rsid w:val="005C69F0"/>
    <w:rsid w:val="005C6A95"/>
    <w:rsid w:val="005C6ABE"/>
    <w:rsid w:val="005C6BCC"/>
    <w:rsid w:val="005C6C0F"/>
    <w:rsid w:val="005C6C4A"/>
    <w:rsid w:val="005C6CA5"/>
    <w:rsid w:val="005C6CD2"/>
    <w:rsid w:val="005C6E6A"/>
    <w:rsid w:val="005C6FB9"/>
    <w:rsid w:val="005C70B4"/>
    <w:rsid w:val="005C713A"/>
    <w:rsid w:val="005C7144"/>
    <w:rsid w:val="005C71BC"/>
    <w:rsid w:val="005C71C7"/>
    <w:rsid w:val="005C745A"/>
    <w:rsid w:val="005C7675"/>
    <w:rsid w:val="005C79F5"/>
    <w:rsid w:val="005C7A7B"/>
    <w:rsid w:val="005C7C64"/>
    <w:rsid w:val="005C7CE9"/>
    <w:rsid w:val="005C7DB3"/>
    <w:rsid w:val="005C7F1F"/>
    <w:rsid w:val="005D0005"/>
    <w:rsid w:val="005D0191"/>
    <w:rsid w:val="005D01D8"/>
    <w:rsid w:val="005D0351"/>
    <w:rsid w:val="005D0383"/>
    <w:rsid w:val="005D046F"/>
    <w:rsid w:val="005D09B8"/>
    <w:rsid w:val="005D0C7A"/>
    <w:rsid w:val="005D0CEB"/>
    <w:rsid w:val="005D0E31"/>
    <w:rsid w:val="005D0EBF"/>
    <w:rsid w:val="005D114A"/>
    <w:rsid w:val="005D12D2"/>
    <w:rsid w:val="005D1520"/>
    <w:rsid w:val="005D1A8D"/>
    <w:rsid w:val="005D1AD0"/>
    <w:rsid w:val="005D1B2A"/>
    <w:rsid w:val="005D1BF2"/>
    <w:rsid w:val="005D1E49"/>
    <w:rsid w:val="005D1E7F"/>
    <w:rsid w:val="005D1ED3"/>
    <w:rsid w:val="005D1F43"/>
    <w:rsid w:val="005D2595"/>
    <w:rsid w:val="005D282D"/>
    <w:rsid w:val="005D2A77"/>
    <w:rsid w:val="005D2B65"/>
    <w:rsid w:val="005D2C94"/>
    <w:rsid w:val="005D2E3A"/>
    <w:rsid w:val="005D2F12"/>
    <w:rsid w:val="005D2F15"/>
    <w:rsid w:val="005D31A3"/>
    <w:rsid w:val="005D3295"/>
    <w:rsid w:val="005D3489"/>
    <w:rsid w:val="005D3672"/>
    <w:rsid w:val="005D3885"/>
    <w:rsid w:val="005D395A"/>
    <w:rsid w:val="005D3CC6"/>
    <w:rsid w:val="005D42B3"/>
    <w:rsid w:val="005D431E"/>
    <w:rsid w:val="005D4377"/>
    <w:rsid w:val="005D457D"/>
    <w:rsid w:val="005D458C"/>
    <w:rsid w:val="005D46B3"/>
    <w:rsid w:val="005D473A"/>
    <w:rsid w:val="005D47B9"/>
    <w:rsid w:val="005D48C2"/>
    <w:rsid w:val="005D49B7"/>
    <w:rsid w:val="005D4AA8"/>
    <w:rsid w:val="005D4CD7"/>
    <w:rsid w:val="005D4D14"/>
    <w:rsid w:val="005D4E00"/>
    <w:rsid w:val="005D4F3D"/>
    <w:rsid w:val="005D4F45"/>
    <w:rsid w:val="005D505B"/>
    <w:rsid w:val="005D517A"/>
    <w:rsid w:val="005D5186"/>
    <w:rsid w:val="005D5639"/>
    <w:rsid w:val="005D5A65"/>
    <w:rsid w:val="005D5B25"/>
    <w:rsid w:val="005D5D0F"/>
    <w:rsid w:val="005D5ECD"/>
    <w:rsid w:val="005D5FB1"/>
    <w:rsid w:val="005D610D"/>
    <w:rsid w:val="005D6227"/>
    <w:rsid w:val="005D6320"/>
    <w:rsid w:val="005D6332"/>
    <w:rsid w:val="005D6384"/>
    <w:rsid w:val="005D64E1"/>
    <w:rsid w:val="005D6553"/>
    <w:rsid w:val="005D65D0"/>
    <w:rsid w:val="005D66AA"/>
    <w:rsid w:val="005D6787"/>
    <w:rsid w:val="005D6866"/>
    <w:rsid w:val="005D687A"/>
    <w:rsid w:val="005D6963"/>
    <w:rsid w:val="005D6AA3"/>
    <w:rsid w:val="005D6CBF"/>
    <w:rsid w:val="005D6E5E"/>
    <w:rsid w:val="005D6E82"/>
    <w:rsid w:val="005D7085"/>
    <w:rsid w:val="005D7096"/>
    <w:rsid w:val="005D70E7"/>
    <w:rsid w:val="005D71A6"/>
    <w:rsid w:val="005D71BA"/>
    <w:rsid w:val="005D71D7"/>
    <w:rsid w:val="005D721F"/>
    <w:rsid w:val="005D728A"/>
    <w:rsid w:val="005D73BE"/>
    <w:rsid w:val="005D75A8"/>
    <w:rsid w:val="005D75AF"/>
    <w:rsid w:val="005D764B"/>
    <w:rsid w:val="005D776A"/>
    <w:rsid w:val="005D7998"/>
    <w:rsid w:val="005D7A6F"/>
    <w:rsid w:val="005D7B93"/>
    <w:rsid w:val="005D7BA3"/>
    <w:rsid w:val="005D7E3D"/>
    <w:rsid w:val="005D7FFD"/>
    <w:rsid w:val="005E0010"/>
    <w:rsid w:val="005E016A"/>
    <w:rsid w:val="005E01DD"/>
    <w:rsid w:val="005E02B2"/>
    <w:rsid w:val="005E04B3"/>
    <w:rsid w:val="005E0541"/>
    <w:rsid w:val="005E08C3"/>
    <w:rsid w:val="005E08E8"/>
    <w:rsid w:val="005E0B79"/>
    <w:rsid w:val="005E0E7B"/>
    <w:rsid w:val="005E0FCA"/>
    <w:rsid w:val="005E10B6"/>
    <w:rsid w:val="005E10DC"/>
    <w:rsid w:val="005E11CE"/>
    <w:rsid w:val="005E19AC"/>
    <w:rsid w:val="005E19CA"/>
    <w:rsid w:val="005E1BA6"/>
    <w:rsid w:val="005E1C22"/>
    <w:rsid w:val="005E1C5A"/>
    <w:rsid w:val="005E1D4F"/>
    <w:rsid w:val="005E1DAA"/>
    <w:rsid w:val="005E1E3C"/>
    <w:rsid w:val="005E2019"/>
    <w:rsid w:val="005E2125"/>
    <w:rsid w:val="005E2156"/>
    <w:rsid w:val="005E21A0"/>
    <w:rsid w:val="005E21D1"/>
    <w:rsid w:val="005E21FD"/>
    <w:rsid w:val="005E2432"/>
    <w:rsid w:val="005E24E7"/>
    <w:rsid w:val="005E2775"/>
    <w:rsid w:val="005E29A6"/>
    <w:rsid w:val="005E29C4"/>
    <w:rsid w:val="005E2A19"/>
    <w:rsid w:val="005E2B11"/>
    <w:rsid w:val="005E2B7F"/>
    <w:rsid w:val="005E2BC5"/>
    <w:rsid w:val="005E2BCB"/>
    <w:rsid w:val="005E2D23"/>
    <w:rsid w:val="005E30C6"/>
    <w:rsid w:val="005E31CA"/>
    <w:rsid w:val="005E3230"/>
    <w:rsid w:val="005E3238"/>
    <w:rsid w:val="005E3574"/>
    <w:rsid w:val="005E37C8"/>
    <w:rsid w:val="005E3A07"/>
    <w:rsid w:val="005E3ACD"/>
    <w:rsid w:val="005E3D22"/>
    <w:rsid w:val="005E3D48"/>
    <w:rsid w:val="005E42EE"/>
    <w:rsid w:val="005E42F3"/>
    <w:rsid w:val="005E436D"/>
    <w:rsid w:val="005E4691"/>
    <w:rsid w:val="005E4868"/>
    <w:rsid w:val="005E49B6"/>
    <w:rsid w:val="005E4D04"/>
    <w:rsid w:val="005E4D7B"/>
    <w:rsid w:val="005E4F7B"/>
    <w:rsid w:val="005E503B"/>
    <w:rsid w:val="005E5084"/>
    <w:rsid w:val="005E5173"/>
    <w:rsid w:val="005E5484"/>
    <w:rsid w:val="005E564B"/>
    <w:rsid w:val="005E59D8"/>
    <w:rsid w:val="005E59F5"/>
    <w:rsid w:val="005E5F22"/>
    <w:rsid w:val="005E6436"/>
    <w:rsid w:val="005E6609"/>
    <w:rsid w:val="005E69FD"/>
    <w:rsid w:val="005E6ACA"/>
    <w:rsid w:val="005E6C67"/>
    <w:rsid w:val="005E6E82"/>
    <w:rsid w:val="005E7095"/>
    <w:rsid w:val="005E7768"/>
    <w:rsid w:val="005E782A"/>
    <w:rsid w:val="005E785D"/>
    <w:rsid w:val="005E789C"/>
    <w:rsid w:val="005E7A59"/>
    <w:rsid w:val="005E7ABF"/>
    <w:rsid w:val="005E7BAE"/>
    <w:rsid w:val="005E7C2A"/>
    <w:rsid w:val="005E7CC4"/>
    <w:rsid w:val="005E7D53"/>
    <w:rsid w:val="005E7DC8"/>
    <w:rsid w:val="005E7E98"/>
    <w:rsid w:val="005E7F9C"/>
    <w:rsid w:val="005F0323"/>
    <w:rsid w:val="005F04B1"/>
    <w:rsid w:val="005F04C2"/>
    <w:rsid w:val="005F06B8"/>
    <w:rsid w:val="005F10C5"/>
    <w:rsid w:val="005F135C"/>
    <w:rsid w:val="005F1641"/>
    <w:rsid w:val="005F178F"/>
    <w:rsid w:val="005F19F8"/>
    <w:rsid w:val="005F1B8E"/>
    <w:rsid w:val="005F1EEA"/>
    <w:rsid w:val="005F1FA2"/>
    <w:rsid w:val="005F1FC2"/>
    <w:rsid w:val="005F2366"/>
    <w:rsid w:val="005F2576"/>
    <w:rsid w:val="005F29AC"/>
    <w:rsid w:val="005F2AC7"/>
    <w:rsid w:val="005F2AFA"/>
    <w:rsid w:val="005F2B09"/>
    <w:rsid w:val="005F2B26"/>
    <w:rsid w:val="005F2B7E"/>
    <w:rsid w:val="005F2D02"/>
    <w:rsid w:val="005F2D73"/>
    <w:rsid w:val="005F2E5E"/>
    <w:rsid w:val="005F2ED5"/>
    <w:rsid w:val="005F3201"/>
    <w:rsid w:val="005F326B"/>
    <w:rsid w:val="005F3318"/>
    <w:rsid w:val="005F33FF"/>
    <w:rsid w:val="005F34DA"/>
    <w:rsid w:val="005F35E3"/>
    <w:rsid w:val="005F38B5"/>
    <w:rsid w:val="005F3AEE"/>
    <w:rsid w:val="005F3B84"/>
    <w:rsid w:val="005F4066"/>
    <w:rsid w:val="005F489D"/>
    <w:rsid w:val="005F49CC"/>
    <w:rsid w:val="005F4A60"/>
    <w:rsid w:val="005F4A6B"/>
    <w:rsid w:val="005F4E87"/>
    <w:rsid w:val="005F4FA0"/>
    <w:rsid w:val="005F4FD4"/>
    <w:rsid w:val="005F513F"/>
    <w:rsid w:val="005F5147"/>
    <w:rsid w:val="005F51E3"/>
    <w:rsid w:val="005F5523"/>
    <w:rsid w:val="005F5603"/>
    <w:rsid w:val="005F56E0"/>
    <w:rsid w:val="005F57B1"/>
    <w:rsid w:val="005F5906"/>
    <w:rsid w:val="005F599B"/>
    <w:rsid w:val="005F5AB1"/>
    <w:rsid w:val="005F5B10"/>
    <w:rsid w:val="005F5CF9"/>
    <w:rsid w:val="005F5EA2"/>
    <w:rsid w:val="005F5FB6"/>
    <w:rsid w:val="005F6100"/>
    <w:rsid w:val="005F619B"/>
    <w:rsid w:val="005F61A1"/>
    <w:rsid w:val="005F6446"/>
    <w:rsid w:val="005F6817"/>
    <w:rsid w:val="005F6A39"/>
    <w:rsid w:val="005F6AA1"/>
    <w:rsid w:val="005F6D27"/>
    <w:rsid w:val="005F6E32"/>
    <w:rsid w:val="005F6F20"/>
    <w:rsid w:val="005F7023"/>
    <w:rsid w:val="005F7051"/>
    <w:rsid w:val="005F70C6"/>
    <w:rsid w:val="005F7489"/>
    <w:rsid w:val="005F7753"/>
    <w:rsid w:val="005F786E"/>
    <w:rsid w:val="005F7A6B"/>
    <w:rsid w:val="005F7AA4"/>
    <w:rsid w:val="005F7BB1"/>
    <w:rsid w:val="005F7CA9"/>
    <w:rsid w:val="005F7EA9"/>
    <w:rsid w:val="005F7EF1"/>
    <w:rsid w:val="006000A8"/>
    <w:rsid w:val="0060042E"/>
    <w:rsid w:val="00600508"/>
    <w:rsid w:val="006006A1"/>
    <w:rsid w:val="0060074A"/>
    <w:rsid w:val="00600A5E"/>
    <w:rsid w:val="00600AE0"/>
    <w:rsid w:val="00600C1C"/>
    <w:rsid w:val="00600C6E"/>
    <w:rsid w:val="00600C7B"/>
    <w:rsid w:val="00600D35"/>
    <w:rsid w:val="00600DF3"/>
    <w:rsid w:val="00600F50"/>
    <w:rsid w:val="0060126C"/>
    <w:rsid w:val="006012BB"/>
    <w:rsid w:val="006012E4"/>
    <w:rsid w:val="006013BE"/>
    <w:rsid w:val="006017FE"/>
    <w:rsid w:val="006019A4"/>
    <w:rsid w:val="00601BAD"/>
    <w:rsid w:val="00601CC3"/>
    <w:rsid w:val="00601D6C"/>
    <w:rsid w:val="00601DC7"/>
    <w:rsid w:val="00601DCD"/>
    <w:rsid w:val="00601DE8"/>
    <w:rsid w:val="00601FAA"/>
    <w:rsid w:val="00602059"/>
    <w:rsid w:val="00602088"/>
    <w:rsid w:val="0060208C"/>
    <w:rsid w:val="00602192"/>
    <w:rsid w:val="006022B0"/>
    <w:rsid w:val="00602488"/>
    <w:rsid w:val="00602489"/>
    <w:rsid w:val="00602A17"/>
    <w:rsid w:val="00602A25"/>
    <w:rsid w:val="00602BEC"/>
    <w:rsid w:val="00602E27"/>
    <w:rsid w:val="006031BC"/>
    <w:rsid w:val="00603237"/>
    <w:rsid w:val="00603524"/>
    <w:rsid w:val="00603639"/>
    <w:rsid w:val="00603794"/>
    <w:rsid w:val="006037AC"/>
    <w:rsid w:val="00603898"/>
    <w:rsid w:val="00603904"/>
    <w:rsid w:val="00603A14"/>
    <w:rsid w:val="00603B44"/>
    <w:rsid w:val="00603D4D"/>
    <w:rsid w:val="00603DC1"/>
    <w:rsid w:val="00603EF5"/>
    <w:rsid w:val="00604149"/>
    <w:rsid w:val="006042F6"/>
    <w:rsid w:val="006043D1"/>
    <w:rsid w:val="006044B9"/>
    <w:rsid w:val="006045CD"/>
    <w:rsid w:val="00604820"/>
    <w:rsid w:val="006049B9"/>
    <w:rsid w:val="006049E3"/>
    <w:rsid w:val="00604AFC"/>
    <w:rsid w:val="00604B5C"/>
    <w:rsid w:val="00604B89"/>
    <w:rsid w:val="00604F27"/>
    <w:rsid w:val="00604F50"/>
    <w:rsid w:val="00605039"/>
    <w:rsid w:val="00605124"/>
    <w:rsid w:val="00605266"/>
    <w:rsid w:val="00605704"/>
    <w:rsid w:val="00605729"/>
    <w:rsid w:val="006057B8"/>
    <w:rsid w:val="006058C1"/>
    <w:rsid w:val="00605B4B"/>
    <w:rsid w:val="00605BBC"/>
    <w:rsid w:val="00605BBD"/>
    <w:rsid w:val="00605C6A"/>
    <w:rsid w:val="00605CB6"/>
    <w:rsid w:val="00605DCF"/>
    <w:rsid w:val="00605E2D"/>
    <w:rsid w:val="00605F4C"/>
    <w:rsid w:val="00605F99"/>
    <w:rsid w:val="006062CB"/>
    <w:rsid w:val="00606374"/>
    <w:rsid w:val="006063B8"/>
    <w:rsid w:val="00606530"/>
    <w:rsid w:val="00606582"/>
    <w:rsid w:val="006065C5"/>
    <w:rsid w:val="0060670A"/>
    <w:rsid w:val="00606A05"/>
    <w:rsid w:val="00606B89"/>
    <w:rsid w:val="00606C4A"/>
    <w:rsid w:val="00606D84"/>
    <w:rsid w:val="0060705E"/>
    <w:rsid w:val="006070F9"/>
    <w:rsid w:val="00607356"/>
    <w:rsid w:val="00607517"/>
    <w:rsid w:val="00607563"/>
    <w:rsid w:val="0060759E"/>
    <w:rsid w:val="006075D8"/>
    <w:rsid w:val="00607655"/>
    <w:rsid w:val="00607706"/>
    <w:rsid w:val="0060771F"/>
    <w:rsid w:val="006078CB"/>
    <w:rsid w:val="0060792D"/>
    <w:rsid w:val="00607996"/>
    <w:rsid w:val="00607A07"/>
    <w:rsid w:val="00607BD7"/>
    <w:rsid w:val="00607D52"/>
    <w:rsid w:val="00607F2F"/>
    <w:rsid w:val="00607F39"/>
    <w:rsid w:val="0061011B"/>
    <w:rsid w:val="006101A4"/>
    <w:rsid w:val="0061052C"/>
    <w:rsid w:val="00610628"/>
    <w:rsid w:val="006106C5"/>
    <w:rsid w:val="0061079B"/>
    <w:rsid w:val="00610817"/>
    <w:rsid w:val="00610B7A"/>
    <w:rsid w:val="00610EF5"/>
    <w:rsid w:val="00610F59"/>
    <w:rsid w:val="00611073"/>
    <w:rsid w:val="0061108E"/>
    <w:rsid w:val="006110F6"/>
    <w:rsid w:val="00611250"/>
    <w:rsid w:val="0061133E"/>
    <w:rsid w:val="00611459"/>
    <w:rsid w:val="006114B8"/>
    <w:rsid w:val="006114E6"/>
    <w:rsid w:val="0061163B"/>
    <w:rsid w:val="00611B5A"/>
    <w:rsid w:val="00611B69"/>
    <w:rsid w:val="00611BBD"/>
    <w:rsid w:val="00611F59"/>
    <w:rsid w:val="0061216B"/>
    <w:rsid w:val="0061218F"/>
    <w:rsid w:val="006122D8"/>
    <w:rsid w:val="00612573"/>
    <w:rsid w:val="0061261C"/>
    <w:rsid w:val="006128DF"/>
    <w:rsid w:val="00612902"/>
    <w:rsid w:val="006129B3"/>
    <w:rsid w:val="006129F2"/>
    <w:rsid w:val="00613166"/>
    <w:rsid w:val="006131FB"/>
    <w:rsid w:val="00613223"/>
    <w:rsid w:val="00613527"/>
    <w:rsid w:val="006135B3"/>
    <w:rsid w:val="00613633"/>
    <w:rsid w:val="0061393A"/>
    <w:rsid w:val="00613988"/>
    <w:rsid w:val="00613A2B"/>
    <w:rsid w:val="00613A6B"/>
    <w:rsid w:val="00613AB8"/>
    <w:rsid w:val="00613B10"/>
    <w:rsid w:val="00613D3C"/>
    <w:rsid w:val="00613EE2"/>
    <w:rsid w:val="00614265"/>
    <w:rsid w:val="0061459A"/>
    <w:rsid w:val="006147D7"/>
    <w:rsid w:val="0061488A"/>
    <w:rsid w:val="00614936"/>
    <w:rsid w:val="0061493B"/>
    <w:rsid w:val="006149BD"/>
    <w:rsid w:val="006149C4"/>
    <w:rsid w:val="00614A9C"/>
    <w:rsid w:val="00614ABC"/>
    <w:rsid w:val="00614D16"/>
    <w:rsid w:val="00615367"/>
    <w:rsid w:val="006153E0"/>
    <w:rsid w:val="00615A69"/>
    <w:rsid w:val="00615BBD"/>
    <w:rsid w:val="00615E6B"/>
    <w:rsid w:val="00615E96"/>
    <w:rsid w:val="00616247"/>
    <w:rsid w:val="006165B2"/>
    <w:rsid w:val="006166BC"/>
    <w:rsid w:val="006167BB"/>
    <w:rsid w:val="00616813"/>
    <w:rsid w:val="006168D9"/>
    <w:rsid w:val="00616998"/>
    <w:rsid w:val="00616A39"/>
    <w:rsid w:val="00616BA4"/>
    <w:rsid w:val="00616CB2"/>
    <w:rsid w:val="00616F46"/>
    <w:rsid w:val="00616F79"/>
    <w:rsid w:val="006172C3"/>
    <w:rsid w:val="006173F6"/>
    <w:rsid w:val="0061741D"/>
    <w:rsid w:val="00617948"/>
    <w:rsid w:val="006179DC"/>
    <w:rsid w:val="00617B00"/>
    <w:rsid w:val="00617B7C"/>
    <w:rsid w:val="00617BC7"/>
    <w:rsid w:val="00620034"/>
    <w:rsid w:val="0062007A"/>
    <w:rsid w:val="00620283"/>
    <w:rsid w:val="00620445"/>
    <w:rsid w:val="00620507"/>
    <w:rsid w:val="00620855"/>
    <w:rsid w:val="00620926"/>
    <w:rsid w:val="0062093F"/>
    <w:rsid w:val="00620949"/>
    <w:rsid w:val="00620BEB"/>
    <w:rsid w:val="00620C04"/>
    <w:rsid w:val="00620EFA"/>
    <w:rsid w:val="00621006"/>
    <w:rsid w:val="00621105"/>
    <w:rsid w:val="006211A6"/>
    <w:rsid w:val="006212C5"/>
    <w:rsid w:val="006213AC"/>
    <w:rsid w:val="00621650"/>
    <w:rsid w:val="00621706"/>
    <w:rsid w:val="00621718"/>
    <w:rsid w:val="006218A3"/>
    <w:rsid w:val="006219B3"/>
    <w:rsid w:val="006219C7"/>
    <w:rsid w:val="00621A07"/>
    <w:rsid w:val="00621A29"/>
    <w:rsid w:val="00621F10"/>
    <w:rsid w:val="006220A9"/>
    <w:rsid w:val="006220BC"/>
    <w:rsid w:val="00622126"/>
    <w:rsid w:val="0062233D"/>
    <w:rsid w:val="0062252A"/>
    <w:rsid w:val="006226B6"/>
    <w:rsid w:val="006226E5"/>
    <w:rsid w:val="006227C2"/>
    <w:rsid w:val="00622DED"/>
    <w:rsid w:val="00622EEE"/>
    <w:rsid w:val="00622F11"/>
    <w:rsid w:val="00622FF5"/>
    <w:rsid w:val="006231D7"/>
    <w:rsid w:val="00623263"/>
    <w:rsid w:val="006232FF"/>
    <w:rsid w:val="00623821"/>
    <w:rsid w:val="00623A01"/>
    <w:rsid w:val="00623A76"/>
    <w:rsid w:val="00623A99"/>
    <w:rsid w:val="00623B96"/>
    <w:rsid w:val="00623C58"/>
    <w:rsid w:val="00623F87"/>
    <w:rsid w:val="00624118"/>
    <w:rsid w:val="006241EF"/>
    <w:rsid w:val="006241FF"/>
    <w:rsid w:val="006242CD"/>
    <w:rsid w:val="0062434B"/>
    <w:rsid w:val="00624577"/>
    <w:rsid w:val="00624A15"/>
    <w:rsid w:val="00624B1C"/>
    <w:rsid w:val="00624EB4"/>
    <w:rsid w:val="0062501A"/>
    <w:rsid w:val="00625220"/>
    <w:rsid w:val="006252BC"/>
    <w:rsid w:val="006252BF"/>
    <w:rsid w:val="006254C6"/>
    <w:rsid w:val="0062555C"/>
    <w:rsid w:val="006256A1"/>
    <w:rsid w:val="006258D5"/>
    <w:rsid w:val="0062597C"/>
    <w:rsid w:val="006259CF"/>
    <w:rsid w:val="00625D72"/>
    <w:rsid w:val="00626047"/>
    <w:rsid w:val="006260A3"/>
    <w:rsid w:val="00626129"/>
    <w:rsid w:val="00626193"/>
    <w:rsid w:val="006261D7"/>
    <w:rsid w:val="0062626F"/>
    <w:rsid w:val="006262D9"/>
    <w:rsid w:val="006263BD"/>
    <w:rsid w:val="00626521"/>
    <w:rsid w:val="0062656E"/>
    <w:rsid w:val="0062666D"/>
    <w:rsid w:val="006266C6"/>
    <w:rsid w:val="006267B1"/>
    <w:rsid w:val="00626BE2"/>
    <w:rsid w:val="00626E67"/>
    <w:rsid w:val="00626EA3"/>
    <w:rsid w:val="00626EFC"/>
    <w:rsid w:val="00626F28"/>
    <w:rsid w:val="00627013"/>
    <w:rsid w:val="00627048"/>
    <w:rsid w:val="00627283"/>
    <w:rsid w:val="006272CD"/>
    <w:rsid w:val="00627391"/>
    <w:rsid w:val="00627479"/>
    <w:rsid w:val="0062757B"/>
    <w:rsid w:val="00627814"/>
    <w:rsid w:val="006278B3"/>
    <w:rsid w:val="006279DF"/>
    <w:rsid w:val="00627A7C"/>
    <w:rsid w:val="00627AC7"/>
    <w:rsid w:val="00627B3A"/>
    <w:rsid w:val="00627BC5"/>
    <w:rsid w:val="00627DFA"/>
    <w:rsid w:val="00627E42"/>
    <w:rsid w:val="00627EA5"/>
    <w:rsid w:val="00627FC1"/>
    <w:rsid w:val="00630183"/>
    <w:rsid w:val="00630225"/>
    <w:rsid w:val="0063035A"/>
    <w:rsid w:val="0063045A"/>
    <w:rsid w:val="00630579"/>
    <w:rsid w:val="00630707"/>
    <w:rsid w:val="00630AA6"/>
    <w:rsid w:val="00630AE4"/>
    <w:rsid w:val="00630AEE"/>
    <w:rsid w:val="00630B7A"/>
    <w:rsid w:val="00630EC8"/>
    <w:rsid w:val="00630F05"/>
    <w:rsid w:val="00630F2A"/>
    <w:rsid w:val="00630FE5"/>
    <w:rsid w:val="00631121"/>
    <w:rsid w:val="00631216"/>
    <w:rsid w:val="0063123A"/>
    <w:rsid w:val="006312F6"/>
    <w:rsid w:val="0063140F"/>
    <w:rsid w:val="00631414"/>
    <w:rsid w:val="00631422"/>
    <w:rsid w:val="0063162C"/>
    <w:rsid w:val="006316CB"/>
    <w:rsid w:val="006319B3"/>
    <w:rsid w:val="00631A57"/>
    <w:rsid w:val="00631ABF"/>
    <w:rsid w:val="00631C38"/>
    <w:rsid w:val="00631D96"/>
    <w:rsid w:val="006325DE"/>
    <w:rsid w:val="00632628"/>
    <w:rsid w:val="006326F0"/>
    <w:rsid w:val="006327D1"/>
    <w:rsid w:val="00632A7E"/>
    <w:rsid w:val="00632B37"/>
    <w:rsid w:val="00632B58"/>
    <w:rsid w:val="00632BB7"/>
    <w:rsid w:val="00632EAD"/>
    <w:rsid w:val="00632F03"/>
    <w:rsid w:val="00633044"/>
    <w:rsid w:val="0063329C"/>
    <w:rsid w:val="0063333F"/>
    <w:rsid w:val="0063357D"/>
    <w:rsid w:val="00633789"/>
    <w:rsid w:val="00633A0C"/>
    <w:rsid w:val="00633C8F"/>
    <w:rsid w:val="00633D62"/>
    <w:rsid w:val="00633E57"/>
    <w:rsid w:val="00633E8E"/>
    <w:rsid w:val="00634037"/>
    <w:rsid w:val="00634045"/>
    <w:rsid w:val="00634141"/>
    <w:rsid w:val="00634488"/>
    <w:rsid w:val="006344DA"/>
    <w:rsid w:val="00634605"/>
    <w:rsid w:val="00634881"/>
    <w:rsid w:val="006348A5"/>
    <w:rsid w:val="00634947"/>
    <w:rsid w:val="00634952"/>
    <w:rsid w:val="0063497B"/>
    <w:rsid w:val="00634BB6"/>
    <w:rsid w:val="00634F7A"/>
    <w:rsid w:val="00634F91"/>
    <w:rsid w:val="00634FB4"/>
    <w:rsid w:val="00634FF2"/>
    <w:rsid w:val="00635133"/>
    <w:rsid w:val="0063517F"/>
    <w:rsid w:val="00635212"/>
    <w:rsid w:val="006352B1"/>
    <w:rsid w:val="00635337"/>
    <w:rsid w:val="006356D1"/>
    <w:rsid w:val="0063594D"/>
    <w:rsid w:val="00635FAD"/>
    <w:rsid w:val="00636079"/>
    <w:rsid w:val="00636156"/>
    <w:rsid w:val="0063686C"/>
    <w:rsid w:val="00636944"/>
    <w:rsid w:val="006369C2"/>
    <w:rsid w:val="00636C58"/>
    <w:rsid w:val="00636F35"/>
    <w:rsid w:val="006370AE"/>
    <w:rsid w:val="00637149"/>
    <w:rsid w:val="00637502"/>
    <w:rsid w:val="00637813"/>
    <w:rsid w:val="00637ADB"/>
    <w:rsid w:val="00637B51"/>
    <w:rsid w:val="00637B69"/>
    <w:rsid w:val="00637CFF"/>
    <w:rsid w:val="00637D27"/>
    <w:rsid w:val="00637E4E"/>
    <w:rsid w:val="00637EBB"/>
    <w:rsid w:val="00637F86"/>
    <w:rsid w:val="00637FE8"/>
    <w:rsid w:val="0064000A"/>
    <w:rsid w:val="0064013F"/>
    <w:rsid w:val="006401EB"/>
    <w:rsid w:val="0064043C"/>
    <w:rsid w:val="006405FB"/>
    <w:rsid w:val="0064062E"/>
    <w:rsid w:val="006406AF"/>
    <w:rsid w:val="006407F2"/>
    <w:rsid w:val="0064084C"/>
    <w:rsid w:val="00640953"/>
    <w:rsid w:val="00640B11"/>
    <w:rsid w:val="00640F04"/>
    <w:rsid w:val="0064124E"/>
    <w:rsid w:val="0064128E"/>
    <w:rsid w:val="0064135F"/>
    <w:rsid w:val="006413D9"/>
    <w:rsid w:val="0064162B"/>
    <w:rsid w:val="00641755"/>
    <w:rsid w:val="00641877"/>
    <w:rsid w:val="00641962"/>
    <w:rsid w:val="00641A04"/>
    <w:rsid w:val="00641A76"/>
    <w:rsid w:val="00641CE5"/>
    <w:rsid w:val="00641D34"/>
    <w:rsid w:val="006421FE"/>
    <w:rsid w:val="006423F6"/>
    <w:rsid w:val="00642458"/>
    <w:rsid w:val="0064256A"/>
    <w:rsid w:val="006425EC"/>
    <w:rsid w:val="006427A1"/>
    <w:rsid w:val="00642B16"/>
    <w:rsid w:val="00642C5B"/>
    <w:rsid w:val="00642D13"/>
    <w:rsid w:val="0064325A"/>
    <w:rsid w:val="0064330A"/>
    <w:rsid w:val="006434C2"/>
    <w:rsid w:val="00643597"/>
    <w:rsid w:val="00643677"/>
    <w:rsid w:val="006439C5"/>
    <w:rsid w:val="00643A46"/>
    <w:rsid w:val="00643A77"/>
    <w:rsid w:val="00643ACA"/>
    <w:rsid w:val="00643B55"/>
    <w:rsid w:val="00643BD6"/>
    <w:rsid w:val="00643DF9"/>
    <w:rsid w:val="00643F58"/>
    <w:rsid w:val="00643F62"/>
    <w:rsid w:val="00644415"/>
    <w:rsid w:val="006444A0"/>
    <w:rsid w:val="006444E0"/>
    <w:rsid w:val="00644690"/>
    <w:rsid w:val="00644B17"/>
    <w:rsid w:val="00644B98"/>
    <w:rsid w:val="00644CEE"/>
    <w:rsid w:val="00644ED9"/>
    <w:rsid w:val="00644EE3"/>
    <w:rsid w:val="00645114"/>
    <w:rsid w:val="00645360"/>
    <w:rsid w:val="006453BD"/>
    <w:rsid w:val="00645514"/>
    <w:rsid w:val="006456AA"/>
    <w:rsid w:val="00645789"/>
    <w:rsid w:val="0064583A"/>
    <w:rsid w:val="00645884"/>
    <w:rsid w:val="006458C6"/>
    <w:rsid w:val="006459E8"/>
    <w:rsid w:val="00645B9D"/>
    <w:rsid w:val="00645BA3"/>
    <w:rsid w:val="00645BE4"/>
    <w:rsid w:val="00645C64"/>
    <w:rsid w:val="00645D15"/>
    <w:rsid w:val="00645DD3"/>
    <w:rsid w:val="00645DFC"/>
    <w:rsid w:val="00645ED7"/>
    <w:rsid w:val="00645FA6"/>
    <w:rsid w:val="006460C5"/>
    <w:rsid w:val="00646221"/>
    <w:rsid w:val="00646286"/>
    <w:rsid w:val="006462C0"/>
    <w:rsid w:val="006463AD"/>
    <w:rsid w:val="00646479"/>
    <w:rsid w:val="006464B7"/>
    <w:rsid w:val="0064658F"/>
    <w:rsid w:val="00646667"/>
    <w:rsid w:val="006467B2"/>
    <w:rsid w:val="00646999"/>
    <w:rsid w:val="006469C1"/>
    <w:rsid w:val="00646A3F"/>
    <w:rsid w:val="00646A53"/>
    <w:rsid w:val="00646B6A"/>
    <w:rsid w:val="00646B72"/>
    <w:rsid w:val="00646C9F"/>
    <w:rsid w:val="006471EB"/>
    <w:rsid w:val="006475A0"/>
    <w:rsid w:val="006476CD"/>
    <w:rsid w:val="006476F0"/>
    <w:rsid w:val="00647759"/>
    <w:rsid w:val="00647835"/>
    <w:rsid w:val="006479DC"/>
    <w:rsid w:val="00647B37"/>
    <w:rsid w:val="00647B90"/>
    <w:rsid w:val="00647BF6"/>
    <w:rsid w:val="00647C8D"/>
    <w:rsid w:val="00647E77"/>
    <w:rsid w:val="00647EC4"/>
    <w:rsid w:val="0065006B"/>
    <w:rsid w:val="0065029D"/>
    <w:rsid w:val="006502E5"/>
    <w:rsid w:val="0065067D"/>
    <w:rsid w:val="006506A9"/>
    <w:rsid w:val="0065082C"/>
    <w:rsid w:val="00650B10"/>
    <w:rsid w:val="00650D27"/>
    <w:rsid w:val="00650D77"/>
    <w:rsid w:val="00650EEE"/>
    <w:rsid w:val="00650F23"/>
    <w:rsid w:val="00650FD0"/>
    <w:rsid w:val="006511FC"/>
    <w:rsid w:val="00651329"/>
    <w:rsid w:val="006513C1"/>
    <w:rsid w:val="006515E4"/>
    <w:rsid w:val="0065186D"/>
    <w:rsid w:val="0065195D"/>
    <w:rsid w:val="006519BD"/>
    <w:rsid w:val="006519BE"/>
    <w:rsid w:val="00651DD3"/>
    <w:rsid w:val="0065207D"/>
    <w:rsid w:val="006520A4"/>
    <w:rsid w:val="0065231E"/>
    <w:rsid w:val="00652591"/>
    <w:rsid w:val="006526BF"/>
    <w:rsid w:val="00652930"/>
    <w:rsid w:val="00652BC6"/>
    <w:rsid w:val="00652CF2"/>
    <w:rsid w:val="00652D25"/>
    <w:rsid w:val="00652D28"/>
    <w:rsid w:val="00652D94"/>
    <w:rsid w:val="00652F66"/>
    <w:rsid w:val="00652F77"/>
    <w:rsid w:val="00652FCA"/>
    <w:rsid w:val="0065306C"/>
    <w:rsid w:val="00653218"/>
    <w:rsid w:val="0065329F"/>
    <w:rsid w:val="006532A6"/>
    <w:rsid w:val="006532B3"/>
    <w:rsid w:val="00653471"/>
    <w:rsid w:val="0065349A"/>
    <w:rsid w:val="006536BF"/>
    <w:rsid w:val="00653850"/>
    <w:rsid w:val="00653895"/>
    <w:rsid w:val="006539A4"/>
    <w:rsid w:val="006539B5"/>
    <w:rsid w:val="00653C73"/>
    <w:rsid w:val="00653D20"/>
    <w:rsid w:val="00653E97"/>
    <w:rsid w:val="00653ECC"/>
    <w:rsid w:val="00654737"/>
    <w:rsid w:val="006547E0"/>
    <w:rsid w:val="00654941"/>
    <w:rsid w:val="00654B92"/>
    <w:rsid w:val="00654CE8"/>
    <w:rsid w:val="00654D65"/>
    <w:rsid w:val="00654E87"/>
    <w:rsid w:val="00654FFC"/>
    <w:rsid w:val="006550CC"/>
    <w:rsid w:val="00655159"/>
    <w:rsid w:val="006552B5"/>
    <w:rsid w:val="00655484"/>
    <w:rsid w:val="00655709"/>
    <w:rsid w:val="00655A32"/>
    <w:rsid w:val="00655C6F"/>
    <w:rsid w:val="00655CCC"/>
    <w:rsid w:val="00655EBC"/>
    <w:rsid w:val="00655ECB"/>
    <w:rsid w:val="00655FA2"/>
    <w:rsid w:val="006560D4"/>
    <w:rsid w:val="006560DB"/>
    <w:rsid w:val="00656101"/>
    <w:rsid w:val="00656374"/>
    <w:rsid w:val="0065662E"/>
    <w:rsid w:val="006566F5"/>
    <w:rsid w:val="00656729"/>
    <w:rsid w:val="00656933"/>
    <w:rsid w:val="00656AED"/>
    <w:rsid w:val="00656D73"/>
    <w:rsid w:val="006570F6"/>
    <w:rsid w:val="006572D8"/>
    <w:rsid w:val="0065735B"/>
    <w:rsid w:val="006578C9"/>
    <w:rsid w:val="00657C83"/>
    <w:rsid w:val="00657F27"/>
    <w:rsid w:val="00657FAF"/>
    <w:rsid w:val="0066024A"/>
    <w:rsid w:val="006602DF"/>
    <w:rsid w:val="006604CB"/>
    <w:rsid w:val="006605CC"/>
    <w:rsid w:val="00660819"/>
    <w:rsid w:val="0066089E"/>
    <w:rsid w:val="006608E8"/>
    <w:rsid w:val="00660A28"/>
    <w:rsid w:val="00660A74"/>
    <w:rsid w:val="00660AB8"/>
    <w:rsid w:val="00660B29"/>
    <w:rsid w:val="00660C9C"/>
    <w:rsid w:val="00660D4B"/>
    <w:rsid w:val="00660E7D"/>
    <w:rsid w:val="00661085"/>
    <w:rsid w:val="00661187"/>
    <w:rsid w:val="00661226"/>
    <w:rsid w:val="00661516"/>
    <w:rsid w:val="00661579"/>
    <w:rsid w:val="0066176A"/>
    <w:rsid w:val="00661804"/>
    <w:rsid w:val="00661811"/>
    <w:rsid w:val="0066181F"/>
    <w:rsid w:val="00661956"/>
    <w:rsid w:val="00661A01"/>
    <w:rsid w:val="00661B1B"/>
    <w:rsid w:val="00661CF4"/>
    <w:rsid w:val="00661D93"/>
    <w:rsid w:val="00661E37"/>
    <w:rsid w:val="00662047"/>
    <w:rsid w:val="006620F1"/>
    <w:rsid w:val="006622D4"/>
    <w:rsid w:val="00662357"/>
    <w:rsid w:val="006623C7"/>
    <w:rsid w:val="00662444"/>
    <w:rsid w:val="0066245A"/>
    <w:rsid w:val="006624BB"/>
    <w:rsid w:val="006625CD"/>
    <w:rsid w:val="00662739"/>
    <w:rsid w:val="00662DAC"/>
    <w:rsid w:val="006630D7"/>
    <w:rsid w:val="00663224"/>
    <w:rsid w:val="0066340E"/>
    <w:rsid w:val="0066341A"/>
    <w:rsid w:val="006634C9"/>
    <w:rsid w:val="00663535"/>
    <w:rsid w:val="006635CB"/>
    <w:rsid w:val="0066383F"/>
    <w:rsid w:val="00663890"/>
    <w:rsid w:val="006638C9"/>
    <w:rsid w:val="00663AC5"/>
    <w:rsid w:val="00663B6D"/>
    <w:rsid w:val="00663DFE"/>
    <w:rsid w:val="00664512"/>
    <w:rsid w:val="0066454F"/>
    <w:rsid w:val="00664777"/>
    <w:rsid w:val="006648FD"/>
    <w:rsid w:val="006649EF"/>
    <w:rsid w:val="00664AD8"/>
    <w:rsid w:val="00664B8C"/>
    <w:rsid w:val="00664C42"/>
    <w:rsid w:val="00664DE0"/>
    <w:rsid w:val="00664E86"/>
    <w:rsid w:val="00665402"/>
    <w:rsid w:val="0066553D"/>
    <w:rsid w:val="0066557C"/>
    <w:rsid w:val="00665627"/>
    <w:rsid w:val="0066568B"/>
    <w:rsid w:val="006656DD"/>
    <w:rsid w:val="00665738"/>
    <w:rsid w:val="006657B5"/>
    <w:rsid w:val="00665850"/>
    <w:rsid w:val="006658D0"/>
    <w:rsid w:val="0066598A"/>
    <w:rsid w:val="006659C1"/>
    <w:rsid w:val="00665CE6"/>
    <w:rsid w:val="006663B7"/>
    <w:rsid w:val="006666C8"/>
    <w:rsid w:val="006666DF"/>
    <w:rsid w:val="006667D7"/>
    <w:rsid w:val="00666AC5"/>
    <w:rsid w:val="00666DCD"/>
    <w:rsid w:val="00666EAA"/>
    <w:rsid w:val="00666F5E"/>
    <w:rsid w:val="00666FE2"/>
    <w:rsid w:val="006673D1"/>
    <w:rsid w:val="00667481"/>
    <w:rsid w:val="006674B6"/>
    <w:rsid w:val="00667508"/>
    <w:rsid w:val="00667509"/>
    <w:rsid w:val="006678CB"/>
    <w:rsid w:val="00667AEA"/>
    <w:rsid w:val="00667B13"/>
    <w:rsid w:val="00667E89"/>
    <w:rsid w:val="00670042"/>
    <w:rsid w:val="00670051"/>
    <w:rsid w:val="0067016B"/>
    <w:rsid w:val="0067018F"/>
    <w:rsid w:val="00670226"/>
    <w:rsid w:val="0067027C"/>
    <w:rsid w:val="006702C0"/>
    <w:rsid w:val="006702DC"/>
    <w:rsid w:val="00670301"/>
    <w:rsid w:val="0067048B"/>
    <w:rsid w:val="006704EE"/>
    <w:rsid w:val="00670946"/>
    <w:rsid w:val="00670960"/>
    <w:rsid w:val="00670ADD"/>
    <w:rsid w:val="00670C35"/>
    <w:rsid w:val="00670C7E"/>
    <w:rsid w:val="00670CBB"/>
    <w:rsid w:val="0067106F"/>
    <w:rsid w:val="006710C4"/>
    <w:rsid w:val="00671183"/>
    <w:rsid w:val="006712C2"/>
    <w:rsid w:val="006713FD"/>
    <w:rsid w:val="006715A3"/>
    <w:rsid w:val="00671793"/>
    <w:rsid w:val="00671911"/>
    <w:rsid w:val="00671913"/>
    <w:rsid w:val="006719B7"/>
    <w:rsid w:val="00671C8C"/>
    <w:rsid w:val="00671CAD"/>
    <w:rsid w:val="00671E1D"/>
    <w:rsid w:val="00671E84"/>
    <w:rsid w:val="00671EC9"/>
    <w:rsid w:val="00671F17"/>
    <w:rsid w:val="006721E2"/>
    <w:rsid w:val="006723B6"/>
    <w:rsid w:val="006723B7"/>
    <w:rsid w:val="00672733"/>
    <w:rsid w:val="0067286E"/>
    <w:rsid w:val="00672922"/>
    <w:rsid w:val="00672A16"/>
    <w:rsid w:val="00672AC6"/>
    <w:rsid w:val="00672BFD"/>
    <w:rsid w:val="00672C10"/>
    <w:rsid w:val="00672DC3"/>
    <w:rsid w:val="00672E78"/>
    <w:rsid w:val="00672E90"/>
    <w:rsid w:val="00673085"/>
    <w:rsid w:val="00673107"/>
    <w:rsid w:val="006731A5"/>
    <w:rsid w:val="00673259"/>
    <w:rsid w:val="0067370C"/>
    <w:rsid w:val="006737F2"/>
    <w:rsid w:val="00673881"/>
    <w:rsid w:val="00673952"/>
    <w:rsid w:val="00673A83"/>
    <w:rsid w:val="00673BC5"/>
    <w:rsid w:val="00673DC1"/>
    <w:rsid w:val="006740FE"/>
    <w:rsid w:val="006741AE"/>
    <w:rsid w:val="006741DD"/>
    <w:rsid w:val="00674423"/>
    <w:rsid w:val="006745DA"/>
    <w:rsid w:val="0067489B"/>
    <w:rsid w:val="00674AAF"/>
    <w:rsid w:val="00674BE2"/>
    <w:rsid w:val="00674D0E"/>
    <w:rsid w:val="00674D35"/>
    <w:rsid w:val="00674DE0"/>
    <w:rsid w:val="00674E92"/>
    <w:rsid w:val="00674EC5"/>
    <w:rsid w:val="00675167"/>
    <w:rsid w:val="006753BE"/>
    <w:rsid w:val="006753FF"/>
    <w:rsid w:val="00675817"/>
    <w:rsid w:val="00675939"/>
    <w:rsid w:val="006759B8"/>
    <w:rsid w:val="00675A11"/>
    <w:rsid w:val="00675B9E"/>
    <w:rsid w:val="00675C2B"/>
    <w:rsid w:val="00675CAE"/>
    <w:rsid w:val="00675D2A"/>
    <w:rsid w:val="00675D40"/>
    <w:rsid w:val="00675E26"/>
    <w:rsid w:val="00675EC6"/>
    <w:rsid w:val="00675F16"/>
    <w:rsid w:val="00675F33"/>
    <w:rsid w:val="0067606E"/>
    <w:rsid w:val="0067614D"/>
    <w:rsid w:val="00676213"/>
    <w:rsid w:val="0067644A"/>
    <w:rsid w:val="0067657F"/>
    <w:rsid w:val="006766C0"/>
    <w:rsid w:val="006768FE"/>
    <w:rsid w:val="00676AD8"/>
    <w:rsid w:val="00676B00"/>
    <w:rsid w:val="00676BFE"/>
    <w:rsid w:val="00676C60"/>
    <w:rsid w:val="00676E60"/>
    <w:rsid w:val="00676EE3"/>
    <w:rsid w:val="0067736B"/>
    <w:rsid w:val="006777FF"/>
    <w:rsid w:val="006779A5"/>
    <w:rsid w:val="00677BC1"/>
    <w:rsid w:val="00677C6F"/>
    <w:rsid w:val="00677D5D"/>
    <w:rsid w:val="00677DD8"/>
    <w:rsid w:val="00677E2E"/>
    <w:rsid w:val="00680216"/>
    <w:rsid w:val="00680378"/>
    <w:rsid w:val="00680477"/>
    <w:rsid w:val="006804D7"/>
    <w:rsid w:val="006805B5"/>
    <w:rsid w:val="0068080E"/>
    <w:rsid w:val="00680A08"/>
    <w:rsid w:val="00680B45"/>
    <w:rsid w:val="00680BF4"/>
    <w:rsid w:val="00680DCD"/>
    <w:rsid w:val="00680EAF"/>
    <w:rsid w:val="0068150C"/>
    <w:rsid w:val="0068154C"/>
    <w:rsid w:val="006815E5"/>
    <w:rsid w:val="006817B9"/>
    <w:rsid w:val="006819C8"/>
    <w:rsid w:val="00681A2E"/>
    <w:rsid w:val="00681BDB"/>
    <w:rsid w:val="00681BE0"/>
    <w:rsid w:val="00681DF1"/>
    <w:rsid w:val="00681E2D"/>
    <w:rsid w:val="00681E89"/>
    <w:rsid w:val="00681E9E"/>
    <w:rsid w:val="006820AC"/>
    <w:rsid w:val="006820CA"/>
    <w:rsid w:val="0068240F"/>
    <w:rsid w:val="00682525"/>
    <w:rsid w:val="0068252E"/>
    <w:rsid w:val="00682623"/>
    <w:rsid w:val="006828B1"/>
    <w:rsid w:val="006829C5"/>
    <w:rsid w:val="006829CD"/>
    <w:rsid w:val="0068344A"/>
    <w:rsid w:val="00683579"/>
    <w:rsid w:val="006835AF"/>
    <w:rsid w:val="00683851"/>
    <w:rsid w:val="006838F5"/>
    <w:rsid w:val="00683AC4"/>
    <w:rsid w:val="00683BA8"/>
    <w:rsid w:val="00683C31"/>
    <w:rsid w:val="00683D06"/>
    <w:rsid w:val="00683EC7"/>
    <w:rsid w:val="00684118"/>
    <w:rsid w:val="006841DA"/>
    <w:rsid w:val="006842CE"/>
    <w:rsid w:val="006842FC"/>
    <w:rsid w:val="006843AD"/>
    <w:rsid w:val="0068460D"/>
    <w:rsid w:val="006847D9"/>
    <w:rsid w:val="00684827"/>
    <w:rsid w:val="00684953"/>
    <w:rsid w:val="0068495E"/>
    <w:rsid w:val="0068499E"/>
    <w:rsid w:val="00684ABB"/>
    <w:rsid w:val="00684C8B"/>
    <w:rsid w:val="00684F84"/>
    <w:rsid w:val="00684FE6"/>
    <w:rsid w:val="00685133"/>
    <w:rsid w:val="00685137"/>
    <w:rsid w:val="00685212"/>
    <w:rsid w:val="00685254"/>
    <w:rsid w:val="0068561E"/>
    <w:rsid w:val="0068567B"/>
    <w:rsid w:val="006857AB"/>
    <w:rsid w:val="00685A67"/>
    <w:rsid w:val="00685AFE"/>
    <w:rsid w:val="00685B73"/>
    <w:rsid w:val="00685BED"/>
    <w:rsid w:val="00685D2B"/>
    <w:rsid w:val="00685DE6"/>
    <w:rsid w:val="00685E2A"/>
    <w:rsid w:val="006860FF"/>
    <w:rsid w:val="00686120"/>
    <w:rsid w:val="00686307"/>
    <w:rsid w:val="006864E7"/>
    <w:rsid w:val="006865EF"/>
    <w:rsid w:val="006867E2"/>
    <w:rsid w:val="00686AB7"/>
    <w:rsid w:val="00686B3E"/>
    <w:rsid w:val="00686D7D"/>
    <w:rsid w:val="00686E5A"/>
    <w:rsid w:val="00686E67"/>
    <w:rsid w:val="00686EB3"/>
    <w:rsid w:val="00686F68"/>
    <w:rsid w:val="00687118"/>
    <w:rsid w:val="0068719E"/>
    <w:rsid w:val="00687299"/>
    <w:rsid w:val="006872E4"/>
    <w:rsid w:val="00687645"/>
    <w:rsid w:val="0068783F"/>
    <w:rsid w:val="00687859"/>
    <w:rsid w:val="00687901"/>
    <w:rsid w:val="00687B2C"/>
    <w:rsid w:val="00687C77"/>
    <w:rsid w:val="00687CBE"/>
    <w:rsid w:val="00687E23"/>
    <w:rsid w:val="0069010E"/>
    <w:rsid w:val="006901AF"/>
    <w:rsid w:val="00690304"/>
    <w:rsid w:val="0069041F"/>
    <w:rsid w:val="00690764"/>
    <w:rsid w:val="006907B6"/>
    <w:rsid w:val="0069087F"/>
    <w:rsid w:val="006909A8"/>
    <w:rsid w:val="00690B80"/>
    <w:rsid w:val="00690CB3"/>
    <w:rsid w:val="00690D05"/>
    <w:rsid w:val="00690E30"/>
    <w:rsid w:val="00690FB2"/>
    <w:rsid w:val="006910C9"/>
    <w:rsid w:val="0069122D"/>
    <w:rsid w:val="00691305"/>
    <w:rsid w:val="00691313"/>
    <w:rsid w:val="00691418"/>
    <w:rsid w:val="006915AD"/>
    <w:rsid w:val="00691AB5"/>
    <w:rsid w:val="00691BB4"/>
    <w:rsid w:val="00691D68"/>
    <w:rsid w:val="00691E8D"/>
    <w:rsid w:val="00692023"/>
    <w:rsid w:val="006923C4"/>
    <w:rsid w:val="006927EC"/>
    <w:rsid w:val="00692855"/>
    <w:rsid w:val="00692A2E"/>
    <w:rsid w:val="00692A81"/>
    <w:rsid w:val="00692C71"/>
    <w:rsid w:val="00692D50"/>
    <w:rsid w:val="00692E55"/>
    <w:rsid w:val="00692F5C"/>
    <w:rsid w:val="006931E3"/>
    <w:rsid w:val="0069323D"/>
    <w:rsid w:val="006932A8"/>
    <w:rsid w:val="006932E7"/>
    <w:rsid w:val="006933D8"/>
    <w:rsid w:val="0069343E"/>
    <w:rsid w:val="006935F2"/>
    <w:rsid w:val="006936B7"/>
    <w:rsid w:val="00693826"/>
    <w:rsid w:val="00693922"/>
    <w:rsid w:val="00693A19"/>
    <w:rsid w:val="00693A43"/>
    <w:rsid w:val="00693C09"/>
    <w:rsid w:val="00693CB3"/>
    <w:rsid w:val="00693E9C"/>
    <w:rsid w:val="0069421D"/>
    <w:rsid w:val="00694270"/>
    <w:rsid w:val="00694296"/>
    <w:rsid w:val="006942E0"/>
    <w:rsid w:val="006945CB"/>
    <w:rsid w:val="00694618"/>
    <w:rsid w:val="0069489F"/>
    <w:rsid w:val="006948EA"/>
    <w:rsid w:val="0069494D"/>
    <w:rsid w:val="00694C80"/>
    <w:rsid w:val="00694CA4"/>
    <w:rsid w:val="00694D3E"/>
    <w:rsid w:val="00694DBD"/>
    <w:rsid w:val="00694E73"/>
    <w:rsid w:val="00695071"/>
    <w:rsid w:val="0069507D"/>
    <w:rsid w:val="00695408"/>
    <w:rsid w:val="006955C0"/>
    <w:rsid w:val="00695813"/>
    <w:rsid w:val="00695821"/>
    <w:rsid w:val="00695A4D"/>
    <w:rsid w:val="00695AD8"/>
    <w:rsid w:val="00695AF3"/>
    <w:rsid w:val="00695B43"/>
    <w:rsid w:val="00695EDE"/>
    <w:rsid w:val="006962AC"/>
    <w:rsid w:val="006962DE"/>
    <w:rsid w:val="006962E1"/>
    <w:rsid w:val="006963BF"/>
    <w:rsid w:val="006963E9"/>
    <w:rsid w:val="00696477"/>
    <w:rsid w:val="006964AE"/>
    <w:rsid w:val="00696761"/>
    <w:rsid w:val="00696777"/>
    <w:rsid w:val="00696877"/>
    <w:rsid w:val="00696982"/>
    <w:rsid w:val="00696A5D"/>
    <w:rsid w:val="00696AB8"/>
    <w:rsid w:val="00696B90"/>
    <w:rsid w:val="00696DBA"/>
    <w:rsid w:val="0069701D"/>
    <w:rsid w:val="00697229"/>
    <w:rsid w:val="00697332"/>
    <w:rsid w:val="0069735E"/>
    <w:rsid w:val="00697364"/>
    <w:rsid w:val="0069742C"/>
    <w:rsid w:val="006976F6"/>
    <w:rsid w:val="006978D8"/>
    <w:rsid w:val="00697A9C"/>
    <w:rsid w:val="00697CF0"/>
    <w:rsid w:val="00697E08"/>
    <w:rsid w:val="006A0096"/>
    <w:rsid w:val="006A00E2"/>
    <w:rsid w:val="006A0177"/>
    <w:rsid w:val="006A01AF"/>
    <w:rsid w:val="006A01B3"/>
    <w:rsid w:val="006A01BF"/>
    <w:rsid w:val="006A02C5"/>
    <w:rsid w:val="006A0631"/>
    <w:rsid w:val="006A064B"/>
    <w:rsid w:val="006A09D5"/>
    <w:rsid w:val="006A0A0C"/>
    <w:rsid w:val="006A0BE5"/>
    <w:rsid w:val="006A0C64"/>
    <w:rsid w:val="006A0C8E"/>
    <w:rsid w:val="006A0D3E"/>
    <w:rsid w:val="006A0DB1"/>
    <w:rsid w:val="006A0E5A"/>
    <w:rsid w:val="006A0F70"/>
    <w:rsid w:val="006A0FBD"/>
    <w:rsid w:val="006A1258"/>
    <w:rsid w:val="006A1438"/>
    <w:rsid w:val="006A1480"/>
    <w:rsid w:val="006A1781"/>
    <w:rsid w:val="006A1989"/>
    <w:rsid w:val="006A19FB"/>
    <w:rsid w:val="006A1B96"/>
    <w:rsid w:val="006A1C00"/>
    <w:rsid w:val="006A1C22"/>
    <w:rsid w:val="006A1C24"/>
    <w:rsid w:val="006A1DDD"/>
    <w:rsid w:val="006A1E7E"/>
    <w:rsid w:val="006A1FD7"/>
    <w:rsid w:val="006A229E"/>
    <w:rsid w:val="006A261C"/>
    <w:rsid w:val="006A2783"/>
    <w:rsid w:val="006A2953"/>
    <w:rsid w:val="006A2B61"/>
    <w:rsid w:val="006A2BD2"/>
    <w:rsid w:val="006A2C4D"/>
    <w:rsid w:val="006A2D23"/>
    <w:rsid w:val="006A2F6B"/>
    <w:rsid w:val="006A2FA8"/>
    <w:rsid w:val="006A3395"/>
    <w:rsid w:val="006A340F"/>
    <w:rsid w:val="006A3456"/>
    <w:rsid w:val="006A34DE"/>
    <w:rsid w:val="006A3516"/>
    <w:rsid w:val="006A35BA"/>
    <w:rsid w:val="006A36B6"/>
    <w:rsid w:val="006A3960"/>
    <w:rsid w:val="006A3A1B"/>
    <w:rsid w:val="006A3A5B"/>
    <w:rsid w:val="006A3B90"/>
    <w:rsid w:val="006A3C43"/>
    <w:rsid w:val="006A3D27"/>
    <w:rsid w:val="006A3DB3"/>
    <w:rsid w:val="006A4018"/>
    <w:rsid w:val="006A406B"/>
    <w:rsid w:val="006A45B5"/>
    <w:rsid w:val="006A4756"/>
    <w:rsid w:val="006A4C81"/>
    <w:rsid w:val="006A4DEA"/>
    <w:rsid w:val="006A5026"/>
    <w:rsid w:val="006A54F6"/>
    <w:rsid w:val="006A552F"/>
    <w:rsid w:val="006A57E0"/>
    <w:rsid w:val="006A5871"/>
    <w:rsid w:val="006A58B7"/>
    <w:rsid w:val="006A5908"/>
    <w:rsid w:val="006A59F4"/>
    <w:rsid w:val="006A59FB"/>
    <w:rsid w:val="006A5A47"/>
    <w:rsid w:val="006A5C44"/>
    <w:rsid w:val="006A5DD0"/>
    <w:rsid w:val="006A5F21"/>
    <w:rsid w:val="006A6070"/>
    <w:rsid w:val="006A61EA"/>
    <w:rsid w:val="006A62AA"/>
    <w:rsid w:val="006A6384"/>
    <w:rsid w:val="006A6504"/>
    <w:rsid w:val="006A65A1"/>
    <w:rsid w:val="006A65F9"/>
    <w:rsid w:val="006A66BB"/>
    <w:rsid w:val="006A671C"/>
    <w:rsid w:val="006A6723"/>
    <w:rsid w:val="006A67AF"/>
    <w:rsid w:val="006A68FA"/>
    <w:rsid w:val="006A6987"/>
    <w:rsid w:val="006A6A22"/>
    <w:rsid w:val="006A6B07"/>
    <w:rsid w:val="006A6BB8"/>
    <w:rsid w:val="006A6FB3"/>
    <w:rsid w:val="006A7093"/>
    <w:rsid w:val="006A7101"/>
    <w:rsid w:val="006A720C"/>
    <w:rsid w:val="006A729D"/>
    <w:rsid w:val="006A72DE"/>
    <w:rsid w:val="006A72E1"/>
    <w:rsid w:val="006A7345"/>
    <w:rsid w:val="006A737B"/>
    <w:rsid w:val="006A74C7"/>
    <w:rsid w:val="006A76C2"/>
    <w:rsid w:val="006A78EC"/>
    <w:rsid w:val="006A7919"/>
    <w:rsid w:val="006A79EB"/>
    <w:rsid w:val="006A7D74"/>
    <w:rsid w:val="006A7D98"/>
    <w:rsid w:val="006A7DD6"/>
    <w:rsid w:val="006A7E25"/>
    <w:rsid w:val="006A7EFE"/>
    <w:rsid w:val="006A7F50"/>
    <w:rsid w:val="006B0082"/>
    <w:rsid w:val="006B0122"/>
    <w:rsid w:val="006B01C5"/>
    <w:rsid w:val="006B01E3"/>
    <w:rsid w:val="006B03DC"/>
    <w:rsid w:val="006B046A"/>
    <w:rsid w:val="006B04B4"/>
    <w:rsid w:val="006B0642"/>
    <w:rsid w:val="006B0A33"/>
    <w:rsid w:val="006B0AB5"/>
    <w:rsid w:val="006B0C73"/>
    <w:rsid w:val="006B0DE8"/>
    <w:rsid w:val="006B0E2C"/>
    <w:rsid w:val="006B0F02"/>
    <w:rsid w:val="006B1089"/>
    <w:rsid w:val="006B10B2"/>
    <w:rsid w:val="006B12C4"/>
    <w:rsid w:val="006B139F"/>
    <w:rsid w:val="006B1402"/>
    <w:rsid w:val="006B1426"/>
    <w:rsid w:val="006B1794"/>
    <w:rsid w:val="006B17F8"/>
    <w:rsid w:val="006B18D6"/>
    <w:rsid w:val="006B1966"/>
    <w:rsid w:val="006B1AEE"/>
    <w:rsid w:val="006B1CFC"/>
    <w:rsid w:val="006B20DA"/>
    <w:rsid w:val="006B228F"/>
    <w:rsid w:val="006B22AA"/>
    <w:rsid w:val="006B23D7"/>
    <w:rsid w:val="006B245A"/>
    <w:rsid w:val="006B2595"/>
    <w:rsid w:val="006B2711"/>
    <w:rsid w:val="006B2716"/>
    <w:rsid w:val="006B28B6"/>
    <w:rsid w:val="006B2A53"/>
    <w:rsid w:val="006B2B01"/>
    <w:rsid w:val="006B2C6E"/>
    <w:rsid w:val="006B2F3F"/>
    <w:rsid w:val="006B308F"/>
    <w:rsid w:val="006B3165"/>
    <w:rsid w:val="006B32EC"/>
    <w:rsid w:val="006B33E0"/>
    <w:rsid w:val="006B34C2"/>
    <w:rsid w:val="006B34EA"/>
    <w:rsid w:val="006B350B"/>
    <w:rsid w:val="006B3639"/>
    <w:rsid w:val="006B37CA"/>
    <w:rsid w:val="006B3979"/>
    <w:rsid w:val="006B3B96"/>
    <w:rsid w:val="006B3CE7"/>
    <w:rsid w:val="006B3D30"/>
    <w:rsid w:val="006B3F88"/>
    <w:rsid w:val="006B400B"/>
    <w:rsid w:val="006B40B2"/>
    <w:rsid w:val="006B41A1"/>
    <w:rsid w:val="006B43C9"/>
    <w:rsid w:val="006B4589"/>
    <w:rsid w:val="006B4618"/>
    <w:rsid w:val="006B46E3"/>
    <w:rsid w:val="006B471F"/>
    <w:rsid w:val="006B48E5"/>
    <w:rsid w:val="006B4959"/>
    <w:rsid w:val="006B4B09"/>
    <w:rsid w:val="006B4DA3"/>
    <w:rsid w:val="006B4E21"/>
    <w:rsid w:val="006B50D6"/>
    <w:rsid w:val="006B50DB"/>
    <w:rsid w:val="006B558A"/>
    <w:rsid w:val="006B599D"/>
    <w:rsid w:val="006B5AFB"/>
    <w:rsid w:val="006B5B99"/>
    <w:rsid w:val="006B5D1C"/>
    <w:rsid w:val="006B5DB6"/>
    <w:rsid w:val="006B62E5"/>
    <w:rsid w:val="006B6620"/>
    <w:rsid w:val="006B6831"/>
    <w:rsid w:val="006B6859"/>
    <w:rsid w:val="006B68BE"/>
    <w:rsid w:val="006B6EB1"/>
    <w:rsid w:val="006B6EF5"/>
    <w:rsid w:val="006B7037"/>
    <w:rsid w:val="006B734B"/>
    <w:rsid w:val="006B74C0"/>
    <w:rsid w:val="006B755D"/>
    <w:rsid w:val="006B7A17"/>
    <w:rsid w:val="006B7C6B"/>
    <w:rsid w:val="006B7D0E"/>
    <w:rsid w:val="006B7E41"/>
    <w:rsid w:val="006B7F4A"/>
    <w:rsid w:val="006B7FD3"/>
    <w:rsid w:val="006C0015"/>
    <w:rsid w:val="006C005B"/>
    <w:rsid w:val="006C0286"/>
    <w:rsid w:val="006C028F"/>
    <w:rsid w:val="006C0326"/>
    <w:rsid w:val="006C03DF"/>
    <w:rsid w:val="006C03E6"/>
    <w:rsid w:val="006C042D"/>
    <w:rsid w:val="006C046F"/>
    <w:rsid w:val="006C0496"/>
    <w:rsid w:val="006C0589"/>
    <w:rsid w:val="006C068F"/>
    <w:rsid w:val="006C08DB"/>
    <w:rsid w:val="006C098D"/>
    <w:rsid w:val="006C0AAA"/>
    <w:rsid w:val="006C0DF1"/>
    <w:rsid w:val="006C0E4D"/>
    <w:rsid w:val="006C0E75"/>
    <w:rsid w:val="006C0E7F"/>
    <w:rsid w:val="006C0EBE"/>
    <w:rsid w:val="006C0EED"/>
    <w:rsid w:val="006C10A1"/>
    <w:rsid w:val="006C1189"/>
    <w:rsid w:val="006C1305"/>
    <w:rsid w:val="006C1404"/>
    <w:rsid w:val="006C1735"/>
    <w:rsid w:val="006C17CD"/>
    <w:rsid w:val="006C1877"/>
    <w:rsid w:val="006C18D6"/>
    <w:rsid w:val="006C1949"/>
    <w:rsid w:val="006C1AFF"/>
    <w:rsid w:val="006C1C60"/>
    <w:rsid w:val="006C2258"/>
    <w:rsid w:val="006C2329"/>
    <w:rsid w:val="006C2634"/>
    <w:rsid w:val="006C26D4"/>
    <w:rsid w:val="006C2710"/>
    <w:rsid w:val="006C27C3"/>
    <w:rsid w:val="006C2877"/>
    <w:rsid w:val="006C2B95"/>
    <w:rsid w:val="006C2BBC"/>
    <w:rsid w:val="006C2CD2"/>
    <w:rsid w:val="006C2CFA"/>
    <w:rsid w:val="006C311C"/>
    <w:rsid w:val="006C312D"/>
    <w:rsid w:val="006C32C3"/>
    <w:rsid w:val="006C3327"/>
    <w:rsid w:val="006C3428"/>
    <w:rsid w:val="006C35A1"/>
    <w:rsid w:val="006C3606"/>
    <w:rsid w:val="006C3656"/>
    <w:rsid w:val="006C376E"/>
    <w:rsid w:val="006C3828"/>
    <w:rsid w:val="006C3C7D"/>
    <w:rsid w:val="006C3E94"/>
    <w:rsid w:val="006C3EFB"/>
    <w:rsid w:val="006C3FB2"/>
    <w:rsid w:val="006C3FC6"/>
    <w:rsid w:val="006C42FA"/>
    <w:rsid w:val="006C433D"/>
    <w:rsid w:val="006C45B3"/>
    <w:rsid w:val="006C4636"/>
    <w:rsid w:val="006C471E"/>
    <w:rsid w:val="006C4826"/>
    <w:rsid w:val="006C4874"/>
    <w:rsid w:val="006C48C6"/>
    <w:rsid w:val="006C4A4D"/>
    <w:rsid w:val="006C4AD8"/>
    <w:rsid w:val="006C4C37"/>
    <w:rsid w:val="006C4C5B"/>
    <w:rsid w:val="006C4D2F"/>
    <w:rsid w:val="006C4D95"/>
    <w:rsid w:val="006C4EA7"/>
    <w:rsid w:val="006C4F4E"/>
    <w:rsid w:val="006C4FB1"/>
    <w:rsid w:val="006C500F"/>
    <w:rsid w:val="006C517E"/>
    <w:rsid w:val="006C518B"/>
    <w:rsid w:val="006C519E"/>
    <w:rsid w:val="006C52B4"/>
    <w:rsid w:val="006C5338"/>
    <w:rsid w:val="006C53C6"/>
    <w:rsid w:val="006C57AC"/>
    <w:rsid w:val="006C57FE"/>
    <w:rsid w:val="006C594B"/>
    <w:rsid w:val="006C5AC6"/>
    <w:rsid w:val="006C5B0E"/>
    <w:rsid w:val="006C5BD7"/>
    <w:rsid w:val="006C5C4C"/>
    <w:rsid w:val="006C62A6"/>
    <w:rsid w:val="006C62E4"/>
    <w:rsid w:val="006C6370"/>
    <w:rsid w:val="006C6520"/>
    <w:rsid w:val="006C6655"/>
    <w:rsid w:val="006C6670"/>
    <w:rsid w:val="006C667B"/>
    <w:rsid w:val="006C6A0F"/>
    <w:rsid w:val="006C6A46"/>
    <w:rsid w:val="006C6AA2"/>
    <w:rsid w:val="006C6E97"/>
    <w:rsid w:val="006C6F02"/>
    <w:rsid w:val="006C6FC7"/>
    <w:rsid w:val="006C700F"/>
    <w:rsid w:val="006C724F"/>
    <w:rsid w:val="006C72E3"/>
    <w:rsid w:val="006C7338"/>
    <w:rsid w:val="006C7392"/>
    <w:rsid w:val="006C765E"/>
    <w:rsid w:val="006C7660"/>
    <w:rsid w:val="006C7797"/>
    <w:rsid w:val="006C779B"/>
    <w:rsid w:val="006C77C5"/>
    <w:rsid w:val="006C7885"/>
    <w:rsid w:val="006C792F"/>
    <w:rsid w:val="006C7A1A"/>
    <w:rsid w:val="006C7F9A"/>
    <w:rsid w:val="006C7FD6"/>
    <w:rsid w:val="006D00B9"/>
    <w:rsid w:val="006D012C"/>
    <w:rsid w:val="006D0199"/>
    <w:rsid w:val="006D047C"/>
    <w:rsid w:val="006D0741"/>
    <w:rsid w:val="006D0961"/>
    <w:rsid w:val="006D0A1F"/>
    <w:rsid w:val="006D0AC0"/>
    <w:rsid w:val="006D0B49"/>
    <w:rsid w:val="006D0B7A"/>
    <w:rsid w:val="006D0C92"/>
    <w:rsid w:val="006D0CD3"/>
    <w:rsid w:val="006D0DDE"/>
    <w:rsid w:val="006D0F0A"/>
    <w:rsid w:val="006D121C"/>
    <w:rsid w:val="006D13E8"/>
    <w:rsid w:val="006D16C6"/>
    <w:rsid w:val="006D16FC"/>
    <w:rsid w:val="006D186F"/>
    <w:rsid w:val="006D1889"/>
    <w:rsid w:val="006D18B6"/>
    <w:rsid w:val="006D1962"/>
    <w:rsid w:val="006D19A6"/>
    <w:rsid w:val="006D19C6"/>
    <w:rsid w:val="006D1A55"/>
    <w:rsid w:val="006D1AB5"/>
    <w:rsid w:val="006D1BEB"/>
    <w:rsid w:val="006D2070"/>
    <w:rsid w:val="006D2212"/>
    <w:rsid w:val="006D24E4"/>
    <w:rsid w:val="006D251D"/>
    <w:rsid w:val="006D2558"/>
    <w:rsid w:val="006D27A1"/>
    <w:rsid w:val="006D29A9"/>
    <w:rsid w:val="006D29C1"/>
    <w:rsid w:val="006D2A13"/>
    <w:rsid w:val="006D2A1C"/>
    <w:rsid w:val="006D2B87"/>
    <w:rsid w:val="006D2FAC"/>
    <w:rsid w:val="006D3124"/>
    <w:rsid w:val="006D32B7"/>
    <w:rsid w:val="006D33C4"/>
    <w:rsid w:val="006D34CD"/>
    <w:rsid w:val="006D37EA"/>
    <w:rsid w:val="006D38B6"/>
    <w:rsid w:val="006D3923"/>
    <w:rsid w:val="006D39D3"/>
    <w:rsid w:val="006D3C14"/>
    <w:rsid w:val="006D3C3F"/>
    <w:rsid w:val="006D3D88"/>
    <w:rsid w:val="006D3E09"/>
    <w:rsid w:val="006D3F90"/>
    <w:rsid w:val="006D4013"/>
    <w:rsid w:val="006D4460"/>
    <w:rsid w:val="006D4539"/>
    <w:rsid w:val="006D4604"/>
    <w:rsid w:val="006D470B"/>
    <w:rsid w:val="006D4747"/>
    <w:rsid w:val="006D47AD"/>
    <w:rsid w:val="006D4888"/>
    <w:rsid w:val="006D48BC"/>
    <w:rsid w:val="006D48E3"/>
    <w:rsid w:val="006D4912"/>
    <w:rsid w:val="006D4A08"/>
    <w:rsid w:val="006D4C3B"/>
    <w:rsid w:val="006D50D5"/>
    <w:rsid w:val="006D540A"/>
    <w:rsid w:val="006D5892"/>
    <w:rsid w:val="006D58AA"/>
    <w:rsid w:val="006D5D0A"/>
    <w:rsid w:val="006D5DAC"/>
    <w:rsid w:val="006D5E27"/>
    <w:rsid w:val="006D6098"/>
    <w:rsid w:val="006D61DD"/>
    <w:rsid w:val="006D6343"/>
    <w:rsid w:val="006D63D6"/>
    <w:rsid w:val="006D66E9"/>
    <w:rsid w:val="006D670A"/>
    <w:rsid w:val="006D672C"/>
    <w:rsid w:val="006D680F"/>
    <w:rsid w:val="006D685F"/>
    <w:rsid w:val="006D6901"/>
    <w:rsid w:val="006D6B91"/>
    <w:rsid w:val="006D6FC2"/>
    <w:rsid w:val="006D7079"/>
    <w:rsid w:val="006D7098"/>
    <w:rsid w:val="006D713E"/>
    <w:rsid w:val="006D71C6"/>
    <w:rsid w:val="006D7245"/>
    <w:rsid w:val="006D7492"/>
    <w:rsid w:val="006D74C5"/>
    <w:rsid w:val="006D758B"/>
    <w:rsid w:val="006D75E7"/>
    <w:rsid w:val="006D764D"/>
    <w:rsid w:val="006D79BC"/>
    <w:rsid w:val="006D7B91"/>
    <w:rsid w:val="006D7CA3"/>
    <w:rsid w:val="006D7D4C"/>
    <w:rsid w:val="006D7DB5"/>
    <w:rsid w:val="006E0267"/>
    <w:rsid w:val="006E034E"/>
    <w:rsid w:val="006E03BE"/>
    <w:rsid w:val="006E03DC"/>
    <w:rsid w:val="006E05B4"/>
    <w:rsid w:val="006E063A"/>
    <w:rsid w:val="006E0647"/>
    <w:rsid w:val="006E06D3"/>
    <w:rsid w:val="006E073D"/>
    <w:rsid w:val="006E07FB"/>
    <w:rsid w:val="006E0A26"/>
    <w:rsid w:val="006E0C02"/>
    <w:rsid w:val="006E0E10"/>
    <w:rsid w:val="006E0F0F"/>
    <w:rsid w:val="006E0F26"/>
    <w:rsid w:val="006E10A1"/>
    <w:rsid w:val="006E142C"/>
    <w:rsid w:val="006E14B3"/>
    <w:rsid w:val="006E15C9"/>
    <w:rsid w:val="006E179D"/>
    <w:rsid w:val="006E1CE6"/>
    <w:rsid w:val="006E1E22"/>
    <w:rsid w:val="006E201F"/>
    <w:rsid w:val="006E2090"/>
    <w:rsid w:val="006E2119"/>
    <w:rsid w:val="006E2129"/>
    <w:rsid w:val="006E23AA"/>
    <w:rsid w:val="006E253C"/>
    <w:rsid w:val="006E25AD"/>
    <w:rsid w:val="006E26EE"/>
    <w:rsid w:val="006E27EB"/>
    <w:rsid w:val="006E2A38"/>
    <w:rsid w:val="006E2C01"/>
    <w:rsid w:val="006E3430"/>
    <w:rsid w:val="006E34BC"/>
    <w:rsid w:val="006E371F"/>
    <w:rsid w:val="006E389F"/>
    <w:rsid w:val="006E38FF"/>
    <w:rsid w:val="006E3A82"/>
    <w:rsid w:val="006E3AAB"/>
    <w:rsid w:val="006E3B85"/>
    <w:rsid w:val="006E3BC3"/>
    <w:rsid w:val="006E3DBA"/>
    <w:rsid w:val="006E4036"/>
    <w:rsid w:val="006E42C5"/>
    <w:rsid w:val="006E435E"/>
    <w:rsid w:val="006E4751"/>
    <w:rsid w:val="006E4802"/>
    <w:rsid w:val="006E4882"/>
    <w:rsid w:val="006E48CB"/>
    <w:rsid w:val="006E4A31"/>
    <w:rsid w:val="006E4C68"/>
    <w:rsid w:val="006E4C75"/>
    <w:rsid w:val="006E4E74"/>
    <w:rsid w:val="006E4F1E"/>
    <w:rsid w:val="006E50F2"/>
    <w:rsid w:val="006E51D2"/>
    <w:rsid w:val="006E51DC"/>
    <w:rsid w:val="006E5208"/>
    <w:rsid w:val="006E54E1"/>
    <w:rsid w:val="006E5623"/>
    <w:rsid w:val="006E563C"/>
    <w:rsid w:val="006E56BE"/>
    <w:rsid w:val="006E58C3"/>
    <w:rsid w:val="006E5D4B"/>
    <w:rsid w:val="006E5DE4"/>
    <w:rsid w:val="006E5E99"/>
    <w:rsid w:val="006E5EB1"/>
    <w:rsid w:val="006E5F2E"/>
    <w:rsid w:val="006E6386"/>
    <w:rsid w:val="006E645D"/>
    <w:rsid w:val="006E6523"/>
    <w:rsid w:val="006E6835"/>
    <w:rsid w:val="006E6A79"/>
    <w:rsid w:val="006E6C16"/>
    <w:rsid w:val="006E6DEB"/>
    <w:rsid w:val="006E6E70"/>
    <w:rsid w:val="006E6F8B"/>
    <w:rsid w:val="006E70A1"/>
    <w:rsid w:val="006E710B"/>
    <w:rsid w:val="006E72E8"/>
    <w:rsid w:val="006E74C0"/>
    <w:rsid w:val="006E77D0"/>
    <w:rsid w:val="006E78C4"/>
    <w:rsid w:val="006E792C"/>
    <w:rsid w:val="006E7ADC"/>
    <w:rsid w:val="006E7CC6"/>
    <w:rsid w:val="006E7DDE"/>
    <w:rsid w:val="006E7FF5"/>
    <w:rsid w:val="006F0154"/>
    <w:rsid w:val="006F0493"/>
    <w:rsid w:val="006F090F"/>
    <w:rsid w:val="006F0A25"/>
    <w:rsid w:val="006F0B35"/>
    <w:rsid w:val="006F10AE"/>
    <w:rsid w:val="006F1173"/>
    <w:rsid w:val="006F125E"/>
    <w:rsid w:val="006F1502"/>
    <w:rsid w:val="006F1BB7"/>
    <w:rsid w:val="006F1CA5"/>
    <w:rsid w:val="006F1D03"/>
    <w:rsid w:val="006F1D26"/>
    <w:rsid w:val="006F20C0"/>
    <w:rsid w:val="006F2302"/>
    <w:rsid w:val="006F243D"/>
    <w:rsid w:val="006F274B"/>
    <w:rsid w:val="006F298E"/>
    <w:rsid w:val="006F2B3B"/>
    <w:rsid w:val="006F2C3F"/>
    <w:rsid w:val="006F2C4E"/>
    <w:rsid w:val="006F2C98"/>
    <w:rsid w:val="006F2CBB"/>
    <w:rsid w:val="006F2F7A"/>
    <w:rsid w:val="006F31B9"/>
    <w:rsid w:val="006F33A3"/>
    <w:rsid w:val="006F35E3"/>
    <w:rsid w:val="006F364E"/>
    <w:rsid w:val="006F3748"/>
    <w:rsid w:val="006F38B0"/>
    <w:rsid w:val="006F38F9"/>
    <w:rsid w:val="006F38FB"/>
    <w:rsid w:val="006F3938"/>
    <w:rsid w:val="006F397F"/>
    <w:rsid w:val="006F39D3"/>
    <w:rsid w:val="006F39F8"/>
    <w:rsid w:val="006F3AD3"/>
    <w:rsid w:val="006F3CF3"/>
    <w:rsid w:val="006F3D5B"/>
    <w:rsid w:val="006F3ED3"/>
    <w:rsid w:val="006F3EE4"/>
    <w:rsid w:val="006F3EFD"/>
    <w:rsid w:val="006F418F"/>
    <w:rsid w:val="006F45A6"/>
    <w:rsid w:val="006F4CC5"/>
    <w:rsid w:val="006F4CEC"/>
    <w:rsid w:val="006F4EAC"/>
    <w:rsid w:val="006F4F06"/>
    <w:rsid w:val="006F4F62"/>
    <w:rsid w:val="006F51DF"/>
    <w:rsid w:val="006F52E3"/>
    <w:rsid w:val="006F5374"/>
    <w:rsid w:val="006F53FF"/>
    <w:rsid w:val="006F5435"/>
    <w:rsid w:val="006F5518"/>
    <w:rsid w:val="006F5801"/>
    <w:rsid w:val="006F599D"/>
    <w:rsid w:val="006F5ACD"/>
    <w:rsid w:val="006F5BAE"/>
    <w:rsid w:val="006F5BFD"/>
    <w:rsid w:val="006F5CEE"/>
    <w:rsid w:val="006F5E1B"/>
    <w:rsid w:val="006F5E76"/>
    <w:rsid w:val="006F5F0B"/>
    <w:rsid w:val="006F5F8F"/>
    <w:rsid w:val="006F6189"/>
    <w:rsid w:val="006F62AB"/>
    <w:rsid w:val="006F6390"/>
    <w:rsid w:val="006F64B7"/>
    <w:rsid w:val="006F65FB"/>
    <w:rsid w:val="006F66F4"/>
    <w:rsid w:val="006F6733"/>
    <w:rsid w:val="006F67F5"/>
    <w:rsid w:val="006F68ED"/>
    <w:rsid w:val="006F694F"/>
    <w:rsid w:val="006F6A13"/>
    <w:rsid w:val="006F6AF6"/>
    <w:rsid w:val="006F6C74"/>
    <w:rsid w:val="006F6CAB"/>
    <w:rsid w:val="006F725B"/>
    <w:rsid w:val="006F7261"/>
    <w:rsid w:val="006F7277"/>
    <w:rsid w:val="006F756B"/>
    <w:rsid w:val="006F76BB"/>
    <w:rsid w:val="006F76F1"/>
    <w:rsid w:val="006F7D11"/>
    <w:rsid w:val="006F7D62"/>
    <w:rsid w:val="00700023"/>
    <w:rsid w:val="00700265"/>
    <w:rsid w:val="007003A4"/>
    <w:rsid w:val="0070047F"/>
    <w:rsid w:val="007004EA"/>
    <w:rsid w:val="00700612"/>
    <w:rsid w:val="00700623"/>
    <w:rsid w:val="007007D1"/>
    <w:rsid w:val="00700865"/>
    <w:rsid w:val="0070099B"/>
    <w:rsid w:val="007009CA"/>
    <w:rsid w:val="00700BBC"/>
    <w:rsid w:val="00700FF3"/>
    <w:rsid w:val="0070102C"/>
    <w:rsid w:val="007011B7"/>
    <w:rsid w:val="007011F4"/>
    <w:rsid w:val="00701337"/>
    <w:rsid w:val="007013BD"/>
    <w:rsid w:val="00701403"/>
    <w:rsid w:val="00701483"/>
    <w:rsid w:val="0070158F"/>
    <w:rsid w:val="00701630"/>
    <w:rsid w:val="0070167D"/>
    <w:rsid w:val="00701888"/>
    <w:rsid w:val="007018EB"/>
    <w:rsid w:val="00702181"/>
    <w:rsid w:val="007021E8"/>
    <w:rsid w:val="0070235B"/>
    <w:rsid w:val="007025C9"/>
    <w:rsid w:val="00702705"/>
    <w:rsid w:val="00702833"/>
    <w:rsid w:val="00702873"/>
    <w:rsid w:val="007029E8"/>
    <w:rsid w:val="00702B4E"/>
    <w:rsid w:val="00703047"/>
    <w:rsid w:val="0070314D"/>
    <w:rsid w:val="007033CF"/>
    <w:rsid w:val="00703406"/>
    <w:rsid w:val="0070383C"/>
    <w:rsid w:val="0070395B"/>
    <w:rsid w:val="007039BA"/>
    <w:rsid w:val="00703C93"/>
    <w:rsid w:val="00703E40"/>
    <w:rsid w:val="00703F08"/>
    <w:rsid w:val="00703F0B"/>
    <w:rsid w:val="00704199"/>
    <w:rsid w:val="007041D5"/>
    <w:rsid w:val="0070438E"/>
    <w:rsid w:val="00704499"/>
    <w:rsid w:val="007047A2"/>
    <w:rsid w:val="007047B3"/>
    <w:rsid w:val="00704A1F"/>
    <w:rsid w:val="00704F6E"/>
    <w:rsid w:val="00704F8B"/>
    <w:rsid w:val="00705352"/>
    <w:rsid w:val="00705428"/>
    <w:rsid w:val="00705468"/>
    <w:rsid w:val="007054D7"/>
    <w:rsid w:val="00705605"/>
    <w:rsid w:val="00705716"/>
    <w:rsid w:val="00705887"/>
    <w:rsid w:val="00705D09"/>
    <w:rsid w:val="00705DEB"/>
    <w:rsid w:val="0070626B"/>
    <w:rsid w:val="00706366"/>
    <w:rsid w:val="007064B2"/>
    <w:rsid w:val="00706B66"/>
    <w:rsid w:val="00706D98"/>
    <w:rsid w:val="00706DDB"/>
    <w:rsid w:val="007070FB"/>
    <w:rsid w:val="00707261"/>
    <w:rsid w:val="007073BE"/>
    <w:rsid w:val="00707463"/>
    <w:rsid w:val="007075A2"/>
    <w:rsid w:val="00707620"/>
    <w:rsid w:val="007076C6"/>
    <w:rsid w:val="007076CF"/>
    <w:rsid w:val="007077CD"/>
    <w:rsid w:val="00707A7A"/>
    <w:rsid w:val="00707C08"/>
    <w:rsid w:val="00707D26"/>
    <w:rsid w:val="00707DE9"/>
    <w:rsid w:val="00707E36"/>
    <w:rsid w:val="00707F98"/>
    <w:rsid w:val="00710186"/>
    <w:rsid w:val="007101BA"/>
    <w:rsid w:val="00710299"/>
    <w:rsid w:val="007102D7"/>
    <w:rsid w:val="0071031E"/>
    <w:rsid w:val="00710328"/>
    <w:rsid w:val="00710472"/>
    <w:rsid w:val="00710560"/>
    <w:rsid w:val="007106E8"/>
    <w:rsid w:val="00710758"/>
    <w:rsid w:val="00710905"/>
    <w:rsid w:val="00710A02"/>
    <w:rsid w:val="00710B16"/>
    <w:rsid w:val="00710B56"/>
    <w:rsid w:val="00710BAB"/>
    <w:rsid w:val="00710CDA"/>
    <w:rsid w:val="00710DB2"/>
    <w:rsid w:val="0071113C"/>
    <w:rsid w:val="0071127A"/>
    <w:rsid w:val="0071148E"/>
    <w:rsid w:val="007114BC"/>
    <w:rsid w:val="007114F2"/>
    <w:rsid w:val="00711D97"/>
    <w:rsid w:val="00711E1F"/>
    <w:rsid w:val="0071212D"/>
    <w:rsid w:val="007124B8"/>
    <w:rsid w:val="007124E3"/>
    <w:rsid w:val="0071268A"/>
    <w:rsid w:val="007126A7"/>
    <w:rsid w:val="007127BB"/>
    <w:rsid w:val="0071285F"/>
    <w:rsid w:val="00712866"/>
    <w:rsid w:val="007128AC"/>
    <w:rsid w:val="00712A12"/>
    <w:rsid w:val="00712A57"/>
    <w:rsid w:val="00712C1B"/>
    <w:rsid w:val="00712CCC"/>
    <w:rsid w:val="00712F4A"/>
    <w:rsid w:val="00713031"/>
    <w:rsid w:val="00713149"/>
    <w:rsid w:val="00713274"/>
    <w:rsid w:val="007133A0"/>
    <w:rsid w:val="00713591"/>
    <w:rsid w:val="007138CB"/>
    <w:rsid w:val="00713CAA"/>
    <w:rsid w:val="00713D36"/>
    <w:rsid w:val="00713D98"/>
    <w:rsid w:val="00713D9E"/>
    <w:rsid w:val="00713F9F"/>
    <w:rsid w:val="007142CE"/>
    <w:rsid w:val="0071430B"/>
    <w:rsid w:val="007144BD"/>
    <w:rsid w:val="007144E4"/>
    <w:rsid w:val="0071456B"/>
    <w:rsid w:val="00714663"/>
    <w:rsid w:val="007147CB"/>
    <w:rsid w:val="0071480F"/>
    <w:rsid w:val="0071492C"/>
    <w:rsid w:val="00714967"/>
    <w:rsid w:val="0071499B"/>
    <w:rsid w:val="00714A8F"/>
    <w:rsid w:val="00714C8D"/>
    <w:rsid w:val="00714CC3"/>
    <w:rsid w:val="007152DE"/>
    <w:rsid w:val="00715313"/>
    <w:rsid w:val="0071535D"/>
    <w:rsid w:val="00715547"/>
    <w:rsid w:val="007155AA"/>
    <w:rsid w:val="00715673"/>
    <w:rsid w:val="0071570A"/>
    <w:rsid w:val="0071580D"/>
    <w:rsid w:val="00715A1F"/>
    <w:rsid w:val="00715AAB"/>
    <w:rsid w:val="00715B2C"/>
    <w:rsid w:val="00715F03"/>
    <w:rsid w:val="0071616E"/>
    <w:rsid w:val="007161BE"/>
    <w:rsid w:val="00716430"/>
    <w:rsid w:val="00716466"/>
    <w:rsid w:val="00716524"/>
    <w:rsid w:val="0071653D"/>
    <w:rsid w:val="00716762"/>
    <w:rsid w:val="00716861"/>
    <w:rsid w:val="00716880"/>
    <w:rsid w:val="00716C91"/>
    <w:rsid w:val="00716D2B"/>
    <w:rsid w:val="00716E35"/>
    <w:rsid w:val="00716E72"/>
    <w:rsid w:val="00716EDB"/>
    <w:rsid w:val="00717127"/>
    <w:rsid w:val="0071718B"/>
    <w:rsid w:val="007172DB"/>
    <w:rsid w:val="00717486"/>
    <w:rsid w:val="007174FB"/>
    <w:rsid w:val="00717687"/>
    <w:rsid w:val="007177D6"/>
    <w:rsid w:val="00717946"/>
    <w:rsid w:val="007179F2"/>
    <w:rsid w:val="00717CA1"/>
    <w:rsid w:val="00717E4B"/>
    <w:rsid w:val="00717E7E"/>
    <w:rsid w:val="0072005B"/>
    <w:rsid w:val="00720104"/>
    <w:rsid w:val="007204B7"/>
    <w:rsid w:val="0072063D"/>
    <w:rsid w:val="0072066C"/>
    <w:rsid w:val="00720730"/>
    <w:rsid w:val="0072090D"/>
    <w:rsid w:val="00720C81"/>
    <w:rsid w:val="0072123E"/>
    <w:rsid w:val="00721376"/>
    <w:rsid w:val="00721433"/>
    <w:rsid w:val="00721435"/>
    <w:rsid w:val="0072168A"/>
    <w:rsid w:val="00721A17"/>
    <w:rsid w:val="00721AD1"/>
    <w:rsid w:val="00721C77"/>
    <w:rsid w:val="00721D01"/>
    <w:rsid w:val="00721D23"/>
    <w:rsid w:val="00721F22"/>
    <w:rsid w:val="00722030"/>
    <w:rsid w:val="007220AB"/>
    <w:rsid w:val="00722158"/>
    <w:rsid w:val="00722249"/>
    <w:rsid w:val="0072261B"/>
    <w:rsid w:val="0072280C"/>
    <w:rsid w:val="00722C07"/>
    <w:rsid w:val="00722ED0"/>
    <w:rsid w:val="007231D6"/>
    <w:rsid w:val="0072330B"/>
    <w:rsid w:val="007233AE"/>
    <w:rsid w:val="00723616"/>
    <w:rsid w:val="0072361B"/>
    <w:rsid w:val="0072367A"/>
    <w:rsid w:val="0072376B"/>
    <w:rsid w:val="007237EE"/>
    <w:rsid w:val="00723868"/>
    <w:rsid w:val="007238AC"/>
    <w:rsid w:val="00723993"/>
    <w:rsid w:val="00723C02"/>
    <w:rsid w:val="00723D56"/>
    <w:rsid w:val="00723DDF"/>
    <w:rsid w:val="00723DED"/>
    <w:rsid w:val="00723FAA"/>
    <w:rsid w:val="0072411B"/>
    <w:rsid w:val="0072411E"/>
    <w:rsid w:val="00724193"/>
    <w:rsid w:val="0072432E"/>
    <w:rsid w:val="007244FF"/>
    <w:rsid w:val="00724614"/>
    <w:rsid w:val="007246C1"/>
    <w:rsid w:val="00724766"/>
    <w:rsid w:val="00724786"/>
    <w:rsid w:val="007247AF"/>
    <w:rsid w:val="00724831"/>
    <w:rsid w:val="0072491A"/>
    <w:rsid w:val="0072494A"/>
    <w:rsid w:val="0072498E"/>
    <w:rsid w:val="00724BA3"/>
    <w:rsid w:val="00724DBA"/>
    <w:rsid w:val="00724E0C"/>
    <w:rsid w:val="00724E0D"/>
    <w:rsid w:val="0072568E"/>
    <w:rsid w:val="007256A5"/>
    <w:rsid w:val="007256FF"/>
    <w:rsid w:val="00725747"/>
    <w:rsid w:val="0072578B"/>
    <w:rsid w:val="007258F7"/>
    <w:rsid w:val="00725961"/>
    <w:rsid w:val="007259F7"/>
    <w:rsid w:val="00725A57"/>
    <w:rsid w:val="00725C2D"/>
    <w:rsid w:val="00725E19"/>
    <w:rsid w:val="00725E1B"/>
    <w:rsid w:val="00726015"/>
    <w:rsid w:val="0072611B"/>
    <w:rsid w:val="0072639E"/>
    <w:rsid w:val="00726462"/>
    <w:rsid w:val="007264AC"/>
    <w:rsid w:val="00726619"/>
    <w:rsid w:val="00726821"/>
    <w:rsid w:val="00726A44"/>
    <w:rsid w:val="00726A48"/>
    <w:rsid w:val="00726C72"/>
    <w:rsid w:val="00726E4C"/>
    <w:rsid w:val="00726FFB"/>
    <w:rsid w:val="007277F6"/>
    <w:rsid w:val="007278CB"/>
    <w:rsid w:val="00727AC7"/>
    <w:rsid w:val="00727AD8"/>
    <w:rsid w:val="00727BAC"/>
    <w:rsid w:val="00727C5A"/>
    <w:rsid w:val="00727D34"/>
    <w:rsid w:val="00727DB2"/>
    <w:rsid w:val="00727DE9"/>
    <w:rsid w:val="00727EB1"/>
    <w:rsid w:val="00727F72"/>
    <w:rsid w:val="00730015"/>
    <w:rsid w:val="0073013B"/>
    <w:rsid w:val="007301DA"/>
    <w:rsid w:val="007301DC"/>
    <w:rsid w:val="00730657"/>
    <w:rsid w:val="0073067F"/>
    <w:rsid w:val="007306C5"/>
    <w:rsid w:val="0073076E"/>
    <w:rsid w:val="00730795"/>
    <w:rsid w:val="007308B1"/>
    <w:rsid w:val="00730935"/>
    <w:rsid w:val="00730F2B"/>
    <w:rsid w:val="00730F33"/>
    <w:rsid w:val="00730F72"/>
    <w:rsid w:val="00730FC2"/>
    <w:rsid w:val="00731207"/>
    <w:rsid w:val="0073126E"/>
    <w:rsid w:val="007312B0"/>
    <w:rsid w:val="00731347"/>
    <w:rsid w:val="00731526"/>
    <w:rsid w:val="0073152E"/>
    <w:rsid w:val="0073166C"/>
    <w:rsid w:val="00731771"/>
    <w:rsid w:val="00731936"/>
    <w:rsid w:val="0073197B"/>
    <w:rsid w:val="00731A21"/>
    <w:rsid w:val="00731A30"/>
    <w:rsid w:val="00731BB6"/>
    <w:rsid w:val="00731BEA"/>
    <w:rsid w:val="00731E76"/>
    <w:rsid w:val="00731ED3"/>
    <w:rsid w:val="00731F08"/>
    <w:rsid w:val="00731F3A"/>
    <w:rsid w:val="00731FF6"/>
    <w:rsid w:val="0073211D"/>
    <w:rsid w:val="00732196"/>
    <w:rsid w:val="00732199"/>
    <w:rsid w:val="007321C6"/>
    <w:rsid w:val="007325DE"/>
    <w:rsid w:val="007326B1"/>
    <w:rsid w:val="007328D2"/>
    <w:rsid w:val="007328F0"/>
    <w:rsid w:val="0073291A"/>
    <w:rsid w:val="00732B93"/>
    <w:rsid w:val="00732CBA"/>
    <w:rsid w:val="00732CC8"/>
    <w:rsid w:val="00732D34"/>
    <w:rsid w:val="00732E4C"/>
    <w:rsid w:val="00732F03"/>
    <w:rsid w:val="00732FCB"/>
    <w:rsid w:val="0073331F"/>
    <w:rsid w:val="00733369"/>
    <w:rsid w:val="007333C1"/>
    <w:rsid w:val="00733405"/>
    <w:rsid w:val="00733541"/>
    <w:rsid w:val="0073357B"/>
    <w:rsid w:val="007335D6"/>
    <w:rsid w:val="0073361D"/>
    <w:rsid w:val="00733685"/>
    <w:rsid w:val="007336AD"/>
    <w:rsid w:val="0073371D"/>
    <w:rsid w:val="0073387F"/>
    <w:rsid w:val="007338AD"/>
    <w:rsid w:val="00733911"/>
    <w:rsid w:val="00733A77"/>
    <w:rsid w:val="00733B2E"/>
    <w:rsid w:val="00733C0F"/>
    <w:rsid w:val="00733C68"/>
    <w:rsid w:val="00733CD1"/>
    <w:rsid w:val="00733D28"/>
    <w:rsid w:val="00733DA2"/>
    <w:rsid w:val="00733E20"/>
    <w:rsid w:val="00733F4F"/>
    <w:rsid w:val="00734799"/>
    <w:rsid w:val="00734846"/>
    <w:rsid w:val="007348EB"/>
    <w:rsid w:val="00734990"/>
    <w:rsid w:val="00734BFD"/>
    <w:rsid w:val="00734CE7"/>
    <w:rsid w:val="00734D4D"/>
    <w:rsid w:val="00734DC4"/>
    <w:rsid w:val="00734DE7"/>
    <w:rsid w:val="007352F9"/>
    <w:rsid w:val="00735329"/>
    <w:rsid w:val="007353E3"/>
    <w:rsid w:val="0073540B"/>
    <w:rsid w:val="00735505"/>
    <w:rsid w:val="0073568A"/>
    <w:rsid w:val="00735B47"/>
    <w:rsid w:val="00735C58"/>
    <w:rsid w:val="007361C9"/>
    <w:rsid w:val="0073632C"/>
    <w:rsid w:val="00736431"/>
    <w:rsid w:val="007364ED"/>
    <w:rsid w:val="007368F1"/>
    <w:rsid w:val="0073695D"/>
    <w:rsid w:val="007369E0"/>
    <w:rsid w:val="00736ACF"/>
    <w:rsid w:val="00736E71"/>
    <w:rsid w:val="00736FE1"/>
    <w:rsid w:val="007371D4"/>
    <w:rsid w:val="007372F0"/>
    <w:rsid w:val="007374B7"/>
    <w:rsid w:val="007378D0"/>
    <w:rsid w:val="00737A47"/>
    <w:rsid w:val="00737B6E"/>
    <w:rsid w:val="00737DE6"/>
    <w:rsid w:val="00740066"/>
    <w:rsid w:val="00740256"/>
    <w:rsid w:val="00740276"/>
    <w:rsid w:val="007402A0"/>
    <w:rsid w:val="00740338"/>
    <w:rsid w:val="007404C2"/>
    <w:rsid w:val="00740905"/>
    <w:rsid w:val="00740EA1"/>
    <w:rsid w:val="00740F52"/>
    <w:rsid w:val="00740F61"/>
    <w:rsid w:val="00741015"/>
    <w:rsid w:val="00741039"/>
    <w:rsid w:val="00741262"/>
    <w:rsid w:val="007417B7"/>
    <w:rsid w:val="00741882"/>
    <w:rsid w:val="00741912"/>
    <w:rsid w:val="0074196B"/>
    <w:rsid w:val="007419AE"/>
    <w:rsid w:val="00741BCD"/>
    <w:rsid w:val="00741F5F"/>
    <w:rsid w:val="00741F73"/>
    <w:rsid w:val="007421B0"/>
    <w:rsid w:val="00742318"/>
    <w:rsid w:val="007424F6"/>
    <w:rsid w:val="007425CD"/>
    <w:rsid w:val="00742665"/>
    <w:rsid w:val="007427C4"/>
    <w:rsid w:val="0074281B"/>
    <w:rsid w:val="00742984"/>
    <w:rsid w:val="007429BD"/>
    <w:rsid w:val="00742D53"/>
    <w:rsid w:val="00742DB0"/>
    <w:rsid w:val="00742E54"/>
    <w:rsid w:val="00743075"/>
    <w:rsid w:val="007431C3"/>
    <w:rsid w:val="007431D3"/>
    <w:rsid w:val="00743459"/>
    <w:rsid w:val="007435B2"/>
    <w:rsid w:val="007436FF"/>
    <w:rsid w:val="0074382C"/>
    <w:rsid w:val="00743B9A"/>
    <w:rsid w:val="00743C66"/>
    <w:rsid w:val="00743DA1"/>
    <w:rsid w:val="007441DF"/>
    <w:rsid w:val="00744200"/>
    <w:rsid w:val="007442EB"/>
    <w:rsid w:val="00744303"/>
    <w:rsid w:val="00744355"/>
    <w:rsid w:val="007443AC"/>
    <w:rsid w:val="007443FB"/>
    <w:rsid w:val="0074447E"/>
    <w:rsid w:val="00744691"/>
    <w:rsid w:val="00744884"/>
    <w:rsid w:val="00744C03"/>
    <w:rsid w:val="00744C39"/>
    <w:rsid w:val="00744F12"/>
    <w:rsid w:val="00744F42"/>
    <w:rsid w:val="00744F9B"/>
    <w:rsid w:val="0074505A"/>
    <w:rsid w:val="0074508C"/>
    <w:rsid w:val="00745153"/>
    <w:rsid w:val="0074588F"/>
    <w:rsid w:val="0074598E"/>
    <w:rsid w:val="00745A0E"/>
    <w:rsid w:val="00745B36"/>
    <w:rsid w:val="00745D48"/>
    <w:rsid w:val="00745DB5"/>
    <w:rsid w:val="00745DE6"/>
    <w:rsid w:val="00745E1B"/>
    <w:rsid w:val="00746527"/>
    <w:rsid w:val="0074669C"/>
    <w:rsid w:val="0074686F"/>
    <w:rsid w:val="00746AB0"/>
    <w:rsid w:val="00746AE8"/>
    <w:rsid w:val="00746BF6"/>
    <w:rsid w:val="00746C2C"/>
    <w:rsid w:val="00746C56"/>
    <w:rsid w:val="00746E7F"/>
    <w:rsid w:val="00746F55"/>
    <w:rsid w:val="00747175"/>
    <w:rsid w:val="007471EC"/>
    <w:rsid w:val="00747232"/>
    <w:rsid w:val="00747488"/>
    <w:rsid w:val="007474BE"/>
    <w:rsid w:val="007475F8"/>
    <w:rsid w:val="0074777A"/>
    <w:rsid w:val="00747AE6"/>
    <w:rsid w:val="00747E5E"/>
    <w:rsid w:val="00747E7B"/>
    <w:rsid w:val="00750266"/>
    <w:rsid w:val="00750416"/>
    <w:rsid w:val="007504E8"/>
    <w:rsid w:val="00750688"/>
    <w:rsid w:val="00750741"/>
    <w:rsid w:val="007509CC"/>
    <w:rsid w:val="00750AD3"/>
    <w:rsid w:val="00750CE6"/>
    <w:rsid w:val="00750E80"/>
    <w:rsid w:val="00750F5F"/>
    <w:rsid w:val="007510C9"/>
    <w:rsid w:val="00751143"/>
    <w:rsid w:val="00751323"/>
    <w:rsid w:val="0075135B"/>
    <w:rsid w:val="007516E1"/>
    <w:rsid w:val="00751727"/>
    <w:rsid w:val="0075173E"/>
    <w:rsid w:val="007517F6"/>
    <w:rsid w:val="007518E2"/>
    <w:rsid w:val="00751941"/>
    <w:rsid w:val="00751960"/>
    <w:rsid w:val="007519FB"/>
    <w:rsid w:val="00751A22"/>
    <w:rsid w:val="00751A3E"/>
    <w:rsid w:val="00751C38"/>
    <w:rsid w:val="00751E8E"/>
    <w:rsid w:val="0075201F"/>
    <w:rsid w:val="007523E3"/>
    <w:rsid w:val="00752544"/>
    <w:rsid w:val="0075277B"/>
    <w:rsid w:val="00752A23"/>
    <w:rsid w:val="00752A3C"/>
    <w:rsid w:val="00752AEF"/>
    <w:rsid w:val="00752C49"/>
    <w:rsid w:val="00752C77"/>
    <w:rsid w:val="00752E61"/>
    <w:rsid w:val="00752E8A"/>
    <w:rsid w:val="00752F9E"/>
    <w:rsid w:val="00753072"/>
    <w:rsid w:val="007533FA"/>
    <w:rsid w:val="007534ED"/>
    <w:rsid w:val="0075386A"/>
    <w:rsid w:val="00753B77"/>
    <w:rsid w:val="00753D10"/>
    <w:rsid w:val="00753D8F"/>
    <w:rsid w:val="00753E57"/>
    <w:rsid w:val="00753EAC"/>
    <w:rsid w:val="00753F36"/>
    <w:rsid w:val="00753F61"/>
    <w:rsid w:val="0075405F"/>
    <w:rsid w:val="0075416A"/>
    <w:rsid w:val="00754450"/>
    <w:rsid w:val="00754607"/>
    <w:rsid w:val="007547C8"/>
    <w:rsid w:val="00754BA4"/>
    <w:rsid w:val="00754CA7"/>
    <w:rsid w:val="00754FBE"/>
    <w:rsid w:val="007550F1"/>
    <w:rsid w:val="007551C1"/>
    <w:rsid w:val="00755278"/>
    <w:rsid w:val="0075559C"/>
    <w:rsid w:val="00755950"/>
    <w:rsid w:val="007559E3"/>
    <w:rsid w:val="00755F10"/>
    <w:rsid w:val="00756249"/>
    <w:rsid w:val="007563FC"/>
    <w:rsid w:val="00756403"/>
    <w:rsid w:val="0075659D"/>
    <w:rsid w:val="007565F6"/>
    <w:rsid w:val="00756682"/>
    <w:rsid w:val="007567B4"/>
    <w:rsid w:val="007569EB"/>
    <w:rsid w:val="00756A15"/>
    <w:rsid w:val="00756D4C"/>
    <w:rsid w:val="00756E00"/>
    <w:rsid w:val="00756E14"/>
    <w:rsid w:val="00756EDA"/>
    <w:rsid w:val="0075716C"/>
    <w:rsid w:val="007571EB"/>
    <w:rsid w:val="00757255"/>
    <w:rsid w:val="00757317"/>
    <w:rsid w:val="0075748E"/>
    <w:rsid w:val="00757699"/>
    <w:rsid w:val="007576DC"/>
    <w:rsid w:val="007578FD"/>
    <w:rsid w:val="0076018C"/>
    <w:rsid w:val="007601C6"/>
    <w:rsid w:val="007606DE"/>
    <w:rsid w:val="0076072C"/>
    <w:rsid w:val="00760858"/>
    <w:rsid w:val="007609B1"/>
    <w:rsid w:val="00760E44"/>
    <w:rsid w:val="00761075"/>
    <w:rsid w:val="007612B5"/>
    <w:rsid w:val="007612B8"/>
    <w:rsid w:val="0076133B"/>
    <w:rsid w:val="007613D9"/>
    <w:rsid w:val="00761411"/>
    <w:rsid w:val="00761B77"/>
    <w:rsid w:val="00761DE0"/>
    <w:rsid w:val="00762090"/>
    <w:rsid w:val="00762242"/>
    <w:rsid w:val="00762585"/>
    <w:rsid w:val="0076281C"/>
    <w:rsid w:val="007629A1"/>
    <w:rsid w:val="007629BD"/>
    <w:rsid w:val="00762AA7"/>
    <w:rsid w:val="00762C57"/>
    <w:rsid w:val="00762CE4"/>
    <w:rsid w:val="00762F98"/>
    <w:rsid w:val="0076308E"/>
    <w:rsid w:val="0076358E"/>
    <w:rsid w:val="0076373E"/>
    <w:rsid w:val="00763848"/>
    <w:rsid w:val="0076384E"/>
    <w:rsid w:val="007639CA"/>
    <w:rsid w:val="00763BB1"/>
    <w:rsid w:val="00763BD2"/>
    <w:rsid w:val="00763C57"/>
    <w:rsid w:val="00763D16"/>
    <w:rsid w:val="00764109"/>
    <w:rsid w:val="0076411A"/>
    <w:rsid w:val="007642C4"/>
    <w:rsid w:val="007643CF"/>
    <w:rsid w:val="007646C9"/>
    <w:rsid w:val="00764759"/>
    <w:rsid w:val="00764862"/>
    <w:rsid w:val="00764911"/>
    <w:rsid w:val="00764A26"/>
    <w:rsid w:val="00764AF2"/>
    <w:rsid w:val="00764BC3"/>
    <w:rsid w:val="00764C1B"/>
    <w:rsid w:val="00764EBA"/>
    <w:rsid w:val="0076512F"/>
    <w:rsid w:val="00765224"/>
    <w:rsid w:val="0076524C"/>
    <w:rsid w:val="007652EE"/>
    <w:rsid w:val="00765403"/>
    <w:rsid w:val="00765509"/>
    <w:rsid w:val="0076559C"/>
    <w:rsid w:val="007655BE"/>
    <w:rsid w:val="00765650"/>
    <w:rsid w:val="00765791"/>
    <w:rsid w:val="00765A80"/>
    <w:rsid w:val="00765DCC"/>
    <w:rsid w:val="00765E79"/>
    <w:rsid w:val="00765EA3"/>
    <w:rsid w:val="00765EC0"/>
    <w:rsid w:val="00765F66"/>
    <w:rsid w:val="00766247"/>
    <w:rsid w:val="00766449"/>
    <w:rsid w:val="00766457"/>
    <w:rsid w:val="007664D6"/>
    <w:rsid w:val="007664F9"/>
    <w:rsid w:val="00766587"/>
    <w:rsid w:val="00766767"/>
    <w:rsid w:val="00766A6D"/>
    <w:rsid w:val="00766B6E"/>
    <w:rsid w:val="00766BAC"/>
    <w:rsid w:val="00766C7D"/>
    <w:rsid w:val="00766C8E"/>
    <w:rsid w:val="00766ED8"/>
    <w:rsid w:val="00766FEA"/>
    <w:rsid w:val="0076713A"/>
    <w:rsid w:val="0076713E"/>
    <w:rsid w:val="007671EE"/>
    <w:rsid w:val="00767302"/>
    <w:rsid w:val="0076744D"/>
    <w:rsid w:val="0076775F"/>
    <w:rsid w:val="007678A0"/>
    <w:rsid w:val="007678C4"/>
    <w:rsid w:val="00767ADE"/>
    <w:rsid w:val="00767D16"/>
    <w:rsid w:val="00767E5C"/>
    <w:rsid w:val="0077015B"/>
    <w:rsid w:val="007707B1"/>
    <w:rsid w:val="00770BF2"/>
    <w:rsid w:val="00770DC1"/>
    <w:rsid w:val="00770FE1"/>
    <w:rsid w:val="00771084"/>
    <w:rsid w:val="00771111"/>
    <w:rsid w:val="007711DF"/>
    <w:rsid w:val="00771239"/>
    <w:rsid w:val="00771357"/>
    <w:rsid w:val="00771490"/>
    <w:rsid w:val="007715FA"/>
    <w:rsid w:val="00771645"/>
    <w:rsid w:val="00771670"/>
    <w:rsid w:val="00771908"/>
    <w:rsid w:val="00771AAC"/>
    <w:rsid w:val="00771B07"/>
    <w:rsid w:val="00771DE6"/>
    <w:rsid w:val="00771F1C"/>
    <w:rsid w:val="00771F55"/>
    <w:rsid w:val="00771FCB"/>
    <w:rsid w:val="00772104"/>
    <w:rsid w:val="007724F5"/>
    <w:rsid w:val="007727F6"/>
    <w:rsid w:val="00772A2D"/>
    <w:rsid w:val="00772A70"/>
    <w:rsid w:val="00772AF4"/>
    <w:rsid w:val="00772B72"/>
    <w:rsid w:val="00772CA6"/>
    <w:rsid w:val="00773010"/>
    <w:rsid w:val="00773252"/>
    <w:rsid w:val="00773287"/>
    <w:rsid w:val="007733FD"/>
    <w:rsid w:val="007734BB"/>
    <w:rsid w:val="0077352E"/>
    <w:rsid w:val="00773555"/>
    <w:rsid w:val="007735E5"/>
    <w:rsid w:val="0077382D"/>
    <w:rsid w:val="007738B2"/>
    <w:rsid w:val="00773974"/>
    <w:rsid w:val="00773A59"/>
    <w:rsid w:val="00773AE6"/>
    <w:rsid w:val="00773C84"/>
    <w:rsid w:val="00773CC9"/>
    <w:rsid w:val="007740B3"/>
    <w:rsid w:val="00774219"/>
    <w:rsid w:val="00774384"/>
    <w:rsid w:val="0077460A"/>
    <w:rsid w:val="00774654"/>
    <w:rsid w:val="00774684"/>
    <w:rsid w:val="007747CE"/>
    <w:rsid w:val="00774907"/>
    <w:rsid w:val="0077499B"/>
    <w:rsid w:val="00774A3B"/>
    <w:rsid w:val="00774BA2"/>
    <w:rsid w:val="00774C61"/>
    <w:rsid w:val="00774D1B"/>
    <w:rsid w:val="00774D7E"/>
    <w:rsid w:val="007751CC"/>
    <w:rsid w:val="00775238"/>
    <w:rsid w:val="0077539E"/>
    <w:rsid w:val="00775445"/>
    <w:rsid w:val="0077546B"/>
    <w:rsid w:val="007756F2"/>
    <w:rsid w:val="007758C9"/>
    <w:rsid w:val="00775A6B"/>
    <w:rsid w:val="00775BA7"/>
    <w:rsid w:val="00775C40"/>
    <w:rsid w:val="00775DDF"/>
    <w:rsid w:val="00775F62"/>
    <w:rsid w:val="007763AA"/>
    <w:rsid w:val="00776438"/>
    <w:rsid w:val="007764FB"/>
    <w:rsid w:val="00776575"/>
    <w:rsid w:val="007765FA"/>
    <w:rsid w:val="0077662A"/>
    <w:rsid w:val="00776821"/>
    <w:rsid w:val="00776C0A"/>
    <w:rsid w:val="00776E91"/>
    <w:rsid w:val="00776F8C"/>
    <w:rsid w:val="00776FED"/>
    <w:rsid w:val="007771CF"/>
    <w:rsid w:val="007773DF"/>
    <w:rsid w:val="00777440"/>
    <w:rsid w:val="00777552"/>
    <w:rsid w:val="0077758D"/>
    <w:rsid w:val="00777AF0"/>
    <w:rsid w:val="00777EB2"/>
    <w:rsid w:val="00780061"/>
    <w:rsid w:val="00780136"/>
    <w:rsid w:val="00780293"/>
    <w:rsid w:val="0078032D"/>
    <w:rsid w:val="0078033C"/>
    <w:rsid w:val="007807AF"/>
    <w:rsid w:val="007808CF"/>
    <w:rsid w:val="007808F2"/>
    <w:rsid w:val="007809CE"/>
    <w:rsid w:val="007812DC"/>
    <w:rsid w:val="007815C0"/>
    <w:rsid w:val="007817E8"/>
    <w:rsid w:val="00781990"/>
    <w:rsid w:val="00781D30"/>
    <w:rsid w:val="00781DFE"/>
    <w:rsid w:val="00782148"/>
    <w:rsid w:val="007821D0"/>
    <w:rsid w:val="007821EF"/>
    <w:rsid w:val="00782354"/>
    <w:rsid w:val="0078256C"/>
    <w:rsid w:val="007825A6"/>
    <w:rsid w:val="00782739"/>
    <w:rsid w:val="0078283E"/>
    <w:rsid w:val="00782C7B"/>
    <w:rsid w:val="00782DBA"/>
    <w:rsid w:val="007830DC"/>
    <w:rsid w:val="007830EE"/>
    <w:rsid w:val="00783182"/>
    <w:rsid w:val="007831CA"/>
    <w:rsid w:val="007831F1"/>
    <w:rsid w:val="00783541"/>
    <w:rsid w:val="007835D4"/>
    <w:rsid w:val="00783752"/>
    <w:rsid w:val="007837AD"/>
    <w:rsid w:val="00783A51"/>
    <w:rsid w:val="00783A99"/>
    <w:rsid w:val="00783BBC"/>
    <w:rsid w:val="00783C59"/>
    <w:rsid w:val="00783D8A"/>
    <w:rsid w:val="00783F5B"/>
    <w:rsid w:val="00784075"/>
    <w:rsid w:val="00784126"/>
    <w:rsid w:val="0078441A"/>
    <w:rsid w:val="0078442C"/>
    <w:rsid w:val="0078480B"/>
    <w:rsid w:val="00784C69"/>
    <w:rsid w:val="00784E07"/>
    <w:rsid w:val="00785125"/>
    <w:rsid w:val="00785250"/>
    <w:rsid w:val="007852D3"/>
    <w:rsid w:val="00785557"/>
    <w:rsid w:val="0078556C"/>
    <w:rsid w:val="00785906"/>
    <w:rsid w:val="00785921"/>
    <w:rsid w:val="00785B2A"/>
    <w:rsid w:val="00785BB7"/>
    <w:rsid w:val="00785F4A"/>
    <w:rsid w:val="0078609D"/>
    <w:rsid w:val="007860D3"/>
    <w:rsid w:val="00786440"/>
    <w:rsid w:val="0078647B"/>
    <w:rsid w:val="00786542"/>
    <w:rsid w:val="00786624"/>
    <w:rsid w:val="00786676"/>
    <w:rsid w:val="00786A70"/>
    <w:rsid w:val="00786A85"/>
    <w:rsid w:val="00786B21"/>
    <w:rsid w:val="00786BD1"/>
    <w:rsid w:val="00786BE6"/>
    <w:rsid w:val="00786CCC"/>
    <w:rsid w:val="00786FBC"/>
    <w:rsid w:val="00786FDC"/>
    <w:rsid w:val="00787150"/>
    <w:rsid w:val="00787184"/>
    <w:rsid w:val="00787312"/>
    <w:rsid w:val="00787577"/>
    <w:rsid w:val="0078770C"/>
    <w:rsid w:val="0078790C"/>
    <w:rsid w:val="00787A79"/>
    <w:rsid w:val="00787B1E"/>
    <w:rsid w:val="00787B3F"/>
    <w:rsid w:val="00787B54"/>
    <w:rsid w:val="00787E8C"/>
    <w:rsid w:val="00787FDD"/>
    <w:rsid w:val="007902D5"/>
    <w:rsid w:val="007902ED"/>
    <w:rsid w:val="007902FF"/>
    <w:rsid w:val="007905F0"/>
    <w:rsid w:val="007906ED"/>
    <w:rsid w:val="00790894"/>
    <w:rsid w:val="0079090A"/>
    <w:rsid w:val="00790ACC"/>
    <w:rsid w:val="00790BC7"/>
    <w:rsid w:val="00790C65"/>
    <w:rsid w:val="00791063"/>
    <w:rsid w:val="00791228"/>
    <w:rsid w:val="00791354"/>
    <w:rsid w:val="007915EC"/>
    <w:rsid w:val="00791657"/>
    <w:rsid w:val="0079181F"/>
    <w:rsid w:val="00791A11"/>
    <w:rsid w:val="00791ACA"/>
    <w:rsid w:val="00791C51"/>
    <w:rsid w:val="00791CA6"/>
    <w:rsid w:val="00791F17"/>
    <w:rsid w:val="00791F1F"/>
    <w:rsid w:val="007920C2"/>
    <w:rsid w:val="0079220C"/>
    <w:rsid w:val="0079265D"/>
    <w:rsid w:val="0079279B"/>
    <w:rsid w:val="007927B2"/>
    <w:rsid w:val="007928C8"/>
    <w:rsid w:val="00792A3A"/>
    <w:rsid w:val="00792ACB"/>
    <w:rsid w:val="00792BF2"/>
    <w:rsid w:val="00792DF7"/>
    <w:rsid w:val="00792E89"/>
    <w:rsid w:val="00792EC1"/>
    <w:rsid w:val="00792FBE"/>
    <w:rsid w:val="007930E0"/>
    <w:rsid w:val="00793229"/>
    <w:rsid w:val="0079327D"/>
    <w:rsid w:val="007932D9"/>
    <w:rsid w:val="007932E7"/>
    <w:rsid w:val="00793659"/>
    <w:rsid w:val="007936D9"/>
    <w:rsid w:val="00793A39"/>
    <w:rsid w:val="00793C9A"/>
    <w:rsid w:val="00793E1B"/>
    <w:rsid w:val="00793F43"/>
    <w:rsid w:val="0079407A"/>
    <w:rsid w:val="0079424F"/>
    <w:rsid w:val="00794414"/>
    <w:rsid w:val="007944BD"/>
    <w:rsid w:val="0079456D"/>
    <w:rsid w:val="00794589"/>
    <w:rsid w:val="007947EF"/>
    <w:rsid w:val="007947F6"/>
    <w:rsid w:val="00794804"/>
    <w:rsid w:val="00794B91"/>
    <w:rsid w:val="00794EF8"/>
    <w:rsid w:val="0079506D"/>
    <w:rsid w:val="00795499"/>
    <w:rsid w:val="0079561C"/>
    <w:rsid w:val="00795639"/>
    <w:rsid w:val="0079584C"/>
    <w:rsid w:val="0079599B"/>
    <w:rsid w:val="007959CE"/>
    <w:rsid w:val="00795ABC"/>
    <w:rsid w:val="00795B11"/>
    <w:rsid w:val="00795CA7"/>
    <w:rsid w:val="00795D47"/>
    <w:rsid w:val="00795F1B"/>
    <w:rsid w:val="00796318"/>
    <w:rsid w:val="00796323"/>
    <w:rsid w:val="00796407"/>
    <w:rsid w:val="007964AA"/>
    <w:rsid w:val="00796645"/>
    <w:rsid w:val="007966DA"/>
    <w:rsid w:val="0079688D"/>
    <w:rsid w:val="00796D96"/>
    <w:rsid w:val="00796E62"/>
    <w:rsid w:val="00796EA2"/>
    <w:rsid w:val="00796FE1"/>
    <w:rsid w:val="0079726E"/>
    <w:rsid w:val="007972B6"/>
    <w:rsid w:val="00797796"/>
    <w:rsid w:val="007977F8"/>
    <w:rsid w:val="007978BF"/>
    <w:rsid w:val="00797AA9"/>
    <w:rsid w:val="00797BA5"/>
    <w:rsid w:val="00797EBE"/>
    <w:rsid w:val="00797EF0"/>
    <w:rsid w:val="00797F32"/>
    <w:rsid w:val="00797FE2"/>
    <w:rsid w:val="007A007D"/>
    <w:rsid w:val="007A00B5"/>
    <w:rsid w:val="007A00C6"/>
    <w:rsid w:val="007A061D"/>
    <w:rsid w:val="007A0A71"/>
    <w:rsid w:val="007A0A93"/>
    <w:rsid w:val="007A0B2A"/>
    <w:rsid w:val="007A0C6A"/>
    <w:rsid w:val="007A0D50"/>
    <w:rsid w:val="007A10F3"/>
    <w:rsid w:val="007A1594"/>
    <w:rsid w:val="007A1AE1"/>
    <w:rsid w:val="007A1C5C"/>
    <w:rsid w:val="007A1C9C"/>
    <w:rsid w:val="007A1CB0"/>
    <w:rsid w:val="007A1EA4"/>
    <w:rsid w:val="007A1F46"/>
    <w:rsid w:val="007A1FA3"/>
    <w:rsid w:val="007A20BD"/>
    <w:rsid w:val="007A2592"/>
    <w:rsid w:val="007A26A2"/>
    <w:rsid w:val="007A26CD"/>
    <w:rsid w:val="007A2812"/>
    <w:rsid w:val="007A2A09"/>
    <w:rsid w:val="007A2B0A"/>
    <w:rsid w:val="007A2E0F"/>
    <w:rsid w:val="007A2E33"/>
    <w:rsid w:val="007A2FA5"/>
    <w:rsid w:val="007A2FB7"/>
    <w:rsid w:val="007A2FD1"/>
    <w:rsid w:val="007A30AB"/>
    <w:rsid w:val="007A30E3"/>
    <w:rsid w:val="007A30FA"/>
    <w:rsid w:val="007A3251"/>
    <w:rsid w:val="007A3271"/>
    <w:rsid w:val="007A33EC"/>
    <w:rsid w:val="007A34A6"/>
    <w:rsid w:val="007A3510"/>
    <w:rsid w:val="007A3979"/>
    <w:rsid w:val="007A3ADA"/>
    <w:rsid w:val="007A3C8A"/>
    <w:rsid w:val="007A3E3C"/>
    <w:rsid w:val="007A3E8A"/>
    <w:rsid w:val="007A3F19"/>
    <w:rsid w:val="007A4070"/>
    <w:rsid w:val="007A4315"/>
    <w:rsid w:val="007A431C"/>
    <w:rsid w:val="007A43AC"/>
    <w:rsid w:val="007A4707"/>
    <w:rsid w:val="007A49E1"/>
    <w:rsid w:val="007A49FE"/>
    <w:rsid w:val="007A4BEE"/>
    <w:rsid w:val="007A4CB4"/>
    <w:rsid w:val="007A5026"/>
    <w:rsid w:val="007A506E"/>
    <w:rsid w:val="007A5302"/>
    <w:rsid w:val="007A564B"/>
    <w:rsid w:val="007A582F"/>
    <w:rsid w:val="007A58E1"/>
    <w:rsid w:val="007A5909"/>
    <w:rsid w:val="007A5A20"/>
    <w:rsid w:val="007A5A74"/>
    <w:rsid w:val="007A5B8E"/>
    <w:rsid w:val="007A5BF1"/>
    <w:rsid w:val="007A5F29"/>
    <w:rsid w:val="007A5F3A"/>
    <w:rsid w:val="007A6020"/>
    <w:rsid w:val="007A608B"/>
    <w:rsid w:val="007A627C"/>
    <w:rsid w:val="007A66DD"/>
    <w:rsid w:val="007A66E5"/>
    <w:rsid w:val="007A68A4"/>
    <w:rsid w:val="007A6CBC"/>
    <w:rsid w:val="007A74B3"/>
    <w:rsid w:val="007A75C1"/>
    <w:rsid w:val="007A77C8"/>
    <w:rsid w:val="007A7898"/>
    <w:rsid w:val="007A79D3"/>
    <w:rsid w:val="007A7A43"/>
    <w:rsid w:val="007A7A96"/>
    <w:rsid w:val="007A7ADE"/>
    <w:rsid w:val="007A7B25"/>
    <w:rsid w:val="007A7B50"/>
    <w:rsid w:val="007A7C23"/>
    <w:rsid w:val="007A7C35"/>
    <w:rsid w:val="007A7D58"/>
    <w:rsid w:val="007A7DE8"/>
    <w:rsid w:val="007B0013"/>
    <w:rsid w:val="007B0211"/>
    <w:rsid w:val="007B0375"/>
    <w:rsid w:val="007B03C4"/>
    <w:rsid w:val="007B04D7"/>
    <w:rsid w:val="007B0597"/>
    <w:rsid w:val="007B05C4"/>
    <w:rsid w:val="007B0621"/>
    <w:rsid w:val="007B0710"/>
    <w:rsid w:val="007B0B5C"/>
    <w:rsid w:val="007B0CC4"/>
    <w:rsid w:val="007B0D3F"/>
    <w:rsid w:val="007B0E17"/>
    <w:rsid w:val="007B0F31"/>
    <w:rsid w:val="007B1093"/>
    <w:rsid w:val="007B12EE"/>
    <w:rsid w:val="007B141A"/>
    <w:rsid w:val="007B14FE"/>
    <w:rsid w:val="007B169B"/>
    <w:rsid w:val="007B1897"/>
    <w:rsid w:val="007B1A7E"/>
    <w:rsid w:val="007B1AA9"/>
    <w:rsid w:val="007B1C6C"/>
    <w:rsid w:val="007B1F22"/>
    <w:rsid w:val="007B1FD1"/>
    <w:rsid w:val="007B21A9"/>
    <w:rsid w:val="007B2282"/>
    <w:rsid w:val="007B22B0"/>
    <w:rsid w:val="007B236C"/>
    <w:rsid w:val="007B2704"/>
    <w:rsid w:val="007B271A"/>
    <w:rsid w:val="007B27D6"/>
    <w:rsid w:val="007B2826"/>
    <w:rsid w:val="007B2BD8"/>
    <w:rsid w:val="007B2C48"/>
    <w:rsid w:val="007B2CC6"/>
    <w:rsid w:val="007B2DAA"/>
    <w:rsid w:val="007B2DB5"/>
    <w:rsid w:val="007B2E5A"/>
    <w:rsid w:val="007B2E86"/>
    <w:rsid w:val="007B2EE5"/>
    <w:rsid w:val="007B2EF6"/>
    <w:rsid w:val="007B2FFC"/>
    <w:rsid w:val="007B3237"/>
    <w:rsid w:val="007B33D1"/>
    <w:rsid w:val="007B3459"/>
    <w:rsid w:val="007B3A32"/>
    <w:rsid w:val="007B3CAB"/>
    <w:rsid w:val="007B3E7E"/>
    <w:rsid w:val="007B3EC4"/>
    <w:rsid w:val="007B40C0"/>
    <w:rsid w:val="007B4181"/>
    <w:rsid w:val="007B41E2"/>
    <w:rsid w:val="007B4522"/>
    <w:rsid w:val="007B4A4E"/>
    <w:rsid w:val="007B4BCD"/>
    <w:rsid w:val="007B4FFC"/>
    <w:rsid w:val="007B545C"/>
    <w:rsid w:val="007B54B8"/>
    <w:rsid w:val="007B5539"/>
    <w:rsid w:val="007B5680"/>
    <w:rsid w:val="007B568F"/>
    <w:rsid w:val="007B56C4"/>
    <w:rsid w:val="007B5A1D"/>
    <w:rsid w:val="007B5C91"/>
    <w:rsid w:val="007B5D07"/>
    <w:rsid w:val="007B5D6B"/>
    <w:rsid w:val="007B6088"/>
    <w:rsid w:val="007B60E1"/>
    <w:rsid w:val="007B611C"/>
    <w:rsid w:val="007B6239"/>
    <w:rsid w:val="007B64DC"/>
    <w:rsid w:val="007B66F7"/>
    <w:rsid w:val="007B68EC"/>
    <w:rsid w:val="007B6B4F"/>
    <w:rsid w:val="007B6B99"/>
    <w:rsid w:val="007B6D1F"/>
    <w:rsid w:val="007B6E3B"/>
    <w:rsid w:val="007B6F1E"/>
    <w:rsid w:val="007B6F33"/>
    <w:rsid w:val="007B706C"/>
    <w:rsid w:val="007B74E0"/>
    <w:rsid w:val="007B7580"/>
    <w:rsid w:val="007B7695"/>
    <w:rsid w:val="007B7CFD"/>
    <w:rsid w:val="007B7D26"/>
    <w:rsid w:val="007B7DED"/>
    <w:rsid w:val="007B7E63"/>
    <w:rsid w:val="007B7ECA"/>
    <w:rsid w:val="007C01DE"/>
    <w:rsid w:val="007C038F"/>
    <w:rsid w:val="007C0411"/>
    <w:rsid w:val="007C044C"/>
    <w:rsid w:val="007C06D9"/>
    <w:rsid w:val="007C08AA"/>
    <w:rsid w:val="007C0B69"/>
    <w:rsid w:val="007C0BE2"/>
    <w:rsid w:val="007C0D89"/>
    <w:rsid w:val="007C0E6C"/>
    <w:rsid w:val="007C100A"/>
    <w:rsid w:val="007C125F"/>
    <w:rsid w:val="007C15AE"/>
    <w:rsid w:val="007C18CC"/>
    <w:rsid w:val="007C198B"/>
    <w:rsid w:val="007C198E"/>
    <w:rsid w:val="007C1CDD"/>
    <w:rsid w:val="007C1CEC"/>
    <w:rsid w:val="007C1D0B"/>
    <w:rsid w:val="007C1D61"/>
    <w:rsid w:val="007C1E14"/>
    <w:rsid w:val="007C1EDB"/>
    <w:rsid w:val="007C1F9F"/>
    <w:rsid w:val="007C21BD"/>
    <w:rsid w:val="007C22F3"/>
    <w:rsid w:val="007C2321"/>
    <w:rsid w:val="007C2337"/>
    <w:rsid w:val="007C23D1"/>
    <w:rsid w:val="007C2576"/>
    <w:rsid w:val="007C257A"/>
    <w:rsid w:val="007C273A"/>
    <w:rsid w:val="007C282B"/>
    <w:rsid w:val="007C2970"/>
    <w:rsid w:val="007C29B0"/>
    <w:rsid w:val="007C2AD5"/>
    <w:rsid w:val="007C2B8B"/>
    <w:rsid w:val="007C2BAA"/>
    <w:rsid w:val="007C2DDD"/>
    <w:rsid w:val="007C2E7D"/>
    <w:rsid w:val="007C332C"/>
    <w:rsid w:val="007C3360"/>
    <w:rsid w:val="007C345C"/>
    <w:rsid w:val="007C3523"/>
    <w:rsid w:val="007C36B5"/>
    <w:rsid w:val="007C36DD"/>
    <w:rsid w:val="007C3D6D"/>
    <w:rsid w:val="007C3F26"/>
    <w:rsid w:val="007C40AA"/>
    <w:rsid w:val="007C41A5"/>
    <w:rsid w:val="007C41BF"/>
    <w:rsid w:val="007C42BD"/>
    <w:rsid w:val="007C4308"/>
    <w:rsid w:val="007C4315"/>
    <w:rsid w:val="007C4571"/>
    <w:rsid w:val="007C45EB"/>
    <w:rsid w:val="007C45EE"/>
    <w:rsid w:val="007C4640"/>
    <w:rsid w:val="007C46BB"/>
    <w:rsid w:val="007C4A0B"/>
    <w:rsid w:val="007C4A88"/>
    <w:rsid w:val="007C4AEA"/>
    <w:rsid w:val="007C4C2A"/>
    <w:rsid w:val="007C4DCF"/>
    <w:rsid w:val="007C4DF1"/>
    <w:rsid w:val="007C4EDD"/>
    <w:rsid w:val="007C50E0"/>
    <w:rsid w:val="007C5305"/>
    <w:rsid w:val="007C5897"/>
    <w:rsid w:val="007C5A20"/>
    <w:rsid w:val="007C5A97"/>
    <w:rsid w:val="007C5C8D"/>
    <w:rsid w:val="007C5DD3"/>
    <w:rsid w:val="007C6021"/>
    <w:rsid w:val="007C6107"/>
    <w:rsid w:val="007C6371"/>
    <w:rsid w:val="007C65B4"/>
    <w:rsid w:val="007C66DD"/>
    <w:rsid w:val="007C673A"/>
    <w:rsid w:val="007C686A"/>
    <w:rsid w:val="007C6F36"/>
    <w:rsid w:val="007C6F77"/>
    <w:rsid w:val="007C7027"/>
    <w:rsid w:val="007C707C"/>
    <w:rsid w:val="007C7132"/>
    <w:rsid w:val="007C723C"/>
    <w:rsid w:val="007C7276"/>
    <w:rsid w:val="007C7281"/>
    <w:rsid w:val="007C74CC"/>
    <w:rsid w:val="007C7592"/>
    <w:rsid w:val="007C75FA"/>
    <w:rsid w:val="007C767F"/>
    <w:rsid w:val="007C7890"/>
    <w:rsid w:val="007C7A4A"/>
    <w:rsid w:val="007C7B1E"/>
    <w:rsid w:val="007C7C32"/>
    <w:rsid w:val="007C7CDD"/>
    <w:rsid w:val="007C7F39"/>
    <w:rsid w:val="007D027F"/>
    <w:rsid w:val="007D05AF"/>
    <w:rsid w:val="007D0785"/>
    <w:rsid w:val="007D0794"/>
    <w:rsid w:val="007D081C"/>
    <w:rsid w:val="007D0AE4"/>
    <w:rsid w:val="007D0D12"/>
    <w:rsid w:val="007D1030"/>
    <w:rsid w:val="007D10EE"/>
    <w:rsid w:val="007D11A9"/>
    <w:rsid w:val="007D1271"/>
    <w:rsid w:val="007D13D5"/>
    <w:rsid w:val="007D1498"/>
    <w:rsid w:val="007D15F4"/>
    <w:rsid w:val="007D1716"/>
    <w:rsid w:val="007D17F9"/>
    <w:rsid w:val="007D1938"/>
    <w:rsid w:val="007D1A1F"/>
    <w:rsid w:val="007D1B28"/>
    <w:rsid w:val="007D1BE3"/>
    <w:rsid w:val="007D1C0C"/>
    <w:rsid w:val="007D1E32"/>
    <w:rsid w:val="007D20B5"/>
    <w:rsid w:val="007D20D4"/>
    <w:rsid w:val="007D20DA"/>
    <w:rsid w:val="007D20F6"/>
    <w:rsid w:val="007D21C8"/>
    <w:rsid w:val="007D267E"/>
    <w:rsid w:val="007D28AB"/>
    <w:rsid w:val="007D290A"/>
    <w:rsid w:val="007D2B10"/>
    <w:rsid w:val="007D2CFE"/>
    <w:rsid w:val="007D2D70"/>
    <w:rsid w:val="007D2D73"/>
    <w:rsid w:val="007D2E18"/>
    <w:rsid w:val="007D304A"/>
    <w:rsid w:val="007D310E"/>
    <w:rsid w:val="007D34E8"/>
    <w:rsid w:val="007D34EB"/>
    <w:rsid w:val="007D35D4"/>
    <w:rsid w:val="007D3797"/>
    <w:rsid w:val="007D395A"/>
    <w:rsid w:val="007D3A68"/>
    <w:rsid w:val="007D3C87"/>
    <w:rsid w:val="007D3D36"/>
    <w:rsid w:val="007D3D46"/>
    <w:rsid w:val="007D406C"/>
    <w:rsid w:val="007D410D"/>
    <w:rsid w:val="007D4113"/>
    <w:rsid w:val="007D42EA"/>
    <w:rsid w:val="007D4389"/>
    <w:rsid w:val="007D452D"/>
    <w:rsid w:val="007D4648"/>
    <w:rsid w:val="007D4663"/>
    <w:rsid w:val="007D4756"/>
    <w:rsid w:val="007D4841"/>
    <w:rsid w:val="007D4AFE"/>
    <w:rsid w:val="007D4BA8"/>
    <w:rsid w:val="007D4F52"/>
    <w:rsid w:val="007D5009"/>
    <w:rsid w:val="007D5065"/>
    <w:rsid w:val="007D50DB"/>
    <w:rsid w:val="007D5450"/>
    <w:rsid w:val="007D54B5"/>
    <w:rsid w:val="007D5554"/>
    <w:rsid w:val="007D5572"/>
    <w:rsid w:val="007D572B"/>
    <w:rsid w:val="007D58A2"/>
    <w:rsid w:val="007D58FD"/>
    <w:rsid w:val="007D5ABD"/>
    <w:rsid w:val="007D5CF7"/>
    <w:rsid w:val="007D5D4B"/>
    <w:rsid w:val="007D5E1D"/>
    <w:rsid w:val="007D5E47"/>
    <w:rsid w:val="007D5E67"/>
    <w:rsid w:val="007D60A5"/>
    <w:rsid w:val="007D616C"/>
    <w:rsid w:val="007D622B"/>
    <w:rsid w:val="007D62EC"/>
    <w:rsid w:val="007D6322"/>
    <w:rsid w:val="007D63B8"/>
    <w:rsid w:val="007D64C4"/>
    <w:rsid w:val="007D65BF"/>
    <w:rsid w:val="007D6615"/>
    <w:rsid w:val="007D6809"/>
    <w:rsid w:val="007D6831"/>
    <w:rsid w:val="007D6838"/>
    <w:rsid w:val="007D6A05"/>
    <w:rsid w:val="007D6A9C"/>
    <w:rsid w:val="007D6A9E"/>
    <w:rsid w:val="007D6AD1"/>
    <w:rsid w:val="007D6B9B"/>
    <w:rsid w:val="007D6C16"/>
    <w:rsid w:val="007D6EF0"/>
    <w:rsid w:val="007D6F5B"/>
    <w:rsid w:val="007D6FC5"/>
    <w:rsid w:val="007D708D"/>
    <w:rsid w:val="007D71BE"/>
    <w:rsid w:val="007D739D"/>
    <w:rsid w:val="007D73F7"/>
    <w:rsid w:val="007D7531"/>
    <w:rsid w:val="007D760F"/>
    <w:rsid w:val="007D76F0"/>
    <w:rsid w:val="007D7723"/>
    <w:rsid w:val="007D77CF"/>
    <w:rsid w:val="007D796B"/>
    <w:rsid w:val="007D79DA"/>
    <w:rsid w:val="007D7D9E"/>
    <w:rsid w:val="007E000E"/>
    <w:rsid w:val="007E000F"/>
    <w:rsid w:val="007E0175"/>
    <w:rsid w:val="007E02D1"/>
    <w:rsid w:val="007E0398"/>
    <w:rsid w:val="007E03DF"/>
    <w:rsid w:val="007E08CA"/>
    <w:rsid w:val="007E0926"/>
    <w:rsid w:val="007E098A"/>
    <w:rsid w:val="007E0AD4"/>
    <w:rsid w:val="007E0B67"/>
    <w:rsid w:val="007E0CD8"/>
    <w:rsid w:val="007E0EBD"/>
    <w:rsid w:val="007E0F11"/>
    <w:rsid w:val="007E0F72"/>
    <w:rsid w:val="007E1015"/>
    <w:rsid w:val="007E1188"/>
    <w:rsid w:val="007E1195"/>
    <w:rsid w:val="007E11DD"/>
    <w:rsid w:val="007E13E0"/>
    <w:rsid w:val="007E1582"/>
    <w:rsid w:val="007E15DF"/>
    <w:rsid w:val="007E17B8"/>
    <w:rsid w:val="007E1837"/>
    <w:rsid w:val="007E19E2"/>
    <w:rsid w:val="007E1B3D"/>
    <w:rsid w:val="007E1BDA"/>
    <w:rsid w:val="007E1DC3"/>
    <w:rsid w:val="007E1EE1"/>
    <w:rsid w:val="007E1F8A"/>
    <w:rsid w:val="007E207B"/>
    <w:rsid w:val="007E2682"/>
    <w:rsid w:val="007E2873"/>
    <w:rsid w:val="007E2977"/>
    <w:rsid w:val="007E299D"/>
    <w:rsid w:val="007E2C05"/>
    <w:rsid w:val="007E2D65"/>
    <w:rsid w:val="007E2D68"/>
    <w:rsid w:val="007E2D6D"/>
    <w:rsid w:val="007E2DED"/>
    <w:rsid w:val="007E2DFE"/>
    <w:rsid w:val="007E2ED9"/>
    <w:rsid w:val="007E2F04"/>
    <w:rsid w:val="007E2F69"/>
    <w:rsid w:val="007E3013"/>
    <w:rsid w:val="007E3072"/>
    <w:rsid w:val="007E317B"/>
    <w:rsid w:val="007E3307"/>
    <w:rsid w:val="007E33D3"/>
    <w:rsid w:val="007E33EA"/>
    <w:rsid w:val="007E3463"/>
    <w:rsid w:val="007E34CF"/>
    <w:rsid w:val="007E3551"/>
    <w:rsid w:val="007E355C"/>
    <w:rsid w:val="007E35F7"/>
    <w:rsid w:val="007E3611"/>
    <w:rsid w:val="007E39C7"/>
    <w:rsid w:val="007E3A8E"/>
    <w:rsid w:val="007E3C0C"/>
    <w:rsid w:val="007E3F51"/>
    <w:rsid w:val="007E41AB"/>
    <w:rsid w:val="007E426B"/>
    <w:rsid w:val="007E42B9"/>
    <w:rsid w:val="007E4315"/>
    <w:rsid w:val="007E43EE"/>
    <w:rsid w:val="007E45BA"/>
    <w:rsid w:val="007E4679"/>
    <w:rsid w:val="007E4695"/>
    <w:rsid w:val="007E4745"/>
    <w:rsid w:val="007E474C"/>
    <w:rsid w:val="007E48EC"/>
    <w:rsid w:val="007E49E8"/>
    <w:rsid w:val="007E4C6A"/>
    <w:rsid w:val="007E577F"/>
    <w:rsid w:val="007E5807"/>
    <w:rsid w:val="007E582E"/>
    <w:rsid w:val="007E58C6"/>
    <w:rsid w:val="007E58FB"/>
    <w:rsid w:val="007E5B41"/>
    <w:rsid w:val="007E5BF7"/>
    <w:rsid w:val="007E5D3A"/>
    <w:rsid w:val="007E5F54"/>
    <w:rsid w:val="007E6036"/>
    <w:rsid w:val="007E6629"/>
    <w:rsid w:val="007E6651"/>
    <w:rsid w:val="007E677D"/>
    <w:rsid w:val="007E6801"/>
    <w:rsid w:val="007E6910"/>
    <w:rsid w:val="007E6ABB"/>
    <w:rsid w:val="007E6BFE"/>
    <w:rsid w:val="007E6CAD"/>
    <w:rsid w:val="007E6D10"/>
    <w:rsid w:val="007E6DB3"/>
    <w:rsid w:val="007E6E42"/>
    <w:rsid w:val="007E7015"/>
    <w:rsid w:val="007E7103"/>
    <w:rsid w:val="007E7211"/>
    <w:rsid w:val="007E72BB"/>
    <w:rsid w:val="007E75BE"/>
    <w:rsid w:val="007E794D"/>
    <w:rsid w:val="007E79BC"/>
    <w:rsid w:val="007E7AC0"/>
    <w:rsid w:val="007E7EFA"/>
    <w:rsid w:val="007F00B2"/>
    <w:rsid w:val="007F018B"/>
    <w:rsid w:val="007F01A8"/>
    <w:rsid w:val="007F0269"/>
    <w:rsid w:val="007F02D7"/>
    <w:rsid w:val="007F0416"/>
    <w:rsid w:val="007F04E3"/>
    <w:rsid w:val="007F0537"/>
    <w:rsid w:val="007F066A"/>
    <w:rsid w:val="007F06E8"/>
    <w:rsid w:val="007F0708"/>
    <w:rsid w:val="007F0744"/>
    <w:rsid w:val="007F0829"/>
    <w:rsid w:val="007F0932"/>
    <w:rsid w:val="007F0C80"/>
    <w:rsid w:val="007F0F04"/>
    <w:rsid w:val="007F10E5"/>
    <w:rsid w:val="007F11D2"/>
    <w:rsid w:val="007F1266"/>
    <w:rsid w:val="007F1426"/>
    <w:rsid w:val="007F157B"/>
    <w:rsid w:val="007F15B7"/>
    <w:rsid w:val="007F15B8"/>
    <w:rsid w:val="007F164E"/>
    <w:rsid w:val="007F17CE"/>
    <w:rsid w:val="007F1BBD"/>
    <w:rsid w:val="007F1BC3"/>
    <w:rsid w:val="007F1D2B"/>
    <w:rsid w:val="007F1D4B"/>
    <w:rsid w:val="007F1E33"/>
    <w:rsid w:val="007F2047"/>
    <w:rsid w:val="007F2748"/>
    <w:rsid w:val="007F2A58"/>
    <w:rsid w:val="007F2ADA"/>
    <w:rsid w:val="007F2B2C"/>
    <w:rsid w:val="007F2E0B"/>
    <w:rsid w:val="007F2E77"/>
    <w:rsid w:val="007F2EB1"/>
    <w:rsid w:val="007F2FC4"/>
    <w:rsid w:val="007F301F"/>
    <w:rsid w:val="007F3183"/>
    <w:rsid w:val="007F31A0"/>
    <w:rsid w:val="007F31D1"/>
    <w:rsid w:val="007F32D9"/>
    <w:rsid w:val="007F3331"/>
    <w:rsid w:val="007F3400"/>
    <w:rsid w:val="007F3523"/>
    <w:rsid w:val="007F3530"/>
    <w:rsid w:val="007F37DC"/>
    <w:rsid w:val="007F3A15"/>
    <w:rsid w:val="007F3A55"/>
    <w:rsid w:val="007F3AE4"/>
    <w:rsid w:val="007F3B5A"/>
    <w:rsid w:val="007F3DF7"/>
    <w:rsid w:val="007F3E14"/>
    <w:rsid w:val="007F3E53"/>
    <w:rsid w:val="007F3E6D"/>
    <w:rsid w:val="007F3EC9"/>
    <w:rsid w:val="007F4128"/>
    <w:rsid w:val="007F4464"/>
    <w:rsid w:val="007F485C"/>
    <w:rsid w:val="007F4C7F"/>
    <w:rsid w:val="007F4E3A"/>
    <w:rsid w:val="007F4EEC"/>
    <w:rsid w:val="007F4F4B"/>
    <w:rsid w:val="007F500F"/>
    <w:rsid w:val="007F5227"/>
    <w:rsid w:val="007F53C1"/>
    <w:rsid w:val="007F55C1"/>
    <w:rsid w:val="007F562F"/>
    <w:rsid w:val="007F5661"/>
    <w:rsid w:val="007F599D"/>
    <w:rsid w:val="007F5B03"/>
    <w:rsid w:val="007F5C4F"/>
    <w:rsid w:val="007F5F79"/>
    <w:rsid w:val="007F6023"/>
    <w:rsid w:val="007F6194"/>
    <w:rsid w:val="007F6399"/>
    <w:rsid w:val="007F6484"/>
    <w:rsid w:val="007F650B"/>
    <w:rsid w:val="007F6646"/>
    <w:rsid w:val="007F67CC"/>
    <w:rsid w:val="007F6A44"/>
    <w:rsid w:val="007F6B99"/>
    <w:rsid w:val="007F6C16"/>
    <w:rsid w:val="007F6E96"/>
    <w:rsid w:val="007F6FCB"/>
    <w:rsid w:val="007F70A4"/>
    <w:rsid w:val="007F71F4"/>
    <w:rsid w:val="007F7602"/>
    <w:rsid w:val="007F7606"/>
    <w:rsid w:val="007F7705"/>
    <w:rsid w:val="007F77B2"/>
    <w:rsid w:val="007F7881"/>
    <w:rsid w:val="007F7966"/>
    <w:rsid w:val="007F7AA9"/>
    <w:rsid w:val="007F7CCE"/>
    <w:rsid w:val="008002A8"/>
    <w:rsid w:val="008002CD"/>
    <w:rsid w:val="008006BB"/>
    <w:rsid w:val="00800801"/>
    <w:rsid w:val="008008AF"/>
    <w:rsid w:val="008008B4"/>
    <w:rsid w:val="00800A11"/>
    <w:rsid w:val="00800B36"/>
    <w:rsid w:val="00800B7C"/>
    <w:rsid w:val="00800C7D"/>
    <w:rsid w:val="00800E44"/>
    <w:rsid w:val="00800F9A"/>
    <w:rsid w:val="0080102D"/>
    <w:rsid w:val="008011E0"/>
    <w:rsid w:val="00801325"/>
    <w:rsid w:val="00801721"/>
    <w:rsid w:val="0080172F"/>
    <w:rsid w:val="00801758"/>
    <w:rsid w:val="00801919"/>
    <w:rsid w:val="00801B35"/>
    <w:rsid w:val="00801BCE"/>
    <w:rsid w:val="00801D42"/>
    <w:rsid w:val="00801DEF"/>
    <w:rsid w:val="00801FDA"/>
    <w:rsid w:val="008021EA"/>
    <w:rsid w:val="00802266"/>
    <w:rsid w:val="00802310"/>
    <w:rsid w:val="00802638"/>
    <w:rsid w:val="008026E4"/>
    <w:rsid w:val="008026F1"/>
    <w:rsid w:val="00802940"/>
    <w:rsid w:val="008029DC"/>
    <w:rsid w:val="00802A1B"/>
    <w:rsid w:val="00802CD9"/>
    <w:rsid w:val="00802CEE"/>
    <w:rsid w:val="00802E65"/>
    <w:rsid w:val="00803008"/>
    <w:rsid w:val="008032B3"/>
    <w:rsid w:val="0080330C"/>
    <w:rsid w:val="0080347F"/>
    <w:rsid w:val="00803686"/>
    <w:rsid w:val="00803711"/>
    <w:rsid w:val="0080376A"/>
    <w:rsid w:val="008037A4"/>
    <w:rsid w:val="00803A30"/>
    <w:rsid w:val="00803BBE"/>
    <w:rsid w:val="00803C40"/>
    <w:rsid w:val="00803D43"/>
    <w:rsid w:val="00803DB1"/>
    <w:rsid w:val="00803E4B"/>
    <w:rsid w:val="00803E86"/>
    <w:rsid w:val="00803EA3"/>
    <w:rsid w:val="008041C9"/>
    <w:rsid w:val="00804525"/>
    <w:rsid w:val="00804544"/>
    <w:rsid w:val="008045B8"/>
    <w:rsid w:val="00804688"/>
    <w:rsid w:val="00804833"/>
    <w:rsid w:val="008048C6"/>
    <w:rsid w:val="00804B92"/>
    <w:rsid w:val="00804C47"/>
    <w:rsid w:val="00804E06"/>
    <w:rsid w:val="00804F93"/>
    <w:rsid w:val="008050A5"/>
    <w:rsid w:val="008050CF"/>
    <w:rsid w:val="0080521D"/>
    <w:rsid w:val="008052ED"/>
    <w:rsid w:val="00805344"/>
    <w:rsid w:val="008055A2"/>
    <w:rsid w:val="00805638"/>
    <w:rsid w:val="0080589A"/>
    <w:rsid w:val="00805AA3"/>
    <w:rsid w:val="00805AF7"/>
    <w:rsid w:val="008060BF"/>
    <w:rsid w:val="0080611D"/>
    <w:rsid w:val="0080614A"/>
    <w:rsid w:val="00806174"/>
    <w:rsid w:val="0080621B"/>
    <w:rsid w:val="00806233"/>
    <w:rsid w:val="0080637F"/>
    <w:rsid w:val="0080659B"/>
    <w:rsid w:val="008065DC"/>
    <w:rsid w:val="008069AF"/>
    <w:rsid w:val="00806A0B"/>
    <w:rsid w:val="00806D35"/>
    <w:rsid w:val="00806E20"/>
    <w:rsid w:val="00807005"/>
    <w:rsid w:val="008070CE"/>
    <w:rsid w:val="00807208"/>
    <w:rsid w:val="00807374"/>
    <w:rsid w:val="008073A6"/>
    <w:rsid w:val="008073FB"/>
    <w:rsid w:val="008074EE"/>
    <w:rsid w:val="008075D5"/>
    <w:rsid w:val="008077AC"/>
    <w:rsid w:val="008079B3"/>
    <w:rsid w:val="00807ADC"/>
    <w:rsid w:val="00807B5C"/>
    <w:rsid w:val="00807C90"/>
    <w:rsid w:val="00807CE6"/>
    <w:rsid w:val="00807D45"/>
    <w:rsid w:val="00807DAC"/>
    <w:rsid w:val="00807FF1"/>
    <w:rsid w:val="008100E3"/>
    <w:rsid w:val="008100F2"/>
    <w:rsid w:val="0081018C"/>
    <w:rsid w:val="00810345"/>
    <w:rsid w:val="00810BBE"/>
    <w:rsid w:val="00810C84"/>
    <w:rsid w:val="00810E5F"/>
    <w:rsid w:val="00810EDC"/>
    <w:rsid w:val="00810FB1"/>
    <w:rsid w:val="00810FBF"/>
    <w:rsid w:val="0081113D"/>
    <w:rsid w:val="0081117C"/>
    <w:rsid w:val="00811439"/>
    <w:rsid w:val="008115C8"/>
    <w:rsid w:val="0081181D"/>
    <w:rsid w:val="00811B6D"/>
    <w:rsid w:val="00811C1E"/>
    <w:rsid w:val="00811EBA"/>
    <w:rsid w:val="008121CE"/>
    <w:rsid w:val="00812278"/>
    <w:rsid w:val="008122AF"/>
    <w:rsid w:val="0081271E"/>
    <w:rsid w:val="008127E0"/>
    <w:rsid w:val="00812877"/>
    <w:rsid w:val="00812AAB"/>
    <w:rsid w:val="00812C73"/>
    <w:rsid w:val="00812DF9"/>
    <w:rsid w:val="00812F18"/>
    <w:rsid w:val="00812F47"/>
    <w:rsid w:val="00813092"/>
    <w:rsid w:val="008131C8"/>
    <w:rsid w:val="008132C8"/>
    <w:rsid w:val="00813449"/>
    <w:rsid w:val="008136A0"/>
    <w:rsid w:val="00813794"/>
    <w:rsid w:val="00813841"/>
    <w:rsid w:val="0081385E"/>
    <w:rsid w:val="0081388A"/>
    <w:rsid w:val="00813B0F"/>
    <w:rsid w:val="00813F71"/>
    <w:rsid w:val="00814089"/>
    <w:rsid w:val="0081447A"/>
    <w:rsid w:val="0081473B"/>
    <w:rsid w:val="00814B24"/>
    <w:rsid w:val="00814C75"/>
    <w:rsid w:val="00814E3C"/>
    <w:rsid w:val="00814E8E"/>
    <w:rsid w:val="00814EE3"/>
    <w:rsid w:val="00815079"/>
    <w:rsid w:val="0081539A"/>
    <w:rsid w:val="0081544E"/>
    <w:rsid w:val="00815492"/>
    <w:rsid w:val="008154D4"/>
    <w:rsid w:val="0081551E"/>
    <w:rsid w:val="00815638"/>
    <w:rsid w:val="00815708"/>
    <w:rsid w:val="008157A8"/>
    <w:rsid w:val="00815857"/>
    <w:rsid w:val="0081589A"/>
    <w:rsid w:val="008159E9"/>
    <w:rsid w:val="00815C6B"/>
    <w:rsid w:val="00815CCD"/>
    <w:rsid w:val="00815D94"/>
    <w:rsid w:val="008162FE"/>
    <w:rsid w:val="00816443"/>
    <w:rsid w:val="0081652D"/>
    <w:rsid w:val="00816544"/>
    <w:rsid w:val="0081655C"/>
    <w:rsid w:val="0081667E"/>
    <w:rsid w:val="00816A0B"/>
    <w:rsid w:val="00816B5C"/>
    <w:rsid w:val="00816BDD"/>
    <w:rsid w:val="00816D62"/>
    <w:rsid w:val="00816D98"/>
    <w:rsid w:val="008170F0"/>
    <w:rsid w:val="0081727B"/>
    <w:rsid w:val="00817301"/>
    <w:rsid w:val="0081731F"/>
    <w:rsid w:val="0081741F"/>
    <w:rsid w:val="00817429"/>
    <w:rsid w:val="0081751E"/>
    <w:rsid w:val="008175FE"/>
    <w:rsid w:val="00817673"/>
    <w:rsid w:val="00817A78"/>
    <w:rsid w:val="00817A7B"/>
    <w:rsid w:val="00817ABF"/>
    <w:rsid w:val="00817AE8"/>
    <w:rsid w:val="00817BA1"/>
    <w:rsid w:val="00817D1F"/>
    <w:rsid w:val="00817E2C"/>
    <w:rsid w:val="008200BC"/>
    <w:rsid w:val="008205D1"/>
    <w:rsid w:val="008205D9"/>
    <w:rsid w:val="008206EC"/>
    <w:rsid w:val="0082077E"/>
    <w:rsid w:val="008209EA"/>
    <w:rsid w:val="00820A54"/>
    <w:rsid w:val="00820A6F"/>
    <w:rsid w:val="00820C18"/>
    <w:rsid w:val="00820E9E"/>
    <w:rsid w:val="00820EAC"/>
    <w:rsid w:val="00820F7D"/>
    <w:rsid w:val="0082142A"/>
    <w:rsid w:val="00821587"/>
    <w:rsid w:val="00821592"/>
    <w:rsid w:val="0082175A"/>
    <w:rsid w:val="008217DB"/>
    <w:rsid w:val="00821815"/>
    <w:rsid w:val="0082193C"/>
    <w:rsid w:val="00821A7B"/>
    <w:rsid w:val="00821E36"/>
    <w:rsid w:val="00821FDF"/>
    <w:rsid w:val="0082227F"/>
    <w:rsid w:val="0082237E"/>
    <w:rsid w:val="0082244B"/>
    <w:rsid w:val="00822487"/>
    <w:rsid w:val="008226D4"/>
    <w:rsid w:val="0082272F"/>
    <w:rsid w:val="0082273C"/>
    <w:rsid w:val="00822933"/>
    <w:rsid w:val="00822CA1"/>
    <w:rsid w:val="00822D6F"/>
    <w:rsid w:val="00822E7D"/>
    <w:rsid w:val="00822F07"/>
    <w:rsid w:val="008230F0"/>
    <w:rsid w:val="008230FC"/>
    <w:rsid w:val="0082338C"/>
    <w:rsid w:val="008233FA"/>
    <w:rsid w:val="0082360E"/>
    <w:rsid w:val="00823663"/>
    <w:rsid w:val="0082374D"/>
    <w:rsid w:val="00823C3C"/>
    <w:rsid w:val="008241E3"/>
    <w:rsid w:val="00824271"/>
    <w:rsid w:val="00824459"/>
    <w:rsid w:val="008249D0"/>
    <w:rsid w:val="00824AFE"/>
    <w:rsid w:val="00824B2E"/>
    <w:rsid w:val="00824BA0"/>
    <w:rsid w:val="00824C80"/>
    <w:rsid w:val="00824C9D"/>
    <w:rsid w:val="00824D70"/>
    <w:rsid w:val="00824FDA"/>
    <w:rsid w:val="00825023"/>
    <w:rsid w:val="008252FB"/>
    <w:rsid w:val="0082546E"/>
    <w:rsid w:val="0082547D"/>
    <w:rsid w:val="008254AE"/>
    <w:rsid w:val="00825607"/>
    <w:rsid w:val="00825817"/>
    <w:rsid w:val="008259C8"/>
    <w:rsid w:val="00825DE1"/>
    <w:rsid w:val="00825DF0"/>
    <w:rsid w:val="00825F87"/>
    <w:rsid w:val="00825FD5"/>
    <w:rsid w:val="0082610F"/>
    <w:rsid w:val="0082632A"/>
    <w:rsid w:val="00826584"/>
    <w:rsid w:val="00826599"/>
    <w:rsid w:val="008266E5"/>
    <w:rsid w:val="00826731"/>
    <w:rsid w:val="00826748"/>
    <w:rsid w:val="0082678C"/>
    <w:rsid w:val="00826863"/>
    <w:rsid w:val="00826B60"/>
    <w:rsid w:val="00827164"/>
    <w:rsid w:val="00827244"/>
    <w:rsid w:val="00827364"/>
    <w:rsid w:val="00827569"/>
    <w:rsid w:val="008275C7"/>
    <w:rsid w:val="008278E2"/>
    <w:rsid w:val="00827B91"/>
    <w:rsid w:val="00827E02"/>
    <w:rsid w:val="00827E0B"/>
    <w:rsid w:val="00827E47"/>
    <w:rsid w:val="00827F72"/>
    <w:rsid w:val="0083002B"/>
    <w:rsid w:val="00830131"/>
    <w:rsid w:val="00830165"/>
    <w:rsid w:val="00830247"/>
    <w:rsid w:val="00830285"/>
    <w:rsid w:val="008304C5"/>
    <w:rsid w:val="0083067C"/>
    <w:rsid w:val="008306F0"/>
    <w:rsid w:val="00830B1F"/>
    <w:rsid w:val="00830B7D"/>
    <w:rsid w:val="00830BBA"/>
    <w:rsid w:val="00830D8C"/>
    <w:rsid w:val="008311DD"/>
    <w:rsid w:val="008312AB"/>
    <w:rsid w:val="008315FF"/>
    <w:rsid w:val="008318C0"/>
    <w:rsid w:val="00831962"/>
    <w:rsid w:val="00831990"/>
    <w:rsid w:val="008319F4"/>
    <w:rsid w:val="00831AA9"/>
    <w:rsid w:val="00831DE0"/>
    <w:rsid w:val="00831E63"/>
    <w:rsid w:val="00831F3D"/>
    <w:rsid w:val="0083243B"/>
    <w:rsid w:val="0083297B"/>
    <w:rsid w:val="0083299C"/>
    <w:rsid w:val="00832B84"/>
    <w:rsid w:val="00832FD3"/>
    <w:rsid w:val="00833239"/>
    <w:rsid w:val="008337D7"/>
    <w:rsid w:val="0083390B"/>
    <w:rsid w:val="00833AAD"/>
    <w:rsid w:val="00833B8A"/>
    <w:rsid w:val="00833C88"/>
    <w:rsid w:val="00833D32"/>
    <w:rsid w:val="00833F35"/>
    <w:rsid w:val="00833F5A"/>
    <w:rsid w:val="00833FB9"/>
    <w:rsid w:val="0083406D"/>
    <w:rsid w:val="008342B2"/>
    <w:rsid w:val="00834711"/>
    <w:rsid w:val="00834809"/>
    <w:rsid w:val="0083494C"/>
    <w:rsid w:val="00834C4F"/>
    <w:rsid w:val="00834DD4"/>
    <w:rsid w:val="00834E36"/>
    <w:rsid w:val="00835093"/>
    <w:rsid w:val="00835145"/>
    <w:rsid w:val="008351D0"/>
    <w:rsid w:val="008356DF"/>
    <w:rsid w:val="0083573D"/>
    <w:rsid w:val="0083588F"/>
    <w:rsid w:val="008359E2"/>
    <w:rsid w:val="00835A4F"/>
    <w:rsid w:val="00835CC7"/>
    <w:rsid w:val="00835E74"/>
    <w:rsid w:val="00835E91"/>
    <w:rsid w:val="00835E9F"/>
    <w:rsid w:val="00836318"/>
    <w:rsid w:val="00836347"/>
    <w:rsid w:val="0083642E"/>
    <w:rsid w:val="00836631"/>
    <w:rsid w:val="00836790"/>
    <w:rsid w:val="00836870"/>
    <w:rsid w:val="00836998"/>
    <w:rsid w:val="00836DFF"/>
    <w:rsid w:val="00836F37"/>
    <w:rsid w:val="00836F83"/>
    <w:rsid w:val="0083713D"/>
    <w:rsid w:val="008375C0"/>
    <w:rsid w:val="008375F4"/>
    <w:rsid w:val="008378CC"/>
    <w:rsid w:val="008379AD"/>
    <w:rsid w:val="00837A8A"/>
    <w:rsid w:val="00837B3F"/>
    <w:rsid w:val="00837C06"/>
    <w:rsid w:val="00837C68"/>
    <w:rsid w:val="00837CDE"/>
    <w:rsid w:val="00837D19"/>
    <w:rsid w:val="00840224"/>
    <w:rsid w:val="00840403"/>
    <w:rsid w:val="008405E1"/>
    <w:rsid w:val="0084072B"/>
    <w:rsid w:val="00840761"/>
    <w:rsid w:val="00840809"/>
    <w:rsid w:val="00840A72"/>
    <w:rsid w:val="00840A88"/>
    <w:rsid w:val="00840AE6"/>
    <w:rsid w:val="00840E83"/>
    <w:rsid w:val="008411CF"/>
    <w:rsid w:val="00841357"/>
    <w:rsid w:val="008414FC"/>
    <w:rsid w:val="0084161F"/>
    <w:rsid w:val="00841657"/>
    <w:rsid w:val="0084189E"/>
    <w:rsid w:val="0084196C"/>
    <w:rsid w:val="00841989"/>
    <w:rsid w:val="00841A71"/>
    <w:rsid w:val="00841AFD"/>
    <w:rsid w:val="00841B46"/>
    <w:rsid w:val="00841DB3"/>
    <w:rsid w:val="00841DE7"/>
    <w:rsid w:val="00841E82"/>
    <w:rsid w:val="00841F2D"/>
    <w:rsid w:val="00841F49"/>
    <w:rsid w:val="00842064"/>
    <w:rsid w:val="008422F2"/>
    <w:rsid w:val="00842486"/>
    <w:rsid w:val="008425DE"/>
    <w:rsid w:val="008426AA"/>
    <w:rsid w:val="00842AB4"/>
    <w:rsid w:val="00842DD2"/>
    <w:rsid w:val="00843112"/>
    <w:rsid w:val="00843195"/>
    <w:rsid w:val="008433DE"/>
    <w:rsid w:val="008434ED"/>
    <w:rsid w:val="00843895"/>
    <w:rsid w:val="00843B10"/>
    <w:rsid w:val="00843B8A"/>
    <w:rsid w:val="00843BCD"/>
    <w:rsid w:val="008444F5"/>
    <w:rsid w:val="0084468B"/>
    <w:rsid w:val="0084498D"/>
    <w:rsid w:val="00844D0D"/>
    <w:rsid w:val="00844EE1"/>
    <w:rsid w:val="00844F81"/>
    <w:rsid w:val="00844FEE"/>
    <w:rsid w:val="00845145"/>
    <w:rsid w:val="008451D7"/>
    <w:rsid w:val="008453D7"/>
    <w:rsid w:val="008453E6"/>
    <w:rsid w:val="008453FF"/>
    <w:rsid w:val="0084542F"/>
    <w:rsid w:val="008456DC"/>
    <w:rsid w:val="008457E5"/>
    <w:rsid w:val="00845ACB"/>
    <w:rsid w:val="00845AD3"/>
    <w:rsid w:val="00845B00"/>
    <w:rsid w:val="00845B63"/>
    <w:rsid w:val="00845C80"/>
    <w:rsid w:val="008461C5"/>
    <w:rsid w:val="00846494"/>
    <w:rsid w:val="00846618"/>
    <w:rsid w:val="00846A86"/>
    <w:rsid w:val="00846B28"/>
    <w:rsid w:val="00846E84"/>
    <w:rsid w:val="00846F94"/>
    <w:rsid w:val="00847059"/>
    <w:rsid w:val="0084722B"/>
    <w:rsid w:val="00847333"/>
    <w:rsid w:val="0084751B"/>
    <w:rsid w:val="00847788"/>
    <w:rsid w:val="0084788E"/>
    <w:rsid w:val="00847A4C"/>
    <w:rsid w:val="00847A51"/>
    <w:rsid w:val="00847B5E"/>
    <w:rsid w:val="00847D80"/>
    <w:rsid w:val="00847ED0"/>
    <w:rsid w:val="00847F0F"/>
    <w:rsid w:val="00847FE3"/>
    <w:rsid w:val="00850017"/>
    <w:rsid w:val="0085005D"/>
    <w:rsid w:val="0085010D"/>
    <w:rsid w:val="008501D6"/>
    <w:rsid w:val="0085040F"/>
    <w:rsid w:val="00850577"/>
    <w:rsid w:val="00850637"/>
    <w:rsid w:val="00850694"/>
    <w:rsid w:val="00850776"/>
    <w:rsid w:val="00850997"/>
    <w:rsid w:val="008509D9"/>
    <w:rsid w:val="00850C45"/>
    <w:rsid w:val="00850DA0"/>
    <w:rsid w:val="00850E81"/>
    <w:rsid w:val="00850EBB"/>
    <w:rsid w:val="008510E4"/>
    <w:rsid w:val="008511E4"/>
    <w:rsid w:val="0085159D"/>
    <w:rsid w:val="008515F9"/>
    <w:rsid w:val="008516CE"/>
    <w:rsid w:val="00851866"/>
    <w:rsid w:val="00851B24"/>
    <w:rsid w:val="00851CE5"/>
    <w:rsid w:val="00851ED6"/>
    <w:rsid w:val="00851F30"/>
    <w:rsid w:val="00851F81"/>
    <w:rsid w:val="00851F8A"/>
    <w:rsid w:val="00852027"/>
    <w:rsid w:val="00852197"/>
    <w:rsid w:val="00852299"/>
    <w:rsid w:val="00852308"/>
    <w:rsid w:val="00852458"/>
    <w:rsid w:val="0085268D"/>
    <w:rsid w:val="00852701"/>
    <w:rsid w:val="00852A1D"/>
    <w:rsid w:val="00852A8D"/>
    <w:rsid w:val="00852B61"/>
    <w:rsid w:val="00852D3D"/>
    <w:rsid w:val="00852DBB"/>
    <w:rsid w:val="00852DC2"/>
    <w:rsid w:val="00852F0B"/>
    <w:rsid w:val="008531F8"/>
    <w:rsid w:val="008535B6"/>
    <w:rsid w:val="008538D9"/>
    <w:rsid w:val="008539A5"/>
    <w:rsid w:val="00853B11"/>
    <w:rsid w:val="00853BEC"/>
    <w:rsid w:val="00853C17"/>
    <w:rsid w:val="00853D58"/>
    <w:rsid w:val="00853E3E"/>
    <w:rsid w:val="00853E44"/>
    <w:rsid w:val="00853F97"/>
    <w:rsid w:val="0085415A"/>
    <w:rsid w:val="00854177"/>
    <w:rsid w:val="0085420C"/>
    <w:rsid w:val="00854242"/>
    <w:rsid w:val="0085427D"/>
    <w:rsid w:val="00854305"/>
    <w:rsid w:val="00854428"/>
    <w:rsid w:val="0085462C"/>
    <w:rsid w:val="00854815"/>
    <w:rsid w:val="0085483E"/>
    <w:rsid w:val="00854943"/>
    <w:rsid w:val="008549D2"/>
    <w:rsid w:val="00854BC8"/>
    <w:rsid w:val="00854EF6"/>
    <w:rsid w:val="008550AD"/>
    <w:rsid w:val="008551FE"/>
    <w:rsid w:val="008553D6"/>
    <w:rsid w:val="008555FD"/>
    <w:rsid w:val="00855642"/>
    <w:rsid w:val="0085570E"/>
    <w:rsid w:val="0085571C"/>
    <w:rsid w:val="0085572F"/>
    <w:rsid w:val="00855736"/>
    <w:rsid w:val="008558C4"/>
    <w:rsid w:val="0085596F"/>
    <w:rsid w:val="00855B82"/>
    <w:rsid w:val="00855F04"/>
    <w:rsid w:val="0085606E"/>
    <w:rsid w:val="008564CD"/>
    <w:rsid w:val="0085653B"/>
    <w:rsid w:val="0085658E"/>
    <w:rsid w:val="008566FC"/>
    <w:rsid w:val="008567F6"/>
    <w:rsid w:val="00856870"/>
    <w:rsid w:val="00856AD7"/>
    <w:rsid w:val="00856B17"/>
    <w:rsid w:val="00856ED1"/>
    <w:rsid w:val="00856F66"/>
    <w:rsid w:val="0085712C"/>
    <w:rsid w:val="00857315"/>
    <w:rsid w:val="0085736B"/>
    <w:rsid w:val="00857370"/>
    <w:rsid w:val="008573EE"/>
    <w:rsid w:val="00857432"/>
    <w:rsid w:val="00857447"/>
    <w:rsid w:val="008574EA"/>
    <w:rsid w:val="008576DD"/>
    <w:rsid w:val="008578CF"/>
    <w:rsid w:val="00857905"/>
    <w:rsid w:val="00857909"/>
    <w:rsid w:val="00857965"/>
    <w:rsid w:val="0085797A"/>
    <w:rsid w:val="00857A1D"/>
    <w:rsid w:val="00857A7C"/>
    <w:rsid w:val="00857AB7"/>
    <w:rsid w:val="00857AE7"/>
    <w:rsid w:val="00857B92"/>
    <w:rsid w:val="00857BAE"/>
    <w:rsid w:val="00857BF2"/>
    <w:rsid w:val="00857CAB"/>
    <w:rsid w:val="00857D46"/>
    <w:rsid w:val="00857DA6"/>
    <w:rsid w:val="00860113"/>
    <w:rsid w:val="00860183"/>
    <w:rsid w:val="00860289"/>
    <w:rsid w:val="00860331"/>
    <w:rsid w:val="0086042F"/>
    <w:rsid w:val="008605A2"/>
    <w:rsid w:val="00860661"/>
    <w:rsid w:val="0086086D"/>
    <w:rsid w:val="008608E5"/>
    <w:rsid w:val="008609C3"/>
    <w:rsid w:val="008609D4"/>
    <w:rsid w:val="00860B29"/>
    <w:rsid w:val="00860DDE"/>
    <w:rsid w:val="00860E28"/>
    <w:rsid w:val="00860F1D"/>
    <w:rsid w:val="00860F54"/>
    <w:rsid w:val="00860F99"/>
    <w:rsid w:val="00860F9F"/>
    <w:rsid w:val="00860FF1"/>
    <w:rsid w:val="00861075"/>
    <w:rsid w:val="008615F3"/>
    <w:rsid w:val="00861667"/>
    <w:rsid w:val="00861754"/>
    <w:rsid w:val="008617C3"/>
    <w:rsid w:val="008617E3"/>
    <w:rsid w:val="0086184A"/>
    <w:rsid w:val="0086195D"/>
    <w:rsid w:val="00861AE8"/>
    <w:rsid w:val="00861B22"/>
    <w:rsid w:val="00861CDA"/>
    <w:rsid w:val="00861F86"/>
    <w:rsid w:val="0086202A"/>
    <w:rsid w:val="00862195"/>
    <w:rsid w:val="008623EC"/>
    <w:rsid w:val="008625AA"/>
    <w:rsid w:val="008626B1"/>
    <w:rsid w:val="00862A09"/>
    <w:rsid w:val="00862A25"/>
    <w:rsid w:val="00862B26"/>
    <w:rsid w:val="00862C9B"/>
    <w:rsid w:val="00862D57"/>
    <w:rsid w:val="00862FE8"/>
    <w:rsid w:val="008630A7"/>
    <w:rsid w:val="00863206"/>
    <w:rsid w:val="00863218"/>
    <w:rsid w:val="00863237"/>
    <w:rsid w:val="00863356"/>
    <w:rsid w:val="0086349E"/>
    <w:rsid w:val="008634C6"/>
    <w:rsid w:val="008635F9"/>
    <w:rsid w:val="00863609"/>
    <w:rsid w:val="00863773"/>
    <w:rsid w:val="0086382D"/>
    <w:rsid w:val="00863D05"/>
    <w:rsid w:val="00863D13"/>
    <w:rsid w:val="0086425D"/>
    <w:rsid w:val="00864333"/>
    <w:rsid w:val="00864550"/>
    <w:rsid w:val="00864563"/>
    <w:rsid w:val="00864796"/>
    <w:rsid w:val="00864859"/>
    <w:rsid w:val="00864AEF"/>
    <w:rsid w:val="00864B56"/>
    <w:rsid w:val="00864BC9"/>
    <w:rsid w:val="00864F77"/>
    <w:rsid w:val="00864FB7"/>
    <w:rsid w:val="00865058"/>
    <w:rsid w:val="00865129"/>
    <w:rsid w:val="008651B9"/>
    <w:rsid w:val="008653D4"/>
    <w:rsid w:val="00865591"/>
    <w:rsid w:val="00865602"/>
    <w:rsid w:val="0086563B"/>
    <w:rsid w:val="0086577F"/>
    <w:rsid w:val="008658BA"/>
    <w:rsid w:val="00865B55"/>
    <w:rsid w:val="00865D37"/>
    <w:rsid w:val="00865E08"/>
    <w:rsid w:val="00865EAD"/>
    <w:rsid w:val="0086603B"/>
    <w:rsid w:val="008661C3"/>
    <w:rsid w:val="008661E0"/>
    <w:rsid w:val="0086654C"/>
    <w:rsid w:val="008669DC"/>
    <w:rsid w:val="00866AE4"/>
    <w:rsid w:val="00866B56"/>
    <w:rsid w:val="00866C06"/>
    <w:rsid w:val="00866E48"/>
    <w:rsid w:val="00866E7E"/>
    <w:rsid w:val="00866FCD"/>
    <w:rsid w:val="00866FD0"/>
    <w:rsid w:val="00867352"/>
    <w:rsid w:val="008675F9"/>
    <w:rsid w:val="0086771B"/>
    <w:rsid w:val="008677BC"/>
    <w:rsid w:val="008678F5"/>
    <w:rsid w:val="00867A2A"/>
    <w:rsid w:val="00867A5E"/>
    <w:rsid w:val="00867EEB"/>
    <w:rsid w:val="00867F02"/>
    <w:rsid w:val="00867F29"/>
    <w:rsid w:val="00867F40"/>
    <w:rsid w:val="00867F4E"/>
    <w:rsid w:val="0087031F"/>
    <w:rsid w:val="008703A3"/>
    <w:rsid w:val="0087044E"/>
    <w:rsid w:val="00870486"/>
    <w:rsid w:val="008706BD"/>
    <w:rsid w:val="00870821"/>
    <w:rsid w:val="0087090A"/>
    <w:rsid w:val="0087097B"/>
    <w:rsid w:val="00870ABF"/>
    <w:rsid w:val="00870FA8"/>
    <w:rsid w:val="008710FB"/>
    <w:rsid w:val="008711BD"/>
    <w:rsid w:val="00871234"/>
    <w:rsid w:val="0087134D"/>
    <w:rsid w:val="0087150E"/>
    <w:rsid w:val="00871729"/>
    <w:rsid w:val="00871A82"/>
    <w:rsid w:val="00871ACC"/>
    <w:rsid w:val="00871B95"/>
    <w:rsid w:val="00871CBB"/>
    <w:rsid w:val="00871CD9"/>
    <w:rsid w:val="00871E28"/>
    <w:rsid w:val="00871F5B"/>
    <w:rsid w:val="00871FE1"/>
    <w:rsid w:val="00872046"/>
    <w:rsid w:val="008720C0"/>
    <w:rsid w:val="008720DD"/>
    <w:rsid w:val="00872162"/>
    <w:rsid w:val="008723C6"/>
    <w:rsid w:val="008723CF"/>
    <w:rsid w:val="0087258E"/>
    <w:rsid w:val="0087274F"/>
    <w:rsid w:val="0087283B"/>
    <w:rsid w:val="008728E1"/>
    <w:rsid w:val="0087296D"/>
    <w:rsid w:val="008729B1"/>
    <w:rsid w:val="00872C1F"/>
    <w:rsid w:val="00872CB8"/>
    <w:rsid w:val="00872D68"/>
    <w:rsid w:val="00872F54"/>
    <w:rsid w:val="00873079"/>
    <w:rsid w:val="008731AF"/>
    <w:rsid w:val="008731DF"/>
    <w:rsid w:val="008731F9"/>
    <w:rsid w:val="00873591"/>
    <w:rsid w:val="008735F6"/>
    <w:rsid w:val="00873636"/>
    <w:rsid w:val="00873670"/>
    <w:rsid w:val="00873742"/>
    <w:rsid w:val="00873A09"/>
    <w:rsid w:val="00873C50"/>
    <w:rsid w:val="00873F4F"/>
    <w:rsid w:val="00874183"/>
    <w:rsid w:val="008742A6"/>
    <w:rsid w:val="0087479B"/>
    <w:rsid w:val="00874876"/>
    <w:rsid w:val="00874AF4"/>
    <w:rsid w:val="00874EBE"/>
    <w:rsid w:val="00874FF5"/>
    <w:rsid w:val="008751B3"/>
    <w:rsid w:val="008754BB"/>
    <w:rsid w:val="00875638"/>
    <w:rsid w:val="00875674"/>
    <w:rsid w:val="0087567F"/>
    <w:rsid w:val="00875B09"/>
    <w:rsid w:val="00875CF3"/>
    <w:rsid w:val="00875DD2"/>
    <w:rsid w:val="0087604A"/>
    <w:rsid w:val="008760D0"/>
    <w:rsid w:val="008760ED"/>
    <w:rsid w:val="00876152"/>
    <w:rsid w:val="008762ED"/>
    <w:rsid w:val="008762EE"/>
    <w:rsid w:val="0087655C"/>
    <w:rsid w:val="00876800"/>
    <w:rsid w:val="00876CBD"/>
    <w:rsid w:val="00876CF3"/>
    <w:rsid w:val="00876D69"/>
    <w:rsid w:val="00876D70"/>
    <w:rsid w:val="00876E9D"/>
    <w:rsid w:val="00877013"/>
    <w:rsid w:val="00877285"/>
    <w:rsid w:val="00877390"/>
    <w:rsid w:val="0087759E"/>
    <w:rsid w:val="008775FC"/>
    <w:rsid w:val="00877855"/>
    <w:rsid w:val="008778A9"/>
    <w:rsid w:val="008779DF"/>
    <w:rsid w:val="00877D7B"/>
    <w:rsid w:val="008801E2"/>
    <w:rsid w:val="00880373"/>
    <w:rsid w:val="0088045F"/>
    <w:rsid w:val="00880514"/>
    <w:rsid w:val="0088065E"/>
    <w:rsid w:val="008806B8"/>
    <w:rsid w:val="00880B34"/>
    <w:rsid w:val="00880B52"/>
    <w:rsid w:val="00880BE4"/>
    <w:rsid w:val="00880EC2"/>
    <w:rsid w:val="00881116"/>
    <w:rsid w:val="0088132D"/>
    <w:rsid w:val="00881417"/>
    <w:rsid w:val="00881504"/>
    <w:rsid w:val="008819BE"/>
    <w:rsid w:val="00881A81"/>
    <w:rsid w:val="00881B43"/>
    <w:rsid w:val="00881C40"/>
    <w:rsid w:val="00881CB5"/>
    <w:rsid w:val="00881CDA"/>
    <w:rsid w:val="00881DF3"/>
    <w:rsid w:val="00881FA9"/>
    <w:rsid w:val="00882053"/>
    <w:rsid w:val="00882139"/>
    <w:rsid w:val="008821FD"/>
    <w:rsid w:val="00882286"/>
    <w:rsid w:val="00882358"/>
    <w:rsid w:val="008824CD"/>
    <w:rsid w:val="008829A0"/>
    <w:rsid w:val="00882B84"/>
    <w:rsid w:val="00882BE2"/>
    <w:rsid w:val="00882F19"/>
    <w:rsid w:val="00882F5C"/>
    <w:rsid w:val="00883851"/>
    <w:rsid w:val="00883ED0"/>
    <w:rsid w:val="00883F51"/>
    <w:rsid w:val="00883F6D"/>
    <w:rsid w:val="00884047"/>
    <w:rsid w:val="0088412D"/>
    <w:rsid w:val="008841F1"/>
    <w:rsid w:val="00884220"/>
    <w:rsid w:val="008843EC"/>
    <w:rsid w:val="0088441E"/>
    <w:rsid w:val="008845FA"/>
    <w:rsid w:val="0088490C"/>
    <w:rsid w:val="008849A7"/>
    <w:rsid w:val="008849AE"/>
    <w:rsid w:val="00884AAF"/>
    <w:rsid w:val="00884BEC"/>
    <w:rsid w:val="00884C0B"/>
    <w:rsid w:val="00884C65"/>
    <w:rsid w:val="00884DFC"/>
    <w:rsid w:val="00884F1B"/>
    <w:rsid w:val="0088500A"/>
    <w:rsid w:val="00885069"/>
    <w:rsid w:val="00885074"/>
    <w:rsid w:val="00885075"/>
    <w:rsid w:val="0088518A"/>
    <w:rsid w:val="00885619"/>
    <w:rsid w:val="008856D3"/>
    <w:rsid w:val="00885937"/>
    <w:rsid w:val="00885B92"/>
    <w:rsid w:val="00885C29"/>
    <w:rsid w:val="00885FB3"/>
    <w:rsid w:val="0088642B"/>
    <w:rsid w:val="00886477"/>
    <w:rsid w:val="008865E2"/>
    <w:rsid w:val="00886633"/>
    <w:rsid w:val="008866B2"/>
    <w:rsid w:val="008866FC"/>
    <w:rsid w:val="00886767"/>
    <w:rsid w:val="008867E2"/>
    <w:rsid w:val="00886836"/>
    <w:rsid w:val="008869B2"/>
    <w:rsid w:val="00886E5A"/>
    <w:rsid w:val="00886E5C"/>
    <w:rsid w:val="00886F4C"/>
    <w:rsid w:val="00887287"/>
    <w:rsid w:val="0088735C"/>
    <w:rsid w:val="00887397"/>
    <w:rsid w:val="0088744A"/>
    <w:rsid w:val="00887569"/>
    <w:rsid w:val="00887A63"/>
    <w:rsid w:val="00887C94"/>
    <w:rsid w:val="00887EF4"/>
    <w:rsid w:val="00887FE0"/>
    <w:rsid w:val="008900BE"/>
    <w:rsid w:val="0089022F"/>
    <w:rsid w:val="008903EF"/>
    <w:rsid w:val="00890678"/>
    <w:rsid w:val="008908EB"/>
    <w:rsid w:val="00890976"/>
    <w:rsid w:val="0089098F"/>
    <w:rsid w:val="00890A07"/>
    <w:rsid w:val="00890B32"/>
    <w:rsid w:val="00890C5F"/>
    <w:rsid w:val="00890E23"/>
    <w:rsid w:val="00890E35"/>
    <w:rsid w:val="00890F61"/>
    <w:rsid w:val="00891390"/>
    <w:rsid w:val="00891546"/>
    <w:rsid w:val="00891665"/>
    <w:rsid w:val="0089169D"/>
    <w:rsid w:val="008916C3"/>
    <w:rsid w:val="00891AB1"/>
    <w:rsid w:val="00891E10"/>
    <w:rsid w:val="00891F31"/>
    <w:rsid w:val="00892021"/>
    <w:rsid w:val="008921A2"/>
    <w:rsid w:val="0089220F"/>
    <w:rsid w:val="00892595"/>
    <w:rsid w:val="00892728"/>
    <w:rsid w:val="008927C5"/>
    <w:rsid w:val="00892AFB"/>
    <w:rsid w:val="00892B07"/>
    <w:rsid w:val="00892B2B"/>
    <w:rsid w:val="00892E69"/>
    <w:rsid w:val="00893182"/>
    <w:rsid w:val="008931F7"/>
    <w:rsid w:val="0089324F"/>
    <w:rsid w:val="0089327E"/>
    <w:rsid w:val="00893309"/>
    <w:rsid w:val="0089341E"/>
    <w:rsid w:val="00893750"/>
    <w:rsid w:val="00893BC8"/>
    <w:rsid w:val="00893FB4"/>
    <w:rsid w:val="00894030"/>
    <w:rsid w:val="008941F3"/>
    <w:rsid w:val="0089456D"/>
    <w:rsid w:val="008945F8"/>
    <w:rsid w:val="0089465C"/>
    <w:rsid w:val="0089484B"/>
    <w:rsid w:val="008948F9"/>
    <w:rsid w:val="00894929"/>
    <w:rsid w:val="00894A04"/>
    <w:rsid w:val="00894BAC"/>
    <w:rsid w:val="00894C1F"/>
    <w:rsid w:val="00895130"/>
    <w:rsid w:val="008951BC"/>
    <w:rsid w:val="0089524D"/>
    <w:rsid w:val="00895502"/>
    <w:rsid w:val="00895535"/>
    <w:rsid w:val="0089557A"/>
    <w:rsid w:val="008955A1"/>
    <w:rsid w:val="00895739"/>
    <w:rsid w:val="008957A2"/>
    <w:rsid w:val="00895813"/>
    <w:rsid w:val="0089585E"/>
    <w:rsid w:val="00895935"/>
    <w:rsid w:val="00895C03"/>
    <w:rsid w:val="00895C8F"/>
    <w:rsid w:val="00895C95"/>
    <w:rsid w:val="00895D32"/>
    <w:rsid w:val="00895F99"/>
    <w:rsid w:val="008960A0"/>
    <w:rsid w:val="008960E4"/>
    <w:rsid w:val="00896112"/>
    <w:rsid w:val="008961AD"/>
    <w:rsid w:val="00896224"/>
    <w:rsid w:val="00896822"/>
    <w:rsid w:val="00896A4E"/>
    <w:rsid w:val="00896CD5"/>
    <w:rsid w:val="008970DE"/>
    <w:rsid w:val="008972AC"/>
    <w:rsid w:val="008972F2"/>
    <w:rsid w:val="0089747B"/>
    <w:rsid w:val="00897568"/>
    <w:rsid w:val="008978F5"/>
    <w:rsid w:val="00897961"/>
    <w:rsid w:val="00897A60"/>
    <w:rsid w:val="00897BED"/>
    <w:rsid w:val="00897CBE"/>
    <w:rsid w:val="00897D66"/>
    <w:rsid w:val="00897E40"/>
    <w:rsid w:val="00897F87"/>
    <w:rsid w:val="008A00EB"/>
    <w:rsid w:val="008A0156"/>
    <w:rsid w:val="008A01AA"/>
    <w:rsid w:val="008A0200"/>
    <w:rsid w:val="008A02A0"/>
    <w:rsid w:val="008A0357"/>
    <w:rsid w:val="008A07F1"/>
    <w:rsid w:val="008A0848"/>
    <w:rsid w:val="008A0D3C"/>
    <w:rsid w:val="008A0DAE"/>
    <w:rsid w:val="008A0EE0"/>
    <w:rsid w:val="008A0F9B"/>
    <w:rsid w:val="008A123C"/>
    <w:rsid w:val="008A124E"/>
    <w:rsid w:val="008A1252"/>
    <w:rsid w:val="008A12F8"/>
    <w:rsid w:val="008A1451"/>
    <w:rsid w:val="008A1684"/>
    <w:rsid w:val="008A1A07"/>
    <w:rsid w:val="008A1B1C"/>
    <w:rsid w:val="008A1B43"/>
    <w:rsid w:val="008A1B99"/>
    <w:rsid w:val="008A1BD3"/>
    <w:rsid w:val="008A1BE9"/>
    <w:rsid w:val="008A1C0F"/>
    <w:rsid w:val="008A1D29"/>
    <w:rsid w:val="008A1E61"/>
    <w:rsid w:val="008A1E92"/>
    <w:rsid w:val="008A1EA1"/>
    <w:rsid w:val="008A1EB8"/>
    <w:rsid w:val="008A21B3"/>
    <w:rsid w:val="008A24A8"/>
    <w:rsid w:val="008A2583"/>
    <w:rsid w:val="008A2881"/>
    <w:rsid w:val="008A299D"/>
    <w:rsid w:val="008A29E4"/>
    <w:rsid w:val="008A2DAE"/>
    <w:rsid w:val="008A2E5D"/>
    <w:rsid w:val="008A2FC1"/>
    <w:rsid w:val="008A3297"/>
    <w:rsid w:val="008A346B"/>
    <w:rsid w:val="008A3963"/>
    <w:rsid w:val="008A3C39"/>
    <w:rsid w:val="008A4056"/>
    <w:rsid w:val="008A40AD"/>
    <w:rsid w:val="008A40E7"/>
    <w:rsid w:val="008A414A"/>
    <w:rsid w:val="008A415F"/>
    <w:rsid w:val="008A41FE"/>
    <w:rsid w:val="008A4315"/>
    <w:rsid w:val="008A436F"/>
    <w:rsid w:val="008A469D"/>
    <w:rsid w:val="008A46C7"/>
    <w:rsid w:val="008A470C"/>
    <w:rsid w:val="008A4795"/>
    <w:rsid w:val="008A4862"/>
    <w:rsid w:val="008A488D"/>
    <w:rsid w:val="008A48B1"/>
    <w:rsid w:val="008A4A06"/>
    <w:rsid w:val="008A4A59"/>
    <w:rsid w:val="008A4B2E"/>
    <w:rsid w:val="008A4BCB"/>
    <w:rsid w:val="008A4C1B"/>
    <w:rsid w:val="008A4F74"/>
    <w:rsid w:val="008A500E"/>
    <w:rsid w:val="008A502E"/>
    <w:rsid w:val="008A50DE"/>
    <w:rsid w:val="008A5150"/>
    <w:rsid w:val="008A51A6"/>
    <w:rsid w:val="008A54A9"/>
    <w:rsid w:val="008A5665"/>
    <w:rsid w:val="008A56F8"/>
    <w:rsid w:val="008A57FE"/>
    <w:rsid w:val="008A5946"/>
    <w:rsid w:val="008A5B8F"/>
    <w:rsid w:val="008A5C3F"/>
    <w:rsid w:val="008A5E21"/>
    <w:rsid w:val="008A5FED"/>
    <w:rsid w:val="008A6279"/>
    <w:rsid w:val="008A63A3"/>
    <w:rsid w:val="008A63B9"/>
    <w:rsid w:val="008A6428"/>
    <w:rsid w:val="008A659E"/>
    <w:rsid w:val="008A65D4"/>
    <w:rsid w:val="008A662C"/>
    <w:rsid w:val="008A6767"/>
    <w:rsid w:val="008A67D8"/>
    <w:rsid w:val="008A6826"/>
    <w:rsid w:val="008A6841"/>
    <w:rsid w:val="008A685E"/>
    <w:rsid w:val="008A69E8"/>
    <w:rsid w:val="008A6A62"/>
    <w:rsid w:val="008A6A67"/>
    <w:rsid w:val="008A6B33"/>
    <w:rsid w:val="008A6B7B"/>
    <w:rsid w:val="008A6CA5"/>
    <w:rsid w:val="008A6CC3"/>
    <w:rsid w:val="008A6F52"/>
    <w:rsid w:val="008A6FAF"/>
    <w:rsid w:val="008A7024"/>
    <w:rsid w:val="008A7131"/>
    <w:rsid w:val="008A7475"/>
    <w:rsid w:val="008A749D"/>
    <w:rsid w:val="008A74CB"/>
    <w:rsid w:val="008A74EA"/>
    <w:rsid w:val="008A7727"/>
    <w:rsid w:val="008A775A"/>
    <w:rsid w:val="008A7779"/>
    <w:rsid w:val="008A7797"/>
    <w:rsid w:val="008A787A"/>
    <w:rsid w:val="008A7D6D"/>
    <w:rsid w:val="008A7EA3"/>
    <w:rsid w:val="008A7F2F"/>
    <w:rsid w:val="008B00E6"/>
    <w:rsid w:val="008B0249"/>
    <w:rsid w:val="008B03E4"/>
    <w:rsid w:val="008B05AE"/>
    <w:rsid w:val="008B0676"/>
    <w:rsid w:val="008B06AB"/>
    <w:rsid w:val="008B0797"/>
    <w:rsid w:val="008B079E"/>
    <w:rsid w:val="008B094B"/>
    <w:rsid w:val="008B0B0E"/>
    <w:rsid w:val="008B0C93"/>
    <w:rsid w:val="008B10ED"/>
    <w:rsid w:val="008B1143"/>
    <w:rsid w:val="008B12B3"/>
    <w:rsid w:val="008B154B"/>
    <w:rsid w:val="008B16FD"/>
    <w:rsid w:val="008B1798"/>
    <w:rsid w:val="008B18F8"/>
    <w:rsid w:val="008B1909"/>
    <w:rsid w:val="008B1A4D"/>
    <w:rsid w:val="008B1B1B"/>
    <w:rsid w:val="008B1BA7"/>
    <w:rsid w:val="008B1CD9"/>
    <w:rsid w:val="008B1CDC"/>
    <w:rsid w:val="008B1E83"/>
    <w:rsid w:val="008B1F65"/>
    <w:rsid w:val="008B21BA"/>
    <w:rsid w:val="008B2400"/>
    <w:rsid w:val="008B27A9"/>
    <w:rsid w:val="008B2A4E"/>
    <w:rsid w:val="008B2C74"/>
    <w:rsid w:val="008B2C82"/>
    <w:rsid w:val="008B2C9B"/>
    <w:rsid w:val="008B2D20"/>
    <w:rsid w:val="008B2FC7"/>
    <w:rsid w:val="008B3129"/>
    <w:rsid w:val="008B336C"/>
    <w:rsid w:val="008B3550"/>
    <w:rsid w:val="008B3774"/>
    <w:rsid w:val="008B39E8"/>
    <w:rsid w:val="008B3A20"/>
    <w:rsid w:val="008B3D2A"/>
    <w:rsid w:val="008B3D82"/>
    <w:rsid w:val="008B3FEB"/>
    <w:rsid w:val="008B4132"/>
    <w:rsid w:val="008B41E6"/>
    <w:rsid w:val="008B458A"/>
    <w:rsid w:val="008B461C"/>
    <w:rsid w:val="008B4638"/>
    <w:rsid w:val="008B4691"/>
    <w:rsid w:val="008B4A3F"/>
    <w:rsid w:val="008B4B07"/>
    <w:rsid w:val="008B4B16"/>
    <w:rsid w:val="008B4B23"/>
    <w:rsid w:val="008B4B56"/>
    <w:rsid w:val="008B4D0B"/>
    <w:rsid w:val="008B4DA2"/>
    <w:rsid w:val="008B4EEB"/>
    <w:rsid w:val="008B5272"/>
    <w:rsid w:val="008B54C4"/>
    <w:rsid w:val="008B5A08"/>
    <w:rsid w:val="008B5E6B"/>
    <w:rsid w:val="008B5FE4"/>
    <w:rsid w:val="008B6022"/>
    <w:rsid w:val="008B60FC"/>
    <w:rsid w:val="008B611B"/>
    <w:rsid w:val="008B6120"/>
    <w:rsid w:val="008B635D"/>
    <w:rsid w:val="008B6412"/>
    <w:rsid w:val="008B64F9"/>
    <w:rsid w:val="008B6524"/>
    <w:rsid w:val="008B6599"/>
    <w:rsid w:val="008B6ABF"/>
    <w:rsid w:val="008B6B3B"/>
    <w:rsid w:val="008B6B88"/>
    <w:rsid w:val="008B6BCD"/>
    <w:rsid w:val="008B6CEE"/>
    <w:rsid w:val="008B6E57"/>
    <w:rsid w:val="008B6E70"/>
    <w:rsid w:val="008B7055"/>
    <w:rsid w:val="008B70B5"/>
    <w:rsid w:val="008B723C"/>
    <w:rsid w:val="008B73F1"/>
    <w:rsid w:val="008B74CF"/>
    <w:rsid w:val="008B756D"/>
    <w:rsid w:val="008B757F"/>
    <w:rsid w:val="008B75F2"/>
    <w:rsid w:val="008B7830"/>
    <w:rsid w:val="008B78E5"/>
    <w:rsid w:val="008B7AE2"/>
    <w:rsid w:val="008B7CBB"/>
    <w:rsid w:val="008B7CE2"/>
    <w:rsid w:val="008B7DEF"/>
    <w:rsid w:val="008B7E5F"/>
    <w:rsid w:val="008B7F8E"/>
    <w:rsid w:val="008C0047"/>
    <w:rsid w:val="008C00B6"/>
    <w:rsid w:val="008C0136"/>
    <w:rsid w:val="008C0212"/>
    <w:rsid w:val="008C028B"/>
    <w:rsid w:val="008C0332"/>
    <w:rsid w:val="008C03F5"/>
    <w:rsid w:val="008C05EB"/>
    <w:rsid w:val="008C0771"/>
    <w:rsid w:val="008C078E"/>
    <w:rsid w:val="008C07A3"/>
    <w:rsid w:val="008C0837"/>
    <w:rsid w:val="008C0C5F"/>
    <w:rsid w:val="008C0E0D"/>
    <w:rsid w:val="008C10B4"/>
    <w:rsid w:val="008C1142"/>
    <w:rsid w:val="008C115C"/>
    <w:rsid w:val="008C135F"/>
    <w:rsid w:val="008C14B6"/>
    <w:rsid w:val="008C14EE"/>
    <w:rsid w:val="008C152E"/>
    <w:rsid w:val="008C157C"/>
    <w:rsid w:val="008C160A"/>
    <w:rsid w:val="008C163B"/>
    <w:rsid w:val="008C17D9"/>
    <w:rsid w:val="008C1869"/>
    <w:rsid w:val="008C18D1"/>
    <w:rsid w:val="008C1915"/>
    <w:rsid w:val="008C194D"/>
    <w:rsid w:val="008C1A91"/>
    <w:rsid w:val="008C1BFD"/>
    <w:rsid w:val="008C1E5D"/>
    <w:rsid w:val="008C1E8E"/>
    <w:rsid w:val="008C1FCF"/>
    <w:rsid w:val="008C20C2"/>
    <w:rsid w:val="008C2184"/>
    <w:rsid w:val="008C2222"/>
    <w:rsid w:val="008C227B"/>
    <w:rsid w:val="008C230C"/>
    <w:rsid w:val="008C246A"/>
    <w:rsid w:val="008C2523"/>
    <w:rsid w:val="008C25DF"/>
    <w:rsid w:val="008C29F2"/>
    <w:rsid w:val="008C2A62"/>
    <w:rsid w:val="008C2AD6"/>
    <w:rsid w:val="008C2CA0"/>
    <w:rsid w:val="008C2D91"/>
    <w:rsid w:val="008C2DA0"/>
    <w:rsid w:val="008C2DCD"/>
    <w:rsid w:val="008C3194"/>
    <w:rsid w:val="008C31FC"/>
    <w:rsid w:val="008C3228"/>
    <w:rsid w:val="008C36E5"/>
    <w:rsid w:val="008C379E"/>
    <w:rsid w:val="008C3822"/>
    <w:rsid w:val="008C3836"/>
    <w:rsid w:val="008C3839"/>
    <w:rsid w:val="008C388A"/>
    <w:rsid w:val="008C39B3"/>
    <w:rsid w:val="008C3B29"/>
    <w:rsid w:val="008C3D70"/>
    <w:rsid w:val="008C3F02"/>
    <w:rsid w:val="008C4005"/>
    <w:rsid w:val="008C4108"/>
    <w:rsid w:val="008C4218"/>
    <w:rsid w:val="008C4231"/>
    <w:rsid w:val="008C440D"/>
    <w:rsid w:val="008C49EE"/>
    <w:rsid w:val="008C4BE2"/>
    <w:rsid w:val="008C4BF1"/>
    <w:rsid w:val="008C4C55"/>
    <w:rsid w:val="008C4E45"/>
    <w:rsid w:val="008C4E4E"/>
    <w:rsid w:val="008C4EBE"/>
    <w:rsid w:val="008C510C"/>
    <w:rsid w:val="008C511D"/>
    <w:rsid w:val="008C51F0"/>
    <w:rsid w:val="008C546C"/>
    <w:rsid w:val="008C5612"/>
    <w:rsid w:val="008C5684"/>
    <w:rsid w:val="008C575D"/>
    <w:rsid w:val="008C578F"/>
    <w:rsid w:val="008C583D"/>
    <w:rsid w:val="008C59F7"/>
    <w:rsid w:val="008C5B9C"/>
    <w:rsid w:val="008C5BE0"/>
    <w:rsid w:val="008C5F6F"/>
    <w:rsid w:val="008C603E"/>
    <w:rsid w:val="008C6127"/>
    <w:rsid w:val="008C616D"/>
    <w:rsid w:val="008C6281"/>
    <w:rsid w:val="008C658D"/>
    <w:rsid w:val="008C65A9"/>
    <w:rsid w:val="008C69FC"/>
    <w:rsid w:val="008C6E56"/>
    <w:rsid w:val="008C6F88"/>
    <w:rsid w:val="008C71FF"/>
    <w:rsid w:val="008C7282"/>
    <w:rsid w:val="008C72A3"/>
    <w:rsid w:val="008C73AD"/>
    <w:rsid w:val="008C74D7"/>
    <w:rsid w:val="008C7691"/>
    <w:rsid w:val="008C7709"/>
    <w:rsid w:val="008C7711"/>
    <w:rsid w:val="008C7BB4"/>
    <w:rsid w:val="008C7E1B"/>
    <w:rsid w:val="008C7F69"/>
    <w:rsid w:val="008D030B"/>
    <w:rsid w:val="008D03F6"/>
    <w:rsid w:val="008D04BE"/>
    <w:rsid w:val="008D07F3"/>
    <w:rsid w:val="008D08CC"/>
    <w:rsid w:val="008D09D1"/>
    <w:rsid w:val="008D0D2F"/>
    <w:rsid w:val="008D0F61"/>
    <w:rsid w:val="008D1034"/>
    <w:rsid w:val="008D140F"/>
    <w:rsid w:val="008D143B"/>
    <w:rsid w:val="008D159F"/>
    <w:rsid w:val="008D15B8"/>
    <w:rsid w:val="008D166A"/>
    <w:rsid w:val="008D177A"/>
    <w:rsid w:val="008D177D"/>
    <w:rsid w:val="008D19A9"/>
    <w:rsid w:val="008D19CF"/>
    <w:rsid w:val="008D1A41"/>
    <w:rsid w:val="008D1AED"/>
    <w:rsid w:val="008D1B15"/>
    <w:rsid w:val="008D2386"/>
    <w:rsid w:val="008D241A"/>
    <w:rsid w:val="008D2581"/>
    <w:rsid w:val="008D265F"/>
    <w:rsid w:val="008D279C"/>
    <w:rsid w:val="008D28E9"/>
    <w:rsid w:val="008D2932"/>
    <w:rsid w:val="008D2A7E"/>
    <w:rsid w:val="008D2CA9"/>
    <w:rsid w:val="008D2E6F"/>
    <w:rsid w:val="008D30AF"/>
    <w:rsid w:val="008D314F"/>
    <w:rsid w:val="008D3461"/>
    <w:rsid w:val="008D36FB"/>
    <w:rsid w:val="008D3775"/>
    <w:rsid w:val="008D3798"/>
    <w:rsid w:val="008D3B2A"/>
    <w:rsid w:val="008D3BB5"/>
    <w:rsid w:val="008D3F52"/>
    <w:rsid w:val="008D3F57"/>
    <w:rsid w:val="008D4461"/>
    <w:rsid w:val="008D44C0"/>
    <w:rsid w:val="008D46AB"/>
    <w:rsid w:val="008D49C5"/>
    <w:rsid w:val="008D4A65"/>
    <w:rsid w:val="008D4AC2"/>
    <w:rsid w:val="008D4AD7"/>
    <w:rsid w:val="008D4B05"/>
    <w:rsid w:val="008D4DE2"/>
    <w:rsid w:val="008D4FA8"/>
    <w:rsid w:val="008D507C"/>
    <w:rsid w:val="008D541F"/>
    <w:rsid w:val="008D5571"/>
    <w:rsid w:val="008D5598"/>
    <w:rsid w:val="008D5604"/>
    <w:rsid w:val="008D56D8"/>
    <w:rsid w:val="008D56DC"/>
    <w:rsid w:val="008D59BC"/>
    <w:rsid w:val="008D5AEF"/>
    <w:rsid w:val="008D5E1A"/>
    <w:rsid w:val="008D5ED2"/>
    <w:rsid w:val="008D5F6D"/>
    <w:rsid w:val="008D6257"/>
    <w:rsid w:val="008D63E7"/>
    <w:rsid w:val="008D63EC"/>
    <w:rsid w:val="008D640D"/>
    <w:rsid w:val="008D64B7"/>
    <w:rsid w:val="008D65E8"/>
    <w:rsid w:val="008D6679"/>
    <w:rsid w:val="008D66D7"/>
    <w:rsid w:val="008D67A4"/>
    <w:rsid w:val="008D67AD"/>
    <w:rsid w:val="008D67C4"/>
    <w:rsid w:val="008D6A47"/>
    <w:rsid w:val="008D6A7F"/>
    <w:rsid w:val="008D6C51"/>
    <w:rsid w:val="008D6C82"/>
    <w:rsid w:val="008D6E6F"/>
    <w:rsid w:val="008D711F"/>
    <w:rsid w:val="008D7233"/>
    <w:rsid w:val="008D7554"/>
    <w:rsid w:val="008D7573"/>
    <w:rsid w:val="008D767D"/>
    <w:rsid w:val="008D7747"/>
    <w:rsid w:val="008D7A0A"/>
    <w:rsid w:val="008D7B14"/>
    <w:rsid w:val="008D7FEF"/>
    <w:rsid w:val="008E0101"/>
    <w:rsid w:val="008E0253"/>
    <w:rsid w:val="008E0322"/>
    <w:rsid w:val="008E0414"/>
    <w:rsid w:val="008E047F"/>
    <w:rsid w:val="008E04E4"/>
    <w:rsid w:val="008E054F"/>
    <w:rsid w:val="008E05AB"/>
    <w:rsid w:val="008E060F"/>
    <w:rsid w:val="008E08A1"/>
    <w:rsid w:val="008E08A3"/>
    <w:rsid w:val="008E0B42"/>
    <w:rsid w:val="008E0C1C"/>
    <w:rsid w:val="008E0CE9"/>
    <w:rsid w:val="008E0D60"/>
    <w:rsid w:val="008E0DC4"/>
    <w:rsid w:val="008E0E9D"/>
    <w:rsid w:val="008E0FE3"/>
    <w:rsid w:val="008E120F"/>
    <w:rsid w:val="008E13F2"/>
    <w:rsid w:val="008E15BB"/>
    <w:rsid w:val="008E15FB"/>
    <w:rsid w:val="008E1631"/>
    <w:rsid w:val="008E1751"/>
    <w:rsid w:val="008E190F"/>
    <w:rsid w:val="008E1994"/>
    <w:rsid w:val="008E1AA1"/>
    <w:rsid w:val="008E1B74"/>
    <w:rsid w:val="008E1C0C"/>
    <w:rsid w:val="008E1CCE"/>
    <w:rsid w:val="008E1CE2"/>
    <w:rsid w:val="008E1E5D"/>
    <w:rsid w:val="008E1E98"/>
    <w:rsid w:val="008E201E"/>
    <w:rsid w:val="008E2279"/>
    <w:rsid w:val="008E2544"/>
    <w:rsid w:val="008E257B"/>
    <w:rsid w:val="008E2580"/>
    <w:rsid w:val="008E2647"/>
    <w:rsid w:val="008E2AEC"/>
    <w:rsid w:val="008E2AFE"/>
    <w:rsid w:val="008E2CF0"/>
    <w:rsid w:val="008E2CF1"/>
    <w:rsid w:val="008E2E7C"/>
    <w:rsid w:val="008E3087"/>
    <w:rsid w:val="008E3119"/>
    <w:rsid w:val="008E32A7"/>
    <w:rsid w:val="008E3427"/>
    <w:rsid w:val="008E353D"/>
    <w:rsid w:val="008E356C"/>
    <w:rsid w:val="008E35DC"/>
    <w:rsid w:val="008E3636"/>
    <w:rsid w:val="008E3709"/>
    <w:rsid w:val="008E370B"/>
    <w:rsid w:val="008E380A"/>
    <w:rsid w:val="008E3870"/>
    <w:rsid w:val="008E3A07"/>
    <w:rsid w:val="008E3A76"/>
    <w:rsid w:val="008E3B57"/>
    <w:rsid w:val="008E3C18"/>
    <w:rsid w:val="008E3CBB"/>
    <w:rsid w:val="008E3D00"/>
    <w:rsid w:val="008E3D5B"/>
    <w:rsid w:val="008E3D8B"/>
    <w:rsid w:val="008E3E55"/>
    <w:rsid w:val="008E4061"/>
    <w:rsid w:val="008E4122"/>
    <w:rsid w:val="008E436B"/>
    <w:rsid w:val="008E447E"/>
    <w:rsid w:val="008E4844"/>
    <w:rsid w:val="008E4946"/>
    <w:rsid w:val="008E499C"/>
    <w:rsid w:val="008E4A6B"/>
    <w:rsid w:val="008E4B9B"/>
    <w:rsid w:val="008E4CC3"/>
    <w:rsid w:val="008E4D1C"/>
    <w:rsid w:val="008E4E5B"/>
    <w:rsid w:val="008E509C"/>
    <w:rsid w:val="008E5177"/>
    <w:rsid w:val="008E51CE"/>
    <w:rsid w:val="008E607C"/>
    <w:rsid w:val="008E6126"/>
    <w:rsid w:val="008E6380"/>
    <w:rsid w:val="008E671B"/>
    <w:rsid w:val="008E68D4"/>
    <w:rsid w:val="008E6993"/>
    <w:rsid w:val="008E6ACC"/>
    <w:rsid w:val="008E6BB4"/>
    <w:rsid w:val="008E6CA5"/>
    <w:rsid w:val="008E6EDB"/>
    <w:rsid w:val="008E6F12"/>
    <w:rsid w:val="008E72D5"/>
    <w:rsid w:val="008E7569"/>
    <w:rsid w:val="008E78B9"/>
    <w:rsid w:val="008E7988"/>
    <w:rsid w:val="008E7E36"/>
    <w:rsid w:val="008E7ED9"/>
    <w:rsid w:val="008F0257"/>
    <w:rsid w:val="008F05DE"/>
    <w:rsid w:val="008F0643"/>
    <w:rsid w:val="008F0BB6"/>
    <w:rsid w:val="008F0D42"/>
    <w:rsid w:val="008F0D85"/>
    <w:rsid w:val="008F0E1F"/>
    <w:rsid w:val="008F0E9C"/>
    <w:rsid w:val="008F0F6D"/>
    <w:rsid w:val="008F1216"/>
    <w:rsid w:val="008F12A2"/>
    <w:rsid w:val="008F132D"/>
    <w:rsid w:val="008F134D"/>
    <w:rsid w:val="008F13A6"/>
    <w:rsid w:val="008F13EE"/>
    <w:rsid w:val="008F1566"/>
    <w:rsid w:val="008F157C"/>
    <w:rsid w:val="008F164F"/>
    <w:rsid w:val="008F184B"/>
    <w:rsid w:val="008F1949"/>
    <w:rsid w:val="008F1A74"/>
    <w:rsid w:val="008F1A87"/>
    <w:rsid w:val="008F1BA7"/>
    <w:rsid w:val="008F1C8C"/>
    <w:rsid w:val="008F1D19"/>
    <w:rsid w:val="008F1D40"/>
    <w:rsid w:val="008F201B"/>
    <w:rsid w:val="008F214D"/>
    <w:rsid w:val="008F2584"/>
    <w:rsid w:val="008F28BE"/>
    <w:rsid w:val="008F2BED"/>
    <w:rsid w:val="008F2D75"/>
    <w:rsid w:val="008F2E67"/>
    <w:rsid w:val="008F2F63"/>
    <w:rsid w:val="008F3000"/>
    <w:rsid w:val="008F3028"/>
    <w:rsid w:val="008F3155"/>
    <w:rsid w:val="008F3248"/>
    <w:rsid w:val="008F33D7"/>
    <w:rsid w:val="008F348B"/>
    <w:rsid w:val="008F3616"/>
    <w:rsid w:val="008F36F1"/>
    <w:rsid w:val="008F3715"/>
    <w:rsid w:val="008F37C1"/>
    <w:rsid w:val="008F37E3"/>
    <w:rsid w:val="008F3A2E"/>
    <w:rsid w:val="008F3CAD"/>
    <w:rsid w:val="008F3D46"/>
    <w:rsid w:val="008F3DBA"/>
    <w:rsid w:val="008F3E7A"/>
    <w:rsid w:val="008F3F9D"/>
    <w:rsid w:val="008F4031"/>
    <w:rsid w:val="008F4295"/>
    <w:rsid w:val="008F4354"/>
    <w:rsid w:val="008F43E6"/>
    <w:rsid w:val="008F460C"/>
    <w:rsid w:val="008F46E0"/>
    <w:rsid w:val="008F46F1"/>
    <w:rsid w:val="008F4702"/>
    <w:rsid w:val="008F4753"/>
    <w:rsid w:val="008F4959"/>
    <w:rsid w:val="008F49F8"/>
    <w:rsid w:val="008F4ABA"/>
    <w:rsid w:val="008F4BB0"/>
    <w:rsid w:val="008F4BDC"/>
    <w:rsid w:val="008F4C24"/>
    <w:rsid w:val="008F52F2"/>
    <w:rsid w:val="008F5699"/>
    <w:rsid w:val="008F58D1"/>
    <w:rsid w:val="008F5934"/>
    <w:rsid w:val="008F5A4E"/>
    <w:rsid w:val="008F5A80"/>
    <w:rsid w:val="008F5C10"/>
    <w:rsid w:val="008F5DDA"/>
    <w:rsid w:val="008F609D"/>
    <w:rsid w:val="008F667E"/>
    <w:rsid w:val="008F6727"/>
    <w:rsid w:val="008F6806"/>
    <w:rsid w:val="008F6D9B"/>
    <w:rsid w:val="008F7014"/>
    <w:rsid w:val="008F704D"/>
    <w:rsid w:val="008F7085"/>
    <w:rsid w:val="008F71A9"/>
    <w:rsid w:val="008F7208"/>
    <w:rsid w:val="008F721D"/>
    <w:rsid w:val="008F7271"/>
    <w:rsid w:val="008F7469"/>
    <w:rsid w:val="008F74DD"/>
    <w:rsid w:val="008F75B0"/>
    <w:rsid w:val="008F767C"/>
    <w:rsid w:val="008F7A3D"/>
    <w:rsid w:val="008F7A93"/>
    <w:rsid w:val="008F7EC0"/>
    <w:rsid w:val="008F7F08"/>
    <w:rsid w:val="00900093"/>
    <w:rsid w:val="00900140"/>
    <w:rsid w:val="00900191"/>
    <w:rsid w:val="0090030E"/>
    <w:rsid w:val="00900389"/>
    <w:rsid w:val="009003A2"/>
    <w:rsid w:val="009003F0"/>
    <w:rsid w:val="009004AD"/>
    <w:rsid w:val="00900550"/>
    <w:rsid w:val="00900679"/>
    <w:rsid w:val="00900A47"/>
    <w:rsid w:val="00900BDF"/>
    <w:rsid w:val="00900CE3"/>
    <w:rsid w:val="00900D33"/>
    <w:rsid w:val="00900F67"/>
    <w:rsid w:val="00900FB2"/>
    <w:rsid w:val="009010A9"/>
    <w:rsid w:val="0090126F"/>
    <w:rsid w:val="00901384"/>
    <w:rsid w:val="00901519"/>
    <w:rsid w:val="009015C2"/>
    <w:rsid w:val="00901778"/>
    <w:rsid w:val="0090181B"/>
    <w:rsid w:val="00901C1F"/>
    <w:rsid w:val="00901C3A"/>
    <w:rsid w:val="00902161"/>
    <w:rsid w:val="00902337"/>
    <w:rsid w:val="009023B1"/>
    <w:rsid w:val="009026F8"/>
    <w:rsid w:val="00902860"/>
    <w:rsid w:val="00902CB1"/>
    <w:rsid w:val="00902EC1"/>
    <w:rsid w:val="00902F30"/>
    <w:rsid w:val="00902FF2"/>
    <w:rsid w:val="00902FFB"/>
    <w:rsid w:val="009033C9"/>
    <w:rsid w:val="00903612"/>
    <w:rsid w:val="00903772"/>
    <w:rsid w:val="009037C6"/>
    <w:rsid w:val="009038A7"/>
    <w:rsid w:val="009038DB"/>
    <w:rsid w:val="009039DD"/>
    <w:rsid w:val="00903B05"/>
    <w:rsid w:val="00903B75"/>
    <w:rsid w:val="00903D60"/>
    <w:rsid w:val="00903DB0"/>
    <w:rsid w:val="00903E1A"/>
    <w:rsid w:val="00903FA4"/>
    <w:rsid w:val="00904096"/>
    <w:rsid w:val="00904393"/>
    <w:rsid w:val="0090451B"/>
    <w:rsid w:val="0090453D"/>
    <w:rsid w:val="00904567"/>
    <w:rsid w:val="00904593"/>
    <w:rsid w:val="009045A1"/>
    <w:rsid w:val="009045B0"/>
    <w:rsid w:val="009046A1"/>
    <w:rsid w:val="00904790"/>
    <w:rsid w:val="00904C18"/>
    <w:rsid w:val="00904D5F"/>
    <w:rsid w:val="00904DE2"/>
    <w:rsid w:val="00904EE5"/>
    <w:rsid w:val="009050A8"/>
    <w:rsid w:val="00905396"/>
    <w:rsid w:val="009053D4"/>
    <w:rsid w:val="00905583"/>
    <w:rsid w:val="009055BF"/>
    <w:rsid w:val="009056DF"/>
    <w:rsid w:val="0090570D"/>
    <w:rsid w:val="009059D1"/>
    <w:rsid w:val="00905A42"/>
    <w:rsid w:val="00905BE3"/>
    <w:rsid w:val="009060B1"/>
    <w:rsid w:val="009063ED"/>
    <w:rsid w:val="009065E3"/>
    <w:rsid w:val="009067C4"/>
    <w:rsid w:val="00906AF4"/>
    <w:rsid w:val="00906B8C"/>
    <w:rsid w:val="00906C19"/>
    <w:rsid w:val="00906C84"/>
    <w:rsid w:val="00906D14"/>
    <w:rsid w:val="00906DE8"/>
    <w:rsid w:val="00906DEA"/>
    <w:rsid w:val="00906DF0"/>
    <w:rsid w:val="00907239"/>
    <w:rsid w:val="009073A2"/>
    <w:rsid w:val="00907411"/>
    <w:rsid w:val="0090743C"/>
    <w:rsid w:val="0090745B"/>
    <w:rsid w:val="009076FD"/>
    <w:rsid w:val="00907CCB"/>
    <w:rsid w:val="00907F3D"/>
    <w:rsid w:val="00907F8E"/>
    <w:rsid w:val="0091005B"/>
    <w:rsid w:val="00910088"/>
    <w:rsid w:val="00910218"/>
    <w:rsid w:val="0091024D"/>
    <w:rsid w:val="00910326"/>
    <w:rsid w:val="00910392"/>
    <w:rsid w:val="00910A49"/>
    <w:rsid w:val="00910BA2"/>
    <w:rsid w:val="00910C80"/>
    <w:rsid w:val="00910D12"/>
    <w:rsid w:val="00910D50"/>
    <w:rsid w:val="00910D6A"/>
    <w:rsid w:val="00911088"/>
    <w:rsid w:val="009110C7"/>
    <w:rsid w:val="009111EC"/>
    <w:rsid w:val="00911257"/>
    <w:rsid w:val="009115C6"/>
    <w:rsid w:val="009119B2"/>
    <w:rsid w:val="00911A93"/>
    <w:rsid w:val="00911B86"/>
    <w:rsid w:val="00911CC7"/>
    <w:rsid w:val="00911F80"/>
    <w:rsid w:val="0091214E"/>
    <w:rsid w:val="009122B5"/>
    <w:rsid w:val="009123A4"/>
    <w:rsid w:val="00912623"/>
    <w:rsid w:val="00912641"/>
    <w:rsid w:val="009128E5"/>
    <w:rsid w:val="00912A29"/>
    <w:rsid w:val="00912ABE"/>
    <w:rsid w:val="00912C32"/>
    <w:rsid w:val="00912C9F"/>
    <w:rsid w:val="00912CB5"/>
    <w:rsid w:val="00912D83"/>
    <w:rsid w:val="00912E35"/>
    <w:rsid w:val="00912F89"/>
    <w:rsid w:val="00913142"/>
    <w:rsid w:val="0091329B"/>
    <w:rsid w:val="009133DA"/>
    <w:rsid w:val="00913658"/>
    <w:rsid w:val="0091374E"/>
    <w:rsid w:val="009137B3"/>
    <w:rsid w:val="0091383D"/>
    <w:rsid w:val="00913920"/>
    <w:rsid w:val="00913ABA"/>
    <w:rsid w:val="00913AEB"/>
    <w:rsid w:val="00913B80"/>
    <w:rsid w:val="00913C60"/>
    <w:rsid w:val="00913DD3"/>
    <w:rsid w:val="009142CE"/>
    <w:rsid w:val="009142D3"/>
    <w:rsid w:val="00914492"/>
    <w:rsid w:val="00914B5B"/>
    <w:rsid w:val="00914BF2"/>
    <w:rsid w:val="00914C38"/>
    <w:rsid w:val="00914CFF"/>
    <w:rsid w:val="00914FB9"/>
    <w:rsid w:val="009152DC"/>
    <w:rsid w:val="00915613"/>
    <w:rsid w:val="009156D8"/>
    <w:rsid w:val="00915788"/>
    <w:rsid w:val="00915819"/>
    <w:rsid w:val="00915824"/>
    <w:rsid w:val="00915978"/>
    <w:rsid w:val="00915BA2"/>
    <w:rsid w:val="00915BC5"/>
    <w:rsid w:val="009161B5"/>
    <w:rsid w:val="009165EF"/>
    <w:rsid w:val="00916894"/>
    <w:rsid w:val="00916A02"/>
    <w:rsid w:val="00916A19"/>
    <w:rsid w:val="00916AD2"/>
    <w:rsid w:val="00916C20"/>
    <w:rsid w:val="00916CEC"/>
    <w:rsid w:val="00916D31"/>
    <w:rsid w:val="00916DA0"/>
    <w:rsid w:val="00916E93"/>
    <w:rsid w:val="00916F09"/>
    <w:rsid w:val="00916FA8"/>
    <w:rsid w:val="0091749A"/>
    <w:rsid w:val="00917518"/>
    <w:rsid w:val="00917600"/>
    <w:rsid w:val="00917953"/>
    <w:rsid w:val="00917987"/>
    <w:rsid w:val="00917A0E"/>
    <w:rsid w:val="00917AA0"/>
    <w:rsid w:val="00917BBC"/>
    <w:rsid w:val="00917C37"/>
    <w:rsid w:val="00917C81"/>
    <w:rsid w:val="00917CF0"/>
    <w:rsid w:val="00917D9B"/>
    <w:rsid w:val="0092002D"/>
    <w:rsid w:val="00920092"/>
    <w:rsid w:val="0092023B"/>
    <w:rsid w:val="00920360"/>
    <w:rsid w:val="00920365"/>
    <w:rsid w:val="009205B7"/>
    <w:rsid w:val="009209E6"/>
    <w:rsid w:val="00920B47"/>
    <w:rsid w:val="00920B64"/>
    <w:rsid w:val="00920BCB"/>
    <w:rsid w:val="00920BE9"/>
    <w:rsid w:val="00920C73"/>
    <w:rsid w:val="00920C7A"/>
    <w:rsid w:val="00920D0B"/>
    <w:rsid w:val="00920D0F"/>
    <w:rsid w:val="00920E8C"/>
    <w:rsid w:val="00921152"/>
    <w:rsid w:val="00921190"/>
    <w:rsid w:val="009211CF"/>
    <w:rsid w:val="00921339"/>
    <w:rsid w:val="009213BC"/>
    <w:rsid w:val="0092148A"/>
    <w:rsid w:val="009214E8"/>
    <w:rsid w:val="009216EB"/>
    <w:rsid w:val="009217C3"/>
    <w:rsid w:val="00921865"/>
    <w:rsid w:val="0092193A"/>
    <w:rsid w:val="00921A38"/>
    <w:rsid w:val="00921B8B"/>
    <w:rsid w:val="00921B96"/>
    <w:rsid w:val="00921BD5"/>
    <w:rsid w:val="00921C5C"/>
    <w:rsid w:val="00921E7D"/>
    <w:rsid w:val="00921F8A"/>
    <w:rsid w:val="00921FC4"/>
    <w:rsid w:val="0092210F"/>
    <w:rsid w:val="0092219A"/>
    <w:rsid w:val="00922276"/>
    <w:rsid w:val="00922499"/>
    <w:rsid w:val="0092252F"/>
    <w:rsid w:val="0092283E"/>
    <w:rsid w:val="00922D7B"/>
    <w:rsid w:val="00922E3E"/>
    <w:rsid w:val="00923007"/>
    <w:rsid w:val="0092318D"/>
    <w:rsid w:val="00923208"/>
    <w:rsid w:val="00923297"/>
    <w:rsid w:val="009235CA"/>
    <w:rsid w:val="00923817"/>
    <w:rsid w:val="009238A1"/>
    <w:rsid w:val="0092391D"/>
    <w:rsid w:val="0092393D"/>
    <w:rsid w:val="00923AC6"/>
    <w:rsid w:val="00923C05"/>
    <w:rsid w:val="00923D83"/>
    <w:rsid w:val="00923DD5"/>
    <w:rsid w:val="009240D7"/>
    <w:rsid w:val="009241F3"/>
    <w:rsid w:val="00924325"/>
    <w:rsid w:val="009243B1"/>
    <w:rsid w:val="009243BC"/>
    <w:rsid w:val="009243D6"/>
    <w:rsid w:val="00924430"/>
    <w:rsid w:val="009246B6"/>
    <w:rsid w:val="00924B79"/>
    <w:rsid w:val="00924CCB"/>
    <w:rsid w:val="00924D4C"/>
    <w:rsid w:val="0092500E"/>
    <w:rsid w:val="00925078"/>
    <w:rsid w:val="0092509B"/>
    <w:rsid w:val="009250A6"/>
    <w:rsid w:val="009250F7"/>
    <w:rsid w:val="00925275"/>
    <w:rsid w:val="009254FA"/>
    <w:rsid w:val="009255C8"/>
    <w:rsid w:val="009255DC"/>
    <w:rsid w:val="0092583C"/>
    <w:rsid w:val="00925848"/>
    <w:rsid w:val="00925855"/>
    <w:rsid w:val="009259CA"/>
    <w:rsid w:val="00925B92"/>
    <w:rsid w:val="00925D30"/>
    <w:rsid w:val="00925E4F"/>
    <w:rsid w:val="0092601E"/>
    <w:rsid w:val="009262CF"/>
    <w:rsid w:val="00926333"/>
    <w:rsid w:val="00926449"/>
    <w:rsid w:val="009264B1"/>
    <w:rsid w:val="009264ED"/>
    <w:rsid w:val="00926686"/>
    <w:rsid w:val="00926868"/>
    <w:rsid w:val="00926890"/>
    <w:rsid w:val="00926949"/>
    <w:rsid w:val="009269D9"/>
    <w:rsid w:val="00926B51"/>
    <w:rsid w:val="00926C8E"/>
    <w:rsid w:val="00926F77"/>
    <w:rsid w:val="00927191"/>
    <w:rsid w:val="00927325"/>
    <w:rsid w:val="0092738E"/>
    <w:rsid w:val="00927404"/>
    <w:rsid w:val="0092761C"/>
    <w:rsid w:val="00927923"/>
    <w:rsid w:val="00927A6D"/>
    <w:rsid w:val="00927AB1"/>
    <w:rsid w:val="00927B13"/>
    <w:rsid w:val="00927EBE"/>
    <w:rsid w:val="0093004A"/>
    <w:rsid w:val="009300B1"/>
    <w:rsid w:val="009300DC"/>
    <w:rsid w:val="009303E0"/>
    <w:rsid w:val="00930815"/>
    <w:rsid w:val="00930B93"/>
    <w:rsid w:val="00930D24"/>
    <w:rsid w:val="00930E67"/>
    <w:rsid w:val="00930E82"/>
    <w:rsid w:val="00930F0D"/>
    <w:rsid w:val="00931291"/>
    <w:rsid w:val="0093137D"/>
    <w:rsid w:val="00931449"/>
    <w:rsid w:val="0093146A"/>
    <w:rsid w:val="00931841"/>
    <w:rsid w:val="00931A3C"/>
    <w:rsid w:val="00931AF1"/>
    <w:rsid w:val="00931C1E"/>
    <w:rsid w:val="00931C62"/>
    <w:rsid w:val="00931E9A"/>
    <w:rsid w:val="00931F85"/>
    <w:rsid w:val="00932019"/>
    <w:rsid w:val="0093207D"/>
    <w:rsid w:val="009320BE"/>
    <w:rsid w:val="00932235"/>
    <w:rsid w:val="00932345"/>
    <w:rsid w:val="009323A7"/>
    <w:rsid w:val="009323B8"/>
    <w:rsid w:val="009323CD"/>
    <w:rsid w:val="009323F0"/>
    <w:rsid w:val="00932448"/>
    <w:rsid w:val="009325A1"/>
    <w:rsid w:val="0093285A"/>
    <w:rsid w:val="009329E1"/>
    <w:rsid w:val="00932A10"/>
    <w:rsid w:val="00932B1F"/>
    <w:rsid w:val="00933034"/>
    <w:rsid w:val="009330C7"/>
    <w:rsid w:val="009331BC"/>
    <w:rsid w:val="00933268"/>
    <w:rsid w:val="00933300"/>
    <w:rsid w:val="00933380"/>
    <w:rsid w:val="0093340E"/>
    <w:rsid w:val="009335E5"/>
    <w:rsid w:val="009336F3"/>
    <w:rsid w:val="009339AC"/>
    <w:rsid w:val="009339D7"/>
    <w:rsid w:val="00933A82"/>
    <w:rsid w:val="00933AB6"/>
    <w:rsid w:val="00933B43"/>
    <w:rsid w:val="00933B4C"/>
    <w:rsid w:val="00933CE8"/>
    <w:rsid w:val="00933F2D"/>
    <w:rsid w:val="00934092"/>
    <w:rsid w:val="009341A7"/>
    <w:rsid w:val="0093421F"/>
    <w:rsid w:val="00934248"/>
    <w:rsid w:val="0093445A"/>
    <w:rsid w:val="00934569"/>
    <w:rsid w:val="009346A4"/>
    <w:rsid w:val="009346AA"/>
    <w:rsid w:val="009346EC"/>
    <w:rsid w:val="0093475E"/>
    <w:rsid w:val="009347AB"/>
    <w:rsid w:val="00934885"/>
    <w:rsid w:val="00934B53"/>
    <w:rsid w:val="00934B7D"/>
    <w:rsid w:val="00934D02"/>
    <w:rsid w:val="00934E94"/>
    <w:rsid w:val="00935171"/>
    <w:rsid w:val="009353F8"/>
    <w:rsid w:val="009354FC"/>
    <w:rsid w:val="00935657"/>
    <w:rsid w:val="009356EE"/>
    <w:rsid w:val="0093589A"/>
    <w:rsid w:val="00935A1E"/>
    <w:rsid w:val="00935A1F"/>
    <w:rsid w:val="00935B33"/>
    <w:rsid w:val="00935BCE"/>
    <w:rsid w:val="00935FD8"/>
    <w:rsid w:val="00936032"/>
    <w:rsid w:val="009362A3"/>
    <w:rsid w:val="00936564"/>
    <w:rsid w:val="00936599"/>
    <w:rsid w:val="0093665E"/>
    <w:rsid w:val="0093667C"/>
    <w:rsid w:val="009366CE"/>
    <w:rsid w:val="009368A2"/>
    <w:rsid w:val="00936CBC"/>
    <w:rsid w:val="00936D15"/>
    <w:rsid w:val="00936E19"/>
    <w:rsid w:val="00936E7A"/>
    <w:rsid w:val="00936EA4"/>
    <w:rsid w:val="00936ED9"/>
    <w:rsid w:val="00936F8D"/>
    <w:rsid w:val="00937056"/>
    <w:rsid w:val="00937067"/>
    <w:rsid w:val="00937234"/>
    <w:rsid w:val="0093761D"/>
    <w:rsid w:val="00937635"/>
    <w:rsid w:val="00937740"/>
    <w:rsid w:val="00937773"/>
    <w:rsid w:val="009377F2"/>
    <w:rsid w:val="009378DF"/>
    <w:rsid w:val="009378E4"/>
    <w:rsid w:val="00937A4B"/>
    <w:rsid w:val="00937A5B"/>
    <w:rsid w:val="00937AAA"/>
    <w:rsid w:val="00937B80"/>
    <w:rsid w:val="00937F1F"/>
    <w:rsid w:val="0094003C"/>
    <w:rsid w:val="009400BD"/>
    <w:rsid w:val="00940185"/>
    <w:rsid w:val="00940668"/>
    <w:rsid w:val="00940949"/>
    <w:rsid w:val="00940B2A"/>
    <w:rsid w:val="00940B55"/>
    <w:rsid w:val="00940C6E"/>
    <w:rsid w:val="00940D11"/>
    <w:rsid w:val="00940F04"/>
    <w:rsid w:val="00941167"/>
    <w:rsid w:val="00941188"/>
    <w:rsid w:val="00941344"/>
    <w:rsid w:val="009414D0"/>
    <w:rsid w:val="00941605"/>
    <w:rsid w:val="00941734"/>
    <w:rsid w:val="00941756"/>
    <w:rsid w:val="009417EA"/>
    <w:rsid w:val="0094186C"/>
    <w:rsid w:val="00941BE8"/>
    <w:rsid w:val="00941D6E"/>
    <w:rsid w:val="00941DBA"/>
    <w:rsid w:val="00941DFD"/>
    <w:rsid w:val="00941F48"/>
    <w:rsid w:val="00942074"/>
    <w:rsid w:val="00942196"/>
    <w:rsid w:val="0094230C"/>
    <w:rsid w:val="00942447"/>
    <w:rsid w:val="0094249A"/>
    <w:rsid w:val="00942628"/>
    <w:rsid w:val="009426AD"/>
    <w:rsid w:val="009426F6"/>
    <w:rsid w:val="0094273D"/>
    <w:rsid w:val="009427D9"/>
    <w:rsid w:val="0094289D"/>
    <w:rsid w:val="00942999"/>
    <w:rsid w:val="00942B07"/>
    <w:rsid w:val="00942B1D"/>
    <w:rsid w:val="00942B59"/>
    <w:rsid w:val="00942C25"/>
    <w:rsid w:val="00943526"/>
    <w:rsid w:val="00943564"/>
    <w:rsid w:val="009436CD"/>
    <w:rsid w:val="009437EC"/>
    <w:rsid w:val="00943965"/>
    <w:rsid w:val="009439F9"/>
    <w:rsid w:val="00943BC3"/>
    <w:rsid w:val="00943BF1"/>
    <w:rsid w:val="00943CA2"/>
    <w:rsid w:val="00943F4B"/>
    <w:rsid w:val="00944067"/>
    <w:rsid w:val="009445DA"/>
    <w:rsid w:val="00944679"/>
    <w:rsid w:val="009448D5"/>
    <w:rsid w:val="00944D98"/>
    <w:rsid w:val="00944DE0"/>
    <w:rsid w:val="00944EE0"/>
    <w:rsid w:val="00944EED"/>
    <w:rsid w:val="00944F65"/>
    <w:rsid w:val="009450E2"/>
    <w:rsid w:val="009452AB"/>
    <w:rsid w:val="009452C4"/>
    <w:rsid w:val="009455A5"/>
    <w:rsid w:val="0094566C"/>
    <w:rsid w:val="00945694"/>
    <w:rsid w:val="009457A8"/>
    <w:rsid w:val="009458D6"/>
    <w:rsid w:val="00945945"/>
    <w:rsid w:val="00945A1E"/>
    <w:rsid w:val="00945B0A"/>
    <w:rsid w:val="00945C06"/>
    <w:rsid w:val="00945CE7"/>
    <w:rsid w:val="00945D6E"/>
    <w:rsid w:val="00945DC9"/>
    <w:rsid w:val="00945E8F"/>
    <w:rsid w:val="009460CB"/>
    <w:rsid w:val="009460DC"/>
    <w:rsid w:val="009462EA"/>
    <w:rsid w:val="009464FB"/>
    <w:rsid w:val="00946771"/>
    <w:rsid w:val="00946808"/>
    <w:rsid w:val="0094680A"/>
    <w:rsid w:val="00946A60"/>
    <w:rsid w:val="00946B66"/>
    <w:rsid w:val="00946C59"/>
    <w:rsid w:val="00946DFB"/>
    <w:rsid w:val="009470D7"/>
    <w:rsid w:val="0094751B"/>
    <w:rsid w:val="0094789A"/>
    <w:rsid w:val="00947900"/>
    <w:rsid w:val="00947979"/>
    <w:rsid w:val="00947A36"/>
    <w:rsid w:val="00947AD1"/>
    <w:rsid w:val="00947B1E"/>
    <w:rsid w:val="00947D6C"/>
    <w:rsid w:val="009503AB"/>
    <w:rsid w:val="00950496"/>
    <w:rsid w:val="0095049C"/>
    <w:rsid w:val="00950692"/>
    <w:rsid w:val="00950733"/>
    <w:rsid w:val="009507C0"/>
    <w:rsid w:val="009507F5"/>
    <w:rsid w:val="009508E6"/>
    <w:rsid w:val="009508F1"/>
    <w:rsid w:val="00950904"/>
    <w:rsid w:val="00950B1B"/>
    <w:rsid w:val="00950F3F"/>
    <w:rsid w:val="00950FB7"/>
    <w:rsid w:val="009510DF"/>
    <w:rsid w:val="009512F6"/>
    <w:rsid w:val="0095130C"/>
    <w:rsid w:val="009513B0"/>
    <w:rsid w:val="009513D4"/>
    <w:rsid w:val="0095150A"/>
    <w:rsid w:val="009515AF"/>
    <w:rsid w:val="009515F7"/>
    <w:rsid w:val="00951767"/>
    <w:rsid w:val="009518F7"/>
    <w:rsid w:val="009519F1"/>
    <w:rsid w:val="00951C27"/>
    <w:rsid w:val="00951CCC"/>
    <w:rsid w:val="00951E52"/>
    <w:rsid w:val="00951EA4"/>
    <w:rsid w:val="00951F4E"/>
    <w:rsid w:val="00951F74"/>
    <w:rsid w:val="0095212D"/>
    <w:rsid w:val="0095217A"/>
    <w:rsid w:val="0095244B"/>
    <w:rsid w:val="009524E1"/>
    <w:rsid w:val="009525D6"/>
    <w:rsid w:val="0095268A"/>
    <w:rsid w:val="0095269D"/>
    <w:rsid w:val="009526E2"/>
    <w:rsid w:val="009526FC"/>
    <w:rsid w:val="0095283E"/>
    <w:rsid w:val="009528A6"/>
    <w:rsid w:val="00952A25"/>
    <w:rsid w:val="00952AB2"/>
    <w:rsid w:val="00952AC7"/>
    <w:rsid w:val="0095326C"/>
    <w:rsid w:val="009532C1"/>
    <w:rsid w:val="00953360"/>
    <w:rsid w:val="009533CD"/>
    <w:rsid w:val="009533ED"/>
    <w:rsid w:val="0095341A"/>
    <w:rsid w:val="0095345B"/>
    <w:rsid w:val="009534B5"/>
    <w:rsid w:val="00953583"/>
    <w:rsid w:val="009535ED"/>
    <w:rsid w:val="0095361C"/>
    <w:rsid w:val="00953634"/>
    <w:rsid w:val="00953895"/>
    <w:rsid w:val="00953B6B"/>
    <w:rsid w:val="00953BD9"/>
    <w:rsid w:val="00953C40"/>
    <w:rsid w:val="00953D8C"/>
    <w:rsid w:val="00953DA4"/>
    <w:rsid w:val="00953F90"/>
    <w:rsid w:val="009541EE"/>
    <w:rsid w:val="009541F3"/>
    <w:rsid w:val="00954206"/>
    <w:rsid w:val="009542A9"/>
    <w:rsid w:val="00954461"/>
    <w:rsid w:val="00954669"/>
    <w:rsid w:val="009547D7"/>
    <w:rsid w:val="00954802"/>
    <w:rsid w:val="009548A6"/>
    <w:rsid w:val="00954B21"/>
    <w:rsid w:val="00954D48"/>
    <w:rsid w:val="00954ED8"/>
    <w:rsid w:val="00954EE1"/>
    <w:rsid w:val="009550F8"/>
    <w:rsid w:val="00955252"/>
    <w:rsid w:val="00955317"/>
    <w:rsid w:val="00955340"/>
    <w:rsid w:val="00955345"/>
    <w:rsid w:val="009553C8"/>
    <w:rsid w:val="009557F1"/>
    <w:rsid w:val="00955A5C"/>
    <w:rsid w:val="00955ADD"/>
    <w:rsid w:val="00955C23"/>
    <w:rsid w:val="00955D94"/>
    <w:rsid w:val="00955DA1"/>
    <w:rsid w:val="00955E02"/>
    <w:rsid w:val="00955F93"/>
    <w:rsid w:val="00955FDD"/>
    <w:rsid w:val="009563C3"/>
    <w:rsid w:val="00956445"/>
    <w:rsid w:val="009564CD"/>
    <w:rsid w:val="00956545"/>
    <w:rsid w:val="00956602"/>
    <w:rsid w:val="009568A7"/>
    <w:rsid w:val="00956A42"/>
    <w:rsid w:val="00956A4D"/>
    <w:rsid w:val="00956DD2"/>
    <w:rsid w:val="00956F03"/>
    <w:rsid w:val="009570C4"/>
    <w:rsid w:val="009572EE"/>
    <w:rsid w:val="00957336"/>
    <w:rsid w:val="0095735B"/>
    <w:rsid w:val="009575D0"/>
    <w:rsid w:val="0095770A"/>
    <w:rsid w:val="009579DF"/>
    <w:rsid w:val="00957A40"/>
    <w:rsid w:val="00957DC1"/>
    <w:rsid w:val="00957EF8"/>
    <w:rsid w:val="00960028"/>
    <w:rsid w:val="009600B5"/>
    <w:rsid w:val="009600DC"/>
    <w:rsid w:val="00960108"/>
    <w:rsid w:val="009602EE"/>
    <w:rsid w:val="00960322"/>
    <w:rsid w:val="009604BD"/>
    <w:rsid w:val="0096052A"/>
    <w:rsid w:val="0096079D"/>
    <w:rsid w:val="009608B5"/>
    <w:rsid w:val="00960996"/>
    <w:rsid w:val="00960A5F"/>
    <w:rsid w:val="00960C14"/>
    <w:rsid w:val="00960CD2"/>
    <w:rsid w:val="00960D5C"/>
    <w:rsid w:val="00960D75"/>
    <w:rsid w:val="00960E5A"/>
    <w:rsid w:val="00960E7E"/>
    <w:rsid w:val="00960EC3"/>
    <w:rsid w:val="0096115B"/>
    <w:rsid w:val="00961179"/>
    <w:rsid w:val="00961190"/>
    <w:rsid w:val="00961236"/>
    <w:rsid w:val="00961430"/>
    <w:rsid w:val="00961564"/>
    <w:rsid w:val="009616AF"/>
    <w:rsid w:val="00961904"/>
    <w:rsid w:val="00961CA7"/>
    <w:rsid w:val="00961F55"/>
    <w:rsid w:val="00962091"/>
    <w:rsid w:val="009620B2"/>
    <w:rsid w:val="00962270"/>
    <w:rsid w:val="00962342"/>
    <w:rsid w:val="009624D2"/>
    <w:rsid w:val="00962547"/>
    <w:rsid w:val="009626CF"/>
    <w:rsid w:val="009627AC"/>
    <w:rsid w:val="0096287C"/>
    <w:rsid w:val="00962883"/>
    <w:rsid w:val="009629AD"/>
    <w:rsid w:val="009629FB"/>
    <w:rsid w:val="00962A12"/>
    <w:rsid w:val="00962AE9"/>
    <w:rsid w:val="00962B74"/>
    <w:rsid w:val="00962EA7"/>
    <w:rsid w:val="00963034"/>
    <w:rsid w:val="0096309E"/>
    <w:rsid w:val="0096313B"/>
    <w:rsid w:val="0096317A"/>
    <w:rsid w:val="0096323E"/>
    <w:rsid w:val="009632CD"/>
    <w:rsid w:val="00963338"/>
    <w:rsid w:val="0096338A"/>
    <w:rsid w:val="009633F9"/>
    <w:rsid w:val="00963455"/>
    <w:rsid w:val="00963598"/>
    <w:rsid w:val="009635EE"/>
    <w:rsid w:val="009636BB"/>
    <w:rsid w:val="009637D5"/>
    <w:rsid w:val="00963992"/>
    <w:rsid w:val="00963A22"/>
    <w:rsid w:val="00963A33"/>
    <w:rsid w:val="00963ADD"/>
    <w:rsid w:val="00963ADF"/>
    <w:rsid w:val="00963DBD"/>
    <w:rsid w:val="00963F8A"/>
    <w:rsid w:val="00963F9A"/>
    <w:rsid w:val="00964009"/>
    <w:rsid w:val="009640B4"/>
    <w:rsid w:val="00964280"/>
    <w:rsid w:val="0096453B"/>
    <w:rsid w:val="00964557"/>
    <w:rsid w:val="0096480F"/>
    <w:rsid w:val="00964B33"/>
    <w:rsid w:val="00964D0D"/>
    <w:rsid w:val="00964ED3"/>
    <w:rsid w:val="00964F0E"/>
    <w:rsid w:val="00964F29"/>
    <w:rsid w:val="00964F2B"/>
    <w:rsid w:val="00964F3C"/>
    <w:rsid w:val="009652C7"/>
    <w:rsid w:val="009653D4"/>
    <w:rsid w:val="009653DF"/>
    <w:rsid w:val="00965470"/>
    <w:rsid w:val="0096548A"/>
    <w:rsid w:val="00965617"/>
    <w:rsid w:val="00965661"/>
    <w:rsid w:val="00965886"/>
    <w:rsid w:val="0096593B"/>
    <w:rsid w:val="00965B09"/>
    <w:rsid w:val="00965D6E"/>
    <w:rsid w:val="00965EB1"/>
    <w:rsid w:val="00965F08"/>
    <w:rsid w:val="00966243"/>
    <w:rsid w:val="009662C1"/>
    <w:rsid w:val="00966435"/>
    <w:rsid w:val="00966532"/>
    <w:rsid w:val="009668F4"/>
    <w:rsid w:val="00966A72"/>
    <w:rsid w:val="00966AAD"/>
    <w:rsid w:val="00966D5A"/>
    <w:rsid w:val="00966E26"/>
    <w:rsid w:val="00966F49"/>
    <w:rsid w:val="0096700C"/>
    <w:rsid w:val="0096710D"/>
    <w:rsid w:val="0096738A"/>
    <w:rsid w:val="0096758A"/>
    <w:rsid w:val="00967645"/>
    <w:rsid w:val="0096767E"/>
    <w:rsid w:val="00967954"/>
    <w:rsid w:val="00967AE0"/>
    <w:rsid w:val="00967B56"/>
    <w:rsid w:val="00967E62"/>
    <w:rsid w:val="00967EA2"/>
    <w:rsid w:val="00970062"/>
    <w:rsid w:val="009700BA"/>
    <w:rsid w:val="009705C0"/>
    <w:rsid w:val="009705EC"/>
    <w:rsid w:val="00970641"/>
    <w:rsid w:val="00970B3E"/>
    <w:rsid w:val="00970E78"/>
    <w:rsid w:val="00970F1C"/>
    <w:rsid w:val="00970F32"/>
    <w:rsid w:val="009710AE"/>
    <w:rsid w:val="00971122"/>
    <w:rsid w:val="0097115C"/>
    <w:rsid w:val="0097140B"/>
    <w:rsid w:val="009716EC"/>
    <w:rsid w:val="009718B1"/>
    <w:rsid w:val="00971A9A"/>
    <w:rsid w:val="00971AB0"/>
    <w:rsid w:val="00971B19"/>
    <w:rsid w:val="00971B7B"/>
    <w:rsid w:val="00971B93"/>
    <w:rsid w:val="00971CAC"/>
    <w:rsid w:val="00971DC8"/>
    <w:rsid w:val="0097205C"/>
    <w:rsid w:val="0097205F"/>
    <w:rsid w:val="009720D1"/>
    <w:rsid w:val="0097221F"/>
    <w:rsid w:val="00972338"/>
    <w:rsid w:val="0097233F"/>
    <w:rsid w:val="009724A5"/>
    <w:rsid w:val="0097256D"/>
    <w:rsid w:val="00972623"/>
    <w:rsid w:val="0097266A"/>
    <w:rsid w:val="009729FE"/>
    <w:rsid w:val="00972CC7"/>
    <w:rsid w:val="00972F02"/>
    <w:rsid w:val="0097310A"/>
    <w:rsid w:val="0097316F"/>
    <w:rsid w:val="00973232"/>
    <w:rsid w:val="00973CE7"/>
    <w:rsid w:val="00973E99"/>
    <w:rsid w:val="00973EEB"/>
    <w:rsid w:val="00973FC5"/>
    <w:rsid w:val="0097413A"/>
    <w:rsid w:val="00974598"/>
    <w:rsid w:val="0097463E"/>
    <w:rsid w:val="009746C4"/>
    <w:rsid w:val="00974854"/>
    <w:rsid w:val="0097491D"/>
    <w:rsid w:val="00974BFB"/>
    <w:rsid w:val="00974D56"/>
    <w:rsid w:val="00974FE8"/>
    <w:rsid w:val="00975303"/>
    <w:rsid w:val="0097533D"/>
    <w:rsid w:val="0097536D"/>
    <w:rsid w:val="009753DD"/>
    <w:rsid w:val="00975438"/>
    <w:rsid w:val="009754A3"/>
    <w:rsid w:val="009755B5"/>
    <w:rsid w:val="0097583A"/>
    <w:rsid w:val="009759E6"/>
    <w:rsid w:val="009759EA"/>
    <w:rsid w:val="00975AF2"/>
    <w:rsid w:val="00975CED"/>
    <w:rsid w:val="00975D53"/>
    <w:rsid w:val="00975DC2"/>
    <w:rsid w:val="00975DEB"/>
    <w:rsid w:val="00975FFA"/>
    <w:rsid w:val="00976016"/>
    <w:rsid w:val="00976247"/>
    <w:rsid w:val="009762F0"/>
    <w:rsid w:val="00976371"/>
    <w:rsid w:val="009763C5"/>
    <w:rsid w:val="009764FF"/>
    <w:rsid w:val="00976604"/>
    <w:rsid w:val="00976CFD"/>
    <w:rsid w:val="00976DCE"/>
    <w:rsid w:val="00976EB7"/>
    <w:rsid w:val="00976F85"/>
    <w:rsid w:val="00977125"/>
    <w:rsid w:val="009774C4"/>
    <w:rsid w:val="00977580"/>
    <w:rsid w:val="0097769E"/>
    <w:rsid w:val="009777E7"/>
    <w:rsid w:val="00977876"/>
    <w:rsid w:val="00977AC4"/>
    <w:rsid w:val="00977BA6"/>
    <w:rsid w:val="00977BF6"/>
    <w:rsid w:val="00977E91"/>
    <w:rsid w:val="00977F0B"/>
    <w:rsid w:val="009800DA"/>
    <w:rsid w:val="009800F5"/>
    <w:rsid w:val="00980109"/>
    <w:rsid w:val="00980147"/>
    <w:rsid w:val="009803EF"/>
    <w:rsid w:val="009803F6"/>
    <w:rsid w:val="00980763"/>
    <w:rsid w:val="009807F3"/>
    <w:rsid w:val="00980868"/>
    <w:rsid w:val="00980953"/>
    <w:rsid w:val="0098095F"/>
    <w:rsid w:val="00980984"/>
    <w:rsid w:val="009809E5"/>
    <w:rsid w:val="00980B2C"/>
    <w:rsid w:val="00980C30"/>
    <w:rsid w:val="00980DC7"/>
    <w:rsid w:val="00981175"/>
    <w:rsid w:val="00981288"/>
    <w:rsid w:val="009812A2"/>
    <w:rsid w:val="0098155B"/>
    <w:rsid w:val="009815A0"/>
    <w:rsid w:val="00981BCF"/>
    <w:rsid w:val="00981C81"/>
    <w:rsid w:val="00981D50"/>
    <w:rsid w:val="00981E15"/>
    <w:rsid w:val="00981EB8"/>
    <w:rsid w:val="00981F32"/>
    <w:rsid w:val="00981FE0"/>
    <w:rsid w:val="00982216"/>
    <w:rsid w:val="009828CE"/>
    <w:rsid w:val="00982A22"/>
    <w:rsid w:val="00982A4A"/>
    <w:rsid w:val="00982AA4"/>
    <w:rsid w:val="00982BFF"/>
    <w:rsid w:val="00982C26"/>
    <w:rsid w:val="00982CFF"/>
    <w:rsid w:val="009831F2"/>
    <w:rsid w:val="009832DC"/>
    <w:rsid w:val="00983494"/>
    <w:rsid w:val="009834D6"/>
    <w:rsid w:val="00983509"/>
    <w:rsid w:val="009835FF"/>
    <w:rsid w:val="0098365D"/>
    <w:rsid w:val="009839D9"/>
    <w:rsid w:val="00983A49"/>
    <w:rsid w:val="00983AAC"/>
    <w:rsid w:val="00983AEF"/>
    <w:rsid w:val="00983DF1"/>
    <w:rsid w:val="0098403E"/>
    <w:rsid w:val="0098404F"/>
    <w:rsid w:val="00984119"/>
    <w:rsid w:val="00984158"/>
    <w:rsid w:val="009841D7"/>
    <w:rsid w:val="009841FF"/>
    <w:rsid w:val="009842F5"/>
    <w:rsid w:val="00984530"/>
    <w:rsid w:val="009845A2"/>
    <w:rsid w:val="0098464E"/>
    <w:rsid w:val="009848E3"/>
    <w:rsid w:val="00984923"/>
    <w:rsid w:val="00984B00"/>
    <w:rsid w:val="00984BF8"/>
    <w:rsid w:val="00985129"/>
    <w:rsid w:val="0098513B"/>
    <w:rsid w:val="009855D9"/>
    <w:rsid w:val="0098562E"/>
    <w:rsid w:val="009858E7"/>
    <w:rsid w:val="00985934"/>
    <w:rsid w:val="00985B91"/>
    <w:rsid w:val="00985C23"/>
    <w:rsid w:val="00985E4A"/>
    <w:rsid w:val="00985EAF"/>
    <w:rsid w:val="00985F84"/>
    <w:rsid w:val="00985FA5"/>
    <w:rsid w:val="0098608E"/>
    <w:rsid w:val="009860AC"/>
    <w:rsid w:val="009862E1"/>
    <w:rsid w:val="009864EA"/>
    <w:rsid w:val="00986624"/>
    <w:rsid w:val="00986742"/>
    <w:rsid w:val="00986943"/>
    <w:rsid w:val="00986996"/>
    <w:rsid w:val="00986BB2"/>
    <w:rsid w:val="00986BC4"/>
    <w:rsid w:val="00986C64"/>
    <w:rsid w:val="00987048"/>
    <w:rsid w:val="009871DD"/>
    <w:rsid w:val="009872F6"/>
    <w:rsid w:val="00987529"/>
    <w:rsid w:val="00987588"/>
    <w:rsid w:val="009875B6"/>
    <w:rsid w:val="00987BB3"/>
    <w:rsid w:val="00987BFB"/>
    <w:rsid w:val="00987FB9"/>
    <w:rsid w:val="009901DF"/>
    <w:rsid w:val="00990362"/>
    <w:rsid w:val="00990570"/>
    <w:rsid w:val="00990E05"/>
    <w:rsid w:val="00991004"/>
    <w:rsid w:val="0099108A"/>
    <w:rsid w:val="009911C1"/>
    <w:rsid w:val="0099132E"/>
    <w:rsid w:val="00991421"/>
    <w:rsid w:val="00991529"/>
    <w:rsid w:val="00991548"/>
    <w:rsid w:val="009915AD"/>
    <w:rsid w:val="009917D5"/>
    <w:rsid w:val="009918F9"/>
    <w:rsid w:val="009919C0"/>
    <w:rsid w:val="009919E2"/>
    <w:rsid w:val="00991A0F"/>
    <w:rsid w:val="00991A83"/>
    <w:rsid w:val="00991C5E"/>
    <w:rsid w:val="009920CF"/>
    <w:rsid w:val="009921A6"/>
    <w:rsid w:val="00992441"/>
    <w:rsid w:val="009924A9"/>
    <w:rsid w:val="009925C1"/>
    <w:rsid w:val="0099283A"/>
    <w:rsid w:val="00992879"/>
    <w:rsid w:val="00992A5F"/>
    <w:rsid w:val="00992A70"/>
    <w:rsid w:val="00992A93"/>
    <w:rsid w:val="00992AE1"/>
    <w:rsid w:val="00992B07"/>
    <w:rsid w:val="00992B48"/>
    <w:rsid w:val="00992B7D"/>
    <w:rsid w:val="00992C8D"/>
    <w:rsid w:val="00992D6D"/>
    <w:rsid w:val="00992E4E"/>
    <w:rsid w:val="00992F3B"/>
    <w:rsid w:val="009934F1"/>
    <w:rsid w:val="00993583"/>
    <w:rsid w:val="00993678"/>
    <w:rsid w:val="00993896"/>
    <w:rsid w:val="00993963"/>
    <w:rsid w:val="00993A11"/>
    <w:rsid w:val="00993A5E"/>
    <w:rsid w:val="00993AA1"/>
    <w:rsid w:val="0099416A"/>
    <w:rsid w:val="0099433F"/>
    <w:rsid w:val="00994869"/>
    <w:rsid w:val="00994BC4"/>
    <w:rsid w:val="00994C30"/>
    <w:rsid w:val="00994D0C"/>
    <w:rsid w:val="009950AB"/>
    <w:rsid w:val="0099527D"/>
    <w:rsid w:val="00995283"/>
    <w:rsid w:val="00995409"/>
    <w:rsid w:val="00995428"/>
    <w:rsid w:val="009955AE"/>
    <w:rsid w:val="009955F4"/>
    <w:rsid w:val="00995626"/>
    <w:rsid w:val="00995806"/>
    <w:rsid w:val="0099597A"/>
    <w:rsid w:val="00995A4C"/>
    <w:rsid w:val="00995C3B"/>
    <w:rsid w:val="00995D5A"/>
    <w:rsid w:val="00995D98"/>
    <w:rsid w:val="00995DDB"/>
    <w:rsid w:val="00995DEA"/>
    <w:rsid w:val="00995ED6"/>
    <w:rsid w:val="00996083"/>
    <w:rsid w:val="009961C5"/>
    <w:rsid w:val="0099645B"/>
    <w:rsid w:val="009966EE"/>
    <w:rsid w:val="0099699B"/>
    <w:rsid w:val="00996A6A"/>
    <w:rsid w:val="00996A8C"/>
    <w:rsid w:val="00996D10"/>
    <w:rsid w:val="00996DB6"/>
    <w:rsid w:val="00996E05"/>
    <w:rsid w:val="00996E70"/>
    <w:rsid w:val="0099701F"/>
    <w:rsid w:val="00997056"/>
    <w:rsid w:val="009970C7"/>
    <w:rsid w:val="0099710F"/>
    <w:rsid w:val="009972A7"/>
    <w:rsid w:val="00997322"/>
    <w:rsid w:val="00997362"/>
    <w:rsid w:val="009973AC"/>
    <w:rsid w:val="00997541"/>
    <w:rsid w:val="00997556"/>
    <w:rsid w:val="00997561"/>
    <w:rsid w:val="009975F3"/>
    <w:rsid w:val="00997690"/>
    <w:rsid w:val="009976FD"/>
    <w:rsid w:val="00997924"/>
    <w:rsid w:val="00997D45"/>
    <w:rsid w:val="00997D7F"/>
    <w:rsid w:val="00997F48"/>
    <w:rsid w:val="00997F55"/>
    <w:rsid w:val="009A00FA"/>
    <w:rsid w:val="009A036F"/>
    <w:rsid w:val="009A0403"/>
    <w:rsid w:val="009A043F"/>
    <w:rsid w:val="009A0569"/>
    <w:rsid w:val="009A064F"/>
    <w:rsid w:val="009A07D9"/>
    <w:rsid w:val="009A08D1"/>
    <w:rsid w:val="009A0A66"/>
    <w:rsid w:val="009A0AA9"/>
    <w:rsid w:val="009A0CE3"/>
    <w:rsid w:val="009A0D59"/>
    <w:rsid w:val="009A0EB1"/>
    <w:rsid w:val="009A0EE6"/>
    <w:rsid w:val="009A1027"/>
    <w:rsid w:val="009A1156"/>
    <w:rsid w:val="009A1240"/>
    <w:rsid w:val="009A12C8"/>
    <w:rsid w:val="009A137C"/>
    <w:rsid w:val="009A1443"/>
    <w:rsid w:val="009A16B4"/>
    <w:rsid w:val="009A179F"/>
    <w:rsid w:val="009A17E4"/>
    <w:rsid w:val="009A1910"/>
    <w:rsid w:val="009A1CB1"/>
    <w:rsid w:val="009A2096"/>
    <w:rsid w:val="009A20AC"/>
    <w:rsid w:val="009A20DD"/>
    <w:rsid w:val="009A2632"/>
    <w:rsid w:val="009A2940"/>
    <w:rsid w:val="009A2C2C"/>
    <w:rsid w:val="009A2D1E"/>
    <w:rsid w:val="009A2DA3"/>
    <w:rsid w:val="009A3054"/>
    <w:rsid w:val="009A334F"/>
    <w:rsid w:val="009A3455"/>
    <w:rsid w:val="009A36BC"/>
    <w:rsid w:val="009A37DD"/>
    <w:rsid w:val="009A385D"/>
    <w:rsid w:val="009A3CD2"/>
    <w:rsid w:val="009A3E8E"/>
    <w:rsid w:val="009A40AA"/>
    <w:rsid w:val="009A40B8"/>
    <w:rsid w:val="009A426A"/>
    <w:rsid w:val="009A43FE"/>
    <w:rsid w:val="009A448B"/>
    <w:rsid w:val="009A49C9"/>
    <w:rsid w:val="009A4BAB"/>
    <w:rsid w:val="009A4D6E"/>
    <w:rsid w:val="009A4F1C"/>
    <w:rsid w:val="009A4F2F"/>
    <w:rsid w:val="009A5077"/>
    <w:rsid w:val="009A512E"/>
    <w:rsid w:val="009A561E"/>
    <w:rsid w:val="009A56F6"/>
    <w:rsid w:val="009A595D"/>
    <w:rsid w:val="009A595F"/>
    <w:rsid w:val="009A59D9"/>
    <w:rsid w:val="009A5C0E"/>
    <w:rsid w:val="009A5C2D"/>
    <w:rsid w:val="009A5E4C"/>
    <w:rsid w:val="009A5EC9"/>
    <w:rsid w:val="009A5EE7"/>
    <w:rsid w:val="009A5FEE"/>
    <w:rsid w:val="009A613F"/>
    <w:rsid w:val="009A621A"/>
    <w:rsid w:val="009A64AD"/>
    <w:rsid w:val="009A64C4"/>
    <w:rsid w:val="009A650F"/>
    <w:rsid w:val="009A652C"/>
    <w:rsid w:val="009A6672"/>
    <w:rsid w:val="009A67F7"/>
    <w:rsid w:val="009A6BA5"/>
    <w:rsid w:val="009A6F48"/>
    <w:rsid w:val="009A722E"/>
    <w:rsid w:val="009A72B3"/>
    <w:rsid w:val="009A76B9"/>
    <w:rsid w:val="009A7807"/>
    <w:rsid w:val="009A7B58"/>
    <w:rsid w:val="009A7C33"/>
    <w:rsid w:val="009A7C6F"/>
    <w:rsid w:val="009A7CA5"/>
    <w:rsid w:val="009A7E17"/>
    <w:rsid w:val="009A7F20"/>
    <w:rsid w:val="009A7F50"/>
    <w:rsid w:val="009A7FA2"/>
    <w:rsid w:val="009B00B2"/>
    <w:rsid w:val="009B0119"/>
    <w:rsid w:val="009B0268"/>
    <w:rsid w:val="009B02AE"/>
    <w:rsid w:val="009B0332"/>
    <w:rsid w:val="009B043F"/>
    <w:rsid w:val="009B0695"/>
    <w:rsid w:val="009B06C6"/>
    <w:rsid w:val="009B0766"/>
    <w:rsid w:val="009B08AE"/>
    <w:rsid w:val="009B09DF"/>
    <w:rsid w:val="009B0AA5"/>
    <w:rsid w:val="009B0B37"/>
    <w:rsid w:val="009B0BD8"/>
    <w:rsid w:val="009B0CD1"/>
    <w:rsid w:val="009B0DDF"/>
    <w:rsid w:val="009B0F6B"/>
    <w:rsid w:val="009B143B"/>
    <w:rsid w:val="009B14AA"/>
    <w:rsid w:val="009B1622"/>
    <w:rsid w:val="009B193D"/>
    <w:rsid w:val="009B193E"/>
    <w:rsid w:val="009B1EDA"/>
    <w:rsid w:val="009B1F71"/>
    <w:rsid w:val="009B22D2"/>
    <w:rsid w:val="009B22ED"/>
    <w:rsid w:val="009B25E1"/>
    <w:rsid w:val="009B26FD"/>
    <w:rsid w:val="009B2745"/>
    <w:rsid w:val="009B28B7"/>
    <w:rsid w:val="009B2A42"/>
    <w:rsid w:val="009B2A6B"/>
    <w:rsid w:val="009B2B62"/>
    <w:rsid w:val="009B2D16"/>
    <w:rsid w:val="009B2D5B"/>
    <w:rsid w:val="009B2DB9"/>
    <w:rsid w:val="009B3916"/>
    <w:rsid w:val="009B3A08"/>
    <w:rsid w:val="009B3A99"/>
    <w:rsid w:val="009B3B01"/>
    <w:rsid w:val="009B3BFF"/>
    <w:rsid w:val="009B3D7A"/>
    <w:rsid w:val="009B3FAE"/>
    <w:rsid w:val="009B3FE7"/>
    <w:rsid w:val="009B3FEE"/>
    <w:rsid w:val="009B41BF"/>
    <w:rsid w:val="009B4415"/>
    <w:rsid w:val="009B441E"/>
    <w:rsid w:val="009B45E9"/>
    <w:rsid w:val="009B466D"/>
    <w:rsid w:val="009B4826"/>
    <w:rsid w:val="009B489B"/>
    <w:rsid w:val="009B48FE"/>
    <w:rsid w:val="009B4933"/>
    <w:rsid w:val="009B4945"/>
    <w:rsid w:val="009B4F17"/>
    <w:rsid w:val="009B508D"/>
    <w:rsid w:val="009B526B"/>
    <w:rsid w:val="009B5335"/>
    <w:rsid w:val="009B54B9"/>
    <w:rsid w:val="009B54BD"/>
    <w:rsid w:val="009B5658"/>
    <w:rsid w:val="009B599D"/>
    <w:rsid w:val="009B5B3A"/>
    <w:rsid w:val="009B5B43"/>
    <w:rsid w:val="009B5B55"/>
    <w:rsid w:val="009B604D"/>
    <w:rsid w:val="009B6398"/>
    <w:rsid w:val="009B6672"/>
    <w:rsid w:val="009B6834"/>
    <w:rsid w:val="009B6874"/>
    <w:rsid w:val="009B68E7"/>
    <w:rsid w:val="009B6973"/>
    <w:rsid w:val="009B6AA7"/>
    <w:rsid w:val="009B6B87"/>
    <w:rsid w:val="009B6C4E"/>
    <w:rsid w:val="009B6CD7"/>
    <w:rsid w:val="009B6E70"/>
    <w:rsid w:val="009B6F39"/>
    <w:rsid w:val="009B6F3C"/>
    <w:rsid w:val="009B6FA9"/>
    <w:rsid w:val="009B6FCB"/>
    <w:rsid w:val="009B6FDC"/>
    <w:rsid w:val="009B704B"/>
    <w:rsid w:val="009B70CF"/>
    <w:rsid w:val="009B710D"/>
    <w:rsid w:val="009B7443"/>
    <w:rsid w:val="009B755A"/>
    <w:rsid w:val="009B778C"/>
    <w:rsid w:val="009B77F7"/>
    <w:rsid w:val="009B78E9"/>
    <w:rsid w:val="009B7997"/>
    <w:rsid w:val="009B7B2E"/>
    <w:rsid w:val="009B7C91"/>
    <w:rsid w:val="009B7CEA"/>
    <w:rsid w:val="009B7D16"/>
    <w:rsid w:val="009C009A"/>
    <w:rsid w:val="009C0287"/>
    <w:rsid w:val="009C042D"/>
    <w:rsid w:val="009C0533"/>
    <w:rsid w:val="009C0603"/>
    <w:rsid w:val="009C07AA"/>
    <w:rsid w:val="009C07ED"/>
    <w:rsid w:val="009C0905"/>
    <w:rsid w:val="009C0A23"/>
    <w:rsid w:val="009C0A72"/>
    <w:rsid w:val="009C0D04"/>
    <w:rsid w:val="009C0D11"/>
    <w:rsid w:val="009C0D74"/>
    <w:rsid w:val="009C121D"/>
    <w:rsid w:val="009C13A8"/>
    <w:rsid w:val="009C1758"/>
    <w:rsid w:val="009C1890"/>
    <w:rsid w:val="009C19B9"/>
    <w:rsid w:val="009C19F2"/>
    <w:rsid w:val="009C1B6C"/>
    <w:rsid w:val="009C1C70"/>
    <w:rsid w:val="009C1C9F"/>
    <w:rsid w:val="009C24AF"/>
    <w:rsid w:val="009C250A"/>
    <w:rsid w:val="009C25CC"/>
    <w:rsid w:val="009C25FC"/>
    <w:rsid w:val="009C2695"/>
    <w:rsid w:val="009C284A"/>
    <w:rsid w:val="009C2CA1"/>
    <w:rsid w:val="009C2CB9"/>
    <w:rsid w:val="009C2D23"/>
    <w:rsid w:val="009C2E43"/>
    <w:rsid w:val="009C2FF8"/>
    <w:rsid w:val="009C3045"/>
    <w:rsid w:val="009C308F"/>
    <w:rsid w:val="009C30F6"/>
    <w:rsid w:val="009C3174"/>
    <w:rsid w:val="009C32B1"/>
    <w:rsid w:val="009C337C"/>
    <w:rsid w:val="009C358B"/>
    <w:rsid w:val="009C35CE"/>
    <w:rsid w:val="009C35D1"/>
    <w:rsid w:val="009C39BC"/>
    <w:rsid w:val="009C3BFB"/>
    <w:rsid w:val="009C3D57"/>
    <w:rsid w:val="009C3D6A"/>
    <w:rsid w:val="009C3DBE"/>
    <w:rsid w:val="009C4375"/>
    <w:rsid w:val="009C458A"/>
    <w:rsid w:val="009C47F7"/>
    <w:rsid w:val="009C4822"/>
    <w:rsid w:val="009C48E0"/>
    <w:rsid w:val="009C4A23"/>
    <w:rsid w:val="009C4DBA"/>
    <w:rsid w:val="009C4EA0"/>
    <w:rsid w:val="009C5000"/>
    <w:rsid w:val="009C50D3"/>
    <w:rsid w:val="009C5205"/>
    <w:rsid w:val="009C5459"/>
    <w:rsid w:val="009C55C2"/>
    <w:rsid w:val="009C5843"/>
    <w:rsid w:val="009C598B"/>
    <w:rsid w:val="009C5BAC"/>
    <w:rsid w:val="009C5DFC"/>
    <w:rsid w:val="009C5F35"/>
    <w:rsid w:val="009C5FFC"/>
    <w:rsid w:val="009C6255"/>
    <w:rsid w:val="009C6343"/>
    <w:rsid w:val="009C641A"/>
    <w:rsid w:val="009C650C"/>
    <w:rsid w:val="009C6722"/>
    <w:rsid w:val="009C67C3"/>
    <w:rsid w:val="009C6809"/>
    <w:rsid w:val="009C6850"/>
    <w:rsid w:val="009C6974"/>
    <w:rsid w:val="009C6976"/>
    <w:rsid w:val="009C6BD1"/>
    <w:rsid w:val="009C6F5B"/>
    <w:rsid w:val="009C70E5"/>
    <w:rsid w:val="009C71FA"/>
    <w:rsid w:val="009C75E4"/>
    <w:rsid w:val="009C7674"/>
    <w:rsid w:val="009C76E8"/>
    <w:rsid w:val="009C770F"/>
    <w:rsid w:val="009C78B6"/>
    <w:rsid w:val="009C7A12"/>
    <w:rsid w:val="009C7B2E"/>
    <w:rsid w:val="009C7D5D"/>
    <w:rsid w:val="009C7EE0"/>
    <w:rsid w:val="009C7F3E"/>
    <w:rsid w:val="009D01AA"/>
    <w:rsid w:val="009D0298"/>
    <w:rsid w:val="009D056D"/>
    <w:rsid w:val="009D0643"/>
    <w:rsid w:val="009D0698"/>
    <w:rsid w:val="009D06A9"/>
    <w:rsid w:val="009D0712"/>
    <w:rsid w:val="009D0846"/>
    <w:rsid w:val="009D0C4A"/>
    <w:rsid w:val="009D0E5F"/>
    <w:rsid w:val="009D0FB4"/>
    <w:rsid w:val="009D109C"/>
    <w:rsid w:val="009D123F"/>
    <w:rsid w:val="009D127A"/>
    <w:rsid w:val="009D14B0"/>
    <w:rsid w:val="009D16C3"/>
    <w:rsid w:val="009D18EF"/>
    <w:rsid w:val="009D1A61"/>
    <w:rsid w:val="009D1B2D"/>
    <w:rsid w:val="009D1BA6"/>
    <w:rsid w:val="009D1E43"/>
    <w:rsid w:val="009D1F22"/>
    <w:rsid w:val="009D1FDF"/>
    <w:rsid w:val="009D228D"/>
    <w:rsid w:val="009D23A0"/>
    <w:rsid w:val="009D2565"/>
    <w:rsid w:val="009D26A4"/>
    <w:rsid w:val="009D2868"/>
    <w:rsid w:val="009D28F0"/>
    <w:rsid w:val="009D2A39"/>
    <w:rsid w:val="009D2CD2"/>
    <w:rsid w:val="009D2D2C"/>
    <w:rsid w:val="009D2DEE"/>
    <w:rsid w:val="009D2EF1"/>
    <w:rsid w:val="009D30C0"/>
    <w:rsid w:val="009D30D0"/>
    <w:rsid w:val="009D31E1"/>
    <w:rsid w:val="009D3389"/>
    <w:rsid w:val="009D3509"/>
    <w:rsid w:val="009D3535"/>
    <w:rsid w:val="009D3626"/>
    <w:rsid w:val="009D36F7"/>
    <w:rsid w:val="009D392A"/>
    <w:rsid w:val="009D3A7B"/>
    <w:rsid w:val="009D3A80"/>
    <w:rsid w:val="009D3BE6"/>
    <w:rsid w:val="009D3C15"/>
    <w:rsid w:val="009D3F37"/>
    <w:rsid w:val="009D42EB"/>
    <w:rsid w:val="009D4354"/>
    <w:rsid w:val="009D43A7"/>
    <w:rsid w:val="009D43DE"/>
    <w:rsid w:val="009D4515"/>
    <w:rsid w:val="009D47CE"/>
    <w:rsid w:val="009D4907"/>
    <w:rsid w:val="009D490B"/>
    <w:rsid w:val="009D4934"/>
    <w:rsid w:val="009D4951"/>
    <w:rsid w:val="009D4ADE"/>
    <w:rsid w:val="009D4B50"/>
    <w:rsid w:val="009D50DB"/>
    <w:rsid w:val="009D5168"/>
    <w:rsid w:val="009D52D1"/>
    <w:rsid w:val="009D534D"/>
    <w:rsid w:val="009D536B"/>
    <w:rsid w:val="009D539B"/>
    <w:rsid w:val="009D5584"/>
    <w:rsid w:val="009D5608"/>
    <w:rsid w:val="009D5630"/>
    <w:rsid w:val="009D57B2"/>
    <w:rsid w:val="009D594F"/>
    <w:rsid w:val="009D5B72"/>
    <w:rsid w:val="009D5BB5"/>
    <w:rsid w:val="009D5BDB"/>
    <w:rsid w:val="009D6086"/>
    <w:rsid w:val="009D6286"/>
    <w:rsid w:val="009D6521"/>
    <w:rsid w:val="009D69E1"/>
    <w:rsid w:val="009D6B44"/>
    <w:rsid w:val="009D6BFC"/>
    <w:rsid w:val="009D6F4D"/>
    <w:rsid w:val="009D75A5"/>
    <w:rsid w:val="009D767A"/>
    <w:rsid w:val="009D774E"/>
    <w:rsid w:val="009D7974"/>
    <w:rsid w:val="009D7B8C"/>
    <w:rsid w:val="009D7D87"/>
    <w:rsid w:val="009E0060"/>
    <w:rsid w:val="009E013B"/>
    <w:rsid w:val="009E020C"/>
    <w:rsid w:val="009E0415"/>
    <w:rsid w:val="009E04C4"/>
    <w:rsid w:val="009E0630"/>
    <w:rsid w:val="009E0892"/>
    <w:rsid w:val="009E0A4B"/>
    <w:rsid w:val="009E0B1D"/>
    <w:rsid w:val="009E0C70"/>
    <w:rsid w:val="009E0C71"/>
    <w:rsid w:val="009E0D37"/>
    <w:rsid w:val="009E0DD9"/>
    <w:rsid w:val="009E1114"/>
    <w:rsid w:val="009E139F"/>
    <w:rsid w:val="009E1438"/>
    <w:rsid w:val="009E1690"/>
    <w:rsid w:val="009E1736"/>
    <w:rsid w:val="009E17EA"/>
    <w:rsid w:val="009E1806"/>
    <w:rsid w:val="009E1865"/>
    <w:rsid w:val="009E18D9"/>
    <w:rsid w:val="009E1931"/>
    <w:rsid w:val="009E1999"/>
    <w:rsid w:val="009E199E"/>
    <w:rsid w:val="009E1AA3"/>
    <w:rsid w:val="009E1AB6"/>
    <w:rsid w:val="009E1B2F"/>
    <w:rsid w:val="009E1D84"/>
    <w:rsid w:val="009E1DD5"/>
    <w:rsid w:val="009E1F05"/>
    <w:rsid w:val="009E1F71"/>
    <w:rsid w:val="009E220E"/>
    <w:rsid w:val="009E23D7"/>
    <w:rsid w:val="009E2591"/>
    <w:rsid w:val="009E2592"/>
    <w:rsid w:val="009E25F8"/>
    <w:rsid w:val="009E2673"/>
    <w:rsid w:val="009E2777"/>
    <w:rsid w:val="009E278E"/>
    <w:rsid w:val="009E28C0"/>
    <w:rsid w:val="009E28E2"/>
    <w:rsid w:val="009E2937"/>
    <w:rsid w:val="009E2A23"/>
    <w:rsid w:val="009E2ABE"/>
    <w:rsid w:val="009E2BC8"/>
    <w:rsid w:val="009E2D91"/>
    <w:rsid w:val="009E2DE2"/>
    <w:rsid w:val="009E2E20"/>
    <w:rsid w:val="009E2E98"/>
    <w:rsid w:val="009E2FDB"/>
    <w:rsid w:val="009E312B"/>
    <w:rsid w:val="009E319B"/>
    <w:rsid w:val="009E31E0"/>
    <w:rsid w:val="009E33E9"/>
    <w:rsid w:val="009E3406"/>
    <w:rsid w:val="009E345D"/>
    <w:rsid w:val="009E34C2"/>
    <w:rsid w:val="009E34E9"/>
    <w:rsid w:val="009E38BB"/>
    <w:rsid w:val="009E3979"/>
    <w:rsid w:val="009E3A39"/>
    <w:rsid w:val="009E3B1D"/>
    <w:rsid w:val="009E3B65"/>
    <w:rsid w:val="009E3E78"/>
    <w:rsid w:val="009E40F0"/>
    <w:rsid w:val="009E4334"/>
    <w:rsid w:val="009E47B2"/>
    <w:rsid w:val="009E4A27"/>
    <w:rsid w:val="009E5316"/>
    <w:rsid w:val="009E5438"/>
    <w:rsid w:val="009E55FF"/>
    <w:rsid w:val="009E5811"/>
    <w:rsid w:val="009E5850"/>
    <w:rsid w:val="009E5959"/>
    <w:rsid w:val="009E598A"/>
    <w:rsid w:val="009E5C38"/>
    <w:rsid w:val="009E5D1F"/>
    <w:rsid w:val="009E5FEF"/>
    <w:rsid w:val="009E6192"/>
    <w:rsid w:val="009E61BF"/>
    <w:rsid w:val="009E623C"/>
    <w:rsid w:val="009E62A7"/>
    <w:rsid w:val="009E63BA"/>
    <w:rsid w:val="009E64CD"/>
    <w:rsid w:val="009E6614"/>
    <w:rsid w:val="009E68BA"/>
    <w:rsid w:val="009E6916"/>
    <w:rsid w:val="009E6990"/>
    <w:rsid w:val="009E6C75"/>
    <w:rsid w:val="009E7342"/>
    <w:rsid w:val="009E744D"/>
    <w:rsid w:val="009E74F8"/>
    <w:rsid w:val="009E7540"/>
    <w:rsid w:val="009E78D6"/>
    <w:rsid w:val="009E79A4"/>
    <w:rsid w:val="009E7BAE"/>
    <w:rsid w:val="009E7BCD"/>
    <w:rsid w:val="009E7CA6"/>
    <w:rsid w:val="009F000D"/>
    <w:rsid w:val="009F008E"/>
    <w:rsid w:val="009F01F0"/>
    <w:rsid w:val="009F025C"/>
    <w:rsid w:val="009F0536"/>
    <w:rsid w:val="009F058A"/>
    <w:rsid w:val="009F0632"/>
    <w:rsid w:val="009F0763"/>
    <w:rsid w:val="009F07A8"/>
    <w:rsid w:val="009F07EB"/>
    <w:rsid w:val="009F08F2"/>
    <w:rsid w:val="009F0A8B"/>
    <w:rsid w:val="009F0C55"/>
    <w:rsid w:val="009F0E5F"/>
    <w:rsid w:val="009F11CC"/>
    <w:rsid w:val="009F1424"/>
    <w:rsid w:val="009F14C0"/>
    <w:rsid w:val="009F157E"/>
    <w:rsid w:val="009F1892"/>
    <w:rsid w:val="009F18B3"/>
    <w:rsid w:val="009F1914"/>
    <w:rsid w:val="009F1919"/>
    <w:rsid w:val="009F2072"/>
    <w:rsid w:val="009F2137"/>
    <w:rsid w:val="009F221C"/>
    <w:rsid w:val="009F23B9"/>
    <w:rsid w:val="009F244E"/>
    <w:rsid w:val="009F246C"/>
    <w:rsid w:val="009F256B"/>
    <w:rsid w:val="009F26B0"/>
    <w:rsid w:val="009F274B"/>
    <w:rsid w:val="009F29F9"/>
    <w:rsid w:val="009F2A9A"/>
    <w:rsid w:val="009F2AF7"/>
    <w:rsid w:val="009F2C88"/>
    <w:rsid w:val="009F2CBE"/>
    <w:rsid w:val="009F2D6E"/>
    <w:rsid w:val="009F2DF7"/>
    <w:rsid w:val="009F2ED9"/>
    <w:rsid w:val="009F311E"/>
    <w:rsid w:val="009F322C"/>
    <w:rsid w:val="009F3521"/>
    <w:rsid w:val="009F37C0"/>
    <w:rsid w:val="009F3875"/>
    <w:rsid w:val="009F3882"/>
    <w:rsid w:val="009F38DC"/>
    <w:rsid w:val="009F39B5"/>
    <w:rsid w:val="009F39C1"/>
    <w:rsid w:val="009F3A00"/>
    <w:rsid w:val="009F3F1F"/>
    <w:rsid w:val="009F4212"/>
    <w:rsid w:val="009F439B"/>
    <w:rsid w:val="009F442D"/>
    <w:rsid w:val="009F4CD4"/>
    <w:rsid w:val="009F4DB2"/>
    <w:rsid w:val="009F5A84"/>
    <w:rsid w:val="009F5C15"/>
    <w:rsid w:val="009F5C71"/>
    <w:rsid w:val="009F5D11"/>
    <w:rsid w:val="009F5DA7"/>
    <w:rsid w:val="009F5DE8"/>
    <w:rsid w:val="009F6350"/>
    <w:rsid w:val="009F64EA"/>
    <w:rsid w:val="009F658A"/>
    <w:rsid w:val="009F6752"/>
    <w:rsid w:val="009F67A1"/>
    <w:rsid w:val="009F6990"/>
    <w:rsid w:val="009F6BE0"/>
    <w:rsid w:val="009F6C72"/>
    <w:rsid w:val="009F6CA6"/>
    <w:rsid w:val="009F6DB8"/>
    <w:rsid w:val="009F7146"/>
    <w:rsid w:val="009F722C"/>
    <w:rsid w:val="009F770E"/>
    <w:rsid w:val="009F7766"/>
    <w:rsid w:val="009F7887"/>
    <w:rsid w:val="009F78E1"/>
    <w:rsid w:val="009F7BD1"/>
    <w:rsid w:val="009F7C35"/>
    <w:rsid w:val="00A000D7"/>
    <w:rsid w:val="00A000F8"/>
    <w:rsid w:val="00A0015B"/>
    <w:rsid w:val="00A00274"/>
    <w:rsid w:val="00A003E7"/>
    <w:rsid w:val="00A00685"/>
    <w:rsid w:val="00A00820"/>
    <w:rsid w:val="00A00909"/>
    <w:rsid w:val="00A0099A"/>
    <w:rsid w:val="00A009AE"/>
    <w:rsid w:val="00A009B0"/>
    <w:rsid w:val="00A00A9E"/>
    <w:rsid w:val="00A00AF4"/>
    <w:rsid w:val="00A00C48"/>
    <w:rsid w:val="00A00D26"/>
    <w:rsid w:val="00A00F10"/>
    <w:rsid w:val="00A00F74"/>
    <w:rsid w:val="00A01020"/>
    <w:rsid w:val="00A01234"/>
    <w:rsid w:val="00A0157D"/>
    <w:rsid w:val="00A01652"/>
    <w:rsid w:val="00A01753"/>
    <w:rsid w:val="00A019A5"/>
    <w:rsid w:val="00A01AE5"/>
    <w:rsid w:val="00A01B5C"/>
    <w:rsid w:val="00A01BBC"/>
    <w:rsid w:val="00A01CCD"/>
    <w:rsid w:val="00A01E6F"/>
    <w:rsid w:val="00A01FAD"/>
    <w:rsid w:val="00A022DC"/>
    <w:rsid w:val="00A02398"/>
    <w:rsid w:val="00A023E8"/>
    <w:rsid w:val="00A02BEB"/>
    <w:rsid w:val="00A02C05"/>
    <w:rsid w:val="00A02D92"/>
    <w:rsid w:val="00A02DA8"/>
    <w:rsid w:val="00A0301C"/>
    <w:rsid w:val="00A03280"/>
    <w:rsid w:val="00A03535"/>
    <w:rsid w:val="00A03659"/>
    <w:rsid w:val="00A03691"/>
    <w:rsid w:val="00A036DC"/>
    <w:rsid w:val="00A0378F"/>
    <w:rsid w:val="00A03C5F"/>
    <w:rsid w:val="00A03CFA"/>
    <w:rsid w:val="00A03DAD"/>
    <w:rsid w:val="00A03F98"/>
    <w:rsid w:val="00A040DA"/>
    <w:rsid w:val="00A04113"/>
    <w:rsid w:val="00A043CF"/>
    <w:rsid w:val="00A04415"/>
    <w:rsid w:val="00A04638"/>
    <w:rsid w:val="00A046A4"/>
    <w:rsid w:val="00A046E4"/>
    <w:rsid w:val="00A0472C"/>
    <w:rsid w:val="00A04871"/>
    <w:rsid w:val="00A04D38"/>
    <w:rsid w:val="00A04F41"/>
    <w:rsid w:val="00A05013"/>
    <w:rsid w:val="00A053D9"/>
    <w:rsid w:val="00A05847"/>
    <w:rsid w:val="00A058F0"/>
    <w:rsid w:val="00A05944"/>
    <w:rsid w:val="00A05A32"/>
    <w:rsid w:val="00A05C9E"/>
    <w:rsid w:val="00A05DBF"/>
    <w:rsid w:val="00A05FA2"/>
    <w:rsid w:val="00A05FE6"/>
    <w:rsid w:val="00A0639A"/>
    <w:rsid w:val="00A06407"/>
    <w:rsid w:val="00A06581"/>
    <w:rsid w:val="00A06794"/>
    <w:rsid w:val="00A0679B"/>
    <w:rsid w:val="00A067BD"/>
    <w:rsid w:val="00A068EB"/>
    <w:rsid w:val="00A06D17"/>
    <w:rsid w:val="00A06D75"/>
    <w:rsid w:val="00A06E1D"/>
    <w:rsid w:val="00A06E23"/>
    <w:rsid w:val="00A06E91"/>
    <w:rsid w:val="00A071C6"/>
    <w:rsid w:val="00A07633"/>
    <w:rsid w:val="00A0793D"/>
    <w:rsid w:val="00A07B43"/>
    <w:rsid w:val="00A07B47"/>
    <w:rsid w:val="00A07FE8"/>
    <w:rsid w:val="00A10680"/>
    <w:rsid w:val="00A10A7B"/>
    <w:rsid w:val="00A10AB7"/>
    <w:rsid w:val="00A10B9A"/>
    <w:rsid w:val="00A10C59"/>
    <w:rsid w:val="00A10E38"/>
    <w:rsid w:val="00A10ED6"/>
    <w:rsid w:val="00A10FEB"/>
    <w:rsid w:val="00A1115A"/>
    <w:rsid w:val="00A11173"/>
    <w:rsid w:val="00A114C7"/>
    <w:rsid w:val="00A11519"/>
    <w:rsid w:val="00A1157A"/>
    <w:rsid w:val="00A11595"/>
    <w:rsid w:val="00A116AE"/>
    <w:rsid w:val="00A117CC"/>
    <w:rsid w:val="00A11832"/>
    <w:rsid w:val="00A11892"/>
    <w:rsid w:val="00A118FF"/>
    <w:rsid w:val="00A11958"/>
    <w:rsid w:val="00A11BFC"/>
    <w:rsid w:val="00A11C1E"/>
    <w:rsid w:val="00A11EE7"/>
    <w:rsid w:val="00A123E9"/>
    <w:rsid w:val="00A12450"/>
    <w:rsid w:val="00A1256E"/>
    <w:rsid w:val="00A12A07"/>
    <w:rsid w:val="00A12A8F"/>
    <w:rsid w:val="00A12B95"/>
    <w:rsid w:val="00A12BC7"/>
    <w:rsid w:val="00A12BCB"/>
    <w:rsid w:val="00A12C79"/>
    <w:rsid w:val="00A12C9C"/>
    <w:rsid w:val="00A12E0E"/>
    <w:rsid w:val="00A12E99"/>
    <w:rsid w:val="00A12EB1"/>
    <w:rsid w:val="00A12F0E"/>
    <w:rsid w:val="00A12FFF"/>
    <w:rsid w:val="00A13032"/>
    <w:rsid w:val="00A1303E"/>
    <w:rsid w:val="00A130A6"/>
    <w:rsid w:val="00A13187"/>
    <w:rsid w:val="00A136DF"/>
    <w:rsid w:val="00A1371C"/>
    <w:rsid w:val="00A137D6"/>
    <w:rsid w:val="00A137E4"/>
    <w:rsid w:val="00A13909"/>
    <w:rsid w:val="00A13AA0"/>
    <w:rsid w:val="00A13AA2"/>
    <w:rsid w:val="00A13C10"/>
    <w:rsid w:val="00A13D2C"/>
    <w:rsid w:val="00A13F5C"/>
    <w:rsid w:val="00A13F94"/>
    <w:rsid w:val="00A13FAB"/>
    <w:rsid w:val="00A140DD"/>
    <w:rsid w:val="00A14469"/>
    <w:rsid w:val="00A145D0"/>
    <w:rsid w:val="00A145EB"/>
    <w:rsid w:val="00A146EA"/>
    <w:rsid w:val="00A14790"/>
    <w:rsid w:val="00A148A7"/>
    <w:rsid w:val="00A14C16"/>
    <w:rsid w:val="00A14C35"/>
    <w:rsid w:val="00A14C9B"/>
    <w:rsid w:val="00A14CFC"/>
    <w:rsid w:val="00A14DD0"/>
    <w:rsid w:val="00A150E2"/>
    <w:rsid w:val="00A151AF"/>
    <w:rsid w:val="00A153C0"/>
    <w:rsid w:val="00A15423"/>
    <w:rsid w:val="00A15439"/>
    <w:rsid w:val="00A1550A"/>
    <w:rsid w:val="00A15605"/>
    <w:rsid w:val="00A1578E"/>
    <w:rsid w:val="00A15819"/>
    <w:rsid w:val="00A1596B"/>
    <w:rsid w:val="00A15B2D"/>
    <w:rsid w:val="00A15CB0"/>
    <w:rsid w:val="00A15D39"/>
    <w:rsid w:val="00A15F7E"/>
    <w:rsid w:val="00A16044"/>
    <w:rsid w:val="00A16364"/>
    <w:rsid w:val="00A1640E"/>
    <w:rsid w:val="00A16528"/>
    <w:rsid w:val="00A16657"/>
    <w:rsid w:val="00A16676"/>
    <w:rsid w:val="00A16680"/>
    <w:rsid w:val="00A16780"/>
    <w:rsid w:val="00A168B2"/>
    <w:rsid w:val="00A16A1E"/>
    <w:rsid w:val="00A16A52"/>
    <w:rsid w:val="00A16C07"/>
    <w:rsid w:val="00A16F25"/>
    <w:rsid w:val="00A1707F"/>
    <w:rsid w:val="00A171CF"/>
    <w:rsid w:val="00A17280"/>
    <w:rsid w:val="00A173DC"/>
    <w:rsid w:val="00A17575"/>
    <w:rsid w:val="00A17675"/>
    <w:rsid w:val="00A176E9"/>
    <w:rsid w:val="00A17B9B"/>
    <w:rsid w:val="00A17C2F"/>
    <w:rsid w:val="00A17CF3"/>
    <w:rsid w:val="00A17EF4"/>
    <w:rsid w:val="00A2008D"/>
    <w:rsid w:val="00A20100"/>
    <w:rsid w:val="00A20789"/>
    <w:rsid w:val="00A20796"/>
    <w:rsid w:val="00A20830"/>
    <w:rsid w:val="00A2083B"/>
    <w:rsid w:val="00A20A17"/>
    <w:rsid w:val="00A20A8B"/>
    <w:rsid w:val="00A20BEB"/>
    <w:rsid w:val="00A20BF5"/>
    <w:rsid w:val="00A20BFD"/>
    <w:rsid w:val="00A20D20"/>
    <w:rsid w:val="00A21122"/>
    <w:rsid w:val="00A211A7"/>
    <w:rsid w:val="00A211BA"/>
    <w:rsid w:val="00A211F1"/>
    <w:rsid w:val="00A21271"/>
    <w:rsid w:val="00A21490"/>
    <w:rsid w:val="00A21585"/>
    <w:rsid w:val="00A2164D"/>
    <w:rsid w:val="00A219DE"/>
    <w:rsid w:val="00A21CBC"/>
    <w:rsid w:val="00A21E60"/>
    <w:rsid w:val="00A220AD"/>
    <w:rsid w:val="00A2215E"/>
    <w:rsid w:val="00A22189"/>
    <w:rsid w:val="00A221E9"/>
    <w:rsid w:val="00A222C8"/>
    <w:rsid w:val="00A2240F"/>
    <w:rsid w:val="00A22515"/>
    <w:rsid w:val="00A2274D"/>
    <w:rsid w:val="00A22792"/>
    <w:rsid w:val="00A22850"/>
    <w:rsid w:val="00A22942"/>
    <w:rsid w:val="00A22A5E"/>
    <w:rsid w:val="00A22B79"/>
    <w:rsid w:val="00A22C78"/>
    <w:rsid w:val="00A22C8D"/>
    <w:rsid w:val="00A22D3B"/>
    <w:rsid w:val="00A22DF8"/>
    <w:rsid w:val="00A22F7A"/>
    <w:rsid w:val="00A23043"/>
    <w:rsid w:val="00A23178"/>
    <w:rsid w:val="00A23409"/>
    <w:rsid w:val="00A23472"/>
    <w:rsid w:val="00A235FC"/>
    <w:rsid w:val="00A236B6"/>
    <w:rsid w:val="00A236DC"/>
    <w:rsid w:val="00A2391D"/>
    <w:rsid w:val="00A23E30"/>
    <w:rsid w:val="00A23F13"/>
    <w:rsid w:val="00A23F8C"/>
    <w:rsid w:val="00A2410D"/>
    <w:rsid w:val="00A24167"/>
    <w:rsid w:val="00A242A6"/>
    <w:rsid w:val="00A24461"/>
    <w:rsid w:val="00A24587"/>
    <w:rsid w:val="00A2480C"/>
    <w:rsid w:val="00A24898"/>
    <w:rsid w:val="00A248B5"/>
    <w:rsid w:val="00A24989"/>
    <w:rsid w:val="00A24BCF"/>
    <w:rsid w:val="00A24CAA"/>
    <w:rsid w:val="00A24F3A"/>
    <w:rsid w:val="00A25251"/>
    <w:rsid w:val="00A2559D"/>
    <w:rsid w:val="00A256A1"/>
    <w:rsid w:val="00A256C8"/>
    <w:rsid w:val="00A25738"/>
    <w:rsid w:val="00A25900"/>
    <w:rsid w:val="00A25A9E"/>
    <w:rsid w:val="00A25D38"/>
    <w:rsid w:val="00A25DD0"/>
    <w:rsid w:val="00A25DDD"/>
    <w:rsid w:val="00A25E48"/>
    <w:rsid w:val="00A25EB9"/>
    <w:rsid w:val="00A25F1E"/>
    <w:rsid w:val="00A260B2"/>
    <w:rsid w:val="00A262A3"/>
    <w:rsid w:val="00A26374"/>
    <w:rsid w:val="00A2640A"/>
    <w:rsid w:val="00A2643B"/>
    <w:rsid w:val="00A265DC"/>
    <w:rsid w:val="00A2661E"/>
    <w:rsid w:val="00A26B9E"/>
    <w:rsid w:val="00A26D14"/>
    <w:rsid w:val="00A26DD2"/>
    <w:rsid w:val="00A27007"/>
    <w:rsid w:val="00A27190"/>
    <w:rsid w:val="00A271AF"/>
    <w:rsid w:val="00A27377"/>
    <w:rsid w:val="00A274BF"/>
    <w:rsid w:val="00A276B4"/>
    <w:rsid w:val="00A276FC"/>
    <w:rsid w:val="00A277C1"/>
    <w:rsid w:val="00A2788E"/>
    <w:rsid w:val="00A27AAA"/>
    <w:rsid w:val="00A27AF3"/>
    <w:rsid w:val="00A27B2B"/>
    <w:rsid w:val="00A27D11"/>
    <w:rsid w:val="00A27D36"/>
    <w:rsid w:val="00A30052"/>
    <w:rsid w:val="00A30539"/>
    <w:rsid w:val="00A309D4"/>
    <w:rsid w:val="00A30B7F"/>
    <w:rsid w:val="00A30F6E"/>
    <w:rsid w:val="00A30FCE"/>
    <w:rsid w:val="00A31213"/>
    <w:rsid w:val="00A312EF"/>
    <w:rsid w:val="00A31346"/>
    <w:rsid w:val="00A313A8"/>
    <w:rsid w:val="00A314A9"/>
    <w:rsid w:val="00A3160B"/>
    <w:rsid w:val="00A316E0"/>
    <w:rsid w:val="00A31928"/>
    <w:rsid w:val="00A3193A"/>
    <w:rsid w:val="00A31A8C"/>
    <w:rsid w:val="00A31BCE"/>
    <w:rsid w:val="00A31BFB"/>
    <w:rsid w:val="00A31D76"/>
    <w:rsid w:val="00A32098"/>
    <w:rsid w:val="00A321AF"/>
    <w:rsid w:val="00A321E3"/>
    <w:rsid w:val="00A322B9"/>
    <w:rsid w:val="00A3231E"/>
    <w:rsid w:val="00A3290F"/>
    <w:rsid w:val="00A3294B"/>
    <w:rsid w:val="00A329F5"/>
    <w:rsid w:val="00A32CDD"/>
    <w:rsid w:val="00A32D09"/>
    <w:rsid w:val="00A32E37"/>
    <w:rsid w:val="00A32E5F"/>
    <w:rsid w:val="00A32EA6"/>
    <w:rsid w:val="00A32F5A"/>
    <w:rsid w:val="00A32FFE"/>
    <w:rsid w:val="00A330F4"/>
    <w:rsid w:val="00A33194"/>
    <w:rsid w:val="00A3319F"/>
    <w:rsid w:val="00A331BC"/>
    <w:rsid w:val="00A33230"/>
    <w:rsid w:val="00A337AF"/>
    <w:rsid w:val="00A33AB6"/>
    <w:rsid w:val="00A33C03"/>
    <w:rsid w:val="00A33C96"/>
    <w:rsid w:val="00A33F12"/>
    <w:rsid w:val="00A34011"/>
    <w:rsid w:val="00A34074"/>
    <w:rsid w:val="00A34427"/>
    <w:rsid w:val="00A34501"/>
    <w:rsid w:val="00A345C8"/>
    <w:rsid w:val="00A349D9"/>
    <w:rsid w:val="00A34A5F"/>
    <w:rsid w:val="00A34B58"/>
    <w:rsid w:val="00A34BA8"/>
    <w:rsid w:val="00A34BB3"/>
    <w:rsid w:val="00A34C9B"/>
    <w:rsid w:val="00A34DA8"/>
    <w:rsid w:val="00A34E1B"/>
    <w:rsid w:val="00A35091"/>
    <w:rsid w:val="00A35166"/>
    <w:rsid w:val="00A35413"/>
    <w:rsid w:val="00A354D8"/>
    <w:rsid w:val="00A356CD"/>
    <w:rsid w:val="00A3585B"/>
    <w:rsid w:val="00A35B01"/>
    <w:rsid w:val="00A35C10"/>
    <w:rsid w:val="00A35D48"/>
    <w:rsid w:val="00A360EE"/>
    <w:rsid w:val="00A360FD"/>
    <w:rsid w:val="00A362B4"/>
    <w:rsid w:val="00A3637B"/>
    <w:rsid w:val="00A3660E"/>
    <w:rsid w:val="00A3667C"/>
    <w:rsid w:val="00A366B1"/>
    <w:rsid w:val="00A367FE"/>
    <w:rsid w:val="00A369EB"/>
    <w:rsid w:val="00A36AAC"/>
    <w:rsid w:val="00A36C4A"/>
    <w:rsid w:val="00A36C62"/>
    <w:rsid w:val="00A36FFA"/>
    <w:rsid w:val="00A37041"/>
    <w:rsid w:val="00A37414"/>
    <w:rsid w:val="00A37507"/>
    <w:rsid w:val="00A377C9"/>
    <w:rsid w:val="00A37925"/>
    <w:rsid w:val="00A37BE6"/>
    <w:rsid w:val="00A37C05"/>
    <w:rsid w:val="00A37F4E"/>
    <w:rsid w:val="00A37F84"/>
    <w:rsid w:val="00A40096"/>
    <w:rsid w:val="00A40178"/>
    <w:rsid w:val="00A4023E"/>
    <w:rsid w:val="00A4025B"/>
    <w:rsid w:val="00A402F2"/>
    <w:rsid w:val="00A40878"/>
    <w:rsid w:val="00A409C6"/>
    <w:rsid w:val="00A40A50"/>
    <w:rsid w:val="00A40BE2"/>
    <w:rsid w:val="00A40D47"/>
    <w:rsid w:val="00A40DFC"/>
    <w:rsid w:val="00A40E29"/>
    <w:rsid w:val="00A40EA0"/>
    <w:rsid w:val="00A40EC5"/>
    <w:rsid w:val="00A40FB1"/>
    <w:rsid w:val="00A40FFA"/>
    <w:rsid w:val="00A412F4"/>
    <w:rsid w:val="00A41324"/>
    <w:rsid w:val="00A4133D"/>
    <w:rsid w:val="00A41380"/>
    <w:rsid w:val="00A41681"/>
    <w:rsid w:val="00A416EC"/>
    <w:rsid w:val="00A4179B"/>
    <w:rsid w:val="00A418C2"/>
    <w:rsid w:val="00A41901"/>
    <w:rsid w:val="00A4192E"/>
    <w:rsid w:val="00A41AEC"/>
    <w:rsid w:val="00A41DE1"/>
    <w:rsid w:val="00A41EFB"/>
    <w:rsid w:val="00A41FC4"/>
    <w:rsid w:val="00A422CC"/>
    <w:rsid w:val="00A42471"/>
    <w:rsid w:val="00A4254D"/>
    <w:rsid w:val="00A426BE"/>
    <w:rsid w:val="00A42879"/>
    <w:rsid w:val="00A4292F"/>
    <w:rsid w:val="00A42B36"/>
    <w:rsid w:val="00A42D6E"/>
    <w:rsid w:val="00A42EBC"/>
    <w:rsid w:val="00A42EC3"/>
    <w:rsid w:val="00A42F35"/>
    <w:rsid w:val="00A432FA"/>
    <w:rsid w:val="00A4361E"/>
    <w:rsid w:val="00A438D2"/>
    <w:rsid w:val="00A43C87"/>
    <w:rsid w:val="00A43D39"/>
    <w:rsid w:val="00A43DEC"/>
    <w:rsid w:val="00A43DFB"/>
    <w:rsid w:val="00A440BC"/>
    <w:rsid w:val="00A442B2"/>
    <w:rsid w:val="00A44306"/>
    <w:rsid w:val="00A443E1"/>
    <w:rsid w:val="00A4464E"/>
    <w:rsid w:val="00A44694"/>
    <w:rsid w:val="00A449BE"/>
    <w:rsid w:val="00A44A91"/>
    <w:rsid w:val="00A44B07"/>
    <w:rsid w:val="00A44CA8"/>
    <w:rsid w:val="00A44F00"/>
    <w:rsid w:val="00A44F57"/>
    <w:rsid w:val="00A45054"/>
    <w:rsid w:val="00A45202"/>
    <w:rsid w:val="00A4532B"/>
    <w:rsid w:val="00A4533B"/>
    <w:rsid w:val="00A4565C"/>
    <w:rsid w:val="00A458BD"/>
    <w:rsid w:val="00A45A22"/>
    <w:rsid w:val="00A45CE6"/>
    <w:rsid w:val="00A45CE8"/>
    <w:rsid w:val="00A45EA9"/>
    <w:rsid w:val="00A45ECE"/>
    <w:rsid w:val="00A461B6"/>
    <w:rsid w:val="00A461CE"/>
    <w:rsid w:val="00A46230"/>
    <w:rsid w:val="00A46612"/>
    <w:rsid w:val="00A46665"/>
    <w:rsid w:val="00A467E1"/>
    <w:rsid w:val="00A46B81"/>
    <w:rsid w:val="00A46CE0"/>
    <w:rsid w:val="00A46D8A"/>
    <w:rsid w:val="00A46D8D"/>
    <w:rsid w:val="00A470C2"/>
    <w:rsid w:val="00A47172"/>
    <w:rsid w:val="00A47420"/>
    <w:rsid w:val="00A47468"/>
    <w:rsid w:val="00A475D7"/>
    <w:rsid w:val="00A476A7"/>
    <w:rsid w:val="00A47761"/>
    <w:rsid w:val="00A47775"/>
    <w:rsid w:val="00A477CA"/>
    <w:rsid w:val="00A4784C"/>
    <w:rsid w:val="00A47934"/>
    <w:rsid w:val="00A4798C"/>
    <w:rsid w:val="00A479D2"/>
    <w:rsid w:val="00A47B02"/>
    <w:rsid w:val="00A47BA6"/>
    <w:rsid w:val="00A47DA6"/>
    <w:rsid w:val="00A47FD0"/>
    <w:rsid w:val="00A50074"/>
    <w:rsid w:val="00A50215"/>
    <w:rsid w:val="00A50246"/>
    <w:rsid w:val="00A5036B"/>
    <w:rsid w:val="00A503C5"/>
    <w:rsid w:val="00A504BB"/>
    <w:rsid w:val="00A5055D"/>
    <w:rsid w:val="00A5065C"/>
    <w:rsid w:val="00A508BA"/>
    <w:rsid w:val="00A50968"/>
    <w:rsid w:val="00A50AD6"/>
    <w:rsid w:val="00A50BEC"/>
    <w:rsid w:val="00A50E9F"/>
    <w:rsid w:val="00A50EC4"/>
    <w:rsid w:val="00A50F00"/>
    <w:rsid w:val="00A50F20"/>
    <w:rsid w:val="00A51007"/>
    <w:rsid w:val="00A51151"/>
    <w:rsid w:val="00A5134C"/>
    <w:rsid w:val="00A51384"/>
    <w:rsid w:val="00A514CB"/>
    <w:rsid w:val="00A516C4"/>
    <w:rsid w:val="00A516CC"/>
    <w:rsid w:val="00A5177A"/>
    <w:rsid w:val="00A51B1A"/>
    <w:rsid w:val="00A52118"/>
    <w:rsid w:val="00A5216B"/>
    <w:rsid w:val="00A523D4"/>
    <w:rsid w:val="00A5242B"/>
    <w:rsid w:val="00A52962"/>
    <w:rsid w:val="00A52B11"/>
    <w:rsid w:val="00A52CC1"/>
    <w:rsid w:val="00A52D44"/>
    <w:rsid w:val="00A52D47"/>
    <w:rsid w:val="00A5350C"/>
    <w:rsid w:val="00A53A1E"/>
    <w:rsid w:val="00A53B25"/>
    <w:rsid w:val="00A53D6A"/>
    <w:rsid w:val="00A53DFC"/>
    <w:rsid w:val="00A53F81"/>
    <w:rsid w:val="00A541E0"/>
    <w:rsid w:val="00A542B5"/>
    <w:rsid w:val="00A542C7"/>
    <w:rsid w:val="00A54329"/>
    <w:rsid w:val="00A54359"/>
    <w:rsid w:val="00A543CF"/>
    <w:rsid w:val="00A544A8"/>
    <w:rsid w:val="00A545CE"/>
    <w:rsid w:val="00A54877"/>
    <w:rsid w:val="00A5493E"/>
    <w:rsid w:val="00A549C6"/>
    <w:rsid w:val="00A54B90"/>
    <w:rsid w:val="00A54E23"/>
    <w:rsid w:val="00A54E3A"/>
    <w:rsid w:val="00A54E44"/>
    <w:rsid w:val="00A54EE3"/>
    <w:rsid w:val="00A5548A"/>
    <w:rsid w:val="00A55495"/>
    <w:rsid w:val="00A55497"/>
    <w:rsid w:val="00A557DF"/>
    <w:rsid w:val="00A55834"/>
    <w:rsid w:val="00A5590D"/>
    <w:rsid w:val="00A5596F"/>
    <w:rsid w:val="00A55978"/>
    <w:rsid w:val="00A559C5"/>
    <w:rsid w:val="00A55A36"/>
    <w:rsid w:val="00A55A92"/>
    <w:rsid w:val="00A55B8B"/>
    <w:rsid w:val="00A55C14"/>
    <w:rsid w:val="00A55C9F"/>
    <w:rsid w:val="00A55E1E"/>
    <w:rsid w:val="00A55EE0"/>
    <w:rsid w:val="00A56067"/>
    <w:rsid w:val="00A56293"/>
    <w:rsid w:val="00A5650C"/>
    <w:rsid w:val="00A569FF"/>
    <w:rsid w:val="00A56AED"/>
    <w:rsid w:val="00A56BB2"/>
    <w:rsid w:val="00A56E80"/>
    <w:rsid w:val="00A56EEF"/>
    <w:rsid w:val="00A56FA6"/>
    <w:rsid w:val="00A5743C"/>
    <w:rsid w:val="00A574E5"/>
    <w:rsid w:val="00A5789C"/>
    <w:rsid w:val="00A57F6C"/>
    <w:rsid w:val="00A600D7"/>
    <w:rsid w:val="00A60179"/>
    <w:rsid w:val="00A60216"/>
    <w:rsid w:val="00A60229"/>
    <w:rsid w:val="00A6024B"/>
    <w:rsid w:val="00A60311"/>
    <w:rsid w:val="00A606B1"/>
    <w:rsid w:val="00A6073F"/>
    <w:rsid w:val="00A60A32"/>
    <w:rsid w:val="00A60B2E"/>
    <w:rsid w:val="00A60C14"/>
    <w:rsid w:val="00A60C4E"/>
    <w:rsid w:val="00A60DF0"/>
    <w:rsid w:val="00A60E89"/>
    <w:rsid w:val="00A60F3D"/>
    <w:rsid w:val="00A60F7A"/>
    <w:rsid w:val="00A60FEB"/>
    <w:rsid w:val="00A61041"/>
    <w:rsid w:val="00A61110"/>
    <w:rsid w:val="00A61186"/>
    <w:rsid w:val="00A61248"/>
    <w:rsid w:val="00A61317"/>
    <w:rsid w:val="00A6154A"/>
    <w:rsid w:val="00A616FF"/>
    <w:rsid w:val="00A61744"/>
    <w:rsid w:val="00A617D5"/>
    <w:rsid w:val="00A61D53"/>
    <w:rsid w:val="00A61FBA"/>
    <w:rsid w:val="00A62018"/>
    <w:rsid w:val="00A62187"/>
    <w:rsid w:val="00A624E4"/>
    <w:rsid w:val="00A6261A"/>
    <w:rsid w:val="00A62784"/>
    <w:rsid w:val="00A62A43"/>
    <w:rsid w:val="00A62A6E"/>
    <w:rsid w:val="00A62C62"/>
    <w:rsid w:val="00A62EC1"/>
    <w:rsid w:val="00A6320C"/>
    <w:rsid w:val="00A63258"/>
    <w:rsid w:val="00A633D8"/>
    <w:rsid w:val="00A6368A"/>
    <w:rsid w:val="00A63880"/>
    <w:rsid w:val="00A63989"/>
    <w:rsid w:val="00A63A20"/>
    <w:rsid w:val="00A63AE4"/>
    <w:rsid w:val="00A63BB9"/>
    <w:rsid w:val="00A63D73"/>
    <w:rsid w:val="00A63E50"/>
    <w:rsid w:val="00A63F91"/>
    <w:rsid w:val="00A64030"/>
    <w:rsid w:val="00A6404C"/>
    <w:rsid w:val="00A64202"/>
    <w:rsid w:val="00A64254"/>
    <w:rsid w:val="00A643F4"/>
    <w:rsid w:val="00A644E9"/>
    <w:rsid w:val="00A6458B"/>
    <w:rsid w:val="00A64725"/>
    <w:rsid w:val="00A64788"/>
    <w:rsid w:val="00A647B3"/>
    <w:rsid w:val="00A64838"/>
    <w:rsid w:val="00A64A1E"/>
    <w:rsid w:val="00A64A45"/>
    <w:rsid w:val="00A64A8A"/>
    <w:rsid w:val="00A64C0D"/>
    <w:rsid w:val="00A65024"/>
    <w:rsid w:val="00A65086"/>
    <w:rsid w:val="00A65231"/>
    <w:rsid w:val="00A65271"/>
    <w:rsid w:val="00A654F7"/>
    <w:rsid w:val="00A655F6"/>
    <w:rsid w:val="00A6572B"/>
    <w:rsid w:val="00A658B3"/>
    <w:rsid w:val="00A6594D"/>
    <w:rsid w:val="00A65A26"/>
    <w:rsid w:val="00A65B9E"/>
    <w:rsid w:val="00A65C14"/>
    <w:rsid w:val="00A65F89"/>
    <w:rsid w:val="00A65FCF"/>
    <w:rsid w:val="00A66058"/>
    <w:rsid w:val="00A661DF"/>
    <w:rsid w:val="00A66284"/>
    <w:rsid w:val="00A66425"/>
    <w:rsid w:val="00A665B0"/>
    <w:rsid w:val="00A6673F"/>
    <w:rsid w:val="00A66784"/>
    <w:rsid w:val="00A668D4"/>
    <w:rsid w:val="00A668D7"/>
    <w:rsid w:val="00A66A8C"/>
    <w:rsid w:val="00A66AE9"/>
    <w:rsid w:val="00A66F4A"/>
    <w:rsid w:val="00A66FB2"/>
    <w:rsid w:val="00A67000"/>
    <w:rsid w:val="00A67144"/>
    <w:rsid w:val="00A671A6"/>
    <w:rsid w:val="00A672F6"/>
    <w:rsid w:val="00A674F0"/>
    <w:rsid w:val="00A677B7"/>
    <w:rsid w:val="00A677D4"/>
    <w:rsid w:val="00A67912"/>
    <w:rsid w:val="00A67A6B"/>
    <w:rsid w:val="00A67BAB"/>
    <w:rsid w:val="00A67CB3"/>
    <w:rsid w:val="00A67D80"/>
    <w:rsid w:val="00A67D86"/>
    <w:rsid w:val="00A67F59"/>
    <w:rsid w:val="00A67F8C"/>
    <w:rsid w:val="00A70287"/>
    <w:rsid w:val="00A70408"/>
    <w:rsid w:val="00A70449"/>
    <w:rsid w:val="00A70886"/>
    <w:rsid w:val="00A70C26"/>
    <w:rsid w:val="00A7101A"/>
    <w:rsid w:val="00A710BA"/>
    <w:rsid w:val="00A711CA"/>
    <w:rsid w:val="00A712A5"/>
    <w:rsid w:val="00A71444"/>
    <w:rsid w:val="00A71451"/>
    <w:rsid w:val="00A7152A"/>
    <w:rsid w:val="00A71540"/>
    <w:rsid w:val="00A7162B"/>
    <w:rsid w:val="00A7196C"/>
    <w:rsid w:val="00A71A86"/>
    <w:rsid w:val="00A71A88"/>
    <w:rsid w:val="00A71B68"/>
    <w:rsid w:val="00A71B7A"/>
    <w:rsid w:val="00A720A8"/>
    <w:rsid w:val="00A72215"/>
    <w:rsid w:val="00A72388"/>
    <w:rsid w:val="00A726EE"/>
    <w:rsid w:val="00A7276E"/>
    <w:rsid w:val="00A7283F"/>
    <w:rsid w:val="00A728A6"/>
    <w:rsid w:val="00A728B4"/>
    <w:rsid w:val="00A73105"/>
    <w:rsid w:val="00A7312B"/>
    <w:rsid w:val="00A73183"/>
    <w:rsid w:val="00A732F6"/>
    <w:rsid w:val="00A73330"/>
    <w:rsid w:val="00A733DB"/>
    <w:rsid w:val="00A734B6"/>
    <w:rsid w:val="00A73643"/>
    <w:rsid w:val="00A73720"/>
    <w:rsid w:val="00A737D5"/>
    <w:rsid w:val="00A73962"/>
    <w:rsid w:val="00A73A72"/>
    <w:rsid w:val="00A73FFE"/>
    <w:rsid w:val="00A74034"/>
    <w:rsid w:val="00A740BE"/>
    <w:rsid w:val="00A740CF"/>
    <w:rsid w:val="00A7418E"/>
    <w:rsid w:val="00A743C9"/>
    <w:rsid w:val="00A74540"/>
    <w:rsid w:val="00A745A1"/>
    <w:rsid w:val="00A74958"/>
    <w:rsid w:val="00A749CD"/>
    <w:rsid w:val="00A74CBF"/>
    <w:rsid w:val="00A750A0"/>
    <w:rsid w:val="00A75429"/>
    <w:rsid w:val="00A754A1"/>
    <w:rsid w:val="00A75649"/>
    <w:rsid w:val="00A75706"/>
    <w:rsid w:val="00A75716"/>
    <w:rsid w:val="00A7574F"/>
    <w:rsid w:val="00A75A97"/>
    <w:rsid w:val="00A75B07"/>
    <w:rsid w:val="00A75B40"/>
    <w:rsid w:val="00A75BE1"/>
    <w:rsid w:val="00A75CE4"/>
    <w:rsid w:val="00A75D08"/>
    <w:rsid w:val="00A75D3B"/>
    <w:rsid w:val="00A75F06"/>
    <w:rsid w:val="00A7608F"/>
    <w:rsid w:val="00A760B0"/>
    <w:rsid w:val="00A76207"/>
    <w:rsid w:val="00A762F2"/>
    <w:rsid w:val="00A7635F"/>
    <w:rsid w:val="00A76547"/>
    <w:rsid w:val="00A7656E"/>
    <w:rsid w:val="00A7678B"/>
    <w:rsid w:val="00A76817"/>
    <w:rsid w:val="00A76821"/>
    <w:rsid w:val="00A76A03"/>
    <w:rsid w:val="00A76AB5"/>
    <w:rsid w:val="00A76BB8"/>
    <w:rsid w:val="00A76D17"/>
    <w:rsid w:val="00A76E27"/>
    <w:rsid w:val="00A77104"/>
    <w:rsid w:val="00A7710C"/>
    <w:rsid w:val="00A771B0"/>
    <w:rsid w:val="00A772EB"/>
    <w:rsid w:val="00A77455"/>
    <w:rsid w:val="00A77612"/>
    <w:rsid w:val="00A77691"/>
    <w:rsid w:val="00A77748"/>
    <w:rsid w:val="00A778BD"/>
    <w:rsid w:val="00A7795A"/>
    <w:rsid w:val="00A77985"/>
    <w:rsid w:val="00A77A68"/>
    <w:rsid w:val="00A77C45"/>
    <w:rsid w:val="00A77E12"/>
    <w:rsid w:val="00A77E32"/>
    <w:rsid w:val="00A77EA6"/>
    <w:rsid w:val="00A77F9F"/>
    <w:rsid w:val="00A800D4"/>
    <w:rsid w:val="00A80202"/>
    <w:rsid w:val="00A80288"/>
    <w:rsid w:val="00A80327"/>
    <w:rsid w:val="00A803FC"/>
    <w:rsid w:val="00A804D0"/>
    <w:rsid w:val="00A8071C"/>
    <w:rsid w:val="00A807C1"/>
    <w:rsid w:val="00A80931"/>
    <w:rsid w:val="00A80BE5"/>
    <w:rsid w:val="00A80E8B"/>
    <w:rsid w:val="00A80EB0"/>
    <w:rsid w:val="00A80EFF"/>
    <w:rsid w:val="00A8102D"/>
    <w:rsid w:val="00A81141"/>
    <w:rsid w:val="00A811D1"/>
    <w:rsid w:val="00A815CE"/>
    <w:rsid w:val="00A8179C"/>
    <w:rsid w:val="00A81874"/>
    <w:rsid w:val="00A8196C"/>
    <w:rsid w:val="00A81B26"/>
    <w:rsid w:val="00A81B2B"/>
    <w:rsid w:val="00A81CB0"/>
    <w:rsid w:val="00A81E0F"/>
    <w:rsid w:val="00A81E58"/>
    <w:rsid w:val="00A81E9E"/>
    <w:rsid w:val="00A82074"/>
    <w:rsid w:val="00A822A8"/>
    <w:rsid w:val="00A8230A"/>
    <w:rsid w:val="00A82313"/>
    <w:rsid w:val="00A82325"/>
    <w:rsid w:val="00A824C0"/>
    <w:rsid w:val="00A82749"/>
    <w:rsid w:val="00A827B1"/>
    <w:rsid w:val="00A829F5"/>
    <w:rsid w:val="00A82B27"/>
    <w:rsid w:val="00A82BE3"/>
    <w:rsid w:val="00A82CD9"/>
    <w:rsid w:val="00A82D26"/>
    <w:rsid w:val="00A82D40"/>
    <w:rsid w:val="00A82D72"/>
    <w:rsid w:val="00A82F1A"/>
    <w:rsid w:val="00A82F6D"/>
    <w:rsid w:val="00A83310"/>
    <w:rsid w:val="00A833FF"/>
    <w:rsid w:val="00A83534"/>
    <w:rsid w:val="00A835F0"/>
    <w:rsid w:val="00A83812"/>
    <w:rsid w:val="00A83ADF"/>
    <w:rsid w:val="00A83BFE"/>
    <w:rsid w:val="00A83C08"/>
    <w:rsid w:val="00A83CB5"/>
    <w:rsid w:val="00A83CE6"/>
    <w:rsid w:val="00A83CF2"/>
    <w:rsid w:val="00A83D56"/>
    <w:rsid w:val="00A83F4B"/>
    <w:rsid w:val="00A83F59"/>
    <w:rsid w:val="00A8402C"/>
    <w:rsid w:val="00A840BB"/>
    <w:rsid w:val="00A8428A"/>
    <w:rsid w:val="00A84302"/>
    <w:rsid w:val="00A84400"/>
    <w:rsid w:val="00A8448D"/>
    <w:rsid w:val="00A847C6"/>
    <w:rsid w:val="00A84AB2"/>
    <w:rsid w:val="00A84B3D"/>
    <w:rsid w:val="00A84E44"/>
    <w:rsid w:val="00A84F82"/>
    <w:rsid w:val="00A85424"/>
    <w:rsid w:val="00A8545D"/>
    <w:rsid w:val="00A8559A"/>
    <w:rsid w:val="00A85646"/>
    <w:rsid w:val="00A8575E"/>
    <w:rsid w:val="00A8579B"/>
    <w:rsid w:val="00A85A2A"/>
    <w:rsid w:val="00A85B16"/>
    <w:rsid w:val="00A860D3"/>
    <w:rsid w:val="00A86218"/>
    <w:rsid w:val="00A86250"/>
    <w:rsid w:val="00A86266"/>
    <w:rsid w:val="00A8650C"/>
    <w:rsid w:val="00A865EC"/>
    <w:rsid w:val="00A865F5"/>
    <w:rsid w:val="00A866E7"/>
    <w:rsid w:val="00A8693A"/>
    <w:rsid w:val="00A86C02"/>
    <w:rsid w:val="00A86CC9"/>
    <w:rsid w:val="00A86F26"/>
    <w:rsid w:val="00A87811"/>
    <w:rsid w:val="00A87C49"/>
    <w:rsid w:val="00A87E30"/>
    <w:rsid w:val="00A90200"/>
    <w:rsid w:val="00A903D9"/>
    <w:rsid w:val="00A903EE"/>
    <w:rsid w:val="00A90463"/>
    <w:rsid w:val="00A9047F"/>
    <w:rsid w:val="00A90610"/>
    <w:rsid w:val="00A90619"/>
    <w:rsid w:val="00A909CD"/>
    <w:rsid w:val="00A90AE9"/>
    <w:rsid w:val="00A90B5E"/>
    <w:rsid w:val="00A90DC9"/>
    <w:rsid w:val="00A910A3"/>
    <w:rsid w:val="00A91176"/>
    <w:rsid w:val="00A911B1"/>
    <w:rsid w:val="00A91232"/>
    <w:rsid w:val="00A91643"/>
    <w:rsid w:val="00A91785"/>
    <w:rsid w:val="00A91B2E"/>
    <w:rsid w:val="00A91D2C"/>
    <w:rsid w:val="00A91FA8"/>
    <w:rsid w:val="00A92141"/>
    <w:rsid w:val="00A921CF"/>
    <w:rsid w:val="00A92225"/>
    <w:rsid w:val="00A923A6"/>
    <w:rsid w:val="00A923EA"/>
    <w:rsid w:val="00A9241B"/>
    <w:rsid w:val="00A924A7"/>
    <w:rsid w:val="00A924CC"/>
    <w:rsid w:val="00A928FF"/>
    <w:rsid w:val="00A9294F"/>
    <w:rsid w:val="00A92AB7"/>
    <w:rsid w:val="00A92BDB"/>
    <w:rsid w:val="00A92D5C"/>
    <w:rsid w:val="00A92D6B"/>
    <w:rsid w:val="00A93056"/>
    <w:rsid w:val="00A93155"/>
    <w:rsid w:val="00A9336C"/>
    <w:rsid w:val="00A933C5"/>
    <w:rsid w:val="00A93460"/>
    <w:rsid w:val="00A936A0"/>
    <w:rsid w:val="00A937C1"/>
    <w:rsid w:val="00A937DD"/>
    <w:rsid w:val="00A9383C"/>
    <w:rsid w:val="00A93B14"/>
    <w:rsid w:val="00A93B33"/>
    <w:rsid w:val="00A93C3C"/>
    <w:rsid w:val="00A93CDB"/>
    <w:rsid w:val="00A93F66"/>
    <w:rsid w:val="00A940B7"/>
    <w:rsid w:val="00A9412E"/>
    <w:rsid w:val="00A94156"/>
    <w:rsid w:val="00A941A3"/>
    <w:rsid w:val="00A942A2"/>
    <w:rsid w:val="00A9440A"/>
    <w:rsid w:val="00A94583"/>
    <w:rsid w:val="00A946C0"/>
    <w:rsid w:val="00A94718"/>
    <w:rsid w:val="00A94755"/>
    <w:rsid w:val="00A947CE"/>
    <w:rsid w:val="00A94BEF"/>
    <w:rsid w:val="00A94C0C"/>
    <w:rsid w:val="00A94C66"/>
    <w:rsid w:val="00A94C92"/>
    <w:rsid w:val="00A94DA6"/>
    <w:rsid w:val="00A94E76"/>
    <w:rsid w:val="00A950B2"/>
    <w:rsid w:val="00A95122"/>
    <w:rsid w:val="00A951CC"/>
    <w:rsid w:val="00A9523A"/>
    <w:rsid w:val="00A95366"/>
    <w:rsid w:val="00A953F2"/>
    <w:rsid w:val="00A95477"/>
    <w:rsid w:val="00A95496"/>
    <w:rsid w:val="00A954D0"/>
    <w:rsid w:val="00A954D2"/>
    <w:rsid w:val="00A957FD"/>
    <w:rsid w:val="00A95ADB"/>
    <w:rsid w:val="00A95D41"/>
    <w:rsid w:val="00A95DB3"/>
    <w:rsid w:val="00A95E31"/>
    <w:rsid w:val="00A95FA2"/>
    <w:rsid w:val="00A9637B"/>
    <w:rsid w:val="00A964F7"/>
    <w:rsid w:val="00A96638"/>
    <w:rsid w:val="00A966F4"/>
    <w:rsid w:val="00A96842"/>
    <w:rsid w:val="00A96872"/>
    <w:rsid w:val="00A96BBA"/>
    <w:rsid w:val="00A96C13"/>
    <w:rsid w:val="00A96D24"/>
    <w:rsid w:val="00A96DC0"/>
    <w:rsid w:val="00A9722B"/>
    <w:rsid w:val="00A9737E"/>
    <w:rsid w:val="00A974F5"/>
    <w:rsid w:val="00A97545"/>
    <w:rsid w:val="00A9756B"/>
    <w:rsid w:val="00A976F7"/>
    <w:rsid w:val="00A97701"/>
    <w:rsid w:val="00A977A3"/>
    <w:rsid w:val="00A9790D"/>
    <w:rsid w:val="00A97A70"/>
    <w:rsid w:val="00A97B00"/>
    <w:rsid w:val="00A97B1E"/>
    <w:rsid w:val="00A97B22"/>
    <w:rsid w:val="00A97D37"/>
    <w:rsid w:val="00A97ED5"/>
    <w:rsid w:val="00AA00A3"/>
    <w:rsid w:val="00AA01A1"/>
    <w:rsid w:val="00AA02D2"/>
    <w:rsid w:val="00AA0459"/>
    <w:rsid w:val="00AA0469"/>
    <w:rsid w:val="00AA0571"/>
    <w:rsid w:val="00AA0987"/>
    <w:rsid w:val="00AA0D4A"/>
    <w:rsid w:val="00AA0F1F"/>
    <w:rsid w:val="00AA0F70"/>
    <w:rsid w:val="00AA1023"/>
    <w:rsid w:val="00AA136E"/>
    <w:rsid w:val="00AA153C"/>
    <w:rsid w:val="00AA1545"/>
    <w:rsid w:val="00AA1728"/>
    <w:rsid w:val="00AA1A6F"/>
    <w:rsid w:val="00AA1CAF"/>
    <w:rsid w:val="00AA1D18"/>
    <w:rsid w:val="00AA1DE0"/>
    <w:rsid w:val="00AA20B9"/>
    <w:rsid w:val="00AA2212"/>
    <w:rsid w:val="00AA2250"/>
    <w:rsid w:val="00AA2271"/>
    <w:rsid w:val="00AA22EF"/>
    <w:rsid w:val="00AA2619"/>
    <w:rsid w:val="00AA26B4"/>
    <w:rsid w:val="00AA276D"/>
    <w:rsid w:val="00AA299D"/>
    <w:rsid w:val="00AA2CE4"/>
    <w:rsid w:val="00AA2D74"/>
    <w:rsid w:val="00AA2E2E"/>
    <w:rsid w:val="00AA2E54"/>
    <w:rsid w:val="00AA30B8"/>
    <w:rsid w:val="00AA329F"/>
    <w:rsid w:val="00AA35D4"/>
    <w:rsid w:val="00AA37CC"/>
    <w:rsid w:val="00AA3B70"/>
    <w:rsid w:val="00AA3D7F"/>
    <w:rsid w:val="00AA3DF9"/>
    <w:rsid w:val="00AA4085"/>
    <w:rsid w:val="00AA4343"/>
    <w:rsid w:val="00AA4589"/>
    <w:rsid w:val="00AA4669"/>
    <w:rsid w:val="00AA46C0"/>
    <w:rsid w:val="00AA47CC"/>
    <w:rsid w:val="00AA4B07"/>
    <w:rsid w:val="00AA4B4E"/>
    <w:rsid w:val="00AA4C27"/>
    <w:rsid w:val="00AA4C40"/>
    <w:rsid w:val="00AA4E07"/>
    <w:rsid w:val="00AA4F1C"/>
    <w:rsid w:val="00AA508D"/>
    <w:rsid w:val="00AA519C"/>
    <w:rsid w:val="00AA51A3"/>
    <w:rsid w:val="00AA5234"/>
    <w:rsid w:val="00AA53A1"/>
    <w:rsid w:val="00AA550F"/>
    <w:rsid w:val="00AA563F"/>
    <w:rsid w:val="00AA59C4"/>
    <w:rsid w:val="00AA59F2"/>
    <w:rsid w:val="00AA5A74"/>
    <w:rsid w:val="00AA5BBF"/>
    <w:rsid w:val="00AA5C99"/>
    <w:rsid w:val="00AA603C"/>
    <w:rsid w:val="00AA61FB"/>
    <w:rsid w:val="00AA6280"/>
    <w:rsid w:val="00AA62AB"/>
    <w:rsid w:val="00AA62CC"/>
    <w:rsid w:val="00AA6550"/>
    <w:rsid w:val="00AA6609"/>
    <w:rsid w:val="00AA66C4"/>
    <w:rsid w:val="00AA6716"/>
    <w:rsid w:val="00AA6876"/>
    <w:rsid w:val="00AA6899"/>
    <w:rsid w:val="00AA68BD"/>
    <w:rsid w:val="00AA6BF4"/>
    <w:rsid w:val="00AA6C01"/>
    <w:rsid w:val="00AA70C8"/>
    <w:rsid w:val="00AA712A"/>
    <w:rsid w:val="00AA7151"/>
    <w:rsid w:val="00AA71D9"/>
    <w:rsid w:val="00AA7354"/>
    <w:rsid w:val="00AA769A"/>
    <w:rsid w:val="00AA76FB"/>
    <w:rsid w:val="00AA7852"/>
    <w:rsid w:val="00AA7A84"/>
    <w:rsid w:val="00AA7AE8"/>
    <w:rsid w:val="00AA7BE0"/>
    <w:rsid w:val="00AA7EFC"/>
    <w:rsid w:val="00AA7F71"/>
    <w:rsid w:val="00AB01D6"/>
    <w:rsid w:val="00AB0537"/>
    <w:rsid w:val="00AB069C"/>
    <w:rsid w:val="00AB0BB6"/>
    <w:rsid w:val="00AB0CD5"/>
    <w:rsid w:val="00AB0F4F"/>
    <w:rsid w:val="00AB106E"/>
    <w:rsid w:val="00AB1235"/>
    <w:rsid w:val="00AB1246"/>
    <w:rsid w:val="00AB143B"/>
    <w:rsid w:val="00AB151E"/>
    <w:rsid w:val="00AB154D"/>
    <w:rsid w:val="00AB15B3"/>
    <w:rsid w:val="00AB1634"/>
    <w:rsid w:val="00AB16C9"/>
    <w:rsid w:val="00AB1AC7"/>
    <w:rsid w:val="00AB1C1B"/>
    <w:rsid w:val="00AB1C69"/>
    <w:rsid w:val="00AB1F33"/>
    <w:rsid w:val="00AB1F3A"/>
    <w:rsid w:val="00AB21FE"/>
    <w:rsid w:val="00AB229E"/>
    <w:rsid w:val="00AB2351"/>
    <w:rsid w:val="00AB2455"/>
    <w:rsid w:val="00AB258D"/>
    <w:rsid w:val="00AB2611"/>
    <w:rsid w:val="00AB272A"/>
    <w:rsid w:val="00AB2A1E"/>
    <w:rsid w:val="00AB2A67"/>
    <w:rsid w:val="00AB2A7C"/>
    <w:rsid w:val="00AB2BAD"/>
    <w:rsid w:val="00AB2E07"/>
    <w:rsid w:val="00AB2E5C"/>
    <w:rsid w:val="00AB2EB1"/>
    <w:rsid w:val="00AB2F47"/>
    <w:rsid w:val="00AB30FC"/>
    <w:rsid w:val="00AB3191"/>
    <w:rsid w:val="00AB326C"/>
    <w:rsid w:val="00AB3314"/>
    <w:rsid w:val="00AB3359"/>
    <w:rsid w:val="00AB392D"/>
    <w:rsid w:val="00AB3B2D"/>
    <w:rsid w:val="00AB3B41"/>
    <w:rsid w:val="00AB3BAD"/>
    <w:rsid w:val="00AB3C6C"/>
    <w:rsid w:val="00AB3DB5"/>
    <w:rsid w:val="00AB3E6A"/>
    <w:rsid w:val="00AB3F1F"/>
    <w:rsid w:val="00AB401A"/>
    <w:rsid w:val="00AB4211"/>
    <w:rsid w:val="00AB4260"/>
    <w:rsid w:val="00AB496B"/>
    <w:rsid w:val="00AB4975"/>
    <w:rsid w:val="00AB4AE6"/>
    <w:rsid w:val="00AB4C8A"/>
    <w:rsid w:val="00AB4DD0"/>
    <w:rsid w:val="00AB4F84"/>
    <w:rsid w:val="00AB5047"/>
    <w:rsid w:val="00AB514D"/>
    <w:rsid w:val="00AB52B8"/>
    <w:rsid w:val="00AB5432"/>
    <w:rsid w:val="00AB54A9"/>
    <w:rsid w:val="00AB56C4"/>
    <w:rsid w:val="00AB58BA"/>
    <w:rsid w:val="00AB59BB"/>
    <w:rsid w:val="00AB62E0"/>
    <w:rsid w:val="00AB6469"/>
    <w:rsid w:val="00AB648A"/>
    <w:rsid w:val="00AB655C"/>
    <w:rsid w:val="00AB6704"/>
    <w:rsid w:val="00AB67FC"/>
    <w:rsid w:val="00AB681F"/>
    <w:rsid w:val="00AB6855"/>
    <w:rsid w:val="00AB693D"/>
    <w:rsid w:val="00AB6A4B"/>
    <w:rsid w:val="00AB6AD9"/>
    <w:rsid w:val="00AB6D71"/>
    <w:rsid w:val="00AB6F14"/>
    <w:rsid w:val="00AB7206"/>
    <w:rsid w:val="00AB745B"/>
    <w:rsid w:val="00AB7519"/>
    <w:rsid w:val="00AB75FC"/>
    <w:rsid w:val="00AB77FF"/>
    <w:rsid w:val="00AB7826"/>
    <w:rsid w:val="00AB794E"/>
    <w:rsid w:val="00AB7ADB"/>
    <w:rsid w:val="00AB7BCD"/>
    <w:rsid w:val="00AB7DA0"/>
    <w:rsid w:val="00AB7DCF"/>
    <w:rsid w:val="00AB7F4A"/>
    <w:rsid w:val="00AC0103"/>
    <w:rsid w:val="00AC03F5"/>
    <w:rsid w:val="00AC075B"/>
    <w:rsid w:val="00AC0799"/>
    <w:rsid w:val="00AC07E0"/>
    <w:rsid w:val="00AC0A26"/>
    <w:rsid w:val="00AC0A45"/>
    <w:rsid w:val="00AC0AB2"/>
    <w:rsid w:val="00AC0C2F"/>
    <w:rsid w:val="00AC0CA5"/>
    <w:rsid w:val="00AC0CCC"/>
    <w:rsid w:val="00AC0D6D"/>
    <w:rsid w:val="00AC0EE3"/>
    <w:rsid w:val="00AC0F2C"/>
    <w:rsid w:val="00AC0FC9"/>
    <w:rsid w:val="00AC12F7"/>
    <w:rsid w:val="00AC12FB"/>
    <w:rsid w:val="00AC15DE"/>
    <w:rsid w:val="00AC1860"/>
    <w:rsid w:val="00AC18D4"/>
    <w:rsid w:val="00AC1CBB"/>
    <w:rsid w:val="00AC1DB5"/>
    <w:rsid w:val="00AC1F56"/>
    <w:rsid w:val="00AC2072"/>
    <w:rsid w:val="00AC216F"/>
    <w:rsid w:val="00AC21F3"/>
    <w:rsid w:val="00AC28DA"/>
    <w:rsid w:val="00AC2983"/>
    <w:rsid w:val="00AC2A97"/>
    <w:rsid w:val="00AC2AFF"/>
    <w:rsid w:val="00AC2B98"/>
    <w:rsid w:val="00AC2DBE"/>
    <w:rsid w:val="00AC3120"/>
    <w:rsid w:val="00AC32F1"/>
    <w:rsid w:val="00AC3372"/>
    <w:rsid w:val="00AC33B9"/>
    <w:rsid w:val="00AC3515"/>
    <w:rsid w:val="00AC3603"/>
    <w:rsid w:val="00AC3787"/>
    <w:rsid w:val="00AC37FE"/>
    <w:rsid w:val="00AC388A"/>
    <w:rsid w:val="00AC3A31"/>
    <w:rsid w:val="00AC3BF1"/>
    <w:rsid w:val="00AC3E11"/>
    <w:rsid w:val="00AC3F2E"/>
    <w:rsid w:val="00AC3F80"/>
    <w:rsid w:val="00AC40B6"/>
    <w:rsid w:val="00AC4104"/>
    <w:rsid w:val="00AC41A2"/>
    <w:rsid w:val="00AC4227"/>
    <w:rsid w:val="00AC461C"/>
    <w:rsid w:val="00AC4853"/>
    <w:rsid w:val="00AC486C"/>
    <w:rsid w:val="00AC4987"/>
    <w:rsid w:val="00AC4CC7"/>
    <w:rsid w:val="00AC4F43"/>
    <w:rsid w:val="00AC4F82"/>
    <w:rsid w:val="00AC502B"/>
    <w:rsid w:val="00AC510B"/>
    <w:rsid w:val="00AC5207"/>
    <w:rsid w:val="00AC5350"/>
    <w:rsid w:val="00AC541D"/>
    <w:rsid w:val="00AC54C4"/>
    <w:rsid w:val="00AC5666"/>
    <w:rsid w:val="00AC566C"/>
    <w:rsid w:val="00AC5AC9"/>
    <w:rsid w:val="00AC5B29"/>
    <w:rsid w:val="00AC5B84"/>
    <w:rsid w:val="00AC5BE8"/>
    <w:rsid w:val="00AC5EDE"/>
    <w:rsid w:val="00AC61B8"/>
    <w:rsid w:val="00AC621C"/>
    <w:rsid w:val="00AC6328"/>
    <w:rsid w:val="00AC63D8"/>
    <w:rsid w:val="00AC64C0"/>
    <w:rsid w:val="00AC6625"/>
    <w:rsid w:val="00AC66C8"/>
    <w:rsid w:val="00AC6775"/>
    <w:rsid w:val="00AC68CC"/>
    <w:rsid w:val="00AC6FC6"/>
    <w:rsid w:val="00AC7044"/>
    <w:rsid w:val="00AC7068"/>
    <w:rsid w:val="00AC7331"/>
    <w:rsid w:val="00AC7427"/>
    <w:rsid w:val="00AC7596"/>
    <w:rsid w:val="00AC77F8"/>
    <w:rsid w:val="00AC791B"/>
    <w:rsid w:val="00AC7A5F"/>
    <w:rsid w:val="00AC7B43"/>
    <w:rsid w:val="00AC7CF5"/>
    <w:rsid w:val="00AC7F47"/>
    <w:rsid w:val="00AC7FAA"/>
    <w:rsid w:val="00AD0043"/>
    <w:rsid w:val="00AD007F"/>
    <w:rsid w:val="00AD028B"/>
    <w:rsid w:val="00AD02C5"/>
    <w:rsid w:val="00AD02E1"/>
    <w:rsid w:val="00AD0377"/>
    <w:rsid w:val="00AD04D0"/>
    <w:rsid w:val="00AD0646"/>
    <w:rsid w:val="00AD073A"/>
    <w:rsid w:val="00AD0751"/>
    <w:rsid w:val="00AD07D3"/>
    <w:rsid w:val="00AD0938"/>
    <w:rsid w:val="00AD0B83"/>
    <w:rsid w:val="00AD0C72"/>
    <w:rsid w:val="00AD1016"/>
    <w:rsid w:val="00AD1279"/>
    <w:rsid w:val="00AD1409"/>
    <w:rsid w:val="00AD1792"/>
    <w:rsid w:val="00AD17E4"/>
    <w:rsid w:val="00AD1B0E"/>
    <w:rsid w:val="00AD1B29"/>
    <w:rsid w:val="00AD1D48"/>
    <w:rsid w:val="00AD1DD0"/>
    <w:rsid w:val="00AD1F43"/>
    <w:rsid w:val="00AD203A"/>
    <w:rsid w:val="00AD20C7"/>
    <w:rsid w:val="00AD218E"/>
    <w:rsid w:val="00AD2352"/>
    <w:rsid w:val="00AD2396"/>
    <w:rsid w:val="00AD245D"/>
    <w:rsid w:val="00AD25D3"/>
    <w:rsid w:val="00AD271A"/>
    <w:rsid w:val="00AD294E"/>
    <w:rsid w:val="00AD2C96"/>
    <w:rsid w:val="00AD2E5E"/>
    <w:rsid w:val="00AD3237"/>
    <w:rsid w:val="00AD32E9"/>
    <w:rsid w:val="00AD3639"/>
    <w:rsid w:val="00AD36F3"/>
    <w:rsid w:val="00AD374F"/>
    <w:rsid w:val="00AD37DA"/>
    <w:rsid w:val="00AD38BC"/>
    <w:rsid w:val="00AD3C04"/>
    <w:rsid w:val="00AD3C2E"/>
    <w:rsid w:val="00AD3C9E"/>
    <w:rsid w:val="00AD3D03"/>
    <w:rsid w:val="00AD3E31"/>
    <w:rsid w:val="00AD3EC7"/>
    <w:rsid w:val="00AD3F97"/>
    <w:rsid w:val="00AD4041"/>
    <w:rsid w:val="00AD410E"/>
    <w:rsid w:val="00AD421A"/>
    <w:rsid w:val="00AD4293"/>
    <w:rsid w:val="00AD44DE"/>
    <w:rsid w:val="00AD4890"/>
    <w:rsid w:val="00AD48D4"/>
    <w:rsid w:val="00AD48E3"/>
    <w:rsid w:val="00AD4CB4"/>
    <w:rsid w:val="00AD4D73"/>
    <w:rsid w:val="00AD4EB1"/>
    <w:rsid w:val="00AD4F91"/>
    <w:rsid w:val="00AD5199"/>
    <w:rsid w:val="00AD54BB"/>
    <w:rsid w:val="00AD56D4"/>
    <w:rsid w:val="00AD56DD"/>
    <w:rsid w:val="00AD56F6"/>
    <w:rsid w:val="00AD5713"/>
    <w:rsid w:val="00AD59B0"/>
    <w:rsid w:val="00AD5C9F"/>
    <w:rsid w:val="00AD5FA0"/>
    <w:rsid w:val="00AD5FB6"/>
    <w:rsid w:val="00AD6213"/>
    <w:rsid w:val="00AD6280"/>
    <w:rsid w:val="00AD68BA"/>
    <w:rsid w:val="00AD692A"/>
    <w:rsid w:val="00AD6A37"/>
    <w:rsid w:val="00AD6AB4"/>
    <w:rsid w:val="00AD6C07"/>
    <w:rsid w:val="00AD6CD0"/>
    <w:rsid w:val="00AD6EB1"/>
    <w:rsid w:val="00AD6F58"/>
    <w:rsid w:val="00AD6F9D"/>
    <w:rsid w:val="00AD6FD7"/>
    <w:rsid w:val="00AD7293"/>
    <w:rsid w:val="00AD72C9"/>
    <w:rsid w:val="00AD7427"/>
    <w:rsid w:val="00AD7556"/>
    <w:rsid w:val="00AD77C6"/>
    <w:rsid w:val="00AD77E2"/>
    <w:rsid w:val="00AD7C65"/>
    <w:rsid w:val="00AD7E85"/>
    <w:rsid w:val="00AD7EB7"/>
    <w:rsid w:val="00AD7F69"/>
    <w:rsid w:val="00AE00DD"/>
    <w:rsid w:val="00AE01E4"/>
    <w:rsid w:val="00AE0221"/>
    <w:rsid w:val="00AE029A"/>
    <w:rsid w:val="00AE05C1"/>
    <w:rsid w:val="00AE069A"/>
    <w:rsid w:val="00AE069D"/>
    <w:rsid w:val="00AE07BC"/>
    <w:rsid w:val="00AE07DE"/>
    <w:rsid w:val="00AE0B15"/>
    <w:rsid w:val="00AE0E84"/>
    <w:rsid w:val="00AE0EF6"/>
    <w:rsid w:val="00AE0F10"/>
    <w:rsid w:val="00AE0FCE"/>
    <w:rsid w:val="00AE1142"/>
    <w:rsid w:val="00AE126F"/>
    <w:rsid w:val="00AE12FC"/>
    <w:rsid w:val="00AE141E"/>
    <w:rsid w:val="00AE14DC"/>
    <w:rsid w:val="00AE177B"/>
    <w:rsid w:val="00AE17B5"/>
    <w:rsid w:val="00AE1B8B"/>
    <w:rsid w:val="00AE1D5B"/>
    <w:rsid w:val="00AE1D7C"/>
    <w:rsid w:val="00AE1DF4"/>
    <w:rsid w:val="00AE209D"/>
    <w:rsid w:val="00AE211E"/>
    <w:rsid w:val="00AE2129"/>
    <w:rsid w:val="00AE21CC"/>
    <w:rsid w:val="00AE21E6"/>
    <w:rsid w:val="00AE230F"/>
    <w:rsid w:val="00AE2460"/>
    <w:rsid w:val="00AE24A3"/>
    <w:rsid w:val="00AE290A"/>
    <w:rsid w:val="00AE2BE3"/>
    <w:rsid w:val="00AE2C50"/>
    <w:rsid w:val="00AE2CC1"/>
    <w:rsid w:val="00AE2EFA"/>
    <w:rsid w:val="00AE31DC"/>
    <w:rsid w:val="00AE36AE"/>
    <w:rsid w:val="00AE36BB"/>
    <w:rsid w:val="00AE375E"/>
    <w:rsid w:val="00AE37A0"/>
    <w:rsid w:val="00AE38AA"/>
    <w:rsid w:val="00AE39AB"/>
    <w:rsid w:val="00AE3ACA"/>
    <w:rsid w:val="00AE3B6A"/>
    <w:rsid w:val="00AE3B96"/>
    <w:rsid w:val="00AE3BC4"/>
    <w:rsid w:val="00AE3F10"/>
    <w:rsid w:val="00AE43E5"/>
    <w:rsid w:val="00AE47BC"/>
    <w:rsid w:val="00AE486D"/>
    <w:rsid w:val="00AE49DC"/>
    <w:rsid w:val="00AE4D90"/>
    <w:rsid w:val="00AE54A5"/>
    <w:rsid w:val="00AE579B"/>
    <w:rsid w:val="00AE5925"/>
    <w:rsid w:val="00AE5A2D"/>
    <w:rsid w:val="00AE5E6B"/>
    <w:rsid w:val="00AE5EB4"/>
    <w:rsid w:val="00AE600C"/>
    <w:rsid w:val="00AE619A"/>
    <w:rsid w:val="00AE6351"/>
    <w:rsid w:val="00AE63D4"/>
    <w:rsid w:val="00AE669B"/>
    <w:rsid w:val="00AE6796"/>
    <w:rsid w:val="00AE6A43"/>
    <w:rsid w:val="00AE6B02"/>
    <w:rsid w:val="00AE6B4B"/>
    <w:rsid w:val="00AE6B4D"/>
    <w:rsid w:val="00AE6B81"/>
    <w:rsid w:val="00AE6C26"/>
    <w:rsid w:val="00AE6C34"/>
    <w:rsid w:val="00AE6E20"/>
    <w:rsid w:val="00AE6F8D"/>
    <w:rsid w:val="00AE6FF9"/>
    <w:rsid w:val="00AE7182"/>
    <w:rsid w:val="00AE7477"/>
    <w:rsid w:val="00AE74AF"/>
    <w:rsid w:val="00AE74C6"/>
    <w:rsid w:val="00AE74FA"/>
    <w:rsid w:val="00AE7606"/>
    <w:rsid w:val="00AE76CE"/>
    <w:rsid w:val="00AE7988"/>
    <w:rsid w:val="00AE7BD8"/>
    <w:rsid w:val="00AE7DC5"/>
    <w:rsid w:val="00AF006B"/>
    <w:rsid w:val="00AF015F"/>
    <w:rsid w:val="00AF0481"/>
    <w:rsid w:val="00AF048F"/>
    <w:rsid w:val="00AF0615"/>
    <w:rsid w:val="00AF079D"/>
    <w:rsid w:val="00AF0825"/>
    <w:rsid w:val="00AF0B7D"/>
    <w:rsid w:val="00AF0D76"/>
    <w:rsid w:val="00AF0D90"/>
    <w:rsid w:val="00AF1170"/>
    <w:rsid w:val="00AF12F3"/>
    <w:rsid w:val="00AF1331"/>
    <w:rsid w:val="00AF15DC"/>
    <w:rsid w:val="00AF1D6D"/>
    <w:rsid w:val="00AF1DD6"/>
    <w:rsid w:val="00AF1DE3"/>
    <w:rsid w:val="00AF1E22"/>
    <w:rsid w:val="00AF1EBC"/>
    <w:rsid w:val="00AF1F07"/>
    <w:rsid w:val="00AF2025"/>
    <w:rsid w:val="00AF2279"/>
    <w:rsid w:val="00AF228E"/>
    <w:rsid w:val="00AF229C"/>
    <w:rsid w:val="00AF2389"/>
    <w:rsid w:val="00AF2565"/>
    <w:rsid w:val="00AF2852"/>
    <w:rsid w:val="00AF28BD"/>
    <w:rsid w:val="00AF293A"/>
    <w:rsid w:val="00AF2B1B"/>
    <w:rsid w:val="00AF2B1F"/>
    <w:rsid w:val="00AF2B6D"/>
    <w:rsid w:val="00AF2B9F"/>
    <w:rsid w:val="00AF31AB"/>
    <w:rsid w:val="00AF32E1"/>
    <w:rsid w:val="00AF3311"/>
    <w:rsid w:val="00AF33F7"/>
    <w:rsid w:val="00AF3633"/>
    <w:rsid w:val="00AF368E"/>
    <w:rsid w:val="00AF3995"/>
    <w:rsid w:val="00AF39A1"/>
    <w:rsid w:val="00AF3E41"/>
    <w:rsid w:val="00AF3EB4"/>
    <w:rsid w:val="00AF40CF"/>
    <w:rsid w:val="00AF42F0"/>
    <w:rsid w:val="00AF4428"/>
    <w:rsid w:val="00AF477F"/>
    <w:rsid w:val="00AF47BB"/>
    <w:rsid w:val="00AF48BE"/>
    <w:rsid w:val="00AF4BD3"/>
    <w:rsid w:val="00AF4DC4"/>
    <w:rsid w:val="00AF4DDB"/>
    <w:rsid w:val="00AF505F"/>
    <w:rsid w:val="00AF51EE"/>
    <w:rsid w:val="00AF5295"/>
    <w:rsid w:val="00AF5306"/>
    <w:rsid w:val="00AF5414"/>
    <w:rsid w:val="00AF57E6"/>
    <w:rsid w:val="00AF582F"/>
    <w:rsid w:val="00AF5873"/>
    <w:rsid w:val="00AF5A50"/>
    <w:rsid w:val="00AF5AC1"/>
    <w:rsid w:val="00AF5CFF"/>
    <w:rsid w:val="00AF5EB1"/>
    <w:rsid w:val="00AF6141"/>
    <w:rsid w:val="00AF624F"/>
    <w:rsid w:val="00AF643F"/>
    <w:rsid w:val="00AF65BE"/>
    <w:rsid w:val="00AF6629"/>
    <w:rsid w:val="00AF699D"/>
    <w:rsid w:val="00AF6A9A"/>
    <w:rsid w:val="00AF6F2F"/>
    <w:rsid w:val="00AF6FF4"/>
    <w:rsid w:val="00AF700D"/>
    <w:rsid w:val="00AF70A8"/>
    <w:rsid w:val="00AF7224"/>
    <w:rsid w:val="00AF7442"/>
    <w:rsid w:val="00AF753E"/>
    <w:rsid w:val="00AF75AF"/>
    <w:rsid w:val="00AF7BD7"/>
    <w:rsid w:val="00AF7C18"/>
    <w:rsid w:val="00AF7CD4"/>
    <w:rsid w:val="00AF7CE6"/>
    <w:rsid w:val="00AF7F63"/>
    <w:rsid w:val="00B00312"/>
    <w:rsid w:val="00B005B5"/>
    <w:rsid w:val="00B006EF"/>
    <w:rsid w:val="00B0085F"/>
    <w:rsid w:val="00B009E9"/>
    <w:rsid w:val="00B012DA"/>
    <w:rsid w:val="00B013AE"/>
    <w:rsid w:val="00B0150D"/>
    <w:rsid w:val="00B0163B"/>
    <w:rsid w:val="00B01835"/>
    <w:rsid w:val="00B0187D"/>
    <w:rsid w:val="00B01A24"/>
    <w:rsid w:val="00B01DDB"/>
    <w:rsid w:val="00B01E1E"/>
    <w:rsid w:val="00B01FEB"/>
    <w:rsid w:val="00B02162"/>
    <w:rsid w:val="00B02177"/>
    <w:rsid w:val="00B02354"/>
    <w:rsid w:val="00B0265C"/>
    <w:rsid w:val="00B026CD"/>
    <w:rsid w:val="00B0275F"/>
    <w:rsid w:val="00B02B20"/>
    <w:rsid w:val="00B02BDB"/>
    <w:rsid w:val="00B02BDD"/>
    <w:rsid w:val="00B02C16"/>
    <w:rsid w:val="00B02E43"/>
    <w:rsid w:val="00B0337A"/>
    <w:rsid w:val="00B03386"/>
    <w:rsid w:val="00B0339E"/>
    <w:rsid w:val="00B0352B"/>
    <w:rsid w:val="00B03591"/>
    <w:rsid w:val="00B0369F"/>
    <w:rsid w:val="00B037E3"/>
    <w:rsid w:val="00B03937"/>
    <w:rsid w:val="00B03975"/>
    <w:rsid w:val="00B03B8C"/>
    <w:rsid w:val="00B03C6D"/>
    <w:rsid w:val="00B03C9C"/>
    <w:rsid w:val="00B03DD0"/>
    <w:rsid w:val="00B04152"/>
    <w:rsid w:val="00B0423E"/>
    <w:rsid w:val="00B045C9"/>
    <w:rsid w:val="00B0491F"/>
    <w:rsid w:val="00B04BB5"/>
    <w:rsid w:val="00B04DF5"/>
    <w:rsid w:val="00B05051"/>
    <w:rsid w:val="00B05109"/>
    <w:rsid w:val="00B051C9"/>
    <w:rsid w:val="00B052E2"/>
    <w:rsid w:val="00B0534B"/>
    <w:rsid w:val="00B054C3"/>
    <w:rsid w:val="00B055CF"/>
    <w:rsid w:val="00B05765"/>
    <w:rsid w:val="00B05792"/>
    <w:rsid w:val="00B057AD"/>
    <w:rsid w:val="00B0589D"/>
    <w:rsid w:val="00B05B8C"/>
    <w:rsid w:val="00B05BD3"/>
    <w:rsid w:val="00B05BD5"/>
    <w:rsid w:val="00B05FD4"/>
    <w:rsid w:val="00B06036"/>
    <w:rsid w:val="00B06090"/>
    <w:rsid w:val="00B060DF"/>
    <w:rsid w:val="00B06228"/>
    <w:rsid w:val="00B06298"/>
    <w:rsid w:val="00B062F7"/>
    <w:rsid w:val="00B06346"/>
    <w:rsid w:val="00B06440"/>
    <w:rsid w:val="00B064B8"/>
    <w:rsid w:val="00B065B0"/>
    <w:rsid w:val="00B067E7"/>
    <w:rsid w:val="00B0688D"/>
    <w:rsid w:val="00B06947"/>
    <w:rsid w:val="00B069EE"/>
    <w:rsid w:val="00B06A22"/>
    <w:rsid w:val="00B06B0C"/>
    <w:rsid w:val="00B06DDF"/>
    <w:rsid w:val="00B06DF5"/>
    <w:rsid w:val="00B06F47"/>
    <w:rsid w:val="00B06F6B"/>
    <w:rsid w:val="00B070BA"/>
    <w:rsid w:val="00B07209"/>
    <w:rsid w:val="00B07316"/>
    <w:rsid w:val="00B07517"/>
    <w:rsid w:val="00B07582"/>
    <w:rsid w:val="00B07984"/>
    <w:rsid w:val="00B07B5C"/>
    <w:rsid w:val="00B07CD9"/>
    <w:rsid w:val="00B07CE6"/>
    <w:rsid w:val="00B07CF3"/>
    <w:rsid w:val="00B10009"/>
    <w:rsid w:val="00B10166"/>
    <w:rsid w:val="00B10368"/>
    <w:rsid w:val="00B1051D"/>
    <w:rsid w:val="00B10568"/>
    <w:rsid w:val="00B105C7"/>
    <w:rsid w:val="00B106F5"/>
    <w:rsid w:val="00B10760"/>
    <w:rsid w:val="00B10A57"/>
    <w:rsid w:val="00B10B36"/>
    <w:rsid w:val="00B10B3A"/>
    <w:rsid w:val="00B10E46"/>
    <w:rsid w:val="00B1101E"/>
    <w:rsid w:val="00B11211"/>
    <w:rsid w:val="00B11214"/>
    <w:rsid w:val="00B114ED"/>
    <w:rsid w:val="00B11856"/>
    <w:rsid w:val="00B11B44"/>
    <w:rsid w:val="00B11D24"/>
    <w:rsid w:val="00B12141"/>
    <w:rsid w:val="00B12191"/>
    <w:rsid w:val="00B123C3"/>
    <w:rsid w:val="00B12429"/>
    <w:rsid w:val="00B12656"/>
    <w:rsid w:val="00B129A3"/>
    <w:rsid w:val="00B12A61"/>
    <w:rsid w:val="00B12B0A"/>
    <w:rsid w:val="00B12EA1"/>
    <w:rsid w:val="00B13106"/>
    <w:rsid w:val="00B1317F"/>
    <w:rsid w:val="00B13292"/>
    <w:rsid w:val="00B13368"/>
    <w:rsid w:val="00B1350B"/>
    <w:rsid w:val="00B135C1"/>
    <w:rsid w:val="00B13754"/>
    <w:rsid w:val="00B13909"/>
    <w:rsid w:val="00B13943"/>
    <w:rsid w:val="00B13961"/>
    <w:rsid w:val="00B139D0"/>
    <w:rsid w:val="00B13ABB"/>
    <w:rsid w:val="00B13C30"/>
    <w:rsid w:val="00B13CAD"/>
    <w:rsid w:val="00B13E6C"/>
    <w:rsid w:val="00B14048"/>
    <w:rsid w:val="00B14248"/>
    <w:rsid w:val="00B14396"/>
    <w:rsid w:val="00B14CEC"/>
    <w:rsid w:val="00B15057"/>
    <w:rsid w:val="00B1508E"/>
    <w:rsid w:val="00B152E4"/>
    <w:rsid w:val="00B15495"/>
    <w:rsid w:val="00B156C0"/>
    <w:rsid w:val="00B15764"/>
    <w:rsid w:val="00B159FB"/>
    <w:rsid w:val="00B15BBC"/>
    <w:rsid w:val="00B15BF8"/>
    <w:rsid w:val="00B15C56"/>
    <w:rsid w:val="00B15D71"/>
    <w:rsid w:val="00B15DD7"/>
    <w:rsid w:val="00B15F9E"/>
    <w:rsid w:val="00B162B9"/>
    <w:rsid w:val="00B1632A"/>
    <w:rsid w:val="00B1654F"/>
    <w:rsid w:val="00B166E5"/>
    <w:rsid w:val="00B169A6"/>
    <w:rsid w:val="00B169D5"/>
    <w:rsid w:val="00B169F9"/>
    <w:rsid w:val="00B16A59"/>
    <w:rsid w:val="00B16C07"/>
    <w:rsid w:val="00B16C1F"/>
    <w:rsid w:val="00B16C5F"/>
    <w:rsid w:val="00B16D0C"/>
    <w:rsid w:val="00B16D84"/>
    <w:rsid w:val="00B16E92"/>
    <w:rsid w:val="00B16F10"/>
    <w:rsid w:val="00B16F93"/>
    <w:rsid w:val="00B1715A"/>
    <w:rsid w:val="00B1730B"/>
    <w:rsid w:val="00B1746D"/>
    <w:rsid w:val="00B1789D"/>
    <w:rsid w:val="00B17928"/>
    <w:rsid w:val="00B179D9"/>
    <w:rsid w:val="00B179E5"/>
    <w:rsid w:val="00B17B4E"/>
    <w:rsid w:val="00B17F90"/>
    <w:rsid w:val="00B2002D"/>
    <w:rsid w:val="00B20040"/>
    <w:rsid w:val="00B20044"/>
    <w:rsid w:val="00B204F9"/>
    <w:rsid w:val="00B208BE"/>
    <w:rsid w:val="00B209BF"/>
    <w:rsid w:val="00B20D2C"/>
    <w:rsid w:val="00B20D56"/>
    <w:rsid w:val="00B20ECF"/>
    <w:rsid w:val="00B20F1F"/>
    <w:rsid w:val="00B20F24"/>
    <w:rsid w:val="00B20F9E"/>
    <w:rsid w:val="00B21006"/>
    <w:rsid w:val="00B21106"/>
    <w:rsid w:val="00B211A5"/>
    <w:rsid w:val="00B2139A"/>
    <w:rsid w:val="00B214F7"/>
    <w:rsid w:val="00B21932"/>
    <w:rsid w:val="00B21AFC"/>
    <w:rsid w:val="00B21B55"/>
    <w:rsid w:val="00B21C69"/>
    <w:rsid w:val="00B21F23"/>
    <w:rsid w:val="00B21FCD"/>
    <w:rsid w:val="00B221F3"/>
    <w:rsid w:val="00B2247B"/>
    <w:rsid w:val="00B225F9"/>
    <w:rsid w:val="00B22619"/>
    <w:rsid w:val="00B22665"/>
    <w:rsid w:val="00B226CB"/>
    <w:rsid w:val="00B22912"/>
    <w:rsid w:val="00B22913"/>
    <w:rsid w:val="00B22932"/>
    <w:rsid w:val="00B22A06"/>
    <w:rsid w:val="00B22BC5"/>
    <w:rsid w:val="00B22C3B"/>
    <w:rsid w:val="00B22D11"/>
    <w:rsid w:val="00B22D89"/>
    <w:rsid w:val="00B22DA7"/>
    <w:rsid w:val="00B22F88"/>
    <w:rsid w:val="00B22F9C"/>
    <w:rsid w:val="00B2324A"/>
    <w:rsid w:val="00B2329C"/>
    <w:rsid w:val="00B2338D"/>
    <w:rsid w:val="00B233DC"/>
    <w:rsid w:val="00B234B9"/>
    <w:rsid w:val="00B23700"/>
    <w:rsid w:val="00B237D2"/>
    <w:rsid w:val="00B238AA"/>
    <w:rsid w:val="00B23E08"/>
    <w:rsid w:val="00B23E92"/>
    <w:rsid w:val="00B23EAB"/>
    <w:rsid w:val="00B23EB5"/>
    <w:rsid w:val="00B24062"/>
    <w:rsid w:val="00B2417B"/>
    <w:rsid w:val="00B24236"/>
    <w:rsid w:val="00B24238"/>
    <w:rsid w:val="00B242A9"/>
    <w:rsid w:val="00B24469"/>
    <w:rsid w:val="00B2477D"/>
    <w:rsid w:val="00B247C7"/>
    <w:rsid w:val="00B249C9"/>
    <w:rsid w:val="00B24C74"/>
    <w:rsid w:val="00B24F6D"/>
    <w:rsid w:val="00B25074"/>
    <w:rsid w:val="00B250B9"/>
    <w:rsid w:val="00B25395"/>
    <w:rsid w:val="00B25424"/>
    <w:rsid w:val="00B25509"/>
    <w:rsid w:val="00B2551B"/>
    <w:rsid w:val="00B25593"/>
    <w:rsid w:val="00B256AC"/>
    <w:rsid w:val="00B257C6"/>
    <w:rsid w:val="00B259FE"/>
    <w:rsid w:val="00B25B7F"/>
    <w:rsid w:val="00B25EE8"/>
    <w:rsid w:val="00B26024"/>
    <w:rsid w:val="00B260DA"/>
    <w:rsid w:val="00B26348"/>
    <w:rsid w:val="00B26462"/>
    <w:rsid w:val="00B264DE"/>
    <w:rsid w:val="00B26607"/>
    <w:rsid w:val="00B26614"/>
    <w:rsid w:val="00B2693C"/>
    <w:rsid w:val="00B26BAC"/>
    <w:rsid w:val="00B26BB7"/>
    <w:rsid w:val="00B26F86"/>
    <w:rsid w:val="00B27284"/>
    <w:rsid w:val="00B27305"/>
    <w:rsid w:val="00B2738C"/>
    <w:rsid w:val="00B27A08"/>
    <w:rsid w:val="00B27AA9"/>
    <w:rsid w:val="00B27AE6"/>
    <w:rsid w:val="00B27D10"/>
    <w:rsid w:val="00B27E3C"/>
    <w:rsid w:val="00B3002D"/>
    <w:rsid w:val="00B302CA"/>
    <w:rsid w:val="00B303D7"/>
    <w:rsid w:val="00B30562"/>
    <w:rsid w:val="00B30682"/>
    <w:rsid w:val="00B30741"/>
    <w:rsid w:val="00B307F6"/>
    <w:rsid w:val="00B30829"/>
    <w:rsid w:val="00B30983"/>
    <w:rsid w:val="00B30986"/>
    <w:rsid w:val="00B30DC9"/>
    <w:rsid w:val="00B314EE"/>
    <w:rsid w:val="00B315B2"/>
    <w:rsid w:val="00B31646"/>
    <w:rsid w:val="00B31748"/>
    <w:rsid w:val="00B31812"/>
    <w:rsid w:val="00B319E8"/>
    <w:rsid w:val="00B31A08"/>
    <w:rsid w:val="00B31A4D"/>
    <w:rsid w:val="00B31AEC"/>
    <w:rsid w:val="00B31BEC"/>
    <w:rsid w:val="00B31CC5"/>
    <w:rsid w:val="00B31D60"/>
    <w:rsid w:val="00B31FD2"/>
    <w:rsid w:val="00B32073"/>
    <w:rsid w:val="00B32138"/>
    <w:rsid w:val="00B32147"/>
    <w:rsid w:val="00B321F5"/>
    <w:rsid w:val="00B32316"/>
    <w:rsid w:val="00B32461"/>
    <w:rsid w:val="00B3249A"/>
    <w:rsid w:val="00B325D2"/>
    <w:rsid w:val="00B3278D"/>
    <w:rsid w:val="00B3289D"/>
    <w:rsid w:val="00B32B40"/>
    <w:rsid w:val="00B32CFA"/>
    <w:rsid w:val="00B32D3E"/>
    <w:rsid w:val="00B32F08"/>
    <w:rsid w:val="00B33250"/>
    <w:rsid w:val="00B33298"/>
    <w:rsid w:val="00B332D5"/>
    <w:rsid w:val="00B33C9E"/>
    <w:rsid w:val="00B33CE4"/>
    <w:rsid w:val="00B33D35"/>
    <w:rsid w:val="00B3414C"/>
    <w:rsid w:val="00B342C7"/>
    <w:rsid w:val="00B345B6"/>
    <w:rsid w:val="00B34743"/>
    <w:rsid w:val="00B34AD2"/>
    <w:rsid w:val="00B34B99"/>
    <w:rsid w:val="00B34E5A"/>
    <w:rsid w:val="00B34F0D"/>
    <w:rsid w:val="00B3506D"/>
    <w:rsid w:val="00B35270"/>
    <w:rsid w:val="00B352DD"/>
    <w:rsid w:val="00B3588F"/>
    <w:rsid w:val="00B35A2C"/>
    <w:rsid w:val="00B35A31"/>
    <w:rsid w:val="00B35A81"/>
    <w:rsid w:val="00B35D24"/>
    <w:rsid w:val="00B35EA1"/>
    <w:rsid w:val="00B35F6A"/>
    <w:rsid w:val="00B360C5"/>
    <w:rsid w:val="00B362F0"/>
    <w:rsid w:val="00B36314"/>
    <w:rsid w:val="00B363EF"/>
    <w:rsid w:val="00B364FB"/>
    <w:rsid w:val="00B3652E"/>
    <w:rsid w:val="00B36722"/>
    <w:rsid w:val="00B36742"/>
    <w:rsid w:val="00B36A42"/>
    <w:rsid w:val="00B36AD7"/>
    <w:rsid w:val="00B36BDF"/>
    <w:rsid w:val="00B36BE4"/>
    <w:rsid w:val="00B36CEC"/>
    <w:rsid w:val="00B373B3"/>
    <w:rsid w:val="00B374C1"/>
    <w:rsid w:val="00B376CA"/>
    <w:rsid w:val="00B376EF"/>
    <w:rsid w:val="00B37781"/>
    <w:rsid w:val="00B378CA"/>
    <w:rsid w:val="00B37C9F"/>
    <w:rsid w:val="00B37DD0"/>
    <w:rsid w:val="00B37DF0"/>
    <w:rsid w:val="00B400D5"/>
    <w:rsid w:val="00B401B9"/>
    <w:rsid w:val="00B40475"/>
    <w:rsid w:val="00B40BBA"/>
    <w:rsid w:val="00B40C2E"/>
    <w:rsid w:val="00B40CFA"/>
    <w:rsid w:val="00B40D2E"/>
    <w:rsid w:val="00B40E98"/>
    <w:rsid w:val="00B40FAF"/>
    <w:rsid w:val="00B41222"/>
    <w:rsid w:val="00B41558"/>
    <w:rsid w:val="00B4157F"/>
    <w:rsid w:val="00B415E6"/>
    <w:rsid w:val="00B4165B"/>
    <w:rsid w:val="00B418BF"/>
    <w:rsid w:val="00B41BFD"/>
    <w:rsid w:val="00B41DBE"/>
    <w:rsid w:val="00B41E1D"/>
    <w:rsid w:val="00B4211C"/>
    <w:rsid w:val="00B421CE"/>
    <w:rsid w:val="00B422A0"/>
    <w:rsid w:val="00B4241A"/>
    <w:rsid w:val="00B427C1"/>
    <w:rsid w:val="00B4284E"/>
    <w:rsid w:val="00B42932"/>
    <w:rsid w:val="00B42A69"/>
    <w:rsid w:val="00B42BAA"/>
    <w:rsid w:val="00B42CD5"/>
    <w:rsid w:val="00B42D1D"/>
    <w:rsid w:val="00B42DD3"/>
    <w:rsid w:val="00B42E62"/>
    <w:rsid w:val="00B42F60"/>
    <w:rsid w:val="00B4312A"/>
    <w:rsid w:val="00B4317C"/>
    <w:rsid w:val="00B43268"/>
    <w:rsid w:val="00B434B3"/>
    <w:rsid w:val="00B434FD"/>
    <w:rsid w:val="00B43683"/>
    <w:rsid w:val="00B437E0"/>
    <w:rsid w:val="00B4384C"/>
    <w:rsid w:val="00B438CD"/>
    <w:rsid w:val="00B43A66"/>
    <w:rsid w:val="00B43B2C"/>
    <w:rsid w:val="00B43C34"/>
    <w:rsid w:val="00B43C75"/>
    <w:rsid w:val="00B43CDD"/>
    <w:rsid w:val="00B43CFA"/>
    <w:rsid w:val="00B43D14"/>
    <w:rsid w:val="00B43E6F"/>
    <w:rsid w:val="00B44001"/>
    <w:rsid w:val="00B440FC"/>
    <w:rsid w:val="00B44294"/>
    <w:rsid w:val="00B442F2"/>
    <w:rsid w:val="00B443D1"/>
    <w:rsid w:val="00B44464"/>
    <w:rsid w:val="00B444DD"/>
    <w:rsid w:val="00B44556"/>
    <w:rsid w:val="00B445EE"/>
    <w:rsid w:val="00B44B80"/>
    <w:rsid w:val="00B44BE8"/>
    <w:rsid w:val="00B44D4A"/>
    <w:rsid w:val="00B44D7E"/>
    <w:rsid w:val="00B44DE7"/>
    <w:rsid w:val="00B44E54"/>
    <w:rsid w:val="00B44E89"/>
    <w:rsid w:val="00B44FE3"/>
    <w:rsid w:val="00B4523E"/>
    <w:rsid w:val="00B45276"/>
    <w:rsid w:val="00B454BF"/>
    <w:rsid w:val="00B45853"/>
    <w:rsid w:val="00B45B97"/>
    <w:rsid w:val="00B45D64"/>
    <w:rsid w:val="00B45E35"/>
    <w:rsid w:val="00B45E46"/>
    <w:rsid w:val="00B45ED4"/>
    <w:rsid w:val="00B45F72"/>
    <w:rsid w:val="00B45FC6"/>
    <w:rsid w:val="00B45FD3"/>
    <w:rsid w:val="00B46192"/>
    <w:rsid w:val="00B4638B"/>
    <w:rsid w:val="00B463A3"/>
    <w:rsid w:val="00B466B1"/>
    <w:rsid w:val="00B467BB"/>
    <w:rsid w:val="00B46892"/>
    <w:rsid w:val="00B468FB"/>
    <w:rsid w:val="00B46914"/>
    <w:rsid w:val="00B469DF"/>
    <w:rsid w:val="00B46A4A"/>
    <w:rsid w:val="00B46A7E"/>
    <w:rsid w:val="00B46DA7"/>
    <w:rsid w:val="00B46FEE"/>
    <w:rsid w:val="00B4714C"/>
    <w:rsid w:val="00B472C2"/>
    <w:rsid w:val="00B473E6"/>
    <w:rsid w:val="00B47446"/>
    <w:rsid w:val="00B47797"/>
    <w:rsid w:val="00B47940"/>
    <w:rsid w:val="00B47A95"/>
    <w:rsid w:val="00B47C03"/>
    <w:rsid w:val="00B47C2A"/>
    <w:rsid w:val="00B47DA1"/>
    <w:rsid w:val="00B47E63"/>
    <w:rsid w:val="00B47E9D"/>
    <w:rsid w:val="00B47FB9"/>
    <w:rsid w:val="00B50213"/>
    <w:rsid w:val="00B502D9"/>
    <w:rsid w:val="00B50510"/>
    <w:rsid w:val="00B50925"/>
    <w:rsid w:val="00B5097D"/>
    <w:rsid w:val="00B50980"/>
    <w:rsid w:val="00B509F5"/>
    <w:rsid w:val="00B50B87"/>
    <w:rsid w:val="00B50C08"/>
    <w:rsid w:val="00B50E8C"/>
    <w:rsid w:val="00B51041"/>
    <w:rsid w:val="00B510B6"/>
    <w:rsid w:val="00B511A6"/>
    <w:rsid w:val="00B51313"/>
    <w:rsid w:val="00B51365"/>
    <w:rsid w:val="00B513D6"/>
    <w:rsid w:val="00B51823"/>
    <w:rsid w:val="00B519E7"/>
    <w:rsid w:val="00B51A27"/>
    <w:rsid w:val="00B51A71"/>
    <w:rsid w:val="00B51AD2"/>
    <w:rsid w:val="00B51BAB"/>
    <w:rsid w:val="00B51FFD"/>
    <w:rsid w:val="00B52096"/>
    <w:rsid w:val="00B52151"/>
    <w:rsid w:val="00B521CA"/>
    <w:rsid w:val="00B52354"/>
    <w:rsid w:val="00B5251E"/>
    <w:rsid w:val="00B5265A"/>
    <w:rsid w:val="00B5272D"/>
    <w:rsid w:val="00B527E4"/>
    <w:rsid w:val="00B52825"/>
    <w:rsid w:val="00B52A35"/>
    <w:rsid w:val="00B52CFE"/>
    <w:rsid w:val="00B52F37"/>
    <w:rsid w:val="00B52FA9"/>
    <w:rsid w:val="00B52FC9"/>
    <w:rsid w:val="00B530BC"/>
    <w:rsid w:val="00B532B9"/>
    <w:rsid w:val="00B532D4"/>
    <w:rsid w:val="00B53321"/>
    <w:rsid w:val="00B533D2"/>
    <w:rsid w:val="00B536F2"/>
    <w:rsid w:val="00B53991"/>
    <w:rsid w:val="00B53A18"/>
    <w:rsid w:val="00B53AC0"/>
    <w:rsid w:val="00B53BA4"/>
    <w:rsid w:val="00B53D7E"/>
    <w:rsid w:val="00B53E83"/>
    <w:rsid w:val="00B53F8C"/>
    <w:rsid w:val="00B5422F"/>
    <w:rsid w:val="00B54386"/>
    <w:rsid w:val="00B543C1"/>
    <w:rsid w:val="00B54B77"/>
    <w:rsid w:val="00B54BB0"/>
    <w:rsid w:val="00B54C44"/>
    <w:rsid w:val="00B54CCB"/>
    <w:rsid w:val="00B54F4F"/>
    <w:rsid w:val="00B550A5"/>
    <w:rsid w:val="00B554D6"/>
    <w:rsid w:val="00B555FC"/>
    <w:rsid w:val="00B558E3"/>
    <w:rsid w:val="00B55946"/>
    <w:rsid w:val="00B55AC1"/>
    <w:rsid w:val="00B55D66"/>
    <w:rsid w:val="00B55D8B"/>
    <w:rsid w:val="00B55FCA"/>
    <w:rsid w:val="00B566EB"/>
    <w:rsid w:val="00B56752"/>
    <w:rsid w:val="00B56888"/>
    <w:rsid w:val="00B568B1"/>
    <w:rsid w:val="00B56910"/>
    <w:rsid w:val="00B56929"/>
    <w:rsid w:val="00B56B9F"/>
    <w:rsid w:val="00B56F23"/>
    <w:rsid w:val="00B571AE"/>
    <w:rsid w:val="00B57455"/>
    <w:rsid w:val="00B574C9"/>
    <w:rsid w:val="00B57505"/>
    <w:rsid w:val="00B57667"/>
    <w:rsid w:val="00B57685"/>
    <w:rsid w:val="00B57715"/>
    <w:rsid w:val="00B577C6"/>
    <w:rsid w:val="00B5789E"/>
    <w:rsid w:val="00B57921"/>
    <w:rsid w:val="00B57B46"/>
    <w:rsid w:val="00B57C52"/>
    <w:rsid w:val="00B57E8E"/>
    <w:rsid w:val="00B57EE9"/>
    <w:rsid w:val="00B57F7F"/>
    <w:rsid w:val="00B60230"/>
    <w:rsid w:val="00B60376"/>
    <w:rsid w:val="00B603B1"/>
    <w:rsid w:val="00B604AD"/>
    <w:rsid w:val="00B60603"/>
    <w:rsid w:val="00B607C6"/>
    <w:rsid w:val="00B6089C"/>
    <w:rsid w:val="00B6089F"/>
    <w:rsid w:val="00B60D0C"/>
    <w:rsid w:val="00B60EC3"/>
    <w:rsid w:val="00B61042"/>
    <w:rsid w:val="00B61048"/>
    <w:rsid w:val="00B61235"/>
    <w:rsid w:val="00B6124D"/>
    <w:rsid w:val="00B6134C"/>
    <w:rsid w:val="00B61637"/>
    <w:rsid w:val="00B616BF"/>
    <w:rsid w:val="00B61A6C"/>
    <w:rsid w:val="00B61B04"/>
    <w:rsid w:val="00B61F88"/>
    <w:rsid w:val="00B61FD6"/>
    <w:rsid w:val="00B6202B"/>
    <w:rsid w:val="00B620EE"/>
    <w:rsid w:val="00B6222F"/>
    <w:rsid w:val="00B62271"/>
    <w:rsid w:val="00B62279"/>
    <w:rsid w:val="00B622EE"/>
    <w:rsid w:val="00B622FC"/>
    <w:rsid w:val="00B623FD"/>
    <w:rsid w:val="00B62731"/>
    <w:rsid w:val="00B62733"/>
    <w:rsid w:val="00B62738"/>
    <w:rsid w:val="00B62759"/>
    <w:rsid w:val="00B627B8"/>
    <w:rsid w:val="00B627DD"/>
    <w:rsid w:val="00B62856"/>
    <w:rsid w:val="00B62910"/>
    <w:rsid w:val="00B62934"/>
    <w:rsid w:val="00B62D65"/>
    <w:rsid w:val="00B63123"/>
    <w:rsid w:val="00B632A4"/>
    <w:rsid w:val="00B632E2"/>
    <w:rsid w:val="00B63730"/>
    <w:rsid w:val="00B63AC1"/>
    <w:rsid w:val="00B63E41"/>
    <w:rsid w:val="00B63FC8"/>
    <w:rsid w:val="00B64048"/>
    <w:rsid w:val="00B640E2"/>
    <w:rsid w:val="00B64191"/>
    <w:rsid w:val="00B64263"/>
    <w:rsid w:val="00B64328"/>
    <w:rsid w:val="00B6455D"/>
    <w:rsid w:val="00B64577"/>
    <w:rsid w:val="00B646D7"/>
    <w:rsid w:val="00B6482D"/>
    <w:rsid w:val="00B64924"/>
    <w:rsid w:val="00B64B4C"/>
    <w:rsid w:val="00B64CAC"/>
    <w:rsid w:val="00B64DEA"/>
    <w:rsid w:val="00B64E69"/>
    <w:rsid w:val="00B64F64"/>
    <w:rsid w:val="00B64FB2"/>
    <w:rsid w:val="00B6505C"/>
    <w:rsid w:val="00B651DC"/>
    <w:rsid w:val="00B652AD"/>
    <w:rsid w:val="00B65332"/>
    <w:rsid w:val="00B6556E"/>
    <w:rsid w:val="00B655D8"/>
    <w:rsid w:val="00B656EA"/>
    <w:rsid w:val="00B6579E"/>
    <w:rsid w:val="00B65A74"/>
    <w:rsid w:val="00B65AA1"/>
    <w:rsid w:val="00B65BA3"/>
    <w:rsid w:val="00B65C72"/>
    <w:rsid w:val="00B65D4B"/>
    <w:rsid w:val="00B65E30"/>
    <w:rsid w:val="00B66171"/>
    <w:rsid w:val="00B66265"/>
    <w:rsid w:val="00B6629A"/>
    <w:rsid w:val="00B6632E"/>
    <w:rsid w:val="00B66331"/>
    <w:rsid w:val="00B66413"/>
    <w:rsid w:val="00B66522"/>
    <w:rsid w:val="00B666B4"/>
    <w:rsid w:val="00B6670F"/>
    <w:rsid w:val="00B66824"/>
    <w:rsid w:val="00B66C62"/>
    <w:rsid w:val="00B66CFE"/>
    <w:rsid w:val="00B66F6D"/>
    <w:rsid w:val="00B67185"/>
    <w:rsid w:val="00B671B7"/>
    <w:rsid w:val="00B67413"/>
    <w:rsid w:val="00B67680"/>
    <w:rsid w:val="00B67AE6"/>
    <w:rsid w:val="00B67B81"/>
    <w:rsid w:val="00B67BCE"/>
    <w:rsid w:val="00B67D35"/>
    <w:rsid w:val="00B67EE8"/>
    <w:rsid w:val="00B70056"/>
    <w:rsid w:val="00B70183"/>
    <w:rsid w:val="00B703C8"/>
    <w:rsid w:val="00B70449"/>
    <w:rsid w:val="00B704A3"/>
    <w:rsid w:val="00B706B2"/>
    <w:rsid w:val="00B70908"/>
    <w:rsid w:val="00B70ACF"/>
    <w:rsid w:val="00B70B59"/>
    <w:rsid w:val="00B70BF8"/>
    <w:rsid w:val="00B70C03"/>
    <w:rsid w:val="00B70FDE"/>
    <w:rsid w:val="00B712A6"/>
    <w:rsid w:val="00B7138D"/>
    <w:rsid w:val="00B7140F"/>
    <w:rsid w:val="00B7145E"/>
    <w:rsid w:val="00B7149A"/>
    <w:rsid w:val="00B714A3"/>
    <w:rsid w:val="00B71503"/>
    <w:rsid w:val="00B71557"/>
    <w:rsid w:val="00B7168C"/>
    <w:rsid w:val="00B71844"/>
    <w:rsid w:val="00B71BE0"/>
    <w:rsid w:val="00B71F68"/>
    <w:rsid w:val="00B724AF"/>
    <w:rsid w:val="00B7291D"/>
    <w:rsid w:val="00B72971"/>
    <w:rsid w:val="00B72A6B"/>
    <w:rsid w:val="00B72C76"/>
    <w:rsid w:val="00B72D2D"/>
    <w:rsid w:val="00B72DCF"/>
    <w:rsid w:val="00B72DD6"/>
    <w:rsid w:val="00B72E79"/>
    <w:rsid w:val="00B72FC8"/>
    <w:rsid w:val="00B730E6"/>
    <w:rsid w:val="00B7312C"/>
    <w:rsid w:val="00B73221"/>
    <w:rsid w:val="00B732C7"/>
    <w:rsid w:val="00B73891"/>
    <w:rsid w:val="00B73A41"/>
    <w:rsid w:val="00B73CAC"/>
    <w:rsid w:val="00B73F56"/>
    <w:rsid w:val="00B740C3"/>
    <w:rsid w:val="00B740F3"/>
    <w:rsid w:val="00B741CD"/>
    <w:rsid w:val="00B742A3"/>
    <w:rsid w:val="00B7430E"/>
    <w:rsid w:val="00B7433B"/>
    <w:rsid w:val="00B74450"/>
    <w:rsid w:val="00B74763"/>
    <w:rsid w:val="00B74C70"/>
    <w:rsid w:val="00B74DAD"/>
    <w:rsid w:val="00B74EB3"/>
    <w:rsid w:val="00B74EBE"/>
    <w:rsid w:val="00B7506E"/>
    <w:rsid w:val="00B751D2"/>
    <w:rsid w:val="00B753F3"/>
    <w:rsid w:val="00B7563F"/>
    <w:rsid w:val="00B75891"/>
    <w:rsid w:val="00B75C05"/>
    <w:rsid w:val="00B75CF2"/>
    <w:rsid w:val="00B75D10"/>
    <w:rsid w:val="00B75DAA"/>
    <w:rsid w:val="00B75DB3"/>
    <w:rsid w:val="00B75DFC"/>
    <w:rsid w:val="00B75E31"/>
    <w:rsid w:val="00B75F2E"/>
    <w:rsid w:val="00B75F69"/>
    <w:rsid w:val="00B75FB6"/>
    <w:rsid w:val="00B76623"/>
    <w:rsid w:val="00B7681F"/>
    <w:rsid w:val="00B768CF"/>
    <w:rsid w:val="00B76AC8"/>
    <w:rsid w:val="00B76C48"/>
    <w:rsid w:val="00B76F16"/>
    <w:rsid w:val="00B7704D"/>
    <w:rsid w:val="00B770F9"/>
    <w:rsid w:val="00B77216"/>
    <w:rsid w:val="00B77333"/>
    <w:rsid w:val="00B775E8"/>
    <w:rsid w:val="00B77A21"/>
    <w:rsid w:val="00B77B95"/>
    <w:rsid w:val="00B77CBB"/>
    <w:rsid w:val="00B77D25"/>
    <w:rsid w:val="00B77DDB"/>
    <w:rsid w:val="00B80042"/>
    <w:rsid w:val="00B80271"/>
    <w:rsid w:val="00B80522"/>
    <w:rsid w:val="00B80736"/>
    <w:rsid w:val="00B80B47"/>
    <w:rsid w:val="00B80B8C"/>
    <w:rsid w:val="00B80C7C"/>
    <w:rsid w:val="00B80D7A"/>
    <w:rsid w:val="00B80E06"/>
    <w:rsid w:val="00B80FA0"/>
    <w:rsid w:val="00B80FC1"/>
    <w:rsid w:val="00B81098"/>
    <w:rsid w:val="00B812C0"/>
    <w:rsid w:val="00B81332"/>
    <w:rsid w:val="00B81377"/>
    <w:rsid w:val="00B81410"/>
    <w:rsid w:val="00B8142E"/>
    <w:rsid w:val="00B81786"/>
    <w:rsid w:val="00B81B44"/>
    <w:rsid w:val="00B81B61"/>
    <w:rsid w:val="00B81D29"/>
    <w:rsid w:val="00B81F36"/>
    <w:rsid w:val="00B82441"/>
    <w:rsid w:val="00B82698"/>
    <w:rsid w:val="00B827BE"/>
    <w:rsid w:val="00B827D8"/>
    <w:rsid w:val="00B82B8D"/>
    <w:rsid w:val="00B82BB5"/>
    <w:rsid w:val="00B830C1"/>
    <w:rsid w:val="00B832B5"/>
    <w:rsid w:val="00B833E5"/>
    <w:rsid w:val="00B83464"/>
    <w:rsid w:val="00B8348E"/>
    <w:rsid w:val="00B83583"/>
    <w:rsid w:val="00B8367B"/>
    <w:rsid w:val="00B83726"/>
    <w:rsid w:val="00B83754"/>
    <w:rsid w:val="00B838A3"/>
    <w:rsid w:val="00B838B4"/>
    <w:rsid w:val="00B838BF"/>
    <w:rsid w:val="00B83A00"/>
    <w:rsid w:val="00B842BD"/>
    <w:rsid w:val="00B8442D"/>
    <w:rsid w:val="00B845C5"/>
    <w:rsid w:val="00B846B0"/>
    <w:rsid w:val="00B846E7"/>
    <w:rsid w:val="00B848BD"/>
    <w:rsid w:val="00B848F8"/>
    <w:rsid w:val="00B84986"/>
    <w:rsid w:val="00B849BF"/>
    <w:rsid w:val="00B849EF"/>
    <w:rsid w:val="00B84C44"/>
    <w:rsid w:val="00B84D7E"/>
    <w:rsid w:val="00B84E45"/>
    <w:rsid w:val="00B84EAB"/>
    <w:rsid w:val="00B84EC7"/>
    <w:rsid w:val="00B84FFD"/>
    <w:rsid w:val="00B85121"/>
    <w:rsid w:val="00B854D8"/>
    <w:rsid w:val="00B85526"/>
    <w:rsid w:val="00B858B5"/>
    <w:rsid w:val="00B858BD"/>
    <w:rsid w:val="00B85ABB"/>
    <w:rsid w:val="00B85BA3"/>
    <w:rsid w:val="00B85C52"/>
    <w:rsid w:val="00B85D24"/>
    <w:rsid w:val="00B85E7F"/>
    <w:rsid w:val="00B85E96"/>
    <w:rsid w:val="00B86010"/>
    <w:rsid w:val="00B861C4"/>
    <w:rsid w:val="00B862B7"/>
    <w:rsid w:val="00B864F4"/>
    <w:rsid w:val="00B868B9"/>
    <w:rsid w:val="00B868DB"/>
    <w:rsid w:val="00B86A18"/>
    <w:rsid w:val="00B86A26"/>
    <w:rsid w:val="00B86B19"/>
    <w:rsid w:val="00B86BEB"/>
    <w:rsid w:val="00B86F69"/>
    <w:rsid w:val="00B86F9B"/>
    <w:rsid w:val="00B87469"/>
    <w:rsid w:val="00B87528"/>
    <w:rsid w:val="00B876C1"/>
    <w:rsid w:val="00B87775"/>
    <w:rsid w:val="00B8780A"/>
    <w:rsid w:val="00B87948"/>
    <w:rsid w:val="00B87A7E"/>
    <w:rsid w:val="00B87C4A"/>
    <w:rsid w:val="00B87D8B"/>
    <w:rsid w:val="00B87DC1"/>
    <w:rsid w:val="00B87EE0"/>
    <w:rsid w:val="00B90060"/>
    <w:rsid w:val="00B90319"/>
    <w:rsid w:val="00B903D7"/>
    <w:rsid w:val="00B90417"/>
    <w:rsid w:val="00B904E7"/>
    <w:rsid w:val="00B908E3"/>
    <w:rsid w:val="00B908E5"/>
    <w:rsid w:val="00B90AA0"/>
    <w:rsid w:val="00B90B00"/>
    <w:rsid w:val="00B90EC0"/>
    <w:rsid w:val="00B91140"/>
    <w:rsid w:val="00B911B1"/>
    <w:rsid w:val="00B91879"/>
    <w:rsid w:val="00B9197C"/>
    <w:rsid w:val="00B91999"/>
    <w:rsid w:val="00B91A1E"/>
    <w:rsid w:val="00B91AD4"/>
    <w:rsid w:val="00B91C0B"/>
    <w:rsid w:val="00B91D72"/>
    <w:rsid w:val="00B91DAF"/>
    <w:rsid w:val="00B91ED7"/>
    <w:rsid w:val="00B92179"/>
    <w:rsid w:val="00B9218B"/>
    <w:rsid w:val="00B921C6"/>
    <w:rsid w:val="00B9251D"/>
    <w:rsid w:val="00B92806"/>
    <w:rsid w:val="00B92968"/>
    <w:rsid w:val="00B92970"/>
    <w:rsid w:val="00B92B6A"/>
    <w:rsid w:val="00B92B86"/>
    <w:rsid w:val="00B92C8F"/>
    <w:rsid w:val="00B92D25"/>
    <w:rsid w:val="00B92E6D"/>
    <w:rsid w:val="00B92EE5"/>
    <w:rsid w:val="00B93028"/>
    <w:rsid w:val="00B930BF"/>
    <w:rsid w:val="00B931F7"/>
    <w:rsid w:val="00B93267"/>
    <w:rsid w:val="00B93284"/>
    <w:rsid w:val="00B93458"/>
    <w:rsid w:val="00B93570"/>
    <w:rsid w:val="00B935BC"/>
    <w:rsid w:val="00B9385F"/>
    <w:rsid w:val="00B93869"/>
    <w:rsid w:val="00B93887"/>
    <w:rsid w:val="00B9395E"/>
    <w:rsid w:val="00B93C20"/>
    <w:rsid w:val="00B93D18"/>
    <w:rsid w:val="00B93D41"/>
    <w:rsid w:val="00B93EF0"/>
    <w:rsid w:val="00B93F13"/>
    <w:rsid w:val="00B940DC"/>
    <w:rsid w:val="00B94151"/>
    <w:rsid w:val="00B9429C"/>
    <w:rsid w:val="00B9434C"/>
    <w:rsid w:val="00B94389"/>
    <w:rsid w:val="00B94391"/>
    <w:rsid w:val="00B9457D"/>
    <w:rsid w:val="00B94716"/>
    <w:rsid w:val="00B947C1"/>
    <w:rsid w:val="00B94848"/>
    <w:rsid w:val="00B94ACE"/>
    <w:rsid w:val="00B94AEA"/>
    <w:rsid w:val="00B94DE4"/>
    <w:rsid w:val="00B94E5A"/>
    <w:rsid w:val="00B94F6E"/>
    <w:rsid w:val="00B951A4"/>
    <w:rsid w:val="00B951E9"/>
    <w:rsid w:val="00B952DB"/>
    <w:rsid w:val="00B95495"/>
    <w:rsid w:val="00B954D9"/>
    <w:rsid w:val="00B9553A"/>
    <w:rsid w:val="00B955C7"/>
    <w:rsid w:val="00B9561C"/>
    <w:rsid w:val="00B956D6"/>
    <w:rsid w:val="00B95723"/>
    <w:rsid w:val="00B9579A"/>
    <w:rsid w:val="00B95A1F"/>
    <w:rsid w:val="00B95AFD"/>
    <w:rsid w:val="00B95C5D"/>
    <w:rsid w:val="00B95FB4"/>
    <w:rsid w:val="00B96026"/>
    <w:rsid w:val="00B9625D"/>
    <w:rsid w:val="00B964CB"/>
    <w:rsid w:val="00B9672F"/>
    <w:rsid w:val="00B96931"/>
    <w:rsid w:val="00B97144"/>
    <w:rsid w:val="00B97255"/>
    <w:rsid w:val="00B97495"/>
    <w:rsid w:val="00B97632"/>
    <w:rsid w:val="00B977E4"/>
    <w:rsid w:val="00B97A14"/>
    <w:rsid w:val="00B97B21"/>
    <w:rsid w:val="00B97B7B"/>
    <w:rsid w:val="00B97B95"/>
    <w:rsid w:val="00B97BE2"/>
    <w:rsid w:val="00B97F03"/>
    <w:rsid w:val="00B97F21"/>
    <w:rsid w:val="00B97F36"/>
    <w:rsid w:val="00B97FB0"/>
    <w:rsid w:val="00BA00C4"/>
    <w:rsid w:val="00BA0111"/>
    <w:rsid w:val="00BA013A"/>
    <w:rsid w:val="00BA03B7"/>
    <w:rsid w:val="00BA04C5"/>
    <w:rsid w:val="00BA05B8"/>
    <w:rsid w:val="00BA05E7"/>
    <w:rsid w:val="00BA06ED"/>
    <w:rsid w:val="00BA08D8"/>
    <w:rsid w:val="00BA09B7"/>
    <w:rsid w:val="00BA0E83"/>
    <w:rsid w:val="00BA0FC2"/>
    <w:rsid w:val="00BA122A"/>
    <w:rsid w:val="00BA12B4"/>
    <w:rsid w:val="00BA151C"/>
    <w:rsid w:val="00BA179A"/>
    <w:rsid w:val="00BA18EA"/>
    <w:rsid w:val="00BA1AFB"/>
    <w:rsid w:val="00BA1AFE"/>
    <w:rsid w:val="00BA1BBF"/>
    <w:rsid w:val="00BA1C7D"/>
    <w:rsid w:val="00BA1D52"/>
    <w:rsid w:val="00BA21C5"/>
    <w:rsid w:val="00BA23AB"/>
    <w:rsid w:val="00BA23FC"/>
    <w:rsid w:val="00BA263E"/>
    <w:rsid w:val="00BA2893"/>
    <w:rsid w:val="00BA28B5"/>
    <w:rsid w:val="00BA2951"/>
    <w:rsid w:val="00BA2B3D"/>
    <w:rsid w:val="00BA2B4B"/>
    <w:rsid w:val="00BA2B67"/>
    <w:rsid w:val="00BA2C2C"/>
    <w:rsid w:val="00BA2D67"/>
    <w:rsid w:val="00BA33BA"/>
    <w:rsid w:val="00BA33F7"/>
    <w:rsid w:val="00BA35EA"/>
    <w:rsid w:val="00BA361E"/>
    <w:rsid w:val="00BA3661"/>
    <w:rsid w:val="00BA3869"/>
    <w:rsid w:val="00BA3BE9"/>
    <w:rsid w:val="00BA3C3F"/>
    <w:rsid w:val="00BA3EAB"/>
    <w:rsid w:val="00BA3FC7"/>
    <w:rsid w:val="00BA3FD6"/>
    <w:rsid w:val="00BA4055"/>
    <w:rsid w:val="00BA40B7"/>
    <w:rsid w:val="00BA40E1"/>
    <w:rsid w:val="00BA416C"/>
    <w:rsid w:val="00BA42B8"/>
    <w:rsid w:val="00BA4517"/>
    <w:rsid w:val="00BA458C"/>
    <w:rsid w:val="00BA49E2"/>
    <w:rsid w:val="00BA4A74"/>
    <w:rsid w:val="00BA4C25"/>
    <w:rsid w:val="00BA50BA"/>
    <w:rsid w:val="00BA5136"/>
    <w:rsid w:val="00BA53AF"/>
    <w:rsid w:val="00BA54E4"/>
    <w:rsid w:val="00BA55FB"/>
    <w:rsid w:val="00BA56B3"/>
    <w:rsid w:val="00BA577A"/>
    <w:rsid w:val="00BA582A"/>
    <w:rsid w:val="00BA59C0"/>
    <w:rsid w:val="00BA5AF4"/>
    <w:rsid w:val="00BA5DE7"/>
    <w:rsid w:val="00BA5E3A"/>
    <w:rsid w:val="00BA6157"/>
    <w:rsid w:val="00BA63B1"/>
    <w:rsid w:val="00BA6635"/>
    <w:rsid w:val="00BA66EE"/>
    <w:rsid w:val="00BA6778"/>
    <w:rsid w:val="00BA67C0"/>
    <w:rsid w:val="00BA689D"/>
    <w:rsid w:val="00BA695D"/>
    <w:rsid w:val="00BA69A2"/>
    <w:rsid w:val="00BA69E3"/>
    <w:rsid w:val="00BA6A15"/>
    <w:rsid w:val="00BA6A31"/>
    <w:rsid w:val="00BA6B72"/>
    <w:rsid w:val="00BA6BCD"/>
    <w:rsid w:val="00BA6DE7"/>
    <w:rsid w:val="00BA6F37"/>
    <w:rsid w:val="00BA6FAC"/>
    <w:rsid w:val="00BA7143"/>
    <w:rsid w:val="00BA71D7"/>
    <w:rsid w:val="00BA73DA"/>
    <w:rsid w:val="00BA7446"/>
    <w:rsid w:val="00BA745E"/>
    <w:rsid w:val="00BA7588"/>
    <w:rsid w:val="00BA761A"/>
    <w:rsid w:val="00BA79E3"/>
    <w:rsid w:val="00BB0221"/>
    <w:rsid w:val="00BB05BB"/>
    <w:rsid w:val="00BB070E"/>
    <w:rsid w:val="00BB0770"/>
    <w:rsid w:val="00BB0834"/>
    <w:rsid w:val="00BB087E"/>
    <w:rsid w:val="00BB0C78"/>
    <w:rsid w:val="00BB0E10"/>
    <w:rsid w:val="00BB0E8E"/>
    <w:rsid w:val="00BB0F27"/>
    <w:rsid w:val="00BB105A"/>
    <w:rsid w:val="00BB141F"/>
    <w:rsid w:val="00BB15AB"/>
    <w:rsid w:val="00BB15DB"/>
    <w:rsid w:val="00BB1698"/>
    <w:rsid w:val="00BB188C"/>
    <w:rsid w:val="00BB1969"/>
    <w:rsid w:val="00BB1AA6"/>
    <w:rsid w:val="00BB1B39"/>
    <w:rsid w:val="00BB1FAC"/>
    <w:rsid w:val="00BB21F0"/>
    <w:rsid w:val="00BB2407"/>
    <w:rsid w:val="00BB2464"/>
    <w:rsid w:val="00BB2584"/>
    <w:rsid w:val="00BB27B5"/>
    <w:rsid w:val="00BB28A0"/>
    <w:rsid w:val="00BB2947"/>
    <w:rsid w:val="00BB2A87"/>
    <w:rsid w:val="00BB2B56"/>
    <w:rsid w:val="00BB2C18"/>
    <w:rsid w:val="00BB2C21"/>
    <w:rsid w:val="00BB2D96"/>
    <w:rsid w:val="00BB2D9D"/>
    <w:rsid w:val="00BB2ED6"/>
    <w:rsid w:val="00BB2F28"/>
    <w:rsid w:val="00BB33E4"/>
    <w:rsid w:val="00BB3405"/>
    <w:rsid w:val="00BB3664"/>
    <w:rsid w:val="00BB368A"/>
    <w:rsid w:val="00BB3745"/>
    <w:rsid w:val="00BB3824"/>
    <w:rsid w:val="00BB38AC"/>
    <w:rsid w:val="00BB3909"/>
    <w:rsid w:val="00BB39D6"/>
    <w:rsid w:val="00BB39D8"/>
    <w:rsid w:val="00BB3AB4"/>
    <w:rsid w:val="00BB3BBD"/>
    <w:rsid w:val="00BB3D61"/>
    <w:rsid w:val="00BB3D73"/>
    <w:rsid w:val="00BB4262"/>
    <w:rsid w:val="00BB467B"/>
    <w:rsid w:val="00BB4703"/>
    <w:rsid w:val="00BB4CB0"/>
    <w:rsid w:val="00BB4E3C"/>
    <w:rsid w:val="00BB5158"/>
    <w:rsid w:val="00BB51C3"/>
    <w:rsid w:val="00BB525E"/>
    <w:rsid w:val="00BB550F"/>
    <w:rsid w:val="00BB5531"/>
    <w:rsid w:val="00BB581E"/>
    <w:rsid w:val="00BB594E"/>
    <w:rsid w:val="00BB5991"/>
    <w:rsid w:val="00BB5B90"/>
    <w:rsid w:val="00BB5B94"/>
    <w:rsid w:val="00BB602F"/>
    <w:rsid w:val="00BB6064"/>
    <w:rsid w:val="00BB6135"/>
    <w:rsid w:val="00BB6162"/>
    <w:rsid w:val="00BB617D"/>
    <w:rsid w:val="00BB618D"/>
    <w:rsid w:val="00BB64F3"/>
    <w:rsid w:val="00BB6634"/>
    <w:rsid w:val="00BB6751"/>
    <w:rsid w:val="00BB69BA"/>
    <w:rsid w:val="00BB6A77"/>
    <w:rsid w:val="00BB6C16"/>
    <w:rsid w:val="00BB6DDD"/>
    <w:rsid w:val="00BB6EA0"/>
    <w:rsid w:val="00BB6EC6"/>
    <w:rsid w:val="00BB6FF7"/>
    <w:rsid w:val="00BB7184"/>
    <w:rsid w:val="00BB71D0"/>
    <w:rsid w:val="00BB736F"/>
    <w:rsid w:val="00BB7403"/>
    <w:rsid w:val="00BB7602"/>
    <w:rsid w:val="00BB7608"/>
    <w:rsid w:val="00BB7868"/>
    <w:rsid w:val="00BB797D"/>
    <w:rsid w:val="00BB7BF3"/>
    <w:rsid w:val="00BB7DF0"/>
    <w:rsid w:val="00BB7FA8"/>
    <w:rsid w:val="00BC013A"/>
    <w:rsid w:val="00BC017F"/>
    <w:rsid w:val="00BC01E5"/>
    <w:rsid w:val="00BC047C"/>
    <w:rsid w:val="00BC05A0"/>
    <w:rsid w:val="00BC09B1"/>
    <w:rsid w:val="00BC0CAC"/>
    <w:rsid w:val="00BC0E92"/>
    <w:rsid w:val="00BC0F65"/>
    <w:rsid w:val="00BC104F"/>
    <w:rsid w:val="00BC13D0"/>
    <w:rsid w:val="00BC1501"/>
    <w:rsid w:val="00BC1669"/>
    <w:rsid w:val="00BC1829"/>
    <w:rsid w:val="00BC1857"/>
    <w:rsid w:val="00BC1870"/>
    <w:rsid w:val="00BC18A1"/>
    <w:rsid w:val="00BC1942"/>
    <w:rsid w:val="00BC1A86"/>
    <w:rsid w:val="00BC1B4A"/>
    <w:rsid w:val="00BC1C68"/>
    <w:rsid w:val="00BC1C6F"/>
    <w:rsid w:val="00BC1D2B"/>
    <w:rsid w:val="00BC1D6D"/>
    <w:rsid w:val="00BC1DA9"/>
    <w:rsid w:val="00BC20D7"/>
    <w:rsid w:val="00BC20FF"/>
    <w:rsid w:val="00BC25D7"/>
    <w:rsid w:val="00BC26DF"/>
    <w:rsid w:val="00BC29BA"/>
    <w:rsid w:val="00BC2CD2"/>
    <w:rsid w:val="00BC2E91"/>
    <w:rsid w:val="00BC2EDC"/>
    <w:rsid w:val="00BC3082"/>
    <w:rsid w:val="00BC3107"/>
    <w:rsid w:val="00BC323E"/>
    <w:rsid w:val="00BC32FD"/>
    <w:rsid w:val="00BC3487"/>
    <w:rsid w:val="00BC349E"/>
    <w:rsid w:val="00BC39CE"/>
    <w:rsid w:val="00BC3BC0"/>
    <w:rsid w:val="00BC3C5E"/>
    <w:rsid w:val="00BC4041"/>
    <w:rsid w:val="00BC41E7"/>
    <w:rsid w:val="00BC4318"/>
    <w:rsid w:val="00BC43B0"/>
    <w:rsid w:val="00BC4636"/>
    <w:rsid w:val="00BC4BA4"/>
    <w:rsid w:val="00BC4F57"/>
    <w:rsid w:val="00BC50FE"/>
    <w:rsid w:val="00BC5130"/>
    <w:rsid w:val="00BC5363"/>
    <w:rsid w:val="00BC5385"/>
    <w:rsid w:val="00BC5513"/>
    <w:rsid w:val="00BC5562"/>
    <w:rsid w:val="00BC58C9"/>
    <w:rsid w:val="00BC5A6E"/>
    <w:rsid w:val="00BC5AD6"/>
    <w:rsid w:val="00BC5B1C"/>
    <w:rsid w:val="00BC5B77"/>
    <w:rsid w:val="00BC5B7A"/>
    <w:rsid w:val="00BC5C63"/>
    <w:rsid w:val="00BC5F34"/>
    <w:rsid w:val="00BC5F98"/>
    <w:rsid w:val="00BC600E"/>
    <w:rsid w:val="00BC620F"/>
    <w:rsid w:val="00BC6338"/>
    <w:rsid w:val="00BC63A0"/>
    <w:rsid w:val="00BC6542"/>
    <w:rsid w:val="00BC655B"/>
    <w:rsid w:val="00BC67B8"/>
    <w:rsid w:val="00BC67E9"/>
    <w:rsid w:val="00BC6BB7"/>
    <w:rsid w:val="00BC6BBC"/>
    <w:rsid w:val="00BC6D38"/>
    <w:rsid w:val="00BC6E9B"/>
    <w:rsid w:val="00BC7028"/>
    <w:rsid w:val="00BC7266"/>
    <w:rsid w:val="00BC73C6"/>
    <w:rsid w:val="00BC77B1"/>
    <w:rsid w:val="00BC77E1"/>
    <w:rsid w:val="00BC7801"/>
    <w:rsid w:val="00BC789A"/>
    <w:rsid w:val="00BC7A00"/>
    <w:rsid w:val="00BC7AC3"/>
    <w:rsid w:val="00BC7E0B"/>
    <w:rsid w:val="00BD00A3"/>
    <w:rsid w:val="00BD011D"/>
    <w:rsid w:val="00BD0159"/>
    <w:rsid w:val="00BD0362"/>
    <w:rsid w:val="00BD0448"/>
    <w:rsid w:val="00BD0647"/>
    <w:rsid w:val="00BD0722"/>
    <w:rsid w:val="00BD0AC8"/>
    <w:rsid w:val="00BD0B73"/>
    <w:rsid w:val="00BD0C1E"/>
    <w:rsid w:val="00BD0C87"/>
    <w:rsid w:val="00BD0D48"/>
    <w:rsid w:val="00BD0D4F"/>
    <w:rsid w:val="00BD0EBD"/>
    <w:rsid w:val="00BD0F0F"/>
    <w:rsid w:val="00BD104F"/>
    <w:rsid w:val="00BD110A"/>
    <w:rsid w:val="00BD1182"/>
    <w:rsid w:val="00BD1251"/>
    <w:rsid w:val="00BD1351"/>
    <w:rsid w:val="00BD155E"/>
    <w:rsid w:val="00BD17B9"/>
    <w:rsid w:val="00BD17F0"/>
    <w:rsid w:val="00BD1958"/>
    <w:rsid w:val="00BD1A7D"/>
    <w:rsid w:val="00BD1B1F"/>
    <w:rsid w:val="00BD1DCD"/>
    <w:rsid w:val="00BD1F41"/>
    <w:rsid w:val="00BD1F70"/>
    <w:rsid w:val="00BD1FB5"/>
    <w:rsid w:val="00BD218F"/>
    <w:rsid w:val="00BD231C"/>
    <w:rsid w:val="00BD2421"/>
    <w:rsid w:val="00BD27F2"/>
    <w:rsid w:val="00BD2953"/>
    <w:rsid w:val="00BD29BE"/>
    <w:rsid w:val="00BD2B92"/>
    <w:rsid w:val="00BD2CC5"/>
    <w:rsid w:val="00BD2CFA"/>
    <w:rsid w:val="00BD2D8E"/>
    <w:rsid w:val="00BD3007"/>
    <w:rsid w:val="00BD3123"/>
    <w:rsid w:val="00BD3124"/>
    <w:rsid w:val="00BD321D"/>
    <w:rsid w:val="00BD3351"/>
    <w:rsid w:val="00BD347B"/>
    <w:rsid w:val="00BD352A"/>
    <w:rsid w:val="00BD3539"/>
    <w:rsid w:val="00BD391D"/>
    <w:rsid w:val="00BD39CF"/>
    <w:rsid w:val="00BD39EB"/>
    <w:rsid w:val="00BD3A5D"/>
    <w:rsid w:val="00BD3B38"/>
    <w:rsid w:val="00BD40D1"/>
    <w:rsid w:val="00BD414A"/>
    <w:rsid w:val="00BD4224"/>
    <w:rsid w:val="00BD429C"/>
    <w:rsid w:val="00BD4563"/>
    <w:rsid w:val="00BD4704"/>
    <w:rsid w:val="00BD48DE"/>
    <w:rsid w:val="00BD49FF"/>
    <w:rsid w:val="00BD4A30"/>
    <w:rsid w:val="00BD4C7C"/>
    <w:rsid w:val="00BD4D07"/>
    <w:rsid w:val="00BD4F3F"/>
    <w:rsid w:val="00BD50B8"/>
    <w:rsid w:val="00BD51A3"/>
    <w:rsid w:val="00BD52AF"/>
    <w:rsid w:val="00BD530F"/>
    <w:rsid w:val="00BD536C"/>
    <w:rsid w:val="00BD564B"/>
    <w:rsid w:val="00BD56D3"/>
    <w:rsid w:val="00BD57D3"/>
    <w:rsid w:val="00BD580C"/>
    <w:rsid w:val="00BD5937"/>
    <w:rsid w:val="00BD5A64"/>
    <w:rsid w:val="00BD5ADC"/>
    <w:rsid w:val="00BD5B20"/>
    <w:rsid w:val="00BD5C75"/>
    <w:rsid w:val="00BD5CFB"/>
    <w:rsid w:val="00BD5DD7"/>
    <w:rsid w:val="00BD5E18"/>
    <w:rsid w:val="00BD5E28"/>
    <w:rsid w:val="00BD5E5C"/>
    <w:rsid w:val="00BD5E9A"/>
    <w:rsid w:val="00BD60CB"/>
    <w:rsid w:val="00BD6118"/>
    <w:rsid w:val="00BD6125"/>
    <w:rsid w:val="00BD63F1"/>
    <w:rsid w:val="00BD6467"/>
    <w:rsid w:val="00BD6632"/>
    <w:rsid w:val="00BD67D6"/>
    <w:rsid w:val="00BD6CD3"/>
    <w:rsid w:val="00BD6DE1"/>
    <w:rsid w:val="00BD6EFC"/>
    <w:rsid w:val="00BD6FD4"/>
    <w:rsid w:val="00BD709D"/>
    <w:rsid w:val="00BD7249"/>
    <w:rsid w:val="00BD771C"/>
    <w:rsid w:val="00BD7EEF"/>
    <w:rsid w:val="00BD7F6D"/>
    <w:rsid w:val="00BE01F8"/>
    <w:rsid w:val="00BE05BD"/>
    <w:rsid w:val="00BE07D1"/>
    <w:rsid w:val="00BE082C"/>
    <w:rsid w:val="00BE0ADB"/>
    <w:rsid w:val="00BE0BCD"/>
    <w:rsid w:val="00BE0BDA"/>
    <w:rsid w:val="00BE0D8E"/>
    <w:rsid w:val="00BE0E78"/>
    <w:rsid w:val="00BE12E9"/>
    <w:rsid w:val="00BE13C5"/>
    <w:rsid w:val="00BE13FF"/>
    <w:rsid w:val="00BE15E8"/>
    <w:rsid w:val="00BE1675"/>
    <w:rsid w:val="00BE18EA"/>
    <w:rsid w:val="00BE1B9F"/>
    <w:rsid w:val="00BE1C10"/>
    <w:rsid w:val="00BE1D2A"/>
    <w:rsid w:val="00BE1E21"/>
    <w:rsid w:val="00BE2024"/>
    <w:rsid w:val="00BE22DA"/>
    <w:rsid w:val="00BE23A9"/>
    <w:rsid w:val="00BE27DF"/>
    <w:rsid w:val="00BE27ED"/>
    <w:rsid w:val="00BE28FF"/>
    <w:rsid w:val="00BE2C29"/>
    <w:rsid w:val="00BE2EE8"/>
    <w:rsid w:val="00BE2F94"/>
    <w:rsid w:val="00BE3081"/>
    <w:rsid w:val="00BE30F9"/>
    <w:rsid w:val="00BE3121"/>
    <w:rsid w:val="00BE324D"/>
    <w:rsid w:val="00BE32E9"/>
    <w:rsid w:val="00BE333D"/>
    <w:rsid w:val="00BE340B"/>
    <w:rsid w:val="00BE341E"/>
    <w:rsid w:val="00BE346D"/>
    <w:rsid w:val="00BE35F8"/>
    <w:rsid w:val="00BE385F"/>
    <w:rsid w:val="00BE3870"/>
    <w:rsid w:val="00BE39E3"/>
    <w:rsid w:val="00BE39F4"/>
    <w:rsid w:val="00BE3A4E"/>
    <w:rsid w:val="00BE3CA5"/>
    <w:rsid w:val="00BE3E67"/>
    <w:rsid w:val="00BE3EA4"/>
    <w:rsid w:val="00BE4031"/>
    <w:rsid w:val="00BE446F"/>
    <w:rsid w:val="00BE4485"/>
    <w:rsid w:val="00BE482A"/>
    <w:rsid w:val="00BE4924"/>
    <w:rsid w:val="00BE4DB0"/>
    <w:rsid w:val="00BE4F32"/>
    <w:rsid w:val="00BE5096"/>
    <w:rsid w:val="00BE5336"/>
    <w:rsid w:val="00BE5455"/>
    <w:rsid w:val="00BE55B1"/>
    <w:rsid w:val="00BE586A"/>
    <w:rsid w:val="00BE5A0B"/>
    <w:rsid w:val="00BE5CF3"/>
    <w:rsid w:val="00BE5D8A"/>
    <w:rsid w:val="00BE5DCD"/>
    <w:rsid w:val="00BE65F5"/>
    <w:rsid w:val="00BE6640"/>
    <w:rsid w:val="00BE69EC"/>
    <w:rsid w:val="00BE6CB8"/>
    <w:rsid w:val="00BE6D99"/>
    <w:rsid w:val="00BE6E5E"/>
    <w:rsid w:val="00BE6FFE"/>
    <w:rsid w:val="00BE7044"/>
    <w:rsid w:val="00BE72C0"/>
    <w:rsid w:val="00BE73DF"/>
    <w:rsid w:val="00BE75F8"/>
    <w:rsid w:val="00BE7869"/>
    <w:rsid w:val="00BE7DCF"/>
    <w:rsid w:val="00BE7E95"/>
    <w:rsid w:val="00BF00D8"/>
    <w:rsid w:val="00BF037F"/>
    <w:rsid w:val="00BF0483"/>
    <w:rsid w:val="00BF0583"/>
    <w:rsid w:val="00BF07E4"/>
    <w:rsid w:val="00BF0A2B"/>
    <w:rsid w:val="00BF0AA4"/>
    <w:rsid w:val="00BF0C7A"/>
    <w:rsid w:val="00BF0EF5"/>
    <w:rsid w:val="00BF108E"/>
    <w:rsid w:val="00BF1126"/>
    <w:rsid w:val="00BF11A5"/>
    <w:rsid w:val="00BF1466"/>
    <w:rsid w:val="00BF1807"/>
    <w:rsid w:val="00BF1A54"/>
    <w:rsid w:val="00BF1AFF"/>
    <w:rsid w:val="00BF1C44"/>
    <w:rsid w:val="00BF1C55"/>
    <w:rsid w:val="00BF1E04"/>
    <w:rsid w:val="00BF1E06"/>
    <w:rsid w:val="00BF206A"/>
    <w:rsid w:val="00BF209D"/>
    <w:rsid w:val="00BF20EB"/>
    <w:rsid w:val="00BF20F2"/>
    <w:rsid w:val="00BF2133"/>
    <w:rsid w:val="00BF21B4"/>
    <w:rsid w:val="00BF2719"/>
    <w:rsid w:val="00BF2740"/>
    <w:rsid w:val="00BF2791"/>
    <w:rsid w:val="00BF2A98"/>
    <w:rsid w:val="00BF2AF5"/>
    <w:rsid w:val="00BF2BB5"/>
    <w:rsid w:val="00BF2D3B"/>
    <w:rsid w:val="00BF31C1"/>
    <w:rsid w:val="00BF320E"/>
    <w:rsid w:val="00BF33BF"/>
    <w:rsid w:val="00BF3431"/>
    <w:rsid w:val="00BF3486"/>
    <w:rsid w:val="00BF36F9"/>
    <w:rsid w:val="00BF3854"/>
    <w:rsid w:val="00BF3DA4"/>
    <w:rsid w:val="00BF3E62"/>
    <w:rsid w:val="00BF3F76"/>
    <w:rsid w:val="00BF4116"/>
    <w:rsid w:val="00BF4208"/>
    <w:rsid w:val="00BF4316"/>
    <w:rsid w:val="00BF443D"/>
    <w:rsid w:val="00BF443E"/>
    <w:rsid w:val="00BF4917"/>
    <w:rsid w:val="00BF4AC3"/>
    <w:rsid w:val="00BF4B99"/>
    <w:rsid w:val="00BF4C1A"/>
    <w:rsid w:val="00BF4CF8"/>
    <w:rsid w:val="00BF4D42"/>
    <w:rsid w:val="00BF4DA4"/>
    <w:rsid w:val="00BF4DF0"/>
    <w:rsid w:val="00BF4EB0"/>
    <w:rsid w:val="00BF4F0B"/>
    <w:rsid w:val="00BF5037"/>
    <w:rsid w:val="00BF536E"/>
    <w:rsid w:val="00BF5425"/>
    <w:rsid w:val="00BF55F1"/>
    <w:rsid w:val="00BF5708"/>
    <w:rsid w:val="00BF5915"/>
    <w:rsid w:val="00BF59EB"/>
    <w:rsid w:val="00BF5BCC"/>
    <w:rsid w:val="00BF5D8C"/>
    <w:rsid w:val="00BF5E39"/>
    <w:rsid w:val="00BF5F23"/>
    <w:rsid w:val="00BF6008"/>
    <w:rsid w:val="00BF6492"/>
    <w:rsid w:val="00BF6565"/>
    <w:rsid w:val="00BF6657"/>
    <w:rsid w:val="00BF66DA"/>
    <w:rsid w:val="00BF67C2"/>
    <w:rsid w:val="00BF69B8"/>
    <w:rsid w:val="00BF6B1A"/>
    <w:rsid w:val="00BF6DC8"/>
    <w:rsid w:val="00BF6E03"/>
    <w:rsid w:val="00BF6F25"/>
    <w:rsid w:val="00BF7168"/>
    <w:rsid w:val="00BF7331"/>
    <w:rsid w:val="00BF76FD"/>
    <w:rsid w:val="00BF79A3"/>
    <w:rsid w:val="00BF7A24"/>
    <w:rsid w:val="00BF7B4E"/>
    <w:rsid w:val="00BF7EBD"/>
    <w:rsid w:val="00C00026"/>
    <w:rsid w:val="00C00065"/>
    <w:rsid w:val="00C00098"/>
    <w:rsid w:val="00C001B1"/>
    <w:rsid w:val="00C003B4"/>
    <w:rsid w:val="00C00577"/>
    <w:rsid w:val="00C0073C"/>
    <w:rsid w:val="00C007BB"/>
    <w:rsid w:val="00C0092C"/>
    <w:rsid w:val="00C00B6A"/>
    <w:rsid w:val="00C00CBB"/>
    <w:rsid w:val="00C00DB3"/>
    <w:rsid w:val="00C00EB3"/>
    <w:rsid w:val="00C011FA"/>
    <w:rsid w:val="00C013C7"/>
    <w:rsid w:val="00C0190D"/>
    <w:rsid w:val="00C019E7"/>
    <w:rsid w:val="00C01AD0"/>
    <w:rsid w:val="00C01CD0"/>
    <w:rsid w:val="00C01F3F"/>
    <w:rsid w:val="00C020C4"/>
    <w:rsid w:val="00C021C1"/>
    <w:rsid w:val="00C0223D"/>
    <w:rsid w:val="00C0229E"/>
    <w:rsid w:val="00C0244C"/>
    <w:rsid w:val="00C024C7"/>
    <w:rsid w:val="00C0273E"/>
    <w:rsid w:val="00C028BB"/>
    <w:rsid w:val="00C028D4"/>
    <w:rsid w:val="00C02A2D"/>
    <w:rsid w:val="00C02C88"/>
    <w:rsid w:val="00C02CBF"/>
    <w:rsid w:val="00C02EC0"/>
    <w:rsid w:val="00C02FD9"/>
    <w:rsid w:val="00C03123"/>
    <w:rsid w:val="00C031D1"/>
    <w:rsid w:val="00C032AE"/>
    <w:rsid w:val="00C036A5"/>
    <w:rsid w:val="00C0380D"/>
    <w:rsid w:val="00C03CC3"/>
    <w:rsid w:val="00C0402D"/>
    <w:rsid w:val="00C04184"/>
    <w:rsid w:val="00C04287"/>
    <w:rsid w:val="00C04379"/>
    <w:rsid w:val="00C043A0"/>
    <w:rsid w:val="00C0465B"/>
    <w:rsid w:val="00C0475D"/>
    <w:rsid w:val="00C0476D"/>
    <w:rsid w:val="00C047E9"/>
    <w:rsid w:val="00C04B7B"/>
    <w:rsid w:val="00C04CBA"/>
    <w:rsid w:val="00C04D97"/>
    <w:rsid w:val="00C0518B"/>
    <w:rsid w:val="00C0531D"/>
    <w:rsid w:val="00C05351"/>
    <w:rsid w:val="00C0536C"/>
    <w:rsid w:val="00C05523"/>
    <w:rsid w:val="00C05527"/>
    <w:rsid w:val="00C05568"/>
    <w:rsid w:val="00C0573D"/>
    <w:rsid w:val="00C057DE"/>
    <w:rsid w:val="00C058EE"/>
    <w:rsid w:val="00C05BA3"/>
    <w:rsid w:val="00C05D4E"/>
    <w:rsid w:val="00C06118"/>
    <w:rsid w:val="00C0699D"/>
    <w:rsid w:val="00C06B85"/>
    <w:rsid w:val="00C06C73"/>
    <w:rsid w:val="00C06DAE"/>
    <w:rsid w:val="00C06F05"/>
    <w:rsid w:val="00C07445"/>
    <w:rsid w:val="00C076CD"/>
    <w:rsid w:val="00C077CB"/>
    <w:rsid w:val="00C0785B"/>
    <w:rsid w:val="00C07AF9"/>
    <w:rsid w:val="00C07C5E"/>
    <w:rsid w:val="00C07D42"/>
    <w:rsid w:val="00C07E0B"/>
    <w:rsid w:val="00C07E15"/>
    <w:rsid w:val="00C103DE"/>
    <w:rsid w:val="00C1051B"/>
    <w:rsid w:val="00C105C0"/>
    <w:rsid w:val="00C1065F"/>
    <w:rsid w:val="00C1075E"/>
    <w:rsid w:val="00C1090B"/>
    <w:rsid w:val="00C10978"/>
    <w:rsid w:val="00C10ED2"/>
    <w:rsid w:val="00C10ED5"/>
    <w:rsid w:val="00C11265"/>
    <w:rsid w:val="00C11325"/>
    <w:rsid w:val="00C115C1"/>
    <w:rsid w:val="00C1188D"/>
    <w:rsid w:val="00C11C42"/>
    <w:rsid w:val="00C120AB"/>
    <w:rsid w:val="00C121B5"/>
    <w:rsid w:val="00C121D1"/>
    <w:rsid w:val="00C12247"/>
    <w:rsid w:val="00C123AB"/>
    <w:rsid w:val="00C12430"/>
    <w:rsid w:val="00C124C0"/>
    <w:rsid w:val="00C1272A"/>
    <w:rsid w:val="00C12802"/>
    <w:rsid w:val="00C12C7D"/>
    <w:rsid w:val="00C12DC0"/>
    <w:rsid w:val="00C1324E"/>
    <w:rsid w:val="00C1329F"/>
    <w:rsid w:val="00C132C9"/>
    <w:rsid w:val="00C133B0"/>
    <w:rsid w:val="00C13446"/>
    <w:rsid w:val="00C13507"/>
    <w:rsid w:val="00C13549"/>
    <w:rsid w:val="00C135BA"/>
    <w:rsid w:val="00C136D7"/>
    <w:rsid w:val="00C13D71"/>
    <w:rsid w:val="00C13EFC"/>
    <w:rsid w:val="00C13F08"/>
    <w:rsid w:val="00C141B5"/>
    <w:rsid w:val="00C14217"/>
    <w:rsid w:val="00C1430D"/>
    <w:rsid w:val="00C14350"/>
    <w:rsid w:val="00C14529"/>
    <w:rsid w:val="00C14586"/>
    <w:rsid w:val="00C146FA"/>
    <w:rsid w:val="00C14786"/>
    <w:rsid w:val="00C14964"/>
    <w:rsid w:val="00C14BF9"/>
    <w:rsid w:val="00C15115"/>
    <w:rsid w:val="00C151B8"/>
    <w:rsid w:val="00C1552D"/>
    <w:rsid w:val="00C15547"/>
    <w:rsid w:val="00C1563D"/>
    <w:rsid w:val="00C156A1"/>
    <w:rsid w:val="00C15843"/>
    <w:rsid w:val="00C15899"/>
    <w:rsid w:val="00C158EF"/>
    <w:rsid w:val="00C159E5"/>
    <w:rsid w:val="00C15A6E"/>
    <w:rsid w:val="00C15CD1"/>
    <w:rsid w:val="00C15D09"/>
    <w:rsid w:val="00C15ED9"/>
    <w:rsid w:val="00C15F5E"/>
    <w:rsid w:val="00C16144"/>
    <w:rsid w:val="00C163E4"/>
    <w:rsid w:val="00C164A3"/>
    <w:rsid w:val="00C166E7"/>
    <w:rsid w:val="00C16997"/>
    <w:rsid w:val="00C16A20"/>
    <w:rsid w:val="00C16D28"/>
    <w:rsid w:val="00C16D34"/>
    <w:rsid w:val="00C16EB2"/>
    <w:rsid w:val="00C16FCC"/>
    <w:rsid w:val="00C16FE0"/>
    <w:rsid w:val="00C172B2"/>
    <w:rsid w:val="00C17512"/>
    <w:rsid w:val="00C176BD"/>
    <w:rsid w:val="00C17818"/>
    <w:rsid w:val="00C17985"/>
    <w:rsid w:val="00C179FA"/>
    <w:rsid w:val="00C17B94"/>
    <w:rsid w:val="00C17CB1"/>
    <w:rsid w:val="00C201D6"/>
    <w:rsid w:val="00C202B4"/>
    <w:rsid w:val="00C203BA"/>
    <w:rsid w:val="00C2046F"/>
    <w:rsid w:val="00C20606"/>
    <w:rsid w:val="00C20652"/>
    <w:rsid w:val="00C20691"/>
    <w:rsid w:val="00C207B4"/>
    <w:rsid w:val="00C20AA1"/>
    <w:rsid w:val="00C20BAA"/>
    <w:rsid w:val="00C21472"/>
    <w:rsid w:val="00C21552"/>
    <w:rsid w:val="00C21671"/>
    <w:rsid w:val="00C2172A"/>
    <w:rsid w:val="00C21762"/>
    <w:rsid w:val="00C21875"/>
    <w:rsid w:val="00C218E2"/>
    <w:rsid w:val="00C21B8E"/>
    <w:rsid w:val="00C21EF2"/>
    <w:rsid w:val="00C21F80"/>
    <w:rsid w:val="00C21FA8"/>
    <w:rsid w:val="00C22069"/>
    <w:rsid w:val="00C220EA"/>
    <w:rsid w:val="00C22114"/>
    <w:rsid w:val="00C2226F"/>
    <w:rsid w:val="00C22609"/>
    <w:rsid w:val="00C22822"/>
    <w:rsid w:val="00C228AB"/>
    <w:rsid w:val="00C22921"/>
    <w:rsid w:val="00C2296B"/>
    <w:rsid w:val="00C2299F"/>
    <w:rsid w:val="00C229E9"/>
    <w:rsid w:val="00C22E40"/>
    <w:rsid w:val="00C22F0B"/>
    <w:rsid w:val="00C22F95"/>
    <w:rsid w:val="00C23107"/>
    <w:rsid w:val="00C23129"/>
    <w:rsid w:val="00C23165"/>
    <w:rsid w:val="00C231C4"/>
    <w:rsid w:val="00C232DB"/>
    <w:rsid w:val="00C232F1"/>
    <w:rsid w:val="00C233C5"/>
    <w:rsid w:val="00C23460"/>
    <w:rsid w:val="00C23906"/>
    <w:rsid w:val="00C23B85"/>
    <w:rsid w:val="00C23E22"/>
    <w:rsid w:val="00C24088"/>
    <w:rsid w:val="00C242C0"/>
    <w:rsid w:val="00C244BC"/>
    <w:rsid w:val="00C244FB"/>
    <w:rsid w:val="00C24514"/>
    <w:rsid w:val="00C245C5"/>
    <w:rsid w:val="00C24699"/>
    <w:rsid w:val="00C24833"/>
    <w:rsid w:val="00C24AAB"/>
    <w:rsid w:val="00C24BC5"/>
    <w:rsid w:val="00C24D0E"/>
    <w:rsid w:val="00C24D0F"/>
    <w:rsid w:val="00C24D1C"/>
    <w:rsid w:val="00C24F15"/>
    <w:rsid w:val="00C24F96"/>
    <w:rsid w:val="00C24FA7"/>
    <w:rsid w:val="00C25405"/>
    <w:rsid w:val="00C25467"/>
    <w:rsid w:val="00C25625"/>
    <w:rsid w:val="00C25802"/>
    <w:rsid w:val="00C25824"/>
    <w:rsid w:val="00C25829"/>
    <w:rsid w:val="00C258EE"/>
    <w:rsid w:val="00C25981"/>
    <w:rsid w:val="00C259AE"/>
    <w:rsid w:val="00C259E7"/>
    <w:rsid w:val="00C25A0E"/>
    <w:rsid w:val="00C25A39"/>
    <w:rsid w:val="00C25B37"/>
    <w:rsid w:val="00C26038"/>
    <w:rsid w:val="00C262D1"/>
    <w:rsid w:val="00C26348"/>
    <w:rsid w:val="00C26649"/>
    <w:rsid w:val="00C26662"/>
    <w:rsid w:val="00C266C8"/>
    <w:rsid w:val="00C267B3"/>
    <w:rsid w:val="00C268F1"/>
    <w:rsid w:val="00C26B5B"/>
    <w:rsid w:val="00C26CA6"/>
    <w:rsid w:val="00C26D1A"/>
    <w:rsid w:val="00C26EAD"/>
    <w:rsid w:val="00C26ED4"/>
    <w:rsid w:val="00C270A7"/>
    <w:rsid w:val="00C27112"/>
    <w:rsid w:val="00C27224"/>
    <w:rsid w:val="00C27336"/>
    <w:rsid w:val="00C27342"/>
    <w:rsid w:val="00C2768B"/>
    <w:rsid w:val="00C276D1"/>
    <w:rsid w:val="00C278F5"/>
    <w:rsid w:val="00C279BF"/>
    <w:rsid w:val="00C27C98"/>
    <w:rsid w:val="00C27C9D"/>
    <w:rsid w:val="00C27D5B"/>
    <w:rsid w:val="00C27FBA"/>
    <w:rsid w:val="00C30013"/>
    <w:rsid w:val="00C3006A"/>
    <w:rsid w:val="00C300A0"/>
    <w:rsid w:val="00C3013F"/>
    <w:rsid w:val="00C30441"/>
    <w:rsid w:val="00C304F8"/>
    <w:rsid w:val="00C30684"/>
    <w:rsid w:val="00C3069B"/>
    <w:rsid w:val="00C306CD"/>
    <w:rsid w:val="00C30AF4"/>
    <w:rsid w:val="00C30B7E"/>
    <w:rsid w:val="00C30CFE"/>
    <w:rsid w:val="00C30D2D"/>
    <w:rsid w:val="00C30D4F"/>
    <w:rsid w:val="00C30E96"/>
    <w:rsid w:val="00C3168E"/>
    <w:rsid w:val="00C31C45"/>
    <w:rsid w:val="00C31C4F"/>
    <w:rsid w:val="00C31E41"/>
    <w:rsid w:val="00C31FBA"/>
    <w:rsid w:val="00C3219E"/>
    <w:rsid w:val="00C321CA"/>
    <w:rsid w:val="00C32267"/>
    <w:rsid w:val="00C322A3"/>
    <w:rsid w:val="00C324B2"/>
    <w:rsid w:val="00C324F3"/>
    <w:rsid w:val="00C3250B"/>
    <w:rsid w:val="00C326B7"/>
    <w:rsid w:val="00C327F4"/>
    <w:rsid w:val="00C32802"/>
    <w:rsid w:val="00C32A1B"/>
    <w:rsid w:val="00C32A85"/>
    <w:rsid w:val="00C32C93"/>
    <w:rsid w:val="00C3360B"/>
    <w:rsid w:val="00C33611"/>
    <w:rsid w:val="00C3369A"/>
    <w:rsid w:val="00C336B9"/>
    <w:rsid w:val="00C3385B"/>
    <w:rsid w:val="00C33918"/>
    <w:rsid w:val="00C33AC0"/>
    <w:rsid w:val="00C34002"/>
    <w:rsid w:val="00C340C6"/>
    <w:rsid w:val="00C3420A"/>
    <w:rsid w:val="00C3438D"/>
    <w:rsid w:val="00C3444F"/>
    <w:rsid w:val="00C34610"/>
    <w:rsid w:val="00C3498B"/>
    <w:rsid w:val="00C349ED"/>
    <w:rsid w:val="00C34B8D"/>
    <w:rsid w:val="00C34BAE"/>
    <w:rsid w:val="00C34C81"/>
    <w:rsid w:val="00C34D50"/>
    <w:rsid w:val="00C34D69"/>
    <w:rsid w:val="00C35054"/>
    <w:rsid w:val="00C35066"/>
    <w:rsid w:val="00C350FF"/>
    <w:rsid w:val="00C35158"/>
    <w:rsid w:val="00C3520F"/>
    <w:rsid w:val="00C3536B"/>
    <w:rsid w:val="00C353DD"/>
    <w:rsid w:val="00C353E6"/>
    <w:rsid w:val="00C356EA"/>
    <w:rsid w:val="00C356FC"/>
    <w:rsid w:val="00C3596B"/>
    <w:rsid w:val="00C35AA6"/>
    <w:rsid w:val="00C35ADE"/>
    <w:rsid w:val="00C35D85"/>
    <w:rsid w:val="00C3608D"/>
    <w:rsid w:val="00C36212"/>
    <w:rsid w:val="00C3624E"/>
    <w:rsid w:val="00C363D6"/>
    <w:rsid w:val="00C364CB"/>
    <w:rsid w:val="00C3654C"/>
    <w:rsid w:val="00C368CC"/>
    <w:rsid w:val="00C36B46"/>
    <w:rsid w:val="00C36BC5"/>
    <w:rsid w:val="00C36F0C"/>
    <w:rsid w:val="00C36F83"/>
    <w:rsid w:val="00C37134"/>
    <w:rsid w:val="00C371BF"/>
    <w:rsid w:val="00C37307"/>
    <w:rsid w:val="00C37623"/>
    <w:rsid w:val="00C376FC"/>
    <w:rsid w:val="00C3796E"/>
    <w:rsid w:val="00C37D27"/>
    <w:rsid w:val="00C4011B"/>
    <w:rsid w:val="00C40122"/>
    <w:rsid w:val="00C401EF"/>
    <w:rsid w:val="00C40273"/>
    <w:rsid w:val="00C40406"/>
    <w:rsid w:val="00C40446"/>
    <w:rsid w:val="00C405BC"/>
    <w:rsid w:val="00C4064D"/>
    <w:rsid w:val="00C406C2"/>
    <w:rsid w:val="00C407AD"/>
    <w:rsid w:val="00C409BF"/>
    <w:rsid w:val="00C40A51"/>
    <w:rsid w:val="00C40A52"/>
    <w:rsid w:val="00C40A81"/>
    <w:rsid w:val="00C40B78"/>
    <w:rsid w:val="00C40BC3"/>
    <w:rsid w:val="00C40C30"/>
    <w:rsid w:val="00C40C91"/>
    <w:rsid w:val="00C40ECA"/>
    <w:rsid w:val="00C40F25"/>
    <w:rsid w:val="00C40F65"/>
    <w:rsid w:val="00C411A0"/>
    <w:rsid w:val="00C4133B"/>
    <w:rsid w:val="00C413A2"/>
    <w:rsid w:val="00C41441"/>
    <w:rsid w:val="00C416C6"/>
    <w:rsid w:val="00C41A7E"/>
    <w:rsid w:val="00C41C4B"/>
    <w:rsid w:val="00C41C4F"/>
    <w:rsid w:val="00C41D14"/>
    <w:rsid w:val="00C41D97"/>
    <w:rsid w:val="00C41E14"/>
    <w:rsid w:val="00C41E5F"/>
    <w:rsid w:val="00C41E85"/>
    <w:rsid w:val="00C42293"/>
    <w:rsid w:val="00C4229D"/>
    <w:rsid w:val="00C42369"/>
    <w:rsid w:val="00C4276E"/>
    <w:rsid w:val="00C427F1"/>
    <w:rsid w:val="00C42A9A"/>
    <w:rsid w:val="00C42B29"/>
    <w:rsid w:val="00C42B82"/>
    <w:rsid w:val="00C42D07"/>
    <w:rsid w:val="00C430B3"/>
    <w:rsid w:val="00C431BF"/>
    <w:rsid w:val="00C43201"/>
    <w:rsid w:val="00C432FE"/>
    <w:rsid w:val="00C433F3"/>
    <w:rsid w:val="00C43689"/>
    <w:rsid w:val="00C43838"/>
    <w:rsid w:val="00C4395E"/>
    <w:rsid w:val="00C4395F"/>
    <w:rsid w:val="00C43A22"/>
    <w:rsid w:val="00C43A49"/>
    <w:rsid w:val="00C43A7F"/>
    <w:rsid w:val="00C43B81"/>
    <w:rsid w:val="00C43C59"/>
    <w:rsid w:val="00C43D7D"/>
    <w:rsid w:val="00C43DFD"/>
    <w:rsid w:val="00C43EDA"/>
    <w:rsid w:val="00C43F19"/>
    <w:rsid w:val="00C440F7"/>
    <w:rsid w:val="00C44194"/>
    <w:rsid w:val="00C441C3"/>
    <w:rsid w:val="00C441E4"/>
    <w:rsid w:val="00C4432B"/>
    <w:rsid w:val="00C44353"/>
    <w:rsid w:val="00C44361"/>
    <w:rsid w:val="00C4441B"/>
    <w:rsid w:val="00C44545"/>
    <w:rsid w:val="00C44700"/>
    <w:rsid w:val="00C447EA"/>
    <w:rsid w:val="00C44882"/>
    <w:rsid w:val="00C448B0"/>
    <w:rsid w:val="00C449B1"/>
    <w:rsid w:val="00C44A68"/>
    <w:rsid w:val="00C44CB7"/>
    <w:rsid w:val="00C44D48"/>
    <w:rsid w:val="00C44EAA"/>
    <w:rsid w:val="00C4533C"/>
    <w:rsid w:val="00C45708"/>
    <w:rsid w:val="00C45732"/>
    <w:rsid w:val="00C4583F"/>
    <w:rsid w:val="00C45840"/>
    <w:rsid w:val="00C458A2"/>
    <w:rsid w:val="00C458B2"/>
    <w:rsid w:val="00C45976"/>
    <w:rsid w:val="00C45B9F"/>
    <w:rsid w:val="00C45C1F"/>
    <w:rsid w:val="00C45C78"/>
    <w:rsid w:val="00C45EA0"/>
    <w:rsid w:val="00C45EC6"/>
    <w:rsid w:val="00C4623B"/>
    <w:rsid w:val="00C4632C"/>
    <w:rsid w:val="00C46440"/>
    <w:rsid w:val="00C4644C"/>
    <w:rsid w:val="00C46704"/>
    <w:rsid w:val="00C467A9"/>
    <w:rsid w:val="00C46886"/>
    <w:rsid w:val="00C46BED"/>
    <w:rsid w:val="00C46D3B"/>
    <w:rsid w:val="00C47076"/>
    <w:rsid w:val="00C47319"/>
    <w:rsid w:val="00C473AA"/>
    <w:rsid w:val="00C47410"/>
    <w:rsid w:val="00C4754A"/>
    <w:rsid w:val="00C475AD"/>
    <w:rsid w:val="00C478C1"/>
    <w:rsid w:val="00C478E1"/>
    <w:rsid w:val="00C47B44"/>
    <w:rsid w:val="00C47C8F"/>
    <w:rsid w:val="00C47CB4"/>
    <w:rsid w:val="00C47DA9"/>
    <w:rsid w:val="00C47FCE"/>
    <w:rsid w:val="00C47FE6"/>
    <w:rsid w:val="00C502F1"/>
    <w:rsid w:val="00C502FD"/>
    <w:rsid w:val="00C5047A"/>
    <w:rsid w:val="00C50626"/>
    <w:rsid w:val="00C50A18"/>
    <w:rsid w:val="00C50AF8"/>
    <w:rsid w:val="00C50BF5"/>
    <w:rsid w:val="00C50D9A"/>
    <w:rsid w:val="00C50DCE"/>
    <w:rsid w:val="00C50F6C"/>
    <w:rsid w:val="00C51060"/>
    <w:rsid w:val="00C511DE"/>
    <w:rsid w:val="00C51241"/>
    <w:rsid w:val="00C51284"/>
    <w:rsid w:val="00C517A8"/>
    <w:rsid w:val="00C517CA"/>
    <w:rsid w:val="00C518D8"/>
    <w:rsid w:val="00C518F8"/>
    <w:rsid w:val="00C51925"/>
    <w:rsid w:val="00C51A07"/>
    <w:rsid w:val="00C51A11"/>
    <w:rsid w:val="00C51BE4"/>
    <w:rsid w:val="00C51C28"/>
    <w:rsid w:val="00C51C8D"/>
    <w:rsid w:val="00C51CE7"/>
    <w:rsid w:val="00C522F2"/>
    <w:rsid w:val="00C52352"/>
    <w:rsid w:val="00C524A2"/>
    <w:rsid w:val="00C524CD"/>
    <w:rsid w:val="00C524FC"/>
    <w:rsid w:val="00C5251A"/>
    <w:rsid w:val="00C5251D"/>
    <w:rsid w:val="00C52595"/>
    <w:rsid w:val="00C525B0"/>
    <w:rsid w:val="00C52634"/>
    <w:rsid w:val="00C52A39"/>
    <w:rsid w:val="00C53017"/>
    <w:rsid w:val="00C530CE"/>
    <w:rsid w:val="00C53176"/>
    <w:rsid w:val="00C532C8"/>
    <w:rsid w:val="00C533A3"/>
    <w:rsid w:val="00C5345F"/>
    <w:rsid w:val="00C53729"/>
    <w:rsid w:val="00C53750"/>
    <w:rsid w:val="00C53B84"/>
    <w:rsid w:val="00C53EBE"/>
    <w:rsid w:val="00C53F4A"/>
    <w:rsid w:val="00C544C8"/>
    <w:rsid w:val="00C5461F"/>
    <w:rsid w:val="00C548D7"/>
    <w:rsid w:val="00C54981"/>
    <w:rsid w:val="00C54ACD"/>
    <w:rsid w:val="00C54B77"/>
    <w:rsid w:val="00C54C0C"/>
    <w:rsid w:val="00C54C75"/>
    <w:rsid w:val="00C54C8A"/>
    <w:rsid w:val="00C54CD5"/>
    <w:rsid w:val="00C54F9D"/>
    <w:rsid w:val="00C552BD"/>
    <w:rsid w:val="00C55493"/>
    <w:rsid w:val="00C5573A"/>
    <w:rsid w:val="00C55B5E"/>
    <w:rsid w:val="00C55E75"/>
    <w:rsid w:val="00C56056"/>
    <w:rsid w:val="00C56080"/>
    <w:rsid w:val="00C56105"/>
    <w:rsid w:val="00C565EC"/>
    <w:rsid w:val="00C5669B"/>
    <w:rsid w:val="00C56AD1"/>
    <w:rsid w:val="00C56D84"/>
    <w:rsid w:val="00C56E60"/>
    <w:rsid w:val="00C56E9E"/>
    <w:rsid w:val="00C56EBA"/>
    <w:rsid w:val="00C57050"/>
    <w:rsid w:val="00C576E1"/>
    <w:rsid w:val="00C577CE"/>
    <w:rsid w:val="00C5788A"/>
    <w:rsid w:val="00C57952"/>
    <w:rsid w:val="00C57AD8"/>
    <w:rsid w:val="00C57FD6"/>
    <w:rsid w:val="00C60135"/>
    <w:rsid w:val="00C602FC"/>
    <w:rsid w:val="00C6031A"/>
    <w:rsid w:val="00C603A4"/>
    <w:rsid w:val="00C60580"/>
    <w:rsid w:val="00C6059D"/>
    <w:rsid w:val="00C606AE"/>
    <w:rsid w:val="00C606D3"/>
    <w:rsid w:val="00C609AE"/>
    <w:rsid w:val="00C60C99"/>
    <w:rsid w:val="00C60ECA"/>
    <w:rsid w:val="00C60FC2"/>
    <w:rsid w:val="00C614C3"/>
    <w:rsid w:val="00C6178F"/>
    <w:rsid w:val="00C6193F"/>
    <w:rsid w:val="00C61A43"/>
    <w:rsid w:val="00C61B70"/>
    <w:rsid w:val="00C61BEC"/>
    <w:rsid w:val="00C61D4B"/>
    <w:rsid w:val="00C621A5"/>
    <w:rsid w:val="00C621AE"/>
    <w:rsid w:val="00C622AF"/>
    <w:rsid w:val="00C622B2"/>
    <w:rsid w:val="00C6252D"/>
    <w:rsid w:val="00C6257E"/>
    <w:rsid w:val="00C625D2"/>
    <w:rsid w:val="00C626D0"/>
    <w:rsid w:val="00C62A01"/>
    <w:rsid w:val="00C62AAA"/>
    <w:rsid w:val="00C62DBD"/>
    <w:rsid w:val="00C62DCF"/>
    <w:rsid w:val="00C62ECB"/>
    <w:rsid w:val="00C62F16"/>
    <w:rsid w:val="00C62F24"/>
    <w:rsid w:val="00C63118"/>
    <w:rsid w:val="00C6313C"/>
    <w:rsid w:val="00C63408"/>
    <w:rsid w:val="00C6348E"/>
    <w:rsid w:val="00C636CC"/>
    <w:rsid w:val="00C63903"/>
    <w:rsid w:val="00C6397E"/>
    <w:rsid w:val="00C63B5C"/>
    <w:rsid w:val="00C63CC8"/>
    <w:rsid w:val="00C643AC"/>
    <w:rsid w:val="00C644A5"/>
    <w:rsid w:val="00C644DD"/>
    <w:rsid w:val="00C645EC"/>
    <w:rsid w:val="00C64647"/>
    <w:rsid w:val="00C6481D"/>
    <w:rsid w:val="00C648A6"/>
    <w:rsid w:val="00C6493F"/>
    <w:rsid w:val="00C64950"/>
    <w:rsid w:val="00C64D67"/>
    <w:rsid w:val="00C65046"/>
    <w:rsid w:val="00C65458"/>
    <w:rsid w:val="00C654AC"/>
    <w:rsid w:val="00C65672"/>
    <w:rsid w:val="00C65704"/>
    <w:rsid w:val="00C65961"/>
    <w:rsid w:val="00C65B68"/>
    <w:rsid w:val="00C65BBE"/>
    <w:rsid w:val="00C65BD2"/>
    <w:rsid w:val="00C65E5C"/>
    <w:rsid w:val="00C65E61"/>
    <w:rsid w:val="00C660A8"/>
    <w:rsid w:val="00C6610F"/>
    <w:rsid w:val="00C6630D"/>
    <w:rsid w:val="00C66419"/>
    <w:rsid w:val="00C66520"/>
    <w:rsid w:val="00C66583"/>
    <w:rsid w:val="00C665F2"/>
    <w:rsid w:val="00C66634"/>
    <w:rsid w:val="00C6678C"/>
    <w:rsid w:val="00C66894"/>
    <w:rsid w:val="00C66A81"/>
    <w:rsid w:val="00C66B5F"/>
    <w:rsid w:val="00C66B69"/>
    <w:rsid w:val="00C66C32"/>
    <w:rsid w:val="00C66C36"/>
    <w:rsid w:val="00C66DE0"/>
    <w:rsid w:val="00C66E79"/>
    <w:rsid w:val="00C66F77"/>
    <w:rsid w:val="00C67047"/>
    <w:rsid w:val="00C671BE"/>
    <w:rsid w:val="00C67246"/>
    <w:rsid w:val="00C67292"/>
    <w:rsid w:val="00C67344"/>
    <w:rsid w:val="00C67448"/>
    <w:rsid w:val="00C67500"/>
    <w:rsid w:val="00C67519"/>
    <w:rsid w:val="00C67559"/>
    <w:rsid w:val="00C67742"/>
    <w:rsid w:val="00C6789A"/>
    <w:rsid w:val="00C67965"/>
    <w:rsid w:val="00C6796F"/>
    <w:rsid w:val="00C67A2C"/>
    <w:rsid w:val="00C7000F"/>
    <w:rsid w:val="00C70342"/>
    <w:rsid w:val="00C70435"/>
    <w:rsid w:val="00C70E7C"/>
    <w:rsid w:val="00C70E7D"/>
    <w:rsid w:val="00C71150"/>
    <w:rsid w:val="00C71197"/>
    <w:rsid w:val="00C71270"/>
    <w:rsid w:val="00C7127B"/>
    <w:rsid w:val="00C714CB"/>
    <w:rsid w:val="00C71643"/>
    <w:rsid w:val="00C716D2"/>
    <w:rsid w:val="00C71719"/>
    <w:rsid w:val="00C7177B"/>
    <w:rsid w:val="00C71828"/>
    <w:rsid w:val="00C71AB0"/>
    <w:rsid w:val="00C71ADD"/>
    <w:rsid w:val="00C71AED"/>
    <w:rsid w:val="00C71B1A"/>
    <w:rsid w:val="00C71D92"/>
    <w:rsid w:val="00C71E89"/>
    <w:rsid w:val="00C72048"/>
    <w:rsid w:val="00C720F2"/>
    <w:rsid w:val="00C72264"/>
    <w:rsid w:val="00C723A4"/>
    <w:rsid w:val="00C72401"/>
    <w:rsid w:val="00C7255B"/>
    <w:rsid w:val="00C72608"/>
    <w:rsid w:val="00C72626"/>
    <w:rsid w:val="00C726BA"/>
    <w:rsid w:val="00C7280A"/>
    <w:rsid w:val="00C7290A"/>
    <w:rsid w:val="00C72A7C"/>
    <w:rsid w:val="00C72C85"/>
    <w:rsid w:val="00C72E8C"/>
    <w:rsid w:val="00C72FCA"/>
    <w:rsid w:val="00C73045"/>
    <w:rsid w:val="00C730DF"/>
    <w:rsid w:val="00C731D6"/>
    <w:rsid w:val="00C732E7"/>
    <w:rsid w:val="00C7351C"/>
    <w:rsid w:val="00C735CF"/>
    <w:rsid w:val="00C735F6"/>
    <w:rsid w:val="00C73613"/>
    <w:rsid w:val="00C73A97"/>
    <w:rsid w:val="00C73B1A"/>
    <w:rsid w:val="00C73CA4"/>
    <w:rsid w:val="00C73CF8"/>
    <w:rsid w:val="00C73D84"/>
    <w:rsid w:val="00C73F9A"/>
    <w:rsid w:val="00C741CF"/>
    <w:rsid w:val="00C7422C"/>
    <w:rsid w:val="00C74237"/>
    <w:rsid w:val="00C74256"/>
    <w:rsid w:val="00C742EC"/>
    <w:rsid w:val="00C74541"/>
    <w:rsid w:val="00C7466D"/>
    <w:rsid w:val="00C746C8"/>
    <w:rsid w:val="00C7481F"/>
    <w:rsid w:val="00C74A2D"/>
    <w:rsid w:val="00C74C57"/>
    <w:rsid w:val="00C74D1F"/>
    <w:rsid w:val="00C74D69"/>
    <w:rsid w:val="00C74DF2"/>
    <w:rsid w:val="00C74E22"/>
    <w:rsid w:val="00C74F9B"/>
    <w:rsid w:val="00C75196"/>
    <w:rsid w:val="00C75293"/>
    <w:rsid w:val="00C756C7"/>
    <w:rsid w:val="00C757AE"/>
    <w:rsid w:val="00C75848"/>
    <w:rsid w:val="00C75A16"/>
    <w:rsid w:val="00C75A5A"/>
    <w:rsid w:val="00C75B3B"/>
    <w:rsid w:val="00C75E4B"/>
    <w:rsid w:val="00C75E8F"/>
    <w:rsid w:val="00C76234"/>
    <w:rsid w:val="00C76493"/>
    <w:rsid w:val="00C7656B"/>
    <w:rsid w:val="00C7657E"/>
    <w:rsid w:val="00C76942"/>
    <w:rsid w:val="00C76B35"/>
    <w:rsid w:val="00C76B49"/>
    <w:rsid w:val="00C76C70"/>
    <w:rsid w:val="00C76C9B"/>
    <w:rsid w:val="00C76E71"/>
    <w:rsid w:val="00C77014"/>
    <w:rsid w:val="00C7736D"/>
    <w:rsid w:val="00C7742C"/>
    <w:rsid w:val="00C77498"/>
    <w:rsid w:val="00C7754C"/>
    <w:rsid w:val="00C776AB"/>
    <w:rsid w:val="00C779B1"/>
    <w:rsid w:val="00C779BB"/>
    <w:rsid w:val="00C77B7F"/>
    <w:rsid w:val="00C77BA2"/>
    <w:rsid w:val="00C77BDC"/>
    <w:rsid w:val="00C77D88"/>
    <w:rsid w:val="00C77F41"/>
    <w:rsid w:val="00C77FB6"/>
    <w:rsid w:val="00C77FC8"/>
    <w:rsid w:val="00C805E3"/>
    <w:rsid w:val="00C80724"/>
    <w:rsid w:val="00C8073C"/>
    <w:rsid w:val="00C80788"/>
    <w:rsid w:val="00C8099C"/>
    <w:rsid w:val="00C80A4C"/>
    <w:rsid w:val="00C80D04"/>
    <w:rsid w:val="00C80D82"/>
    <w:rsid w:val="00C80DF2"/>
    <w:rsid w:val="00C80EF4"/>
    <w:rsid w:val="00C80F42"/>
    <w:rsid w:val="00C810D4"/>
    <w:rsid w:val="00C811D2"/>
    <w:rsid w:val="00C8122C"/>
    <w:rsid w:val="00C81543"/>
    <w:rsid w:val="00C8182B"/>
    <w:rsid w:val="00C818A8"/>
    <w:rsid w:val="00C818E1"/>
    <w:rsid w:val="00C819AE"/>
    <w:rsid w:val="00C81AFE"/>
    <w:rsid w:val="00C81CC3"/>
    <w:rsid w:val="00C81F90"/>
    <w:rsid w:val="00C82188"/>
    <w:rsid w:val="00C822E4"/>
    <w:rsid w:val="00C822E8"/>
    <w:rsid w:val="00C82415"/>
    <w:rsid w:val="00C82547"/>
    <w:rsid w:val="00C82AD0"/>
    <w:rsid w:val="00C82C60"/>
    <w:rsid w:val="00C82CBD"/>
    <w:rsid w:val="00C82CD1"/>
    <w:rsid w:val="00C82FAD"/>
    <w:rsid w:val="00C82FFC"/>
    <w:rsid w:val="00C8310A"/>
    <w:rsid w:val="00C831D7"/>
    <w:rsid w:val="00C831E4"/>
    <w:rsid w:val="00C83331"/>
    <w:rsid w:val="00C83535"/>
    <w:rsid w:val="00C83748"/>
    <w:rsid w:val="00C83AE2"/>
    <w:rsid w:val="00C83C39"/>
    <w:rsid w:val="00C83E2E"/>
    <w:rsid w:val="00C84164"/>
    <w:rsid w:val="00C844F9"/>
    <w:rsid w:val="00C8468E"/>
    <w:rsid w:val="00C846A8"/>
    <w:rsid w:val="00C84E26"/>
    <w:rsid w:val="00C84F47"/>
    <w:rsid w:val="00C85001"/>
    <w:rsid w:val="00C85035"/>
    <w:rsid w:val="00C850A7"/>
    <w:rsid w:val="00C8517A"/>
    <w:rsid w:val="00C851BF"/>
    <w:rsid w:val="00C8537C"/>
    <w:rsid w:val="00C857B3"/>
    <w:rsid w:val="00C857D9"/>
    <w:rsid w:val="00C859D9"/>
    <w:rsid w:val="00C85AC4"/>
    <w:rsid w:val="00C85DF5"/>
    <w:rsid w:val="00C861B7"/>
    <w:rsid w:val="00C861B8"/>
    <w:rsid w:val="00C86412"/>
    <w:rsid w:val="00C86654"/>
    <w:rsid w:val="00C866A8"/>
    <w:rsid w:val="00C866EC"/>
    <w:rsid w:val="00C86772"/>
    <w:rsid w:val="00C869B7"/>
    <w:rsid w:val="00C869CD"/>
    <w:rsid w:val="00C86CA3"/>
    <w:rsid w:val="00C86D43"/>
    <w:rsid w:val="00C86F1F"/>
    <w:rsid w:val="00C87040"/>
    <w:rsid w:val="00C87067"/>
    <w:rsid w:val="00C871F6"/>
    <w:rsid w:val="00C8725B"/>
    <w:rsid w:val="00C87342"/>
    <w:rsid w:val="00C87751"/>
    <w:rsid w:val="00C877EC"/>
    <w:rsid w:val="00C879D5"/>
    <w:rsid w:val="00C87B64"/>
    <w:rsid w:val="00C87BE9"/>
    <w:rsid w:val="00C87D0B"/>
    <w:rsid w:val="00C87FD2"/>
    <w:rsid w:val="00C904C2"/>
    <w:rsid w:val="00C904D0"/>
    <w:rsid w:val="00C90588"/>
    <w:rsid w:val="00C90756"/>
    <w:rsid w:val="00C9075E"/>
    <w:rsid w:val="00C90807"/>
    <w:rsid w:val="00C909C6"/>
    <w:rsid w:val="00C91301"/>
    <w:rsid w:val="00C913DB"/>
    <w:rsid w:val="00C915BA"/>
    <w:rsid w:val="00C916A4"/>
    <w:rsid w:val="00C916E2"/>
    <w:rsid w:val="00C91867"/>
    <w:rsid w:val="00C91A0A"/>
    <w:rsid w:val="00C91A0C"/>
    <w:rsid w:val="00C91A1D"/>
    <w:rsid w:val="00C91B23"/>
    <w:rsid w:val="00C91D11"/>
    <w:rsid w:val="00C91EE2"/>
    <w:rsid w:val="00C91F33"/>
    <w:rsid w:val="00C922C8"/>
    <w:rsid w:val="00C92309"/>
    <w:rsid w:val="00C925C6"/>
    <w:rsid w:val="00C92714"/>
    <w:rsid w:val="00C9275C"/>
    <w:rsid w:val="00C92C69"/>
    <w:rsid w:val="00C92D26"/>
    <w:rsid w:val="00C92E73"/>
    <w:rsid w:val="00C92F46"/>
    <w:rsid w:val="00C92FF0"/>
    <w:rsid w:val="00C9307B"/>
    <w:rsid w:val="00C93226"/>
    <w:rsid w:val="00C933F5"/>
    <w:rsid w:val="00C9340E"/>
    <w:rsid w:val="00C9353E"/>
    <w:rsid w:val="00C935E3"/>
    <w:rsid w:val="00C9393C"/>
    <w:rsid w:val="00C93A3F"/>
    <w:rsid w:val="00C93D50"/>
    <w:rsid w:val="00C93DFE"/>
    <w:rsid w:val="00C93E41"/>
    <w:rsid w:val="00C94139"/>
    <w:rsid w:val="00C94278"/>
    <w:rsid w:val="00C94387"/>
    <w:rsid w:val="00C9444B"/>
    <w:rsid w:val="00C94551"/>
    <w:rsid w:val="00C94787"/>
    <w:rsid w:val="00C9483B"/>
    <w:rsid w:val="00C94A44"/>
    <w:rsid w:val="00C94BBC"/>
    <w:rsid w:val="00C94C92"/>
    <w:rsid w:val="00C94D18"/>
    <w:rsid w:val="00C94E5B"/>
    <w:rsid w:val="00C9506E"/>
    <w:rsid w:val="00C95181"/>
    <w:rsid w:val="00C95223"/>
    <w:rsid w:val="00C95228"/>
    <w:rsid w:val="00C952AE"/>
    <w:rsid w:val="00C953A5"/>
    <w:rsid w:val="00C953B3"/>
    <w:rsid w:val="00C95579"/>
    <w:rsid w:val="00C95587"/>
    <w:rsid w:val="00C956F3"/>
    <w:rsid w:val="00C95886"/>
    <w:rsid w:val="00C9599A"/>
    <w:rsid w:val="00C95EFC"/>
    <w:rsid w:val="00C95FB2"/>
    <w:rsid w:val="00C96433"/>
    <w:rsid w:val="00C96528"/>
    <w:rsid w:val="00C965D8"/>
    <w:rsid w:val="00C9687E"/>
    <w:rsid w:val="00C96FBA"/>
    <w:rsid w:val="00C96FC4"/>
    <w:rsid w:val="00C96FF3"/>
    <w:rsid w:val="00C974BE"/>
    <w:rsid w:val="00C977F5"/>
    <w:rsid w:val="00C97BD0"/>
    <w:rsid w:val="00C97C28"/>
    <w:rsid w:val="00C97EE7"/>
    <w:rsid w:val="00C97F5A"/>
    <w:rsid w:val="00C97FA4"/>
    <w:rsid w:val="00CA03A5"/>
    <w:rsid w:val="00CA0416"/>
    <w:rsid w:val="00CA0839"/>
    <w:rsid w:val="00CA0AC7"/>
    <w:rsid w:val="00CA0B29"/>
    <w:rsid w:val="00CA0C4C"/>
    <w:rsid w:val="00CA0FC2"/>
    <w:rsid w:val="00CA11DB"/>
    <w:rsid w:val="00CA12FE"/>
    <w:rsid w:val="00CA150D"/>
    <w:rsid w:val="00CA1661"/>
    <w:rsid w:val="00CA17C6"/>
    <w:rsid w:val="00CA1866"/>
    <w:rsid w:val="00CA18CD"/>
    <w:rsid w:val="00CA1B93"/>
    <w:rsid w:val="00CA1C93"/>
    <w:rsid w:val="00CA1D19"/>
    <w:rsid w:val="00CA1DF0"/>
    <w:rsid w:val="00CA1E1C"/>
    <w:rsid w:val="00CA2101"/>
    <w:rsid w:val="00CA2179"/>
    <w:rsid w:val="00CA21FA"/>
    <w:rsid w:val="00CA22CB"/>
    <w:rsid w:val="00CA24EB"/>
    <w:rsid w:val="00CA270C"/>
    <w:rsid w:val="00CA2A51"/>
    <w:rsid w:val="00CA2BBE"/>
    <w:rsid w:val="00CA2C72"/>
    <w:rsid w:val="00CA2ED0"/>
    <w:rsid w:val="00CA2FB3"/>
    <w:rsid w:val="00CA30C7"/>
    <w:rsid w:val="00CA30D0"/>
    <w:rsid w:val="00CA32A2"/>
    <w:rsid w:val="00CA3337"/>
    <w:rsid w:val="00CA3347"/>
    <w:rsid w:val="00CA3695"/>
    <w:rsid w:val="00CA376E"/>
    <w:rsid w:val="00CA3772"/>
    <w:rsid w:val="00CA37A4"/>
    <w:rsid w:val="00CA39B1"/>
    <w:rsid w:val="00CA3B42"/>
    <w:rsid w:val="00CA3CF1"/>
    <w:rsid w:val="00CA3DCE"/>
    <w:rsid w:val="00CA423D"/>
    <w:rsid w:val="00CA4252"/>
    <w:rsid w:val="00CA42FE"/>
    <w:rsid w:val="00CA442B"/>
    <w:rsid w:val="00CA456B"/>
    <w:rsid w:val="00CA4590"/>
    <w:rsid w:val="00CA46F2"/>
    <w:rsid w:val="00CA4757"/>
    <w:rsid w:val="00CA4A71"/>
    <w:rsid w:val="00CA4C1F"/>
    <w:rsid w:val="00CA4C45"/>
    <w:rsid w:val="00CA4F5A"/>
    <w:rsid w:val="00CA512D"/>
    <w:rsid w:val="00CA5537"/>
    <w:rsid w:val="00CA55FC"/>
    <w:rsid w:val="00CA5755"/>
    <w:rsid w:val="00CA5D3F"/>
    <w:rsid w:val="00CA5D4B"/>
    <w:rsid w:val="00CA5D8F"/>
    <w:rsid w:val="00CA5F70"/>
    <w:rsid w:val="00CA5FB3"/>
    <w:rsid w:val="00CA660F"/>
    <w:rsid w:val="00CA661C"/>
    <w:rsid w:val="00CA6888"/>
    <w:rsid w:val="00CA6912"/>
    <w:rsid w:val="00CA69CF"/>
    <w:rsid w:val="00CA6D1A"/>
    <w:rsid w:val="00CA6D39"/>
    <w:rsid w:val="00CA6DD9"/>
    <w:rsid w:val="00CA6E68"/>
    <w:rsid w:val="00CA6F07"/>
    <w:rsid w:val="00CA7076"/>
    <w:rsid w:val="00CA7094"/>
    <w:rsid w:val="00CA72A5"/>
    <w:rsid w:val="00CA73DD"/>
    <w:rsid w:val="00CA7422"/>
    <w:rsid w:val="00CA759E"/>
    <w:rsid w:val="00CA7625"/>
    <w:rsid w:val="00CA762D"/>
    <w:rsid w:val="00CA7805"/>
    <w:rsid w:val="00CA788D"/>
    <w:rsid w:val="00CA7928"/>
    <w:rsid w:val="00CA7C8A"/>
    <w:rsid w:val="00CA7E5C"/>
    <w:rsid w:val="00CA7FAE"/>
    <w:rsid w:val="00CB0073"/>
    <w:rsid w:val="00CB00F7"/>
    <w:rsid w:val="00CB010A"/>
    <w:rsid w:val="00CB036E"/>
    <w:rsid w:val="00CB0372"/>
    <w:rsid w:val="00CB0383"/>
    <w:rsid w:val="00CB04B0"/>
    <w:rsid w:val="00CB0968"/>
    <w:rsid w:val="00CB0A15"/>
    <w:rsid w:val="00CB0AE1"/>
    <w:rsid w:val="00CB0B1A"/>
    <w:rsid w:val="00CB0C68"/>
    <w:rsid w:val="00CB0E27"/>
    <w:rsid w:val="00CB1256"/>
    <w:rsid w:val="00CB12B7"/>
    <w:rsid w:val="00CB1305"/>
    <w:rsid w:val="00CB169D"/>
    <w:rsid w:val="00CB179D"/>
    <w:rsid w:val="00CB1887"/>
    <w:rsid w:val="00CB216B"/>
    <w:rsid w:val="00CB2290"/>
    <w:rsid w:val="00CB23C7"/>
    <w:rsid w:val="00CB2512"/>
    <w:rsid w:val="00CB2AE3"/>
    <w:rsid w:val="00CB2DAB"/>
    <w:rsid w:val="00CB2F51"/>
    <w:rsid w:val="00CB2F62"/>
    <w:rsid w:val="00CB315B"/>
    <w:rsid w:val="00CB31B8"/>
    <w:rsid w:val="00CB353B"/>
    <w:rsid w:val="00CB3619"/>
    <w:rsid w:val="00CB37AE"/>
    <w:rsid w:val="00CB37FA"/>
    <w:rsid w:val="00CB38B6"/>
    <w:rsid w:val="00CB3A77"/>
    <w:rsid w:val="00CB3C3D"/>
    <w:rsid w:val="00CB3D4E"/>
    <w:rsid w:val="00CB3E25"/>
    <w:rsid w:val="00CB3E38"/>
    <w:rsid w:val="00CB3F32"/>
    <w:rsid w:val="00CB3F79"/>
    <w:rsid w:val="00CB3FC9"/>
    <w:rsid w:val="00CB4035"/>
    <w:rsid w:val="00CB42B8"/>
    <w:rsid w:val="00CB42F0"/>
    <w:rsid w:val="00CB4470"/>
    <w:rsid w:val="00CB45BF"/>
    <w:rsid w:val="00CB498B"/>
    <w:rsid w:val="00CB4B6E"/>
    <w:rsid w:val="00CB4B8A"/>
    <w:rsid w:val="00CB4BC0"/>
    <w:rsid w:val="00CB4D95"/>
    <w:rsid w:val="00CB4D9B"/>
    <w:rsid w:val="00CB4E45"/>
    <w:rsid w:val="00CB516C"/>
    <w:rsid w:val="00CB530D"/>
    <w:rsid w:val="00CB5403"/>
    <w:rsid w:val="00CB57DB"/>
    <w:rsid w:val="00CB57DE"/>
    <w:rsid w:val="00CB5977"/>
    <w:rsid w:val="00CB5AB0"/>
    <w:rsid w:val="00CB5BEF"/>
    <w:rsid w:val="00CB5CE7"/>
    <w:rsid w:val="00CB5DD3"/>
    <w:rsid w:val="00CB613B"/>
    <w:rsid w:val="00CB617E"/>
    <w:rsid w:val="00CB61AC"/>
    <w:rsid w:val="00CB6297"/>
    <w:rsid w:val="00CB6421"/>
    <w:rsid w:val="00CB6429"/>
    <w:rsid w:val="00CB67E9"/>
    <w:rsid w:val="00CB68EC"/>
    <w:rsid w:val="00CB690C"/>
    <w:rsid w:val="00CB6980"/>
    <w:rsid w:val="00CB6A83"/>
    <w:rsid w:val="00CB6D56"/>
    <w:rsid w:val="00CB701A"/>
    <w:rsid w:val="00CB7050"/>
    <w:rsid w:val="00CB70E9"/>
    <w:rsid w:val="00CB73D8"/>
    <w:rsid w:val="00CB7485"/>
    <w:rsid w:val="00CB755C"/>
    <w:rsid w:val="00CB75C3"/>
    <w:rsid w:val="00CB7695"/>
    <w:rsid w:val="00CB777A"/>
    <w:rsid w:val="00CB780B"/>
    <w:rsid w:val="00CB7851"/>
    <w:rsid w:val="00CB7B8B"/>
    <w:rsid w:val="00CB7BD2"/>
    <w:rsid w:val="00CB7D72"/>
    <w:rsid w:val="00CB7DEC"/>
    <w:rsid w:val="00CB7E13"/>
    <w:rsid w:val="00CB7EE6"/>
    <w:rsid w:val="00CB7F96"/>
    <w:rsid w:val="00CC0003"/>
    <w:rsid w:val="00CC00E0"/>
    <w:rsid w:val="00CC0143"/>
    <w:rsid w:val="00CC02BE"/>
    <w:rsid w:val="00CC02D9"/>
    <w:rsid w:val="00CC02FE"/>
    <w:rsid w:val="00CC093E"/>
    <w:rsid w:val="00CC0A57"/>
    <w:rsid w:val="00CC0CD2"/>
    <w:rsid w:val="00CC0D32"/>
    <w:rsid w:val="00CC0E66"/>
    <w:rsid w:val="00CC14DE"/>
    <w:rsid w:val="00CC1638"/>
    <w:rsid w:val="00CC1849"/>
    <w:rsid w:val="00CC1917"/>
    <w:rsid w:val="00CC1959"/>
    <w:rsid w:val="00CC1BB9"/>
    <w:rsid w:val="00CC1BE6"/>
    <w:rsid w:val="00CC1C74"/>
    <w:rsid w:val="00CC1CC2"/>
    <w:rsid w:val="00CC1D57"/>
    <w:rsid w:val="00CC1E53"/>
    <w:rsid w:val="00CC1F7F"/>
    <w:rsid w:val="00CC1F9D"/>
    <w:rsid w:val="00CC2494"/>
    <w:rsid w:val="00CC25F2"/>
    <w:rsid w:val="00CC285D"/>
    <w:rsid w:val="00CC2912"/>
    <w:rsid w:val="00CC2BF5"/>
    <w:rsid w:val="00CC2D23"/>
    <w:rsid w:val="00CC2E36"/>
    <w:rsid w:val="00CC3100"/>
    <w:rsid w:val="00CC32AC"/>
    <w:rsid w:val="00CC3598"/>
    <w:rsid w:val="00CC359E"/>
    <w:rsid w:val="00CC360C"/>
    <w:rsid w:val="00CC3660"/>
    <w:rsid w:val="00CC3749"/>
    <w:rsid w:val="00CC382F"/>
    <w:rsid w:val="00CC3871"/>
    <w:rsid w:val="00CC387A"/>
    <w:rsid w:val="00CC3965"/>
    <w:rsid w:val="00CC3A5A"/>
    <w:rsid w:val="00CC3AE5"/>
    <w:rsid w:val="00CC3AF7"/>
    <w:rsid w:val="00CC3B1C"/>
    <w:rsid w:val="00CC3D45"/>
    <w:rsid w:val="00CC3DFC"/>
    <w:rsid w:val="00CC4043"/>
    <w:rsid w:val="00CC406B"/>
    <w:rsid w:val="00CC40C7"/>
    <w:rsid w:val="00CC4353"/>
    <w:rsid w:val="00CC43B9"/>
    <w:rsid w:val="00CC4692"/>
    <w:rsid w:val="00CC46FC"/>
    <w:rsid w:val="00CC4768"/>
    <w:rsid w:val="00CC47F7"/>
    <w:rsid w:val="00CC4907"/>
    <w:rsid w:val="00CC49B2"/>
    <w:rsid w:val="00CC4CB0"/>
    <w:rsid w:val="00CC4D7F"/>
    <w:rsid w:val="00CC51D4"/>
    <w:rsid w:val="00CC525B"/>
    <w:rsid w:val="00CC52EA"/>
    <w:rsid w:val="00CC53AD"/>
    <w:rsid w:val="00CC57A7"/>
    <w:rsid w:val="00CC5812"/>
    <w:rsid w:val="00CC5851"/>
    <w:rsid w:val="00CC5888"/>
    <w:rsid w:val="00CC5896"/>
    <w:rsid w:val="00CC58AA"/>
    <w:rsid w:val="00CC5A4D"/>
    <w:rsid w:val="00CC5D4E"/>
    <w:rsid w:val="00CC5E24"/>
    <w:rsid w:val="00CC5EC8"/>
    <w:rsid w:val="00CC622D"/>
    <w:rsid w:val="00CC6368"/>
    <w:rsid w:val="00CC643C"/>
    <w:rsid w:val="00CC65E8"/>
    <w:rsid w:val="00CC6663"/>
    <w:rsid w:val="00CC682D"/>
    <w:rsid w:val="00CC689C"/>
    <w:rsid w:val="00CC68ED"/>
    <w:rsid w:val="00CC6B12"/>
    <w:rsid w:val="00CC6C3F"/>
    <w:rsid w:val="00CC6C56"/>
    <w:rsid w:val="00CC6CE4"/>
    <w:rsid w:val="00CC6CF6"/>
    <w:rsid w:val="00CC6F40"/>
    <w:rsid w:val="00CC7063"/>
    <w:rsid w:val="00CC707C"/>
    <w:rsid w:val="00CC7275"/>
    <w:rsid w:val="00CC7281"/>
    <w:rsid w:val="00CC747B"/>
    <w:rsid w:val="00CC75B5"/>
    <w:rsid w:val="00CC7720"/>
    <w:rsid w:val="00CC79C7"/>
    <w:rsid w:val="00CC7D56"/>
    <w:rsid w:val="00CC7E01"/>
    <w:rsid w:val="00CC7E6B"/>
    <w:rsid w:val="00CC7FF3"/>
    <w:rsid w:val="00CC7FFA"/>
    <w:rsid w:val="00CD02C2"/>
    <w:rsid w:val="00CD02D8"/>
    <w:rsid w:val="00CD0484"/>
    <w:rsid w:val="00CD058A"/>
    <w:rsid w:val="00CD0609"/>
    <w:rsid w:val="00CD08F4"/>
    <w:rsid w:val="00CD0919"/>
    <w:rsid w:val="00CD096B"/>
    <w:rsid w:val="00CD0998"/>
    <w:rsid w:val="00CD0A0C"/>
    <w:rsid w:val="00CD0E0C"/>
    <w:rsid w:val="00CD0E14"/>
    <w:rsid w:val="00CD105C"/>
    <w:rsid w:val="00CD1177"/>
    <w:rsid w:val="00CD11C7"/>
    <w:rsid w:val="00CD11D7"/>
    <w:rsid w:val="00CD129F"/>
    <w:rsid w:val="00CD14EB"/>
    <w:rsid w:val="00CD156E"/>
    <w:rsid w:val="00CD1605"/>
    <w:rsid w:val="00CD1813"/>
    <w:rsid w:val="00CD1885"/>
    <w:rsid w:val="00CD1B26"/>
    <w:rsid w:val="00CD1EC4"/>
    <w:rsid w:val="00CD2024"/>
    <w:rsid w:val="00CD223D"/>
    <w:rsid w:val="00CD2405"/>
    <w:rsid w:val="00CD2417"/>
    <w:rsid w:val="00CD25CF"/>
    <w:rsid w:val="00CD26D3"/>
    <w:rsid w:val="00CD27FC"/>
    <w:rsid w:val="00CD283C"/>
    <w:rsid w:val="00CD2D4C"/>
    <w:rsid w:val="00CD3134"/>
    <w:rsid w:val="00CD3187"/>
    <w:rsid w:val="00CD3204"/>
    <w:rsid w:val="00CD33FB"/>
    <w:rsid w:val="00CD3564"/>
    <w:rsid w:val="00CD35AC"/>
    <w:rsid w:val="00CD3653"/>
    <w:rsid w:val="00CD3656"/>
    <w:rsid w:val="00CD37F8"/>
    <w:rsid w:val="00CD3A9D"/>
    <w:rsid w:val="00CD3ACA"/>
    <w:rsid w:val="00CD3AEF"/>
    <w:rsid w:val="00CD3BEA"/>
    <w:rsid w:val="00CD3D3C"/>
    <w:rsid w:val="00CD3E41"/>
    <w:rsid w:val="00CD3EDB"/>
    <w:rsid w:val="00CD3FE0"/>
    <w:rsid w:val="00CD43CE"/>
    <w:rsid w:val="00CD4489"/>
    <w:rsid w:val="00CD4563"/>
    <w:rsid w:val="00CD4614"/>
    <w:rsid w:val="00CD462E"/>
    <w:rsid w:val="00CD46B0"/>
    <w:rsid w:val="00CD4859"/>
    <w:rsid w:val="00CD5053"/>
    <w:rsid w:val="00CD507A"/>
    <w:rsid w:val="00CD5164"/>
    <w:rsid w:val="00CD53DC"/>
    <w:rsid w:val="00CD5402"/>
    <w:rsid w:val="00CD547A"/>
    <w:rsid w:val="00CD5486"/>
    <w:rsid w:val="00CD5510"/>
    <w:rsid w:val="00CD56BD"/>
    <w:rsid w:val="00CD56F4"/>
    <w:rsid w:val="00CD57C0"/>
    <w:rsid w:val="00CD581B"/>
    <w:rsid w:val="00CD5C00"/>
    <w:rsid w:val="00CD5C88"/>
    <w:rsid w:val="00CD5D5E"/>
    <w:rsid w:val="00CD5EF5"/>
    <w:rsid w:val="00CD5FB2"/>
    <w:rsid w:val="00CD648A"/>
    <w:rsid w:val="00CD650E"/>
    <w:rsid w:val="00CD65AC"/>
    <w:rsid w:val="00CD6613"/>
    <w:rsid w:val="00CD6812"/>
    <w:rsid w:val="00CD6868"/>
    <w:rsid w:val="00CD6A1F"/>
    <w:rsid w:val="00CD6A88"/>
    <w:rsid w:val="00CD6B91"/>
    <w:rsid w:val="00CD6E13"/>
    <w:rsid w:val="00CD6E65"/>
    <w:rsid w:val="00CD7007"/>
    <w:rsid w:val="00CD714B"/>
    <w:rsid w:val="00CD7638"/>
    <w:rsid w:val="00CD76DA"/>
    <w:rsid w:val="00CD7723"/>
    <w:rsid w:val="00CD7753"/>
    <w:rsid w:val="00CD787F"/>
    <w:rsid w:val="00CD7923"/>
    <w:rsid w:val="00CD7975"/>
    <w:rsid w:val="00CD7B77"/>
    <w:rsid w:val="00CD7BB1"/>
    <w:rsid w:val="00CD7CE4"/>
    <w:rsid w:val="00CD7DCC"/>
    <w:rsid w:val="00CE02B9"/>
    <w:rsid w:val="00CE0643"/>
    <w:rsid w:val="00CE09A7"/>
    <w:rsid w:val="00CE0A5D"/>
    <w:rsid w:val="00CE0B0F"/>
    <w:rsid w:val="00CE0E5C"/>
    <w:rsid w:val="00CE0F9B"/>
    <w:rsid w:val="00CE0FBC"/>
    <w:rsid w:val="00CE1124"/>
    <w:rsid w:val="00CE112B"/>
    <w:rsid w:val="00CE113D"/>
    <w:rsid w:val="00CE1355"/>
    <w:rsid w:val="00CE13A1"/>
    <w:rsid w:val="00CE14FF"/>
    <w:rsid w:val="00CE150A"/>
    <w:rsid w:val="00CE1661"/>
    <w:rsid w:val="00CE1757"/>
    <w:rsid w:val="00CE1906"/>
    <w:rsid w:val="00CE19E2"/>
    <w:rsid w:val="00CE1A86"/>
    <w:rsid w:val="00CE1A92"/>
    <w:rsid w:val="00CE1B77"/>
    <w:rsid w:val="00CE1B94"/>
    <w:rsid w:val="00CE1CED"/>
    <w:rsid w:val="00CE1D7F"/>
    <w:rsid w:val="00CE1DF5"/>
    <w:rsid w:val="00CE2211"/>
    <w:rsid w:val="00CE237B"/>
    <w:rsid w:val="00CE24D3"/>
    <w:rsid w:val="00CE259D"/>
    <w:rsid w:val="00CE2612"/>
    <w:rsid w:val="00CE2639"/>
    <w:rsid w:val="00CE2663"/>
    <w:rsid w:val="00CE288D"/>
    <w:rsid w:val="00CE2A0B"/>
    <w:rsid w:val="00CE2B60"/>
    <w:rsid w:val="00CE2B7A"/>
    <w:rsid w:val="00CE2F68"/>
    <w:rsid w:val="00CE2FD5"/>
    <w:rsid w:val="00CE325F"/>
    <w:rsid w:val="00CE3264"/>
    <w:rsid w:val="00CE3274"/>
    <w:rsid w:val="00CE3516"/>
    <w:rsid w:val="00CE361B"/>
    <w:rsid w:val="00CE3625"/>
    <w:rsid w:val="00CE36E9"/>
    <w:rsid w:val="00CE3725"/>
    <w:rsid w:val="00CE3CC5"/>
    <w:rsid w:val="00CE3E61"/>
    <w:rsid w:val="00CE3E72"/>
    <w:rsid w:val="00CE3FBE"/>
    <w:rsid w:val="00CE411D"/>
    <w:rsid w:val="00CE440B"/>
    <w:rsid w:val="00CE451F"/>
    <w:rsid w:val="00CE473B"/>
    <w:rsid w:val="00CE4988"/>
    <w:rsid w:val="00CE499E"/>
    <w:rsid w:val="00CE49C7"/>
    <w:rsid w:val="00CE49DE"/>
    <w:rsid w:val="00CE4BA5"/>
    <w:rsid w:val="00CE4C5E"/>
    <w:rsid w:val="00CE4D34"/>
    <w:rsid w:val="00CE4D4B"/>
    <w:rsid w:val="00CE4E74"/>
    <w:rsid w:val="00CE4F77"/>
    <w:rsid w:val="00CE502F"/>
    <w:rsid w:val="00CE5138"/>
    <w:rsid w:val="00CE5149"/>
    <w:rsid w:val="00CE548E"/>
    <w:rsid w:val="00CE5546"/>
    <w:rsid w:val="00CE55E0"/>
    <w:rsid w:val="00CE581B"/>
    <w:rsid w:val="00CE5940"/>
    <w:rsid w:val="00CE5993"/>
    <w:rsid w:val="00CE5A96"/>
    <w:rsid w:val="00CE5B5B"/>
    <w:rsid w:val="00CE5C3F"/>
    <w:rsid w:val="00CE5D8B"/>
    <w:rsid w:val="00CE5DC8"/>
    <w:rsid w:val="00CE5F93"/>
    <w:rsid w:val="00CE604D"/>
    <w:rsid w:val="00CE604F"/>
    <w:rsid w:val="00CE60A3"/>
    <w:rsid w:val="00CE61C2"/>
    <w:rsid w:val="00CE64FD"/>
    <w:rsid w:val="00CE68A6"/>
    <w:rsid w:val="00CE6946"/>
    <w:rsid w:val="00CE6994"/>
    <w:rsid w:val="00CE69B4"/>
    <w:rsid w:val="00CE6C56"/>
    <w:rsid w:val="00CE6EC5"/>
    <w:rsid w:val="00CE6F05"/>
    <w:rsid w:val="00CE704F"/>
    <w:rsid w:val="00CE714D"/>
    <w:rsid w:val="00CE71A2"/>
    <w:rsid w:val="00CE73A4"/>
    <w:rsid w:val="00CE7410"/>
    <w:rsid w:val="00CE7446"/>
    <w:rsid w:val="00CE745A"/>
    <w:rsid w:val="00CE76CC"/>
    <w:rsid w:val="00CE7827"/>
    <w:rsid w:val="00CE7B26"/>
    <w:rsid w:val="00CE7B8B"/>
    <w:rsid w:val="00CE7BE9"/>
    <w:rsid w:val="00CE7BFB"/>
    <w:rsid w:val="00CE7D04"/>
    <w:rsid w:val="00CE7E02"/>
    <w:rsid w:val="00CE7EAA"/>
    <w:rsid w:val="00CE7F05"/>
    <w:rsid w:val="00CF00B1"/>
    <w:rsid w:val="00CF011A"/>
    <w:rsid w:val="00CF01A8"/>
    <w:rsid w:val="00CF022E"/>
    <w:rsid w:val="00CF06D7"/>
    <w:rsid w:val="00CF07E9"/>
    <w:rsid w:val="00CF08EA"/>
    <w:rsid w:val="00CF0C57"/>
    <w:rsid w:val="00CF0F9B"/>
    <w:rsid w:val="00CF0FC9"/>
    <w:rsid w:val="00CF1147"/>
    <w:rsid w:val="00CF16A0"/>
    <w:rsid w:val="00CF1AC1"/>
    <w:rsid w:val="00CF1B1F"/>
    <w:rsid w:val="00CF1BD5"/>
    <w:rsid w:val="00CF1FC8"/>
    <w:rsid w:val="00CF220B"/>
    <w:rsid w:val="00CF22B7"/>
    <w:rsid w:val="00CF23BA"/>
    <w:rsid w:val="00CF24ED"/>
    <w:rsid w:val="00CF28D3"/>
    <w:rsid w:val="00CF2AE7"/>
    <w:rsid w:val="00CF2B42"/>
    <w:rsid w:val="00CF2BB2"/>
    <w:rsid w:val="00CF2BBC"/>
    <w:rsid w:val="00CF2DBC"/>
    <w:rsid w:val="00CF2F60"/>
    <w:rsid w:val="00CF30C7"/>
    <w:rsid w:val="00CF3341"/>
    <w:rsid w:val="00CF35B5"/>
    <w:rsid w:val="00CF3653"/>
    <w:rsid w:val="00CF3773"/>
    <w:rsid w:val="00CF395C"/>
    <w:rsid w:val="00CF398E"/>
    <w:rsid w:val="00CF3A62"/>
    <w:rsid w:val="00CF3C83"/>
    <w:rsid w:val="00CF3CC9"/>
    <w:rsid w:val="00CF3E0A"/>
    <w:rsid w:val="00CF3EC8"/>
    <w:rsid w:val="00CF410B"/>
    <w:rsid w:val="00CF41FE"/>
    <w:rsid w:val="00CF4222"/>
    <w:rsid w:val="00CF4378"/>
    <w:rsid w:val="00CF43B6"/>
    <w:rsid w:val="00CF475E"/>
    <w:rsid w:val="00CF4906"/>
    <w:rsid w:val="00CF4965"/>
    <w:rsid w:val="00CF4EA4"/>
    <w:rsid w:val="00CF4F42"/>
    <w:rsid w:val="00CF4FAC"/>
    <w:rsid w:val="00CF512C"/>
    <w:rsid w:val="00CF5270"/>
    <w:rsid w:val="00CF52B0"/>
    <w:rsid w:val="00CF533A"/>
    <w:rsid w:val="00CF546F"/>
    <w:rsid w:val="00CF55BC"/>
    <w:rsid w:val="00CF57E6"/>
    <w:rsid w:val="00CF5935"/>
    <w:rsid w:val="00CF5ADB"/>
    <w:rsid w:val="00CF5AE0"/>
    <w:rsid w:val="00CF5C97"/>
    <w:rsid w:val="00CF5D22"/>
    <w:rsid w:val="00CF5E60"/>
    <w:rsid w:val="00CF5FA1"/>
    <w:rsid w:val="00CF5FC2"/>
    <w:rsid w:val="00CF6037"/>
    <w:rsid w:val="00CF60CF"/>
    <w:rsid w:val="00CF615D"/>
    <w:rsid w:val="00CF621A"/>
    <w:rsid w:val="00CF638F"/>
    <w:rsid w:val="00CF65F0"/>
    <w:rsid w:val="00CF674A"/>
    <w:rsid w:val="00CF6B4C"/>
    <w:rsid w:val="00CF6BD3"/>
    <w:rsid w:val="00CF6C2D"/>
    <w:rsid w:val="00CF6C40"/>
    <w:rsid w:val="00CF6C50"/>
    <w:rsid w:val="00CF6D56"/>
    <w:rsid w:val="00CF7139"/>
    <w:rsid w:val="00CF7542"/>
    <w:rsid w:val="00CF7AAD"/>
    <w:rsid w:val="00CF7BE9"/>
    <w:rsid w:val="00CF7CC9"/>
    <w:rsid w:val="00CF7EA8"/>
    <w:rsid w:val="00D002E8"/>
    <w:rsid w:val="00D00304"/>
    <w:rsid w:val="00D0032E"/>
    <w:rsid w:val="00D00635"/>
    <w:rsid w:val="00D0076C"/>
    <w:rsid w:val="00D007C8"/>
    <w:rsid w:val="00D00884"/>
    <w:rsid w:val="00D0090B"/>
    <w:rsid w:val="00D00920"/>
    <w:rsid w:val="00D0095E"/>
    <w:rsid w:val="00D00AAC"/>
    <w:rsid w:val="00D00B61"/>
    <w:rsid w:val="00D00D51"/>
    <w:rsid w:val="00D00E10"/>
    <w:rsid w:val="00D00EB3"/>
    <w:rsid w:val="00D00F7E"/>
    <w:rsid w:val="00D011F7"/>
    <w:rsid w:val="00D0125F"/>
    <w:rsid w:val="00D01496"/>
    <w:rsid w:val="00D014CF"/>
    <w:rsid w:val="00D0190D"/>
    <w:rsid w:val="00D0191A"/>
    <w:rsid w:val="00D019A4"/>
    <w:rsid w:val="00D01A53"/>
    <w:rsid w:val="00D01ABD"/>
    <w:rsid w:val="00D01CE2"/>
    <w:rsid w:val="00D01D2B"/>
    <w:rsid w:val="00D01F09"/>
    <w:rsid w:val="00D01FDF"/>
    <w:rsid w:val="00D02173"/>
    <w:rsid w:val="00D02382"/>
    <w:rsid w:val="00D02390"/>
    <w:rsid w:val="00D0239A"/>
    <w:rsid w:val="00D0297F"/>
    <w:rsid w:val="00D02995"/>
    <w:rsid w:val="00D02B91"/>
    <w:rsid w:val="00D02D25"/>
    <w:rsid w:val="00D02D80"/>
    <w:rsid w:val="00D02EEF"/>
    <w:rsid w:val="00D02FB3"/>
    <w:rsid w:val="00D0347E"/>
    <w:rsid w:val="00D035BF"/>
    <w:rsid w:val="00D035E4"/>
    <w:rsid w:val="00D03610"/>
    <w:rsid w:val="00D03A75"/>
    <w:rsid w:val="00D03B52"/>
    <w:rsid w:val="00D03BC8"/>
    <w:rsid w:val="00D03D2E"/>
    <w:rsid w:val="00D041C9"/>
    <w:rsid w:val="00D042F3"/>
    <w:rsid w:val="00D0435A"/>
    <w:rsid w:val="00D04471"/>
    <w:rsid w:val="00D04614"/>
    <w:rsid w:val="00D0486B"/>
    <w:rsid w:val="00D04943"/>
    <w:rsid w:val="00D04B93"/>
    <w:rsid w:val="00D04BDC"/>
    <w:rsid w:val="00D04C84"/>
    <w:rsid w:val="00D04D00"/>
    <w:rsid w:val="00D04D0D"/>
    <w:rsid w:val="00D04DAA"/>
    <w:rsid w:val="00D04E6C"/>
    <w:rsid w:val="00D04E85"/>
    <w:rsid w:val="00D04EE8"/>
    <w:rsid w:val="00D050E9"/>
    <w:rsid w:val="00D054DC"/>
    <w:rsid w:val="00D0554F"/>
    <w:rsid w:val="00D05695"/>
    <w:rsid w:val="00D056F3"/>
    <w:rsid w:val="00D05963"/>
    <w:rsid w:val="00D05A52"/>
    <w:rsid w:val="00D05AD2"/>
    <w:rsid w:val="00D05CC3"/>
    <w:rsid w:val="00D05D23"/>
    <w:rsid w:val="00D05E9A"/>
    <w:rsid w:val="00D05ED5"/>
    <w:rsid w:val="00D060B6"/>
    <w:rsid w:val="00D06A24"/>
    <w:rsid w:val="00D06C9B"/>
    <w:rsid w:val="00D06CA5"/>
    <w:rsid w:val="00D06E13"/>
    <w:rsid w:val="00D06E3C"/>
    <w:rsid w:val="00D07800"/>
    <w:rsid w:val="00D078F1"/>
    <w:rsid w:val="00D07B5A"/>
    <w:rsid w:val="00D07BC2"/>
    <w:rsid w:val="00D07D49"/>
    <w:rsid w:val="00D10238"/>
    <w:rsid w:val="00D1059D"/>
    <w:rsid w:val="00D105EA"/>
    <w:rsid w:val="00D10611"/>
    <w:rsid w:val="00D10656"/>
    <w:rsid w:val="00D10672"/>
    <w:rsid w:val="00D106BE"/>
    <w:rsid w:val="00D10757"/>
    <w:rsid w:val="00D10E04"/>
    <w:rsid w:val="00D10EA1"/>
    <w:rsid w:val="00D10EAA"/>
    <w:rsid w:val="00D11011"/>
    <w:rsid w:val="00D1117B"/>
    <w:rsid w:val="00D114FB"/>
    <w:rsid w:val="00D11567"/>
    <w:rsid w:val="00D11579"/>
    <w:rsid w:val="00D11706"/>
    <w:rsid w:val="00D11724"/>
    <w:rsid w:val="00D1191B"/>
    <w:rsid w:val="00D11A62"/>
    <w:rsid w:val="00D11AAE"/>
    <w:rsid w:val="00D11D6F"/>
    <w:rsid w:val="00D11DE2"/>
    <w:rsid w:val="00D12027"/>
    <w:rsid w:val="00D125AB"/>
    <w:rsid w:val="00D12775"/>
    <w:rsid w:val="00D12821"/>
    <w:rsid w:val="00D12A75"/>
    <w:rsid w:val="00D12B13"/>
    <w:rsid w:val="00D12DF8"/>
    <w:rsid w:val="00D13159"/>
    <w:rsid w:val="00D135A6"/>
    <w:rsid w:val="00D13652"/>
    <w:rsid w:val="00D137CB"/>
    <w:rsid w:val="00D138C7"/>
    <w:rsid w:val="00D13929"/>
    <w:rsid w:val="00D139EF"/>
    <w:rsid w:val="00D13B91"/>
    <w:rsid w:val="00D13C0A"/>
    <w:rsid w:val="00D13C96"/>
    <w:rsid w:val="00D13DF7"/>
    <w:rsid w:val="00D141BE"/>
    <w:rsid w:val="00D14236"/>
    <w:rsid w:val="00D14318"/>
    <w:rsid w:val="00D1489E"/>
    <w:rsid w:val="00D14DFB"/>
    <w:rsid w:val="00D15334"/>
    <w:rsid w:val="00D1538A"/>
    <w:rsid w:val="00D154B0"/>
    <w:rsid w:val="00D15640"/>
    <w:rsid w:val="00D157B1"/>
    <w:rsid w:val="00D15C2A"/>
    <w:rsid w:val="00D15C56"/>
    <w:rsid w:val="00D15D90"/>
    <w:rsid w:val="00D15E94"/>
    <w:rsid w:val="00D15FB6"/>
    <w:rsid w:val="00D16030"/>
    <w:rsid w:val="00D1607A"/>
    <w:rsid w:val="00D16080"/>
    <w:rsid w:val="00D1608A"/>
    <w:rsid w:val="00D1614B"/>
    <w:rsid w:val="00D16341"/>
    <w:rsid w:val="00D163BB"/>
    <w:rsid w:val="00D163DA"/>
    <w:rsid w:val="00D16440"/>
    <w:rsid w:val="00D16477"/>
    <w:rsid w:val="00D16604"/>
    <w:rsid w:val="00D16954"/>
    <w:rsid w:val="00D16D7E"/>
    <w:rsid w:val="00D16E2C"/>
    <w:rsid w:val="00D16E97"/>
    <w:rsid w:val="00D16F61"/>
    <w:rsid w:val="00D16FBC"/>
    <w:rsid w:val="00D1719F"/>
    <w:rsid w:val="00D1730E"/>
    <w:rsid w:val="00D1757A"/>
    <w:rsid w:val="00D17690"/>
    <w:rsid w:val="00D17823"/>
    <w:rsid w:val="00D17928"/>
    <w:rsid w:val="00D17ACF"/>
    <w:rsid w:val="00D17B21"/>
    <w:rsid w:val="00D17B4C"/>
    <w:rsid w:val="00D17C6F"/>
    <w:rsid w:val="00D17CEC"/>
    <w:rsid w:val="00D17D56"/>
    <w:rsid w:val="00D17D5A"/>
    <w:rsid w:val="00D17DCD"/>
    <w:rsid w:val="00D20153"/>
    <w:rsid w:val="00D201D7"/>
    <w:rsid w:val="00D202C5"/>
    <w:rsid w:val="00D2039C"/>
    <w:rsid w:val="00D2070E"/>
    <w:rsid w:val="00D2093B"/>
    <w:rsid w:val="00D20ADB"/>
    <w:rsid w:val="00D20B43"/>
    <w:rsid w:val="00D20B90"/>
    <w:rsid w:val="00D20C73"/>
    <w:rsid w:val="00D20F0C"/>
    <w:rsid w:val="00D20F8F"/>
    <w:rsid w:val="00D21014"/>
    <w:rsid w:val="00D211CE"/>
    <w:rsid w:val="00D21230"/>
    <w:rsid w:val="00D212A6"/>
    <w:rsid w:val="00D2130B"/>
    <w:rsid w:val="00D213BF"/>
    <w:rsid w:val="00D214F9"/>
    <w:rsid w:val="00D21633"/>
    <w:rsid w:val="00D216A9"/>
    <w:rsid w:val="00D216E8"/>
    <w:rsid w:val="00D21769"/>
    <w:rsid w:val="00D21930"/>
    <w:rsid w:val="00D219B0"/>
    <w:rsid w:val="00D21AB6"/>
    <w:rsid w:val="00D21F00"/>
    <w:rsid w:val="00D22233"/>
    <w:rsid w:val="00D22498"/>
    <w:rsid w:val="00D22582"/>
    <w:rsid w:val="00D226C4"/>
    <w:rsid w:val="00D229DB"/>
    <w:rsid w:val="00D22DC7"/>
    <w:rsid w:val="00D22E2B"/>
    <w:rsid w:val="00D22FA0"/>
    <w:rsid w:val="00D22FBF"/>
    <w:rsid w:val="00D231A7"/>
    <w:rsid w:val="00D23394"/>
    <w:rsid w:val="00D233E1"/>
    <w:rsid w:val="00D234A2"/>
    <w:rsid w:val="00D2354E"/>
    <w:rsid w:val="00D236E7"/>
    <w:rsid w:val="00D236F4"/>
    <w:rsid w:val="00D23796"/>
    <w:rsid w:val="00D23871"/>
    <w:rsid w:val="00D23FA0"/>
    <w:rsid w:val="00D23FBA"/>
    <w:rsid w:val="00D242DA"/>
    <w:rsid w:val="00D242F9"/>
    <w:rsid w:val="00D2453A"/>
    <w:rsid w:val="00D245DB"/>
    <w:rsid w:val="00D2471D"/>
    <w:rsid w:val="00D248A9"/>
    <w:rsid w:val="00D24AFB"/>
    <w:rsid w:val="00D24C5A"/>
    <w:rsid w:val="00D24EB2"/>
    <w:rsid w:val="00D24ECA"/>
    <w:rsid w:val="00D24EF8"/>
    <w:rsid w:val="00D24F86"/>
    <w:rsid w:val="00D2510C"/>
    <w:rsid w:val="00D253B4"/>
    <w:rsid w:val="00D2555E"/>
    <w:rsid w:val="00D2560D"/>
    <w:rsid w:val="00D2595C"/>
    <w:rsid w:val="00D25AC8"/>
    <w:rsid w:val="00D25B82"/>
    <w:rsid w:val="00D25BF3"/>
    <w:rsid w:val="00D25C7A"/>
    <w:rsid w:val="00D25DFF"/>
    <w:rsid w:val="00D25E1E"/>
    <w:rsid w:val="00D25E43"/>
    <w:rsid w:val="00D25FED"/>
    <w:rsid w:val="00D26101"/>
    <w:rsid w:val="00D2617E"/>
    <w:rsid w:val="00D26303"/>
    <w:rsid w:val="00D26329"/>
    <w:rsid w:val="00D263C0"/>
    <w:rsid w:val="00D264E3"/>
    <w:rsid w:val="00D26793"/>
    <w:rsid w:val="00D26945"/>
    <w:rsid w:val="00D26CB4"/>
    <w:rsid w:val="00D26D2D"/>
    <w:rsid w:val="00D26D37"/>
    <w:rsid w:val="00D27172"/>
    <w:rsid w:val="00D2732B"/>
    <w:rsid w:val="00D27395"/>
    <w:rsid w:val="00D273CF"/>
    <w:rsid w:val="00D27461"/>
    <w:rsid w:val="00D275B9"/>
    <w:rsid w:val="00D27620"/>
    <w:rsid w:val="00D2763A"/>
    <w:rsid w:val="00D27925"/>
    <w:rsid w:val="00D27A92"/>
    <w:rsid w:val="00D27CE7"/>
    <w:rsid w:val="00D27FBF"/>
    <w:rsid w:val="00D30081"/>
    <w:rsid w:val="00D3027E"/>
    <w:rsid w:val="00D3028A"/>
    <w:rsid w:val="00D303C8"/>
    <w:rsid w:val="00D304C0"/>
    <w:rsid w:val="00D305E6"/>
    <w:rsid w:val="00D3062A"/>
    <w:rsid w:val="00D308E8"/>
    <w:rsid w:val="00D30ABA"/>
    <w:rsid w:val="00D30C6C"/>
    <w:rsid w:val="00D30CD6"/>
    <w:rsid w:val="00D30D77"/>
    <w:rsid w:val="00D30E08"/>
    <w:rsid w:val="00D30F13"/>
    <w:rsid w:val="00D30F89"/>
    <w:rsid w:val="00D31125"/>
    <w:rsid w:val="00D31195"/>
    <w:rsid w:val="00D313AA"/>
    <w:rsid w:val="00D315B3"/>
    <w:rsid w:val="00D3176E"/>
    <w:rsid w:val="00D318FA"/>
    <w:rsid w:val="00D31A94"/>
    <w:rsid w:val="00D31C81"/>
    <w:rsid w:val="00D3202C"/>
    <w:rsid w:val="00D3207C"/>
    <w:rsid w:val="00D320B5"/>
    <w:rsid w:val="00D32291"/>
    <w:rsid w:val="00D32309"/>
    <w:rsid w:val="00D32472"/>
    <w:rsid w:val="00D32594"/>
    <w:rsid w:val="00D325CA"/>
    <w:rsid w:val="00D32715"/>
    <w:rsid w:val="00D32844"/>
    <w:rsid w:val="00D32909"/>
    <w:rsid w:val="00D329ED"/>
    <w:rsid w:val="00D32A63"/>
    <w:rsid w:val="00D32A67"/>
    <w:rsid w:val="00D32B5D"/>
    <w:rsid w:val="00D32D04"/>
    <w:rsid w:val="00D3319B"/>
    <w:rsid w:val="00D332A1"/>
    <w:rsid w:val="00D33647"/>
    <w:rsid w:val="00D33889"/>
    <w:rsid w:val="00D338CE"/>
    <w:rsid w:val="00D339EC"/>
    <w:rsid w:val="00D33AC8"/>
    <w:rsid w:val="00D33B37"/>
    <w:rsid w:val="00D33B5B"/>
    <w:rsid w:val="00D33C35"/>
    <w:rsid w:val="00D33C65"/>
    <w:rsid w:val="00D33CC8"/>
    <w:rsid w:val="00D33D23"/>
    <w:rsid w:val="00D33DDB"/>
    <w:rsid w:val="00D34044"/>
    <w:rsid w:val="00D341B4"/>
    <w:rsid w:val="00D345F5"/>
    <w:rsid w:val="00D34B60"/>
    <w:rsid w:val="00D34C4E"/>
    <w:rsid w:val="00D34CF6"/>
    <w:rsid w:val="00D34EB0"/>
    <w:rsid w:val="00D34F72"/>
    <w:rsid w:val="00D35121"/>
    <w:rsid w:val="00D351E4"/>
    <w:rsid w:val="00D35768"/>
    <w:rsid w:val="00D35A80"/>
    <w:rsid w:val="00D35BF3"/>
    <w:rsid w:val="00D36097"/>
    <w:rsid w:val="00D360B4"/>
    <w:rsid w:val="00D36172"/>
    <w:rsid w:val="00D363F0"/>
    <w:rsid w:val="00D36416"/>
    <w:rsid w:val="00D3649B"/>
    <w:rsid w:val="00D36997"/>
    <w:rsid w:val="00D369A7"/>
    <w:rsid w:val="00D36B68"/>
    <w:rsid w:val="00D36B96"/>
    <w:rsid w:val="00D36BDF"/>
    <w:rsid w:val="00D36C8F"/>
    <w:rsid w:val="00D36C97"/>
    <w:rsid w:val="00D36EE4"/>
    <w:rsid w:val="00D36FCB"/>
    <w:rsid w:val="00D371D8"/>
    <w:rsid w:val="00D372FE"/>
    <w:rsid w:val="00D37621"/>
    <w:rsid w:val="00D37759"/>
    <w:rsid w:val="00D3784B"/>
    <w:rsid w:val="00D378C6"/>
    <w:rsid w:val="00D37917"/>
    <w:rsid w:val="00D37A3B"/>
    <w:rsid w:val="00D37BEB"/>
    <w:rsid w:val="00D37D89"/>
    <w:rsid w:val="00D400A9"/>
    <w:rsid w:val="00D40198"/>
    <w:rsid w:val="00D40394"/>
    <w:rsid w:val="00D40424"/>
    <w:rsid w:val="00D4054F"/>
    <w:rsid w:val="00D406D8"/>
    <w:rsid w:val="00D408B1"/>
    <w:rsid w:val="00D4098A"/>
    <w:rsid w:val="00D409D2"/>
    <w:rsid w:val="00D40BBC"/>
    <w:rsid w:val="00D40BED"/>
    <w:rsid w:val="00D40C60"/>
    <w:rsid w:val="00D40CC6"/>
    <w:rsid w:val="00D40D03"/>
    <w:rsid w:val="00D40ED7"/>
    <w:rsid w:val="00D40F65"/>
    <w:rsid w:val="00D41100"/>
    <w:rsid w:val="00D41193"/>
    <w:rsid w:val="00D4122D"/>
    <w:rsid w:val="00D4122E"/>
    <w:rsid w:val="00D4132D"/>
    <w:rsid w:val="00D4141A"/>
    <w:rsid w:val="00D4158E"/>
    <w:rsid w:val="00D41641"/>
    <w:rsid w:val="00D41687"/>
    <w:rsid w:val="00D41743"/>
    <w:rsid w:val="00D417BA"/>
    <w:rsid w:val="00D41860"/>
    <w:rsid w:val="00D41AED"/>
    <w:rsid w:val="00D41EA4"/>
    <w:rsid w:val="00D41F74"/>
    <w:rsid w:val="00D41FE0"/>
    <w:rsid w:val="00D420AD"/>
    <w:rsid w:val="00D421A4"/>
    <w:rsid w:val="00D421B9"/>
    <w:rsid w:val="00D421D6"/>
    <w:rsid w:val="00D422AE"/>
    <w:rsid w:val="00D42397"/>
    <w:rsid w:val="00D42560"/>
    <w:rsid w:val="00D42849"/>
    <w:rsid w:val="00D42CEB"/>
    <w:rsid w:val="00D42F12"/>
    <w:rsid w:val="00D42F79"/>
    <w:rsid w:val="00D43041"/>
    <w:rsid w:val="00D43059"/>
    <w:rsid w:val="00D43114"/>
    <w:rsid w:val="00D4328F"/>
    <w:rsid w:val="00D432AA"/>
    <w:rsid w:val="00D43742"/>
    <w:rsid w:val="00D43906"/>
    <w:rsid w:val="00D439EF"/>
    <w:rsid w:val="00D43A08"/>
    <w:rsid w:val="00D43E75"/>
    <w:rsid w:val="00D43FA0"/>
    <w:rsid w:val="00D44134"/>
    <w:rsid w:val="00D441D3"/>
    <w:rsid w:val="00D4423B"/>
    <w:rsid w:val="00D444B2"/>
    <w:rsid w:val="00D448F5"/>
    <w:rsid w:val="00D44911"/>
    <w:rsid w:val="00D44A3C"/>
    <w:rsid w:val="00D44AC2"/>
    <w:rsid w:val="00D44B78"/>
    <w:rsid w:val="00D44B99"/>
    <w:rsid w:val="00D44BAF"/>
    <w:rsid w:val="00D44BE1"/>
    <w:rsid w:val="00D44E83"/>
    <w:rsid w:val="00D44E88"/>
    <w:rsid w:val="00D44E9E"/>
    <w:rsid w:val="00D44F92"/>
    <w:rsid w:val="00D44F9F"/>
    <w:rsid w:val="00D44FE7"/>
    <w:rsid w:val="00D44FF2"/>
    <w:rsid w:val="00D451DA"/>
    <w:rsid w:val="00D45388"/>
    <w:rsid w:val="00D45602"/>
    <w:rsid w:val="00D4568E"/>
    <w:rsid w:val="00D459DB"/>
    <w:rsid w:val="00D45B59"/>
    <w:rsid w:val="00D45B87"/>
    <w:rsid w:val="00D45E19"/>
    <w:rsid w:val="00D45F72"/>
    <w:rsid w:val="00D4609B"/>
    <w:rsid w:val="00D460D4"/>
    <w:rsid w:val="00D462E1"/>
    <w:rsid w:val="00D463A4"/>
    <w:rsid w:val="00D463F3"/>
    <w:rsid w:val="00D465ED"/>
    <w:rsid w:val="00D466DE"/>
    <w:rsid w:val="00D468AF"/>
    <w:rsid w:val="00D46BBC"/>
    <w:rsid w:val="00D46E6B"/>
    <w:rsid w:val="00D47101"/>
    <w:rsid w:val="00D47355"/>
    <w:rsid w:val="00D47478"/>
    <w:rsid w:val="00D475B4"/>
    <w:rsid w:val="00D47624"/>
    <w:rsid w:val="00D477E7"/>
    <w:rsid w:val="00D47827"/>
    <w:rsid w:val="00D47B9B"/>
    <w:rsid w:val="00D47BE2"/>
    <w:rsid w:val="00D47C9D"/>
    <w:rsid w:val="00D47CA5"/>
    <w:rsid w:val="00D47E39"/>
    <w:rsid w:val="00D47E52"/>
    <w:rsid w:val="00D47E7D"/>
    <w:rsid w:val="00D47F71"/>
    <w:rsid w:val="00D47FA3"/>
    <w:rsid w:val="00D500A5"/>
    <w:rsid w:val="00D500FD"/>
    <w:rsid w:val="00D50148"/>
    <w:rsid w:val="00D508C2"/>
    <w:rsid w:val="00D5098F"/>
    <w:rsid w:val="00D50AED"/>
    <w:rsid w:val="00D50FC2"/>
    <w:rsid w:val="00D51017"/>
    <w:rsid w:val="00D51094"/>
    <w:rsid w:val="00D51199"/>
    <w:rsid w:val="00D5125D"/>
    <w:rsid w:val="00D5141A"/>
    <w:rsid w:val="00D51699"/>
    <w:rsid w:val="00D517E0"/>
    <w:rsid w:val="00D51861"/>
    <w:rsid w:val="00D51CD4"/>
    <w:rsid w:val="00D51CD6"/>
    <w:rsid w:val="00D51D00"/>
    <w:rsid w:val="00D51ED2"/>
    <w:rsid w:val="00D51F01"/>
    <w:rsid w:val="00D51F2D"/>
    <w:rsid w:val="00D51F56"/>
    <w:rsid w:val="00D51F8D"/>
    <w:rsid w:val="00D521E8"/>
    <w:rsid w:val="00D52385"/>
    <w:rsid w:val="00D523A9"/>
    <w:rsid w:val="00D52495"/>
    <w:rsid w:val="00D5268D"/>
    <w:rsid w:val="00D52756"/>
    <w:rsid w:val="00D52C7E"/>
    <w:rsid w:val="00D52D4A"/>
    <w:rsid w:val="00D52DFF"/>
    <w:rsid w:val="00D52E24"/>
    <w:rsid w:val="00D52EAE"/>
    <w:rsid w:val="00D52F42"/>
    <w:rsid w:val="00D538FE"/>
    <w:rsid w:val="00D5392D"/>
    <w:rsid w:val="00D53B0E"/>
    <w:rsid w:val="00D5411E"/>
    <w:rsid w:val="00D541A9"/>
    <w:rsid w:val="00D54299"/>
    <w:rsid w:val="00D54795"/>
    <w:rsid w:val="00D549DA"/>
    <w:rsid w:val="00D54A77"/>
    <w:rsid w:val="00D54C7B"/>
    <w:rsid w:val="00D54E78"/>
    <w:rsid w:val="00D5505C"/>
    <w:rsid w:val="00D552FB"/>
    <w:rsid w:val="00D558B5"/>
    <w:rsid w:val="00D55D92"/>
    <w:rsid w:val="00D55E32"/>
    <w:rsid w:val="00D55EB3"/>
    <w:rsid w:val="00D55FC0"/>
    <w:rsid w:val="00D560B5"/>
    <w:rsid w:val="00D560E5"/>
    <w:rsid w:val="00D56191"/>
    <w:rsid w:val="00D5620B"/>
    <w:rsid w:val="00D563D5"/>
    <w:rsid w:val="00D56483"/>
    <w:rsid w:val="00D56504"/>
    <w:rsid w:val="00D567B8"/>
    <w:rsid w:val="00D567BE"/>
    <w:rsid w:val="00D56867"/>
    <w:rsid w:val="00D56B54"/>
    <w:rsid w:val="00D56CCA"/>
    <w:rsid w:val="00D56DD2"/>
    <w:rsid w:val="00D56F2F"/>
    <w:rsid w:val="00D57026"/>
    <w:rsid w:val="00D5711C"/>
    <w:rsid w:val="00D57290"/>
    <w:rsid w:val="00D5734D"/>
    <w:rsid w:val="00D576ED"/>
    <w:rsid w:val="00D5789C"/>
    <w:rsid w:val="00D5795F"/>
    <w:rsid w:val="00D57D64"/>
    <w:rsid w:val="00D6009A"/>
    <w:rsid w:val="00D604F7"/>
    <w:rsid w:val="00D605AA"/>
    <w:rsid w:val="00D60644"/>
    <w:rsid w:val="00D606F0"/>
    <w:rsid w:val="00D6073C"/>
    <w:rsid w:val="00D60BDE"/>
    <w:rsid w:val="00D60C34"/>
    <w:rsid w:val="00D60C72"/>
    <w:rsid w:val="00D60D9A"/>
    <w:rsid w:val="00D60DA0"/>
    <w:rsid w:val="00D60E2C"/>
    <w:rsid w:val="00D60F46"/>
    <w:rsid w:val="00D614F4"/>
    <w:rsid w:val="00D615BA"/>
    <w:rsid w:val="00D61717"/>
    <w:rsid w:val="00D6172B"/>
    <w:rsid w:val="00D617DB"/>
    <w:rsid w:val="00D61E57"/>
    <w:rsid w:val="00D61F95"/>
    <w:rsid w:val="00D62039"/>
    <w:rsid w:val="00D621B7"/>
    <w:rsid w:val="00D621C0"/>
    <w:rsid w:val="00D62273"/>
    <w:rsid w:val="00D6227C"/>
    <w:rsid w:val="00D6272E"/>
    <w:rsid w:val="00D6273B"/>
    <w:rsid w:val="00D62816"/>
    <w:rsid w:val="00D62851"/>
    <w:rsid w:val="00D62858"/>
    <w:rsid w:val="00D628FA"/>
    <w:rsid w:val="00D62996"/>
    <w:rsid w:val="00D62C0E"/>
    <w:rsid w:val="00D62C4F"/>
    <w:rsid w:val="00D62CBF"/>
    <w:rsid w:val="00D62D01"/>
    <w:rsid w:val="00D62D74"/>
    <w:rsid w:val="00D62DA1"/>
    <w:rsid w:val="00D630A6"/>
    <w:rsid w:val="00D630D1"/>
    <w:rsid w:val="00D63126"/>
    <w:rsid w:val="00D6316E"/>
    <w:rsid w:val="00D63331"/>
    <w:rsid w:val="00D633CD"/>
    <w:rsid w:val="00D633F0"/>
    <w:rsid w:val="00D634A8"/>
    <w:rsid w:val="00D63555"/>
    <w:rsid w:val="00D635FE"/>
    <w:rsid w:val="00D63656"/>
    <w:rsid w:val="00D6374E"/>
    <w:rsid w:val="00D63AC3"/>
    <w:rsid w:val="00D63ADD"/>
    <w:rsid w:val="00D63AE2"/>
    <w:rsid w:val="00D63B49"/>
    <w:rsid w:val="00D63BA2"/>
    <w:rsid w:val="00D63C2A"/>
    <w:rsid w:val="00D63C6A"/>
    <w:rsid w:val="00D63D23"/>
    <w:rsid w:val="00D63E71"/>
    <w:rsid w:val="00D63E9D"/>
    <w:rsid w:val="00D63F99"/>
    <w:rsid w:val="00D63F9D"/>
    <w:rsid w:val="00D64132"/>
    <w:rsid w:val="00D6437B"/>
    <w:rsid w:val="00D6462E"/>
    <w:rsid w:val="00D64894"/>
    <w:rsid w:val="00D64C91"/>
    <w:rsid w:val="00D64E4C"/>
    <w:rsid w:val="00D652D8"/>
    <w:rsid w:val="00D658DF"/>
    <w:rsid w:val="00D65B01"/>
    <w:rsid w:val="00D65B21"/>
    <w:rsid w:val="00D65B9E"/>
    <w:rsid w:val="00D65D3B"/>
    <w:rsid w:val="00D65DAC"/>
    <w:rsid w:val="00D65ECC"/>
    <w:rsid w:val="00D65EE1"/>
    <w:rsid w:val="00D65F93"/>
    <w:rsid w:val="00D65F9C"/>
    <w:rsid w:val="00D65FDF"/>
    <w:rsid w:val="00D6602A"/>
    <w:rsid w:val="00D6630C"/>
    <w:rsid w:val="00D6637E"/>
    <w:rsid w:val="00D663C7"/>
    <w:rsid w:val="00D6644E"/>
    <w:rsid w:val="00D66680"/>
    <w:rsid w:val="00D66706"/>
    <w:rsid w:val="00D6672C"/>
    <w:rsid w:val="00D66784"/>
    <w:rsid w:val="00D66885"/>
    <w:rsid w:val="00D668EC"/>
    <w:rsid w:val="00D669C1"/>
    <w:rsid w:val="00D66A01"/>
    <w:rsid w:val="00D66A04"/>
    <w:rsid w:val="00D66C73"/>
    <w:rsid w:val="00D66EE7"/>
    <w:rsid w:val="00D66EF3"/>
    <w:rsid w:val="00D670B5"/>
    <w:rsid w:val="00D67219"/>
    <w:rsid w:val="00D67292"/>
    <w:rsid w:val="00D6742C"/>
    <w:rsid w:val="00D67556"/>
    <w:rsid w:val="00D6757C"/>
    <w:rsid w:val="00D67672"/>
    <w:rsid w:val="00D67874"/>
    <w:rsid w:val="00D678C1"/>
    <w:rsid w:val="00D67A4E"/>
    <w:rsid w:val="00D67B10"/>
    <w:rsid w:val="00D67BAD"/>
    <w:rsid w:val="00D67C0D"/>
    <w:rsid w:val="00D67CD9"/>
    <w:rsid w:val="00D700DA"/>
    <w:rsid w:val="00D705DD"/>
    <w:rsid w:val="00D7065D"/>
    <w:rsid w:val="00D706DA"/>
    <w:rsid w:val="00D70820"/>
    <w:rsid w:val="00D70B4A"/>
    <w:rsid w:val="00D70C46"/>
    <w:rsid w:val="00D70DD4"/>
    <w:rsid w:val="00D70DFE"/>
    <w:rsid w:val="00D71066"/>
    <w:rsid w:val="00D71368"/>
    <w:rsid w:val="00D71614"/>
    <w:rsid w:val="00D718ED"/>
    <w:rsid w:val="00D71998"/>
    <w:rsid w:val="00D71C6A"/>
    <w:rsid w:val="00D71EB5"/>
    <w:rsid w:val="00D7216F"/>
    <w:rsid w:val="00D7221D"/>
    <w:rsid w:val="00D724C5"/>
    <w:rsid w:val="00D725E6"/>
    <w:rsid w:val="00D72635"/>
    <w:rsid w:val="00D727F6"/>
    <w:rsid w:val="00D7280F"/>
    <w:rsid w:val="00D72B16"/>
    <w:rsid w:val="00D72C69"/>
    <w:rsid w:val="00D72D87"/>
    <w:rsid w:val="00D72DA5"/>
    <w:rsid w:val="00D72F79"/>
    <w:rsid w:val="00D73028"/>
    <w:rsid w:val="00D73105"/>
    <w:rsid w:val="00D731C5"/>
    <w:rsid w:val="00D734BD"/>
    <w:rsid w:val="00D735BD"/>
    <w:rsid w:val="00D738A9"/>
    <w:rsid w:val="00D73A26"/>
    <w:rsid w:val="00D73A81"/>
    <w:rsid w:val="00D73C70"/>
    <w:rsid w:val="00D73D71"/>
    <w:rsid w:val="00D73D7F"/>
    <w:rsid w:val="00D73ECE"/>
    <w:rsid w:val="00D73F03"/>
    <w:rsid w:val="00D73F1E"/>
    <w:rsid w:val="00D73F36"/>
    <w:rsid w:val="00D74037"/>
    <w:rsid w:val="00D7421C"/>
    <w:rsid w:val="00D742E3"/>
    <w:rsid w:val="00D74456"/>
    <w:rsid w:val="00D74624"/>
    <w:rsid w:val="00D74625"/>
    <w:rsid w:val="00D74722"/>
    <w:rsid w:val="00D74780"/>
    <w:rsid w:val="00D7492A"/>
    <w:rsid w:val="00D74A10"/>
    <w:rsid w:val="00D74B39"/>
    <w:rsid w:val="00D74D0F"/>
    <w:rsid w:val="00D74D8E"/>
    <w:rsid w:val="00D74DA5"/>
    <w:rsid w:val="00D74E57"/>
    <w:rsid w:val="00D74F14"/>
    <w:rsid w:val="00D75207"/>
    <w:rsid w:val="00D7541F"/>
    <w:rsid w:val="00D75C4A"/>
    <w:rsid w:val="00D75D24"/>
    <w:rsid w:val="00D75F15"/>
    <w:rsid w:val="00D75F89"/>
    <w:rsid w:val="00D76047"/>
    <w:rsid w:val="00D76348"/>
    <w:rsid w:val="00D76395"/>
    <w:rsid w:val="00D76779"/>
    <w:rsid w:val="00D767AB"/>
    <w:rsid w:val="00D767B6"/>
    <w:rsid w:val="00D768FA"/>
    <w:rsid w:val="00D76A12"/>
    <w:rsid w:val="00D76C87"/>
    <w:rsid w:val="00D76CDE"/>
    <w:rsid w:val="00D76EFE"/>
    <w:rsid w:val="00D7711A"/>
    <w:rsid w:val="00D771E3"/>
    <w:rsid w:val="00D77240"/>
    <w:rsid w:val="00D77417"/>
    <w:rsid w:val="00D77592"/>
    <w:rsid w:val="00D77694"/>
    <w:rsid w:val="00D776AC"/>
    <w:rsid w:val="00D7775A"/>
    <w:rsid w:val="00D779F5"/>
    <w:rsid w:val="00D77C8D"/>
    <w:rsid w:val="00D77D2E"/>
    <w:rsid w:val="00D77FE4"/>
    <w:rsid w:val="00D80014"/>
    <w:rsid w:val="00D80067"/>
    <w:rsid w:val="00D800D1"/>
    <w:rsid w:val="00D8024F"/>
    <w:rsid w:val="00D8027B"/>
    <w:rsid w:val="00D80509"/>
    <w:rsid w:val="00D80577"/>
    <w:rsid w:val="00D8062B"/>
    <w:rsid w:val="00D80A7A"/>
    <w:rsid w:val="00D80B12"/>
    <w:rsid w:val="00D80D7C"/>
    <w:rsid w:val="00D80D87"/>
    <w:rsid w:val="00D80E3D"/>
    <w:rsid w:val="00D8109C"/>
    <w:rsid w:val="00D81192"/>
    <w:rsid w:val="00D812BA"/>
    <w:rsid w:val="00D816DE"/>
    <w:rsid w:val="00D81744"/>
    <w:rsid w:val="00D81855"/>
    <w:rsid w:val="00D81A48"/>
    <w:rsid w:val="00D81C4A"/>
    <w:rsid w:val="00D81EBB"/>
    <w:rsid w:val="00D82001"/>
    <w:rsid w:val="00D82083"/>
    <w:rsid w:val="00D8230D"/>
    <w:rsid w:val="00D824AF"/>
    <w:rsid w:val="00D824E1"/>
    <w:rsid w:val="00D825A5"/>
    <w:rsid w:val="00D8262C"/>
    <w:rsid w:val="00D82A6B"/>
    <w:rsid w:val="00D82B09"/>
    <w:rsid w:val="00D82FFD"/>
    <w:rsid w:val="00D832B4"/>
    <w:rsid w:val="00D83870"/>
    <w:rsid w:val="00D83871"/>
    <w:rsid w:val="00D8395E"/>
    <w:rsid w:val="00D839D4"/>
    <w:rsid w:val="00D83C38"/>
    <w:rsid w:val="00D83CBA"/>
    <w:rsid w:val="00D846E9"/>
    <w:rsid w:val="00D8480A"/>
    <w:rsid w:val="00D84B47"/>
    <w:rsid w:val="00D84C24"/>
    <w:rsid w:val="00D84E47"/>
    <w:rsid w:val="00D84ECA"/>
    <w:rsid w:val="00D850B9"/>
    <w:rsid w:val="00D850CC"/>
    <w:rsid w:val="00D852F6"/>
    <w:rsid w:val="00D85633"/>
    <w:rsid w:val="00D85932"/>
    <w:rsid w:val="00D85952"/>
    <w:rsid w:val="00D85971"/>
    <w:rsid w:val="00D85A42"/>
    <w:rsid w:val="00D85B22"/>
    <w:rsid w:val="00D85D4E"/>
    <w:rsid w:val="00D85E45"/>
    <w:rsid w:val="00D85E92"/>
    <w:rsid w:val="00D85EBC"/>
    <w:rsid w:val="00D86035"/>
    <w:rsid w:val="00D86279"/>
    <w:rsid w:val="00D8635D"/>
    <w:rsid w:val="00D864BE"/>
    <w:rsid w:val="00D86505"/>
    <w:rsid w:val="00D86711"/>
    <w:rsid w:val="00D8672B"/>
    <w:rsid w:val="00D86739"/>
    <w:rsid w:val="00D867D0"/>
    <w:rsid w:val="00D86BDA"/>
    <w:rsid w:val="00D86C3C"/>
    <w:rsid w:val="00D86C50"/>
    <w:rsid w:val="00D87079"/>
    <w:rsid w:val="00D870B4"/>
    <w:rsid w:val="00D871C3"/>
    <w:rsid w:val="00D87333"/>
    <w:rsid w:val="00D873F4"/>
    <w:rsid w:val="00D87446"/>
    <w:rsid w:val="00D875EA"/>
    <w:rsid w:val="00D877F3"/>
    <w:rsid w:val="00D87850"/>
    <w:rsid w:val="00D8789D"/>
    <w:rsid w:val="00D8791D"/>
    <w:rsid w:val="00D87A1A"/>
    <w:rsid w:val="00D87BDB"/>
    <w:rsid w:val="00D87F09"/>
    <w:rsid w:val="00D90085"/>
    <w:rsid w:val="00D9021D"/>
    <w:rsid w:val="00D90246"/>
    <w:rsid w:val="00D903C1"/>
    <w:rsid w:val="00D904A1"/>
    <w:rsid w:val="00D90631"/>
    <w:rsid w:val="00D90681"/>
    <w:rsid w:val="00D90787"/>
    <w:rsid w:val="00D908C7"/>
    <w:rsid w:val="00D90904"/>
    <w:rsid w:val="00D90B7A"/>
    <w:rsid w:val="00D90F49"/>
    <w:rsid w:val="00D90F58"/>
    <w:rsid w:val="00D90FDB"/>
    <w:rsid w:val="00D91297"/>
    <w:rsid w:val="00D912EC"/>
    <w:rsid w:val="00D91388"/>
    <w:rsid w:val="00D91570"/>
    <w:rsid w:val="00D9157A"/>
    <w:rsid w:val="00D9192F"/>
    <w:rsid w:val="00D91C00"/>
    <w:rsid w:val="00D91DBB"/>
    <w:rsid w:val="00D92091"/>
    <w:rsid w:val="00D9214F"/>
    <w:rsid w:val="00D921D9"/>
    <w:rsid w:val="00D9221E"/>
    <w:rsid w:val="00D922BA"/>
    <w:rsid w:val="00D92327"/>
    <w:rsid w:val="00D92344"/>
    <w:rsid w:val="00D924B9"/>
    <w:rsid w:val="00D927AC"/>
    <w:rsid w:val="00D928E0"/>
    <w:rsid w:val="00D92A4B"/>
    <w:rsid w:val="00D92B9B"/>
    <w:rsid w:val="00D92D9C"/>
    <w:rsid w:val="00D92EAE"/>
    <w:rsid w:val="00D92F39"/>
    <w:rsid w:val="00D93126"/>
    <w:rsid w:val="00D9344C"/>
    <w:rsid w:val="00D936FE"/>
    <w:rsid w:val="00D939BA"/>
    <w:rsid w:val="00D939CF"/>
    <w:rsid w:val="00D93AB4"/>
    <w:rsid w:val="00D93C0B"/>
    <w:rsid w:val="00D93C54"/>
    <w:rsid w:val="00D93D98"/>
    <w:rsid w:val="00D93FF7"/>
    <w:rsid w:val="00D93FFC"/>
    <w:rsid w:val="00D94265"/>
    <w:rsid w:val="00D94315"/>
    <w:rsid w:val="00D94462"/>
    <w:rsid w:val="00D94620"/>
    <w:rsid w:val="00D9492D"/>
    <w:rsid w:val="00D94E23"/>
    <w:rsid w:val="00D94EB4"/>
    <w:rsid w:val="00D94EE1"/>
    <w:rsid w:val="00D95068"/>
    <w:rsid w:val="00D950F3"/>
    <w:rsid w:val="00D95154"/>
    <w:rsid w:val="00D95197"/>
    <w:rsid w:val="00D9568E"/>
    <w:rsid w:val="00D95891"/>
    <w:rsid w:val="00D95965"/>
    <w:rsid w:val="00D95A5B"/>
    <w:rsid w:val="00D95D94"/>
    <w:rsid w:val="00D95F2C"/>
    <w:rsid w:val="00D960D0"/>
    <w:rsid w:val="00D9635C"/>
    <w:rsid w:val="00D9649F"/>
    <w:rsid w:val="00D964F4"/>
    <w:rsid w:val="00D966C1"/>
    <w:rsid w:val="00D96A86"/>
    <w:rsid w:val="00D96AA3"/>
    <w:rsid w:val="00D96BAF"/>
    <w:rsid w:val="00D96C7E"/>
    <w:rsid w:val="00D96D9A"/>
    <w:rsid w:val="00D96DED"/>
    <w:rsid w:val="00D96F1D"/>
    <w:rsid w:val="00D97179"/>
    <w:rsid w:val="00D97188"/>
    <w:rsid w:val="00D9723A"/>
    <w:rsid w:val="00D97A25"/>
    <w:rsid w:val="00D97E49"/>
    <w:rsid w:val="00DA00D8"/>
    <w:rsid w:val="00DA00E0"/>
    <w:rsid w:val="00DA0284"/>
    <w:rsid w:val="00DA0416"/>
    <w:rsid w:val="00DA042D"/>
    <w:rsid w:val="00DA0540"/>
    <w:rsid w:val="00DA0767"/>
    <w:rsid w:val="00DA085B"/>
    <w:rsid w:val="00DA088D"/>
    <w:rsid w:val="00DA09C9"/>
    <w:rsid w:val="00DA0AD6"/>
    <w:rsid w:val="00DA0BF7"/>
    <w:rsid w:val="00DA0D1E"/>
    <w:rsid w:val="00DA0E2C"/>
    <w:rsid w:val="00DA0EE5"/>
    <w:rsid w:val="00DA100D"/>
    <w:rsid w:val="00DA10E2"/>
    <w:rsid w:val="00DA10FC"/>
    <w:rsid w:val="00DA1198"/>
    <w:rsid w:val="00DA1292"/>
    <w:rsid w:val="00DA12EB"/>
    <w:rsid w:val="00DA1313"/>
    <w:rsid w:val="00DA1315"/>
    <w:rsid w:val="00DA1350"/>
    <w:rsid w:val="00DA1376"/>
    <w:rsid w:val="00DA160B"/>
    <w:rsid w:val="00DA16F2"/>
    <w:rsid w:val="00DA17FA"/>
    <w:rsid w:val="00DA1832"/>
    <w:rsid w:val="00DA1894"/>
    <w:rsid w:val="00DA1895"/>
    <w:rsid w:val="00DA190D"/>
    <w:rsid w:val="00DA1A12"/>
    <w:rsid w:val="00DA1AE9"/>
    <w:rsid w:val="00DA1B79"/>
    <w:rsid w:val="00DA1D8F"/>
    <w:rsid w:val="00DA1DE8"/>
    <w:rsid w:val="00DA1E18"/>
    <w:rsid w:val="00DA1ECB"/>
    <w:rsid w:val="00DA2145"/>
    <w:rsid w:val="00DA21CD"/>
    <w:rsid w:val="00DA23F7"/>
    <w:rsid w:val="00DA2400"/>
    <w:rsid w:val="00DA25F1"/>
    <w:rsid w:val="00DA2669"/>
    <w:rsid w:val="00DA28DD"/>
    <w:rsid w:val="00DA2A53"/>
    <w:rsid w:val="00DA2A65"/>
    <w:rsid w:val="00DA2A87"/>
    <w:rsid w:val="00DA2AA8"/>
    <w:rsid w:val="00DA2B00"/>
    <w:rsid w:val="00DA30A1"/>
    <w:rsid w:val="00DA3191"/>
    <w:rsid w:val="00DA3417"/>
    <w:rsid w:val="00DA3442"/>
    <w:rsid w:val="00DA3484"/>
    <w:rsid w:val="00DA34F8"/>
    <w:rsid w:val="00DA3827"/>
    <w:rsid w:val="00DA386C"/>
    <w:rsid w:val="00DA3B8C"/>
    <w:rsid w:val="00DA3C8B"/>
    <w:rsid w:val="00DA3CD3"/>
    <w:rsid w:val="00DA3D14"/>
    <w:rsid w:val="00DA3DA9"/>
    <w:rsid w:val="00DA3DB3"/>
    <w:rsid w:val="00DA3F3C"/>
    <w:rsid w:val="00DA3F8D"/>
    <w:rsid w:val="00DA406C"/>
    <w:rsid w:val="00DA407B"/>
    <w:rsid w:val="00DA41D1"/>
    <w:rsid w:val="00DA4336"/>
    <w:rsid w:val="00DA44EE"/>
    <w:rsid w:val="00DA45C4"/>
    <w:rsid w:val="00DA46A7"/>
    <w:rsid w:val="00DA4766"/>
    <w:rsid w:val="00DA4780"/>
    <w:rsid w:val="00DA4B7E"/>
    <w:rsid w:val="00DA4C91"/>
    <w:rsid w:val="00DA5024"/>
    <w:rsid w:val="00DA531A"/>
    <w:rsid w:val="00DA53B3"/>
    <w:rsid w:val="00DA545A"/>
    <w:rsid w:val="00DA5480"/>
    <w:rsid w:val="00DA54D5"/>
    <w:rsid w:val="00DA5586"/>
    <w:rsid w:val="00DA57B8"/>
    <w:rsid w:val="00DA57D7"/>
    <w:rsid w:val="00DA5A80"/>
    <w:rsid w:val="00DA5D3C"/>
    <w:rsid w:val="00DA5DF0"/>
    <w:rsid w:val="00DA5EA7"/>
    <w:rsid w:val="00DA5FA1"/>
    <w:rsid w:val="00DA637E"/>
    <w:rsid w:val="00DA644D"/>
    <w:rsid w:val="00DA653D"/>
    <w:rsid w:val="00DA6598"/>
    <w:rsid w:val="00DA65BF"/>
    <w:rsid w:val="00DA661C"/>
    <w:rsid w:val="00DA680C"/>
    <w:rsid w:val="00DA6870"/>
    <w:rsid w:val="00DA68A9"/>
    <w:rsid w:val="00DA6A25"/>
    <w:rsid w:val="00DA6B18"/>
    <w:rsid w:val="00DA6D1F"/>
    <w:rsid w:val="00DA6D24"/>
    <w:rsid w:val="00DA70E7"/>
    <w:rsid w:val="00DA7179"/>
    <w:rsid w:val="00DA733A"/>
    <w:rsid w:val="00DA7354"/>
    <w:rsid w:val="00DA7429"/>
    <w:rsid w:val="00DA7521"/>
    <w:rsid w:val="00DA7581"/>
    <w:rsid w:val="00DA7587"/>
    <w:rsid w:val="00DA785C"/>
    <w:rsid w:val="00DA78DC"/>
    <w:rsid w:val="00DA7A4D"/>
    <w:rsid w:val="00DA7AB4"/>
    <w:rsid w:val="00DA7B05"/>
    <w:rsid w:val="00DA7BD0"/>
    <w:rsid w:val="00DA7E69"/>
    <w:rsid w:val="00DA7E94"/>
    <w:rsid w:val="00DA7F10"/>
    <w:rsid w:val="00DA7F13"/>
    <w:rsid w:val="00DA7F5F"/>
    <w:rsid w:val="00DA7F75"/>
    <w:rsid w:val="00DB00EA"/>
    <w:rsid w:val="00DB00EE"/>
    <w:rsid w:val="00DB014F"/>
    <w:rsid w:val="00DB01DD"/>
    <w:rsid w:val="00DB0401"/>
    <w:rsid w:val="00DB0505"/>
    <w:rsid w:val="00DB0723"/>
    <w:rsid w:val="00DB081C"/>
    <w:rsid w:val="00DB0876"/>
    <w:rsid w:val="00DB08A6"/>
    <w:rsid w:val="00DB090C"/>
    <w:rsid w:val="00DB09CB"/>
    <w:rsid w:val="00DB0BB3"/>
    <w:rsid w:val="00DB0BF0"/>
    <w:rsid w:val="00DB0C2B"/>
    <w:rsid w:val="00DB0C4C"/>
    <w:rsid w:val="00DB0F0C"/>
    <w:rsid w:val="00DB1053"/>
    <w:rsid w:val="00DB12E6"/>
    <w:rsid w:val="00DB12F6"/>
    <w:rsid w:val="00DB1310"/>
    <w:rsid w:val="00DB148A"/>
    <w:rsid w:val="00DB16D9"/>
    <w:rsid w:val="00DB1878"/>
    <w:rsid w:val="00DB18CC"/>
    <w:rsid w:val="00DB198D"/>
    <w:rsid w:val="00DB1D4B"/>
    <w:rsid w:val="00DB1D9C"/>
    <w:rsid w:val="00DB1EC0"/>
    <w:rsid w:val="00DB231D"/>
    <w:rsid w:val="00DB244A"/>
    <w:rsid w:val="00DB2532"/>
    <w:rsid w:val="00DB2695"/>
    <w:rsid w:val="00DB269B"/>
    <w:rsid w:val="00DB26DC"/>
    <w:rsid w:val="00DB2775"/>
    <w:rsid w:val="00DB2808"/>
    <w:rsid w:val="00DB2837"/>
    <w:rsid w:val="00DB29B4"/>
    <w:rsid w:val="00DB2B96"/>
    <w:rsid w:val="00DB2BD9"/>
    <w:rsid w:val="00DB2C7A"/>
    <w:rsid w:val="00DB2CFE"/>
    <w:rsid w:val="00DB2F61"/>
    <w:rsid w:val="00DB33E1"/>
    <w:rsid w:val="00DB352C"/>
    <w:rsid w:val="00DB354A"/>
    <w:rsid w:val="00DB369F"/>
    <w:rsid w:val="00DB36F4"/>
    <w:rsid w:val="00DB371C"/>
    <w:rsid w:val="00DB3878"/>
    <w:rsid w:val="00DB39A8"/>
    <w:rsid w:val="00DB39B7"/>
    <w:rsid w:val="00DB3A2A"/>
    <w:rsid w:val="00DB3A43"/>
    <w:rsid w:val="00DB3E01"/>
    <w:rsid w:val="00DB3E3C"/>
    <w:rsid w:val="00DB3E86"/>
    <w:rsid w:val="00DB3F67"/>
    <w:rsid w:val="00DB3F85"/>
    <w:rsid w:val="00DB4009"/>
    <w:rsid w:val="00DB414A"/>
    <w:rsid w:val="00DB42F5"/>
    <w:rsid w:val="00DB4B1B"/>
    <w:rsid w:val="00DB4D11"/>
    <w:rsid w:val="00DB4D47"/>
    <w:rsid w:val="00DB4D93"/>
    <w:rsid w:val="00DB4F18"/>
    <w:rsid w:val="00DB4F1D"/>
    <w:rsid w:val="00DB513C"/>
    <w:rsid w:val="00DB564D"/>
    <w:rsid w:val="00DB5708"/>
    <w:rsid w:val="00DB5719"/>
    <w:rsid w:val="00DB580F"/>
    <w:rsid w:val="00DB5B63"/>
    <w:rsid w:val="00DB5B72"/>
    <w:rsid w:val="00DB5BAA"/>
    <w:rsid w:val="00DB5BFD"/>
    <w:rsid w:val="00DB5FEF"/>
    <w:rsid w:val="00DB5FF5"/>
    <w:rsid w:val="00DB618C"/>
    <w:rsid w:val="00DB63E7"/>
    <w:rsid w:val="00DB6871"/>
    <w:rsid w:val="00DB69F5"/>
    <w:rsid w:val="00DB6D81"/>
    <w:rsid w:val="00DB6F90"/>
    <w:rsid w:val="00DB722B"/>
    <w:rsid w:val="00DB7293"/>
    <w:rsid w:val="00DB7528"/>
    <w:rsid w:val="00DB781F"/>
    <w:rsid w:val="00DB78D9"/>
    <w:rsid w:val="00DB793D"/>
    <w:rsid w:val="00DB7B11"/>
    <w:rsid w:val="00DB7C5F"/>
    <w:rsid w:val="00DB7CF9"/>
    <w:rsid w:val="00DB7D41"/>
    <w:rsid w:val="00DB7DD2"/>
    <w:rsid w:val="00DB7E0C"/>
    <w:rsid w:val="00DB7E58"/>
    <w:rsid w:val="00DC0041"/>
    <w:rsid w:val="00DC01D0"/>
    <w:rsid w:val="00DC01D3"/>
    <w:rsid w:val="00DC026E"/>
    <w:rsid w:val="00DC02F6"/>
    <w:rsid w:val="00DC0494"/>
    <w:rsid w:val="00DC0619"/>
    <w:rsid w:val="00DC088F"/>
    <w:rsid w:val="00DC0941"/>
    <w:rsid w:val="00DC0A56"/>
    <w:rsid w:val="00DC0B7E"/>
    <w:rsid w:val="00DC0C99"/>
    <w:rsid w:val="00DC0D1B"/>
    <w:rsid w:val="00DC0D4A"/>
    <w:rsid w:val="00DC0E2F"/>
    <w:rsid w:val="00DC0F95"/>
    <w:rsid w:val="00DC1126"/>
    <w:rsid w:val="00DC1138"/>
    <w:rsid w:val="00DC117F"/>
    <w:rsid w:val="00DC12D5"/>
    <w:rsid w:val="00DC1382"/>
    <w:rsid w:val="00DC1504"/>
    <w:rsid w:val="00DC1555"/>
    <w:rsid w:val="00DC15D0"/>
    <w:rsid w:val="00DC16CA"/>
    <w:rsid w:val="00DC19C7"/>
    <w:rsid w:val="00DC1B2C"/>
    <w:rsid w:val="00DC1D20"/>
    <w:rsid w:val="00DC20D8"/>
    <w:rsid w:val="00DC2149"/>
    <w:rsid w:val="00DC2268"/>
    <w:rsid w:val="00DC22C8"/>
    <w:rsid w:val="00DC24A2"/>
    <w:rsid w:val="00DC2589"/>
    <w:rsid w:val="00DC2996"/>
    <w:rsid w:val="00DC2A52"/>
    <w:rsid w:val="00DC2B87"/>
    <w:rsid w:val="00DC2C4D"/>
    <w:rsid w:val="00DC2CBE"/>
    <w:rsid w:val="00DC2E0B"/>
    <w:rsid w:val="00DC2EDF"/>
    <w:rsid w:val="00DC2EF3"/>
    <w:rsid w:val="00DC2FF9"/>
    <w:rsid w:val="00DC30C0"/>
    <w:rsid w:val="00DC33E5"/>
    <w:rsid w:val="00DC3586"/>
    <w:rsid w:val="00DC3A9E"/>
    <w:rsid w:val="00DC3ACE"/>
    <w:rsid w:val="00DC3C73"/>
    <w:rsid w:val="00DC3E45"/>
    <w:rsid w:val="00DC400E"/>
    <w:rsid w:val="00DC41A0"/>
    <w:rsid w:val="00DC4210"/>
    <w:rsid w:val="00DC42A5"/>
    <w:rsid w:val="00DC42E2"/>
    <w:rsid w:val="00DC435E"/>
    <w:rsid w:val="00DC4672"/>
    <w:rsid w:val="00DC4C0A"/>
    <w:rsid w:val="00DC4E80"/>
    <w:rsid w:val="00DC520F"/>
    <w:rsid w:val="00DC5247"/>
    <w:rsid w:val="00DC5280"/>
    <w:rsid w:val="00DC53D6"/>
    <w:rsid w:val="00DC59C9"/>
    <w:rsid w:val="00DC5D61"/>
    <w:rsid w:val="00DC5F4F"/>
    <w:rsid w:val="00DC5FCD"/>
    <w:rsid w:val="00DC5FCF"/>
    <w:rsid w:val="00DC600D"/>
    <w:rsid w:val="00DC60CC"/>
    <w:rsid w:val="00DC611F"/>
    <w:rsid w:val="00DC65EE"/>
    <w:rsid w:val="00DC66ED"/>
    <w:rsid w:val="00DC6830"/>
    <w:rsid w:val="00DC6A15"/>
    <w:rsid w:val="00DC6BE7"/>
    <w:rsid w:val="00DC6D83"/>
    <w:rsid w:val="00DC701C"/>
    <w:rsid w:val="00DC7065"/>
    <w:rsid w:val="00DC7210"/>
    <w:rsid w:val="00DC7405"/>
    <w:rsid w:val="00DC747A"/>
    <w:rsid w:val="00DC7BCE"/>
    <w:rsid w:val="00DC7BE3"/>
    <w:rsid w:val="00DC7D3E"/>
    <w:rsid w:val="00DC7D6E"/>
    <w:rsid w:val="00DC7F5B"/>
    <w:rsid w:val="00DD01E6"/>
    <w:rsid w:val="00DD0227"/>
    <w:rsid w:val="00DD0257"/>
    <w:rsid w:val="00DD034E"/>
    <w:rsid w:val="00DD05B4"/>
    <w:rsid w:val="00DD05F5"/>
    <w:rsid w:val="00DD0910"/>
    <w:rsid w:val="00DD0A47"/>
    <w:rsid w:val="00DD0DB3"/>
    <w:rsid w:val="00DD0E0F"/>
    <w:rsid w:val="00DD0E48"/>
    <w:rsid w:val="00DD1296"/>
    <w:rsid w:val="00DD144B"/>
    <w:rsid w:val="00DD14A1"/>
    <w:rsid w:val="00DD1512"/>
    <w:rsid w:val="00DD15E4"/>
    <w:rsid w:val="00DD168D"/>
    <w:rsid w:val="00DD16C4"/>
    <w:rsid w:val="00DD181C"/>
    <w:rsid w:val="00DD18B8"/>
    <w:rsid w:val="00DD18F5"/>
    <w:rsid w:val="00DD1926"/>
    <w:rsid w:val="00DD1993"/>
    <w:rsid w:val="00DD1C24"/>
    <w:rsid w:val="00DD1DDA"/>
    <w:rsid w:val="00DD1E5E"/>
    <w:rsid w:val="00DD208D"/>
    <w:rsid w:val="00DD2180"/>
    <w:rsid w:val="00DD25F1"/>
    <w:rsid w:val="00DD262C"/>
    <w:rsid w:val="00DD267B"/>
    <w:rsid w:val="00DD297E"/>
    <w:rsid w:val="00DD3001"/>
    <w:rsid w:val="00DD3300"/>
    <w:rsid w:val="00DD3474"/>
    <w:rsid w:val="00DD3575"/>
    <w:rsid w:val="00DD3624"/>
    <w:rsid w:val="00DD365D"/>
    <w:rsid w:val="00DD395F"/>
    <w:rsid w:val="00DD3A5F"/>
    <w:rsid w:val="00DD3A8E"/>
    <w:rsid w:val="00DD3B93"/>
    <w:rsid w:val="00DD3C3F"/>
    <w:rsid w:val="00DD3E0D"/>
    <w:rsid w:val="00DD41A8"/>
    <w:rsid w:val="00DD41FB"/>
    <w:rsid w:val="00DD4265"/>
    <w:rsid w:val="00DD43D3"/>
    <w:rsid w:val="00DD4542"/>
    <w:rsid w:val="00DD458D"/>
    <w:rsid w:val="00DD45DC"/>
    <w:rsid w:val="00DD4607"/>
    <w:rsid w:val="00DD470C"/>
    <w:rsid w:val="00DD4976"/>
    <w:rsid w:val="00DD4ADB"/>
    <w:rsid w:val="00DD4B11"/>
    <w:rsid w:val="00DD4B30"/>
    <w:rsid w:val="00DD4CAC"/>
    <w:rsid w:val="00DD5106"/>
    <w:rsid w:val="00DD51DE"/>
    <w:rsid w:val="00DD522B"/>
    <w:rsid w:val="00DD530E"/>
    <w:rsid w:val="00DD53E2"/>
    <w:rsid w:val="00DD5490"/>
    <w:rsid w:val="00DD54B1"/>
    <w:rsid w:val="00DD550F"/>
    <w:rsid w:val="00DD5541"/>
    <w:rsid w:val="00DD55C1"/>
    <w:rsid w:val="00DD5854"/>
    <w:rsid w:val="00DD58D2"/>
    <w:rsid w:val="00DD59E1"/>
    <w:rsid w:val="00DD5A74"/>
    <w:rsid w:val="00DD5AA1"/>
    <w:rsid w:val="00DD5C87"/>
    <w:rsid w:val="00DD61A5"/>
    <w:rsid w:val="00DD6259"/>
    <w:rsid w:val="00DD6828"/>
    <w:rsid w:val="00DD68AE"/>
    <w:rsid w:val="00DD6907"/>
    <w:rsid w:val="00DD69A8"/>
    <w:rsid w:val="00DD6B0A"/>
    <w:rsid w:val="00DD6DFF"/>
    <w:rsid w:val="00DD6E7A"/>
    <w:rsid w:val="00DD711A"/>
    <w:rsid w:val="00DD74E4"/>
    <w:rsid w:val="00DD79AC"/>
    <w:rsid w:val="00DD79CA"/>
    <w:rsid w:val="00DD7C06"/>
    <w:rsid w:val="00DD7DD0"/>
    <w:rsid w:val="00DD7DD7"/>
    <w:rsid w:val="00DD7E7C"/>
    <w:rsid w:val="00DD7EB4"/>
    <w:rsid w:val="00DD7F12"/>
    <w:rsid w:val="00DE0243"/>
    <w:rsid w:val="00DE03AE"/>
    <w:rsid w:val="00DE0412"/>
    <w:rsid w:val="00DE0437"/>
    <w:rsid w:val="00DE04E4"/>
    <w:rsid w:val="00DE0556"/>
    <w:rsid w:val="00DE05B0"/>
    <w:rsid w:val="00DE0820"/>
    <w:rsid w:val="00DE0854"/>
    <w:rsid w:val="00DE0A49"/>
    <w:rsid w:val="00DE0B66"/>
    <w:rsid w:val="00DE0B99"/>
    <w:rsid w:val="00DE0C65"/>
    <w:rsid w:val="00DE0D30"/>
    <w:rsid w:val="00DE0E2E"/>
    <w:rsid w:val="00DE10E0"/>
    <w:rsid w:val="00DE10F6"/>
    <w:rsid w:val="00DE117C"/>
    <w:rsid w:val="00DE11B9"/>
    <w:rsid w:val="00DE1447"/>
    <w:rsid w:val="00DE1557"/>
    <w:rsid w:val="00DE16BA"/>
    <w:rsid w:val="00DE1882"/>
    <w:rsid w:val="00DE19F3"/>
    <w:rsid w:val="00DE1A69"/>
    <w:rsid w:val="00DE1ADC"/>
    <w:rsid w:val="00DE1B96"/>
    <w:rsid w:val="00DE1BBF"/>
    <w:rsid w:val="00DE1C55"/>
    <w:rsid w:val="00DE1C9D"/>
    <w:rsid w:val="00DE2806"/>
    <w:rsid w:val="00DE2AB2"/>
    <w:rsid w:val="00DE2D9B"/>
    <w:rsid w:val="00DE3010"/>
    <w:rsid w:val="00DE306C"/>
    <w:rsid w:val="00DE30A4"/>
    <w:rsid w:val="00DE3214"/>
    <w:rsid w:val="00DE34F0"/>
    <w:rsid w:val="00DE358F"/>
    <w:rsid w:val="00DE37F8"/>
    <w:rsid w:val="00DE3A09"/>
    <w:rsid w:val="00DE3C23"/>
    <w:rsid w:val="00DE3C98"/>
    <w:rsid w:val="00DE3CA7"/>
    <w:rsid w:val="00DE3CCC"/>
    <w:rsid w:val="00DE403A"/>
    <w:rsid w:val="00DE41C4"/>
    <w:rsid w:val="00DE423C"/>
    <w:rsid w:val="00DE42D4"/>
    <w:rsid w:val="00DE44EE"/>
    <w:rsid w:val="00DE4583"/>
    <w:rsid w:val="00DE48E0"/>
    <w:rsid w:val="00DE4918"/>
    <w:rsid w:val="00DE4A00"/>
    <w:rsid w:val="00DE4D36"/>
    <w:rsid w:val="00DE4DA1"/>
    <w:rsid w:val="00DE4DBF"/>
    <w:rsid w:val="00DE4EA5"/>
    <w:rsid w:val="00DE4FBF"/>
    <w:rsid w:val="00DE510A"/>
    <w:rsid w:val="00DE553E"/>
    <w:rsid w:val="00DE56D8"/>
    <w:rsid w:val="00DE5888"/>
    <w:rsid w:val="00DE5AF9"/>
    <w:rsid w:val="00DE5BEC"/>
    <w:rsid w:val="00DE5F79"/>
    <w:rsid w:val="00DE60DF"/>
    <w:rsid w:val="00DE616C"/>
    <w:rsid w:val="00DE62A2"/>
    <w:rsid w:val="00DE6419"/>
    <w:rsid w:val="00DE6554"/>
    <w:rsid w:val="00DE65B6"/>
    <w:rsid w:val="00DE65BF"/>
    <w:rsid w:val="00DE65D0"/>
    <w:rsid w:val="00DE67C1"/>
    <w:rsid w:val="00DE6A33"/>
    <w:rsid w:val="00DE6BFB"/>
    <w:rsid w:val="00DE6E2E"/>
    <w:rsid w:val="00DE71F6"/>
    <w:rsid w:val="00DE72B3"/>
    <w:rsid w:val="00DE733C"/>
    <w:rsid w:val="00DE7413"/>
    <w:rsid w:val="00DE77E9"/>
    <w:rsid w:val="00DE791A"/>
    <w:rsid w:val="00DE7AB8"/>
    <w:rsid w:val="00DE7AC0"/>
    <w:rsid w:val="00DE7C66"/>
    <w:rsid w:val="00DE7E95"/>
    <w:rsid w:val="00DE7F1F"/>
    <w:rsid w:val="00DE7FB9"/>
    <w:rsid w:val="00DF02B3"/>
    <w:rsid w:val="00DF03C0"/>
    <w:rsid w:val="00DF0486"/>
    <w:rsid w:val="00DF0504"/>
    <w:rsid w:val="00DF0519"/>
    <w:rsid w:val="00DF052D"/>
    <w:rsid w:val="00DF053E"/>
    <w:rsid w:val="00DF055F"/>
    <w:rsid w:val="00DF07F7"/>
    <w:rsid w:val="00DF09B3"/>
    <w:rsid w:val="00DF0B47"/>
    <w:rsid w:val="00DF0BFA"/>
    <w:rsid w:val="00DF0C34"/>
    <w:rsid w:val="00DF0C4F"/>
    <w:rsid w:val="00DF119B"/>
    <w:rsid w:val="00DF11C5"/>
    <w:rsid w:val="00DF1543"/>
    <w:rsid w:val="00DF154B"/>
    <w:rsid w:val="00DF1641"/>
    <w:rsid w:val="00DF18D5"/>
    <w:rsid w:val="00DF1963"/>
    <w:rsid w:val="00DF1E9E"/>
    <w:rsid w:val="00DF1F6C"/>
    <w:rsid w:val="00DF1FB8"/>
    <w:rsid w:val="00DF206A"/>
    <w:rsid w:val="00DF2157"/>
    <w:rsid w:val="00DF254D"/>
    <w:rsid w:val="00DF2556"/>
    <w:rsid w:val="00DF25BA"/>
    <w:rsid w:val="00DF2666"/>
    <w:rsid w:val="00DF27A0"/>
    <w:rsid w:val="00DF28DB"/>
    <w:rsid w:val="00DF2A1E"/>
    <w:rsid w:val="00DF2A32"/>
    <w:rsid w:val="00DF2A73"/>
    <w:rsid w:val="00DF2E4B"/>
    <w:rsid w:val="00DF2F09"/>
    <w:rsid w:val="00DF2F55"/>
    <w:rsid w:val="00DF3041"/>
    <w:rsid w:val="00DF3100"/>
    <w:rsid w:val="00DF310F"/>
    <w:rsid w:val="00DF3173"/>
    <w:rsid w:val="00DF32C2"/>
    <w:rsid w:val="00DF32CE"/>
    <w:rsid w:val="00DF32D1"/>
    <w:rsid w:val="00DF3678"/>
    <w:rsid w:val="00DF382F"/>
    <w:rsid w:val="00DF388D"/>
    <w:rsid w:val="00DF3D84"/>
    <w:rsid w:val="00DF3E8D"/>
    <w:rsid w:val="00DF4147"/>
    <w:rsid w:val="00DF4279"/>
    <w:rsid w:val="00DF4787"/>
    <w:rsid w:val="00DF49EF"/>
    <w:rsid w:val="00DF4DA7"/>
    <w:rsid w:val="00DF4FA8"/>
    <w:rsid w:val="00DF4FF8"/>
    <w:rsid w:val="00DF5475"/>
    <w:rsid w:val="00DF55C2"/>
    <w:rsid w:val="00DF56BE"/>
    <w:rsid w:val="00DF56EB"/>
    <w:rsid w:val="00DF57A8"/>
    <w:rsid w:val="00DF586F"/>
    <w:rsid w:val="00DF5913"/>
    <w:rsid w:val="00DF5C93"/>
    <w:rsid w:val="00DF5E67"/>
    <w:rsid w:val="00DF5FB4"/>
    <w:rsid w:val="00DF615A"/>
    <w:rsid w:val="00DF64FE"/>
    <w:rsid w:val="00DF6527"/>
    <w:rsid w:val="00DF6572"/>
    <w:rsid w:val="00DF6585"/>
    <w:rsid w:val="00DF663F"/>
    <w:rsid w:val="00DF6917"/>
    <w:rsid w:val="00DF6A8E"/>
    <w:rsid w:val="00DF6DB7"/>
    <w:rsid w:val="00DF6DC8"/>
    <w:rsid w:val="00DF707A"/>
    <w:rsid w:val="00DF7152"/>
    <w:rsid w:val="00DF72B6"/>
    <w:rsid w:val="00DF756D"/>
    <w:rsid w:val="00DF7628"/>
    <w:rsid w:val="00DF762B"/>
    <w:rsid w:val="00DF787A"/>
    <w:rsid w:val="00DF7931"/>
    <w:rsid w:val="00DF7CAB"/>
    <w:rsid w:val="00DF7E32"/>
    <w:rsid w:val="00DF7E86"/>
    <w:rsid w:val="00DF7E8F"/>
    <w:rsid w:val="00DF7FC6"/>
    <w:rsid w:val="00DF7FCC"/>
    <w:rsid w:val="00E0000C"/>
    <w:rsid w:val="00E000AF"/>
    <w:rsid w:val="00E000E5"/>
    <w:rsid w:val="00E003FA"/>
    <w:rsid w:val="00E0069A"/>
    <w:rsid w:val="00E006ED"/>
    <w:rsid w:val="00E007B0"/>
    <w:rsid w:val="00E007D9"/>
    <w:rsid w:val="00E007E0"/>
    <w:rsid w:val="00E00B1E"/>
    <w:rsid w:val="00E00B62"/>
    <w:rsid w:val="00E00B73"/>
    <w:rsid w:val="00E00BBB"/>
    <w:rsid w:val="00E00C3C"/>
    <w:rsid w:val="00E00D67"/>
    <w:rsid w:val="00E00E20"/>
    <w:rsid w:val="00E012B0"/>
    <w:rsid w:val="00E01396"/>
    <w:rsid w:val="00E01467"/>
    <w:rsid w:val="00E0159F"/>
    <w:rsid w:val="00E01893"/>
    <w:rsid w:val="00E01934"/>
    <w:rsid w:val="00E0197A"/>
    <w:rsid w:val="00E019DF"/>
    <w:rsid w:val="00E01A42"/>
    <w:rsid w:val="00E01A68"/>
    <w:rsid w:val="00E01CC3"/>
    <w:rsid w:val="00E01DE0"/>
    <w:rsid w:val="00E01F87"/>
    <w:rsid w:val="00E01FE1"/>
    <w:rsid w:val="00E02002"/>
    <w:rsid w:val="00E02431"/>
    <w:rsid w:val="00E0253D"/>
    <w:rsid w:val="00E025A2"/>
    <w:rsid w:val="00E02766"/>
    <w:rsid w:val="00E02904"/>
    <w:rsid w:val="00E02978"/>
    <w:rsid w:val="00E02B13"/>
    <w:rsid w:val="00E02BB6"/>
    <w:rsid w:val="00E02D67"/>
    <w:rsid w:val="00E03126"/>
    <w:rsid w:val="00E035B7"/>
    <w:rsid w:val="00E03671"/>
    <w:rsid w:val="00E0382F"/>
    <w:rsid w:val="00E038CB"/>
    <w:rsid w:val="00E03AFA"/>
    <w:rsid w:val="00E03B15"/>
    <w:rsid w:val="00E03C3D"/>
    <w:rsid w:val="00E03E9A"/>
    <w:rsid w:val="00E03EF0"/>
    <w:rsid w:val="00E03F54"/>
    <w:rsid w:val="00E0420E"/>
    <w:rsid w:val="00E043CF"/>
    <w:rsid w:val="00E04562"/>
    <w:rsid w:val="00E0470C"/>
    <w:rsid w:val="00E04A59"/>
    <w:rsid w:val="00E04B63"/>
    <w:rsid w:val="00E04BC5"/>
    <w:rsid w:val="00E050A8"/>
    <w:rsid w:val="00E052BB"/>
    <w:rsid w:val="00E052CF"/>
    <w:rsid w:val="00E052DF"/>
    <w:rsid w:val="00E052EB"/>
    <w:rsid w:val="00E05359"/>
    <w:rsid w:val="00E05395"/>
    <w:rsid w:val="00E05488"/>
    <w:rsid w:val="00E0549E"/>
    <w:rsid w:val="00E054C2"/>
    <w:rsid w:val="00E0560C"/>
    <w:rsid w:val="00E056AD"/>
    <w:rsid w:val="00E05789"/>
    <w:rsid w:val="00E058DA"/>
    <w:rsid w:val="00E0598C"/>
    <w:rsid w:val="00E05AFC"/>
    <w:rsid w:val="00E05B2F"/>
    <w:rsid w:val="00E05BCC"/>
    <w:rsid w:val="00E05C6C"/>
    <w:rsid w:val="00E05CD7"/>
    <w:rsid w:val="00E05E3D"/>
    <w:rsid w:val="00E06046"/>
    <w:rsid w:val="00E0636F"/>
    <w:rsid w:val="00E06424"/>
    <w:rsid w:val="00E0670C"/>
    <w:rsid w:val="00E067D0"/>
    <w:rsid w:val="00E067FA"/>
    <w:rsid w:val="00E06A0D"/>
    <w:rsid w:val="00E06CA8"/>
    <w:rsid w:val="00E06E15"/>
    <w:rsid w:val="00E06FD6"/>
    <w:rsid w:val="00E0711F"/>
    <w:rsid w:val="00E07309"/>
    <w:rsid w:val="00E0757D"/>
    <w:rsid w:val="00E075D1"/>
    <w:rsid w:val="00E076B0"/>
    <w:rsid w:val="00E077FD"/>
    <w:rsid w:val="00E07811"/>
    <w:rsid w:val="00E0785A"/>
    <w:rsid w:val="00E0794A"/>
    <w:rsid w:val="00E07AC8"/>
    <w:rsid w:val="00E07BDD"/>
    <w:rsid w:val="00E07C66"/>
    <w:rsid w:val="00E07F4C"/>
    <w:rsid w:val="00E1041D"/>
    <w:rsid w:val="00E10424"/>
    <w:rsid w:val="00E10597"/>
    <w:rsid w:val="00E105C3"/>
    <w:rsid w:val="00E10B8A"/>
    <w:rsid w:val="00E10FC9"/>
    <w:rsid w:val="00E10FD2"/>
    <w:rsid w:val="00E10FD9"/>
    <w:rsid w:val="00E110AA"/>
    <w:rsid w:val="00E11322"/>
    <w:rsid w:val="00E11330"/>
    <w:rsid w:val="00E118CA"/>
    <w:rsid w:val="00E11973"/>
    <w:rsid w:val="00E119B2"/>
    <w:rsid w:val="00E11A00"/>
    <w:rsid w:val="00E11B3A"/>
    <w:rsid w:val="00E11C4C"/>
    <w:rsid w:val="00E11DE6"/>
    <w:rsid w:val="00E11F9C"/>
    <w:rsid w:val="00E12085"/>
    <w:rsid w:val="00E121CE"/>
    <w:rsid w:val="00E121DB"/>
    <w:rsid w:val="00E122C3"/>
    <w:rsid w:val="00E1235B"/>
    <w:rsid w:val="00E12366"/>
    <w:rsid w:val="00E127D5"/>
    <w:rsid w:val="00E1284C"/>
    <w:rsid w:val="00E12C6E"/>
    <w:rsid w:val="00E12CB9"/>
    <w:rsid w:val="00E12CE4"/>
    <w:rsid w:val="00E12D23"/>
    <w:rsid w:val="00E12EF3"/>
    <w:rsid w:val="00E13274"/>
    <w:rsid w:val="00E13311"/>
    <w:rsid w:val="00E13339"/>
    <w:rsid w:val="00E1351B"/>
    <w:rsid w:val="00E13610"/>
    <w:rsid w:val="00E1391F"/>
    <w:rsid w:val="00E13ACB"/>
    <w:rsid w:val="00E13C1F"/>
    <w:rsid w:val="00E13CA4"/>
    <w:rsid w:val="00E13E9B"/>
    <w:rsid w:val="00E13EF0"/>
    <w:rsid w:val="00E14065"/>
    <w:rsid w:val="00E14135"/>
    <w:rsid w:val="00E14136"/>
    <w:rsid w:val="00E1416F"/>
    <w:rsid w:val="00E141F3"/>
    <w:rsid w:val="00E14329"/>
    <w:rsid w:val="00E14622"/>
    <w:rsid w:val="00E146B8"/>
    <w:rsid w:val="00E146D3"/>
    <w:rsid w:val="00E147CF"/>
    <w:rsid w:val="00E1489C"/>
    <w:rsid w:val="00E149D7"/>
    <w:rsid w:val="00E149E7"/>
    <w:rsid w:val="00E14A17"/>
    <w:rsid w:val="00E14A31"/>
    <w:rsid w:val="00E14A7E"/>
    <w:rsid w:val="00E14CEF"/>
    <w:rsid w:val="00E14EB0"/>
    <w:rsid w:val="00E14EBD"/>
    <w:rsid w:val="00E14EFD"/>
    <w:rsid w:val="00E14F97"/>
    <w:rsid w:val="00E150C3"/>
    <w:rsid w:val="00E151BC"/>
    <w:rsid w:val="00E151C2"/>
    <w:rsid w:val="00E15285"/>
    <w:rsid w:val="00E1550F"/>
    <w:rsid w:val="00E156A6"/>
    <w:rsid w:val="00E1572C"/>
    <w:rsid w:val="00E157D4"/>
    <w:rsid w:val="00E15802"/>
    <w:rsid w:val="00E15917"/>
    <w:rsid w:val="00E15C6C"/>
    <w:rsid w:val="00E15D93"/>
    <w:rsid w:val="00E15E4E"/>
    <w:rsid w:val="00E15E8E"/>
    <w:rsid w:val="00E165D2"/>
    <w:rsid w:val="00E1661F"/>
    <w:rsid w:val="00E166F3"/>
    <w:rsid w:val="00E16AC8"/>
    <w:rsid w:val="00E16B0E"/>
    <w:rsid w:val="00E16CB3"/>
    <w:rsid w:val="00E16E36"/>
    <w:rsid w:val="00E16F02"/>
    <w:rsid w:val="00E171E9"/>
    <w:rsid w:val="00E174A1"/>
    <w:rsid w:val="00E17727"/>
    <w:rsid w:val="00E1780D"/>
    <w:rsid w:val="00E17B2E"/>
    <w:rsid w:val="00E17C1A"/>
    <w:rsid w:val="00E17C98"/>
    <w:rsid w:val="00E17D7C"/>
    <w:rsid w:val="00E17EC9"/>
    <w:rsid w:val="00E17F30"/>
    <w:rsid w:val="00E200E0"/>
    <w:rsid w:val="00E201C0"/>
    <w:rsid w:val="00E20236"/>
    <w:rsid w:val="00E2057C"/>
    <w:rsid w:val="00E20707"/>
    <w:rsid w:val="00E20971"/>
    <w:rsid w:val="00E20C8A"/>
    <w:rsid w:val="00E20DE0"/>
    <w:rsid w:val="00E20E17"/>
    <w:rsid w:val="00E20E88"/>
    <w:rsid w:val="00E20F0F"/>
    <w:rsid w:val="00E212A4"/>
    <w:rsid w:val="00E21328"/>
    <w:rsid w:val="00E21337"/>
    <w:rsid w:val="00E21352"/>
    <w:rsid w:val="00E215DF"/>
    <w:rsid w:val="00E21656"/>
    <w:rsid w:val="00E2187F"/>
    <w:rsid w:val="00E21919"/>
    <w:rsid w:val="00E21B83"/>
    <w:rsid w:val="00E21C4B"/>
    <w:rsid w:val="00E21C94"/>
    <w:rsid w:val="00E21E0E"/>
    <w:rsid w:val="00E21F93"/>
    <w:rsid w:val="00E21FD1"/>
    <w:rsid w:val="00E220A4"/>
    <w:rsid w:val="00E220CC"/>
    <w:rsid w:val="00E220F7"/>
    <w:rsid w:val="00E22181"/>
    <w:rsid w:val="00E2223A"/>
    <w:rsid w:val="00E2234D"/>
    <w:rsid w:val="00E2237B"/>
    <w:rsid w:val="00E2282C"/>
    <w:rsid w:val="00E22CC8"/>
    <w:rsid w:val="00E22EDF"/>
    <w:rsid w:val="00E22F97"/>
    <w:rsid w:val="00E22FB4"/>
    <w:rsid w:val="00E231BD"/>
    <w:rsid w:val="00E235AA"/>
    <w:rsid w:val="00E236C2"/>
    <w:rsid w:val="00E23788"/>
    <w:rsid w:val="00E23A42"/>
    <w:rsid w:val="00E23C07"/>
    <w:rsid w:val="00E23C3F"/>
    <w:rsid w:val="00E240B2"/>
    <w:rsid w:val="00E24145"/>
    <w:rsid w:val="00E241C6"/>
    <w:rsid w:val="00E2427B"/>
    <w:rsid w:val="00E244A0"/>
    <w:rsid w:val="00E24597"/>
    <w:rsid w:val="00E24659"/>
    <w:rsid w:val="00E24667"/>
    <w:rsid w:val="00E24771"/>
    <w:rsid w:val="00E24819"/>
    <w:rsid w:val="00E248CC"/>
    <w:rsid w:val="00E2493B"/>
    <w:rsid w:val="00E24AE4"/>
    <w:rsid w:val="00E251A7"/>
    <w:rsid w:val="00E255B2"/>
    <w:rsid w:val="00E257A8"/>
    <w:rsid w:val="00E257B4"/>
    <w:rsid w:val="00E25913"/>
    <w:rsid w:val="00E25A79"/>
    <w:rsid w:val="00E25BCB"/>
    <w:rsid w:val="00E25BF5"/>
    <w:rsid w:val="00E25DF2"/>
    <w:rsid w:val="00E25E4D"/>
    <w:rsid w:val="00E26135"/>
    <w:rsid w:val="00E26137"/>
    <w:rsid w:val="00E26750"/>
    <w:rsid w:val="00E26B09"/>
    <w:rsid w:val="00E26CC5"/>
    <w:rsid w:val="00E26CDA"/>
    <w:rsid w:val="00E27773"/>
    <w:rsid w:val="00E278FD"/>
    <w:rsid w:val="00E27CB4"/>
    <w:rsid w:val="00E27CC0"/>
    <w:rsid w:val="00E3010E"/>
    <w:rsid w:val="00E30587"/>
    <w:rsid w:val="00E30600"/>
    <w:rsid w:val="00E306A2"/>
    <w:rsid w:val="00E306DE"/>
    <w:rsid w:val="00E30B79"/>
    <w:rsid w:val="00E30B7A"/>
    <w:rsid w:val="00E30C91"/>
    <w:rsid w:val="00E30E8B"/>
    <w:rsid w:val="00E30F61"/>
    <w:rsid w:val="00E31365"/>
    <w:rsid w:val="00E31413"/>
    <w:rsid w:val="00E31462"/>
    <w:rsid w:val="00E31606"/>
    <w:rsid w:val="00E316E8"/>
    <w:rsid w:val="00E31809"/>
    <w:rsid w:val="00E31890"/>
    <w:rsid w:val="00E31B96"/>
    <w:rsid w:val="00E31E51"/>
    <w:rsid w:val="00E31E57"/>
    <w:rsid w:val="00E31E8B"/>
    <w:rsid w:val="00E31F12"/>
    <w:rsid w:val="00E3211F"/>
    <w:rsid w:val="00E321C9"/>
    <w:rsid w:val="00E321CE"/>
    <w:rsid w:val="00E32344"/>
    <w:rsid w:val="00E323F5"/>
    <w:rsid w:val="00E3242A"/>
    <w:rsid w:val="00E325B9"/>
    <w:rsid w:val="00E326A5"/>
    <w:rsid w:val="00E3299B"/>
    <w:rsid w:val="00E329A0"/>
    <w:rsid w:val="00E329EB"/>
    <w:rsid w:val="00E32AA7"/>
    <w:rsid w:val="00E32B06"/>
    <w:rsid w:val="00E32BF9"/>
    <w:rsid w:val="00E32CD3"/>
    <w:rsid w:val="00E32D42"/>
    <w:rsid w:val="00E32DEC"/>
    <w:rsid w:val="00E32E5A"/>
    <w:rsid w:val="00E32EB3"/>
    <w:rsid w:val="00E32F2F"/>
    <w:rsid w:val="00E33072"/>
    <w:rsid w:val="00E330B3"/>
    <w:rsid w:val="00E331E9"/>
    <w:rsid w:val="00E33287"/>
    <w:rsid w:val="00E333CF"/>
    <w:rsid w:val="00E33447"/>
    <w:rsid w:val="00E33762"/>
    <w:rsid w:val="00E337AF"/>
    <w:rsid w:val="00E337E8"/>
    <w:rsid w:val="00E33E1B"/>
    <w:rsid w:val="00E33FFC"/>
    <w:rsid w:val="00E34029"/>
    <w:rsid w:val="00E34158"/>
    <w:rsid w:val="00E342D1"/>
    <w:rsid w:val="00E3436E"/>
    <w:rsid w:val="00E344B6"/>
    <w:rsid w:val="00E34520"/>
    <w:rsid w:val="00E346C6"/>
    <w:rsid w:val="00E34A8B"/>
    <w:rsid w:val="00E34D3D"/>
    <w:rsid w:val="00E34E48"/>
    <w:rsid w:val="00E35553"/>
    <w:rsid w:val="00E3577D"/>
    <w:rsid w:val="00E35823"/>
    <w:rsid w:val="00E358F8"/>
    <w:rsid w:val="00E35B7E"/>
    <w:rsid w:val="00E35C65"/>
    <w:rsid w:val="00E35CDA"/>
    <w:rsid w:val="00E35D2A"/>
    <w:rsid w:val="00E35EF5"/>
    <w:rsid w:val="00E35FC9"/>
    <w:rsid w:val="00E362E7"/>
    <w:rsid w:val="00E3636D"/>
    <w:rsid w:val="00E363E3"/>
    <w:rsid w:val="00E3654B"/>
    <w:rsid w:val="00E366E9"/>
    <w:rsid w:val="00E36823"/>
    <w:rsid w:val="00E36A4F"/>
    <w:rsid w:val="00E36BA7"/>
    <w:rsid w:val="00E36BE6"/>
    <w:rsid w:val="00E36CA6"/>
    <w:rsid w:val="00E36E93"/>
    <w:rsid w:val="00E370D3"/>
    <w:rsid w:val="00E373C0"/>
    <w:rsid w:val="00E37766"/>
    <w:rsid w:val="00E37C63"/>
    <w:rsid w:val="00E37D2C"/>
    <w:rsid w:val="00E37D69"/>
    <w:rsid w:val="00E37D7F"/>
    <w:rsid w:val="00E37DD5"/>
    <w:rsid w:val="00E37F40"/>
    <w:rsid w:val="00E37FA7"/>
    <w:rsid w:val="00E37FC4"/>
    <w:rsid w:val="00E40026"/>
    <w:rsid w:val="00E4013B"/>
    <w:rsid w:val="00E4040C"/>
    <w:rsid w:val="00E4050E"/>
    <w:rsid w:val="00E4057C"/>
    <w:rsid w:val="00E40969"/>
    <w:rsid w:val="00E4096A"/>
    <w:rsid w:val="00E40AB8"/>
    <w:rsid w:val="00E40AD1"/>
    <w:rsid w:val="00E40B3E"/>
    <w:rsid w:val="00E40B77"/>
    <w:rsid w:val="00E40CC7"/>
    <w:rsid w:val="00E40D25"/>
    <w:rsid w:val="00E40DF0"/>
    <w:rsid w:val="00E40E98"/>
    <w:rsid w:val="00E41134"/>
    <w:rsid w:val="00E41349"/>
    <w:rsid w:val="00E4138C"/>
    <w:rsid w:val="00E41402"/>
    <w:rsid w:val="00E41561"/>
    <w:rsid w:val="00E41596"/>
    <w:rsid w:val="00E415EA"/>
    <w:rsid w:val="00E41615"/>
    <w:rsid w:val="00E416A4"/>
    <w:rsid w:val="00E416A8"/>
    <w:rsid w:val="00E4171F"/>
    <w:rsid w:val="00E41733"/>
    <w:rsid w:val="00E4188E"/>
    <w:rsid w:val="00E419D7"/>
    <w:rsid w:val="00E41A96"/>
    <w:rsid w:val="00E41AE7"/>
    <w:rsid w:val="00E41C5C"/>
    <w:rsid w:val="00E41CA6"/>
    <w:rsid w:val="00E41F18"/>
    <w:rsid w:val="00E422F8"/>
    <w:rsid w:val="00E4243D"/>
    <w:rsid w:val="00E42544"/>
    <w:rsid w:val="00E42C51"/>
    <w:rsid w:val="00E42D3E"/>
    <w:rsid w:val="00E42D80"/>
    <w:rsid w:val="00E42F9B"/>
    <w:rsid w:val="00E430B3"/>
    <w:rsid w:val="00E430B4"/>
    <w:rsid w:val="00E43198"/>
    <w:rsid w:val="00E431BD"/>
    <w:rsid w:val="00E431FB"/>
    <w:rsid w:val="00E43437"/>
    <w:rsid w:val="00E4346A"/>
    <w:rsid w:val="00E43612"/>
    <w:rsid w:val="00E438A5"/>
    <w:rsid w:val="00E43903"/>
    <w:rsid w:val="00E43A8C"/>
    <w:rsid w:val="00E43BDD"/>
    <w:rsid w:val="00E43D94"/>
    <w:rsid w:val="00E43F53"/>
    <w:rsid w:val="00E443E0"/>
    <w:rsid w:val="00E4465F"/>
    <w:rsid w:val="00E4466E"/>
    <w:rsid w:val="00E44696"/>
    <w:rsid w:val="00E446D0"/>
    <w:rsid w:val="00E44874"/>
    <w:rsid w:val="00E4492D"/>
    <w:rsid w:val="00E44942"/>
    <w:rsid w:val="00E44A07"/>
    <w:rsid w:val="00E44E24"/>
    <w:rsid w:val="00E44E40"/>
    <w:rsid w:val="00E44EE1"/>
    <w:rsid w:val="00E44EFA"/>
    <w:rsid w:val="00E44F20"/>
    <w:rsid w:val="00E45013"/>
    <w:rsid w:val="00E45016"/>
    <w:rsid w:val="00E450AE"/>
    <w:rsid w:val="00E45245"/>
    <w:rsid w:val="00E452C3"/>
    <w:rsid w:val="00E454BA"/>
    <w:rsid w:val="00E45535"/>
    <w:rsid w:val="00E455B7"/>
    <w:rsid w:val="00E45A63"/>
    <w:rsid w:val="00E45B9B"/>
    <w:rsid w:val="00E45CF5"/>
    <w:rsid w:val="00E45DAF"/>
    <w:rsid w:val="00E45E80"/>
    <w:rsid w:val="00E45E91"/>
    <w:rsid w:val="00E4616B"/>
    <w:rsid w:val="00E46438"/>
    <w:rsid w:val="00E4655D"/>
    <w:rsid w:val="00E466B7"/>
    <w:rsid w:val="00E46731"/>
    <w:rsid w:val="00E4699F"/>
    <w:rsid w:val="00E46A01"/>
    <w:rsid w:val="00E46A5C"/>
    <w:rsid w:val="00E46D89"/>
    <w:rsid w:val="00E46E2E"/>
    <w:rsid w:val="00E46EBD"/>
    <w:rsid w:val="00E473A9"/>
    <w:rsid w:val="00E473F6"/>
    <w:rsid w:val="00E47654"/>
    <w:rsid w:val="00E47C37"/>
    <w:rsid w:val="00E47E90"/>
    <w:rsid w:val="00E47F9B"/>
    <w:rsid w:val="00E50383"/>
    <w:rsid w:val="00E504CF"/>
    <w:rsid w:val="00E50560"/>
    <w:rsid w:val="00E5073F"/>
    <w:rsid w:val="00E50AA0"/>
    <w:rsid w:val="00E50AA4"/>
    <w:rsid w:val="00E50CD2"/>
    <w:rsid w:val="00E50DD3"/>
    <w:rsid w:val="00E50E34"/>
    <w:rsid w:val="00E510BA"/>
    <w:rsid w:val="00E511AF"/>
    <w:rsid w:val="00E51527"/>
    <w:rsid w:val="00E51826"/>
    <w:rsid w:val="00E51D35"/>
    <w:rsid w:val="00E51F90"/>
    <w:rsid w:val="00E5201D"/>
    <w:rsid w:val="00E5243B"/>
    <w:rsid w:val="00E526B2"/>
    <w:rsid w:val="00E52983"/>
    <w:rsid w:val="00E52A9A"/>
    <w:rsid w:val="00E52B08"/>
    <w:rsid w:val="00E52D4D"/>
    <w:rsid w:val="00E52D86"/>
    <w:rsid w:val="00E52DB6"/>
    <w:rsid w:val="00E52E6E"/>
    <w:rsid w:val="00E53007"/>
    <w:rsid w:val="00E5317F"/>
    <w:rsid w:val="00E53219"/>
    <w:rsid w:val="00E532A5"/>
    <w:rsid w:val="00E53319"/>
    <w:rsid w:val="00E535A8"/>
    <w:rsid w:val="00E5365F"/>
    <w:rsid w:val="00E5369A"/>
    <w:rsid w:val="00E5389B"/>
    <w:rsid w:val="00E5396C"/>
    <w:rsid w:val="00E53A20"/>
    <w:rsid w:val="00E53B27"/>
    <w:rsid w:val="00E53B30"/>
    <w:rsid w:val="00E53BD2"/>
    <w:rsid w:val="00E53C17"/>
    <w:rsid w:val="00E540E2"/>
    <w:rsid w:val="00E5429A"/>
    <w:rsid w:val="00E5450C"/>
    <w:rsid w:val="00E54711"/>
    <w:rsid w:val="00E547A7"/>
    <w:rsid w:val="00E54800"/>
    <w:rsid w:val="00E54816"/>
    <w:rsid w:val="00E54876"/>
    <w:rsid w:val="00E54971"/>
    <w:rsid w:val="00E54B53"/>
    <w:rsid w:val="00E54B9D"/>
    <w:rsid w:val="00E54C04"/>
    <w:rsid w:val="00E54C89"/>
    <w:rsid w:val="00E54C90"/>
    <w:rsid w:val="00E54D3D"/>
    <w:rsid w:val="00E54DBE"/>
    <w:rsid w:val="00E54EDA"/>
    <w:rsid w:val="00E54FBB"/>
    <w:rsid w:val="00E553A8"/>
    <w:rsid w:val="00E554BD"/>
    <w:rsid w:val="00E555EC"/>
    <w:rsid w:val="00E5579C"/>
    <w:rsid w:val="00E55854"/>
    <w:rsid w:val="00E55A77"/>
    <w:rsid w:val="00E55A90"/>
    <w:rsid w:val="00E55AD3"/>
    <w:rsid w:val="00E56088"/>
    <w:rsid w:val="00E564EA"/>
    <w:rsid w:val="00E56517"/>
    <w:rsid w:val="00E565B7"/>
    <w:rsid w:val="00E5664D"/>
    <w:rsid w:val="00E566A3"/>
    <w:rsid w:val="00E56840"/>
    <w:rsid w:val="00E56A40"/>
    <w:rsid w:val="00E56ABF"/>
    <w:rsid w:val="00E56B0F"/>
    <w:rsid w:val="00E56EDB"/>
    <w:rsid w:val="00E56FF9"/>
    <w:rsid w:val="00E57007"/>
    <w:rsid w:val="00E5706C"/>
    <w:rsid w:val="00E57072"/>
    <w:rsid w:val="00E570FA"/>
    <w:rsid w:val="00E57329"/>
    <w:rsid w:val="00E575FA"/>
    <w:rsid w:val="00E57697"/>
    <w:rsid w:val="00E576D9"/>
    <w:rsid w:val="00E5798A"/>
    <w:rsid w:val="00E57AB4"/>
    <w:rsid w:val="00E57F89"/>
    <w:rsid w:val="00E60281"/>
    <w:rsid w:val="00E60350"/>
    <w:rsid w:val="00E605B8"/>
    <w:rsid w:val="00E607F6"/>
    <w:rsid w:val="00E60885"/>
    <w:rsid w:val="00E609EB"/>
    <w:rsid w:val="00E60AB0"/>
    <w:rsid w:val="00E60AC1"/>
    <w:rsid w:val="00E60B19"/>
    <w:rsid w:val="00E60BDE"/>
    <w:rsid w:val="00E60BF9"/>
    <w:rsid w:val="00E60CF5"/>
    <w:rsid w:val="00E60DC8"/>
    <w:rsid w:val="00E60E67"/>
    <w:rsid w:val="00E60E7D"/>
    <w:rsid w:val="00E6107C"/>
    <w:rsid w:val="00E61410"/>
    <w:rsid w:val="00E61491"/>
    <w:rsid w:val="00E615EB"/>
    <w:rsid w:val="00E6166C"/>
    <w:rsid w:val="00E6170C"/>
    <w:rsid w:val="00E6176C"/>
    <w:rsid w:val="00E61946"/>
    <w:rsid w:val="00E61A4D"/>
    <w:rsid w:val="00E61DE0"/>
    <w:rsid w:val="00E61FF8"/>
    <w:rsid w:val="00E623B8"/>
    <w:rsid w:val="00E62781"/>
    <w:rsid w:val="00E62884"/>
    <w:rsid w:val="00E62A50"/>
    <w:rsid w:val="00E62B02"/>
    <w:rsid w:val="00E62B0D"/>
    <w:rsid w:val="00E62BCE"/>
    <w:rsid w:val="00E62BEE"/>
    <w:rsid w:val="00E62CE1"/>
    <w:rsid w:val="00E62D03"/>
    <w:rsid w:val="00E62F8E"/>
    <w:rsid w:val="00E631B8"/>
    <w:rsid w:val="00E6333B"/>
    <w:rsid w:val="00E635E3"/>
    <w:rsid w:val="00E63CAE"/>
    <w:rsid w:val="00E63E0C"/>
    <w:rsid w:val="00E63F26"/>
    <w:rsid w:val="00E640E1"/>
    <w:rsid w:val="00E643FC"/>
    <w:rsid w:val="00E64596"/>
    <w:rsid w:val="00E6474B"/>
    <w:rsid w:val="00E6490D"/>
    <w:rsid w:val="00E6498F"/>
    <w:rsid w:val="00E65B1F"/>
    <w:rsid w:val="00E65C1D"/>
    <w:rsid w:val="00E65C8E"/>
    <w:rsid w:val="00E65CF1"/>
    <w:rsid w:val="00E65D33"/>
    <w:rsid w:val="00E65DD7"/>
    <w:rsid w:val="00E65E2C"/>
    <w:rsid w:val="00E65ED0"/>
    <w:rsid w:val="00E66166"/>
    <w:rsid w:val="00E66196"/>
    <w:rsid w:val="00E661AF"/>
    <w:rsid w:val="00E661D8"/>
    <w:rsid w:val="00E66318"/>
    <w:rsid w:val="00E66336"/>
    <w:rsid w:val="00E664DB"/>
    <w:rsid w:val="00E6654C"/>
    <w:rsid w:val="00E665CA"/>
    <w:rsid w:val="00E66707"/>
    <w:rsid w:val="00E6677D"/>
    <w:rsid w:val="00E6679C"/>
    <w:rsid w:val="00E66998"/>
    <w:rsid w:val="00E66B0B"/>
    <w:rsid w:val="00E66B19"/>
    <w:rsid w:val="00E66BEE"/>
    <w:rsid w:val="00E66C3B"/>
    <w:rsid w:val="00E66D05"/>
    <w:rsid w:val="00E66D72"/>
    <w:rsid w:val="00E66EAA"/>
    <w:rsid w:val="00E67006"/>
    <w:rsid w:val="00E672E2"/>
    <w:rsid w:val="00E67317"/>
    <w:rsid w:val="00E674F4"/>
    <w:rsid w:val="00E67889"/>
    <w:rsid w:val="00E679F5"/>
    <w:rsid w:val="00E67ABE"/>
    <w:rsid w:val="00E67B22"/>
    <w:rsid w:val="00E67BFC"/>
    <w:rsid w:val="00E67CD0"/>
    <w:rsid w:val="00E67E4F"/>
    <w:rsid w:val="00E67ECE"/>
    <w:rsid w:val="00E67F60"/>
    <w:rsid w:val="00E701B9"/>
    <w:rsid w:val="00E7023B"/>
    <w:rsid w:val="00E70251"/>
    <w:rsid w:val="00E702AD"/>
    <w:rsid w:val="00E703C4"/>
    <w:rsid w:val="00E7048D"/>
    <w:rsid w:val="00E706B6"/>
    <w:rsid w:val="00E70853"/>
    <w:rsid w:val="00E708C7"/>
    <w:rsid w:val="00E70A12"/>
    <w:rsid w:val="00E70A8A"/>
    <w:rsid w:val="00E70F2C"/>
    <w:rsid w:val="00E70FC6"/>
    <w:rsid w:val="00E7113E"/>
    <w:rsid w:val="00E7114E"/>
    <w:rsid w:val="00E71345"/>
    <w:rsid w:val="00E7139B"/>
    <w:rsid w:val="00E71414"/>
    <w:rsid w:val="00E71669"/>
    <w:rsid w:val="00E7169E"/>
    <w:rsid w:val="00E7178A"/>
    <w:rsid w:val="00E717B3"/>
    <w:rsid w:val="00E71A83"/>
    <w:rsid w:val="00E71A99"/>
    <w:rsid w:val="00E71AE5"/>
    <w:rsid w:val="00E71D56"/>
    <w:rsid w:val="00E71D95"/>
    <w:rsid w:val="00E71E62"/>
    <w:rsid w:val="00E7204A"/>
    <w:rsid w:val="00E7219A"/>
    <w:rsid w:val="00E72295"/>
    <w:rsid w:val="00E72718"/>
    <w:rsid w:val="00E729D5"/>
    <w:rsid w:val="00E72C83"/>
    <w:rsid w:val="00E72C85"/>
    <w:rsid w:val="00E73249"/>
    <w:rsid w:val="00E733AD"/>
    <w:rsid w:val="00E7348F"/>
    <w:rsid w:val="00E735D1"/>
    <w:rsid w:val="00E73623"/>
    <w:rsid w:val="00E73676"/>
    <w:rsid w:val="00E7367C"/>
    <w:rsid w:val="00E73890"/>
    <w:rsid w:val="00E738E5"/>
    <w:rsid w:val="00E739F0"/>
    <w:rsid w:val="00E73D43"/>
    <w:rsid w:val="00E73F35"/>
    <w:rsid w:val="00E740F6"/>
    <w:rsid w:val="00E741B4"/>
    <w:rsid w:val="00E74252"/>
    <w:rsid w:val="00E74316"/>
    <w:rsid w:val="00E743ED"/>
    <w:rsid w:val="00E744AB"/>
    <w:rsid w:val="00E74570"/>
    <w:rsid w:val="00E7460C"/>
    <w:rsid w:val="00E747DB"/>
    <w:rsid w:val="00E748F5"/>
    <w:rsid w:val="00E749A2"/>
    <w:rsid w:val="00E749AE"/>
    <w:rsid w:val="00E74BE5"/>
    <w:rsid w:val="00E74C78"/>
    <w:rsid w:val="00E74C7E"/>
    <w:rsid w:val="00E74D52"/>
    <w:rsid w:val="00E74DC9"/>
    <w:rsid w:val="00E74E0A"/>
    <w:rsid w:val="00E74FF8"/>
    <w:rsid w:val="00E75093"/>
    <w:rsid w:val="00E750AE"/>
    <w:rsid w:val="00E7531F"/>
    <w:rsid w:val="00E75366"/>
    <w:rsid w:val="00E75455"/>
    <w:rsid w:val="00E75611"/>
    <w:rsid w:val="00E758C1"/>
    <w:rsid w:val="00E75B1F"/>
    <w:rsid w:val="00E75B92"/>
    <w:rsid w:val="00E75B96"/>
    <w:rsid w:val="00E75D42"/>
    <w:rsid w:val="00E75FC1"/>
    <w:rsid w:val="00E760DC"/>
    <w:rsid w:val="00E76315"/>
    <w:rsid w:val="00E7660C"/>
    <w:rsid w:val="00E76653"/>
    <w:rsid w:val="00E76709"/>
    <w:rsid w:val="00E769CC"/>
    <w:rsid w:val="00E76D1D"/>
    <w:rsid w:val="00E76D22"/>
    <w:rsid w:val="00E76DB8"/>
    <w:rsid w:val="00E76DBD"/>
    <w:rsid w:val="00E76E8A"/>
    <w:rsid w:val="00E76E97"/>
    <w:rsid w:val="00E772E7"/>
    <w:rsid w:val="00E77415"/>
    <w:rsid w:val="00E776F3"/>
    <w:rsid w:val="00E77830"/>
    <w:rsid w:val="00E778DE"/>
    <w:rsid w:val="00E77991"/>
    <w:rsid w:val="00E77A3B"/>
    <w:rsid w:val="00E77ED1"/>
    <w:rsid w:val="00E80022"/>
    <w:rsid w:val="00E80105"/>
    <w:rsid w:val="00E8015A"/>
    <w:rsid w:val="00E801D5"/>
    <w:rsid w:val="00E8027E"/>
    <w:rsid w:val="00E803AC"/>
    <w:rsid w:val="00E8049B"/>
    <w:rsid w:val="00E804CC"/>
    <w:rsid w:val="00E80549"/>
    <w:rsid w:val="00E80733"/>
    <w:rsid w:val="00E80838"/>
    <w:rsid w:val="00E80B6E"/>
    <w:rsid w:val="00E80C29"/>
    <w:rsid w:val="00E80C46"/>
    <w:rsid w:val="00E80F1C"/>
    <w:rsid w:val="00E80FE0"/>
    <w:rsid w:val="00E81170"/>
    <w:rsid w:val="00E814CE"/>
    <w:rsid w:val="00E814E2"/>
    <w:rsid w:val="00E8150A"/>
    <w:rsid w:val="00E815E3"/>
    <w:rsid w:val="00E81A64"/>
    <w:rsid w:val="00E81C62"/>
    <w:rsid w:val="00E81DB7"/>
    <w:rsid w:val="00E81E61"/>
    <w:rsid w:val="00E82044"/>
    <w:rsid w:val="00E8211D"/>
    <w:rsid w:val="00E82191"/>
    <w:rsid w:val="00E822CC"/>
    <w:rsid w:val="00E824DA"/>
    <w:rsid w:val="00E82678"/>
    <w:rsid w:val="00E826D0"/>
    <w:rsid w:val="00E827E9"/>
    <w:rsid w:val="00E82BAB"/>
    <w:rsid w:val="00E82D6D"/>
    <w:rsid w:val="00E82EE6"/>
    <w:rsid w:val="00E82F2E"/>
    <w:rsid w:val="00E82FDA"/>
    <w:rsid w:val="00E8317D"/>
    <w:rsid w:val="00E831D2"/>
    <w:rsid w:val="00E8322D"/>
    <w:rsid w:val="00E83743"/>
    <w:rsid w:val="00E83A1E"/>
    <w:rsid w:val="00E83B97"/>
    <w:rsid w:val="00E83F95"/>
    <w:rsid w:val="00E83FC5"/>
    <w:rsid w:val="00E840D8"/>
    <w:rsid w:val="00E8434C"/>
    <w:rsid w:val="00E84368"/>
    <w:rsid w:val="00E843F1"/>
    <w:rsid w:val="00E84467"/>
    <w:rsid w:val="00E845D0"/>
    <w:rsid w:val="00E8463F"/>
    <w:rsid w:val="00E84674"/>
    <w:rsid w:val="00E84AC6"/>
    <w:rsid w:val="00E84CDA"/>
    <w:rsid w:val="00E84DB1"/>
    <w:rsid w:val="00E84F49"/>
    <w:rsid w:val="00E84FB2"/>
    <w:rsid w:val="00E8520E"/>
    <w:rsid w:val="00E8522E"/>
    <w:rsid w:val="00E852B4"/>
    <w:rsid w:val="00E85370"/>
    <w:rsid w:val="00E855E8"/>
    <w:rsid w:val="00E855FD"/>
    <w:rsid w:val="00E8572C"/>
    <w:rsid w:val="00E85731"/>
    <w:rsid w:val="00E859E2"/>
    <w:rsid w:val="00E859FA"/>
    <w:rsid w:val="00E85AE7"/>
    <w:rsid w:val="00E85BEA"/>
    <w:rsid w:val="00E8603C"/>
    <w:rsid w:val="00E860AD"/>
    <w:rsid w:val="00E860B3"/>
    <w:rsid w:val="00E86511"/>
    <w:rsid w:val="00E865CD"/>
    <w:rsid w:val="00E86615"/>
    <w:rsid w:val="00E86E1A"/>
    <w:rsid w:val="00E86EC6"/>
    <w:rsid w:val="00E86F03"/>
    <w:rsid w:val="00E871C6"/>
    <w:rsid w:val="00E8768B"/>
    <w:rsid w:val="00E876BB"/>
    <w:rsid w:val="00E87806"/>
    <w:rsid w:val="00E878BF"/>
    <w:rsid w:val="00E8794C"/>
    <w:rsid w:val="00E87991"/>
    <w:rsid w:val="00E879EB"/>
    <w:rsid w:val="00E87AB2"/>
    <w:rsid w:val="00E87BE2"/>
    <w:rsid w:val="00E87D5E"/>
    <w:rsid w:val="00E87DFE"/>
    <w:rsid w:val="00E87ECC"/>
    <w:rsid w:val="00E901A8"/>
    <w:rsid w:val="00E902C3"/>
    <w:rsid w:val="00E90479"/>
    <w:rsid w:val="00E90486"/>
    <w:rsid w:val="00E904E2"/>
    <w:rsid w:val="00E9056C"/>
    <w:rsid w:val="00E90646"/>
    <w:rsid w:val="00E90B80"/>
    <w:rsid w:val="00E90C23"/>
    <w:rsid w:val="00E90E69"/>
    <w:rsid w:val="00E910C6"/>
    <w:rsid w:val="00E9137A"/>
    <w:rsid w:val="00E91446"/>
    <w:rsid w:val="00E915B4"/>
    <w:rsid w:val="00E9169C"/>
    <w:rsid w:val="00E91721"/>
    <w:rsid w:val="00E917F9"/>
    <w:rsid w:val="00E919A2"/>
    <w:rsid w:val="00E91A6D"/>
    <w:rsid w:val="00E91CF3"/>
    <w:rsid w:val="00E91DC8"/>
    <w:rsid w:val="00E92080"/>
    <w:rsid w:val="00E921EB"/>
    <w:rsid w:val="00E923A8"/>
    <w:rsid w:val="00E923CA"/>
    <w:rsid w:val="00E924B6"/>
    <w:rsid w:val="00E92539"/>
    <w:rsid w:val="00E925BC"/>
    <w:rsid w:val="00E927C4"/>
    <w:rsid w:val="00E92931"/>
    <w:rsid w:val="00E92A04"/>
    <w:rsid w:val="00E92A19"/>
    <w:rsid w:val="00E92AA5"/>
    <w:rsid w:val="00E930A6"/>
    <w:rsid w:val="00E93256"/>
    <w:rsid w:val="00E93435"/>
    <w:rsid w:val="00E93556"/>
    <w:rsid w:val="00E93766"/>
    <w:rsid w:val="00E93908"/>
    <w:rsid w:val="00E93D61"/>
    <w:rsid w:val="00E93E7D"/>
    <w:rsid w:val="00E93E97"/>
    <w:rsid w:val="00E93F1A"/>
    <w:rsid w:val="00E93F23"/>
    <w:rsid w:val="00E94028"/>
    <w:rsid w:val="00E942AB"/>
    <w:rsid w:val="00E942B3"/>
    <w:rsid w:val="00E943C4"/>
    <w:rsid w:val="00E9440C"/>
    <w:rsid w:val="00E944E7"/>
    <w:rsid w:val="00E94694"/>
    <w:rsid w:val="00E94C71"/>
    <w:rsid w:val="00E95040"/>
    <w:rsid w:val="00E952F4"/>
    <w:rsid w:val="00E955A0"/>
    <w:rsid w:val="00E955EE"/>
    <w:rsid w:val="00E95937"/>
    <w:rsid w:val="00E95A78"/>
    <w:rsid w:val="00E95A8D"/>
    <w:rsid w:val="00E95C6F"/>
    <w:rsid w:val="00E95D59"/>
    <w:rsid w:val="00E95F42"/>
    <w:rsid w:val="00E96411"/>
    <w:rsid w:val="00E9645B"/>
    <w:rsid w:val="00E96614"/>
    <w:rsid w:val="00E96969"/>
    <w:rsid w:val="00E969E1"/>
    <w:rsid w:val="00E96A75"/>
    <w:rsid w:val="00E96E54"/>
    <w:rsid w:val="00E970EB"/>
    <w:rsid w:val="00E970FF"/>
    <w:rsid w:val="00E97758"/>
    <w:rsid w:val="00E97946"/>
    <w:rsid w:val="00E979F5"/>
    <w:rsid w:val="00E97ACE"/>
    <w:rsid w:val="00E97B1F"/>
    <w:rsid w:val="00E97DD5"/>
    <w:rsid w:val="00EA00E1"/>
    <w:rsid w:val="00EA027F"/>
    <w:rsid w:val="00EA02A3"/>
    <w:rsid w:val="00EA03B1"/>
    <w:rsid w:val="00EA04C1"/>
    <w:rsid w:val="00EA0530"/>
    <w:rsid w:val="00EA0539"/>
    <w:rsid w:val="00EA063D"/>
    <w:rsid w:val="00EA095A"/>
    <w:rsid w:val="00EA0D16"/>
    <w:rsid w:val="00EA0D5A"/>
    <w:rsid w:val="00EA1134"/>
    <w:rsid w:val="00EA1194"/>
    <w:rsid w:val="00EA13C0"/>
    <w:rsid w:val="00EA16D3"/>
    <w:rsid w:val="00EA1862"/>
    <w:rsid w:val="00EA18C8"/>
    <w:rsid w:val="00EA194E"/>
    <w:rsid w:val="00EA1DF1"/>
    <w:rsid w:val="00EA1E0B"/>
    <w:rsid w:val="00EA1FA9"/>
    <w:rsid w:val="00EA2089"/>
    <w:rsid w:val="00EA219E"/>
    <w:rsid w:val="00EA23BF"/>
    <w:rsid w:val="00EA2931"/>
    <w:rsid w:val="00EA2AE1"/>
    <w:rsid w:val="00EA2C16"/>
    <w:rsid w:val="00EA2DC1"/>
    <w:rsid w:val="00EA300E"/>
    <w:rsid w:val="00EA3043"/>
    <w:rsid w:val="00EA328E"/>
    <w:rsid w:val="00EA33E4"/>
    <w:rsid w:val="00EA342B"/>
    <w:rsid w:val="00EA344A"/>
    <w:rsid w:val="00EA35B9"/>
    <w:rsid w:val="00EA378C"/>
    <w:rsid w:val="00EA38F4"/>
    <w:rsid w:val="00EA3936"/>
    <w:rsid w:val="00EA3AE1"/>
    <w:rsid w:val="00EA3AF7"/>
    <w:rsid w:val="00EA3B6D"/>
    <w:rsid w:val="00EA3BD0"/>
    <w:rsid w:val="00EA3DA7"/>
    <w:rsid w:val="00EA3EF0"/>
    <w:rsid w:val="00EA3FE2"/>
    <w:rsid w:val="00EA4047"/>
    <w:rsid w:val="00EA40AE"/>
    <w:rsid w:val="00EA42B8"/>
    <w:rsid w:val="00EA42EA"/>
    <w:rsid w:val="00EA43F7"/>
    <w:rsid w:val="00EA4426"/>
    <w:rsid w:val="00EA4434"/>
    <w:rsid w:val="00EA452E"/>
    <w:rsid w:val="00EA49E2"/>
    <w:rsid w:val="00EA4B36"/>
    <w:rsid w:val="00EA4EBE"/>
    <w:rsid w:val="00EA5070"/>
    <w:rsid w:val="00EA5135"/>
    <w:rsid w:val="00EA5186"/>
    <w:rsid w:val="00EA5257"/>
    <w:rsid w:val="00EA53B4"/>
    <w:rsid w:val="00EA5597"/>
    <w:rsid w:val="00EA5629"/>
    <w:rsid w:val="00EA578E"/>
    <w:rsid w:val="00EA58D5"/>
    <w:rsid w:val="00EA5A04"/>
    <w:rsid w:val="00EA5B21"/>
    <w:rsid w:val="00EA5CAC"/>
    <w:rsid w:val="00EA5F1C"/>
    <w:rsid w:val="00EA613C"/>
    <w:rsid w:val="00EA61C9"/>
    <w:rsid w:val="00EA6219"/>
    <w:rsid w:val="00EA6379"/>
    <w:rsid w:val="00EA638D"/>
    <w:rsid w:val="00EA6842"/>
    <w:rsid w:val="00EA696B"/>
    <w:rsid w:val="00EA69B8"/>
    <w:rsid w:val="00EA6A06"/>
    <w:rsid w:val="00EA6B0C"/>
    <w:rsid w:val="00EA6B63"/>
    <w:rsid w:val="00EA6CF9"/>
    <w:rsid w:val="00EA6FC2"/>
    <w:rsid w:val="00EA71F5"/>
    <w:rsid w:val="00EA724F"/>
    <w:rsid w:val="00EA726B"/>
    <w:rsid w:val="00EA7311"/>
    <w:rsid w:val="00EA7578"/>
    <w:rsid w:val="00EA7763"/>
    <w:rsid w:val="00EA7889"/>
    <w:rsid w:val="00EA7992"/>
    <w:rsid w:val="00EA7B87"/>
    <w:rsid w:val="00EA7C5D"/>
    <w:rsid w:val="00EA7FA7"/>
    <w:rsid w:val="00EB0080"/>
    <w:rsid w:val="00EB011D"/>
    <w:rsid w:val="00EB03EA"/>
    <w:rsid w:val="00EB0408"/>
    <w:rsid w:val="00EB0439"/>
    <w:rsid w:val="00EB0610"/>
    <w:rsid w:val="00EB075D"/>
    <w:rsid w:val="00EB08CF"/>
    <w:rsid w:val="00EB08F0"/>
    <w:rsid w:val="00EB0948"/>
    <w:rsid w:val="00EB0B4D"/>
    <w:rsid w:val="00EB0D8F"/>
    <w:rsid w:val="00EB0F1D"/>
    <w:rsid w:val="00EB0F84"/>
    <w:rsid w:val="00EB0FF6"/>
    <w:rsid w:val="00EB1068"/>
    <w:rsid w:val="00EB10EF"/>
    <w:rsid w:val="00EB123F"/>
    <w:rsid w:val="00EB1242"/>
    <w:rsid w:val="00EB1433"/>
    <w:rsid w:val="00EB14BC"/>
    <w:rsid w:val="00EB14C1"/>
    <w:rsid w:val="00EB1690"/>
    <w:rsid w:val="00EB1742"/>
    <w:rsid w:val="00EB17C9"/>
    <w:rsid w:val="00EB1871"/>
    <w:rsid w:val="00EB19BD"/>
    <w:rsid w:val="00EB1AF2"/>
    <w:rsid w:val="00EB1DFF"/>
    <w:rsid w:val="00EB1F31"/>
    <w:rsid w:val="00EB210F"/>
    <w:rsid w:val="00EB21C0"/>
    <w:rsid w:val="00EB2408"/>
    <w:rsid w:val="00EB2613"/>
    <w:rsid w:val="00EB2715"/>
    <w:rsid w:val="00EB293A"/>
    <w:rsid w:val="00EB2AF0"/>
    <w:rsid w:val="00EB2B66"/>
    <w:rsid w:val="00EB2F28"/>
    <w:rsid w:val="00EB2F7B"/>
    <w:rsid w:val="00EB30ED"/>
    <w:rsid w:val="00EB31E3"/>
    <w:rsid w:val="00EB348E"/>
    <w:rsid w:val="00EB36ED"/>
    <w:rsid w:val="00EB3887"/>
    <w:rsid w:val="00EB3895"/>
    <w:rsid w:val="00EB3909"/>
    <w:rsid w:val="00EB39CE"/>
    <w:rsid w:val="00EB3AB1"/>
    <w:rsid w:val="00EB3CE9"/>
    <w:rsid w:val="00EB4106"/>
    <w:rsid w:val="00EB413A"/>
    <w:rsid w:val="00EB4473"/>
    <w:rsid w:val="00EB4497"/>
    <w:rsid w:val="00EB4786"/>
    <w:rsid w:val="00EB47B5"/>
    <w:rsid w:val="00EB47DA"/>
    <w:rsid w:val="00EB49B2"/>
    <w:rsid w:val="00EB4ABE"/>
    <w:rsid w:val="00EB4D01"/>
    <w:rsid w:val="00EB4D85"/>
    <w:rsid w:val="00EB4E65"/>
    <w:rsid w:val="00EB4F4B"/>
    <w:rsid w:val="00EB4F9C"/>
    <w:rsid w:val="00EB500B"/>
    <w:rsid w:val="00EB5101"/>
    <w:rsid w:val="00EB5254"/>
    <w:rsid w:val="00EB5384"/>
    <w:rsid w:val="00EB546B"/>
    <w:rsid w:val="00EB578B"/>
    <w:rsid w:val="00EB5994"/>
    <w:rsid w:val="00EB5A60"/>
    <w:rsid w:val="00EB5B68"/>
    <w:rsid w:val="00EB5BB5"/>
    <w:rsid w:val="00EB5C0E"/>
    <w:rsid w:val="00EB5D17"/>
    <w:rsid w:val="00EB600E"/>
    <w:rsid w:val="00EB6248"/>
    <w:rsid w:val="00EB6394"/>
    <w:rsid w:val="00EB63D7"/>
    <w:rsid w:val="00EB6857"/>
    <w:rsid w:val="00EB6B20"/>
    <w:rsid w:val="00EB6D69"/>
    <w:rsid w:val="00EB713D"/>
    <w:rsid w:val="00EB7235"/>
    <w:rsid w:val="00EB72D5"/>
    <w:rsid w:val="00EB734E"/>
    <w:rsid w:val="00EB7381"/>
    <w:rsid w:val="00EB73D3"/>
    <w:rsid w:val="00EB73EC"/>
    <w:rsid w:val="00EB7533"/>
    <w:rsid w:val="00EB7578"/>
    <w:rsid w:val="00EB7858"/>
    <w:rsid w:val="00EB7AFA"/>
    <w:rsid w:val="00EB7C2A"/>
    <w:rsid w:val="00EB7C5E"/>
    <w:rsid w:val="00EB7EA5"/>
    <w:rsid w:val="00EC0010"/>
    <w:rsid w:val="00EC0044"/>
    <w:rsid w:val="00EC045B"/>
    <w:rsid w:val="00EC05DE"/>
    <w:rsid w:val="00EC0649"/>
    <w:rsid w:val="00EC0910"/>
    <w:rsid w:val="00EC09A2"/>
    <w:rsid w:val="00EC09CE"/>
    <w:rsid w:val="00EC0ABE"/>
    <w:rsid w:val="00EC0B80"/>
    <w:rsid w:val="00EC1068"/>
    <w:rsid w:val="00EC113B"/>
    <w:rsid w:val="00EC12EA"/>
    <w:rsid w:val="00EC1417"/>
    <w:rsid w:val="00EC1483"/>
    <w:rsid w:val="00EC152C"/>
    <w:rsid w:val="00EC155D"/>
    <w:rsid w:val="00EC1629"/>
    <w:rsid w:val="00EC179F"/>
    <w:rsid w:val="00EC1969"/>
    <w:rsid w:val="00EC1A74"/>
    <w:rsid w:val="00EC1B11"/>
    <w:rsid w:val="00EC1D7F"/>
    <w:rsid w:val="00EC1D94"/>
    <w:rsid w:val="00EC1FB8"/>
    <w:rsid w:val="00EC23A6"/>
    <w:rsid w:val="00EC251C"/>
    <w:rsid w:val="00EC266D"/>
    <w:rsid w:val="00EC270D"/>
    <w:rsid w:val="00EC27F7"/>
    <w:rsid w:val="00EC2844"/>
    <w:rsid w:val="00EC290F"/>
    <w:rsid w:val="00EC2950"/>
    <w:rsid w:val="00EC2980"/>
    <w:rsid w:val="00EC2A4D"/>
    <w:rsid w:val="00EC2C3C"/>
    <w:rsid w:val="00EC2CC6"/>
    <w:rsid w:val="00EC2E47"/>
    <w:rsid w:val="00EC30DA"/>
    <w:rsid w:val="00EC31DF"/>
    <w:rsid w:val="00EC31F6"/>
    <w:rsid w:val="00EC327F"/>
    <w:rsid w:val="00EC34E6"/>
    <w:rsid w:val="00EC360A"/>
    <w:rsid w:val="00EC365B"/>
    <w:rsid w:val="00EC385E"/>
    <w:rsid w:val="00EC3BAF"/>
    <w:rsid w:val="00EC3E62"/>
    <w:rsid w:val="00EC40EB"/>
    <w:rsid w:val="00EC4615"/>
    <w:rsid w:val="00EC4720"/>
    <w:rsid w:val="00EC475E"/>
    <w:rsid w:val="00EC47CD"/>
    <w:rsid w:val="00EC494C"/>
    <w:rsid w:val="00EC4A64"/>
    <w:rsid w:val="00EC4B12"/>
    <w:rsid w:val="00EC4B27"/>
    <w:rsid w:val="00EC4B5D"/>
    <w:rsid w:val="00EC4C81"/>
    <w:rsid w:val="00EC4E46"/>
    <w:rsid w:val="00EC4F4A"/>
    <w:rsid w:val="00EC4FAE"/>
    <w:rsid w:val="00EC50CF"/>
    <w:rsid w:val="00EC55A8"/>
    <w:rsid w:val="00EC55F8"/>
    <w:rsid w:val="00EC569E"/>
    <w:rsid w:val="00EC570F"/>
    <w:rsid w:val="00EC57FA"/>
    <w:rsid w:val="00EC58F5"/>
    <w:rsid w:val="00EC5928"/>
    <w:rsid w:val="00EC5A52"/>
    <w:rsid w:val="00EC5B65"/>
    <w:rsid w:val="00EC5C3A"/>
    <w:rsid w:val="00EC5C64"/>
    <w:rsid w:val="00EC5D91"/>
    <w:rsid w:val="00EC5EC8"/>
    <w:rsid w:val="00EC5F21"/>
    <w:rsid w:val="00EC605B"/>
    <w:rsid w:val="00EC6144"/>
    <w:rsid w:val="00EC618E"/>
    <w:rsid w:val="00EC619D"/>
    <w:rsid w:val="00EC6241"/>
    <w:rsid w:val="00EC631D"/>
    <w:rsid w:val="00EC6377"/>
    <w:rsid w:val="00EC6639"/>
    <w:rsid w:val="00EC6659"/>
    <w:rsid w:val="00EC682F"/>
    <w:rsid w:val="00EC68EF"/>
    <w:rsid w:val="00EC68F9"/>
    <w:rsid w:val="00EC6901"/>
    <w:rsid w:val="00EC6AAC"/>
    <w:rsid w:val="00EC6CEF"/>
    <w:rsid w:val="00EC6F9A"/>
    <w:rsid w:val="00EC709C"/>
    <w:rsid w:val="00EC733B"/>
    <w:rsid w:val="00EC74B9"/>
    <w:rsid w:val="00EC7575"/>
    <w:rsid w:val="00EC75CB"/>
    <w:rsid w:val="00EC7607"/>
    <w:rsid w:val="00EC766E"/>
    <w:rsid w:val="00EC7672"/>
    <w:rsid w:val="00EC767F"/>
    <w:rsid w:val="00EC76CE"/>
    <w:rsid w:val="00EC7886"/>
    <w:rsid w:val="00EC78D7"/>
    <w:rsid w:val="00EC7999"/>
    <w:rsid w:val="00EC79B7"/>
    <w:rsid w:val="00EC7AA2"/>
    <w:rsid w:val="00EC7BCD"/>
    <w:rsid w:val="00EC7ECA"/>
    <w:rsid w:val="00ED0052"/>
    <w:rsid w:val="00ED027F"/>
    <w:rsid w:val="00ED02B5"/>
    <w:rsid w:val="00ED032D"/>
    <w:rsid w:val="00ED033B"/>
    <w:rsid w:val="00ED0423"/>
    <w:rsid w:val="00ED0467"/>
    <w:rsid w:val="00ED0494"/>
    <w:rsid w:val="00ED050D"/>
    <w:rsid w:val="00ED052F"/>
    <w:rsid w:val="00ED08CE"/>
    <w:rsid w:val="00ED0BC3"/>
    <w:rsid w:val="00ED0D96"/>
    <w:rsid w:val="00ED111D"/>
    <w:rsid w:val="00ED12AC"/>
    <w:rsid w:val="00ED13CC"/>
    <w:rsid w:val="00ED1597"/>
    <w:rsid w:val="00ED1646"/>
    <w:rsid w:val="00ED16E0"/>
    <w:rsid w:val="00ED17F7"/>
    <w:rsid w:val="00ED1803"/>
    <w:rsid w:val="00ED1D43"/>
    <w:rsid w:val="00ED1D51"/>
    <w:rsid w:val="00ED1F85"/>
    <w:rsid w:val="00ED2041"/>
    <w:rsid w:val="00ED21F2"/>
    <w:rsid w:val="00ED2309"/>
    <w:rsid w:val="00ED2566"/>
    <w:rsid w:val="00ED25D4"/>
    <w:rsid w:val="00ED2638"/>
    <w:rsid w:val="00ED2756"/>
    <w:rsid w:val="00ED2A2D"/>
    <w:rsid w:val="00ED2A52"/>
    <w:rsid w:val="00ED2B6E"/>
    <w:rsid w:val="00ED2DAC"/>
    <w:rsid w:val="00ED2E8E"/>
    <w:rsid w:val="00ED2E9E"/>
    <w:rsid w:val="00ED2FEF"/>
    <w:rsid w:val="00ED332A"/>
    <w:rsid w:val="00ED3641"/>
    <w:rsid w:val="00ED367F"/>
    <w:rsid w:val="00ED36EC"/>
    <w:rsid w:val="00ED37E1"/>
    <w:rsid w:val="00ED39B7"/>
    <w:rsid w:val="00ED3A36"/>
    <w:rsid w:val="00ED3C1F"/>
    <w:rsid w:val="00ED3C37"/>
    <w:rsid w:val="00ED3DD2"/>
    <w:rsid w:val="00ED3E9B"/>
    <w:rsid w:val="00ED401F"/>
    <w:rsid w:val="00ED41CB"/>
    <w:rsid w:val="00ED4580"/>
    <w:rsid w:val="00ED4795"/>
    <w:rsid w:val="00ED47E9"/>
    <w:rsid w:val="00ED494B"/>
    <w:rsid w:val="00ED49E8"/>
    <w:rsid w:val="00ED4A21"/>
    <w:rsid w:val="00ED4BEA"/>
    <w:rsid w:val="00ED4CAA"/>
    <w:rsid w:val="00ED4D03"/>
    <w:rsid w:val="00ED4F55"/>
    <w:rsid w:val="00ED4F6E"/>
    <w:rsid w:val="00ED5145"/>
    <w:rsid w:val="00ED5162"/>
    <w:rsid w:val="00ED51D6"/>
    <w:rsid w:val="00ED5AC1"/>
    <w:rsid w:val="00ED5C4B"/>
    <w:rsid w:val="00ED5DFC"/>
    <w:rsid w:val="00ED5F58"/>
    <w:rsid w:val="00ED6283"/>
    <w:rsid w:val="00ED6387"/>
    <w:rsid w:val="00ED6606"/>
    <w:rsid w:val="00ED67B8"/>
    <w:rsid w:val="00ED68A2"/>
    <w:rsid w:val="00ED6909"/>
    <w:rsid w:val="00ED694C"/>
    <w:rsid w:val="00ED6978"/>
    <w:rsid w:val="00ED6B23"/>
    <w:rsid w:val="00ED6BC8"/>
    <w:rsid w:val="00ED6CC6"/>
    <w:rsid w:val="00ED719A"/>
    <w:rsid w:val="00ED71DE"/>
    <w:rsid w:val="00ED7298"/>
    <w:rsid w:val="00ED7358"/>
    <w:rsid w:val="00ED7364"/>
    <w:rsid w:val="00ED74FD"/>
    <w:rsid w:val="00ED7527"/>
    <w:rsid w:val="00ED76B4"/>
    <w:rsid w:val="00ED77C1"/>
    <w:rsid w:val="00ED77C4"/>
    <w:rsid w:val="00ED7808"/>
    <w:rsid w:val="00ED7833"/>
    <w:rsid w:val="00ED7CBA"/>
    <w:rsid w:val="00ED7D17"/>
    <w:rsid w:val="00ED7D99"/>
    <w:rsid w:val="00ED7D9A"/>
    <w:rsid w:val="00ED7D9F"/>
    <w:rsid w:val="00ED7DC6"/>
    <w:rsid w:val="00ED7DDA"/>
    <w:rsid w:val="00EE02CC"/>
    <w:rsid w:val="00EE0305"/>
    <w:rsid w:val="00EE0311"/>
    <w:rsid w:val="00EE0505"/>
    <w:rsid w:val="00EE0774"/>
    <w:rsid w:val="00EE07A7"/>
    <w:rsid w:val="00EE07BA"/>
    <w:rsid w:val="00EE07E6"/>
    <w:rsid w:val="00EE09BA"/>
    <w:rsid w:val="00EE0CF5"/>
    <w:rsid w:val="00EE0EE4"/>
    <w:rsid w:val="00EE110F"/>
    <w:rsid w:val="00EE1178"/>
    <w:rsid w:val="00EE13FB"/>
    <w:rsid w:val="00EE1448"/>
    <w:rsid w:val="00EE1779"/>
    <w:rsid w:val="00EE1880"/>
    <w:rsid w:val="00EE19D5"/>
    <w:rsid w:val="00EE1D16"/>
    <w:rsid w:val="00EE1D3B"/>
    <w:rsid w:val="00EE1D4C"/>
    <w:rsid w:val="00EE213C"/>
    <w:rsid w:val="00EE216E"/>
    <w:rsid w:val="00EE2225"/>
    <w:rsid w:val="00EE2601"/>
    <w:rsid w:val="00EE2690"/>
    <w:rsid w:val="00EE27D6"/>
    <w:rsid w:val="00EE2A23"/>
    <w:rsid w:val="00EE2A5C"/>
    <w:rsid w:val="00EE2BAC"/>
    <w:rsid w:val="00EE2C22"/>
    <w:rsid w:val="00EE2ECA"/>
    <w:rsid w:val="00EE33DC"/>
    <w:rsid w:val="00EE3785"/>
    <w:rsid w:val="00EE39F0"/>
    <w:rsid w:val="00EE3B6C"/>
    <w:rsid w:val="00EE3B7B"/>
    <w:rsid w:val="00EE3D32"/>
    <w:rsid w:val="00EE3E89"/>
    <w:rsid w:val="00EE3F16"/>
    <w:rsid w:val="00EE4027"/>
    <w:rsid w:val="00EE4153"/>
    <w:rsid w:val="00EE415E"/>
    <w:rsid w:val="00EE41D6"/>
    <w:rsid w:val="00EE426B"/>
    <w:rsid w:val="00EE434E"/>
    <w:rsid w:val="00EE4414"/>
    <w:rsid w:val="00EE4496"/>
    <w:rsid w:val="00EE44A0"/>
    <w:rsid w:val="00EE44F4"/>
    <w:rsid w:val="00EE45FE"/>
    <w:rsid w:val="00EE498C"/>
    <w:rsid w:val="00EE4AD5"/>
    <w:rsid w:val="00EE4B21"/>
    <w:rsid w:val="00EE4F16"/>
    <w:rsid w:val="00EE50C5"/>
    <w:rsid w:val="00EE517D"/>
    <w:rsid w:val="00EE51FF"/>
    <w:rsid w:val="00EE54C1"/>
    <w:rsid w:val="00EE56A9"/>
    <w:rsid w:val="00EE5878"/>
    <w:rsid w:val="00EE5D46"/>
    <w:rsid w:val="00EE5F39"/>
    <w:rsid w:val="00EE5F63"/>
    <w:rsid w:val="00EE5FFF"/>
    <w:rsid w:val="00EE606F"/>
    <w:rsid w:val="00EE6194"/>
    <w:rsid w:val="00EE61AD"/>
    <w:rsid w:val="00EE646E"/>
    <w:rsid w:val="00EE65AB"/>
    <w:rsid w:val="00EE65D9"/>
    <w:rsid w:val="00EE669F"/>
    <w:rsid w:val="00EE6994"/>
    <w:rsid w:val="00EE69C5"/>
    <w:rsid w:val="00EE6A06"/>
    <w:rsid w:val="00EE6AB6"/>
    <w:rsid w:val="00EE6DB0"/>
    <w:rsid w:val="00EE6FE7"/>
    <w:rsid w:val="00EE71B0"/>
    <w:rsid w:val="00EE7270"/>
    <w:rsid w:val="00EE745B"/>
    <w:rsid w:val="00EE7483"/>
    <w:rsid w:val="00EE7487"/>
    <w:rsid w:val="00EE769C"/>
    <w:rsid w:val="00EE770A"/>
    <w:rsid w:val="00EE7755"/>
    <w:rsid w:val="00EE780E"/>
    <w:rsid w:val="00EE781A"/>
    <w:rsid w:val="00EE7948"/>
    <w:rsid w:val="00EE79E2"/>
    <w:rsid w:val="00EE7AB8"/>
    <w:rsid w:val="00EE7AD2"/>
    <w:rsid w:val="00EE7BA9"/>
    <w:rsid w:val="00EE7BB2"/>
    <w:rsid w:val="00EE7EB8"/>
    <w:rsid w:val="00EF0091"/>
    <w:rsid w:val="00EF03C6"/>
    <w:rsid w:val="00EF040D"/>
    <w:rsid w:val="00EF0484"/>
    <w:rsid w:val="00EF0641"/>
    <w:rsid w:val="00EF07A1"/>
    <w:rsid w:val="00EF0E02"/>
    <w:rsid w:val="00EF0FE0"/>
    <w:rsid w:val="00EF1185"/>
    <w:rsid w:val="00EF11CA"/>
    <w:rsid w:val="00EF137B"/>
    <w:rsid w:val="00EF13A4"/>
    <w:rsid w:val="00EF13DA"/>
    <w:rsid w:val="00EF144F"/>
    <w:rsid w:val="00EF1882"/>
    <w:rsid w:val="00EF1A88"/>
    <w:rsid w:val="00EF1B33"/>
    <w:rsid w:val="00EF1B83"/>
    <w:rsid w:val="00EF1BD8"/>
    <w:rsid w:val="00EF1C46"/>
    <w:rsid w:val="00EF1CFF"/>
    <w:rsid w:val="00EF1DB4"/>
    <w:rsid w:val="00EF1F82"/>
    <w:rsid w:val="00EF1FCD"/>
    <w:rsid w:val="00EF20E6"/>
    <w:rsid w:val="00EF2200"/>
    <w:rsid w:val="00EF23D3"/>
    <w:rsid w:val="00EF24B0"/>
    <w:rsid w:val="00EF25AC"/>
    <w:rsid w:val="00EF2754"/>
    <w:rsid w:val="00EF2896"/>
    <w:rsid w:val="00EF2B82"/>
    <w:rsid w:val="00EF2CD3"/>
    <w:rsid w:val="00EF2E07"/>
    <w:rsid w:val="00EF2EB9"/>
    <w:rsid w:val="00EF2F08"/>
    <w:rsid w:val="00EF33FA"/>
    <w:rsid w:val="00EF3494"/>
    <w:rsid w:val="00EF34EB"/>
    <w:rsid w:val="00EF35F9"/>
    <w:rsid w:val="00EF3665"/>
    <w:rsid w:val="00EF3693"/>
    <w:rsid w:val="00EF3772"/>
    <w:rsid w:val="00EF3785"/>
    <w:rsid w:val="00EF38A5"/>
    <w:rsid w:val="00EF3A68"/>
    <w:rsid w:val="00EF3ADC"/>
    <w:rsid w:val="00EF3B2D"/>
    <w:rsid w:val="00EF3C5E"/>
    <w:rsid w:val="00EF3F21"/>
    <w:rsid w:val="00EF3FA5"/>
    <w:rsid w:val="00EF3FBB"/>
    <w:rsid w:val="00EF404B"/>
    <w:rsid w:val="00EF4203"/>
    <w:rsid w:val="00EF428F"/>
    <w:rsid w:val="00EF432E"/>
    <w:rsid w:val="00EF450E"/>
    <w:rsid w:val="00EF46A4"/>
    <w:rsid w:val="00EF46C1"/>
    <w:rsid w:val="00EF4CBA"/>
    <w:rsid w:val="00EF4D46"/>
    <w:rsid w:val="00EF51E0"/>
    <w:rsid w:val="00EF52CC"/>
    <w:rsid w:val="00EF545D"/>
    <w:rsid w:val="00EF5575"/>
    <w:rsid w:val="00EF5580"/>
    <w:rsid w:val="00EF5658"/>
    <w:rsid w:val="00EF5978"/>
    <w:rsid w:val="00EF5B17"/>
    <w:rsid w:val="00EF5C38"/>
    <w:rsid w:val="00EF5CAE"/>
    <w:rsid w:val="00EF5E4D"/>
    <w:rsid w:val="00EF5E60"/>
    <w:rsid w:val="00EF5E98"/>
    <w:rsid w:val="00EF5F2E"/>
    <w:rsid w:val="00EF62CF"/>
    <w:rsid w:val="00EF63C9"/>
    <w:rsid w:val="00EF65BF"/>
    <w:rsid w:val="00EF65F6"/>
    <w:rsid w:val="00EF6741"/>
    <w:rsid w:val="00EF67D9"/>
    <w:rsid w:val="00EF67E7"/>
    <w:rsid w:val="00EF6A51"/>
    <w:rsid w:val="00EF6D4E"/>
    <w:rsid w:val="00EF6EC9"/>
    <w:rsid w:val="00EF6ED7"/>
    <w:rsid w:val="00EF6EEF"/>
    <w:rsid w:val="00EF6FB1"/>
    <w:rsid w:val="00EF7067"/>
    <w:rsid w:val="00EF70AC"/>
    <w:rsid w:val="00EF728D"/>
    <w:rsid w:val="00EF74F8"/>
    <w:rsid w:val="00EF7554"/>
    <w:rsid w:val="00EF7751"/>
    <w:rsid w:val="00EF77FD"/>
    <w:rsid w:val="00EF785D"/>
    <w:rsid w:val="00EF7865"/>
    <w:rsid w:val="00EF7AB7"/>
    <w:rsid w:val="00EF7BBC"/>
    <w:rsid w:val="00EF7C14"/>
    <w:rsid w:val="00EF7FBB"/>
    <w:rsid w:val="00EF7FF4"/>
    <w:rsid w:val="00F0001F"/>
    <w:rsid w:val="00F00486"/>
    <w:rsid w:val="00F00538"/>
    <w:rsid w:val="00F00568"/>
    <w:rsid w:val="00F00721"/>
    <w:rsid w:val="00F009A8"/>
    <w:rsid w:val="00F00B08"/>
    <w:rsid w:val="00F00B38"/>
    <w:rsid w:val="00F00B5C"/>
    <w:rsid w:val="00F00BB0"/>
    <w:rsid w:val="00F00E75"/>
    <w:rsid w:val="00F00ED1"/>
    <w:rsid w:val="00F00F12"/>
    <w:rsid w:val="00F0106D"/>
    <w:rsid w:val="00F01165"/>
    <w:rsid w:val="00F01196"/>
    <w:rsid w:val="00F0125A"/>
    <w:rsid w:val="00F01399"/>
    <w:rsid w:val="00F01503"/>
    <w:rsid w:val="00F01692"/>
    <w:rsid w:val="00F016EA"/>
    <w:rsid w:val="00F0187F"/>
    <w:rsid w:val="00F019FD"/>
    <w:rsid w:val="00F01E36"/>
    <w:rsid w:val="00F020F9"/>
    <w:rsid w:val="00F02145"/>
    <w:rsid w:val="00F021E0"/>
    <w:rsid w:val="00F022C9"/>
    <w:rsid w:val="00F026AC"/>
    <w:rsid w:val="00F02921"/>
    <w:rsid w:val="00F029C0"/>
    <w:rsid w:val="00F02C42"/>
    <w:rsid w:val="00F02E1E"/>
    <w:rsid w:val="00F03167"/>
    <w:rsid w:val="00F031DF"/>
    <w:rsid w:val="00F0322A"/>
    <w:rsid w:val="00F0335F"/>
    <w:rsid w:val="00F037AA"/>
    <w:rsid w:val="00F03AC7"/>
    <w:rsid w:val="00F03B19"/>
    <w:rsid w:val="00F03CBF"/>
    <w:rsid w:val="00F03DCD"/>
    <w:rsid w:val="00F03F02"/>
    <w:rsid w:val="00F041E0"/>
    <w:rsid w:val="00F0478B"/>
    <w:rsid w:val="00F048E3"/>
    <w:rsid w:val="00F04B08"/>
    <w:rsid w:val="00F04B93"/>
    <w:rsid w:val="00F04D76"/>
    <w:rsid w:val="00F04E97"/>
    <w:rsid w:val="00F04EA4"/>
    <w:rsid w:val="00F05570"/>
    <w:rsid w:val="00F0575B"/>
    <w:rsid w:val="00F05989"/>
    <w:rsid w:val="00F05B72"/>
    <w:rsid w:val="00F05BF0"/>
    <w:rsid w:val="00F05FF9"/>
    <w:rsid w:val="00F0624F"/>
    <w:rsid w:val="00F06352"/>
    <w:rsid w:val="00F06383"/>
    <w:rsid w:val="00F0659C"/>
    <w:rsid w:val="00F065DB"/>
    <w:rsid w:val="00F0664C"/>
    <w:rsid w:val="00F06677"/>
    <w:rsid w:val="00F06977"/>
    <w:rsid w:val="00F06C24"/>
    <w:rsid w:val="00F06C64"/>
    <w:rsid w:val="00F06D5D"/>
    <w:rsid w:val="00F06DFA"/>
    <w:rsid w:val="00F06E93"/>
    <w:rsid w:val="00F06F40"/>
    <w:rsid w:val="00F07098"/>
    <w:rsid w:val="00F07241"/>
    <w:rsid w:val="00F073C5"/>
    <w:rsid w:val="00F07779"/>
    <w:rsid w:val="00F07E48"/>
    <w:rsid w:val="00F07EDA"/>
    <w:rsid w:val="00F07F2F"/>
    <w:rsid w:val="00F1003E"/>
    <w:rsid w:val="00F10043"/>
    <w:rsid w:val="00F100A5"/>
    <w:rsid w:val="00F101C1"/>
    <w:rsid w:val="00F106D7"/>
    <w:rsid w:val="00F108D3"/>
    <w:rsid w:val="00F109D0"/>
    <w:rsid w:val="00F10B6C"/>
    <w:rsid w:val="00F10C3A"/>
    <w:rsid w:val="00F11006"/>
    <w:rsid w:val="00F11279"/>
    <w:rsid w:val="00F1131A"/>
    <w:rsid w:val="00F113F7"/>
    <w:rsid w:val="00F1152E"/>
    <w:rsid w:val="00F11752"/>
    <w:rsid w:val="00F11785"/>
    <w:rsid w:val="00F11831"/>
    <w:rsid w:val="00F1185F"/>
    <w:rsid w:val="00F118F0"/>
    <w:rsid w:val="00F11932"/>
    <w:rsid w:val="00F11B46"/>
    <w:rsid w:val="00F11CC4"/>
    <w:rsid w:val="00F11E7D"/>
    <w:rsid w:val="00F11EC3"/>
    <w:rsid w:val="00F11F68"/>
    <w:rsid w:val="00F12129"/>
    <w:rsid w:val="00F1215D"/>
    <w:rsid w:val="00F12242"/>
    <w:rsid w:val="00F12251"/>
    <w:rsid w:val="00F1236C"/>
    <w:rsid w:val="00F12598"/>
    <w:rsid w:val="00F126A1"/>
    <w:rsid w:val="00F12A98"/>
    <w:rsid w:val="00F12AAC"/>
    <w:rsid w:val="00F12BC5"/>
    <w:rsid w:val="00F12D6A"/>
    <w:rsid w:val="00F12E8B"/>
    <w:rsid w:val="00F12EEB"/>
    <w:rsid w:val="00F130D8"/>
    <w:rsid w:val="00F13147"/>
    <w:rsid w:val="00F1332B"/>
    <w:rsid w:val="00F13493"/>
    <w:rsid w:val="00F134D4"/>
    <w:rsid w:val="00F1353A"/>
    <w:rsid w:val="00F1355E"/>
    <w:rsid w:val="00F13619"/>
    <w:rsid w:val="00F13680"/>
    <w:rsid w:val="00F136F0"/>
    <w:rsid w:val="00F1378C"/>
    <w:rsid w:val="00F1389C"/>
    <w:rsid w:val="00F139C4"/>
    <w:rsid w:val="00F13AD0"/>
    <w:rsid w:val="00F13B58"/>
    <w:rsid w:val="00F13D5C"/>
    <w:rsid w:val="00F13DF4"/>
    <w:rsid w:val="00F13E1D"/>
    <w:rsid w:val="00F13E85"/>
    <w:rsid w:val="00F1408E"/>
    <w:rsid w:val="00F14192"/>
    <w:rsid w:val="00F143AF"/>
    <w:rsid w:val="00F14583"/>
    <w:rsid w:val="00F1463D"/>
    <w:rsid w:val="00F146DC"/>
    <w:rsid w:val="00F14761"/>
    <w:rsid w:val="00F147D0"/>
    <w:rsid w:val="00F14AC8"/>
    <w:rsid w:val="00F14BAB"/>
    <w:rsid w:val="00F14C12"/>
    <w:rsid w:val="00F14D8D"/>
    <w:rsid w:val="00F14D9C"/>
    <w:rsid w:val="00F14DFB"/>
    <w:rsid w:val="00F14F20"/>
    <w:rsid w:val="00F1506B"/>
    <w:rsid w:val="00F152A2"/>
    <w:rsid w:val="00F153B6"/>
    <w:rsid w:val="00F155D6"/>
    <w:rsid w:val="00F155DA"/>
    <w:rsid w:val="00F1564C"/>
    <w:rsid w:val="00F1578B"/>
    <w:rsid w:val="00F157ED"/>
    <w:rsid w:val="00F158AC"/>
    <w:rsid w:val="00F159E2"/>
    <w:rsid w:val="00F15A85"/>
    <w:rsid w:val="00F15AC7"/>
    <w:rsid w:val="00F15B7A"/>
    <w:rsid w:val="00F15DBB"/>
    <w:rsid w:val="00F15DDC"/>
    <w:rsid w:val="00F1620D"/>
    <w:rsid w:val="00F1636E"/>
    <w:rsid w:val="00F1649F"/>
    <w:rsid w:val="00F16783"/>
    <w:rsid w:val="00F16877"/>
    <w:rsid w:val="00F168FB"/>
    <w:rsid w:val="00F16B6D"/>
    <w:rsid w:val="00F16C89"/>
    <w:rsid w:val="00F16C90"/>
    <w:rsid w:val="00F16E98"/>
    <w:rsid w:val="00F172DA"/>
    <w:rsid w:val="00F174B1"/>
    <w:rsid w:val="00F178D1"/>
    <w:rsid w:val="00F17A2B"/>
    <w:rsid w:val="00F17C16"/>
    <w:rsid w:val="00F17E8E"/>
    <w:rsid w:val="00F17F4B"/>
    <w:rsid w:val="00F20016"/>
    <w:rsid w:val="00F2030C"/>
    <w:rsid w:val="00F2053E"/>
    <w:rsid w:val="00F20652"/>
    <w:rsid w:val="00F20918"/>
    <w:rsid w:val="00F20C2A"/>
    <w:rsid w:val="00F20CAD"/>
    <w:rsid w:val="00F20D1D"/>
    <w:rsid w:val="00F20D22"/>
    <w:rsid w:val="00F20E3F"/>
    <w:rsid w:val="00F2109C"/>
    <w:rsid w:val="00F210BA"/>
    <w:rsid w:val="00F21243"/>
    <w:rsid w:val="00F2125B"/>
    <w:rsid w:val="00F2138B"/>
    <w:rsid w:val="00F213D8"/>
    <w:rsid w:val="00F2159E"/>
    <w:rsid w:val="00F215FA"/>
    <w:rsid w:val="00F216B4"/>
    <w:rsid w:val="00F2173C"/>
    <w:rsid w:val="00F2176F"/>
    <w:rsid w:val="00F219B4"/>
    <w:rsid w:val="00F21A45"/>
    <w:rsid w:val="00F21CC6"/>
    <w:rsid w:val="00F21DAD"/>
    <w:rsid w:val="00F21DBF"/>
    <w:rsid w:val="00F21E8E"/>
    <w:rsid w:val="00F21E9B"/>
    <w:rsid w:val="00F21F86"/>
    <w:rsid w:val="00F2225A"/>
    <w:rsid w:val="00F2272B"/>
    <w:rsid w:val="00F229C2"/>
    <w:rsid w:val="00F22C1F"/>
    <w:rsid w:val="00F22CD2"/>
    <w:rsid w:val="00F22D35"/>
    <w:rsid w:val="00F22E90"/>
    <w:rsid w:val="00F23129"/>
    <w:rsid w:val="00F231BC"/>
    <w:rsid w:val="00F233E6"/>
    <w:rsid w:val="00F234CE"/>
    <w:rsid w:val="00F234DC"/>
    <w:rsid w:val="00F23589"/>
    <w:rsid w:val="00F23699"/>
    <w:rsid w:val="00F236CC"/>
    <w:rsid w:val="00F237A3"/>
    <w:rsid w:val="00F237AA"/>
    <w:rsid w:val="00F23969"/>
    <w:rsid w:val="00F23AAD"/>
    <w:rsid w:val="00F23B1E"/>
    <w:rsid w:val="00F23D65"/>
    <w:rsid w:val="00F2435D"/>
    <w:rsid w:val="00F243A0"/>
    <w:rsid w:val="00F245B7"/>
    <w:rsid w:val="00F24713"/>
    <w:rsid w:val="00F24718"/>
    <w:rsid w:val="00F24A2C"/>
    <w:rsid w:val="00F24B17"/>
    <w:rsid w:val="00F24B2B"/>
    <w:rsid w:val="00F24B5E"/>
    <w:rsid w:val="00F24DE5"/>
    <w:rsid w:val="00F24F33"/>
    <w:rsid w:val="00F250B2"/>
    <w:rsid w:val="00F253DD"/>
    <w:rsid w:val="00F253E9"/>
    <w:rsid w:val="00F2544B"/>
    <w:rsid w:val="00F25575"/>
    <w:rsid w:val="00F256C7"/>
    <w:rsid w:val="00F25815"/>
    <w:rsid w:val="00F25A9C"/>
    <w:rsid w:val="00F25CB6"/>
    <w:rsid w:val="00F25F69"/>
    <w:rsid w:val="00F25FE6"/>
    <w:rsid w:val="00F2605B"/>
    <w:rsid w:val="00F260E1"/>
    <w:rsid w:val="00F260F5"/>
    <w:rsid w:val="00F26145"/>
    <w:rsid w:val="00F2649F"/>
    <w:rsid w:val="00F264AB"/>
    <w:rsid w:val="00F2656D"/>
    <w:rsid w:val="00F266A4"/>
    <w:rsid w:val="00F2679A"/>
    <w:rsid w:val="00F26AA6"/>
    <w:rsid w:val="00F26DB5"/>
    <w:rsid w:val="00F26E51"/>
    <w:rsid w:val="00F26EA9"/>
    <w:rsid w:val="00F26F11"/>
    <w:rsid w:val="00F26F68"/>
    <w:rsid w:val="00F26F79"/>
    <w:rsid w:val="00F27137"/>
    <w:rsid w:val="00F27177"/>
    <w:rsid w:val="00F27273"/>
    <w:rsid w:val="00F2730A"/>
    <w:rsid w:val="00F273F8"/>
    <w:rsid w:val="00F274D9"/>
    <w:rsid w:val="00F27724"/>
    <w:rsid w:val="00F27849"/>
    <w:rsid w:val="00F27851"/>
    <w:rsid w:val="00F278B1"/>
    <w:rsid w:val="00F279FF"/>
    <w:rsid w:val="00F27A24"/>
    <w:rsid w:val="00F27BA2"/>
    <w:rsid w:val="00F27BE3"/>
    <w:rsid w:val="00F27E69"/>
    <w:rsid w:val="00F27FA6"/>
    <w:rsid w:val="00F27FDD"/>
    <w:rsid w:val="00F3029D"/>
    <w:rsid w:val="00F3034B"/>
    <w:rsid w:val="00F30481"/>
    <w:rsid w:val="00F30788"/>
    <w:rsid w:val="00F30A74"/>
    <w:rsid w:val="00F30CCE"/>
    <w:rsid w:val="00F30E38"/>
    <w:rsid w:val="00F30FD3"/>
    <w:rsid w:val="00F311BA"/>
    <w:rsid w:val="00F31229"/>
    <w:rsid w:val="00F314AB"/>
    <w:rsid w:val="00F31525"/>
    <w:rsid w:val="00F315BD"/>
    <w:rsid w:val="00F31657"/>
    <w:rsid w:val="00F31679"/>
    <w:rsid w:val="00F317D5"/>
    <w:rsid w:val="00F3194A"/>
    <w:rsid w:val="00F319A0"/>
    <w:rsid w:val="00F31A6F"/>
    <w:rsid w:val="00F31C66"/>
    <w:rsid w:val="00F31C92"/>
    <w:rsid w:val="00F321E4"/>
    <w:rsid w:val="00F32218"/>
    <w:rsid w:val="00F322B0"/>
    <w:rsid w:val="00F322EB"/>
    <w:rsid w:val="00F32349"/>
    <w:rsid w:val="00F3234A"/>
    <w:rsid w:val="00F326AC"/>
    <w:rsid w:val="00F326D5"/>
    <w:rsid w:val="00F32B52"/>
    <w:rsid w:val="00F32C61"/>
    <w:rsid w:val="00F32CCB"/>
    <w:rsid w:val="00F32D38"/>
    <w:rsid w:val="00F32E29"/>
    <w:rsid w:val="00F330A8"/>
    <w:rsid w:val="00F331F5"/>
    <w:rsid w:val="00F33246"/>
    <w:rsid w:val="00F332FA"/>
    <w:rsid w:val="00F334FF"/>
    <w:rsid w:val="00F338BE"/>
    <w:rsid w:val="00F33A93"/>
    <w:rsid w:val="00F33B52"/>
    <w:rsid w:val="00F33BDF"/>
    <w:rsid w:val="00F33C73"/>
    <w:rsid w:val="00F33C93"/>
    <w:rsid w:val="00F33EFA"/>
    <w:rsid w:val="00F34183"/>
    <w:rsid w:val="00F3427F"/>
    <w:rsid w:val="00F342C6"/>
    <w:rsid w:val="00F34444"/>
    <w:rsid w:val="00F3457A"/>
    <w:rsid w:val="00F34841"/>
    <w:rsid w:val="00F348EB"/>
    <w:rsid w:val="00F34AB6"/>
    <w:rsid w:val="00F34BEF"/>
    <w:rsid w:val="00F34C3A"/>
    <w:rsid w:val="00F34C3E"/>
    <w:rsid w:val="00F34D68"/>
    <w:rsid w:val="00F35068"/>
    <w:rsid w:val="00F350BF"/>
    <w:rsid w:val="00F351CB"/>
    <w:rsid w:val="00F3521F"/>
    <w:rsid w:val="00F3526F"/>
    <w:rsid w:val="00F35690"/>
    <w:rsid w:val="00F357AF"/>
    <w:rsid w:val="00F35946"/>
    <w:rsid w:val="00F36009"/>
    <w:rsid w:val="00F36124"/>
    <w:rsid w:val="00F3616C"/>
    <w:rsid w:val="00F361AC"/>
    <w:rsid w:val="00F361BD"/>
    <w:rsid w:val="00F363CB"/>
    <w:rsid w:val="00F363D7"/>
    <w:rsid w:val="00F3661F"/>
    <w:rsid w:val="00F367C4"/>
    <w:rsid w:val="00F3684F"/>
    <w:rsid w:val="00F3689B"/>
    <w:rsid w:val="00F368C2"/>
    <w:rsid w:val="00F36A37"/>
    <w:rsid w:val="00F36BD0"/>
    <w:rsid w:val="00F36D4E"/>
    <w:rsid w:val="00F36D50"/>
    <w:rsid w:val="00F36DA5"/>
    <w:rsid w:val="00F36E6E"/>
    <w:rsid w:val="00F36F4A"/>
    <w:rsid w:val="00F370B6"/>
    <w:rsid w:val="00F371FF"/>
    <w:rsid w:val="00F37352"/>
    <w:rsid w:val="00F3748D"/>
    <w:rsid w:val="00F37785"/>
    <w:rsid w:val="00F37965"/>
    <w:rsid w:val="00F40037"/>
    <w:rsid w:val="00F40452"/>
    <w:rsid w:val="00F405B6"/>
    <w:rsid w:val="00F40683"/>
    <w:rsid w:val="00F40922"/>
    <w:rsid w:val="00F40B24"/>
    <w:rsid w:val="00F40BED"/>
    <w:rsid w:val="00F40D76"/>
    <w:rsid w:val="00F41018"/>
    <w:rsid w:val="00F41086"/>
    <w:rsid w:val="00F41168"/>
    <w:rsid w:val="00F41424"/>
    <w:rsid w:val="00F414D3"/>
    <w:rsid w:val="00F416E4"/>
    <w:rsid w:val="00F4199B"/>
    <w:rsid w:val="00F41E0B"/>
    <w:rsid w:val="00F41E9F"/>
    <w:rsid w:val="00F42049"/>
    <w:rsid w:val="00F42252"/>
    <w:rsid w:val="00F4233B"/>
    <w:rsid w:val="00F42536"/>
    <w:rsid w:val="00F4268F"/>
    <w:rsid w:val="00F4270A"/>
    <w:rsid w:val="00F42837"/>
    <w:rsid w:val="00F429F0"/>
    <w:rsid w:val="00F42C55"/>
    <w:rsid w:val="00F42ED2"/>
    <w:rsid w:val="00F42F5C"/>
    <w:rsid w:val="00F42F7B"/>
    <w:rsid w:val="00F430E5"/>
    <w:rsid w:val="00F43396"/>
    <w:rsid w:val="00F436B9"/>
    <w:rsid w:val="00F4370A"/>
    <w:rsid w:val="00F43B52"/>
    <w:rsid w:val="00F43C58"/>
    <w:rsid w:val="00F43C5E"/>
    <w:rsid w:val="00F4412A"/>
    <w:rsid w:val="00F44173"/>
    <w:rsid w:val="00F441EB"/>
    <w:rsid w:val="00F44228"/>
    <w:rsid w:val="00F44478"/>
    <w:rsid w:val="00F4448F"/>
    <w:rsid w:val="00F444F9"/>
    <w:rsid w:val="00F4457F"/>
    <w:rsid w:val="00F44688"/>
    <w:rsid w:val="00F44884"/>
    <w:rsid w:val="00F448B6"/>
    <w:rsid w:val="00F44AD1"/>
    <w:rsid w:val="00F44C68"/>
    <w:rsid w:val="00F44D74"/>
    <w:rsid w:val="00F44E3C"/>
    <w:rsid w:val="00F4500C"/>
    <w:rsid w:val="00F450D4"/>
    <w:rsid w:val="00F45171"/>
    <w:rsid w:val="00F452CF"/>
    <w:rsid w:val="00F45345"/>
    <w:rsid w:val="00F45747"/>
    <w:rsid w:val="00F457E5"/>
    <w:rsid w:val="00F4589B"/>
    <w:rsid w:val="00F45985"/>
    <w:rsid w:val="00F459A3"/>
    <w:rsid w:val="00F45A0D"/>
    <w:rsid w:val="00F45AE3"/>
    <w:rsid w:val="00F45D64"/>
    <w:rsid w:val="00F45EF9"/>
    <w:rsid w:val="00F46210"/>
    <w:rsid w:val="00F46296"/>
    <w:rsid w:val="00F46425"/>
    <w:rsid w:val="00F464A0"/>
    <w:rsid w:val="00F464B4"/>
    <w:rsid w:val="00F464F0"/>
    <w:rsid w:val="00F465F1"/>
    <w:rsid w:val="00F46A64"/>
    <w:rsid w:val="00F46AD3"/>
    <w:rsid w:val="00F46BE1"/>
    <w:rsid w:val="00F46C11"/>
    <w:rsid w:val="00F46CD3"/>
    <w:rsid w:val="00F46D7F"/>
    <w:rsid w:val="00F46E51"/>
    <w:rsid w:val="00F46E57"/>
    <w:rsid w:val="00F46F72"/>
    <w:rsid w:val="00F46FD4"/>
    <w:rsid w:val="00F471C0"/>
    <w:rsid w:val="00F471CD"/>
    <w:rsid w:val="00F47258"/>
    <w:rsid w:val="00F472E9"/>
    <w:rsid w:val="00F473C8"/>
    <w:rsid w:val="00F473E7"/>
    <w:rsid w:val="00F47675"/>
    <w:rsid w:val="00F476FD"/>
    <w:rsid w:val="00F47B73"/>
    <w:rsid w:val="00F47D5E"/>
    <w:rsid w:val="00F47FB8"/>
    <w:rsid w:val="00F50009"/>
    <w:rsid w:val="00F50228"/>
    <w:rsid w:val="00F503C6"/>
    <w:rsid w:val="00F5049C"/>
    <w:rsid w:val="00F504A1"/>
    <w:rsid w:val="00F504D2"/>
    <w:rsid w:val="00F50501"/>
    <w:rsid w:val="00F50561"/>
    <w:rsid w:val="00F507C9"/>
    <w:rsid w:val="00F50BB1"/>
    <w:rsid w:val="00F50BE7"/>
    <w:rsid w:val="00F50C8E"/>
    <w:rsid w:val="00F50D79"/>
    <w:rsid w:val="00F50DAC"/>
    <w:rsid w:val="00F50EB8"/>
    <w:rsid w:val="00F51010"/>
    <w:rsid w:val="00F511FF"/>
    <w:rsid w:val="00F5123A"/>
    <w:rsid w:val="00F513EB"/>
    <w:rsid w:val="00F514DA"/>
    <w:rsid w:val="00F519A2"/>
    <w:rsid w:val="00F51A32"/>
    <w:rsid w:val="00F51D9B"/>
    <w:rsid w:val="00F51F1A"/>
    <w:rsid w:val="00F51FF0"/>
    <w:rsid w:val="00F5212A"/>
    <w:rsid w:val="00F52285"/>
    <w:rsid w:val="00F522B5"/>
    <w:rsid w:val="00F5231D"/>
    <w:rsid w:val="00F5264B"/>
    <w:rsid w:val="00F526DC"/>
    <w:rsid w:val="00F5279D"/>
    <w:rsid w:val="00F5283F"/>
    <w:rsid w:val="00F52A9B"/>
    <w:rsid w:val="00F52C5E"/>
    <w:rsid w:val="00F52D96"/>
    <w:rsid w:val="00F52DA6"/>
    <w:rsid w:val="00F52E9A"/>
    <w:rsid w:val="00F52F99"/>
    <w:rsid w:val="00F53046"/>
    <w:rsid w:val="00F5308B"/>
    <w:rsid w:val="00F53284"/>
    <w:rsid w:val="00F532B3"/>
    <w:rsid w:val="00F533F2"/>
    <w:rsid w:val="00F5341F"/>
    <w:rsid w:val="00F53571"/>
    <w:rsid w:val="00F53609"/>
    <w:rsid w:val="00F5363A"/>
    <w:rsid w:val="00F53641"/>
    <w:rsid w:val="00F5387F"/>
    <w:rsid w:val="00F53B31"/>
    <w:rsid w:val="00F53E9E"/>
    <w:rsid w:val="00F544FE"/>
    <w:rsid w:val="00F54685"/>
    <w:rsid w:val="00F54742"/>
    <w:rsid w:val="00F5474E"/>
    <w:rsid w:val="00F547A7"/>
    <w:rsid w:val="00F54961"/>
    <w:rsid w:val="00F54A77"/>
    <w:rsid w:val="00F54A91"/>
    <w:rsid w:val="00F54AA5"/>
    <w:rsid w:val="00F54C00"/>
    <w:rsid w:val="00F54CE5"/>
    <w:rsid w:val="00F5506C"/>
    <w:rsid w:val="00F550D2"/>
    <w:rsid w:val="00F550E0"/>
    <w:rsid w:val="00F55124"/>
    <w:rsid w:val="00F551BE"/>
    <w:rsid w:val="00F55304"/>
    <w:rsid w:val="00F5535F"/>
    <w:rsid w:val="00F553B3"/>
    <w:rsid w:val="00F55C65"/>
    <w:rsid w:val="00F55D91"/>
    <w:rsid w:val="00F55F6E"/>
    <w:rsid w:val="00F56016"/>
    <w:rsid w:val="00F5642F"/>
    <w:rsid w:val="00F56493"/>
    <w:rsid w:val="00F5666E"/>
    <w:rsid w:val="00F56696"/>
    <w:rsid w:val="00F566D0"/>
    <w:rsid w:val="00F56709"/>
    <w:rsid w:val="00F56794"/>
    <w:rsid w:val="00F568E6"/>
    <w:rsid w:val="00F56992"/>
    <w:rsid w:val="00F56C4D"/>
    <w:rsid w:val="00F572B2"/>
    <w:rsid w:val="00F57636"/>
    <w:rsid w:val="00F577D6"/>
    <w:rsid w:val="00F5788F"/>
    <w:rsid w:val="00F5795F"/>
    <w:rsid w:val="00F579CC"/>
    <w:rsid w:val="00F57A3C"/>
    <w:rsid w:val="00F57D20"/>
    <w:rsid w:val="00F57F86"/>
    <w:rsid w:val="00F60011"/>
    <w:rsid w:val="00F6028E"/>
    <w:rsid w:val="00F60520"/>
    <w:rsid w:val="00F6055B"/>
    <w:rsid w:val="00F60729"/>
    <w:rsid w:val="00F60BD4"/>
    <w:rsid w:val="00F60D2A"/>
    <w:rsid w:val="00F60D74"/>
    <w:rsid w:val="00F60EB0"/>
    <w:rsid w:val="00F61226"/>
    <w:rsid w:val="00F612B1"/>
    <w:rsid w:val="00F61740"/>
    <w:rsid w:val="00F61799"/>
    <w:rsid w:val="00F617E8"/>
    <w:rsid w:val="00F617EB"/>
    <w:rsid w:val="00F617F7"/>
    <w:rsid w:val="00F6186D"/>
    <w:rsid w:val="00F61E1A"/>
    <w:rsid w:val="00F62161"/>
    <w:rsid w:val="00F62315"/>
    <w:rsid w:val="00F623C6"/>
    <w:rsid w:val="00F623D1"/>
    <w:rsid w:val="00F624EB"/>
    <w:rsid w:val="00F62519"/>
    <w:rsid w:val="00F627A4"/>
    <w:rsid w:val="00F62843"/>
    <w:rsid w:val="00F62862"/>
    <w:rsid w:val="00F6291A"/>
    <w:rsid w:val="00F62A25"/>
    <w:rsid w:val="00F62AAC"/>
    <w:rsid w:val="00F62B91"/>
    <w:rsid w:val="00F62D85"/>
    <w:rsid w:val="00F6322F"/>
    <w:rsid w:val="00F632E9"/>
    <w:rsid w:val="00F6336E"/>
    <w:rsid w:val="00F633E6"/>
    <w:rsid w:val="00F635CD"/>
    <w:rsid w:val="00F63970"/>
    <w:rsid w:val="00F63A0B"/>
    <w:rsid w:val="00F63A85"/>
    <w:rsid w:val="00F63AC3"/>
    <w:rsid w:val="00F63D94"/>
    <w:rsid w:val="00F63E3A"/>
    <w:rsid w:val="00F63F49"/>
    <w:rsid w:val="00F64075"/>
    <w:rsid w:val="00F6408E"/>
    <w:rsid w:val="00F641E4"/>
    <w:rsid w:val="00F6427F"/>
    <w:rsid w:val="00F64402"/>
    <w:rsid w:val="00F6448C"/>
    <w:rsid w:val="00F64747"/>
    <w:rsid w:val="00F648BF"/>
    <w:rsid w:val="00F64A81"/>
    <w:rsid w:val="00F64A8E"/>
    <w:rsid w:val="00F64AC3"/>
    <w:rsid w:val="00F64B55"/>
    <w:rsid w:val="00F64D07"/>
    <w:rsid w:val="00F64EBA"/>
    <w:rsid w:val="00F651AD"/>
    <w:rsid w:val="00F651C6"/>
    <w:rsid w:val="00F653F5"/>
    <w:rsid w:val="00F65967"/>
    <w:rsid w:val="00F65A75"/>
    <w:rsid w:val="00F65ACA"/>
    <w:rsid w:val="00F65B78"/>
    <w:rsid w:val="00F65D56"/>
    <w:rsid w:val="00F65FB5"/>
    <w:rsid w:val="00F660B6"/>
    <w:rsid w:val="00F66109"/>
    <w:rsid w:val="00F661DE"/>
    <w:rsid w:val="00F666DD"/>
    <w:rsid w:val="00F667EB"/>
    <w:rsid w:val="00F66992"/>
    <w:rsid w:val="00F66B90"/>
    <w:rsid w:val="00F66BD5"/>
    <w:rsid w:val="00F66CDA"/>
    <w:rsid w:val="00F66CFD"/>
    <w:rsid w:val="00F66D62"/>
    <w:rsid w:val="00F66D92"/>
    <w:rsid w:val="00F66EC9"/>
    <w:rsid w:val="00F66F94"/>
    <w:rsid w:val="00F67263"/>
    <w:rsid w:val="00F6765F"/>
    <w:rsid w:val="00F676FB"/>
    <w:rsid w:val="00F679E6"/>
    <w:rsid w:val="00F67ABA"/>
    <w:rsid w:val="00F67B84"/>
    <w:rsid w:val="00F67CEE"/>
    <w:rsid w:val="00F67CFB"/>
    <w:rsid w:val="00F67D19"/>
    <w:rsid w:val="00F67D68"/>
    <w:rsid w:val="00F67ED0"/>
    <w:rsid w:val="00F67F48"/>
    <w:rsid w:val="00F67F59"/>
    <w:rsid w:val="00F67FCF"/>
    <w:rsid w:val="00F70030"/>
    <w:rsid w:val="00F70129"/>
    <w:rsid w:val="00F7015C"/>
    <w:rsid w:val="00F701A6"/>
    <w:rsid w:val="00F70265"/>
    <w:rsid w:val="00F70401"/>
    <w:rsid w:val="00F70664"/>
    <w:rsid w:val="00F706B8"/>
    <w:rsid w:val="00F7079A"/>
    <w:rsid w:val="00F7079C"/>
    <w:rsid w:val="00F7088E"/>
    <w:rsid w:val="00F708AF"/>
    <w:rsid w:val="00F70914"/>
    <w:rsid w:val="00F709C7"/>
    <w:rsid w:val="00F70A20"/>
    <w:rsid w:val="00F70B25"/>
    <w:rsid w:val="00F70DA3"/>
    <w:rsid w:val="00F70DB2"/>
    <w:rsid w:val="00F71052"/>
    <w:rsid w:val="00F71539"/>
    <w:rsid w:val="00F716FE"/>
    <w:rsid w:val="00F71732"/>
    <w:rsid w:val="00F718B4"/>
    <w:rsid w:val="00F7190A"/>
    <w:rsid w:val="00F71C1F"/>
    <w:rsid w:val="00F71C22"/>
    <w:rsid w:val="00F71C34"/>
    <w:rsid w:val="00F71C50"/>
    <w:rsid w:val="00F71CE4"/>
    <w:rsid w:val="00F72028"/>
    <w:rsid w:val="00F720C5"/>
    <w:rsid w:val="00F721C7"/>
    <w:rsid w:val="00F722FC"/>
    <w:rsid w:val="00F7232B"/>
    <w:rsid w:val="00F727A5"/>
    <w:rsid w:val="00F72886"/>
    <w:rsid w:val="00F729D5"/>
    <w:rsid w:val="00F729DB"/>
    <w:rsid w:val="00F72AFB"/>
    <w:rsid w:val="00F72BB9"/>
    <w:rsid w:val="00F72C31"/>
    <w:rsid w:val="00F730CF"/>
    <w:rsid w:val="00F73187"/>
    <w:rsid w:val="00F7324B"/>
    <w:rsid w:val="00F7325D"/>
    <w:rsid w:val="00F73B6E"/>
    <w:rsid w:val="00F73C08"/>
    <w:rsid w:val="00F73CB7"/>
    <w:rsid w:val="00F73D0B"/>
    <w:rsid w:val="00F73E42"/>
    <w:rsid w:val="00F73E6C"/>
    <w:rsid w:val="00F73F36"/>
    <w:rsid w:val="00F74264"/>
    <w:rsid w:val="00F7455C"/>
    <w:rsid w:val="00F74650"/>
    <w:rsid w:val="00F7470D"/>
    <w:rsid w:val="00F74779"/>
    <w:rsid w:val="00F74A76"/>
    <w:rsid w:val="00F74AB8"/>
    <w:rsid w:val="00F74AF9"/>
    <w:rsid w:val="00F74E65"/>
    <w:rsid w:val="00F74ECD"/>
    <w:rsid w:val="00F74ED7"/>
    <w:rsid w:val="00F75368"/>
    <w:rsid w:val="00F75419"/>
    <w:rsid w:val="00F75467"/>
    <w:rsid w:val="00F7556C"/>
    <w:rsid w:val="00F755FF"/>
    <w:rsid w:val="00F7565A"/>
    <w:rsid w:val="00F7570D"/>
    <w:rsid w:val="00F75779"/>
    <w:rsid w:val="00F75798"/>
    <w:rsid w:val="00F75971"/>
    <w:rsid w:val="00F75A74"/>
    <w:rsid w:val="00F75B2F"/>
    <w:rsid w:val="00F75B4D"/>
    <w:rsid w:val="00F75B9C"/>
    <w:rsid w:val="00F75BB5"/>
    <w:rsid w:val="00F75D46"/>
    <w:rsid w:val="00F75F3B"/>
    <w:rsid w:val="00F76015"/>
    <w:rsid w:val="00F760C0"/>
    <w:rsid w:val="00F76481"/>
    <w:rsid w:val="00F76567"/>
    <w:rsid w:val="00F7659C"/>
    <w:rsid w:val="00F766F1"/>
    <w:rsid w:val="00F76915"/>
    <w:rsid w:val="00F76916"/>
    <w:rsid w:val="00F769F8"/>
    <w:rsid w:val="00F76A5A"/>
    <w:rsid w:val="00F76CDC"/>
    <w:rsid w:val="00F76D88"/>
    <w:rsid w:val="00F76DE8"/>
    <w:rsid w:val="00F76EB2"/>
    <w:rsid w:val="00F771A4"/>
    <w:rsid w:val="00F773FF"/>
    <w:rsid w:val="00F77484"/>
    <w:rsid w:val="00F77621"/>
    <w:rsid w:val="00F77680"/>
    <w:rsid w:val="00F7778A"/>
    <w:rsid w:val="00F7784F"/>
    <w:rsid w:val="00F779C1"/>
    <w:rsid w:val="00F77BAF"/>
    <w:rsid w:val="00F77EBB"/>
    <w:rsid w:val="00F77EEC"/>
    <w:rsid w:val="00F77F4C"/>
    <w:rsid w:val="00F77FD1"/>
    <w:rsid w:val="00F8044A"/>
    <w:rsid w:val="00F80499"/>
    <w:rsid w:val="00F8053A"/>
    <w:rsid w:val="00F8055A"/>
    <w:rsid w:val="00F8058F"/>
    <w:rsid w:val="00F8060A"/>
    <w:rsid w:val="00F80D8C"/>
    <w:rsid w:val="00F81124"/>
    <w:rsid w:val="00F811D5"/>
    <w:rsid w:val="00F81212"/>
    <w:rsid w:val="00F81879"/>
    <w:rsid w:val="00F818F2"/>
    <w:rsid w:val="00F81947"/>
    <w:rsid w:val="00F81A48"/>
    <w:rsid w:val="00F81CE1"/>
    <w:rsid w:val="00F81D56"/>
    <w:rsid w:val="00F81F3D"/>
    <w:rsid w:val="00F81FF2"/>
    <w:rsid w:val="00F8226A"/>
    <w:rsid w:val="00F8255E"/>
    <w:rsid w:val="00F82572"/>
    <w:rsid w:val="00F825D3"/>
    <w:rsid w:val="00F82BB2"/>
    <w:rsid w:val="00F82D4E"/>
    <w:rsid w:val="00F82F66"/>
    <w:rsid w:val="00F82FFA"/>
    <w:rsid w:val="00F8302D"/>
    <w:rsid w:val="00F8325D"/>
    <w:rsid w:val="00F8352D"/>
    <w:rsid w:val="00F8373E"/>
    <w:rsid w:val="00F83847"/>
    <w:rsid w:val="00F83BDD"/>
    <w:rsid w:val="00F83ED6"/>
    <w:rsid w:val="00F84027"/>
    <w:rsid w:val="00F8424D"/>
    <w:rsid w:val="00F844CA"/>
    <w:rsid w:val="00F8453F"/>
    <w:rsid w:val="00F8463B"/>
    <w:rsid w:val="00F84943"/>
    <w:rsid w:val="00F849F3"/>
    <w:rsid w:val="00F84BC0"/>
    <w:rsid w:val="00F84E6C"/>
    <w:rsid w:val="00F84FB8"/>
    <w:rsid w:val="00F850C7"/>
    <w:rsid w:val="00F851CA"/>
    <w:rsid w:val="00F8523D"/>
    <w:rsid w:val="00F85277"/>
    <w:rsid w:val="00F85298"/>
    <w:rsid w:val="00F852C3"/>
    <w:rsid w:val="00F852D0"/>
    <w:rsid w:val="00F8538B"/>
    <w:rsid w:val="00F857A1"/>
    <w:rsid w:val="00F857E7"/>
    <w:rsid w:val="00F85A6C"/>
    <w:rsid w:val="00F85C82"/>
    <w:rsid w:val="00F85D5F"/>
    <w:rsid w:val="00F85F2A"/>
    <w:rsid w:val="00F85F61"/>
    <w:rsid w:val="00F86221"/>
    <w:rsid w:val="00F862B6"/>
    <w:rsid w:val="00F866EB"/>
    <w:rsid w:val="00F8680D"/>
    <w:rsid w:val="00F868EB"/>
    <w:rsid w:val="00F86B32"/>
    <w:rsid w:val="00F86B78"/>
    <w:rsid w:val="00F86C5C"/>
    <w:rsid w:val="00F86C6C"/>
    <w:rsid w:val="00F86F4C"/>
    <w:rsid w:val="00F87544"/>
    <w:rsid w:val="00F876F0"/>
    <w:rsid w:val="00F87705"/>
    <w:rsid w:val="00F8778D"/>
    <w:rsid w:val="00F878A1"/>
    <w:rsid w:val="00F87A24"/>
    <w:rsid w:val="00F87AB0"/>
    <w:rsid w:val="00F87B5B"/>
    <w:rsid w:val="00F87CAB"/>
    <w:rsid w:val="00F87E86"/>
    <w:rsid w:val="00F9004C"/>
    <w:rsid w:val="00F9010C"/>
    <w:rsid w:val="00F9021E"/>
    <w:rsid w:val="00F90227"/>
    <w:rsid w:val="00F90273"/>
    <w:rsid w:val="00F9059D"/>
    <w:rsid w:val="00F9067F"/>
    <w:rsid w:val="00F90866"/>
    <w:rsid w:val="00F9094B"/>
    <w:rsid w:val="00F90A90"/>
    <w:rsid w:val="00F90B8E"/>
    <w:rsid w:val="00F90BCA"/>
    <w:rsid w:val="00F90BCE"/>
    <w:rsid w:val="00F90BF8"/>
    <w:rsid w:val="00F90FDE"/>
    <w:rsid w:val="00F91042"/>
    <w:rsid w:val="00F91290"/>
    <w:rsid w:val="00F91314"/>
    <w:rsid w:val="00F91444"/>
    <w:rsid w:val="00F9152E"/>
    <w:rsid w:val="00F91602"/>
    <w:rsid w:val="00F91612"/>
    <w:rsid w:val="00F91618"/>
    <w:rsid w:val="00F91808"/>
    <w:rsid w:val="00F918BA"/>
    <w:rsid w:val="00F918DD"/>
    <w:rsid w:val="00F919DC"/>
    <w:rsid w:val="00F91B09"/>
    <w:rsid w:val="00F91D0B"/>
    <w:rsid w:val="00F91FF3"/>
    <w:rsid w:val="00F92061"/>
    <w:rsid w:val="00F92111"/>
    <w:rsid w:val="00F9242A"/>
    <w:rsid w:val="00F92450"/>
    <w:rsid w:val="00F9258B"/>
    <w:rsid w:val="00F925B2"/>
    <w:rsid w:val="00F925BD"/>
    <w:rsid w:val="00F9262F"/>
    <w:rsid w:val="00F92794"/>
    <w:rsid w:val="00F928D5"/>
    <w:rsid w:val="00F92AD6"/>
    <w:rsid w:val="00F92B26"/>
    <w:rsid w:val="00F92D42"/>
    <w:rsid w:val="00F92E41"/>
    <w:rsid w:val="00F92E86"/>
    <w:rsid w:val="00F93097"/>
    <w:rsid w:val="00F93450"/>
    <w:rsid w:val="00F93855"/>
    <w:rsid w:val="00F9389D"/>
    <w:rsid w:val="00F938FC"/>
    <w:rsid w:val="00F93FE4"/>
    <w:rsid w:val="00F94019"/>
    <w:rsid w:val="00F9410F"/>
    <w:rsid w:val="00F94333"/>
    <w:rsid w:val="00F94411"/>
    <w:rsid w:val="00F94896"/>
    <w:rsid w:val="00F948E6"/>
    <w:rsid w:val="00F94976"/>
    <w:rsid w:val="00F94A5B"/>
    <w:rsid w:val="00F94C01"/>
    <w:rsid w:val="00F94C39"/>
    <w:rsid w:val="00F94FCD"/>
    <w:rsid w:val="00F95034"/>
    <w:rsid w:val="00F951B0"/>
    <w:rsid w:val="00F951F9"/>
    <w:rsid w:val="00F956A1"/>
    <w:rsid w:val="00F95872"/>
    <w:rsid w:val="00F95CFA"/>
    <w:rsid w:val="00F960AD"/>
    <w:rsid w:val="00F961C7"/>
    <w:rsid w:val="00F963AD"/>
    <w:rsid w:val="00F965BB"/>
    <w:rsid w:val="00F9665D"/>
    <w:rsid w:val="00F968F9"/>
    <w:rsid w:val="00F96B7A"/>
    <w:rsid w:val="00F96CCE"/>
    <w:rsid w:val="00F96DFC"/>
    <w:rsid w:val="00F96F3D"/>
    <w:rsid w:val="00F96F8A"/>
    <w:rsid w:val="00F970C4"/>
    <w:rsid w:val="00F97430"/>
    <w:rsid w:val="00F9760D"/>
    <w:rsid w:val="00F976F5"/>
    <w:rsid w:val="00F97853"/>
    <w:rsid w:val="00F979DB"/>
    <w:rsid w:val="00F97A91"/>
    <w:rsid w:val="00F97DEB"/>
    <w:rsid w:val="00F97E36"/>
    <w:rsid w:val="00FA026F"/>
    <w:rsid w:val="00FA031E"/>
    <w:rsid w:val="00FA0652"/>
    <w:rsid w:val="00FA07A0"/>
    <w:rsid w:val="00FA0B9C"/>
    <w:rsid w:val="00FA0C5C"/>
    <w:rsid w:val="00FA0D3D"/>
    <w:rsid w:val="00FA0DBB"/>
    <w:rsid w:val="00FA0DFD"/>
    <w:rsid w:val="00FA0E2A"/>
    <w:rsid w:val="00FA10D3"/>
    <w:rsid w:val="00FA1391"/>
    <w:rsid w:val="00FA13AE"/>
    <w:rsid w:val="00FA16BF"/>
    <w:rsid w:val="00FA16C9"/>
    <w:rsid w:val="00FA1A15"/>
    <w:rsid w:val="00FA1A28"/>
    <w:rsid w:val="00FA1A47"/>
    <w:rsid w:val="00FA1B7E"/>
    <w:rsid w:val="00FA1CCB"/>
    <w:rsid w:val="00FA1DC5"/>
    <w:rsid w:val="00FA220A"/>
    <w:rsid w:val="00FA2230"/>
    <w:rsid w:val="00FA233E"/>
    <w:rsid w:val="00FA2342"/>
    <w:rsid w:val="00FA23F7"/>
    <w:rsid w:val="00FA240D"/>
    <w:rsid w:val="00FA2492"/>
    <w:rsid w:val="00FA27B7"/>
    <w:rsid w:val="00FA2B7A"/>
    <w:rsid w:val="00FA2CB8"/>
    <w:rsid w:val="00FA2EB1"/>
    <w:rsid w:val="00FA2FBA"/>
    <w:rsid w:val="00FA33F6"/>
    <w:rsid w:val="00FA3445"/>
    <w:rsid w:val="00FA3462"/>
    <w:rsid w:val="00FA346D"/>
    <w:rsid w:val="00FA3529"/>
    <w:rsid w:val="00FA3601"/>
    <w:rsid w:val="00FA38DE"/>
    <w:rsid w:val="00FA3989"/>
    <w:rsid w:val="00FA3C67"/>
    <w:rsid w:val="00FA3CEB"/>
    <w:rsid w:val="00FA3D5F"/>
    <w:rsid w:val="00FA3EB4"/>
    <w:rsid w:val="00FA44F8"/>
    <w:rsid w:val="00FA4677"/>
    <w:rsid w:val="00FA4691"/>
    <w:rsid w:val="00FA47F3"/>
    <w:rsid w:val="00FA489D"/>
    <w:rsid w:val="00FA49C8"/>
    <w:rsid w:val="00FA4A17"/>
    <w:rsid w:val="00FA4A9C"/>
    <w:rsid w:val="00FA4CB2"/>
    <w:rsid w:val="00FA4D28"/>
    <w:rsid w:val="00FA4DB4"/>
    <w:rsid w:val="00FA4E06"/>
    <w:rsid w:val="00FA4ECC"/>
    <w:rsid w:val="00FA50C6"/>
    <w:rsid w:val="00FA56CF"/>
    <w:rsid w:val="00FA579C"/>
    <w:rsid w:val="00FA594E"/>
    <w:rsid w:val="00FA5952"/>
    <w:rsid w:val="00FA59CA"/>
    <w:rsid w:val="00FA59CE"/>
    <w:rsid w:val="00FA5B0B"/>
    <w:rsid w:val="00FA5DEA"/>
    <w:rsid w:val="00FA5E47"/>
    <w:rsid w:val="00FA6234"/>
    <w:rsid w:val="00FA624A"/>
    <w:rsid w:val="00FA6268"/>
    <w:rsid w:val="00FA628D"/>
    <w:rsid w:val="00FA64E0"/>
    <w:rsid w:val="00FA67CF"/>
    <w:rsid w:val="00FA67F3"/>
    <w:rsid w:val="00FA695C"/>
    <w:rsid w:val="00FA6AE7"/>
    <w:rsid w:val="00FA6EEA"/>
    <w:rsid w:val="00FA6F32"/>
    <w:rsid w:val="00FA6FFF"/>
    <w:rsid w:val="00FA71DD"/>
    <w:rsid w:val="00FA7396"/>
    <w:rsid w:val="00FA73D2"/>
    <w:rsid w:val="00FA75E8"/>
    <w:rsid w:val="00FA76CD"/>
    <w:rsid w:val="00FA78F0"/>
    <w:rsid w:val="00FA7948"/>
    <w:rsid w:val="00FA7A54"/>
    <w:rsid w:val="00FA7C52"/>
    <w:rsid w:val="00FA7C75"/>
    <w:rsid w:val="00FA7FB4"/>
    <w:rsid w:val="00FB0655"/>
    <w:rsid w:val="00FB0812"/>
    <w:rsid w:val="00FB08E9"/>
    <w:rsid w:val="00FB0978"/>
    <w:rsid w:val="00FB0C15"/>
    <w:rsid w:val="00FB0C24"/>
    <w:rsid w:val="00FB0C71"/>
    <w:rsid w:val="00FB0D64"/>
    <w:rsid w:val="00FB0DAF"/>
    <w:rsid w:val="00FB1076"/>
    <w:rsid w:val="00FB10E7"/>
    <w:rsid w:val="00FB130D"/>
    <w:rsid w:val="00FB157E"/>
    <w:rsid w:val="00FB15EF"/>
    <w:rsid w:val="00FB1805"/>
    <w:rsid w:val="00FB182B"/>
    <w:rsid w:val="00FB18EC"/>
    <w:rsid w:val="00FB1D0B"/>
    <w:rsid w:val="00FB1D9E"/>
    <w:rsid w:val="00FB1DD4"/>
    <w:rsid w:val="00FB2071"/>
    <w:rsid w:val="00FB2181"/>
    <w:rsid w:val="00FB220A"/>
    <w:rsid w:val="00FB221C"/>
    <w:rsid w:val="00FB230E"/>
    <w:rsid w:val="00FB23BC"/>
    <w:rsid w:val="00FB240A"/>
    <w:rsid w:val="00FB2592"/>
    <w:rsid w:val="00FB2763"/>
    <w:rsid w:val="00FB27C2"/>
    <w:rsid w:val="00FB27F8"/>
    <w:rsid w:val="00FB28DC"/>
    <w:rsid w:val="00FB2EE2"/>
    <w:rsid w:val="00FB2F1B"/>
    <w:rsid w:val="00FB327F"/>
    <w:rsid w:val="00FB3357"/>
    <w:rsid w:val="00FB341E"/>
    <w:rsid w:val="00FB34FF"/>
    <w:rsid w:val="00FB35DB"/>
    <w:rsid w:val="00FB381A"/>
    <w:rsid w:val="00FB39FC"/>
    <w:rsid w:val="00FB3A68"/>
    <w:rsid w:val="00FB3C16"/>
    <w:rsid w:val="00FB3CA6"/>
    <w:rsid w:val="00FB3DF9"/>
    <w:rsid w:val="00FB3E22"/>
    <w:rsid w:val="00FB3E92"/>
    <w:rsid w:val="00FB4127"/>
    <w:rsid w:val="00FB4181"/>
    <w:rsid w:val="00FB42CA"/>
    <w:rsid w:val="00FB434F"/>
    <w:rsid w:val="00FB43E6"/>
    <w:rsid w:val="00FB4427"/>
    <w:rsid w:val="00FB44E9"/>
    <w:rsid w:val="00FB47D1"/>
    <w:rsid w:val="00FB489F"/>
    <w:rsid w:val="00FB4B58"/>
    <w:rsid w:val="00FB4B75"/>
    <w:rsid w:val="00FB4F02"/>
    <w:rsid w:val="00FB5757"/>
    <w:rsid w:val="00FB591A"/>
    <w:rsid w:val="00FB5A28"/>
    <w:rsid w:val="00FB5A72"/>
    <w:rsid w:val="00FB5B70"/>
    <w:rsid w:val="00FB5FFB"/>
    <w:rsid w:val="00FB623C"/>
    <w:rsid w:val="00FB6250"/>
    <w:rsid w:val="00FB63B4"/>
    <w:rsid w:val="00FB6470"/>
    <w:rsid w:val="00FB6561"/>
    <w:rsid w:val="00FB6695"/>
    <w:rsid w:val="00FB66D1"/>
    <w:rsid w:val="00FB66E1"/>
    <w:rsid w:val="00FB66EE"/>
    <w:rsid w:val="00FB68D0"/>
    <w:rsid w:val="00FB690D"/>
    <w:rsid w:val="00FB6C9B"/>
    <w:rsid w:val="00FB6E32"/>
    <w:rsid w:val="00FB72D6"/>
    <w:rsid w:val="00FB7456"/>
    <w:rsid w:val="00FB7457"/>
    <w:rsid w:val="00FB7536"/>
    <w:rsid w:val="00FB7548"/>
    <w:rsid w:val="00FB765C"/>
    <w:rsid w:val="00FB76B0"/>
    <w:rsid w:val="00FB76C1"/>
    <w:rsid w:val="00FB7794"/>
    <w:rsid w:val="00FB77B0"/>
    <w:rsid w:val="00FB77CD"/>
    <w:rsid w:val="00FB7AA6"/>
    <w:rsid w:val="00FB7BC4"/>
    <w:rsid w:val="00FB7D24"/>
    <w:rsid w:val="00FB7EA6"/>
    <w:rsid w:val="00FB7F6C"/>
    <w:rsid w:val="00FC00A1"/>
    <w:rsid w:val="00FC00D3"/>
    <w:rsid w:val="00FC01C4"/>
    <w:rsid w:val="00FC04CB"/>
    <w:rsid w:val="00FC0AB0"/>
    <w:rsid w:val="00FC0B8B"/>
    <w:rsid w:val="00FC0BF2"/>
    <w:rsid w:val="00FC0D4E"/>
    <w:rsid w:val="00FC0E30"/>
    <w:rsid w:val="00FC0F52"/>
    <w:rsid w:val="00FC10B0"/>
    <w:rsid w:val="00FC114D"/>
    <w:rsid w:val="00FC1157"/>
    <w:rsid w:val="00FC13BC"/>
    <w:rsid w:val="00FC14F9"/>
    <w:rsid w:val="00FC15C7"/>
    <w:rsid w:val="00FC15E7"/>
    <w:rsid w:val="00FC16B4"/>
    <w:rsid w:val="00FC174E"/>
    <w:rsid w:val="00FC17C9"/>
    <w:rsid w:val="00FC17E6"/>
    <w:rsid w:val="00FC1825"/>
    <w:rsid w:val="00FC19A6"/>
    <w:rsid w:val="00FC19CC"/>
    <w:rsid w:val="00FC1A4A"/>
    <w:rsid w:val="00FC1D26"/>
    <w:rsid w:val="00FC1D5C"/>
    <w:rsid w:val="00FC202A"/>
    <w:rsid w:val="00FC2163"/>
    <w:rsid w:val="00FC2197"/>
    <w:rsid w:val="00FC22F5"/>
    <w:rsid w:val="00FC244F"/>
    <w:rsid w:val="00FC24C4"/>
    <w:rsid w:val="00FC27BF"/>
    <w:rsid w:val="00FC27C8"/>
    <w:rsid w:val="00FC28F3"/>
    <w:rsid w:val="00FC2960"/>
    <w:rsid w:val="00FC2A5D"/>
    <w:rsid w:val="00FC2B5C"/>
    <w:rsid w:val="00FC2C67"/>
    <w:rsid w:val="00FC2D79"/>
    <w:rsid w:val="00FC2F64"/>
    <w:rsid w:val="00FC30C5"/>
    <w:rsid w:val="00FC30CD"/>
    <w:rsid w:val="00FC3261"/>
    <w:rsid w:val="00FC326F"/>
    <w:rsid w:val="00FC329A"/>
    <w:rsid w:val="00FC36D5"/>
    <w:rsid w:val="00FC373F"/>
    <w:rsid w:val="00FC3821"/>
    <w:rsid w:val="00FC39AE"/>
    <w:rsid w:val="00FC3B60"/>
    <w:rsid w:val="00FC3BD3"/>
    <w:rsid w:val="00FC3C92"/>
    <w:rsid w:val="00FC3E51"/>
    <w:rsid w:val="00FC4421"/>
    <w:rsid w:val="00FC4478"/>
    <w:rsid w:val="00FC4AA6"/>
    <w:rsid w:val="00FC4DC4"/>
    <w:rsid w:val="00FC4E6F"/>
    <w:rsid w:val="00FC5181"/>
    <w:rsid w:val="00FC51CD"/>
    <w:rsid w:val="00FC554E"/>
    <w:rsid w:val="00FC5622"/>
    <w:rsid w:val="00FC56D7"/>
    <w:rsid w:val="00FC5816"/>
    <w:rsid w:val="00FC5841"/>
    <w:rsid w:val="00FC58AE"/>
    <w:rsid w:val="00FC591C"/>
    <w:rsid w:val="00FC5978"/>
    <w:rsid w:val="00FC5A53"/>
    <w:rsid w:val="00FC5C1C"/>
    <w:rsid w:val="00FC5C42"/>
    <w:rsid w:val="00FC5E6F"/>
    <w:rsid w:val="00FC5FCC"/>
    <w:rsid w:val="00FC6009"/>
    <w:rsid w:val="00FC61CB"/>
    <w:rsid w:val="00FC63E3"/>
    <w:rsid w:val="00FC671B"/>
    <w:rsid w:val="00FC6982"/>
    <w:rsid w:val="00FC69F2"/>
    <w:rsid w:val="00FC6B0F"/>
    <w:rsid w:val="00FC6BED"/>
    <w:rsid w:val="00FC6ECD"/>
    <w:rsid w:val="00FC70D4"/>
    <w:rsid w:val="00FC72B3"/>
    <w:rsid w:val="00FC72E7"/>
    <w:rsid w:val="00FC72FC"/>
    <w:rsid w:val="00FC73CE"/>
    <w:rsid w:val="00FC772C"/>
    <w:rsid w:val="00FC793D"/>
    <w:rsid w:val="00FC79FA"/>
    <w:rsid w:val="00FC7AE5"/>
    <w:rsid w:val="00FC7F35"/>
    <w:rsid w:val="00FC7FDE"/>
    <w:rsid w:val="00FC7FF7"/>
    <w:rsid w:val="00FD0031"/>
    <w:rsid w:val="00FD01EF"/>
    <w:rsid w:val="00FD0350"/>
    <w:rsid w:val="00FD03CA"/>
    <w:rsid w:val="00FD0403"/>
    <w:rsid w:val="00FD04FA"/>
    <w:rsid w:val="00FD065F"/>
    <w:rsid w:val="00FD07CA"/>
    <w:rsid w:val="00FD0919"/>
    <w:rsid w:val="00FD0999"/>
    <w:rsid w:val="00FD099D"/>
    <w:rsid w:val="00FD0A7C"/>
    <w:rsid w:val="00FD0CDF"/>
    <w:rsid w:val="00FD0D00"/>
    <w:rsid w:val="00FD0DC3"/>
    <w:rsid w:val="00FD0F65"/>
    <w:rsid w:val="00FD0F9D"/>
    <w:rsid w:val="00FD0FE6"/>
    <w:rsid w:val="00FD0FFF"/>
    <w:rsid w:val="00FD10D8"/>
    <w:rsid w:val="00FD1146"/>
    <w:rsid w:val="00FD1196"/>
    <w:rsid w:val="00FD13DB"/>
    <w:rsid w:val="00FD1441"/>
    <w:rsid w:val="00FD1445"/>
    <w:rsid w:val="00FD1891"/>
    <w:rsid w:val="00FD1AF4"/>
    <w:rsid w:val="00FD1E8C"/>
    <w:rsid w:val="00FD1FA4"/>
    <w:rsid w:val="00FD2255"/>
    <w:rsid w:val="00FD22F7"/>
    <w:rsid w:val="00FD23B0"/>
    <w:rsid w:val="00FD243B"/>
    <w:rsid w:val="00FD24D2"/>
    <w:rsid w:val="00FD25CD"/>
    <w:rsid w:val="00FD26E4"/>
    <w:rsid w:val="00FD2768"/>
    <w:rsid w:val="00FD27A3"/>
    <w:rsid w:val="00FD2A4C"/>
    <w:rsid w:val="00FD2BC9"/>
    <w:rsid w:val="00FD2D4D"/>
    <w:rsid w:val="00FD2E1F"/>
    <w:rsid w:val="00FD318A"/>
    <w:rsid w:val="00FD332D"/>
    <w:rsid w:val="00FD34D5"/>
    <w:rsid w:val="00FD354C"/>
    <w:rsid w:val="00FD36AD"/>
    <w:rsid w:val="00FD36D1"/>
    <w:rsid w:val="00FD38D6"/>
    <w:rsid w:val="00FD3924"/>
    <w:rsid w:val="00FD3A44"/>
    <w:rsid w:val="00FD3A97"/>
    <w:rsid w:val="00FD3B6C"/>
    <w:rsid w:val="00FD3CDC"/>
    <w:rsid w:val="00FD3D1C"/>
    <w:rsid w:val="00FD3EA6"/>
    <w:rsid w:val="00FD3F24"/>
    <w:rsid w:val="00FD3F88"/>
    <w:rsid w:val="00FD4063"/>
    <w:rsid w:val="00FD40CD"/>
    <w:rsid w:val="00FD429B"/>
    <w:rsid w:val="00FD4482"/>
    <w:rsid w:val="00FD4682"/>
    <w:rsid w:val="00FD4701"/>
    <w:rsid w:val="00FD4782"/>
    <w:rsid w:val="00FD483E"/>
    <w:rsid w:val="00FD4899"/>
    <w:rsid w:val="00FD4977"/>
    <w:rsid w:val="00FD4ACA"/>
    <w:rsid w:val="00FD4E8D"/>
    <w:rsid w:val="00FD4F0A"/>
    <w:rsid w:val="00FD5219"/>
    <w:rsid w:val="00FD53F8"/>
    <w:rsid w:val="00FD5419"/>
    <w:rsid w:val="00FD5422"/>
    <w:rsid w:val="00FD5491"/>
    <w:rsid w:val="00FD55B9"/>
    <w:rsid w:val="00FD57F6"/>
    <w:rsid w:val="00FD595A"/>
    <w:rsid w:val="00FD5969"/>
    <w:rsid w:val="00FD5B3C"/>
    <w:rsid w:val="00FD5CA3"/>
    <w:rsid w:val="00FD5E55"/>
    <w:rsid w:val="00FD5F3E"/>
    <w:rsid w:val="00FD5F88"/>
    <w:rsid w:val="00FD611D"/>
    <w:rsid w:val="00FD6136"/>
    <w:rsid w:val="00FD6159"/>
    <w:rsid w:val="00FD61D8"/>
    <w:rsid w:val="00FD61EE"/>
    <w:rsid w:val="00FD6320"/>
    <w:rsid w:val="00FD63FE"/>
    <w:rsid w:val="00FD6442"/>
    <w:rsid w:val="00FD652A"/>
    <w:rsid w:val="00FD65E2"/>
    <w:rsid w:val="00FD66CF"/>
    <w:rsid w:val="00FD68D8"/>
    <w:rsid w:val="00FD68FC"/>
    <w:rsid w:val="00FD69FD"/>
    <w:rsid w:val="00FD6F39"/>
    <w:rsid w:val="00FD7028"/>
    <w:rsid w:val="00FD720B"/>
    <w:rsid w:val="00FD73D7"/>
    <w:rsid w:val="00FD746B"/>
    <w:rsid w:val="00FD75E1"/>
    <w:rsid w:val="00FD772F"/>
    <w:rsid w:val="00FD77FF"/>
    <w:rsid w:val="00FD7848"/>
    <w:rsid w:val="00FD7994"/>
    <w:rsid w:val="00FD79B1"/>
    <w:rsid w:val="00FD7A4D"/>
    <w:rsid w:val="00FD7BFE"/>
    <w:rsid w:val="00FD7C40"/>
    <w:rsid w:val="00FD7C59"/>
    <w:rsid w:val="00FD7E3B"/>
    <w:rsid w:val="00FE0383"/>
    <w:rsid w:val="00FE042A"/>
    <w:rsid w:val="00FE0595"/>
    <w:rsid w:val="00FE0760"/>
    <w:rsid w:val="00FE0887"/>
    <w:rsid w:val="00FE09FF"/>
    <w:rsid w:val="00FE0B35"/>
    <w:rsid w:val="00FE0B4A"/>
    <w:rsid w:val="00FE0CE3"/>
    <w:rsid w:val="00FE0CF3"/>
    <w:rsid w:val="00FE0D37"/>
    <w:rsid w:val="00FE0E0F"/>
    <w:rsid w:val="00FE0F4B"/>
    <w:rsid w:val="00FE11A7"/>
    <w:rsid w:val="00FE126F"/>
    <w:rsid w:val="00FE1284"/>
    <w:rsid w:val="00FE128F"/>
    <w:rsid w:val="00FE12BB"/>
    <w:rsid w:val="00FE12DE"/>
    <w:rsid w:val="00FE1414"/>
    <w:rsid w:val="00FE15B2"/>
    <w:rsid w:val="00FE164B"/>
    <w:rsid w:val="00FE16BA"/>
    <w:rsid w:val="00FE1AC7"/>
    <w:rsid w:val="00FE1C93"/>
    <w:rsid w:val="00FE1D87"/>
    <w:rsid w:val="00FE200B"/>
    <w:rsid w:val="00FE2045"/>
    <w:rsid w:val="00FE2071"/>
    <w:rsid w:val="00FE2093"/>
    <w:rsid w:val="00FE22A7"/>
    <w:rsid w:val="00FE23D5"/>
    <w:rsid w:val="00FE242F"/>
    <w:rsid w:val="00FE2537"/>
    <w:rsid w:val="00FE2604"/>
    <w:rsid w:val="00FE2903"/>
    <w:rsid w:val="00FE2986"/>
    <w:rsid w:val="00FE2AB0"/>
    <w:rsid w:val="00FE2DDE"/>
    <w:rsid w:val="00FE2DE0"/>
    <w:rsid w:val="00FE30DB"/>
    <w:rsid w:val="00FE30F9"/>
    <w:rsid w:val="00FE3194"/>
    <w:rsid w:val="00FE325C"/>
    <w:rsid w:val="00FE3265"/>
    <w:rsid w:val="00FE32EF"/>
    <w:rsid w:val="00FE34BE"/>
    <w:rsid w:val="00FE3521"/>
    <w:rsid w:val="00FE352E"/>
    <w:rsid w:val="00FE39C3"/>
    <w:rsid w:val="00FE3A5C"/>
    <w:rsid w:val="00FE3B25"/>
    <w:rsid w:val="00FE3B3D"/>
    <w:rsid w:val="00FE3B6D"/>
    <w:rsid w:val="00FE3C59"/>
    <w:rsid w:val="00FE3C81"/>
    <w:rsid w:val="00FE3CBB"/>
    <w:rsid w:val="00FE3D4F"/>
    <w:rsid w:val="00FE3F86"/>
    <w:rsid w:val="00FE4062"/>
    <w:rsid w:val="00FE412C"/>
    <w:rsid w:val="00FE41C6"/>
    <w:rsid w:val="00FE41EA"/>
    <w:rsid w:val="00FE4235"/>
    <w:rsid w:val="00FE42EA"/>
    <w:rsid w:val="00FE438E"/>
    <w:rsid w:val="00FE43BB"/>
    <w:rsid w:val="00FE4470"/>
    <w:rsid w:val="00FE45FE"/>
    <w:rsid w:val="00FE4A48"/>
    <w:rsid w:val="00FE4ABF"/>
    <w:rsid w:val="00FE4C9A"/>
    <w:rsid w:val="00FE4D21"/>
    <w:rsid w:val="00FE4D43"/>
    <w:rsid w:val="00FE4D69"/>
    <w:rsid w:val="00FE4D95"/>
    <w:rsid w:val="00FE4E65"/>
    <w:rsid w:val="00FE5300"/>
    <w:rsid w:val="00FE5315"/>
    <w:rsid w:val="00FE533F"/>
    <w:rsid w:val="00FE570F"/>
    <w:rsid w:val="00FE57D4"/>
    <w:rsid w:val="00FE5AC7"/>
    <w:rsid w:val="00FE5CAE"/>
    <w:rsid w:val="00FE5D16"/>
    <w:rsid w:val="00FE5EA8"/>
    <w:rsid w:val="00FE6107"/>
    <w:rsid w:val="00FE6113"/>
    <w:rsid w:val="00FE64A3"/>
    <w:rsid w:val="00FE64D0"/>
    <w:rsid w:val="00FE6824"/>
    <w:rsid w:val="00FE696D"/>
    <w:rsid w:val="00FE69C1"/>
    <w:rsid w:val="00FE69D4"/>
    <w:rsid w:val="00FE6CEC"/>
    <w:rsid w:val="00FE6CFD"/>
    <w:rsid w:val="00FE6D2A"/>
    <w:rsid w:val="00FE6D76"/>
    <w:rsid w:val="00FE6DA2"/>
    <w:rsid w:val="00FE6DF6"/>
    <w:rsid w:val="00FE6F6F"/>
    <w:rsid w:val="00FE706F"/>
    <w:rsid w:val="00FE70BB"/>
    <w:rsid w:val="00FE71A4"/>
    <w:rsid w:val="00FE7284"/>
    <w:rsid w:val="00FE7414"/>
    <w:rsid w:val="00FE74AB"/>
    <w:rsid w:val="00FE78B7"/>
    <w:rsid w:val="00FE7B06"/>
    <w:rsid w:val="00FE7BB8"/>
    <w:rsid w:val="00FE7D98"/>
    <w:rsid w:val="00FE7FDB"/>
    <w:rsid w:val="00FF0127"/>
    <w:rsid w:val="00FF01FD"/>
    <w:rsid w:val="00FF022E"/>
    <w:rsid w:val="00FF0261"/>
    <w:rsid w:val="00FF02AF"/>
    <w:rsid w:val="00FF02D6"/>
    <w:rsid w:val="00FF033E"/>
    <w:rsid w:val="00FF0448"/>
    <w:rsid w:val="00FF0462"/>
    <w:rsid w:val="00FF0576"/>
    <w:rsid w:val="00FF064C"/>
    <w:rsid w:val="00FF0654"/>
    <w:rsid w:val="00FF0691"/>
    <w:rsid w:val="00FF07FC"/>
    <w:rsid w:val="00FF0CC8"/>
    <w:rsid w:val="00FF0DF8"/>
    <w:rsid w:val="00FF0EE9"/>
    <w:rsid w:val="00FF0F6A"/>
    <w:rsid w:val="00FF12E5"/>
    <w:rsid w:val="00FF132F"/>
    <w:rsid w:val="00FF141B"/>
    <w:rsid w:val="00FF14E5"/>
    <w:rsid w:val="00FF15CF"/>
    <w:rsid w:val="00FF17C9"/>
    <w:rsid w:val="00FF18F8"/>
    <w:rsid w:val="00FF1909"/>
    <w:rsid w:val="00FF190B"/>
    <w:rsid w:val="00FF1957"/>
    <w:rsid w:val="00FF1DB0"/>
    <w:rsid w:val="00FF2200"/>
    <w:rsid w:val="00FF22C8"/>
    <w:rsid w:val="00FF2433"/>
    <w:rsid w:val="00FF243E"/>
    <w:rsid w:val="00FF25BA"/>
    <w:rsid w:val="00FF2644"/>
    <w:rsid w:val="00FF26D2"/>
    <w:rsid w:val="00FF28CD"/>
    <w:rsid w:val="00FF2D00"/>
    <w:rsid w:val="00FF2E05"/>
    <w:rsid w:val="00FF2E20"/>
    <w:rsid w:val="00FF30DC"/>
    <w:rsid w:val="00FF32B2"/>
    <w:rsid w:val="00FF333F"/>
    <w:rsid w:val="00FF34A7"/>
    <w:rsid w:val="00FF34DE"/>
    <w:rsid w:val="00FF3563"/>
    <w:rsid w:val="00FF3660"/>
    <w:rsid w:val="00FF3756"/>
    <w:rsid w:val="00FF392E"/>
    <w:rsid w:val="00FF3C07"/>
    <w:rsid w:val="00FF40AA"/>
    <w:rsid w:val="00FF43BC"/>
    <w:rsid w:val="00FF4455"/>
    <w:rsid w:val="00FF4552"/>
    <w:rsid w:val="00FF476E"/>
    <w:rsid w:val="00FF4816"/>
    <w:rsid w:val="00FF4C3E"/>
    <w:rsid w:val="00FF4D35"/>
    <w:rsid w:val="00FF4D6C"/>
    <w:rsid w:val="00FF4E32"/>
    <w:rsid w:val="00FF4F2B"/>
    <w:rsid w:val="00FF50F4"/>
    <w:rsid w:val="00FF51EA"/>
    <w:rsid w:val="00FF5221"/>
    <w:rsid w:val="00FF52FD"/>
    <w:rsid w:val="00FF53EE"/>
    <w:rsid w:val="00FF5478"/>
    <w:rsid w:val="00FF5516"/>
    <w:rsid w:val="00FF55A8"/>
    <w:rsid w:val="00FF56B0"/>
    <w:rsid w:val="00FF5B33"/>
    <w:rsid w:val="00FF5C37"/>
    <w:rsid w:val="00FF60A2"/>
    <w:rsid w:val="00FF60C2"/>
    <w:rsid w:val="00FF6315"/>
    <w:rsid w:val="00FF636B"/>
    <w:rsid w:val="00FF6657"/>
    <w:rsid w:val="00FF6979"/>
    <w:rsid w:val="00FF6B28"/>
    <w:rsid w:val="00FF6E51"/>
    <w:rsid w:val="00FF6ECF"/>
    <w:rsid w:val="00FF70DD"/>
    <w:rsid w:val="00FF711C"/>
    <w:rsid w:val="00FF7174"/>
    <w:rsid w:val="00FF71F6"/>
    <w:rsid w:val="00FF72CB"/>
    <w:rsid w:val="00FF7860"/>
    <w:rsid w:val="00FF793E"/>
    <w:rsid w:val="00FF7C54"/>
    <w:rsid w:val="00FF7D0B"/>
    <w:rsid w:val="00FF7D41"/>
    <w:rsid w:val="00FF7D7D"/>
    <w:rsid w:val="00FF7DDB"/>
    <w:rsid w:val="00FF7E37"/>
    <w:rsid w:val="00FF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A085D"/>
  <w15:chartTrackingRefBased/>
  <w15:docId w15:val="{FA68F7A3-0CF0-4DAE-89B5-AAB87FE7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43C"/>
  </w:style>
  <w:style w:type="paragraph" w:styleId="Heading1">
    <w:name w:val="heading 1"/>
    <w:basedOn w:val="Normal"/>
    <w:next w:val="Normal"/>
    <w:link w:val="Heading1Char"/>
    <w:uiPriority w:val="9"/>
    <w:qFormat/>
    <w:rsid w:val="00CA2101"/>
    <w:pPr>
      <w:keepNext/>
      <w:keepLines/>
      <w:spacing w:before="240" w:after="0"/>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semiHidden/>
    <w:unhideWhenUsed/>
    <w:qFormat/>
    <w:rsid w:val="00583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7D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3E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3E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3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DC"/>
    <w:pPr>
      <w:ind w:left="720"/>
      <w:contextualSpacing/>
    </w:pPr>
  </w:style>
  <w:style w:type="character" w:styleId="Hyperlink">
    <w:name w:val="Hyperlink"/>
    <w:basedOn w:val="DefaultParagraphFont"/>
    <w:uiPriority w:val="99"/>
    <w:unhideWhenUsed/>
    <w:rsid w:val="00374533"/>
    <w:rPr>
      <w:color w:val="0563C1" w:themeColor="hyperlink"/>
      <w:u w:val="single"/>
    </w:rPr>
  </w:style>
  <w:style w:type="character" w:styleId="UnresolvedMention">
    <w:name w:val="Unresolved Mention"/>
    <w:basedOn w:val="DefaultParagraphFont"/>
    <w:uiPriority w:val="99"/>
    <w:semiHidden/>
    <w:unhideWhenUsed/>
    <w:rsid w:val="00374533"/>
    <w:rPr>
      <w:color w:val="605E5C"/>
      <w:shd w:val="clear" w:color="auto" w:fill="E1DFDD"/>
    </w:rPr>
  </w:style>
  <w:style w:type="paragraph" w:styleId="FootnoteText">
    <w:name w:val="footnote text"/>
    <w:basedOn w:val="Normal"/>
    <w:link w:val="FootnoteTextChar"/>
    <w:uiPriority w:val="99"/>
    <w:unhideWhenUsed/>
    <w:rsid w:val="00445DEE"/>
    <w:pPr>
      <w:spacing w:after="0" w:line="240" w:lineRule="auto"/>
    </w:pPr>
    <w:rPr>
      <w:sz w:val="20"/>
    </w:rPr>
  </w:style>
  <w:style w:type="character" w:customStyle="1" w:styleId="FootnoteTextChar">
    <w:name w:val="Footnote Text Char"/>
    <w:basedOn w:val="DefaultParagraphFont"/>
    <w:link w:val="FootnoteText"/>
    <w:uiPriority w:val="99"/>
    <w:rsid w:val="00445DEE"/>
    <w:rPr>
      <w:sz w:val="20"/>
      <w:szCs w:val="20"/>
    </w:rPr>
  </w:style>
  <w:style w:type="character" w:styleId="FootnoteReference">
    <w:name w:val="footnote reference"/>
    <w:basedOn w:val="DefaultParagraphFont"/>
    <w:uiPriority w:val="99"/>
    <w:semiHidden/>
    <w:unhideWhenUsed/>
    <w:rsid w:val="00445DEE"/>
    <w:rPr>
      <w:vertAlign w:val="superscript"/>
    </w:rPr>
  </w:style>
  <w:style w:type="character" w:styleId="FollowedHyperlink">
    <w:name w:val="FollowedHyperlink"/>
    <w:basedOn w:val="DefaultParagraphFont"/>
    <w:uiPriority w:val="99"/>
    <w:semiHidden/>
    <w:unhideWhenUsed/>
    <w:rsid w:val="000708B3"/>
    <w:rPr>
      <w:color w:val="954F72" w:themeColor="followedHyperlink"/>
      <w:u w:val="single"/>
    </w:rPr>
  </w:style>
  <w:style w:type="paragraph" w:styleId="EndnoteText">
    <w:name w:val="endnote text"/>
    <w:basedOn w:val="Normal"/>
    <w:link w:val="EndnoteTextChar"/>
    <w:uiPriority w:val="99"/>
    <w:semiHidden/>
    <w:unhideWhenUsed/>
    <w:rsid w:val="00513617"/>
    <w:pPr>
      <w:spacing w:after="0" w:line="240" w:lineRule="auto"/>
    </w:pPr>
    <w:rPr>
      <w:sz w:val="20"/>
    </w:rPr>
  </w:style>
  <w:style w:type="character" w:customStyle="1" w:styleId="EndnoteTextChar">
    <w:name w:val="Endnote Text Char"/>
    <w:basedOn w:val="DefaultParagraphFont"/>
    <w:link w:val="EndnoteText"/>
    <w:uiPriority w:val="99"/>
    <w:semiHidden/>
    <w:rsid w:val="00513617"/>
    <w:rPr>
      <w:sz w:val="20"/>
      <w:szCs w:val="20"/>
    </w:rPr>
  </w:style>
  <w:style w:type="character" w:styleId="EndnoteReference">
    <w:name w:val="endnote reference"/>
    <w:basedOn w:val="DefaultParagraphFont"/>
    <w:uiPriority w:val="99"/>
    <w:semiHidden/>
    <w:unhideWhenUsed/>
    <w:rsid w:val="00513617"/>
    <w:rPr>
      <w:vertAlign w:val="superscript"/>
    </w:rPr>
  </w:style>
  <w:style w:type="paragraph" w:styleId="Header">
    <w:name w:val="header"/>
    <w:basedOn w:val="Normal"/>
    <w:link w:val="HeaderChar"/>
    <w:uiPriority w:val="99"/>
    <w:unhideWhenUsed/>
    <w:rsid w:val="00900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389"/>
  </w:style>
  <w:style w:type="paragraph" w:styleId="Footer">
    <w:name w:val="footer"/>
    <w:basedOn w:val="Normal"/>
    <w:link w:val="FooterChar"/>
    <w:uiPriority w:val="99"/>
    <w:unhideWhenUsed/>
    <w:rsid w:val="00900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389"/>
  </w:style>
  <w:style w:type="character" w:styleId="CommentReference">
    <w:name w:val="annotation reference"/>
    <w:basedOn w:val="DefaultParagraphFont"/>
    <w:uiPriority w:val="99"/>
    <w:semiHidden/>
    <w:unhideWhenUsed/>
    <w:rsid w:val="00B92C8F"/>
    <w:rPr>
      <w:sz w:val="16"/>
      <w:szCs w:val="16"/>
    </w:rPr>
  </w:style>
  <w:style w:type="paragraph" w:styleId="CommentText">
    <w:name w:val="annotation text"/>
    <w:basedOn w:val="Normal"/>
    <w:link w:val="CommentTextChar"/>
    <w:uiPriority w:val="99"/>
    <w:unhideWhenUsed/>
    <w:rsid w:val="00B92C8F"/>
    <w:pPr>
      <w:spacing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B92C8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81504"/>
    <w:rPr>
      <w:rFonts w:ascii="Georgia" w:hAnsi="Georgia"/>
      <w:b/>
      <w:bCs/>
    </w:rPr>
  </w:style>
  <w:style w:type="character" w:customStyle="1" w:styleId="CommentSubjectChar">
    <w:name w:val="Comment Subject Char"/>
    <w:basedOn w:val="CommentTextChar"/>
    <w:link w:val="CommentSubject"/>
    <w:uiPriority w:val="99"/>
    <w:semiHidden/>
    <w:rsid w:val="00881504"/>
    <w:rPr>
      <w:rFonts w:asciiTheme="minorHAnsi" w:hAnsiTheme="minorHAnsi"/>
      <w:b/>
      <w:bCs/>
      <w:sz w:val="20"/>
      <w:szCs w:val="20"/>
    </w:rPr>
  </w:style>
  <w:style w:type="character" w:customStyle="1" w:styleId="cf01">
    <w:name w:val="cf01"/>
    <w:basedOn w:val="DefaultParagraphFont"/>
    <w:rsid w:val="00AC6775"/>
    <w:rPr>
      <w:rFonts w:ascii="Segoe UI" w:hAnsi="Segoe UI" w:cs="Segoe UI" w:hint="default"/>
      <w:sz w:val="18"/>
      <w:szCs w:val="18"/>
    </w:rPr>
  </w:style>
  <w:style w:type="paragraph" w:customStyle="1" w:styleId="font7">
    <w:name w:val="font_7"/>
    <w:basedOn w:val="Normal"/>
    <w:rsid w:val="000431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043121"/>
  </w:style>
  <w:style w:type="paragraph" w:styleId="Revision">
    <w:name w:val="Revision"/>
    <w:hidden/>
    <w:uiPriority w:val="99"/>
    <w:semiHidden/>
    <w:rsid w:val="0031413D"/>
    <w:pPr>
      <w:spacing w:after="0" w:line="240" w:lineRule="auto"/>
    </w:pPr>
  </w:style>
  <w:style w:type="character" w:customStyle="1" w:styleId="Heading2Char">
    <w:name w:val="Heading 2 Char"/>
    <w:basedOn w:val="DefaultParagraphFont"/>
    <w:link w:val="Heading2"/>
    <w:uiPriority w:val="9"/>
    <w:semiHidden/>
    <w:rsid w:val="00583B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A2101"/>
    <w:rPr>
      <w:rFonts w:ascii="Times New Roman" w:eastAsiaTheme="majorEastAsia" w:hAnsi="Times New Roman" w:cs="Times New Roman"/>
      <w:b/>
      <w:bCs/>
      <w:sz w:val="28"/>
      <w:szCs w:val="28"/>
    </w:rPr>
  </w:style>
  <w:style w:type="paragraph" w:styleId="NormalWeb">
    <w:name w:val="Normal (Web)"/>
    <w:basedOn w:val="Normal"/>
    <w:uiPriority w:val="99"/>
    <w:semiHidden/>
    <w:unhideWhenUsed/>
    <w:rsid w:val="00C0475D"/>
    <w:rPr>
      <w:rFonts w:ascii="Times New Roman" w:hAnsi="Times New Roman" w:cs="Times New Roman"/>
      <w:sz w:val="24"/>
      <w:szCs w:val="24"/>
    </w:rPr>
  </w:style>
  <w:style w:type="table" w:styleId="TableGrid">
    <w:name w:val="Table Grid"/>
    <w:basedOn w:val="TableNormal"/>
    <w:uiPriority w:val="39"/>
    <w:rsid w:val="0016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B7DEF"/>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52196F"/>
    <w:pPr>
      <w:spacing w:after="0" w:line="240" w:lineRule="auto"/>
    </w:pPr>
    <w:rPr>
      <w:rFonts w:ascii="Times New Roman" w:eastAsia="Calibri" w:hAnsi="Times New Roman" w:cs="Times New Roman"/>
      <w:iCs/>
      <w:sz w:val="24"/>
      <w:szCs w:val="22"/>
    </w:rPr>
  </w:style>
  <w:style w:type="character" w:customStyle="1" w:styleId="Heading4Char">
    <w:name w:val="Heading 4 Char"/>
    <w:basedOn w:val="DefaultParagraphFont"/>
    <w:link w:val="Heading4"/>
    <w:uiPriority w:val="9"/>
    <w:semiHidden/>
    <w:rsid w:val="00E13E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3E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3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EF0"/>
    <w:rPr>
      <w:rFonts w:eastAsiaTheme="majorEastAsia" w:cstheme="majorBidi"/>
      <w:color w:val="272727" w:themeColor="text1" w:themeTint="D8"/>
    </w:rPr>
  </w:style>
  <w:style w:type="paragraph" w:styleId="Title">
    <w:name w:val="Title"/>
    <w:basedOn w:val="Normal"/>
    <w:next w:val="Normal"/>
    <w:link w:val="TitleChar"/>
    <w:uiPriority w:val="10"/>
    <w:qFormat/>
    <w:rsid w:val="00E13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EF0"/>
    <w:pPr>
      <w:spacing w:before="160"/>
      <w:jc w:val="center"/>
    </w:pPr>
    <w:rPr>
      <w:i/>
      <w:iCs/>
      <w:color w:val="404040" w:themeColor="text1" w:themeTint="BF"/>
    </w:rPr>
  </w:style>
  <w:style w:type="character" w:customStyle="1" w:styleId="QuoteChar">
    <w:name w:val="Quote Char"/>
    <w:basedOn w:val="DefaultParagraphFont"/>
    <w:link w:val="Quote"/>
    <w:uiPriority w:val="29"/>
    <w:rsid w:val="00E13EF0"/>
    <w:rPr>
      <w:i/>
      <w:iCs/>
      <w:color w:val="404040" w:themeColor="text1" w:themeTint="BF"/>
    </w:rPr>
  </w:style>
  <w:style w:type="character" w:styleId="IntenseEmphasis">
    <w:name w:val="Intense Emphasis"/>
    <w:basedOn w:val="DefaultParagraphFont"/>
    <w:uiPriority w:val="21"/>
    <w:qFormat/>
    <w:rsid w:val="00E13EF0"/>
    <w:rPr>
      <w:i/>
      <w:iCs/>
      <w:color w:val="2F5496" w:themeColor="accent1" w:themeShade="BF"/>
    </w:rPr>
  </w:style>
  <w:style w:type="paragraph" w:styleId="IntenseQuote">
    <w:name w:val="Intense Quote"/>
    <w:basedOn w:val="Normal"/>
    <w:next w:val="Normal"/>
    <w:link w:val="IntenseQuoteChar"/>
    <w:uiPriority w:val="30"/>
    <w:qFormat/>
    <w:rsid w:val="00E13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3EF0"/>
    <w:rPr>
      <w:i/>
      <w:iCs/>
      <w:color w:val="2F5496" w:themeColor="accent1" w:themeShade="BF"/>
    </w:rPr>
  </w:style>
  <w:style w:type="character" w:styleId="IntenseReference">
    <w:name w:val="Intense Reference"/>
    <w:basedOn w:val="DefaultParagraphFont"/>
    <w:uiPriority w:val="32"/>
    <w:qFormat/>
    <w:rsid w:val="00E13EF0"/>
    <w:rPr>
      <w:b/>
      <w:bCs/>
      <w:smallCaps/>
      <w:color w:val="2F5496" w:themeColor="accent1" w:themeShade="BF"/>
      <w:spacing w:val="5"/>
    </w:rPr>
  </w:style>
  <w:style w:type="paragraph" w:styleId="TOCHeading">
    <w:name w:val="TOC Heading"/>
    <w:basedOn w:val="Heading1"/>
    <w:next w:val="Normal"/>
    <w:uiPriority w:val="39"/>
    <w:unhideWhenUsed/>
    <w:qFormat/>
    <w:rsid w:val="00AE7988"/>
    <w:pPr>
      <w:outlineLvl w:val="9"/>
    </w:pPr>
    <w:rPr>
      <w:iCs/>
      <w:lang w:val="en-US"/>
    </w:rPr>
  </w:style>
  <w:style w:type="paragraph" w:styleId="TOC2">
    <w:name w:val="toc 2"/>
    <w:basedOn w:val="Normal"/>
    <w:next w:val="Normal"/>
    <w:autoRedefine/>
    <w:uiPriority w:val="39"/>
    <w:unhideWhenUsed/>
    <w:rsid w:val="00AE7988"/>
    <w:pPr>
      <w:spacing w:after="100"/>
      <w:ind w:left="220"/>
    </w:pPr>
    <w:rPr>
      <w:rFonts w:asciiTheme="minorHAnsi" w:eastAsiaTheme="minorEastAsia" w:hAnsiTheme="minorHAnsi" w:cs="Times New Roman"/>
      <w:iCs/>
      <w:szCs w:val="22"/>
      <w:lang w:val="en-US"/>
    </w:rPr>
  </w:style>
  <w:style w:type="paragraph" w:styleId="TOC1">
    <w:name w:val="toc 1"/>
    <w:basedOn w:val="Normal"/>
    <w:next w:val="Normal"/>
    <w:autoRedefine/>
    <w:uiPriority w:val="39"/>
    <w:unhideWhenUsed/>
    <w:rsid w:val="00AE7988"/>
    <w:pPr>
      <w:spacing w:after="100"/>
    </w:pPr>
    <w:rPr>
      <w:rFonts w:asciiTheme="minorHAnsi" w:eastAsiaTheme="minorEastAsia" w:hAnsiTheme="minorHAnsi" w:cs="Times New Roman"/>
      <w:iCs/>
      <w:szCs w:val="22"/>
      <w:lang w:val="en-US"/>
    </w:rPr>
  </w:style>
  <w:style w:type="paragraph" w:styleId="TOC3">
    <w:name w:val="toc 3"/>
    <w:basedOn w:val="Normal"/>
    <w:next w:val="Normal"/>
    <w:autoRedefine/>
    <w:uiPriority w:val="39"/>
    <w:unhideWhenUsed/>
    <w:rsid w:val="00AE7988"/>
    <w:pPr>
      <w:spacing w:after="100"/>
      <w:ind w:left="440"/>
    </w:pPr>
    <w:rPr>
      <w:rFonts w:asciiTheme="minorHAnsi" w:eastAsiaTheme="minorEastAsia" w:hAnsiTheme="minorHAnsi" w:cs="Times New Roman"/>
      <w:iCs/>
      <w:szCs w:val="22"/>
      <w:lang w:val="en-US"/>
    </w:rPr>
  </w:style>
  <w:style w:type="paragraph" w:customStyle="1" w:styleId="Style1">
    <w:name w:val="Style1"/>
    <w:basedOn w:val="Normal"/>
    <w:link w:val="Style1Char"/>
    <w:qFormat/>
    <w:rsid w:val="00635337"/>
    <w:pPr>
      <w:spacing w:line="360" w:lineRule="auto"/>
    </w:pPr>
    <w:rPr>
      <w:rFonts w:ascii="Times New Roman" w:eastAsia="Times New Roman" w:hAnsi="Times New Roman" w:cs="Times New Roman"/>
      <w:b/>
      <w:bCs/>
      <w:color w:val="000000"/>
      <w:sz w:val="24"/>
      <w:szCs w:val="24"/>
      <w:lang w:eastAsia="en-GB"/>
    </w:rPr>
  </w:style>
  <w:style w:type="character" w:customStyle="1" w:styleId="Style1Char">
    <w:name w:val="Style1 Char"/>
    <w:basedOn w:val="DefaultParagraphFont"/>
    <w:link w:val="Style1"/>
    <w:rsid w:val="00635337"/>
    <w:rPr>
      <w:rFonts w:ascii="Times New Roman" w:eastAsia="Times New Roman" w:hAnsi="Times New Roman" w:cs="Times New Roman"/>
      <w:b/>
      <w:bC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196">
      <w:bodyDiv w:val="1"/>
      <w:marLeft w:val="0"/>
      <w:marRight w:val="0"/>
      <w:marTop w:val="0"/>
      <w:marBottom w:val="0"/>
      <w:divBdr>
        <w:top w:val="none" w:sz="0" w:space="0" w:color="auto"/>
        <w:left w:val="none" w:sz="0" w:space="0" w:color="auto"/>
        <w:bottom w:val="none" w:sz="0" w:space="0" w:color="auto"/>
        <w:right w:val="none" w:sz="0" w:space="0" w:color="auto"/>
      </w:divBdr>
    </w:div>
    <w:div w:id="7174113">
      <w:bodyDiv w:val="1"/>
      <w:marLeft w:val="0"/>
      <w:marRight w:val="0"/>
      <w:marTop w:val="0"/>
      <w:marBottom w:val="0"/>
      <w:divBdr>
        <w:top w:val="none" w:sz="0" w:space="0" w:color="auto"/>
        <w:left w:val="none" w:sz="0" w:space="0" w:color="auto"/>
        <w:bottom w:val="none" w:sz="0" w:space="0" w:color="auto"/>
        <w:right w:val="none" w:sz="0" w:space="0" w:color="auto"/>
      </w:divBdr>
      <w:divsChild>
        <w:div w:id="1814643228">
          <w:marLeft w:val="0"/>
          <w:marRight w:val="240"/>
          <w:marTop w:val="0"/>
          <w:marBottom w:val="0"/>
          <w:divBdr>
            <w:top w:val="none" w:sz="0" w:space="0" w:color="auto"/>
            <w:left w:val="none" w:sz="0" w:space="0" w:color="auto"/>
            <w:bottom w:val="none" w:sz="0" w:space="0" w:color="auto"/>
            <w:right w:val="none" w:sz="0" w:space="0" w:color="auto"/>
          </w:divBdr>
          <w:divsChild>
            <w:div w:id="711803187">
              <w:marLeft w:val="0"/>
              <w:marRight w:val="0"/>
              <w:marTop w:val="0"/>
              <w:marBottom w:val="0"/>
              <w:divBdr>
                <w:top w:val="none" w:sz="0" w:space="0" w:color="auto"/>
                <w:left w:val="none" w:sz="0" w:space="0" w:color="auto"/>
                <w:bottom w:val="none" w:sz="0" w:space="0" w:color="auto"/>
                <w:right w:val="none" w:sz="0" w:space="0" w:color="auto"/>
              </w:divBdr>
              <w:divsChild>
                <w:div w:id="1195386236">
                  <w:marLeft w:val="0"/>
                  <w:marRight w:val="0"/>
                  <w:marTop w:val="0"/>
                  <w:marBottom w:val="0"/>
                  <w:divBdr>
                    <w:top w:val="none" w:sz="0" w:space="0" w:color="auto"/>
                    <w:left w:val="none" w:sz="0" w:space="0" w:color="auto"/>
                    <w:bottom w:val="none" w:sz="0" w:space="0" w:color="auto"/>
                    <w:right w:val="none" w:sz="0" w:space="0" w:color="auto"/>
                  </w:divBdr>
                  <w:divsChild>
                    <w:div w:id="1586066448">
                      <w:marLeft w:val="0"/>
                      <w:marRight w:val="0"/>
                      <w:marTop w:val="0"/>
                      <w:marBottom w:val="0"/>
                      <w:divBdr>
                        <w:top w:val="none" w:sz="0" w:space="0" w:color="auto"/>
                        <w:left w:val="none" w:sz="0" w:space="0" w:color="auto"/>
                        <w:bottom w:val="none" w:sz="0" w:space="0" w:color="auto"/>
                        <w:right w:val="none" w:sz="0" w:space="0" w:color="auto"/>
                      </w:divBdr>
                      <w:divsChild>
                        <w:div w:id="1264417559">
                          <w:marLeft w:val="0"/>
                          <w:marRight w:val="0"/>
                          <w:marTop w:val="0"/>
                          <w:marBottom w:val="0"/>
                          <w:divBdr>
                            <w:top w:val="none" w:sz="0" w:space="0" w:color="auto"/>
                            <w:left w:val="none" w:sz="0" w:space="0" w:color="auto"/>
                            <w:bottom w:val="none" w:sz="0" w:space="0" w:color="auto"/>
                            <w:right w:val="none" w:sz="0" w:space="0" w:color="auto"/>
                          </w:divBdr>
                          <w:divsChild>
                            <w:div w:id="1430658165">
                              <w:marLeft w:val="0"/>
                              <w:marRight w:val="0"/>
                              <w:marTop w:val="0"/>
                              <w:marBottom w:val="0"/>
                              <w:divBdr>
                                <w:top w:val="none" w:sz="0" w:space="0" w:color="auto"/>
                                <w:left w:val="none" w:sz="0" w:space="0" w:color="auto"/>
                                <w:bottom w:val="none" w:sz="0" w:space="0" w:color="auto"/>
                                <w:right w:val="none" w:sz="0" w:space="0" w:color="auto"/>
                              </w:divBdr>
                              <w:divsChild>
                                <w:div w:id="10547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943">
      <w:bodyDiv w:val="1"/>
      <w:marLeft w:val="0"/>
      <w:marRight w:val="0"/>
      <w:marTop w:val="0"/>
      <w:marBottom w:val="0"/>
      <w:divBdr>
        <w:top w:val="none" w:sz="0" w:space="0" w:color="auto"/>
        <w:left w:val="none" w:sz="0" w:space="0" w:color="auto"/>
        <w:bottom w:val="none" w:sz="0" w:space="0" w:color="auto"/>
        <w:right w:val="none" w:sz="0" w:space="0" w:color="auto"/>
      </w:divBdr>
      <w:divsChild>
        <w:div w:id="790168409">
          <w:marLeft w:val="0"/>
          <w:marRight w:val="0"/>
          <w:marTop w:val="0"/>
          <w:marBottom w:val="0"/>
          <w:divBdr>
            <w:top w:val="none" w:sz="0" w:space="0" w:color="auto"/>
            <w:left w:val="none" w:sz="0" w:space="0" w:color="auto"/>
            <w:bottom w:val="none" w:sz="0" w:space="0" w:color="auto"/>
            <w:right w:val="none" w:sz="0" w:space="0" w:color="auto"/>
          </w:divBdr>
        </w:div>
      </w:divsChild>
    </w:div>
    <w:div w:id="15156552">
      <w:bodyDiv w:val="1"/>
      <w:marLeft w:val="0"/>
      <w:marRight w:val="0"/>
      <w:marTop w:val="0"/>
      <w:marBottom w:val="0"/>
      <w:divBdr>
        <w:top w:val="none" w:sz="0" w:space="0" w:color="auto"/>
        <w:left w:val="none" w:sz="0" w:space="0" w:color="auto"/>
        <w:bottom w:val="none" w:sz="0" w:space="0" w:color="auto"/>
        <w:right w:val="none" w:sz="0" w:space="0" w:color="auto"/>
      </w:divBdr>
    </w:div>
    <w:div w:id="19205821">
      <w:bodyDiv w:val="1"/>
      <w:marLeft w:val="0"/>
      <w:marRight w:val="0"/>
      <w:marTop w:val="0"/>
      <w:marBottom w:val="0"/>
      <w:divBdr>
        <w:top w:val="none" w:sz="0" w:space="0" w:color="auto"/>
        <w:left w:val="none" w:sz="0" w:space="0" w:color="auto"/>
        <w:bottom w:val="none" w:sz="0" w:space="0" w:color="auto"/>
        <w:right w:val="none" w:sz="0" w:space="0" w:color="auto"/>
      </w:divBdr>
    </w:div>
    <w:div w:id="37632733">
      <w:bodyDiv w:val="1"/>
      <w:marLeft w:val="0"/>
      <w:marRight w:val="0"/>
      <w:marTop w:val="0"/>
      <w:marBottom w:val="0"/>
      <w:divBdr>
        <w:top w:val="none" w:sz="0" w:space="0" w:color="auto"/>
        <w:left w:val="none" w:sz="0" w:space="0" w:color="auto"/>
        <w:bottom w:val="none" w:sz="0" w:space="0" w:color="auto"/>
        <w:right w:val="none" w:sz="0" w:space="0" w:color="auto"/>
      </w:divBdr>
      <w:divsChild>
        <w:div w:id="391393580">
          <w:marLeft w:val="0"/>
          <w:marRight w:val="0"/>
          <w:marTop w:val="0"/>
          <w:marBottom w:val="0"/>
          <w:divBdr>
            <w:top w:val="none" w:sz="0" w:space="0" w:color="auto"/>
            <w:left w:val="none" w:sz="0" w:space="0" w:color="auto"/>
            <w:bottom w:val="none" w:sz="0" w:space="0" w:color="auto"/>
            <w:right w:val="none" w:sz="0" w:space="0" w:color="auto"/>
          </w:divBdr>
        </w:div>
      </w:divsChild>
    </w:div>
    <w:div w:id="38674773">
      <w:bodyDiv w:val="1"/>
      <w:marLeft w:val="0"/>
      <w:marRight w:val="0"/>
      <w:marTop w:val="0"/>
      <w:marBottom w:val="0"/>
      <w:divBdr>
        <w:top w:val="none" w:sz="0" w:space="0" w:color="auto"/>
        <w:left w:val="none" w:sz="0" w:space="0" w:color="auto"/>
        <w:bottom w:val="none" w:sz="0" w:space="0" w:color="auto"/>
        <w:right w:val="none" w:sz="0" w:space="0" w:color="auto"/>
      </w:divBdr>
      <w:divsChild>
        <w:div w:id="1502357817">
          <w:marLeft w:val="0"/>
          <w:marRight w:val="0"/>
          <w:marTop w:val="0"/>
          <w:marBottom w:val="0"/>
          <w:divBdr>
            <w:top w:val="none" w:sz="0" w:space="0" w:color="auto"/>
            <w:left w:val="none" w:sz="0" w:space="0" w:color="auto"/>
            <w:bottom w:val="none" w:sz="0" w:space="0" w:color="auto"/>
            <w:right w:val="none" w:sz="0" w:space="0" w:color="auto"/>
          </w:divBdr>
          <w:divsChild>
            <w:div w:id="13576444">
              <w:marLeft w:val="0"/>
              <w:marRight w:val="0"/>
              <w:marTop w:val="0"/>
              <w:marBottom w:val="0"/>
              <w:divBdr>
                <w:top w:val="none" w:sz="0" w:space="0" w:color="auto"/>
                <w:left w:val="none" w:sz="0" w:space="0" w:color="auto"/>
                <w:bottom w:val="none" w:sz="0" w:space="0" w:color="auto"/>
                <w:right w:val="none" w:sz="0" w:space="0" w:color="auto"/>
              </w:divBdr>
              <w:divsChild>
                <w:div w:id="226765043">
                  <w:marLeft w:val="480"/>
                  <w:marRight w:val="0"/>
                  <w:marTop w:val="0"/>
                  <w:marBottom w:val="0"/>
                  <w:divBdr>
                    <w:top w:val="none" w:sz="0" w:space="0" w:color="auto"/>
                    <w:left w:val="none" w:sz="0" w:space="0" w:color="auto"/>
                    <w:bottom w:val="none" w:sz="0" w:space="0" w:color="auto"/>
                    <w:right w:val="none" w:sz="0" w:space="0" w:color="auto"/>
                  </w:divBdr>
                  <w:divsChild>
                    <w:div w:id="747534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213937">
      <w:bodyDiv w:val="1"/>
      <w:marLeft w:val="0"/>
      <w:marRight w:val="0"/>
      <w:marTop w:val="0"/>
      <w:marBottom w:val="0"/>
      <w:divBdr>
        <w:top w:val="none" w:sz="0" w:space="0" w:color="auto"/>
        <w:left w:val="none" w:sz="0" w:space="0" w:color="auto"/>
        <w:bottom w:val="none" w:sz="0" w:space="0" w:color="auto"/>
        <w:right w:val="none" w:sz="0" w:space="0" w:color="auto"/>
      </w:divBdr>
    </w:div>
    <w:div w:id="58479580">
      <w:bodyDiv w:val="1"/>
      <w:marLeft w:val="0"/>
      <w:marRight w:val="0"/>
      <w:marTop w:val="0"/>
      <w:marBottom w:val="0"/>
      <w:divBdr>
        <w:top w:val="none" w:sz="0" w:space="0" w:color="auto"/>
        <w:left w:val="none" w:sz="0" w:space="0" w:color="auto"/>
        <w:bottom w:val="none" w:sz="0" w:space="0" w:color="auto"/>
        <w:right w:val="none" w:sz="0" w:space="0" w:color="auto"/>
      </w:divBdr>
      <w:divsChild>
        <w:div w:id="1300069602">
          <w:marLeft w:val="0"/>
          <w:marRight w:val="0"/>
          <w:marTop w:val="0"/>
          <w:marBottom w:val="0"/>
          <w:divBdr>
            <w:top w:val="none" w:sz="0" w:space="0" w:color="auto"/>
            <w:left w:val="none" w:sz="0" w:space="0" w:color="auto"/>
            <w:bottom w:val="none" w:sz="0" w:space="0" w:color="auto"/>
            <w:right w:val="none" w:sz="0" w:space="0" w:color="auto"/>
          </w:divBdr>
        </w:div>
      </w:divsChild>
    </w:div>
    <w:div w:id="58751987">
      <w:bodyDiv w:val="1"/>
      <w:marLeft w:val="0"/>
      <w:marRight w:val="0"/>
      <w:marTop w:val="0"/>
      <w:marBottom w:val="0"/>
      <w:divBdr>
        <w:top w:val="none" w:sz="0" w:space="0" w:color="auto"/>
        <w:left w:val="none" w:sz="0" w:space="0" w:color="auto"/>
        <w:bottom w:val="none" w:sz="0" w:space="0" w:color="auto"/>
        <w:right w:val="none" w:sz="0" w:space="0" w:color="auto"/>
      </w:divBdr>
    </w:div>
    <w:div w:id="67895522">
      <w:bodyDiv w:val="1"/>
      <w:marLeft w:val="0"/>
      <w:marRight w:val="0"/>
      <w:marTop w:val="0"/>
      <w:marBottom w:val="0"/>
      <w:divBdr>
        <w:top w:val="none" w:sz="0" w:space="0" w:color="auto"/>
        <w:left w:val="none" w:sz="0" w:space="0" w:color="auto"/>
        <w:bottom w:val="none" w:sz="0" w:space="0" w:color="auto"/>
        <w:right w:val="none" w:sz="0" w:space="0" w:color="auto"/>
      </w:divBdr>
    </w:div>
    <w:div w:id="102117367">
      <w:bodyDiv w:val="1"/>
      <w:marLeft w:val="0"/>
      <w:marRight w:val="0"/>
      <w:marTop w:val="0"/>
      <w:marBottom w:val="0"/>
      <w:divBdr>
        <w:top w:val="none" w:sz="0" w:space="0" w:color="auto"/>
        <w:left w:val="none" w:sz="0" w:space="0" w:color="auto"/>
        <w:bottom w:val="none" w:sz="0" w:space="0" w:color="auto"/>
        <w:right w:val="none" w:sz="0" w:space="0" w:color="auto"/>
      </w:divBdr>
    </w:div>
    <w:div w:id="114064265">
      <w:bodyDiv w:val="1"/>
      <w:marLeft w:val="0"/>
      <w:marRight w:val="0"/>
      <w:marTop w:val="0"/>
      <w:marBottom w:val="0"/>
      <w:divBdr>
        <w:top w:val="none" w:sz="0" w:space="0" w:color="auto"/>
        <w:left w:val="none" w:sz="0" w:space="0" w:color="auto"/>
        <w:bottom w:val="none" w:sz="0" w:space="0" w:color="auto"/>
        <w:right w:val="none" w:sz="0" w:space="0" w:color="auto"/>
      </w:divBdr>
    </w:div>
    <w:div w:id="119424276">
      <w:bodyDiv w:val="1"/>
      <w:marLeft w:val="0"/>
      <w:marRight w:val="0"/>
      <w:marTop w:val="0"/>
      <w:marBottom w:val="0"/>
      <w:divBdr>
        <w:top w:val="none" w:sz="0" w:space="0" w:color="auto"/>
        <w:left w:val="none" w:sz="0" w:space="0" w:color="auto"/>
        <w:bottom w:val="none" w:sz="0" w:space="0" w:color="auto"/>
        <w:right w:val="none" w:sz="0" w:space="0" w:color="auto"/>
      </w:divBdr>
      <w:divsChild>
        <w:div w:id="548033735">
          <w:marLeft w:val="0"/>
          <w:marRight w:val="0"/>
          <w:marTop w:val="0"/>
          <w:marBottom w:val="0"/>
          <w:divBdr>
            <w:top w:val="none" w:sz="0" w:space="0" w:color="auto"/>
            <w:left w:val="none" w:sz="0" w:space="0" w:color="auto"/>
            <w:bottom w:val="none" w:sz="0" w:space="0" w:color="auto"/>
            <w:right w:val="none" w:sz="0" w:space="0" w:color="auto"/>
          </w:divBdr>
          <w:divsChild>
            <w:div w:id="1248736450">
              <w:marLeft w:val="0"/>
              <w:marRight w:val="0"/>
              <w:marTop w:val="0"/>
              <w:marBottom w:val="0"/>
              <w:divBdr>
                <w:top w:val="none" w:sz="0" w:space="0" w:color="auto"/>
                <w:left w:val="none" w:sz="0" w:space="0" w:color="auto"/>
                <w:bottom w:val="none" w:sz="0" w:space="0" w:color="auto"/>
                <w:right w:val="none" w:sz="0" w:space="0" w:color="auto"/>
              </w:divBdr>
              <w:divsChild>
                <w:div w:id="1101952133">
                  <w:marLeft w:val="480"/>
                  <w:marRight w:val="0"/>
                  <w:marTop w:val="0"/>
                  <w:marBottom w:val="0"/>
                  <w:divBdr>
                    <w:top w:val="none" w:sz="0" w:space="0" w:color="auto"/>
                    <w:left w:val="none" w:sz="0" w:space="0" w:color="auto"/>
                    <w:bottom w:val="none" w:sz="0" w:space="0" w:color="auto"/>
                    <w:right w:val="none" w:sz="0" w:space="0" w:color="auto"/>
                  </w:divBdr>
                  <w:divsChild>
                    <w:div w:id="397017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4146491">
      <w:bodyDiv w:val="1"/>
      <w:marLeft w:val="0"/>
      <w:marRight w:val="0"/>
      <w:marTop w:val="0"/>
      <w:marBottom w:val="0"/>
      <w:divBdr>
        <w:top w:val="none" w:sz="0" w:space="0" w:color="auto"/>
        <w:left w:val="none" w:sz="0" w:space="0" w:color="auto"/>
        <w:bottom w:val="none" w:sz="0" w:space="0" w:color="auto"/>
        <w:right w:val="none" w:sz="0" w:space="0" w:color="auto"/>
      </w:divBdr>
    </w:div>
    <w:div w:id="154686868">
      <w:bodyDiv w:val="1"/>
      <w:marLeft w:val="0"/>
      <w:marRight w:val="0"/>
      <w:marTop w:val="0"/>
      <w:marBottom w:val="0"/>
      <w:divBdr>
        <w:top w:val="none" w:sz="0" w:space="0" w:color="auto"/>
        <w:left w:val="none" w:sz="0" w:space="0" w:color="auto"/>
        <w:bottom w:val="none" w:sz="0" w:space="0" w:color="auto"/>
        <w:right w:val="none" w:sz="0" w:space="0" w:color="auto"/>
      </w:divBdr>
      <w:divsChild>
        <w:div w:id="1034698201">
          <w:marLeft w:val="0"/>
          <w:marRight w:val="0"/>
          <w:marTop w:val="0"/>
          <w:marBottom w:val="0"/>
          <w:divBdr>
            <w:top w:val="none" w:sz="0" w:space="0" w:color="auto"/>
            <w:left w:val="none" w:sz="0" w:space="0" w:color="auto"/>
            <w:bottom w:val="none" w:sz="0" w:space="0" w:color="auto"/>
            <w:right w:val="none" w:sz="0" w:space="0" w:color="auto"/>
          </w:divBdr>
        </w:div>
      </w:divsChild>
    </w:div>
    <w:div w:id="158353756">
      <w:bodyDiv w:val="1"/>
      <w:marLeft w:val="0"/>
      <w:marRight w:val="0"/>
      <w:marTop w:val="0"/>
      <w:marBottom w:val="0"/>
      <w:divBdr>
        <w:top w:val="none" w:sz="0" w:space="0" w:color="auto"/>
        <w:left w:val="none" w:sz="0" w:space="0" w:color="auto"/>
        <w:bottom w:val="none" w:sz="0" w:space="0" w:color="auto"/>
        <w:right w:val="none" w:sz="0" w:space="0" w:color="auto"/>
      </w:divBdr>
    </w:div>
    <w:div w:id="167328248">
      <w:bodyDiv w:val="1"/>
      <w:marLeft w:val="0"/>
      <w:marRight w:val="0"/>
      <w:marTop w:val="0"/>
      <w:marBottom w:val="0"/>
      <w:divBdr>
        <w:top w:val="none" w:sz="0" w:space="0" w:color="auto"/>
        <w:left w:val="none" w:sz="0" w:space="0" w:color="auto"/>
        <w:bottom w:val="none" w:sz="0" w:space="0" w:color="auto"/>
        <w:right w:val="none" w:sz="0" w:space="0" w:color="auto"/>
      </w:divBdr>
    </w:div>
    <w:div w:id="190074525">
      <w:bodyDiv w:val="1"/>
      <w:marLeft w:val="0"/>
      <w:marRight w:val="0"/>
      <w:marTop w:val="0"/>
      <w:marBottom w:val="0"/>
      <w:divBdr>
        <w:top w:val="none" w:sz="0" w:space="0" w:color="auto"/>
        <w:left w:val="none" w:sz="0" w:space="0" w:color="auto"/>
        <w:bottom w:val="none" w:sz="0" w:space="0" w:color="auto"/>
        <w:right w:val="none" w:sz="0" w:space="0" w:color="auto"/>
      </w:divBdr>
    </w:div>
    <w:div w:id="196818097">
      <w:bodyDiv w:val="1"/>
      <w:marLeft w:val="0"/>
      <w:marRight w:val="0"/>
      <w:marTop w:val="0"/>
      <w:marBottom w:val="0"/>
      <w:divBdr>
        <w:top w:val="none" w:sz="0" w:space="0" w:color="auto"/>
        <w:left w:val="none" w:sz="0" w:space="0" w:color="auto"/>
        <w:bottom w:val="none" w:sz="0" w:space="0" w:color="auto"/>
        <w:right w:val="none" w:sz="0" w:space="0" w:color="auto"/>
      </w:divBdr>
    </w:div>
    <w:div w:id="212276827">
      <w:bodyDiv w:val="1"/>
      <w:marLeft w:val="0"/>
      <w:marRight w:val="0"/>
      <w:marTop w:val="0"/>
      <w:marBottom w:val="0"/>
      <w:divBdr>
        <w:top w:val="none" w:sz="0" w:space="0" w:color="auto"/>
        <w:left w:val="none" w:sz="0" w:space="0" w:color="auto"/>
        <w:bottom w:val="none" w:sz="0" w:space="0" w:color="auto"/>
        <w:right w:val="none" w:sz="0" w:space="0" w:color="auto"/>
      </w:divBdr>
    </w:div>
    <w:div w:id="214006436">
      <w:bodyDiv w:val="1"/>
      <w:marLeft w:val="0"/>
      <w:marRight w:val="0"/>
      <w:marTop w:val="0"/>
      <w:marBottom w:val="0"/>
      <w:divBdr>
        <w:top w:val="none" w:sz="0" w:space="0" w:color="auto"/>
        <w:left w:val="none" w:sz="0" w:space="0" w:color="auto"/>
        <w:bottom w:val="none" w:sz="0" w:space="0" w:color="auto"/>
        <w:right w:val="none" w:sz="0" w:space="0" w:color="auto"/>
      </w:divBdr>
      <w:divsChild>
        <w:div w:id="1834687003">
          <w:marLeft w:val="0"/>
          <w:marRight w:val="0"/>
          <w:marTop w:val="0"/>
          <w:marBottom w:val="0"/>
          <w:divBdr>
            <w:top w:val="none" w:sz="0" w:space="0" w:color="auto"/>
            <w:left w:val="none" w:sz="0" w:space="0" w:color="auto"/>
            <w:bottom w:val="none" w:sz="0" w:space="0" w:color="auto"/>
            <w:right w:val="none" w:sz="0" w:space="0" w:color="auto"/>
          </w:divBdr>
          <w:divsChild>
            <w:div w:id="1545485779">
              <w:marLeft w:val="0"/>
              <w:marRight w:val="0"/>
              <w:marTop w:val="0"/>
              <w:marBottom w:val="0"/>
              <w:divBdr>
                <w:top w:val="none" w:sz="0" w:space="0" w:color="auto"/>
                <w:left w:val="none" w:sz="0" w:space="0" w:color="auto"/>
                <w:bottom w:val="none" w:sz="0" w:space="0" w:color="auto"/>
                <w:right w:val="none" w:sz="0" w:space="0" w:color="auto"/>
              </w:divBdr>
              <w:divsChild>
                <w:div w:id="896817614">
                  <w:marLeft w:val="480"/>
                  <w:marRight w:val="0"/>
                  <w:marTop w:val="0"/>
                  <w:marBottom w:val="0"/>
                  <w:divBdr>
                    <w:top w:val="none" w:sz="0" w:space="0" w:color="auto"/>
                    <w:left w:val="none" w:sz="0" w:space="0" w:color="auto"/>
                    <w:bottom w:val="none" w:sz="0" w:space="0" w:color="auto"/>
                    <w:right w:val="none" w:sz="0" w:space="0" w:color="auto"/>
                  </w:divBdr>
                  <w:divsChild>
                    <w:div w:id="1082111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5970431">
      <w:bodyDiv w:val="1"/>
      <w:marLeft w:val="0"/>
      <w:marRight w:val="0"/>
      <w:marTop w:val="0"/>
      <w:marBottom w:val="0"/>
      <w:divBdr>
        <w:top w:val="none" w:sz="0" w:space="0" w:color="auto"/>
        <w:left w:val="none" w:sz="0" w:space="0" w:color="auto"/>
        <w:bottom w:val="none" w:sz="0" w:space="0" w:color="auto"/>
        <w:right w:val="none" w:sz="0" w:space="0" w:color="auto"/>
      </w:divBdr>
      <w:divsChild>
        <w:div w:id="1456288866">
          <w:marLeft w:val="0"/>
          <w:marRight w:val="0"/>
          <w:marTop w:val="150"/>
          <w:marBottom w:val="450"/>
          <w:divBdr>
            <w:top w:val="none" w:sz="0" w:space="0" w:color="auto"/>
            <w:left w:val="none" w:sz="0" w:space="0" w:color="auto"/>
            <w:bottom w:val="none" w:sz="0" w:space="0" w:color="auto"/>
            <w:right w:val="none" w:sz="0" w:space="0" w:color="auto"/>
          </w:divBdr>
          <w:divsChild>
            <w:div w:id="1351376161">
              <w:marLeft w:val="0"/>
              <w:marRight w:val="0"/>
              <w:marTop w:val="0"/>
              <w:marBottom w:val="0"/>
              <w:divBdr>
                <w:top w:val="none" w:sz="0" w:space="0" w:color="auto"/>
                <w:left w:val="none" w:sz="0" w:space="0" w:color="auto"/>
                <w:bottom w:val="none" w:sz="0" w:space="0" w:color="auto"/>
                <w:right w:val="none" w:sz="0" w:space="0" w:color="auto"/>
              </w:divBdr>
              <w:divsChild>
                <w:div w:id="14019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647">
      <w:bodyDiv w:val="1"/>
      <w:marLeft w:val="0"/>
      <w:marRight w:val="0"/>
      <w:marTop w:val="0"/>
      <w:marBottom w:val="0"/>
      <w:divBdr>
        <w:top w:val="none" w:sz="0" w:space="0" w:color="auto"/>
        <w:left w:val="none" w:sz="0" w:space="0" w:color="auto"/>
        <w:bottom w:val="none" w:sz="0" w:space="0" w:color="auto"/>
        <w:right w:val="none" w:sz="0" w:space="0" w:color="auto"/>
      </w:divBdr>
      <w:divsChild>
        <w:div w:id="1069694554">
          <w:marLeft w:val="0"/>
          <w:marRight w:val="0"/>
          <w:marTop w:val="0"/>
          <w:marBottom w:val="0"/>
          <w:divBdr>
            <w:top w:val="none" w:sz="0" w:space="0" w:color="auto"/>
            <w:left w:val="none" w:sz="0" w:space="0" w:color="auto"/>
            <w:bottom w:val="none" w:sz="0" w:space="0" w:color="auto"/>
            <w:right w:val="none" w:sz="0" w:space="0" w:color="auto"/>
          </w:divBdr>
          <w:divsChild>
            <w:div w:id="1309363884">
              <w:marLeft w:val="0"/>
              <w:marRight w:val="0"/>
              <w:marTop w:val="0"/>
              <w:marBottom w:val="0"/>
              <w:divBdr>
                <w:top w:val="none" w:sz="0" w:space="0" w:color="auto"/>
                <w:left w:val="none" w:sz="0" w:space="0" w:color="auto"/>
                <w:bottom w:val="none" w:sz="0" w:space="0" w:color="auto"/>
                <w:right w:val="none" w:sz="0" w:space="0" w:color="auto"/>
              </w:divBdr>
              <w:divsChild>
                <w:div w:id="627509788">
                  <w:marLeft w:val="480"/>
                  <w:marRight w:val="0"/>
                  <w:marTop w:val="0"/>
                  <w:marBottom w:val="0"/>
                  <w:divBdr>
                    <w:top w:val="none" w:sz="0" w:space="0" w:color="auto"/>
                    <w:left w:val="none" w:sz="0" w:space="0" w:color="auto"/>
                    <w:bottom w:val="none" w:sz="0" w:space="0" w:color="auto"/>
                    <w:right w:val="none" w:sz="0" w:space="0" w:color="auto"/>
                  </w:divBdr>
                  <w:divsChild>
                    <w:div w:id="2227590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34434335">
      <w:bodyDiv w:val="1"/>
      <w:marLeft w:val="0"/>
      <w:marRight w:val="0"/>
      <w:marTop w:val="0"/>
      <w:marBottom w:val="0"/>
      <w:divBdr>
        <w:top w:val="none" w:sz="0" w:space="0" w:color="auto"/>
        <w:left w:val="none" w:sz="0" w:space="0" w:color="auto"/>
        <w:bottom w:val="none" w:sz="0" w:space="0" w:color="auto"/>
        <w:right w:val="none" w:sz="0" w:space="0" w:color="auto"/>
      </w:divBdr>
      <w:divsChild>
        <w:div w:id="742142475">
          <w:marLeft w:val="0"/>
          <w:marRight w:val="0"/>
          <w:marTop w:val="150"/>
          <w:marBottom w:val="450"/>
          <w:divBdr>
            <w:top w:val="none" w:sz="0" w:space="0" w:color="auto"/>
            <w:left w:val="none" w:sz="0" w:space="0" w:color="auto"/>
            <w:bottom w:val="none" w:sz="0" w:space="0" w:color="auto"/>
            <w:right w:val="none" w:sz="0" w:space="0" w:color="auto"/>
          </w:divBdr>
          <w:divsChild>
            <w:div w:id="2078740499">
              <w:marLeft w:val="0"/>
              <w:marRight w:val="0"/>
              <w:marTop w:val="0"/>
              <w:marBottom w:val="0"/>
              <w:divBdr>
                <w:top w:val="none" w:sz="0" w:space="0" w:color="auto"/>
                <w:left w:val="none" w:sz="0" w:space="0" w:color="auto"/>
                <w:bottom w:val="none" w:sz="0" w:space="0" w:color="auto"/>
                <w:right w:val="none" w:sz="0" w:space="0" w:color="auto"/>
              </w:divBdr>
              <w:divsChild>
                <w:div w:id="17488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2014">
      <w:bodyDiv w:val="1"/>
      <w:marLeft w:val="0"/>
      <w:marRight w:val="0"/>
      <w:marTop w:val="0"/>
      <w:marBottom w:val="0"/>
      <w:divBdr>
        <w:top w:val="none" w:sz="0" w:space="0" w:color="auto"/>
        <w:left w:val="none" w:sz="0" w:space="0" w:color="auto"/>
        <w:bottom w:val="none" w:sz="0" w:space="0" w:color="auto"/>
        <w:right w:val="none" w:sz="0" w:space="0" w:color="auto"/>
      </w:divBdr>
    </w:div>
    <w:div w:id="240915885">
      <w:bodyDiv w:val="1"/>
      <w:marLeft w:val="0"/>
      <w:marRight w:val="0"/>
      <w:marTop w:val="0"/>
      <w:marBottom w:val="0"/>
      <w:divBdr>
        <w:top w:val="none" w:sz="0" w:space="0" w:color="auto"/>
        <w:left w:val="none" w:sz="0" w:space="0" w:color="auto"/>
        <w:bottom w:val="none" w:sz="0" w:space="0" w:color="auto"/>
        <w:right w:val="none" w:sz="0" w:space="0" w:color="auto"/>
      </w:divBdr>
    </w:div>
    <w:div w:id="241566391">
      <w:bodyDiv w:val="1"/>
      <w:marLeft w:val="0"/>
      <w:marRight w:val="0"/>
      <w:marTop w:val="0"/>
      <w:marBottom w:val="0"/>
      <w:divBdr>
        <w:top w:val="none" w:sz="0" w:space="0" w:color="auto"/>
        <w:left w:val="none" w:sz="0" w:space="0" w:color="auto"/>
        <w:bottom w:val="none" w:sz="0" w:space="0" w:color="auto"/>
        <w:right w:val="none" w:sz="0" w:space="0" w:color="auto"/>
      </w:divBdr>
    </w:div>
    <w:div w:id="258609081">
      <w:bodyDiv w:val="1"/>
      <w:marLeft w:val="0"/>
      <w:marRight w:val="0"/>
      <w:marTop w:val="0"/>
      <w:marBottom w:val="0"/>
      <w:divBdr>
        <w:top w:val="none" w:sz="0" w:space="0" w:color="auto"/>
        <w:left w:val="none" w:sz="0" w:space="0" w:color="auto"/>
        <w:bottom w:val="none" w:sz="0" w:space="0" w:color="auto"/>
        <w:right w:val="none" w:sz="0" w:space="0" w:color="auto"/>
      </w:divBdr>
    </w:div>
    <w:div w:id="259606294">
      <w:bodyDiv w:val="1"/>
      <w:marLeft w:val="0"/>
      <w:marRight w:val="0"/>
      <w:marTop w:val="0"/>
      <w:marBottom w:val="0"/>
      <w:divBdr>
        <w:top w:val="none" w:sz="0" w:space="0" w:color="auto"/>
        <w:left w:val="none" w:sz="0" w:space="0" w:color="auto"/>
        <w:bottom w:val="none" w:sz="0" w:space="0" w:color="auto"/>
        <w:right w:val="none" w:sz="0" w:space="0" w:color="auto"/>
      </w:divBdr>
      <w:divsChild>
        <w:div w:id="666248469">
          <w:marLeft w:val="0"/>
          <w:marRight w:val="0"/>
          <w:marTop w:val="0"/>
          <w:marBottom w:val="0"/>
          <w:divBdr>
            <w:top w:val="none" w:sz="0" w:space="0" w:color="auto"/>
            <w:left w:val="none" w:sz="0" w:space="0" w:color="auto"/>
            <w:bottom w:val="none" w:sz="0" w:space="0" w:color="auto"/>
            <w:right w:val="none" w:sz="0" w:space="0" w:color="auto"/>
          </w:divBdr>
          <w:divsChild>
            <w:div w:id="1191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6005">
      <w:bodyDiv w:val="1"/>
      <w:marLeft w:val="0"/>
      <w:marRight w:val="0"/>
      <w:marTop w:val="0"/>
      <w:marBottom w:val="0"/>
      <w:divBdr>
        <w:top w:val="none" w:sz="0" w:space="0" w:color="auto"/>
        <w:left w:val="none" w:sz="0" w:space="0" w:color="auto"/>
        <w:bottom w:val="none" w:sz="0" w:space="0" w:color="auto"/>
        <w:right w:val="none" w:sz="0" w:space="0" w:color="auto"/>
      </w:divBdr>
      <w:divsChild>
        <w:div w:id="596254539">
          <w:marLeft w:val="0"/>
          <w:marRight w:val="0"/>
          <w:marTop w:val="0"/>
          <w:marBottom w:val="0"/>
          <w:divBdr>
            <w:top w:val="none" w:sz="0" w:space="0" w:color="auto"/>
            <w:left w:val="none" w:sz="0" w:space="0" w:color="auto"/>
            <w:bottom w:val="none" w:sz="0" w:space="0" w:color="auto"/>
            <w:right w:val="none" w:sz="0" w:space="0" w:color="auto"/>
          </w:divBdr>
          <w:divsChild>
            <w:div w:id="1036583413">
              <w:marLeft w:val="0"/>
              <w:marRight w:val="0"/>
              <w:marTop w:val="0"/>
              <w:marBottom w:val="0"/>
              <w:divBdr>
                <w:top w:val="none" w:sz="0" w:space="0" w:color="auto"/>
                <w:left w:val="none" w:sz="0" w:space="0" w:color="auto"/>
                <w:bottom w:val="none" w:sz="0" w:space="0" w:color="auto"/>
                <w:right w:val="none" w:sz="0" w:space="0" w:color="auto"/>
              </w:divBdr>
              <w:divsChild>
                <w:div w:id="945818833">
                  <w:marLeft w:val="480"/>
                  <w:marRight w:val="0"/>
                  <w:marTop w:val="0"/>
                  <w:marBottom w:val="0"/>
                  <w:divBdr>
                    <w:top w:val="none" w:sz="0" w:space="0" w:color="auto"/>
                    <w:left w:val="none" w:sz="0" w:space="0" w:color="auto"/>
                    <w:bottom w:val="none" w:sz="0" w:space="0" w:color="auto"/>
                    <w:right w:val="none" w:sz="0" w:space="0" w:color="auto"/>
                  </w:divBdr>
                  <w:divsChild>
                    <w:div w:id="9925621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72328007">
      <w:bodyDiv w:val="1"/>
      <w:marLeft w:val="0"/>
      <w:marRight w:val="0"/>
      <w:marTop w:val="0"/>
      <w:marBottom w:val="0"/>
      <w:divBdr>
        <w:top w:val="none" w:sz="0" w:space="0" w:color="auto"/>
        <w:left w:val="none" w:sz="0" w:space="0" w:color="auto"/>
        <w:bottom w:val="none" w:sz="0" w:space="0" w:color="auto"/>
        <w:right w:val="none" w:sz="0" w:space="0" w:color="auto"/>
      </w:divBdr>
    </w:div>
    <w:div w:id="295523505">
      <w:bodyDiv w:val="1"/>
      <w:marLeft w:val="0"/>
      <w:marRight w:val="0"/>
      <w:marTop w:val="0"/>
      <w:marBottom w:val="0"/>
      <w:divBdr>
        <w:top w:val="none" w:sz="0" w:space="0" w:color="auto"/>
        <w:left w:val="none" w:sz="0" w:space="0" w:color="auto"/>
        <w:bottom w:val="none" w:sz="0" w:space="0" w:color="auto"/>
        <w:right w:val="none" w:sz="0" w:space="0" w:color="auto"/>
      </w:divBdr>
    </w:div>
    <w:div w:id="307170752">
      <w:bodyDiv w:val="1"/>
      <w:marLeft w:val="0"/>
      <w:marRight w:val="0"/>
      <w:marTop w:val="0"/>
      <w:marBottom w:val="0"/>
      <w:divBdr>
        <w:top w:val="none" w:sz="0" w:space="0" w:color="auto"/>
        <w:left w:val="none" w:sz="0" w:space="0" w:color="auto"/>
        <w:bottom w:val="none" w:sz="0" w:space="0" w:color="auto"/>
        <w:right w:val="none" w:sz="0" w:space="0" w:color="auto"/>
      </w:divBdr>
    </w:div>
    <w:div w:id="314729216">
      <w:bodyDiv w:val="1"/>
      <w:marLeft w:val="0"/>
      <w:marRight w:val="0"/>
      <w:marTop w:val="0"/>
      <w:marBottom w:val="0"/>
      <w:divBdr>
        <w:top w:val="none" w:sz="0" w:space="0" w:color="auto"/>
        <w:left w:val="none" w:sz="0" w:space="0" w:color="auto"/>
        <w:bottom w:val="none" w:sz="0" w:space="0" w:color="auto"/>
        <w:right w:val="none" w:sz="0" w:space="0" w:color="auto"/>
      </w:divBdr>
    </w:div>
    <w:div w:id="321393114">
      <w:bodyDiv w:val="1"/>
      <w:marLeft w:val="0"/>
      <w:marRight w:val="0"/>
      <w:marTop w:val="0"/>
      <w:marBottom w:val="0"/>
      <w:divBdr>
        <w:top w:val="none" w:sz="0" w:space="0" w:color="auto"/>
        <w:left w:val="none" w:sz="0" w:space="0" w:color="auto"/>
        <w:bottom w:val="none" w:sz="0" w:space="0" w:color="auto"/>
        <w:right w:val="none" w:sz="0" w:space="0" w:color="auto"/>
      </w:divBdr>
    </w:div>
    <w:div w:id="330646386">
      <w:bodyDiv w:val="1"/>
      <w:marLeft w:val="0"/>
      <w:marRight w:val="0"/>
      <w:marTop w:val="0"/>
      <w:marBottom w:val="0"/>
      <w:divBdr>
        <w:top w:val="none" w:sz="0" w:space="0" w:color="auto"/>
        <w:left w:val="none" w:sz="0" w:space="0" w:color="auto"/>
        <w:bottom w:val="none" w:sz="0" w:space="0" w:color="auto"/>
        <w:right w:val="none" w:sz="0" w:space="0" w:color="auto"/>
      </w:divBdr>
      <w:divsChild>
        <w:div w:id="1263220684">
          <w:marLeft w:val="0"/>
          <w:marRight w:val="0"/>
          <w:marTop w:val="0"/>
          <w:marBottom w:val="0"/>
          <w:divBdr>
            <w:top w:val="none" w:sz="0" w:space="0" w:color="auto"/>
            <w:left w:val="none" w:sz="0" w:space="0" w:color="auto"/>
            <w:bottom w:val="none" w:sz="0" w:space="0" w:color="auto"/>
            <w:right w:val="none" w:sz="0" w:space="0" w:color="auto"/>
          </w:divBdr>
          <w:divsChild>
            <w:div w:id="1908225740">
              <w:marLeft w:val="0"/>
              <w:marRight w:val="0"/>
              <w:marTop w:val="0"/>
              <w:marBottom w:val="0"/>
              <w:divBdr>
                <w:top w:val="none" w:sz="0" w:space="0" w:color="auto"/>
                <w:left w:val="none" w:sz="0" w:space="0" w:color="auto"/>
                <w:bottom w:val="none" w:sz="0" w:space="0" w:color="auto"/>
                <w:right w:val="none" w:sz="0" w:space="0" w:color="auto"/>
              </w:divBdr>
              <w:divsChild>
                <w:div w:id="892883329">
                  <w:marLeft w:val="480"/>
                  <w:marRight w:val="0"/>
                  <w:marTop w:val="0"/>
                  <w:marBottom w:val="0"/>
                  <w:divBdr>
                    <w:top w:val="none" w:sz="0" w:space="0" w:color="auto"/>
                    <w:left w:val="none" w:sz="0" w:space="0" w:color="auto"/>
                    <w:bottom w:val="none" w:sz="0" w:space="0" w:color="auto"/>
                    <w:right w:val="none" w:sz="0" w:space="0" w:color="auto"/>
                  </w:divBdr>
                  <w:divsChild>
                    <w:div w:id="214515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37200245">
      <w:bodyDiv w:val="1"/>
      <w:marLeft w:val="0"/>
      <w:marRight w:val="0"/>
      <w:marTop w:val="0"/>
      <w:marBottom w:val="0"/>
      <w:divBdr>
        <w:top w:val="none" w:sz="0" w:space="0" w:color="auto"/>
        <w:left w:val="none" w:sz="0" w:space="0" w:color="auto"/>
        <w:bottom w:val="none" w:sz="0" w:space="0" w:color="auto"/>
        <w:right w:val="none" w:sz="0" w:space="0" w:color="auto"/>
      </w:divBdr>
      <w:divsChild>
        <w:div w:id="1367029007">
          <w:marLeft w:val="0"/>
          <w:marRight w:val="0"/>
          <w:marTop w:val="0"/>
          <w:marBottom w:val="0"/>
          <w:divBdr>
            <w:top w:val="none" w:sz="0" w:space="0" w:color="auto"/>
            <w:left w:val="none" w:sz="0" w:space="0" w:color="auto"/>
            <w:bottom w:val="none" w:sz="0" w:space="0" w:color="auto"/>
            <w:right w:val="none" w:sz="0" w:space="0" w:color="auto"/>
          </w:divBdr>
        </w:div>
        <w:div w:id="269975248">
          <w:marLeft w:val="0"/>
          <w:marRight w:val="0"/>
          <w:marTop w:val="0"/>
          <w:marBottom w:val="0"/>
          <w:divBdr>
            <w:top w:val="none" w:sz="0" w:space="0" w:color="auto"/>
            <w:left w:val="none" w:sz="0" w:space="0" w:color="auto"/>
            <w:bottom w:val="none" w:sz="0" w:space="0" w:color="auto"/>
            <w:right w:val="none" w:sz="0" w:space="0" w:color="auto"/>
          </w:divBdr>
        </w:div>
        <w:div w:id="447897789">
          <w:marLeft w:val="0"/>
          <w:marRight w:val="0"/>
          <w:marTop w:val="0"/>
          <w:marBottom w:val="0"/>
          <w:divBdr>
            <w:top w:val="none" w:sz="0" w:space="0" w:color="auto"/>
            <w:left w:val="none" w:sz="0" w:space="0" w:color="auto"/>
            <w:bottom w:val="none" w:sz="0" w:space="0" w:color="auto"/>
            <w:right w:val="none" w:sz="0" w:space="0" w:color="auto"/>
          </w:divBdr>
        </w:div>
        <w:div w:id="1315991280">
          <w:marLeft w:val="0"/>
          <w:marRight w:val="0"/>
          <w:marTop w:val="0"/>
          <w:marBottom w:val="0"/>
          <w:divBdr>
            <w:top w:val="none" w:sz="0" w:space="0" w:color="auto"/>
            <w:left w:val="none" w:sz="0" w:space="0" w:color="auto"/>
            <w:bottom w:val="none" w:sz="0" w:space="0" w:color="auto"/>
            <w:right w:val="none" w:sz="0" w:space="0" w:color="auto"/>
          </w:divBdr>
        </w:div>
      </w:divsChild>
    </w:div>
    <w:div w:id="344288961">
      <w:bodyDiv w:val="1"/>
      <w:marLeft w:val="0"/>
      <w:marRight w:val="0"/>
      <w:marTop w:val="0"/>
      <w:marBottom w:val="0"/>
      <w:divBdr>
        <w:top w:val="none" w:sz="0" w:space="0" w:color="auto"/>
        <w:left w:val="none" w:sz="0" w:space="0" w:color="auto"/>
        <w:bottom w:val="none" w:sz="0" w:space="0" w:color="auto"/>
        <w:right w:val="none" w:sz="0" w:space="0" w:color="auto"/>
      </w:divBdr>
      <w:divsChild>
        <w:div w:id="374742435">
          <w:marLeft w:val="0"/>
          <w:marRight w:val="0"/>
          <w:marTop w:val="0"/>
          <w:marBottom w:val="0"/>
          <w:divBdr>
            <w:top w:val="none" w:sz="0" w:space="0" w:color="auto"/>
            <w:left w:val="none" w:sz="0" w:space="0" w:color="auto"/>
            <w:bottom w:val="none" w:sz="0" w:space="0" w:color="auto"/>
            <w:right w:val="none" w:sz="0" w:space="0" w:color="auto"/>
          </w:divBdr>
          <w:divsChild>
            <w:div w:id="134565464">
              <w:marLeft w:val="0"/>
              <w:marRight w:val="0"/>
              <w:marTop w:val="0"/>
              <w:marBottom w:val="0"/>
              <w:divBdr>
                <w:top w:val="none" w:sz="0" w:space="0" w:color="auto"/>
                <w:left w:val="none" w:sz="0" w:space="0" w:color="auto"/>
                <w:bottom w:val="none" w:sz="0" w:space="0" w:color="auto"/>
                <w:right w:val="none" w:sz="0" w:space="0" w:color="auto"/>
              </w:divBdr>
              <w:divsChild>
                <w:div w:id="805050623">
                  <w:marLeft w:val="480"/>
                  <w:marRight w:val="0"/>
                  <w:marTop w:val="0"/>
                  <w:marBottom w:val="0"/>
                  <w:divBdr>
                    <w:top w:val="none" w:sz="0" w:space="0" w:color="auto"/>
                    <w:left w:val="none" w:sz="0" w:space="0" w:color="auto"/>
                    <w:bottom w:val="none" w:sz="0" w:space="0" w:color="auto"/>
                    <w:right w:val="none" w:sz="0" w:space="0" w:color="auto"/>
                  </w:divBdr>
                  <w:divsChild>
                    <w:div w:id="5748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09788">
      <w:bodyDiv w:val="1"/>
      <w:marLeft w:val="0"/>
      <w:marRight w:val="0"/>
      <w:marTop w:val="0"/>
      <w:marBottom w:val="0"/>
      <w:divBdr>
        <w:top w:val="none" w:sz="0" w:space="0" w:color="auto"/>
        <w:left w:val="none" w:sz="0" w:space="0" w:color="auto"/>
        <w:bottom w:val="none" w:sz="0" w:space="0" w:color="auto"/>
        <w:right w:val="none" w:sz="0" w:space="0" w:color="auto"/>
      </w:divBdr>
      <w:divsChild>
        <w:div w:id="962350086">
          <w:marLeft w:val="0"/>
          <w:marRight w:val="0"/>
          <w:marTop w:val="0"/>
          <w:marBottom w:val="0"/>
          <w:divBdr>
            <w:top w:val="none" w:sz="0" w:space="0" w:color="auto"/>
            <w:left w:val="none" w:sz="0" w:space="0" w:color="auto"/>
            <w:bottom w:val="none" w:sz="0" w:space="0" w:color="auto"/>
            <w:right w:val="none" w:sz="0" w:space="0" w:color="auto"/>
          </w:divBdr>
          <w:divsChild>
            <w:div w:id="1678190943">
              <w:marLeft w:val="0"/>
              <w:marRight w:val="0"/>
              <w:marTop w:val="0"/>
              <w:marBottom w:val="0"/>
              <w:divBdr>
                <w:top w:val="none" w:sz="0" w:space="0" w:color="auto"/>
                <w:left w:val="none" w:sz="0" w:space="0" w:color="auto"/>
                <w:bottom w:val="none" w:sz="0" w:space="0" w:color="auto"/>
                <w:right w:val="none" w:sz="0" w:space="0" w:color="auto"/>
              </w:divBdr>
              <w:divsChild>
                <w:div w:id="1287351676">
                  <w:marLeft w:val="0"/>
                  <w:marRight w:val="0"/>
                  <w:marTop w:val="0"/>
                  <w:marBottom w:val="0"/>
                  <w:divBdr>
                    <w:top w:val="none" w:sz="0" w:space="0" w:color="auto"/>
                    <w:left w:val="none" w:sz="0" w:space="0" w:color="auto"/>
                    <w:bottom w:val="none" w:sz="0" w:space="0" w:color="auto"/>
                    <w:right w:val="none" w:sz="0" w:space="0" w:color="auto"/>
                  </w:divBdr>
                  <w:divsChild>
                    <w:div w:id="8367304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84984595">
      <w:bodyDiv w:val="1"/>
      <w:marLeft w:val="0"/>
      <w:marRight w:val="0"/>
      <w:marTop w:val="0"/>
      <w:marBottom w:val="0"/>
      <w:divBdr>
        <w:top w:val="none" w:sz="0" w:space="0" w:color="auto"/>
        <w:left w:val="none" w:sz="0" w:space="0" w:color="auto"/>
        <w:bottom w:val="none" w:sz="0" w:space="0" w:color="auto"/>
        <w:right w:val="none" w:sz="0" w:space="0" w:color="auto"/>
      </w:divBdr>
    </w:div>
    <w:div w:id="410977280">
      <w:bodyDiv w:val="1"/>
      <w:marLeft w:val="0"/>
      <w:marRight w:val="0"/>
      <w:marTop w:val="0"/>
      <w:marBottom w:val="0"/>
      <w:divBdr>
        <w:top w:val="none" w:sz="0" w:space="0" w:color="auto"/>
        <w:left w:val="none" w:sz="0" w:space="0" w:color="auto"/>
        <w:bottom w:val="none" w:sz="0" w:space="0" w:color="auto"/>
        <w:right w:val="none" w:sz="0" w:space="0" w:color="auto"/>
      </w:divBdr>
    </w:div>
    <w:div w:id="413015683">
      <w:bodyDiv w:val="1"/>
      <w:marLeft w:val="0"/>
      <w:marRight w:val="0"/>
      <w:marTop w:val="0"/>
      <w:marBottom w:val="0"/>
      <w:divBdr>
        <w:top w:val="none" w:sz="0" w:space="0" w:color="auto"/>
        <w:left w:val="none" w:sz="0" w:space="0" w:color="auto"/>
        <w:bottom w:val="none" w:sz="0" w:space="0" w:color="auto"/>
        <w:right w:val="none" w:sz="0" w:space="0" w:color="auto"/>
      </w:divBdr>
      <w:divsChild>
        <w:div w:id="1150361695">
          <w:marLeft w:val="0"/>
          <w:marRight w:val="0"/>
          <w:marTop w:val="0"/>
          <w:marBottom w:val="0"/>
          <w:divBdr>
            <w:top w:val="none" w:sz="0" w:space="0" w:color="auto"/>
            <w:left w:val="none" w:sz="0" w:space="0" w:color="auto"/>
            <w:bottom w:val="none" w:sz="0" w:space="0" w:color="auto"/>
            <w:right w:val="none" w:sz="0" w:space="0" w:color="auto"/>
          </w:divBdr>
        </w:div>
        <w:div w:id="1758945331">
          <w:marLeft w:val="0"/>
          <w:marRight w:val="0"/>
          <w:marTop w:val="0"/>
          <w:marBottom w:val="0"/>
          <w:divBdr>
            <w:top w:val="none" w:sz="0" w:space="0" w:color="auto"/>
            <w:left w:val="none" w:sz="0" w:space="0" w:color="auto"/>
            <w:bottom w:val="none" w:sz="0" w:space="0" w:color="auto"/>
            <w:right w:val="none" w:sz="0" w:space="0" w:color="auto"/>
          </w:divBdr>
          <w:divsChild>
            <w:div w:id="2089381593">
              <w:marLeft w:val="0"/>
              <w:marRight w:val="0"/>
              <w:marTop w:val="0"/>
              <w:marBottom w:val="0"/>
              <w:divBdr>
                <w:top w:val="none" w:sz="0" w:space="0" w:color="auto"/>
                <w:left w:val="none" w:sz="0" w:space="0" w:color="auto"/>
                <w:bottom w:val="none" w:sz="0" w:space="0" w:color="auto"/>
                <w:right w:val="none" w:sz="0" w:space="0" w:color="auto"/>
              </w:divBdr>
            </w:div>
            <w:div w:id="714736853">
              <w:marLeft w:val="0"/>
              <w:marRight w:val="0"/>
              <w:marTop w:val="0"/>
              <w:marBottom w:val="0"/>
              <w:divBdr>
                <w:top w:val="none" w:sz="0" w:space="0" w:color="auto"/>
                <w:left w:val="none" w:sz="0" w:space="0" w:color="auto"/>
                <w:bottom w:val="none" w:sz="0" w:space="0" w:color="auto"/>
                <w:right w:val="none" w:sz="0" w:space="0" w:color="auto"/>
              </w:divBdr>
            </w:div>
          </w:divsChild>
        </w:div>
        <w:div w:id="715395859">
          <w:marLeft w:val="0"/>
          <w:marRight w:val="0"/>
          <w:marTop w:val="0"/>
          <w:marBottom w:val="0"/>
          <w:divBdr>
            <w:top w:val="none" w:sz="0" w:space="0" w:color="auto"/>
            <w:left w:val="none" w:sz="0" w:space="0" w:color="auto"/>
            <w:bottom w:val="none" w:sz="0" w:space="0" w:color="auto"/>
            <w:right w:val="none" w:sz="0" w:space="0" w:color="auto"/>
          </w:divBdr>
        </w:div>
        <w:div w:id="1152258989">
          <w:marLeft w:val="0"/>
          <w:marRight w:val="0"/>
          <w:marTop w:val="0"/>
          <w:marBottom w:val="0"/>
          <w:divBdr>
            <w:top w:val="none" w:sz="0" w:space="0" w:color="auto"/>
            <w:left w:val="none" w:sz="0" w:space="0" w:color="auto"/>
            <w:bottom w:val="none" w:sz="0" w:space="0" w:color="auto"/>
            <w:right w:val="none" w:sz="0" w:space="0" w:color="auto"/>
          </w:divBdr>
        </w:div>
        <w:div w:id="1950551475">
          <w:marLeft w:val="0"/>
          <w:marRight w:val="0"/>
          <w:marTop w:val="0"/>
          <w:marBottom w:val="0"/>
          <w:divBdr>
            <w:top w:val="none" w:sz="0" w:space="0" w:color="auto"/>
            <w:left w:val="none" w:sz="0" w:space="0" w:color="auto"/>
            <w:bottom w:val="none" w:sz="0" w:space="0" w:color="auto"/>
            <w:right w:val="none" w:sz="0" w:space="0" w:color="auto"/>
          </w:divBdr>
        </w:div>
      </w:divsChild>
    </w:div>
    <w:div w:id="423036569">
      <w:bodyDiv w:val="1"/>
      <w:marLeft w:val="0"/>
      <w:marRight w:val="0"/>
      <w:marTop w:val="0"/>
      <w:marBottom w:val="0"/>
      <w:divBdr>
        <w:top w:val="none" w:sz="0" w:space="0" w:color="auto"/>
        <w:left w:val="none" w:sz="0" w:space="0" w:color="auto"/>
        <w:bottom w:val="none" w:sz="0" w:space="0" w:color="auto"/>
        <w:right w:val="none" w:sz="0" w:space="0" w:color="auto"/>
      </w:divBdr>
    </w:div>
    <w:div w:id="425612536">
      <w:bodyDiv w:val="1"/>
      <w:marLeft w:val="0"/>
      <w:marRight w:val="0"/>
      <w:marTop w:val="0"/>
      <w:marBottom w:val="0"/>
      <w:divBdr>
        <w:top w:val="none" w:sz="0" w:space="0" w:color="auto"/>
        <w:left w:val="none" w:sz="0" w:space="0" w:color="auto"/>
        <w:bottom w:val="none" w:sz="0" w:space="0" w:color="auto"/>
        <w:right w:val="none" w:sz="0" w:space="0" w:color="auto"/>
      </w:divBdr>
      <w:divsChild>
        <w:div w:id="951981608">
          <w:marLeft w:val="0"/>
          <w:marRight w:val="0"/>
          <w:marTop w:val="0"/>
          <w:marBottom w:val="0"/>
          <w:divBdr>
            <w:top w:val="none" w:sz="0" w:space="0" w:color="auto"/>
            <w:left w:val="none" w:sz="0" w:space="0" w:color="auto"/>
            <w:bottom w:val="none" w:sz="0" w:space="0" w:color="auto"/>
            <w:right w:val="none" w:sz="0" w:space="0" w:color="auto"/>
          </w:divBdr>
          <w:divsChild>
            <w:div w:id="1544440922">
              <w:marLeft w:val="0"/>
              <w:marRight w:val="0"/>
              <w:marTop w:val="0"/>
              <w:marBottom w:val="0"/>
              <w:divBdr>
                <w:top w:val="none" w:sz="0" w:space="0" w:color="auto"/>
                <w:left w:val="none" w:sz="0" w:space="0" w:color="auto"/>
                <w:bottom w:val="none" w:sz="0" w:space="0" w:color="auto"/>
                <w:right w:val="none" w:sz="0" w:space="0" w:color="auto"/>
              </w:divBdr>
              <w:divsChild>
                <w:div w:id="145436824">
                  <w:marLeft w:val="0"/>
                  <w:marRight w:val="0"/>
                  <w:marTop w:val="0"/>
                  <w:marBottom w:val="0"/>
                  <w:divBdr>
                    <w:top w:val="none" w:sz="0" w:space="0" w:color="auto"/>
                    <w:left w:val="none" w:sz="0" w:space="0" w:color="auto"/>
                    <w:bottom w:val="none" w:sz="0" w:space="0" w:color="auto"/>
                    <w:right w:val="none" w:sz="0" w:space="0" w:color="auto"/>
                  </w:divBdr>
                  <w:divsChild>
                    <w:div w:id="1497186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2438778">
      <w:bodyDiv w:val="1"/>
      <w:marLeft w:val="0"/>
      <w:marRight w:val="0"/>
      <w:marTop w:val="0"/>
      <w:marBottom w:val="0"/>
      <w:divBdr>
        <w:top w:val="none" w:sz="0" w:space="0" w:color="auto"/>
        <w:left w:val="none" w:sz="0" w:space="0" w:color="auto"/>
        <w:bottom w:val="none" w:sz="0" w:space="0" w:color="auto"/>
        <w:right w:val="none" w:sz="0" w:space="0" w:color="auto"/>
      </w:divBdr>
    </w:div>
    <w:div w:id="454638976">
      <w:bodyDiv w:val="1"/>
      <w:marLeft w:val="0"/>
      <w:marRight w:val="0"/>
      <w:marTop w:val="0"/>
      <w:marBottom w:val="0"/>
      <w:divBdr>
        <w:top w:val="none" w:sz="0" w:space="0" w:color="auto"/>
        <w:left w:val="none" w:sz="0" w:space="0" w:color="auto"/>
        <w:bottom w:val="none" w:sz="0" w:space="0" w:color="auto"/>
        <w:right w:val="none" w:sz="0" w:space="0" w:color="auto"/>
      </w:divBdr>
    </w:div>
    <w:div w:id="457914330">
      <w:bodyDiv w:val="1"/>
      <w:marLeft w:val="0"/>
      <w:marRight w:val="0"/>
      <w:marTop w:val="0"/>
      <w:marBottom w:val="0"/>
      <w:divBdr>
        <w:top w:val="none" w:sz="0" w:space="0" w:color="auto"/>
        <w:left w:val="none" w:sz="0" w:space="0" w:color="auto"/>
        <w:bottom w:val="none" w:sz="0" w:space="0" w:color="auto"/>
        <w:right w:val="none" w:sz="0" w:space="0" w:color="auto"/>
      </w:divBdr>
    </w:div>
    <w:div w:id="464936312">
      <w:bodyDiv w:val="1"/>
      <w:marLeft w:val="0"/>
      <w:marRight w:val="0"/>
      <w:marTop w:val="0"/>
      <w:marBottom w:val="0"/>
      <w:divBdr>
        <w:top w:val="none" w:sz="0" w:space="0" w:color="auto"/>
        <w:left w:val="none" w:sz="0" w:space="0" w:color="auto"/>
        <w:bottom w:val="none" w:sz="0" w:space="0" w:color="auto"/>
        <w:right w:val="none" w:sz="0" w:space="0" w:color="auto"/>
      </w:divBdr>
    </w:div>
    <w:div w:id="483086106">
      <w:bodyDiv w:val="1"/>
      <w:marLeft w:val="0"/>
      <w:marRight w:val="0"/>
      <w:marTop w:val="0"/>
      <w:marBottom w:val="0"/>
      <w:divBdr>
        <w:top w:val="none" w:sz="0" w:space="0" w:color="auto"/>
        <w:left w:val="none" w:sz="0" w:space="0" w:color="auto"/>
        <w:bottom w:val="none" w:sz="0" w:space="0" w:color="auto"/>
        <w:right w:val="none" w:sz="0" w:space="0" w:color="auto"/>
      </w:divBdr>
      <w:divsChild>
        <w:div w:id="1460033529">
          <w:marLeft w:val="0"/>
          <w:marRight w:val="0"/>
          <w:marTop w:val="0"/>
          <w:marBottom w:val="0"/>
          <w:divBdr>
            <w:top w:val="none" w:sz="0" w:space="0" w:color="auto"/>
            <w:left w:val="none" w:sz="0" w:space="0" w:color="auto"/>
            <w:bottom w:val="none" w:sz="0" w:space="0" w:color="auto"/>
            <w:right w:val="none" w:sz="0" w:space="0" w:color="auto"/>
          </w:divBdr>
        </w:div>
      </w:divsChild>
    </w:div>
    <w:div w:id="484780682">
      <w:bodyDiv w:val="1"/>
      <w:marLeft w:val="0"/>
      <w:marRight w:val="0"/>
      <w:marTop w:val="0"/>
      <w:marBottom w:val="0"/>
      <w:divBdr>
        <w:top w:val="none" w:sz="0" w:space="0" w:color="auto"/>
        <w:left w:val="none" w:sz="0" w:space="0" w:color="auto"/>
        <w:bottom w:val="none" w:sz="0" w:space="0" w:color="auto"/>
        <w:right w:val="none" w:sz="0" w:space="0" w:color="auto"/>
      </w:divBdr>
    </w:div>
    <w:div w:id="487943248">
      <w:bodyDiv w:val="1"/>
      <w:marLeft w:val="0"/>
      <w:marRight w:val="0"/>
      <w:marTop w:val="0"/>
      <w:marBottom w:val="0"/>
      <w:divBdr>
        <w:top w:val="none" w:sz="0" w:space="0" w:color="auto"/>
        <w:left w:val="none" w:sz="0" w:space="0" w:color="auto"/>
        <w:bottom w:val="none" w:sz="0" w:space="0" w:color="auto"/>
        <w:right w:val="none" w:sz="0" w:space="0" w:color="auto"/>
      </w:divBdr>
      <w:divsChild>
        <w:div w:id="1707023211">
          <w:marLeft w:val="0"/>
          <w:marRight w:val="0"/>
          <w:marTop w:val="0"/>
          <w:marBottom w:val="90"/>
          <w:divBdr>
            <w:top w:val="none" w:sz="0" w:space="0" w:color="auto"/>
            <w:left w:val="none" w:sz="0" w:space="0" w:color="auto"/>
            <w:bottom w:val="none" w:sz="0" w:space="0" w:color="auto"/>
            <w:right w:val="none" w:sz="0" w:space="0" w:color="auto"/>
          </w:divBdr>
          <w:divsChild>
            <w:div w:id="535235170">
              <w:marLeft w:val="0"/>
              <w:marRight w:val="0"/>
              <w:marTop w:val="0"/>
              <w:marBottom w:val="0"/>
              <w:divBdr>
                <w:top w:val="none" w:sz="0" w:space="0" w:color="auto"/>
                <w:left w:val="none" w:sz="0" w:space="0" w:color="auto"/>
                <w:bottom w:val="none" w:sz="0" w:space="0" w:color="auto"/>
                <w:right w:val="none" w:sz="0" w:space="0" w:color="auto"/>
              </w:divBdr>
            </w:div>
          </w:divsChild>
        </w:div>
        <w:div w:id="1856533490">
          <w:marLeft w:val="0"/>
          <w:marRight w:val="0"/>
          <w:marTop w:val="0"/>
          <w:marBottom w:val="90"/>
          <w:divBdr>
            <w:top w:val="none" w:sz="0" w:space="0" w:color="auto"/>
            <w:left w:val="none" w:sz="0" w:space="0" w:color="auto"/>
            <w:bottom w:val="none" w:sz="0" w:space="0" w:color="auto"/>
            <w:right w:val="none" w:sz="0" w:space="0" w:color="auto"/>
          </w:divBdr>
        </w:div>
        <w:div w:id="1101610942">
          <w:marLeft w:val="0"/>
          <w:marRight w:val="0"/>
          <w:marTop w:val="0"/>
          <w:marBottom w:val="90"/>
          <w:divBdr>
            <w:top w:val="none" w:sz="0" w:space="0" w:color="auto"/>
            <w:left w:val="none" w:sz="0" w:space="0" w:color="auto"/>
            <w:bottom w:val="none" w:sz="0" w:space="0" w:color="auto"/>
            <w:right w:val="none" w:sz="0" w:space="0" w:color="auto"/>
          </w:divBdr>
          <w:divsChild>
            <w:div w:id="1023937805">
              <w:marLeft w:val="0"/>
              <w:marRight w:val="0"/>
              <w:marTop w:val="0"/>
              <w:marBottom w:val="0"/>
              <w:divBdr>
                <w:top w:val="none" w:sz="0" w:space="0" w:color="auto"/>
                <w:left w:val="none" w:sz="0" w:space="0" w:color="auto"/>
                <w:bottom w:val="none" w:sz="0" w:space="0" w:color="auto"/>
                <w:right w:val="none" w:sz="0" w:space="0" w:color="auto"/>
              </w:divBdr>
            </w:div>
          </w:divsChild>
        </w:div>
        <w:div w:id="766656464">
          <w:marLeft w:val="0"/>
          <w:marRight w:val="0"/>
          <w:marTop w:val="0"/>
          <w:marBottom w:val="0"/>
          <w:divBdr>
            <w:top w:val="none" w:sz="0" w:space="0" w:color="auto"/>
            <w:left w:val="none" w:sz="0" w:space="0" w:color="auto"/>
            <w:bottom w:val="none" w:sz="0" w:space="0" w:color="auto"/>
            <w:right w:val="none" w:sz="0" w:space="0" w:color="auto"/>
          </w:divBdr>
          <w:divsChild>
            <w:div w:id="19737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2348">
      <w:bodyDiv w:val="1"/>
      <w:marLeft w:val="0"/>
      <w:marRight w:val="0"/>
      <w:marTop w:val="0"/>
      <w:marBottom w:val="0"/>
      <w:divBdr>
        <w:top w:val="none" w:sz="0" w:space="0" w:color="auto"/>
        <w:left w:val="none" w:sz="0" w:space="0" w:color="auto"/>
        <w:bottom w:val="none" w:sz="0" w:space="0" w:color="auto"/>
        <w:right w:val="none" w:sz="0" w:space="0" w:color="auto"/>
      </w:divBdr>
    </w:div>
    <w:div w:id="502013689">
      <w:bodyDiv w:val="1"/>
      <w:marLeft w:val="0"/>
      <w:marRight w:val="0"/>
      <w:marTop w:val="0"/>
      <w:marBottom w:val="0"/>
      <w:divBdr>
        <w:top w:val="none" w:sz="0" w:space="0" w:color="auto"/>
        <w:left w:val="none" w:sz="0" w:space="0" w:color="auto"/>
        <w:bottom w:val="none" w:sz="0" w:space="0" w:color="auto"/>
        <w:right w:val="none" w:sz="0" w:space="0" w:color="auto"/>
      </w:divBdr>
    </w:div>
    <w:div w:id="502748649">
      <w:bodyDiv w:val="1"/>
      <w:marLeft w:val="0"/>
      <w:marRight w:val="0"/>
      <w:marTop w:val="0"/>
      <w:marBottom w:val="0"/>
      <w:divBdr>
        <w:top w:val="none" w:sz="0" w:space="0" w:color="auto"/>
        <w:left w:val="none" w:sz="0" w:space="0" w:color="auto"/>
        <w:bottom w:val="none" w:sz="0" w:space="0" w:color="auto"/>
        <w:right w:val="none" w:sz="0" w:space="0" w:color="auto"/>
      </w:divBdr>
    </w:div>
    <w:div w:id="513541091">
      <w:bodyDiv w:val="1"/>
      <w:marLeft w:val="0"/>
      <w:marRight w:val="0"/>
      <w:marTop w:val="0"/>
      <w:marBottom w:val="0"/>
      <w:divBdr>
        <w:top w:val="none" w:sz="0" w:space="0" w:color="auto"/>
        <w:left w:val="none" w:sz="0" w:space="0" w:color="auto"/>
        <w:bottom w:val="none" w:sz="0" w:space="0" w:color="auto"/>
        <w:right w:val="none" w:sz="0" w:space="0" w:color="auto"/>
      </w:divBdr>
    </w:div>
    <w:div w:id="515732772">
      <w:bodyDiv w:val="1"/>
      <w:marLeft w:val="0"/>
      <w:marRight w:val="0"/>
      <w:marTop w:val="0"/>
      <w:marBottom w:val="0"/>
      <w:divBdr>
        <w:top w:val="none" w:sz="0" w:space="0" w:color="auto"/>
        <w:left w:val="none" w:sz="0" w:space="0" w:color="auto"/>
        <w:bottom w:val="none" w:sz="0" w:space="0" w:color="auto"/>
        <w:right w:val="none" w:sz="0" w:space="0" w:color="auto"/>
      </w:divBdr>
      <w:divsChild>
        <w:div w:id="1840534511">
          <w:marLeft w:val="0"/>
          <w:marRight w:val="0"/>
          <w:marTop w:val="0"/>
          <w:marBottom w:val="0"/>
          <w:divBdr>
            <w:top w:val="none" w:sz="0" w:space="0" w:color="auto"/>
            <w:left w:val="none" w:sz="0" w:space="0" w:color="auto"/>
            <w:bottom w:val="none" w:sz="0" w:space="0" w:color="auto"/>
            <w:right w:val="none" w:sz="0" w:space="0" w:color="auto"/>
          </w:divBdr>
          <w:divsChild>
            <w:div w:id="517740575">
              <w:marLeft w:val="0"/>
              <w:marRight w:val="0"/>
              <w:marTop w:val="0"/>
              <w:marBottom w:val="0"/>
              <w:divBdr>
                <w:top w:val="none" w:sz="0" w:space="0" w:color="auto"/>
                <w:left w:val="none" w:sz="0" w:space="0" w:color="auto"/>
                <w:bottom w:val="none" w:sz="0" w:space="0" w:color="auto"/>
                <w:right w:val="none" w:sz="0" w:space="0" w:color="auto"/>
              </w:divBdr>
              <w:divsChild>
                <w:div w:id="277416581">
                  <w:marLeft w:val="0"/>
                  <w:marRight w:val="0"/>
                  <w:marTop w:val="0"/>
                  <w:marBottom w:val="0"/>
                  <w:divBdr>
                    <w:top w:val="none" w:sz="0" w:space="0" w:color="auto"/>
                    <w:left w:val="none" w:sz="0" w:space="0" w:color="auto"/>
                    <w:bottom w:val="none" w:sz="0" w:space="0" w:color="auto"/>
                    <w:right w:val="none" w:sz="0" w:space="0" w:color="auto"/>
                  </w:divBdr>
                  <w:divsChild>
                    <w:div w:id="7374430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20821945">
      <w:bodyDiv w:val="1"/>
      <w:marLeft w:val="0"/>
      <w:marRight w:val="0"/>
      <w:marTop w:val="0"/>
      <w:marBottom w:val="0"/>
      <w:divBdr>
        <w:top w:val="none" w:sz="0" w:space="0" w:color="auto"/>
        <w:left w:val="none" w:sz="0" w:space="0" w:color="auto"/>
        <w:bottom w:val="none" w:sz="0" w:space="0" w:color="auto"/>
        <w:right w:val="none" w:sz="0" w:space="0" w:color="auto"/>
      </w:divBdr>
      <w:divsChild>
        <w:div w:id="23501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6502">
      <w:bodyDiv w:val="1"/>
      <w:marLeft w:val="0"/>
      <w:marRight w:val="0"/>
      <w:marTop w:val="0"/>
      <w:marBottom w:val="0"/>
      <w:divBdr>
        <w:top w:val="none" w:sz="0" w:space="0" w:color="auto"/>
        <w:left w:val="none" w:sz="0" w:space="0" w:color="auto"/>
        <w:bottom w:val="none" w:sz="0" w:space="0" w:color="auto"/>
        <w:right w:val="none" w:sz="0" w:space="0" w:color="auto"/>
      </w:divBdr>
    </w:div>
    <w:div w:id="566838909">
      <w:bodyDiv w:val="1"/>
      <w:marLeft w:val="0"/>
      <w:marRight w:val="0"/>
      <w:marTop w:val="0"/>
      <w:marBottom w:val="0"/>
      <w:divBdr>
        <w:top w:val="none" w:sz="0" w:space="0" w:color="auto"/>
        <w:left w:val="none" w:sz="0" w:space="0" w:color="auto"/>
        <w:bottom w:val="none" w:sz="0" w:space="0" w:color="auto"/>
        <w:right w:val="none" w:sz="0" w:space="0" w:color="auto"/>
      </w:divBdr>
    </w:div>
    <w:div w:id="600721156">
      <w:bodyDiv w:val="1"/>
      <w:marLeft w:val="0"/>
      <w:marRight w:val="0"/>
      <w:marTop w:val="0"/>
      <w:marBottom w:val="0"/>
      <w:divBdr>
        <w:top w:val="none" w:sz="0" w:space="0" w:color="auto"/>
        <w:left w:val="none" w:sz="0" w:space="0" w:color="auto"/>
        <w:bottom w:val="none" w:sz="0" w:space="0" w:color="auto"/>
        <w:right w:val="none" w:sz="0" w:space="0" w:color="auto"/>
      </w:divBdr>
    </w:div>
    <w:div w:id="615142706">
      <w:bodyDiv w:val="1"/>
      <w:marLeft w:val="0"/>
      <w:marRight w:val="0"/>
      <w:marTop w:val="0"/>
      <w:marBottom w:val="0"/>
      <w:divBdr>
        <w:top w:val="none" w:sz="0" w:space="0" w:color="auto"/>
        <w:left w:val="none" w:sz="0" w:space="0" w:color="auto"/>
        <w:bottom w:val="none" w:sz="0" w:space="0" w:color="auto"/>
        <w:right w:val="none" w:sz="0" w:space="0" w:color="auto"/>
      </w:divBdr>
      <w:divsChild>
        <w:div w:id="1255631762">
          <w:marLeft w:val="0"/>
          <w:marRight w:val="240"/>
          <w:marTop w:val="0"/>
          <w:marBottom w:val="0"/>
          <w:divBdr>
            <w:top w:val="none" w:sz="0" w:space="0" w:color="auto"/>
            <w:left w:val="none" w:sz="0" w:space="0" w:color="auto"/>
            <w:bottom w:val="none" w:sz="0" w:space="0" w:color="auto"/>
            <w:right w:val="none" w:sz="0" w:space="0" w:color="auto"/>
          </w:divBdr>
          <w:divsChild>
            <w:div w:id="1483155284">
              <w:marLeft w:val="0"/>
              <w:marRight w:val="0"/>
              <w:marTop w:val="0"/>
              <w:marBottom w:val="0"/>
              <w:divBdr>
                <w:top w:val="none" w:sz="0" w:space="0" w:color="auto"/>
                <w:left w:val="none" w:sz="0" w:space="0" w:color="auto"/>
                <w:bottom w:val="none" w:sz="0" w:space="0" w:color="auto"/>
                <w:right w:val="none" w:sz="0" w:space="0" w:color="auto"/>
              </w:divBdr>
              <w:divsChild>
                <w:div w:id="368341759">
                  <w:marLeft w:val="0"/>
                  <w:marRight w:val="0"/>
                  <w:marTop w:val="0"/>
                  <w:marBottom w:val="0"/>
                  <w:divBdr>
                    <w:top w:val="none" w:sz="0" w:space="0" w:color="auto"/>
                    <w:left w:val="none" w:sz="0" w:space="0" w:color="auto"/>
                    <w:bottom w:val="none" w:sz="0" w:space="0" w:color="auto"/>
                    <w:right w:val="none" w:sz="0" w:space="0" w:color="auto"/>
                  </w:divBdr>
                  <w:divsChild>
                    <w:div w:id="1310400314">
                      <w:marLeft w:val="0"/>
                      <w:marRight w:val="0"/>
                      <w:marTop w:val="0"/>
                      <w:marBottom w:val="0"/>
                      <w:divBdr>
                        <w:top w:val="none" w:sz="0" w:space="0" w:color="auto"/>
                        <w:left w:val="none" w:sz="0" w:space="0" w:color="auto"/>
                        <w:bottom w:val="none" w:sz="0" w:space="0" w:color="auto"/>
                        <w:right w:val="none" w:sz="0" w:space="0" w:color="auto"/>
                      </w:divBdr>
                      <w:divsChild>
                        <w:div w:id="1665930684">
                          <w:marLeft w:val="0"/>
                          <w:marRight w:val="0"/>
                          <w:marTop w:val="0"/>
                          <w:marBottom w:val="0"/>
                          <w:divBdr>
                            <w:top w:val="none" w:sz="0" w:space="0" w:color="auto"/>
                            <w:left w:val="none" w:sz="0" w:space="0" w:color="auto"/>
                            <w:bottom w:val="none" w:sz="0" w:space="0" w:color="auto"/>
                            <w:right w:val="none" w:sz="0" w:space="0" w:color="auto"/>
                          </w:divBdr>
                          <w:divsChild>
                            <w:div w:id="592514171">
                              <w:marLeft w:val="0"/>
                              <w:marRight w:val="0"/>
                              <w:marTop w:val="0"/>
                              <w:marBottom w:val="0"/>
                              <w:divBdr>
                                <w:top w:val="none" w:sz="0" w:space="0" w:color="auto"/>
                                <w:left w:val="none" w:sz="0" w:space="0" w:color="auto"/>
                                <w:bottom w:val="none" w:sz="0" w:space="0" w:color="auto"/>
                                <w:right w:val="none" w:sz="0" w:space="0" w:color="auto"/>
                              </w:divBdr>
                              <w:divsChild>
                                <w:div w:id="5374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0440">
      <w:bodyDiv w:val="1"/>
      <w:marLeft w:val="0"/>
      <w:marRight w:val="0"/>
      <w:marTop w:val="0"/>
      <w:marBottom w:val="0"/>
      <w:divBdr>
        <w:top w:val="none" w:sz="0" w:space="0" w:color="auto"/>
        <w:left w:val="none" w:sz="0" w:space="0" w:color="auto"/>
        <w:bottom w:val="none" w:sz="0" w:space="0" w:color="auto"/>
        <w:right w:val="none" w:sz="0" w:space="0" w:color="auto"/>
      </w:divBdr>
    </w:div>
    <w:div w:id="653338477">
      <w:bodyDiv w:val="1"/>
      <w:marLeft w:val="0"/>
      <w:marRight w:val="0"/>
      <w:marTop w:val="0"/>
      <w:marBottom w:val="0"/>
      <w:divBdr>
        <w:top w:val="none" w:sz="0" w:space="0" w:color="auto"/>
        <w:left w:val="none" w:sz="0" w:space="0" w:color="auto"/>
        <w:bottom w:val="none" w:sz="0" w:space="0" w:color="auto"/>
        <w:right w:val="none" w:sz="0" w:space="0" w:color="auto"/>
      </w:divBdr>
    </w:div>
    <w:div w:id="668675706">
      <w:bodyDiv w:val="1"/>
      <w:marLeft w:val="0"/>
      <w:marRight w:val="0"/>
      <w:marTop w:val="0"/>
      <w:marBottom w:val="0"/>
      <w:divBdr>
        <w:top w:val="none" w:sz="0" w:space="0" w:color="auto"/>
        <w:left w:val="none" w:sz="0" w:space="0" w:color="auto"/>
        <w:bottom w:val="none" w:sz="0" w:space="0" w:color="auto"/>
        <w:right w:val="none" w:sz="0" w:space="0" w:color="auto"/>
      </w:divBdr>
    </w:div>
    <w:div w:id="672227193">
      <w:bodyDiv w:val="1"/>
      <w:marLeft w:val="0"/>
      <w:marRight w:val="0"/>
      <w:marTop w:val="0"/>
      <w:marBottom w:val="0"/>
      <w:divBdr>
        <w:top w:val="none" w:sz="0" w:space="0" w:color="auto"/>
        <w:left w:val="none" w:sz="0" w:space="0" w:color="auto"/>
        <w:bottom w:val="none" w:sz="0" w:space="0" w:color="auto"/>
        <w:right w:val="none" w:sz="0" w:space="0" w:color="auto"/>
      </w:divBdr>
    </w:div>
    <w:div w:id="672686027">
      <w:bodyDiv w:val="1"/>
      <w:marLeft w:val="0"/>
      <w:marRight w:val="0"/>
      <w:marTop w:val="0"/>
      <w:marBottom w:val="0"/>
      <w:divBdr>
        <w:top w:val="none" w:sz="0" w:space="0" w:color="auto"/>
        <w:left w:val="none" w:sz="0" w:space="0" w:color="auto"/>
        <w:bottom w:val="none" w:sz="0" w:space="0" w:color="auto"/>
        <w:right w:val="none" w:sz="0" w:space="0" w:color="auto"/>
      </w:divBdr>
    </w:div>
    <w:div w:id="681904444">
      <w:bodyDiv w:val="1"/>
      <w:marLeft w:val="0"/>
      <w:marRight w:val="0"/>
      <w:marTop w:val="0"/>
      <w:marBottom w:val="0"/>
      <w:divBdr>
        <w:top w:val="none" w:sz="0" w:space="0" w:color="auto"/>
        <w:left w:val="none" w:sz="0" w:space="0" w:color="auto"/>
        <w:bottom w:val="none" w:sz="0" w:space="0" w:color="auto"/>
        <w:right w:val="none" w:sz="0" w:space="0" w:color="auto"/>
      </w:divBdr>
    </w:div>
    <w:div w:id="692071281">
      <w:bodyDiv w:val="1"/>
      <w:marLeft w:val="0"/>
      <w:marRight w:val="0"/>
      <w:marTop w:val="0"/>
      <w:marBottom w:val="0"/>
      <w:divBdr>
        <w:top w:val="none" w:sz="0" w:space="0" w:color="auto"/>
        <w:left w:val="none" w:sz="0" w:space="0" w:color="auto"/>
        <w:bottom w:val="none" w:sz="0" w:space="0" w:color="auto"/>
        <w:right w:val="none" w:sz="0" w:space="0" w:color="auto"/>
      </w:divBdr>
    </w:div>
    <w:div w:id="723716934">
      <w:bodyDiv w:val="1"/>
      <w:marLeft w:val="0"/>
      <w:marRight w:val="0"/>
      <w:marTop w:val="0"/>
      <w:marBottom w:val="0"/>
      <w:divBdr>
        <w:top w:val="none" w:sz="0" w:space="0" w:color="auto"/>
        <w:left w:val="none" w:sz="0" w:space="0" w:color="auto"/>
        <w:bottom w:val="none" w:sz="0" w:space="0" w:color="auto"/>
        <w:right w:val="none" w:sz="0" w:space="0" w:color="auto"/>
      </w:divBdr>
      <w:divsChild>
        <w:div w:id="1408305000">
          <w:marLeft w:val="0"/>
          <w:marRight w:val="0"/>
          <w:marTop w:val="0"/>
          <w:marBottom w:val="0"/>
          <w:divBdr>
            <w:top w:val="none" w:sz="0" w:space="0" w:color="auto"/>
            <w:left w:val="none" w:sz="0" w:space="0" w:color="auto"/>
            <w:bottom w:val="none" w:sz="0" w:space="0" w:color="auto"/>
            <w:right w:val="none" w:sz="0" w:space="0" w:color="auto"/>
          </w:divBdr>
          <w:divsChild>
            <w:div w:id="845707865">
              <w:marLeft w:val="0"/>
              <w:marRight w:val="0"/>
              <w:marTop w:val="0"/>
              <w:marBottom w:val="0"/>
              <w:divBdr>
                <w:top w:val="none" w:sz="0" w:space="0" w:color="auto"/>
                <w:left w:val="none" w:sz="0" w:space="0" w:color="auto"/>
                <w:bottom w:val="none" w:sz="0" w:space="0" w:color="auto"/>
                <w:right w:val="none" w:sz="0" w:space="0" w:color="auto"/>
              </w:divBdr>
              <w:divsChild>
                <w:div w:id="111092853">
                  <w:marLeft w:val="0"/>
                  <w:marRight w:val="0"/>
                  <w:marTop w:val="0"/>
                  <w:marBottom w:val="0"/>
                  <w:divBdr>
                    <w:top w:val="none" w:sz="0" w:space="0" w:color="auto"/>
                    <w:left w:val="none" w:sz="0" w:space="0" w:color="auto"/>
                    <w:bottom w:val="none" w:sz="0" w:space="0" w:color="auto"/>
                    <w:right w:val="none" w:sz="0" w:space="0" w:color="auto"/>
                  </w:divBdr>
                  <w:divsChild>
                    <w:div w:id="475218398">
                      <w:marLeft w:val="0"/>
                      <w:marRight w:val="0"/>
                      <w:marTop w:val="0"/>
                      <w:marBottom w:val="0"/>
                      <w:divBdr>
                        <w:top w:val="none" w:sz="0" w:space="0" w:color="auto"/>
                        <w:left w:val="none" w:sz="0" w:space="0" w:color="auto"/>
                        <w:bottom w:val="none" w:sz="0" w:space="0" w:color="auto"/>
                        <w:right w:val="none" w:sz="0" w:space="0" w:color="auto"/>
                      </w:divBdr>
                      <w:divsChild>
                        <w:div w:id="1189830069">
                          <w:marLeft w:val="0"/>
                          <w:marRight w:val="0"/>
                          <w:marTop w:val="0"/>
                          <w:marBottom w:val="0"/>
                          <w:divBdr>
                            <w:top w:val="none" w:sz="0" w:space="0" w:color="auto"/>
                            <w:left w:val="none" w:sz="0" w:space="0" w:color="auto"/>
                            <w:bottom w:val="none" w:sz="0" w:space="0" w:color="auto"/>
                            <w:right w:val="none" w:sz="0" w:space="0" w:color="auto"/>
                          </w:divBdr>
                        </w:div>
                        <w:div w:id="1168246822">
                          <w:marLeft w:val="0"/>
                          <w:marRight w:val="0"/>
                          <w:marTop w:val="0"/>
                          <w:marBottom w:val="0"/>
                          <w:divBdr>
                            <w:top w:val="none" w:sz="0" w:space="0" w:color="auto"/>
                            <w:left w:val="none" w:sz="0" w:space="0" w:color="auto"/>
                            <w:bottom w:val="none" w:sz="0" w:space="0" w:color="auto"/>
                            <w:right w:val="none" w:sz="0" w:space="0" w:color="auto"/>
                          </w:divBdr>
                          <w:divsChild>
                            <w:div w:id="5277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441945">
      <w:bodyDiv w:val="1"/>
      <w:marLeft w:val="0"/>
      <w:marRight w:val="0"/>
      <w:marTop w:val="0"/>
      <w:marBottom w:val="0"/>
      <w:divBdr>
        <w:top w:val="none" w:sz="0" w:space="0" w:color="auto"/>
        <w:left w:val="none" w:sz="0" w:space="0" w:color="auto"/>
        <w:bottom w:val="none" w:sz="0" w:space="0" w:color="auto"/>
        <w:right w:val="none" w:sz="0" w:space="0" w:color="auto"/>
      </w:divBdr>
    </w:div>
    <w:div w:id="770931146">
      <w:bodyDiv w:val="1"/>
      <w:marLeft w:val="0"/>
      <w:marRight w:val="0"/>
      <w:marTop w:val="0"/>
      <w:marBottom w:val="0"/>
      <w:divBdr>
        <w:top w:val="none" w:sz="0" w:space="0" w:color="auto"/>
        <w:left w:val="none" w:sz="0" w:space="0" w:color="auto"/>
        <w:bottom w:val="none" w:sz="0" w:space="0" w:color="auto"/>
        <w:right w:val="none" w:sz="0" w:space="0" w:color="auto"/>
      </w:divBdr>
      <w:divsChild>
        <w:div w:id="167793399">
          <w:marLeft w:val="0"/>
          <w:marRight w:val="0"/>
          <w:marTop w:val="0"/>
          <w:marBottom w:val="0"/>
          <w:divBdr>
            <w:top w:val="none" w:sz="0" w:space="0" w:color="auto"/>
            <w:left w:val="none" w:sz="0" w:space="0" w:color="auto"/>
            <w:bottom w:val="none" w:sz="0" w:space="0" w:color="auto"/>
            <w:right w:val="none" w:sz="0" w:space="0" w:color="auto"/>
          </w:divBdr>
        </w:div>
        <w:div w:id="187529324">
          <w:marLeft w:val="0"/>
          <w:marRight w:val="0"/>
          <w:marTop w:val="0"/>
          <w:marBottom w:val="0"/>
          <w:divBdr>
            <w:top w:val="none" w:sz="0" w:space="0" w:color="auto"/>
            <w:left w:val="none" w:sz="0" w:space="0" w:color="auto"/>
            <w:bottom w:val="none" w:sz="0" w:space="0" w:color="auto"/>
            <w:right w:val="none" w:sz="0" w:space="0" w:color="auto"/>
          </w:divBdr>
          <w:divsChild>
            <w:div w:id="1900096529">
              <w:marLeft w:val="0"/>
              <w:marRight w:val="0"/>
              <w:marTop w:val="0"/>
              <w:marBottom w:val="0"/>
              <w:divBdr>
                <w:top w:val="none" w:sz="0" w:space="0" w:color="auto"/>
                <w:left w:val="none" w:sz="0" w:space="0" w:color="auto"/>
                <w:bottom w:val="none" w:sz="0" w:space="0" w:color="auto"/>
                <w:right w:val="none" w:sz="0" w:space="0" w:color="auto"/>
              </w:divBdr>
            </w:div>
            <w:div w:id="638730708">
              <w:marLeft w:val="0"/>
              <w:marRight w:val="0"/>
              <w:marTop w:val="0"/>
              <w:marBottom w:val="0"/>
              <w:divBdr>
                <w:top w:val="none" w:sz="0" w:space="0" w:color="auto"/>
                <w:left w:val="none" w:sz="0" w:space="0" w:color="auto"/>
                <w:bottom w:val="none" w:sz="0" w:space="0" w:color="auto"/>
                <w:right w:val="none" w:sz="0" w:space="0" w:color="auto"/>
              </w:divBdr>
            </w:div>
          </w:divsChild>
        </w:div>
        <w:div w:id="2052413394">
          <w:marLeft w:val="0"/>
          <w:marRight w:val="0"/>
          <w:marTop w:val="0"/>
          <w:marBottom w:val="0"/>
          <w:divBdr>
            <w:top w:val="none" w:sz="0" w:space="0" w:color="auto"/>
            <w:left w:val="none" w:sz="0" w:space="0" w:color="auto"/>
            <w:bottom w:val="none" w:sz="0" w:space="0" w:color="auto"/>
            <w:right w:val="none" w:sz="0" w:space="0" w:color="auto"/>
          </w:divBdr>
        </w:div>
        <w:div w:id="662470327">
          <w:marLeft w:val="0"/>
          <w:marRight w:val="0"/>
          <w:marTop w:val="0"/>
          <w:marBottom w:val="0"/>
          <w:divBdr>
            <w:top w:val="none" w:sz="0" w:space="0" w:color="auto"/>
            <w:left w:val="none" w:sz="0" w:space="0" w:color="auto"/>
            <w:bottom w:val="none" w:sz="0" w:space="0" w:color="auto"/>
            <w:right w:val="none" w:sz="0" w:space="0" w:color="auto"/>
          </w:divBdr>
        </w:div>
        <w:div w:id="1707558281">
          <w:marLeft w:val="0"/>
          <w:marRight w:val="0"/>
          <w:marTop w:val="0"/>
          <w:marBottom w:val="0"/>
          <w:divBdr>
            <w:top w:val="none" w:sz="0" w:space="0" w:color="auto"/>
            <w:left w:val="none" w:sz="0" w:space="0" w:color="auto"/>
            <w:bottom w:val="none" w:sz="0" w:space="0" w:color="auto"/>
            <w:right w:val="none" w:sz="0" w:space="0" w:color="auto"/>
          </w:divBdr>
        </w:div>
      </w:divsChild>
    </w:div>
    <w:div w:id="771097037">
      <w:bodyDiv w:val="1"/>
      <w:marLeft w:val="0"/>
      <w:marRight w:val="0"/>
      <w:marTop w:val="0"/>
      <w:marBottom w:val="0"/>
      <w:divBdr>
        <w:top w:val="none" w:sz="0" w:space="0" w:color="auto"/>
        <w:left w:val="none" w:sz="0" w:space="0" w:color="auto"/>
        <w:bottom w:val="none" w:sz="0" w:space="0" w:color="auto"/>
        <w:right w:val="none" w:sz="0" w:space="0" w:color="auto"/>
      </w:divBdr>
    </w:div>
    <w:div w:id="795636052">
      <w:bodyDiv w:val="1"/>
      <w:marLeft w:val="0"/>
      <w:marRight w:val="0"/>
      <w:marTop w:val="0"/>
      <w:marBottom w:val="0"/>
      <w:divBdr>
        <w:top w:val="none" w:sz="0" w:space="0" w:color="auto"/>
        <w:left w:val="none" w:sz="0" w:space="0" w:color="auto"/>
        <w:bottom w:val="none" w:sz="0" w:space="0" w:color="auto"/>
        <w:right w:val="none" w:sz="0" w:space="0" w:color="auto"/>
      </w:divBdr>
    </w:div>
    <w:div w:id="819153414">
      <w:bodyDiv w:val="1"/>
      <w:marLeft w:val="0"/>
      <w:marRight w:val="0"/>
      <w:marTop w:val="0"/>
      <w:marBottom w:val="0"/>
      <w:divBdr>
        <w:top w:val="none" w:sz="0" w:space="0" w:color="auto"/>
        <w:left w:val="none" w:sz="0" w:space="0" w:color="auto"/>
        <w:bottom w:val="none" w:sz="0" w:space="0" w:color="auto"/>
        <w:right w:val="none" w:sz="0" w:space="0" w:color="auto"/>
      </w:divBdr>
    </w:div>
    <w:div w:id="823401276">
      <w:bodyDiv w:val="1"/>
      <w:marLeft w:val="0"/>
      <w:marRight w:val="0"/>
      <w:marTop w:val="0"/>
      <w:marBottom w:val="0"/>
      <w:divBdr>
        <w:top w:val="none" w:sz="0" w:space="0" w:color="auto"/>
        <w:left w:val="none" w:sz="0" w:space="0" w:color="auto"/>
        <w:bottom w:val="none" w:sz="0" w:space="0" w:color="auto"/>
        <w:right w:val="none" w:sz="0" w:space="0" w:color="auto"/>
      </w:divBdr>
    </w:div>
    <w:div w:id="833569988">
      <w:bodyDiv w:val="1"/>
      <w:marLeft w:val="0"/>
      <w:marRight w:val="0"/>
      <w:marTop w:val="0"/>
      <w:marBottom w:val="0"/>
      <w:divBdr>
        <w:top w:val="none" w:sz="0" w:space="0" w:color="auto"/>
        <w:left w:val="none" w:sz="0" w:space="0" w:color="auto"/>
        <w:bottom w:val="none" w:sz="0" w:space="0" w:color="auto"/>
        <w:right w:val="none" w:sz="0" w:space="0" w:color="auto"/>
      </w:divBdr>
    </w:div>
    <w:div w:id="852034930">
      <w:bodyDiv w:val="1"/>
      <w:marLeft w:val="0"/>
      <w:marRight w:val="0"/>
      <w:marTop w:val="0"/>
      <w:marBottom w:val="0"/>
      <w:divBdr>
        <w:top w:val="none" w:sz="0" w:space="0" w:color="auto"/>
        <w:left w:val="none" w:sz="0" w:space="0" w:color="auto"/>
        <w:bottom w:val="none" w:sz="0" w:space="0" w:color="auto"/>
        <w:right w:val="none" w:sz="0" w:space="0" w:color="auto"/>
      </w:divBdr>
    </w:div>
    <w:div w:id="859319764">
      <w:bodyDiv w:val="1"/>
      <w:marLeft w:val="0"/>
      <w:marRight w:val="0"/>
      <w:marTop w:val="0"/>
      <w:marBottom w:val="0"/>
      <w:divBdr>
        <w:top w:val="none" w:sz="0" w:space="0" w:color="auto"/>
        <w:left w:val="none" w:sz="0" w:space="0" w:color="auto"/>
        <w:bottom w:val="none" w:sz="0" w:space="0" w:color="auto"/>
        <w:right w:val="none" w:sz="0" w:space="0" w:color="auto"/>
      </w:divBdr>
    </w:div>
    <w:div w:id="877668064">
      <w:bodyDiv w:val="1"/>
      <w:marLeft w:val="0"/>
      <w:marRight w:val="0"/>
      <w:marTop w:val="0"/>
      <w:marBottom w:val="0"/>
      <w:divBdr>
        <w:top w:val="none" w:sz="0" w:space="0" w:color="auto"/>
        <w:left w:val="none" w:sz="0" w:space="0" w:color="auto"/>
        <w:bottom w:val="none" w:sz="0" w:space="0" w:color="auto"/>
        <w:right w:val="none" w:sz="0" w:space="0" w:color="auto"/>
      </w:divBdr>
      <w:divsChild>
        <w:div w:id="1635257793">
          <w:marLeft w:val="0"/>
          <w:marRight w:val="0"/>
          <w:marTop w:val="0"/>
          <w:marBottom w:val="0"/>
          <w:divBdr>
            <w:top w:val="none" w:sz="0" w:space="0" w:color="auto"/>
            <w:left w:val="none" w:sz="0" w:space="0" w:color="auto"/>
            <w:bottom w:val="none" w:sz="0" w:space="0" w:color="auto"/>
            <w:right w:val="none" w:sz="0" w:space="0" w:color="auto"/>
          </w:divBdr>
          <w:divsChild>
            <w:div w:id="2071223515">
              <w:marLeft w:val="0"/>
              <w:marRight w:val="0"/>
              <w:marTop w:val="0"/>
              <w:marBottom w:val="0"/>
              <w:divBdr>
                <w:top w:val="none" w:sz="0" w:space="0" w:color="auto"/>
                <w:left w:val="none" w:sz="0" w:space="0" w:color="auto"/>
                <w:bottom w:val="none" w:sz="0" w:space="0" w:color="auto"/>
                <w:right w:val="none" w:sz="0" w:space="0" w:color="auto"/>
              </w:divBdr>
              <w:divsChild>
                <w:div w:id="1549105227">
                  <w:marLeft w:val="480"/>
                  <w:marRight w:val="0"/>
                  <w:marTop w:val="0"/>
                  <w:marBottom w:val="0"/>
                  <w:divBdr>
                    <w:top w:val="none" w:sz="0" w:space="0" w:color="auto"/>
                    <w:left w:val="none" w:sz="0" w:space="0" w:color="auto"/>
                    <w:bottom w:val="none" w:sz="0" w:space="0" w:color="auto"/>
                    <w:right w:val="none" w:sz="0" w:space="0" w:color="auto"/>
                  </w:divBdr>
                  <w:divsChild>
                    <w:div w:id="20780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14209">
      <w:bodyDiv w:val="1"/>
      <w:marLeft w:val="0"/>
      <w:marRight w:val="0"/>
      <w:marTop w:val="0"/>
      <w:marBottom w:val="0"/>
      <w:divBdr>
        <w:top w:val="none" w:sz="0" w:space="0" w:color="auto"/>
        <w:left w:val="none" w:sz="0" w:space="0" w:color="auto"/>
        <w:bottom w:val="none" w:sz="0" w:space="0" w:color="auto"/>
        <w:right w:val="none" w:sz="0" w:space="0" w:color="auto"/>
      </w:divBdr>
      <w:divsChild>
        <w:div w:id="1383749443">
          <w:marLeft w:val="0"/>
          <w:marRight w:val="0"/>
          <w:marTop w:val="0"/>
          <w:marBottom w:val="0"/>
          <w:divBdr>
            <w:top w:val="none" w:sz="0" w:space="0" w:color="auto"/>
            <w:left w:val="none" w:sz="0" w:space="0" w:color="auto"/>
            <w:bottom w:val="none" w:sz="0" w:space="0" w:color="auto"/>
            <w:right w:val="none" w:sz="0" w:space="0" w:color="auto"/>
          </w:divBdr>
          <w:divsChild>
            <w:div w:id="391199120">
              <w:marLeft w:val="0"/>
              <w:marRight w:val="0"/>
              <w:marTop w:val="0"/>
              <w:marBottom w:val="0"/>
              <w:divBdr>
                <w:top w:val="none" w:sz="0" w:space="0" w:color="auto"/>
                <w:left w:val="none" w:sz="0" w:space="0" w:color="auto"/>
                <w:bottom w:val="none" w:sz="0" w:space="0" w:color="auto"/>
                <w:right w:val="none" w:sz="0" w:space="0" w:color="auto"/>
              </w:divBdr>
              <w:divsChild>
                <w:div w:id="956253553">
                  <w:marLeft w:val="480"/>
                  <w:marRight w:val="0"/>
                  <w:marTop w:val="0"/>
                  <w:marBottom w:val="0"/>
                  <w:divBdr>
                    <w:top w:val="none" w:sz="0" w:space="0" w:color="auto"/>
                    <w:left w:val="none" w:sz="0" w:space="0" w:color="auto"/>
                    <w:bottom w:val="none" w:sz="0" w:space="0" w:color="auto"/>
                    <w:right w:val="none" w:sz="0" w:space="0" w:color="auto"/>
                  </w:divBdr>
                  <w:divsChild>
                    <w:div w:id="1354574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81790449">
      <w:bodyDiv w:val="1"/>
      <w:marLeft w:val="0"/>
      <w:marRight w:val="0"/>
      <w:marTop w:val="0"/>
      <w:marBottom w:val="0"/>
      <w:divBdr>
        <w:top w:val="none" w:sz="0" w:space="0" w:color="auto"/>
        <w:left w:val="none" w:sz="0" w:space="0" w:color="auto"/>
        <w:bottom w:val="none" w:sz="0" w:space="0" w:color="auto"/>
        <w:right w:val="none" w:sz="0" w:space="0" w:color="auto"/>
      </w:divBdr>
    </w:div>
    <w:div w:id="892931987">
      <w:bodyDiv w:val="1"/>
      <w:marLeft w:val="0"/>
      <w:marRight w:val="0"/>
      <w:marTop w:val="0"/>
      <w:marBottom w:val="0"/>
      <w:divBdr>
        <w:top w:val="none" w:sz="0" w:space="0" w:color="auto"/>
        <w:left w:val="none" w:sz="0" w:space="0" w:color="auto"/>
        <w:bottom w:val="none" w:sz="0" w:space="0" w:color="auto"/>
        <w:right w:val="none" w:sz="0" w:space="0" w:color="auto"/>
      </w:divBdr>
    </w:div>
    <w:div w:id="933436566">
      <w:bodyDiv w:val="1"/>
      <w:marLeft w:val="0"/>
      <w:marRight w:val="0"/>
      <w:marTop w:val="0"/>
      <w:marBottom w:val="0"/>
      <w:divBdr>
        <w:top w:val="none" w:sz="0" w:space="0" w:color="auto"/>
        <w:left w:val="none" w:sz="0" w:space="0" w:color="auto"/>
        <w:bottom w:val="none" w:sz="0" w:space="0" w:color="auto"/>
        <w:right w:val="none" w:sz="0" w:space="0" w:color="auto"/>
      </w:divBdr>
      <w:divsChild>
        <w:div w:id="1732801816">
          <w:marLeft w:val="0"/>
          <w:marRight w:val="0"/>
          <w:marTop w:val="0"/>
          <w:marBottom w:val="0"/>
          <w:divBdr>
            <w:top w:val="none" w:sz="0" w:space="0" w:color="auto"/>
            <w:left w:val="none" w:sz="0" w:space="0" w:color="auto"/>
            <w:bottom w:val="none" w:sz="0" w:space="0" w:color="auto"/>
            <w:right w:val="none" w:sz="0" w:space="0" w:color="auto"/>
          </w:divBdr>
        </w:div>
      </w:divsChild>
    </w:div>
    <w:div w:id="936524970">
      <w:bodyDiv w:val="1"/>
      <w:marLeft w:val="0"/>
      <w:marRight w:val="0"/>
      <w:marTop w:val="0"/>
      <w:marBottom w:val="0"/>
      <w:divBdr>
        <w:top w:val="none" w:sz="0" w:space="0" w:color="auto"/>
        <w:left w:val="none" w:sz="0" w:space="0" w:color="auto"/>
        <w:bottom w:val="none" w:sz="0" w:space="0" w:color="auto"/>
        <w:right w:val="none" w:sz="0" w:space="0" w:color="auto"/>
      </w:divBdr>
    </w:div>
    <w:div w:id="939293260">
      <w:bodyDiv w:val="1"/>
      <w:marLeft w:val="0"/>
      <w:marRight w:val="0"/>
      <w:marTop w:val="0"/>
      <w:marBottom w:val="0"/>
      <w:divBdr>
        <w:top w:val="none" w:sz="0" w:space="0" w:color="auto"/>
        <w:left w:val="none" w:sz="0" w:space="0" w:color="auto"/>
        <w:bottom w:val="none" w:sz="0" w:space="0" w:color="auto"/>
        <w:right w:val="none" w:sz="0" w:space="0" w:color="auto"/>
      </w:divBdr>
    </w:div>
    <w:div w:id="940186221">
      <w:bodyDiv w:val="1"/>
      <w:marLeft w:val="0"/>
      <w:marRight w:val="0"/>
      <w:marTop w:val="0"/>
      <w:marBottom w:val="0"/>
      <w:divBdr>
        <w:top w:val="none" w:sz="0" w:space="0" w:color="auto"/>
        <w:left w:val="none" w:sz="0" w:space="0" w:color="auto"/>
        <w:bottom w:val="none" w:sz="0" w:space="0" w:color="auto"/>
        <w:right w:val="none" w:sz="0" w:space="0" w:color="auto"/>
      </w:divBdr>
    </w:div>
    <w:div w:id="968366318">
      <w:bodyDiv w:val="1"/>
      <w:marLeft w:val="0"/>
      <w:marRight w:val="0"/>
      <w:marTop w:val="0"/>
      <w:marBottom w:val="0"/>
      <w:divBdr>
        <w:top w:val="none" w:sz="0" w:space="0" w:color="auto"/>
        <w:left w:val="none" w:sz="0" w:space="0" w:color="auto"/>
        <w:bottom w:val="none" w:sz="0" w:space="0" w:color="auto"/>
        <w:right w:val="none" w:sz="0" w:space="0" w:color="auto"/>
      </w:divBdr>
    </w:div>
    <w:div w:id="980161518">
      <w:bodyDiv w:val="1"/>
      <w:marLeft w:val="0"/>
      <w:marRight w:val="0"/>
      <w:marTop w:val="0"/>
      <w:marBottom w:val="0"/>
      <w:divBdr>
        <w:top w:val="none" w:sz="0" w:space="0" w:color="auto"/>
        <w:left w:val="none" w:sz="0" w:space="0" w:color="auto"/>
        <w:bottom w:val="none" w:sz="0" w:space="0" w:color="auto"/>
        <w:right w:val="none" w:sz="0" w:space="0" w:color="auto"/>
      </w:divBdr>
    </w:div>
    <w:div w:id="986857251">
      <w:bodyDiv w:val="1"/>
      <w:marLeft w:val="0"/>
      <w:marRight w:val="0"/>
      <w:marTop w:val="0"/>
      <w:marBottom w:val="0"/>
      <w:divBdr>
        <w:top w:val="none" w:sz="0" w:space="0" w:color="auto"/>
        <w:left w:val="none" w:sz="0" w:space="0" w:color="auto"/>
        <w:bottom w:val="none" w:sz="0" w:space="0" w:color="auto"/>
        <w:right w:val="none" w:sz="0" w:space="0" w:color="auto"/>
      </w:divBdr>
    </w:div>
    <w:div w:id="998919696">
      <w:bodyDiv w:val="1"/>
      <w:marLeft w:val="0"/>
      <w:marRight w:val="0"/>
      <w:marTop w:val="0"/>
      <w:marBottom w:val="0"/>
      <w:divBdr>
        <w:top w:val="none" w:sz="0" w:space="0" w:color="auto"/>
        <w:left w:val="none" w:sz="0" w:space="0" w:color="auto"/>
        <w:bottom w:val="none" w:sz="0" w:space="0" w:color="auto"/>
        <w:right w:val="none" w:sz="0" w:space="0" w:color="auto"/>
      </w:divBdr>
    </w:div>
    <w:div w:id="1002052458">
      <w:bodyDiv w:val="1"/>
      <w:marLeft w:val="0"/>
      <w:marRight w:val="0"/>
      <w:marTop w:val="0"/>
      <w:marBottom w:val="0"/>
      <w:divBdr>
        <w:top w:val="none" w:sz="0" w:space="0" w:color="auto"/>
        <w:left w:val="none" w:sz="0" w:space="0" w:color="auto"/>
        <w:bottom w:val="none" w:sz="0" w:space="0" w:color="auto"/>
        <w:right w:val="none" w:sz="0" w:space="0" w:color="auto"/>
      </w:divBdr>
    </w:div>
    <w:div w:id="1003437256">
      <w:bodyDiv w:val="1"/>
      <w:marLeft w:val="0"/>
      <w:marRight w:val="0"/>
      <w:marTop w:val="0"/>
      <w:marBottom w:val="0"/>
      <w:divBdr>
        <w:top w:val="none" w:sz="0" w:space="0" w:color="auto"/>
        <w:left w:val="none" w:sz="0" w:space="0" w:color="auto"/>
        <w:bottom w:val="none" w:sz="0" w:space="0" w:color="auto"/>
        <w:right w:val="none" w:sz="0" w:space="0" w:color="auto"/>
      </w:divBdr>
    </w:div>
    <w:div w:id="1028943119">
      <w:bodyDiv w:val="1"/>
      <w:marLeft w:val="0"/>
      <w:marRight w:val="0"/>
      <w:marTop w:val="0"/>
      <w:marBottom w:val="0"/>
      <w:divBdr>
        <w:top w:val="none" w:sz="0" w:space="0" w:color="auto"/>
        <w:left w:val="none" w:sz="0" w:space="0" w:color="auto"/>
        <w:bottom w:val="none" w:sz="0" w:space="0" w:color="auto"/>
        <w:right w:val="none" w:sz="0" w:space="0" w:color="auto"/>
      </w:divBdr>
      <w:divsChild>
        <w:div w:id="1009522554">
          <w:marLeft w:val="0"/>
          <w:marRight w:val="0"/>
          <w:marTop w:val="0"/>
          <w:marBottom w:val="0"/>
          <w:divBdr>
            <w:top w:val="none" w:sz="0" w:space="0" w:color="auto"/>
            <w:left w:val="none" w:sz="0" w:space="0" w:color="auto"/>
            <w:bottom w:val="none" w:sz="0" w:space="0" w:color="auto"/>
            <w:right w:val="dotted" w:sz="6" w:space="23" w:color="CBC9CD"/>
          </w:divBdr>
          <w:divsChild>
            <w:div w:id="917327609">
              <w:marLeft w:val="0"/>
              <w:marRight w:val="0"/>
              <w:marTop w:val="0"/>
              <w:marBottom w:val="0"/>
              <w:divBdr>
                <w:top w:val="none" w:sz="0" w:space="0" w:color="auto"/>
                <w:left w:val="none" w:sz="0" w:space="0" w:color="auto"/>
                <w:bottom w:val="none" w:sz="0" w:space="0" w:color="auto"/>
                <w:right w:val="none" w:sz="0" w:space="0" w:color="auto"/>
              </w:divBdr>
              <w:divsChild>
                <w:div w:id="2087530127">
                  <w:marLeft w:val="0"/>
                  <w:marRight w:val="0"/>
                  <w:marTop w:val="0"/>
                  <w:marBottom w:val="0"/>
                  <w:divBdr>
                    <w:top w:val="none" w:sz="0" w:space="0" w:color="auto"/>
                    <w:left w:val="none" w:sz="0" w:space="0" w:color="auto"/>
                    <w:bottom w:val="none" w:sz="0" w:space="0" w:color="auto"/>
                    <w:right w:val="none" w:sz="0" w:space="0" w:color="auto"/>
                  </w:divBdr>
                  <w:divsChild>
                    <w:div w:id="352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04706">
      <w:bodyDiv w:val="1"/>
      <w:marLeft w:val="0"/>
      <w:marRight w:val="0"/>
      <w:marTop w:val="0"/>
      <w:marBottom w:val="0"/>
      <w:divBdr>
        <w:top w:val="none" w:sz="0" w:space="0" w:color="auto"/>
        <w:left w:val="none" w:sz="0" w:space="0" w:color="auto"/>
        <w:bottom w:val="none" w:sz="0" w:space="0" w:color="auto"/>
        <w:right w:val="none" w:sz="0" w:space="0" w:color="auto"/>
      </w:divBdr>
    </w:div>
    <w:div w:id="1065757417">
      <w:bodyDiv w:val="1"/>
      <w:marLeft w:val="0"/>
      <w:marRight w:val="0"/>
      <w:marTop w:val="0"/>
      <w:marBottom w:val="0"/>
      <w:divBdr>
        <w:top w:val="none" w:sz="0" w:space="0" w:color="auto"/>
        <w:left w:val="none" w:sz="0" w:space="0" w:color="auto"/>
        <w:bottom w:val="none" w:sz="0" w:space="0" w:color="auto"/>
        <w:right w:val="none" w:sz="0" w:space="0" w:color="auto"/>
      </w:divBdr>
    </w:div>
    <w:div w:id="1071931028">
      <w:bodyDiv w:val="1"/>
      <w:marLeft w:val="0"/>
      <w:marRight w:val="0"/>
      <w:marTop w:val="0"/>
      <w:marBottom w:val="0"/>
      <w:divBdr>
        <w:top w:val="none" w:sz="0" w:space="0" w:color="auto"/>
        <w:left w:val="none" w:sz="0" w:space="0" w:color="auto"/>
        <w:bottom w:val="none" w:sz="0" w:space="0" w:color="auto"/>
        <w:right w:val="none" w:sz="0" w:space="0" w:color="auto"/>
      </w:divBdr>
      <w:divsChild>
        <w:div w:id="1538346688">
          <w:marLeft w:val="0"/>
          <w:marRight w:val="240"/>
          <w:marTop w:val="0"/>
          <w:marBottom w:val="0"/>
          <w:divBdr>
            <w:top w:val="none" w:sz="0" w:space="0" w:color="auto"/>
            <w:left w:val="none" w:sz="0" w:space="0" w:color="auto"/>
            <w:bottom w:val="none" w:sz="0" w:space="0" w:color="auto"/>
            <w:right w:val="none" w:sz="0" w:space="0" w:color="auto"/>
          </w:divBdr>
          <w:divsChild>
            <w:div w:id="1559632643">
              <w:marLeft w:val="0"/>
              <w:marRight w:val="0"/>
              <w:marTop w:val="0"/>
              <w:marBottom w:val="0"/>
              <w:divBdr>
                <w:top w:val="none" w:sz="0" w:space="0" w:color="auto"/>
                <w:left w:val="none" w:sz="0" w:space="0" w:color="auto"/>
                <w:bottom w:val="none" w:sz="0" w:space="0" w:color="auto"/>
                <w:right w:val="none" w:sz="0" w:space="0" w:color="auto"/>
              </w:divBdr>
              <w:divsChild>
                <w:div w:id="2023698618">
                  <w:marLeft w:val="0"/>
                  <w:marRight w:val="0"/>
                  <w:marTop w:val="0"/>
                  <w:marBottom w:val="0"/>
                  <w:divBdr>
                    <w:top w:val="none" w:sz="0" w:space="0" w:color="auto"/>
                    <w:left w:val="none" w:sz="0" w:space="0" w:color="auto"/>
                    <w:bottom w:val="none" w:sz="0" w:space="0" w:color="auto"/>
                    <w:right w:val="none" w:sz="0" w:space="0" w:color="auto"/>
                  </w:divBdr>
                  <w:divsChild>
                    <w:div w:id="2080596508">
                      <w:marLeft w:val="0"/>
                      <w:marRight w:val="0"/>
                      <w:marTop w:val="0"/>
                      <w:marBottom w:val="0"/>
                      <w:divBdr>
                        <w:top w:val="none" w:sz="0" w:space="0" w:color="auto"/>
                        <w:left w:val="none" w:sz="0" w:space="0" w:color="auto"/>
                        <w:bottom w:val="none" w:sz="0" w:space="0" w:color="auto"/>
                        <w:right w:val="none" w:sz="0" w:space="0" w:color="auto"/>
                      </w:divBdr>
                      <w:divsChild>
                        <w:div w:id="1139570059">
                          <w:marLeft w:val="0"/>
                          <w:marRight w:val="0"/>
                          <w:marTop w:val="0"/>
                          <w:marBottom w:val="0"/>
                          <w:divBdr>
                            <w:top w:val="none" w:sz="0" w:space="0" w:color="auto"/>
                            <w:left w:val="none" w:sz="0" w:space="0" w:color="auto"/>
                            <w:bottom w:val="none" w:sz="0" w:space="0" w:color="auto"/>
                            <w:right w:val="none" w:sz="0" w:space="0" w:color="auto"/>
                          </w:divBdr>
                          <w:divsChild>
                            <w:div w:id="1504395484">
                              <w:marLeft w:val="0"/>
                              <w:marRight w:val="0"/>
                              <w:marTop w:val="0"/>
                              <w:marBottom w:val="0"/>
                              <w:divBdr>
                                <w:top w:val="none" w:sz="0" w:space="0" w:color="auto"/>
                                <w:left w:val="none" w:sz="0" w:space="0" w:color="auto"/>
                                <w:bottom w:val="none" w:sz="0" w:space="0" w:color="auto"/>
                                <w:right w:val="none" w:sz="0" w:space="0" w:color="auto"/>
                              </w:divBdr>
                              <w:divsChild>
                                <w:div w:id="12145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94131">
      <w:bodyDiv w:val="1"/>
      <w:marLeft w:val="0"/>
      <w:marRight w:val="0"/>
      <w:marTop w:val="0"/>
      <w:marBottom w:val="0"/>
      <w:divBdr>
        <w:top w:val="none" w:sz="0" w:space="0" w:color="auto"/>
        <w:left w:val="none" w:sz="0" w:space="0" w:color="auto"/>
        <w:bottom w:val="none" w:sz="0" w:space="0" w:color="auto"/>
        <w:right w:val="none" w:sz="0" w:space="0" w:color="auto"/>
      </w:divBdr>
    </w:div>
    <w:div w:id="1093817646">
      <w:bodyDiv w:val="1"/>
      <w:marLeft w:val="0"/>
      <w:marRight w:val="0"/>
      <w:marTop w:val="0"/>
      <w:marBottom w:val="0"/>
      <w:divBdr>
        <w:top w:val="none" w:sz="0" w:space="0" w:color="auto"/>
        <w:left w:val="none" w:sz="0" w:space="0" w:color="auto"/>
        <w:bottom w:val="none" w:sz="0" w:space="0" w:color="auto"/>
        <w:right w:val="none" w:sz="0" w:space="0" w:color="auto"/>
      </w:divBdr>
    </w:div>
    <w:div w:id="1110051333">
      <w:bodyDiv w:val="1"/>
      <w:marLeft w:val="0"/>
      <w:marRight w:val="0"/>
      <w:marTop w:val="0"/>
      <w:marBottom w:val="0"/>
      <w:divBdr>
        <w:top w:val="none" w:sz="0" w:space="0" w:color="auto"/>
        <w:left w:val="none" w:sz="0" w:space="0" w:color="auto"/>
        <w:bottom w:val="none" w:sz="0" w:space="0" w:color="auto"/>
        <w:right w:val="none" w:sz="0" w:space="0" w:color="auto"/>
      </w:divBdr>
      <w:divsChild>
        <w:div w:id="984236425">
          <w:marLeft w:val="0"/>
          <w:marRight w:val="0"/>
          <w:marTop w:val="0"/>
          <w:marBottom w:val="0"/>
          <w:divBdr>
            <w:top w:val="none" w:sz="0" w:space="0" w:color="auto"/>
            <w:left w:val="none" w:sz="0" w:space="0" w:color="auto"/>
            <w:bottom w:val="none" w:sz="0" w:space="0" w:color="auto"/>
            <w:right w:val="none" w:sz="0" w:space="0" w:color="auto"/>
          </w:divBdr>
          <w:divsChild>
            <w:div w:id="989528592">
              <w:marLeft w:val="0"/>
              <w:marRight w:val="0"/>
              <w:marTop w:val="0"/>
              <w:marBottom w:val="0"/>
              <w:divBdr>
                <w:top w:val="none" w:sz="0" w:space="0" w:color="auto"/>
                <w:left w:val="none" w:sz="0" w:space="0" w:color="auto"/>
                <w:bottom w:val="none" w:sz="0" w:space="0" w:color="auto"/>
                <w:right w:val="none" w:sz="0" w:space="0" w:color="auto"/>
              </w:divBdr>
              <w:divsChild>
                <w:div w:id="944309994">
                  <w:marLeft w:val="480"/>
                  <w:marRight w:val="0"/>
                  <w:marTop w:val="0"/>
                  <w:marBottom w:val="0"/>
                  <w:divBdr>
                    <w:top w:val="none" w:sz="0" w:space="0" w:color="auto"/>
                    <w:left w:val="none" w:sz="0" w:space="0" w:color="auto"/>
                    <w:bottom w:val="none" w:sz="0" w:space="0" w:color="auto"/>
                    <w:right w:val="none" w:sz="0" w:space="0" w:color="auto"/>
                  </w:divBdr>
                  <w:divsChild>
                    <w:div w:id="1773741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32791164">
      <w:bodyDiv w:val="1"/>
      <w:marLeft w:val="0"/>
      <w:marRight w:val="0"/>
      <w:marTop w:val="0"/>
      <w:marBottom w:val="0"/>
      <w:divBdr>
        <w:top w:val="none" w:sz="0" w:space="0" w:color="auto"/>
        <w:left w:val="none" w:sz="0" w:space="0" w:color="auto"/>
        <w:bottom w:val="none" w:sz="0" w:space="0" w:color="auto"/>
        <w:right w:val="none" w:sz="0" w:space="0" w:color="auto"/>
      </w:divBdr>
      <w:divsChild>
        <w:div w:id="1396393453">
          <w:marLeft w:val="0"/>
          <w:marRight w:val="0"/>
          <w:marTop w:val="0"/>
          <w:marBottom w:val="0"/>
          <w:divBdr>
            <w:top w:val="none" w:sz="0" w:space="0" w:color="auto"/>
            <w:left w:val="none" w:sz="0" w:space="0" w:color="auto"/>
            <w:bottom w:val="none" w:sz="0" w:space="0" w:color="auto"/>
            <w:right w:val="none" w:sz="0" w:space="0" w:color="auto"/>
          </w:divBdr>
        </w:div>
      </w:divsChild>
    </w:div>
    <w:div w:id="1143041643">
      <w:bodyDiv w:val="1"/>
      <w:marLeft w:val="0"/>
      <w:marRight w:val="0"/>
      <w:marTop w:val="0"/>
      <w:marBottom w:val="0"/>
      <w:divBdr>
        <w:top w:val="none" w:sz="0" w:space="0" w:color="auto"/>
        <w:left w:val="none" w:sz="0" w:space="0" w:color="auto"/>
        <w:bottom w:val="none" w:sz="0" w:space="0" w:color="auto"/>
        <w:right w:val="none" w:sz="0" w:space="0" w:color="auto"/>
      </w:divBdr>
      <w:divsChild>
        <w:div w:id="1246916336">
          <w:marLeft w:val="0"/>
          <w:marRight w:val="0"/>
          <w:marTop w:val="45"/>
          <w:marBottom w:val="0"/>
          <w:divBdr>
            <w:top w:val="none" w:sz="0" w:space="0" w:color="auto"/>
            <w:left w:val="none" w:sz="0" w:space="0" w:color="auto"/>
            <w:bottom w:val="none" w:sz="0" w:space="0" w:color="auto"/>
            <w:right w:val="none" w:sz="0" w:space="0" w:color="auto"/>
          </w:divBdr>
        </w:div>
        <w:div w:id="60251067">
          <w:marLeft w:val="0"/>
          <w:marRight w:val="0"/>
          <w:marTop w:val="0"/>
          <w:marBottom w:val="0"/>
          <w:divBdr>
            <w:top w:val="none" w:sz="0" w:space="0" w:color="auto"/>
            <w:left w:val="none" w:sz="0" w:space="0" w:color="auto"/>
            <w:bottom w:val="none" w:sz="0" w:space="0" w:color="auto"/>
            <w:right w:val="none" w:sz="0" w:space="0" w:color="auto"/>
          </w:divBdr>
        </w:div>
      </w:divsChild>
    </w:div>
    <w:div w:id="1144657669">
      <w:bodyDiv w:val="1"/>
      <w:marLeft w:val="0"/>
      <w:marRight w:val="0"/>
      <w:marTop w:val="0"/>
      <w:marBottom w:val="0"/>
      <w:divBdr>
        <w:top w:val="none" w:sz="0" w:space="0" w:color="auto"/>
        <w:left w:val="none" w:sz="0" w:space="0" w:color="auto"/>
        <w:bottom w:val="none" w:sz="0" w:space="0" w:color="auto"/>
        <w:right w:val="none" w:sz="0" w:space="0" w:color="auto"/>
      </w:divBdr>
      <w:divsChild>
        <w:div w:id="1174033849">
          <w:marLeft w:val="0"/>
          <w:marRight w:val="240"/>
          <w:marTop w:val="0"/>
          <w:marBottom w:val="0"/>
          <w:divBdr>
            <w:top w:val="none" w:sz="0" w:space="0" w:color="auto"/>
            <w:left w:val="none" w:sz="0" w:space="0" w:color="auto"/>
            <w:bottom w:val="none" w:sz="0" w:space="0" w:color="auto"/>
            <w:right w:val="none" w:sz="0" w:space="0" w:color="auto"/>
          </w:divBdr>
          <w:divsChild>
            <w:div w:id="1367024280">
              <w:marLeft w:val="0"/>
              <w:marRight w:val="0"/>
              <w:marTop w:val="0"/>
              <w:marBottom w:val="0"/>
              <w:divBdr>
                <w:top w:val="none" w:sz="0" w:space="0" w:color="auto"/>
                <w:left w:val="none" w:sz="0" w:space="0" w:color="auto"/>
                <w:bottom w:val="none" w:sz="0" w:space="0" w:color="auto"/>
                <w:right w:val="none" w:sz="0" w:space="0" w:color="auto"/>
              </w:divBdr>
              <w:divsChild>
                <w:div w:id="1447626077">
                  <w:marLeft w:val="0"/>
                  <w:marRight w:val="0"/>
                  <w:marTop w:val="0"/>
                  <w:marBottom w:val="0"/>
                  <w:divBdr>
                    <w:top w:val="none" w:sz="0" w:space="0" w:color="auto"/>
                    <w:left w:val="none" w:sz="0" w:space="0" w:color="auto"/>
                    <w:bottom w:val="none" w:sz="0" w:space="0" w:color="auto"/>
                    <w:right w:val="none" w:sz="0" w:space="0" w:color="auto"/>
                  </w:divBdr>
                  <w:divsChild>
                    <w:div w:id="407969840">
                      <w:marLeft w:val="0"/>
                      <w:marRight w:val="0"/>
                      <w:marTop w:val="0"/>
                      <w:marBottom w:val="0"/>
                      <w:divBdr>
                        <w:top w:val="none" w:sz="0" w:space="0" w:color="auto"/>
                        <w:left w:val="none" w:sz="0" w:space="0" w:color="auto"/>
                        <w:bottom w:val="none" w:sz="0" w:space="0" w:color="auto"/>
                        <w:right w:val="none" w:sz="0" w:space="0" w:color="auto"/>
                      </w:divBdr>
                      <w:divsChild>
                        <w:div w:id="1766148555">
                          <w:marLeft w:val="0"/>
                          <w:marRight w:val="0"/>
                          <w:marTop w:val="0"/>
                          <w:marBottom w:val="0"/>
                          <w:divBdr>
                            <w:top w:val="none" w:sz="0" w:space="0" w:color="auto"/>
                            <w:left w:val="none" w:sz="0" w:space="0" w:color="auto"/>
                            <w:bottom w:val="none" w:sz="0" w:space="0" w:color="auto"/>
                            <w:right w:val="none" w:sz="0" w:space="0" w:color="auto"/>
                          </w:divBdr>
                          <w:divsChild>
                            <w:div w:id="669798241">
                              <w:marLeft w:val="0"/>
                              <w:marRight w:val="0"/>
                              <w:marTop w:val="0"/>
                              <w:marBottom w:val="0"/>
                              <w:divBdr>
                                <w:top w:val="none" w:sz="0" w:space="0" w:color="auto"/>
                                <w:left w:val="none" w:sz="0" w:space="0" w:color="auto"/>
                                <w:bottom w:val="none" w:sz="0" w:space="0" w:color="auto"/>
                                <w:right w:val="none" w:sz="0" w:space="0" w:color="auto"/>
                              </w:divBdr>
                              <w:divsChild>
                                <w:div w:id="1356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005073">
      <w:bodyDiv w:val="1"/>
      <w:marLeft w:val="0"/>
      <w:marRight w:val="0"/>
      <w:marTop w:val="0"/>
      <w:marBottom w:val="0"/>
      <w:divBdr>
        <w:top w:val="none" w:sz="0" w:space="0" w:color="auto"/>
        <w:left w:val="none" w:sz="0" w:space="0" w:color="auto"/>
        <w:bottom w:val="none" w:sz="0" w:space="0" w:color="auto"/>
        <w:right w:val="none" w:sz="0" w:space="0" w:color="auto"/>
      </w:divBdr>
    </w:div>
    <w:div w:id="1150516738">
      <w:bodyDiv w:val="1"/>
      <w:marLeft w:val="0"/>
      <w:marRight w:val="0"/>
      <w:marTop w:val="0"/>
      <w:marBottom w:val="0"/>
      <w:divBdr>
        <w:top w:val="none" w:sz="0" w:space="0" w:color="auto"/>
        <w:left w:val="none" w:sz="0" w:space="0" w:color="auto"/>
        <w:bottom w:val="none" w:sz="0" w:space="0" w:color="auto"/>
        <w:right w:val="none" w:sz="0" w:space="0" w:color="auto"/>
      </w:divBdr>
    </w:div>
    <w:div w:id="1152479147">
      <w:bodyDiv w:val="1"/>
      <w:marLeft w:val="0"/>
      <w:marRight w:val="0"/>
      <w:marTop w:val="0"/>
      <w:marBottom w:val="0"/>
      <w:divBdr>
        <w:top w:val="none" w:sz="0" w:space="0" w:color="auto"/>
        <w:left w:val="none" w:sz="0" w:space="0" w:color="auto"/>
        <w:bottom w:val="none" w:sz="0" w:space="0" w:color="auto"/>
        <w:right w:val="none" w:sz="0" w:space="0" w:color="auto"/>
      </w:divBdr>
      <w:divsChild>
        <w:div w:id="905609076">
          <w:marLeft w:val="0"/>
          <w:marRight w:val="0"/>
          <w:marTop w:val="0"/>
          <w:marBottom w:val="0"/>
          <w:divBdr>
            <w:top w:val="none" w:sz="0" w:space="0" w:color="auto"/>
            <w:left w:val="none" w:sz="0" w:space="0" w:color="auto"/>
            <w:bottom w:val="none" w:sz="0" w:space="0" w:color="auto"/>
            <w:right w:val="none" w:sz="0" w:space="0" w:color="auto"/>
          </w:divBdr>
        </w:div>
      </w:divsChild>
    </w:div>
    <w:div w:id="1161892987">
      <w:bodyDiv w:val="1"/>
      <w:marLeft w:val="0"/>
      <w:marRight w:val="0"/>
      <w:marTop w:val="0"/>
      <w:marBottom w:val="0"/>
      <w:divBdr>
        <w:top w:val="none" w:sz="0" w:space="0" w:color="auto"/>
        <w:left w:val="none" w:sz="0" w:space="0" w:color="auto"/>
        <w:bottom w:val="none" w:sz="0" w:space="0" w:color="auto"/>
        <w:right w:val="none" w:sz="0" w:space="0" w:color="auto"/>
      </w:divBdr>
    </w:div>
    <w:div w:id="1167984556">
      <w:bodyDiv w:val="1"/>
      <w:marLeft w:val="0"/>
      <w:marRight w:val="0"/>
      <w:marTop w:val="0"/>
      <w:marBottom w:val="0"/>
      <w:divBdr>
        <w:top w:val="none" w:sz="0" w:space="0" w:color="auto"/>
        <w:left w:val="none" w:sz="0" w:space="0" w:color="auto"/>
        <w:bottom w:val="none" w:sz="0" w:space="0" w:color="auto"/>
        <w:right w:val="none" w:sz="0" w:space="0" w:color="auto"/>
      </w:divBdr>
    </w:div>
    <w:div w:id="1173687589">
      <w:bodyDiv w:val="1"/>
      <w:marLeft w:val="0"/>
      <w:marRight w:val="0"/>
      <w:marTop w:val="0"/>
      <w:marBottom w:val="0"/>
      <w:divBdr>
        <w:top w:val="none" w:sz="0" w:space="0" w:color="auto"/>
        <w:left w:val="none" w:sz="0" w:space="0" w:color="auto"/>
        <w:bottom w:val="none" w:sz="0" w:space="0" w:color="auto"/>
        <w:right w:val="none" w:sz="0" w:space="0" w:color="auto"/>
      </w:divBdr>
    </w:div>
    <w:div w:id="1199857407">
      <w:bodyDiv w:val="1"/>
      <w:marLeft w:val="0"/>
      <w:marRight w:val="0"/>
      <w:marTop w:val="0"/>
      <w:marBottom w:val="0"/>
      <w:divBdr>
        <w:top w:val="none" w:sz="0" w:space="0" w:color="auto"/>
        <w:left w:val="none" w:sz="0" w:space="0" w:color="auto"/>
        <w:bottom w:val="none" w:sz="0" w:space="0" w:color="auto"/>
        <w:right w:val="none" w:sz="0" w:space="0" w:color="auto"/>
      </w:divBdr>
    </w:div>
    <w:div w:id="1207569364">
      <w:bodyDiv w:val="1"/>
      <w:marLeft w:val="0"/>
      <w:marRight w:val="0"/>
      <w:marTop w:val="0"/>
      <w:marBottom w:val="0"/>
      <w:divBdr>
        <w:top w:val="none" w:sz="0" w:space="0" w:color="auto"/>
        <w:left w:val="none" w:sz="0" w:space="0" w:color="auto"/>
        <w:bottom w:val="none" w:sz="0" w:space="0" w:color="auto"/>
        <w:right w:val="none" w:sz="0" w:space="0" w:color="auto"/>
      </w:divBdr>
      <w:divsChild>
        <w:div w:id="131486394">
          <w:marLeft w:val="0"/>
          <w:marRight w:val="0"/>
          <w:marTop w:val="0"/>
          <w:marBottom w:val="0"/>
          <w:divBdr>
            <w:top w:val="none" w:sz="0" w:space="0" w:color="auto"/>
            <w:left w:val="none" w:sz="0" w:space="0" w:color="auto"/>
            <w:bottom w:val="none" w:sz="0" w:space="0" w:color="auto"/>
            <w:right w:val="none" w:sz="0" w:space="0" w:color="auto"/>
          </w:divBdr>
          <w:divsChild>
            <w:div w:id="1847557519">
              <w:marLeft w:val="0"/>
              <w:marRight w:val="0"/>
              <w:marTop w:val="0"/>
              <w:marBottom w:val="0"/>
              <w:divBdr>
                <w:top w:val="none" w:sz="0" w:space="0" w:color="auto"/>
                <w:left w:val="none" w:sz="0" w:space="0" w:color="auto"/>
                <w:bottom w:val="none" w:sz="0" w:space="0" w:color="auto"/>
                <w:right w:val="none" w:sz="0" w:space="0" w:color="auto"/>
              </w:divBdr>
              <w:divsChild>
                <w:div w:id="14547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8023">
      <w:bodyDiv w:val="1"/>
      <w:marLeft w:val="0"/>
      <w:marRight w:val="0"/>
      <w:marTop w:val="0"/>
      <w:marBottom w:val="0"/>
      <w:divBdr>
        <w:top w:val="none" w:sz="0" w:space="0" w:color="auto"/>
        <w:left w:val="none" w:sz="0" w:space="0" w:color="auto"/>
        <w:bottom w:val="none" w:sz="0" w:space="0" w:color="auto"/>
        <w:right w:val="none" w:sz="0" w:space="0" w:color="auto"/>
      </w:divBdr>
      <w:divsChild>
        <w:div w:id="1201820686">
          <w:marLeft w:val="0"/>
          <w:marRight w:val="0"/>
          <w:marTop w:val="0"/>
          <w:marBottom w:val="0"/>
          <w:divBdr>
            <w:top w:val="none" w:sz="0" w:space="0" w:color="auto"/>
            <w:left w:val="none" w:sz="0" w:space="0" w:color="auto"/>
            <w:bottom w:val="none" w:sz="0" w:space="0" w:color="auto"/>
            <w:right w:val="none" w:sz="0" w:space="0" w:color="auto"/>
          </w:divBdr>
          <w:divsChild>
            <w:div w:id="262540154">
              <w:marLeft w:val="0"/>
              <w:marRight w:val="0"/>
              <w:marTop w:val="0"/>
              <w:marBottom w:val="0"/>
              <w:divBdr>
                <w:top w:val="none" w:sz="0" w:space="0" w:color="auto"/>
                <w:left w:val="none" w:sz="0" w:space="0" w:color="auto"/>
                <w:bottom w:val="none" w:sz="0" w:space="0" w:color="auto"/>
                <w:right w:val="none" w:sz="0" w:space="0" w:color="auto"/>
              </w:divBdr>
              <w:divsChild>
                <w:div w:id="774402043">
                  <w:marLeft w:val="480"/>
                  <w:marRight w:val="0"/>
                  <w:marTop w:val="0"/>
                  <w:marBottom w:val="0"/>
                  <w:divBdr>
                    <w:top w:val="none" w:sz="0" w:space="0" w:color="auto"/>
                    <w:left w:val="none" w:sz="0" w:space="0" w:color="auto"/>
                    <w:bottom w:val="none" w:sz="0" w:space="0" w:color="auto"/>
                    <w:right w:val="none" w:sz="0" w:space="0" w:color="auto"/>
                  </w:divBdr>
                  <w:divsChild>
                    <w:div w:id="5364786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10607744">
      <w:bodyDiv w:val="1"/>
      <w:marLeft w:val="0"/>
      <w:marRight w:val="0"/>
      <w:marTop w:val="0"/>
      <w:marBottom w:val="0"/>
      <w:divBdr>
        <w:top w:val="none" w:sz="0" w:space="0" w:color="auto"/>
        <w:left w:val="none" w:sz="0" w:space="0" w:color="auto"/>
        <w:bottom w:val="none" w:sz="0" w:space="0" w:color="auto"/>
        <w:right w:val="none" w:sz="0" w:space="0" w:color="auto"/>
      </w:divBdr>
    </w:div>
    <w:div w:id="1236668479">
      <w:bodyDiv w:val="1"/>
      <w:marLeft w:val="0"/>
      <w:marRight w:val="0"/>
      <w:marTop w:val="0"/>
      <w:marBottom w:val="0"/>
      <w:divBdr>
        <w:top w:val="none" w:sz="0" w:space="0" w:color="auto"/>
        <w:left w:val="none" w:sz="0" w:space="0" w:color="auto"/>
        <w:bottom w:val="none" w:sz="0" w:space="0" w:color="auto"/>
        <w:right w:val="none" w:sz="0" w:space="0" w:color="auto"/>
      </w:divBdr>
    </w:div>
    <w:div w:id="1243642791">
      <w:bodyDiv w:val="1"/>
      <w:marLeft w:val="0"/>
      <w:marRight w:val="0"/>
      <w:marTop w:val="0"/>
      <w:marBottom w:val="0"/>
      <w:divBdr>
        <w:top w:val="none" w:sz="0" w:space="0" w:color="auto"/>
        <w:left w:val="none" w:sz="0" w:space="0" w:color="auto"/>
        <w:bottom w:val="none" w:sz="0" w:space="0" w:color="auto"/>
        <w:right w:val="none" w:sz="0" w:space="0" w:color="auto"/>
      </w:divBdr>
    </w:div>
    <w:div w:id="1246694338">
      <w:bodyDiv w:val="1"/>
      <w:marLeft w:val="0"/>
      <w:marRight w:val="0"/>
      <w:marTop w:val="0"/>
      <w:marBottom w:val="0"/>
      <w:divBdr>
        <w:top w:val="none" w:sz="0" w:space="0" w:color="auto"/>
        <w:left w:val="none" w:sz="0" w:space="0" w:color="auto"/>
        <w:bottom w:val="none" w:sz="0" w:space="0" w:color="auto"/>
        <w:right w:val="none" w:sz="0" w:space="0" w:color="auto"/>
      </w:divBdr>
      <w:divsChild>
        <w:div w:id="1571109547">
          <w:marLeft w:val="0"/>
          <w:marRight w:val="0"/>
          <w:marTop w:val="0"/>
          <w:marBottom w:val="0"/>
          <w:divBdr>
            <w:top w:val="none" w:sz="0" w:space="0" w:color="auto"/>
            <w:left w:val="none" w:sz="0" w:space="0" w:color="auto"/>
            <w:bottom w:val="none" w:sz="0" w:space="0" w:color="auto"/>
            <w:right w:val="none" w:sz="0" w:space="0" w:color="auto"/>
          </w:divBdr>
          <w:divsChild>
            <w:div w:id="158694318">
              <w:marLeft w:val="0"/>
              <w:marRight w:val="0"/>
              <w:marTop w:val="0"/>
              <w:marBottom w:val="0"/>
              <w:divBdr>
                <w:top w:val="none" w:sz="0" w:space="0" w:color="auto"/>
                <w:left w:val="none" w:sz="0" w:space="0" w:color="auto"/>
                <w:bottom w:val="none" w:sz="0" w:space="0" w:color="auto"/>
                <w:right w:val="none" w:sz="0" w:space="0" w:color="auto"/>
              </w:divBdr>
              <w:divsChild>
                <w:div w:id="18887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6641">
      <w:bodyDiv w:val="1"/>
      <w:marLeft w:val="0"/>
      <w:marRight w:val="0"/>
      <w:marTop w:val="0"/>
      <w:marBottom w:val="0"/>
      <w:divBdr>
        <w:top w:val="none" w:sz="0" w:space="0" w:color="auto"/>
        <w:left w:val="none" w:sz="0" w:space="0" w:color="auto"/>
        <w:bottom w:val="none" w:sz="0" w:space="0" w:color="auto"/>
        <w:right w:val="none" w:sz="0" w:space="0" w:color="auto"/>
      </w:divBdr>
    </w:div>
    <w:div w:id="1265501987">
      <w:bodyDiv w:val="1"/>
      <w:marLeft w:val="0"/>
      <w:marRight w:val="0"/>
      <w:marTop w:val="0"/>
      <w:marBottom w:val="0"/>
      <w:divBdr>
        <w:top w:val="none" w:sz="0" w:space="0" w:color="auto"/>
        <w:left w:val="none" w:sz="0" w:space="0" w:color="auto"/>
        <w:bottom w:val="none" w:sz="0" w:space="0" w:color="auto"/>
        <w:right w:val="none" w:sz="0" w:space="0" w:color="auto"/>
      </w:divBdr>
    </w:div>
    <w:div w:id="1281033640">
      <w:bodyDiv w:val="1"/>
      <w:marLeft w:val="0"/>
      <w:marRight w:val="0"/>
      <w:marTop w:val="0"/>
      <w:marBottom w:val="0"/>
      <w:divBdr>
        <w:top w:val="none" w:sz="0" w:space="0" w:color="auto"/>
        <w:left w:val="none" w:sz="0" w:space="0" w:color="auto"/>
        <w:bottom w:val="none" w:sz="0" w:space="0" w:color="auto"/>
        <w:right w:val="none" w:sz="0" w:space="0" w:color="auto"/>
      </w:divBdr>
      <w:divsChild>
        <w:div w:id="148223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5034">
      <w:bodyDiv w:val="1"/>
      <w:marLeft w:val="0"/>
      <w:marRight w:val="0"/>
      <w:marTop w:val="0"/>
      <w:marBottom w:val="0"/>
      <w:divBdr>
        <w:top w:val="none" w:sz="0" w:space="0" w:color="auto"/>
        <w:left w:val="none" w:sz="0" w:space="0" w:color="auto"/>
        <w:bottom w:val="none" w:sz="0" w:space="0" w:color="auto"/>
        <w:right w:val="none" w:sz="0" w:space="0" w:color="auto"/>
      </w:divBdr>
      <w:divsChild>
        <w:div w:id="822432559">
          <w:marLeft w:val="0"/>
          <w:marRight w:val="0"/>
          <w:marTop w:val="0"/>
          <w:marBottom w:val="0"/>
          <w:divBdr>
            <w:top w:val="none" w:sz="0" w:space="0" w:color="auto"/>
            <w:left w:val="none" w:sz="0" w:space="0" w:color="auto"/>
            <w:bottom w:val="none" w:sz="0" w:space="0" w:color="auto"/>
            <w:right w:val="none" w:sz="0" w:space="0" w:color="auto"/>
          </w:divBdr>
          <w:divsChild>
            <w:div w:id="650252534">
              <w:marLeft w:val="0"/>
              <w:marRight w:val="0"/>
              <w:marTop w:val="0"/>
              <w:marBottom w:val="0"/>
              <w:divBdr>
                <w:top w:val="none" w:sz="0" w:space="0" w:color="auto"/>
                <w:left w:val="none" w:sz="0" w:space="0" w:color="auto"/>
                <w:bottom w:val="none" w:sz="0" w:space="0" w:color="auto"/>
                <w:right w:val="none" w:sz="0" w:space="0" w:color="auto"/>
              </w:divBdr>
              <w:divsChild>
                <w:div w:id="368343416">
                  <w:marLeft w:val="480"/>
                  <w:marRight w:val="0"/>
                  <w:marTop w:val="0"/>
                  <w:marBottom w:val="0"/>
                  <w:divBdr>
                    <w:top w:val="none" w:sz="0" w:space="0" w:color="auto"/>
                    <w:left w:val="none" w:sz="0" w:space="0" w:color="auto"/>
                    <w:bottom w:val="none" w:sz="0" w:space="0" w:color="auto"/>
                    <w:right w:val="none" w:sz="0" w:space="0" w:color="auto"/>
                  </w:divBdr>
                  <w:divsChild>
                    <w:div w:id="1376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947020">
      <w:bodyDiv w:val="1"/>
      <w:marLeft w:val="0"/>
      <w:marRight w:val="0"/>
      <w:marTop w:val="0"/>
      <w:marBottom w:val="0"/>
      <w:divBdr>
        <w:top w:val="none" w:sz="0" w:space="0" w:color="auto"/>
        <w:left w:val="none" w:sz="0" w:space="0" w:color="auto"/>
        <w:bottom w:val="none" w:sz="0" w:space="0" w:color="auto"/>
        <w:right w:val="none" w:sz="0" w:space="0" w:color="auto"/>
      </w:divBdr>
      <w:divsChild>
        <w:div w:id="321279714">
          <w:marLeft w:val="0"/>
          <w:marRight w:val="0"/>
          <w:marTop w:val="0"/>
          <w:marBottom w:val="0"/>
          <w:divBdr>
            <w:top w:val="none" w:sz="0" w:space="0" w:color="auto"/>
            <w:left w:val="none" w:sz="0" w:space="0" w:color="auto"/>
            <w:bottom w:val="none" w:sz="0" w:space="0" w:color="auto"/>
            <w:right w:val="none" w:sz="0" w:space="0" w:color="auto"/>
          </w:divBdr>
          <w:divsChild>
            <w:div w:id="453058663">
              <w:marLeft w:val="0"/>
              <w:marRight w:val="0"/>
              <w:marTop w:val="0"/>
              <w:marBottom w:val="0"/>
              <w:divBdr>
                <w:top w:val="none" w:sz="0" w:space="0" w:color="auto"/>
                <w:left w:val="none" w:sz="0" w:space="0" w:color="auto"/>
                <w:bottom w:val="none" w:sz="0" w:space="0" w:color="auto"/>
                <w:right w:val="none" w:sz="0" w:space="0" w:color="auto"/>
              </w:divBdr>
              <w:divsChild>
                <w:div w:id="1547988093">
                  <w:marLeft w:val="480"/>
                  <w:marRight w:val="0"/>
                  <w:marTop w:val="0"/>
                  <w:marBottom w:val="0"/>
                  <w:divBdr>
                    <w:top w:val="none" w:sz="0" w:space="0" w:color="auto"/>
                    <w:left w:val="none" w:sz="0" w:space="0" w:color="auto"/>
                    <w:bottom w:val="none" w:sz="0" w:space="0" w:color="auto"/>
                    <w:right w:val="none" w:sz="0" w:space="0" w:color="auto"/>
                  </w:divBdr>
                  <w:divsChild>
                    <w:div w:id="1560434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14217379">
      <w:bodyDiv w:val="1"/>
      <w:marLeft w:val="0"/>
      <w:marRight w:val="0"/>
      <w:marTop w:val="0"/>
      <w:marBottom w:val="0"/>
      <w:divBdr>
        <w:top w:val="none" w:sz="0" w:space="0" w:color="auto"/>
        <w:left w:val="none" w:sz="0" w:space="0" w:color="auto"/>
        <w:bottom w:val="none" w:sz="0" w:space="0" w:color="auto"/>
        <w:right w:val="none" w:sz="0" w:space="0" w:color="auto"/>
      </w:divBdr>
    </w:div>
    <w:div w:id="1319337625">
      <w:bodyDiv w:val="1"/>
      <w:marLeft w:val="0"/>
      <w:marRight w:val="0"/>
      <w:marTop w:val="0"/>
      <w:marBottom w:val="0"/>
      <w:divBdr>
        <w:top w:val="none" w:sz="0" w:space="0" w:color="auto"/>
        <w:left w:val="none" w:sz="0" w:space="0" w:color="auto"/>
        <w:bottom w:val="none" w:sz="0" w:space="0" w:color="auto"/>
        <w:right w:val="none" w:sz="0" w:space="0" w:color="auto"/>
      </w:divBdr>
    </w:div>
    <w:div w:id="1323192340">
      <w:bodyDiv w:val="1"/>
      <w:marLeft w:val="0"/>
      <w:marRight w:val="0"/>
      <w:marTop w:val="0"/>
      <w:marBottom w:val="0"/>
      <w:divBdr>
        <w:top w:val="none" w:sz="0" w:space="0" w:color="auto"/>
        <w:left w:val="none" w:sz="0" w:space="0" w:color="auto"/>
        <w:bottom w:val="none" w:sz="0" w:space="0" w:color="auto"/>
        <w:right w:val="none" w:sz="0" w:space="0" w:color="auto"/>
      </w:divBdr>
    </w:div>
    <w:div w:id="1329137668">
      <w:bodyDiv w:val="1"/>
      <w:marLeft w:val="0"/>
      <w:marRight w:val="0"/>
      <w:marTop w:val="0"/>
      <w:marBottom w:val="0"/>
      <w:divBdr>
        <w:top w:val="none" w:sz="0" w:space="0" w:color="auto"/>
        <w:left w:val="none" w:sz="0" w:space="0" w:color="auto"/>
        <w:bottom w:val="none" w:sz="0" w:space="0" w:color="auto"/>
        <w:right w:val="none" w:sz="0" w:space="0" w:color="auto"/>
      </w:divBdr>
    </w:div>
    <w:div w:id="1357463411">
      <w:bodyDiv w:val="1"/>
      <w:marLeft w:val="0"/>
      <w:marRight w:val="0"/>
      <w:marTop w:val="0"/>
      <w:marBottom w:val="0"/>
      <w:divBdr>
        <w:top w:val="none" w:sz="0" w:space="0" w:color="auto"/>
        <w:left w:val="none" w:sz="0" w:space="0" w:color="auto"/>
        <w:bottom w:val="none" w:sz="0" w:space="0" w:color="auto"/>
        <w:right w:val="none" w:sz="0" w:space="0" w:color="auto"/>
      </w:divBdr>
    </w:div>
    <w:div w:id="1367680084">
      <w:bodyDiv w:val="1"/>
      <w:marLeft w:val="0"/>
      <w:marRight w:val="0"/>
      <w:marTop w:val="0"/>
      <w:marBottom w:val="0"/>
      <w:divBdr>
        <w:top w:val="none" w:sz="0" w:space="0" w:color="auto"/>
        <w:left w:val="none" w:sz="0" w:space="0" w:color="auto"/>
        <w:bottom w:val="none" w:sz="0" w:space="0" w:color="auto"/>
        <w:right w:val="none" w:sz="0" w:space="0" w:color="auto"/>
      </w:divBdr>
    </w:div>
    <w:div w:id="1372655176">
      <w:bodyDiv w:val="1"/>
      <w:marLeft w:val="0"/>
      <w:marRight w:val="0"/>
      <w:marTop w:val="0"/>
      <w:marBottom w:val="0"/>
      <w:divBdr>
        <w:top w:val="none" w:sz="0" w:space="0" w:color="auto"/>
        <w:left w:val="none" w:sz="0" w:space="0" w:color="auto"/>
        <w:bottom w:val="none" w:sz="0" w:space="0" w:color="auto"/>
        <w:right w:val="none" w:sz="0" w:space="0" w:color="auto"/>
      </w:divBdr>
      <w:divsChild>
        <w:div w:id="778180478">
          <w:marLeft w:val="0"/>
          <w:marRight w:val="0"/>
          <w:marTop w:val="0"/>
          <w:marBottom w:val="0"/>
          <w:divBdr>
            <w:top w:val="none" w:sz="0" w:space="0" w:color="auto"/>
            <w:left w:val="none" w:sz="0" w:space="0" w:color="auto"/>
            <w:bottom w:val="none" w:sz="0" w:space="0" w:color="auto"/>
            <w:right w:val="none" w:sz="0" w:space="0" w:color="auto"/>
          </w:divBdr>
          <w:divsChild>
            <w:div w:id="1756240011">
              <w:marLeft w:val="0"/>
              <w:marRight w:val="0"/>
              <w:marTop w:val="0"/>
              <w:marBottom w:val="0"/>
              <w:divBdr>
                <w:top w:val="none" w:sz="0" w:space="0" w:color="auto"/>
                <w:left w:val="none" w:sz="0" w:space="0" w:color="auto"/>
                <w:bottom w:val="none" w:sz="0" w:space="0" w:color="auto"/>
                <w:right w:val="none" w:sz="0" w:space="0" w:color="auto"/>
              </w:divBdr>
              <w:divsChild>
                <w:div w:id="282155504">
                  <w:marLeft w:val="0"/>
                  <w:marRight w:val="0"/>
                  <w:marTop w:val="0"/>
                  <w:marBottom w:val="0"/>
                  <w:divBdr>
                    <w:top w:val="none" w:sz="0" w:space="0" w:color="auto"/>
                    <w:left w:val="none" w:sz="0" w:space="0" w:color="auto"/>
                    <w:bottom w:val="none" w:sz="0" w:space="0" w:color="auto"/>
                    <w:right w:val="none" w:sz="0" w:space="0" w:color="auto"/>
                  </w:divBdr>
                  <w:divsChild>
                    <w:div w:id="2048137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72923035">
      <w:bodyDiv w:val="1"/>
      <w:marLeft w:val="0"/>
      <w:marRight w:val="0"/>
      <w:marTop w:val="0"/>
      <w:marBottom w:val="0"/>
      <w:divBdr>
        <w:top w:val="none" w:sz="0" w:space="0" w:color="auto"/>
        <w:left w:val="none" w:sz="0" w:space="0" w:color="auto"/>
        <w:bottom w:val="none" w:sz="0" w:space="0" w:color="auto"/>
        <w:right w:val="none" w:sz="0" w:space="0" w:color="auto"/>
      </w:divBdr>
    </w:div>
    <w:div w:id="1380780183">
      <w:bodyDiv w:val="1"/>
      <w:marLeft w:val="0"/>
      <w:marRight w:val="0"/>
      <w:marTop w:val="0"/>
      <w:marBottom w:val="0"/>
      <w:divBdr>
        <w:top w:val="none" w:sz="0" w:space="0" w:color="auto"/>
        <w:left w:val="none" w:sz="0" w:space="0" w:color="auto"/>
        <w:bottom w:val="none" w:sz="0" w:space="0" w:color="auto"/>
        <w:right w:val="none" w:sz="0" w:space="0" w:color="auto"/>
      </w:divBdr>
    </w:div>
    <w:div w:id="1386414876">
      <w:bodyDiv w:val="1"/>
      <w:marLeft w:val="0"/>
      <w:marRight w:val="0"/>
      <w:marTop w:val="0"/>
      <w:marBottom w:val="0"/>
      <w:divBdr>
        <w:top w:val="none" w:sz="0" w:space="0" w:color="auto"/>
        <w:left w:val="none" w:sz="0" w:space="0" w:color="auto"/>
        <w:bottom w:val="none" w:sz="0" w:space="0" w:color="auto"/>
        <w:right w:val="none" w:sz="0" w:space="0" w:color="auto"/>
      </w:divBdr>
    </w:div>
    <w:div w:id="1432822737">
      <w:bodyDiv w:val="1"/>
      <w:marLeft w:val="0"/>
      <w:marRight w:val="0"/>
      <w:marTop w:val="0"/>
      <w:marBottom w:val="0"/>
      <w:divBdr>
        <w:top w:val="none" w:sz="0" w:space="0" w:color="auto"/>
        <w:left w:val="none" w:sz="0" w:space="0" w:color="auto"/>
        <w:bottom w:val="none" w:sz="0" w:space="0" w:color="auto"/>
        <w:right w:val="none" w:sz="0" w:space="0" w:color="auto"/>
      </w:divBdr>
      <w:divsChild>
        <w:div w:id="1601646830">
          <w:marLeft w:val="0"/>
          <w:marRight w:val="0"/>
          <w:marTop w:val="45"/>
          <w:marBottom w:val="0"/>
          <w:divBdr>
            <w:top w:val="none" w:sz="0" w:space="0" w:color="auto"/>
            <w:left w:val="none" w:sz="0" w:space="0" w:color="auto"/>
            <w:bottom w:val="none" w:sz="0" w:space="0" w:color="auto"/>
            <w:right w:val="none" w:sz="0" w:space="0" w:color="auto"/>
          </w:divBdr>
        </w:div>
        <w:div w:id="703679642">
          <w:marLeft w:val="0"/>
          <w:marRight w:val="0"/>
          <w:marTop w:val="0"/>
          <w:marBottom w:val="0"/>
          <w:divBdr>
            <w:top w:val="none" w:sz="0" w:space="0" w:color="auto"/>
            <w:left w:val="none" w:sz="0" w:space="0" w:color="auto"/>
            <w:bottom w:val="none" w:sz="0" w:space="0" w:color="auto"/>
            <w:right w:val="none" w:sz="0" w:space="0" w:color="auto"/>
          </w:divBdr>
        </w:div>
      </w:divsChild>
    </w:div>
    <w:div w:id="1433431152">
      <w:bodyDiv w:val="1"/>
      <w:marLeft w:val="0"/>
      <w:marRight w:val="0"/>
      <w:marTop w:val="0"/>
      <w:marBottom w:val="0"/>
      <w:divBdr>
        <w:top w:val="none" w:sz="0" w:space="0" w:color="auto"/>
        <w:left w:val="none" w:sz="0" w:space="0" w:color="auto"/>
        <w:bottom w:val="none" w:sz="0" w:space="0" w:color="auto"/>
        <w:right w:val="none" w:sz="0" w:space="0" w:color="auto"/>
      </w:divBdr>
    </w:div>
    <w:div w:id="1452674544">
      <w:bodyDiv w:val="1"/>
      <w:marLeft w:val="0"/>
      <w:marRight w:val="0"/>
      <w:marTop w:val="0"/>
      <w:marBottom w:val="0"/>
      <w:divBdr>
        <w:top w:val="none" w:sz="0" w:space="0" w:color="auto"/>
        <w:left w:val="none" w:sz="0" w:space="0" w:color="auto"/>
        <w:bottom w:val="none" w:sz="0" w:space="0" w:color="auto"/>
        <w:right w:val="none" w:sz="0" w:space="0" w:color="auto"/>
      </w:divBdr>
    </w:div>
    <w:div w:id="1462453290">
      <w:bodyDiv w:val="1"/>
      <w:marLeft w:val="0"/>
      <w:marRight w:val="0"/>
      <w:marTop w:val="0"/>
      <w:marBottom w:val="0"/>
      <w:divBdr>
        <w:top w:val="none" w:sz="0" w:space="0" w:color="auto"/>
        <w:left w:val="none" w:sz="0" w:space="0" w:color="auto"/>
        <w:bottom w:val="none" w:sz="0" w:space="0" w:color="auto"/>
        <w:right w:val="none" w:sz="0" w:space="0" w:color="auto"/>
      </w:divBdr>
    </w:div>
    <w:div w:id="1468427941">
      <w:bodyDiv w:val="1"/>
      <w:marLeft w:val="0"/>
      <w:marRight w:val="0"/>
      <w:marTop w:val="0"/>
      <w:marBottom w:val="0"/>
      <w:divBdr>
        <w:top w:val="none" w:sz="0" w:space="0" w:color="auto"/>
        <w:left w:val="none" w:sz="0" w:space="0" w:color="auto"/>
        <w:bottom w:val="none" w:sz="0" w:space="0" w:color="auto"/>
        <w:right w:val="none" w:sz="0" w:space="0" w:color="auto"/>
      </w:divBdr>
      <w:divsChild>
        <w:div w:id="87575">
          <w:marLeft w:val="0"/>
          <w:marRight w:val="0"/>
          <w:marTop w:val="0"/>
          <w:marBottom w:val="0"/>
          <w:divBdr>
            <w:top w:val="none" w:sz="0" w:space="0" w:color="auto"/>
            <w:left w:val="none" w:sz="0" w:space="0" w:color="auto"/>
            <w:bottom w:val="none" w:sz="0" w:space="0" w:color="auto"/>
            <w:right w:val="none" w:sz="0" w:space="0" w:color="auto"/>
          </w:divBdr>
        </w:div>
      </w:divsChild>
    </w:div>
    <w:div w:id="1481145425">
      <w:bodyDiv w:val="1"/>
      <w:marLeft w:val="0"/>
      <w:marRight w:val="0"/>
      <w:marTop w:val="0"/>
      <w:marBottom w:val="0"/>
      <w:divBdr>
        <w:top w:val="none" w:sz="0" w:space="0" w:color="auto"/>
        <w:left w:val="none" w:sz="0" w:space="0" w:color="auto"/>
        <w:bottom w:val="none" w:sz="0" w:space="0" w:color="auto"/>
        <w:right w:val="none" w:sz="0" w:space="0" w:color="auto"/>
      </w:divBdr>
    </w:div>
    <w:div w:id="1484350920">
      <w:bodyDiv w:val="1"/>
      <w:marLeft w:val="0"/>
      <w:marRight w:val="0"/>
      <w:marTop w:val="0"/>
      <w:marBottom w:val="0"/>
      <w:divBdr>
        <w:top w:val="none" w:sz="0" w:space="0" w:color="auto"/>
        <w:left w:val="none" w:sz="0" w:space="0" w:color="auto"/>
        <w:bottom w:val="none" w:sz="0" w:space="0" w:color="auto"/>
        <w:right w:val="none" w:sz="0" w:space="0" w:color="auto"/>
      </w:divBdr>
    </w:div>
    <w:div w:id="1501240759">
      <w:bodyDiv w:val="1"/>
      <w:marLeft w:val="0"/>
      <w:marRight w:val="0"/>
      <w:marTop w:val="0"/>
      <w:marBottom w:val="0"/>
      <w:divBdr>
        <w:top w:val="none" w:sz="0" w:space="0" w:color="auto"/>
        <w:left w:val="none" w:sz="0" w:space="0" w:color="auto"/>
        <w:bottom w:val="none" w:sz="0" w:space="0" w:color="auto"/>
        <w:right w:val="none" w:sz="0" w:space="0" w:color="auto"/>
      </w:divBdr>
    </w:div>
    <w:div w:id="1511532071">
      <w:bodyDiv w:val="1"/>
      <w:marLeft w:val="0"/>
      <w:marRight w:val="0"/>
      <w:marTop w:val="0"/>
      <w:marBottom w:val="0"/>
      <w:divBdr>
        <w:top w:val="none" w:sz="0" w:space="0" w:color="auto"/>
        <w:left w:val="none" w:sz="0" w:space="0" w:color="auto"/>
        <w:bottom w:val="none" w:sz="0" w:space="0" w:color="auto"/>
        <w:right w:val="none" w:sz="0" w:space="0" w:color="auto"/>
      </w:divBdr>
    </w:div>
    <w:div w:id="1519734131">
      <w:bodyDiv w:val="1"/>
      <w:marLeft w:val="0"/>
      <w:marRight w:val="0"/>
      <w:marTop w:val="0"/>
      <w:marBottom w:val="0"/>
      <w:divBdr>
        <w:top w:val="none" w:sz="0" w:space="0" w:color="auto"/>
        <w:left w:val="none" w:sz="0" w:space="0" w:color="auto"/>
        <w:bottom w:val="none" w:sz="0" w:space="0" w:color="auto"/>
        <w:right w:val="none" w:sz="0" w:space="0" w:color="auto"/>
      </w:divBdr>
    </w:div>
    <w:div w:id="1532567596">
      <w:bodyDiv w:val="1"/>
      <w:marLeft w:val="0"/>
      <w:marRight w:val="0"/>
      <w:marTop w:val="0"/>
      <w:marBottom w:val="0"/>
      <w:divBdr>
        <w:top w:val="none" w:sz="0" w:space="0" w:color="auto"/>
        <w:left w:val="none" w:sz="0" w:space="0" w:color="auto"/>
        <w:bottom w:val="none" w:sz="0" w:space="0" w:color="auto"/>
        <w:right w:val="none" w:sz="0" w:space="0" w:color="auto"/>
      </w:divBdr>
    </w:div>
    <w:div w:id="1532571367">
      <w:bodyDiv w:val="1"/>
      <w:marLeft w:val="0"/>
      <w:marRight w:val="0"/>
      <w:marTop w:val="0"/>
      <w:marBottom w:val="0"/>
      <w:divBdr>
        <w:top w:val="none" w:sz="0" w:space="0" w:color="auto"/>
        <w:left w:val="none" w:sz="0" w:space="0" w:color="auto"/>
        <w:bottom w:val="none" w:sz="0" w:space="0" w:color="auto"/>
        <w:right w:val="none" w:sz="0" w:space="0" w:color="auto"/>
      </w:divBdr>
      <w:divsChild>
        <w:div w:id="2008705150">
          <w:marLeft w:val="0"/>
          <w:marRight w:val="0"/>
          <w:marTop w:val="0"/>
          <w:marBottom w:val="0"/>
          <w:divBdr>
            <w:top w:val="none" w:sz="0" w:space="0" w:color="auto"/>
            <w:left w:val="none" w:sz="0" w:space="0" w:color="auto"/>
            <w:bottom w:val="none" w:sz="0" w:space="0" w:color="auto"/>
            <w:right w:val="none" w:sz="0" w:space="0" w:color="auto"/>
          </w:divBdr>
          <w:divsChild>
            <w:div w:id="700937541">
              <w:marLeft w:val="0"/>
              <w:marRight w:val="0"/>
              <w:marTop w:val="0"/>
              <w:marBottom w:val="0"/>
              <w:divBdr>
                <w:top w:val="none" w:sz="0" w:space="0" w:color="auto"/>
                <w:left w:val="none" w:sz="0" w:space="0" w:color="auto"/>
                <w:bottom w:val="none" w:sz="0" w:space="0" w:color="auto"/>
                <w:right w:val="none" w:sz="0" w:space="0" w:color="auto"/>
              </w:divBdr>
              <w:divsChild>
                <w:div w:id="1710031169">
                  <w:marLeft w:val="480"/>
                  <w:marRight w:val="0"/>
                  <w:marTop w:val="0"/>
                  <w:marBottom w:val="0"/>
                  <w:divBdr>
                    <w:top w:val="none" w:sz="0" w:space="0" w:color="auto"/>
                    <w:left w:val="none" w:sz="0" w:space="0" w:color="auto"/>
                    <w:bottom w:val="none" w:sz="0" w:space="0" w:color="auto"/>
                    <w:right w:val="none" w:sz="0" w:space="0" w:color="auto"/>
                  </w:divBdr>
                  <w:divsChild>
                    <w:div w:id="15678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9191">
      <w:bodyDiv w:val="1"/>
      <w:marLeft w:val="0"/>
      <w:marRight w:val="0"/>
      <w:marTop w:val="0"/>
      <w:marBottom w:val="0"/>
      <w:divBdr>
        <w:top w:val="none" w:sz="0" w:space="0" w:color="auto"/>
        <w:left w:val="none" w:sz="0" w:space="0" w:color="auto"/>
        <w:bottom w:val="none" w:sz="0" w:space="0" w:color="auto"/>
        <w:right w:val="none" w:sz="0" w:space="0" w:color="auto"/>
      </w:divBdr>
    </w:div>
    <w:div w:id="1546715531">
      <w:bodyDiv w:val="1"/>
      <w:marLeft w:val="0"/>
      <w:marRight w:val="0"/>
      <w:marTop w:val="0"/>
      <w:marBottom w:val="0"/>
      <w:divBdr>
        <w:top w:val="none" w:sz="0" w:space="0" w:color="auto"/>
        <w:left w:val="none" w:sz="0" w:space="0" w:color="auto"/>
        <w:bottom w:val="none" w:sz="0" w:space="0" w:color="auto"/>
        <w:right w:val="none" w:sz="0" w:space="0" w:color="auto"/>
      </w:divBdr>
      <w:divsChild>
        <w:div w:id="1714311214">
          <w:marLeft w:val="0"/>
          <w:marRight w:val="0"/>
          <w:marTop w:val="0"/>
          <w:marBottom w:val="0"/>
          <w:divBdr>
            <w:top w:val="none" w:sz="0" w:space="0" w:color="auto"/>
            <w:left w:val="none" w:sz="0" w:space="0" w:color="auto"/>
            <w:bottom w:val="none" w:sz="0" w:space="0" w:color="auto"/>
            <w:right w:val="none" w:sz="0" w:space="0" w:color="auto"/>
          </w:divBdr>
        </w:div>
      </w:divsChild>
    </w:div>
    <w:div w:id="1554270719">
      <w:bodyDiv w:val="1"/>
      <w:marLeft w:val="0"/>
      <w:marRight w:val="0"/>
      <w:marTop w:val="0"/>
      <w:marBottom w:val="0"/>
      <w:divBdr>
        <w:top w:val="none" w:sz="0" w:space="0" w:color="auto"/>
        <w:left w:val="none" w:sz="0" w:space="0" w:color="auto"/>
        <w:bottom w:val="none" w:sz="0" w:space="0" w:color="auto"/>
        <w:right w:val="none" w:sz="0" w:space="0" w:color="auto"/>
      </w:divBdr>
      <w:divsChild>
        <w:div w:id="1010254580">
          <w:marLeft w:val="0"/>
          <w:marRight w:val="0"/>
          <w:marTop w:val="0"/>
          <w:marBottom w:val="0"/>
          <w:divBdr>
            <w:top w:val="none" w:sz="0" w:space="0" w:color="auto"/>
            <w:left w:val="none" w:sz="0" w:space="0" w:color="auto"/>
            <w:bottom w:val="none" w:sz="0" w:space="0" w:color="auto"/>
            <w:right w:val="none" w:sz="0" w:space="0" w:color="auto"/>
          </w:divBdr>
        </w:div>
        <w:div w:id="1606157228">
          <w:marLeft w:val="0"/>
          <w:marRight w:val="0"/>
          <w:marTop w:val="0"/>
          <w:marBottom w:val="0"/>
          <w:divBdr>
            <w:top w:val="none" w:sz="0" w:space="0" w:color="auto"/>
            <w:left w:val="none" w:sz="0" w:space="0" w:color="auto"/>
            <w:bottom w:val="none" w:sz="0" w:space="0" w:color="auto"/>
            <w:right w:val="none" w:sz="0" w:space="0" w:color="auto"/>
          </w:divBdr>
          <w:divsChild>
            <w:div w:id="606890698">
              <w:marLeft w:val="0"/>
              <w:marRight w:val="0"/>
              <w:marTop w:val="0"/>
              <w:marBottom w:val="0"/>
              <w:divBdr>
                <w:top w:val="none" w:sz="0" w:space="0" w:color="auto"/>
                <w:left w:val="none" w:sz="0" w:space="0" w:color="auto"/>
                <w:bottom w:val="none" w:sz="0" w:space="0" w:color="auto"/>
                <w:right w:val="none" w:sz="0" w:space="0" w:color="auto"/>
              </w:divBdr>
            </w:div>
            <w:div w:id="1597665180">
              <w:marLeft w:val="0"/>
              <w:marRight w:val="0"/>
              <w:marTop w:val="0"/>
              <w:marBottom w:val="0"/>
              <w:divBdr>
                <w:top w:val="none" w:sz="0" w:space="0" w:color="auto"/>
                <w:left w:val="none" w:sz="0" w:space="0" w:color="auto"/>
                <w:bottom w:val="none" w:sz="0" w:space="0" w:color="auto"/>
                <w:right w:val="none" w:sz="0" w:space="0" w:color="auto"/>
              </w:divBdr>
            </w:div>
          </w:divsChild>
        </w:div>
        <w:div w:id="1828595366">
          <w:marLeft w:val="0"/>
          <w:marRight w:val="0"/>
          <w:marTop w:val="0"/>
          <w:marBottom w:val="0"/>
          <w:divBdr>
            <w:top w:val="none" w:sz="0" w:space="0" w:color="auto"/>
            <w:left w:val="none" w:sz="0" w:space="0" w:color="auto"/>
            <w:bottom w:val="none" w:sz="0" w:space="0" w:color="auto"/>
            <w:right w:val="none" w:sz="0" w:space="0" w:color="auto"/>
          </w:divBdr>
        </w:div>
        <w:div w:id="1362590646">
          <w:marLeft w:val="0"/>
          <w:marRight w:val="0"/>
          <w:marTop w:val="0"/>
          <w:marBottom w:val="0"/>
          <w:divBdr>
            <w:top w:val="none" w:sz="0" w:space="0" w:color="auto"/>
            <w:left w:val="none" w:sz="0" w:space="0" w:color="auto"/>
            <w:bottom w:val="none" w:sz="0" w:space="0" w:color="auto"/>
            <w:right w:val="none" w:sz="0" w:space="0" w:color="auto"/>
          </w:divBdr>
        </w:div>
        <w:div w:id="429012234">
          <w:marLeft w:val="0"/>
          <w:marRight w:val="0"/>
          <w:marTop w:val="0"/>
          <w:marBottom w:val="0"/>
          <w:divBdr>
            <w:top w:val="none" w:sz="0" w:space="0" w:color="auto"/>
            <w:left w:val="none" w:sz="0" w:space="0" w:color="auto"/>
            <w:bottom w:val="none" w:sz="0" w:space="0" w:color="auto"/>
            <w:right w:val="none" w:sz="0" w:space="0" w:color="auto"/>
          </w:divBdr>
        </w:div>
      </w:divsChild>
    </w:div>
    <w:div w:id="1586186416">
      <w:bodyDiv w:val="1"/>
      <w:marLeft w:val="0"/>
      <w:marRight w:val="0"/>
      <w:marTop w:val="0"/>
      <w:marBottom w:val="0"/>
      <w:divBdr>
        <w:top w:val="none" w:sz="0" w:space="0" w:color="auto"/>
        <w:left w:val="none" w:sz="0" w:space="0" w:color="auto"/>
        <w:bottom w:val="none" w:sz="0" w:space="0" w:color="auto"/>
        <w:right w:val="none" w:sz="0" w:space="0" w:color="auto"/>
      </w:divBdr>
    </w:div>
    <w:div w:id="1616519187">
      <w:bodyDiv w:val="1"/>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sChild>
    </w:div>
    <w:div w:id="1618639178">
      <w:bodyDiv w:val="1"/>
      <w:marLeft w:val="0"/>
      <w:marRight w:val="0"/>
      <w:marTop w:val="0"/>
      <w:marBottom w:val="0"/>
      <w:divBdr>
        <w:top w:val="none" w:sz="0" w:space="0" w:color="auto"/>
        <w:left w:val="none" w:sz="0" w:space="0" w:color="auto"/>
        <w:bottom w:val="none" w:sz="0" w:space="0" w:color="auto"/>
        <w:right w:val="none" w:sz="0" w:space="0" w:color="auto"/>
      </w:divBdr>
      <w:divsChild>
        <w:div w:id="1761901799">
          <w:marLeft w:val="0"/>
          <w:marRight w:val="240"/>
          <w:marTop w:val="0"/>
          <w:marBottom w:val="0"/>
          <w:divBdr>
            <w:top w:val="none" w:sz="0" w:space="0" w:color="auto"/>
            <w:left w:val="none" w:sz="0" w:space="0" w:color="auto"/>
            <w:bottom w:val="none" w:sz="0" w:space="0" w:color="auto"/>
            <w:right w:val="none" w:sz="0" w:space="0" w:color="auto"/>
          </w:divBdr>
          <w:divsChild>
            <w:div w:id="1544361871">
              <w:marLeft w:val="0"/>
              <w:marRight w:val="0"/>
              <w:marTop w:val="0"/>
              <w:marBottom w:val="0"/>
              <w:divBdr>
                <w:top w:val="none" w:sz="0" w:space="0" w:color="auto"/>
                <w:left w:val="none" w:sz="0" w:space="0" w:color="auto"/>
                <w:bottom w:val="none" w:sz="0" w:space="0" w:color="auto"/>
                <w:right w:val="none" w:sz="0" w:space="0" w:color="auto"/>
              </w:divBdr>
              <w:divsChild>
                <w:div w:id="118645876">
                  <w:marLeft w:val="0"/>
                  <w:marRight w:val="0"/>
                  <w:marTop w:val="0"/>
                  <w:marBottom w:val="0"/>
                  <w:divBdr>
                    <w:top w:val="none" w:sz="0" w:space="0" w:color="auto"/>
                    <w:left w:val="none" w:sz="0" w:space="0" w:color="auto"/>
                    <w:bottom w:val="none" w:sz="0" w:space="0" w:color="auto"/>
                    <w:right w:val="none" w:sz="0" w:space="0" w:color="auto"/>
                  </w:divBdr>
                  <w:divsChild>
                    <w:div w:id="577249552">
                      <w:marLeft w:val="0"/>
                      <w:marRight w:val="0"/>
                      <w:marTop w:val="0"/>
                      <w:marBottom w:val="0"/>
                      <w:divBdr>
                        <w:top w:val="none" w:sz="0" w:space="0" w:color="auto"/>
                        <w:left w:val="none" w:sz="0" w:space="0" w:color="auto"/>
                        <w:bottom w:val="none" w:sz="0" w:space="0" w:color="auto"/>
                        <w:right w:val="none" w:sz="0" w:space="0" w:color="auto"/>
                      </w:divBdr>
                      <w:divsChild>
                        <w:div w:id="1599677819">
                          <w:marLeft w:val="0"/>
                          <w:marRight w:val="0"/>
                          <w:marTop w:val="0"/>
                          <w:marBottom w:val="0"/>
                          <w:divBdr>
                            <w:top w:val="none" w:sz="0" w:space="0" w:color="auto"/>
                            <w:left w:val="none" w:sz="0" w:space="0" w:color="auto"/>
                            <w:bottom w:val="none" w:sz="0" w:space="0" w:color="auto"/>
                            <w:right w:val="none" w:sz="0" w:space="0" w:color="auto"/>
                          </w:divBdr>
                          <w:divsChild>
                            <w:div w:id="73166565">
                              <w:marLeft w:val="0"/>
                              <w:marRight w:val="0"/>
                              <w:marTop w:val="0"/>
                              <w:marBottom w:val="0"/>
                              <w:divBdr>
                                <w:top w:val="none" w:sz="0" w:space="0" w:color="auto"/>
                                <w:left w:val="none" w:sz="0" w:space="0" w:color="auto"/>
                                <w:bottom w:val="none" w:sz="0" w:space="0" w:color="auto"/>
                                <w:right w:val="none" w:sz="0" w:space="0" w:color="auto"/>
                              </w:divBdr>
                              <w:divsChild>
                                <w:div w:id="139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5385">
                          <w:marLeft w:val="0"/>
                          <w:marRight w:val="0"/>
                          <w:marTop w:val="0"/>
                          <w:marBottom w:val="0"/>
                          <w:divBdr>
                            <w:top w:val="none" w:sz="0" w:space="0" w:color="auto"/>
                            <w:left w:val="none" w:sz="0" w:space="0" w:color="auto"/>
                            <w:bottom w:val="none" w:sz="0" w:space="0" w:color="auto"/>
                            <w:right w:val="none" w:sz="0" w:space="0" w:color="auto"/>
                          </w:divBdr>
                          <w:divsChild>
                            <w:div w:id="1177042083">
                              <w:marLeft w:val="0"/>
                              <w:marRight w:val="0"/>
                              <w:marTop w:val="0"/>
                              <w:marBottom w:val="0"/>
                              <w:divBdr>
                                <w:top w:val="none" w:sz="0" w:space="0" w:color="auto"/>
                                <w:left w:val="none" w:sz="0" w:space="0" w:color="auto"/>
                                <w:bottom w:val="none" w:sz="0" w:space="0" w:color="auto"/>
                                <w:right w:val="none" w:sz="0" w:space="0" w:color="auto"/>
                              </w:divBdr>
                              <w:divsChild>
                                <w:div w:id="18926922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41053">
      <w:bodyDiv w:val="1"/>
      <w:marLeft w:val="0"/>
      <w:marRight w:val="0"/>
      <w:marTop w:val="0"/>
      <w:marBottom w:val="0"/>
      <w:divBdr>
        <w:top w:val="none" w:sz="0" w:space="0" w:color="auto"/>
        <w:left w:val="none" w:sz="0" w:space="0" w:color="auto"/>
        <w:bottom w:val="none" w:sz="0" w:space="0" w:color="auto"/>
        <w:right w:val="none" w:sz="0" w:space="0" w:color="auto"/>
      </w:divBdr>
    </w:div>
    <w:div w:id="1621644266">
      <w:bodyDiv w:val="1"/>
      <w:marLeft w:val="0"/>
      <w:marRight w:val="0"/>
      <w:marTop w:val="0"/>
      <w:marBottom w:val="0"/>
      <w:divBdr>
        <w:top w:val="none" w:sz="0" w:space="0" w:color="auto"/>
        <w:left w:val="none" w:sz="0" w:space="0" w:color="auto"/>
        <w:bottom w:val="none" w:sz="0" w:space="0" w:color="auto"/>
        <w:right w:val="none" w:sz="0" w:space="0" w:color="auto"/>
      </w:divBdr>
    </w:div>
    <w:div w:id="1627807748">
      <w:bodyDiv w:val="1"/>
      <w:marLeft w:val="0"/>
      <w:marRight w:val="0"/>
      <w:marTop w:val="0"/>
      <w:marBottom w:val="0"/>
      <w:divBdr>
        <w:top w:val="none" w:sz="0" w:space="0" w:color="auto"/>
        <w:left w:val="none" w:sz="0" w:space="0" w:color="auto"/>
        <w:bottom w:val="none" w:sz="0" w:space="0" w:color="auto"/>
        <w:right w:val="none" w:sz="0" w:space="0" w:color="auto"/>
      </w:divBdr>
    </w:div>
    <w:div w:id="1637905545">
      <w:bodyDiv w:val="1"/>
      <w:marLeft w:val="0"/>
      <w:marRight w:val="0"/>
      <w:marTop w:val="0"/>
      <w:marBottom w:val="0"/>
      <w:divBdr>
        <w:top w:val="none" w:sz="0" w:space="0" w:color="auto"/>
        <w:left w:val="none" w:sz="0" w:space="0" w:color="auto"/>
        <w:bottom w:val="none" w:sz="0" w:space="0" w:color="auto"/>
        <w:right w:val="none" w:sz="0" w:space="0" w:color="auto"/>
      </w:divBdr>
    </w:div>
    <w:div w:id="1639648216">
      <w:bodyDiv w:val="1"/>
      <w:marLeft w:val="0"/>
      <w:marRight w:val="0"/>
      <w:marTop w:val="0"/>
      <w:marBottom w:val="0"/>
      <w:divBdr>
        <w:top w:val="none" w:sz="0" w:space="0" w:color="auto"/>
        <w:left w:val="none" w:sz="0" w:space="0" w:color="auto"/>
        <w:bottom w:val="none" w:sz="0" w:space="0" w:color="auto"/>
        <w:right w:val="none" w:sz="0" w:space="0" w:color="auto"/>
      </w:divBdr>
    </w:div>
    <w:div w:id="1645819510">
      <w:bodyDiv w:val="1"/>
      <w:marLeft w:val="0"/>
      <w:marRight w:val="0"/>
      <w:marTop w:val="0"/>
      <w:marBottom w:val="0"/>
      <w:divBdr>
        <w:top w:val="none" w:sz="0" w:space="0" w:color="auto"/>
        <w:left w:val="none" w:sz="0" w:space="0" w:color="auto"/>
        <w:bottom w:val="none" w:sz="0" w:space="0" w:color="auto"/>
        <w:right w:val="none" w:sz="0" w:space="0" w:color="auto"/>
      </w:divBdr>
    </w:div>
    <w:div w:id="1656564102">
      <w:bodyDiv w:val="1"/>
      <w:marLeft w:val="0"/>
      <w:marRight w:val="0"/>
      <w:marTop w:val="0"/>
      <w:marBottom w:val="0"/>
      <w:divBdr>
        <w:top w:val="none" w:sz="0" w:space="0" w:color="auto"/>
        <w:left w:val="none" w:sz="0" w:space="0" w:color="auto"/>
        <w:bottom w:val="none" w:sz="0" w:space="0" w:color="auto"/>
        <w:right w:val="none" w:sz="0" w:space="0" w:color="auto"/>
      </w:divBdr>
    </w:div>
    <w:div w:id="1660308596">
      <w:bodyDiv w:val="1"/>
      <w:marLeft w:val="0"/>
      <w:marRight w:val="0"/>
      <w:marTop w:val="0"/>
      <w:marBottom w:val="0"/>
      <w:divBdr>
        <w:top w:val="none" w:sz="0" w:space="0" w:color="auto"/>
        <w:left w:val="none" w:sz="0" w:space="0" w:color="auto"/>
        <w:bottom w:val="none" w:sz="0" w:space="0" w:color="auto"/>
        <w:right w:val="none" w:sz="0" w:space="0" w:color="auto"/>
      </w:divBdr>
    </w:div>
    <w:div w:id="1668508983">
      <w:bodyDiv w:val="1"/>
      <w:marLeft w:val="0"/>
      <w:marRight w:val="0"/>
      <w:marTop w:val="0"/>
      <w:marBottom w:val="0"/>
      <w:divBdr>
        <w:top w:val="none" w:sz="0" w:space="0" w:color="auto"/>
        <w:left w:val="none" w:sz="0" w:space="0" w:color="auto"/>
        <w:bottom w:val="none" w:sz="0" w:space="0" w:color="auto"/>
        <w:right w:val="none" w:sz="0" w:space="0" w:color="auto"/>
      </w:divBdr>
    </w:div>
    <w:div w:id="1673216113">
      <w:bodyDiv w:val="1"/>
      <w:marLeft w:val="0"/>
      <w:marRight w:val="0"/>
      <w:marTop w:val="0"/>
      <w:marBottom w:val="0"/>
      <w:divBdr>
        <w:top w:val="none" w:sz="0" w:space="0" w:color="auto"/>
        <w:left w:val="none" w:sz="0" w:space="0" w:color="auto"/>
        <w:bottom w:val="none" w:sz="0" w:space="0" w:color="auto"/>
        <w:right w:val="none" w:sz="0" w:space="0" w:color="auto"/>
      </w:divBdr>
    </w:div>
    <w:div w:id="1676028657">
      <w:bodyDiv w:val="1"/>
      <w:marLeft w:val="0"/>
      <w:marRight w:val="0"/>
      <w:marTop w:val="0"/>
      <w:marBottom w:val="0"/>
      <w:divBdr>
        <w:top w:val="none" w:sz="0" w:space="0" w:color="auto"/>
        <w:left w:val="none" w:sz="0" w:space="0" w:color="auto"/>
        <w:bottom w:val="none" w:sz="0" w:space="0" w:color="auto"/>
        <w:right w:val="none" w:sz="0" w:space="0" w:color="auto"/>
      </w:divBdr>
    </w:div>
    <w:div w:id="1683699890">
      <w:bodyDiv w:val="1"/>
      <w:marLeft w:val="0"/>
      <w:marRight w:val="0"/>
      <w:marTop w:val="0"/>
      <w:marBottom w:val="0"/>
      <w:divBdr>
        <w:top w:val="none" w:sz="0" w:space="0" w:color="auto"/>
        <w:left w:val="none" w:sz="0" w:space="0" w:color="auto"/>
        <w:bottom w:val="none" w:sz="0" w:space="0" w:color="auto"/>
        <w:right w:val="none" w:sz="0" w:space="0" w:color="auto"/>
      </w:divBdr>
      <w:divsChild>
        <w:div w:id="51849975">
          <w:marLeft w:val="0"/>
          <w:marRight w:val="0"/>
          <w:marTop w:val="0"/>
          <w:marBottom w:val="0"/>
          <w:divBdr>
            <w:top w:val="none" w:sz="0" w:space="0" w:color="auto"/>
            <w:left w:val="none" w:sz="0" w:space="0" w:color="auto"/>
            <w:bottom w:val="none" w:sz="0" w:space="0" w:color="auto"/>
            <w:right w:val="none" w:sz="0" w:space="0" w:color="auto"/>
          </w:divBdr>
          <w:divsChild>
            <w:div w:id="498619224">
              <w:marLeft w:val="0"/>
              <w:marRight w:val="0"/>
              <w:marTop w:val="0"/>
              <w:marBottom w:val="0"/>
              <w:divBdr>
                <w:top w:val="none" w:sz="0" w:space="0" w:color="auto"/>
                <w:left w:val="none" w:sz="0" w:space="0" w:color="auto"/>
                <w:bottom w:val="none" w:sz="0" w:space="0" w:color="auto"/>
                <w:right w:val="none" w:sz="0" w:space="0" w:color="auto"/>
              </w:divBdr>
              <w:divsChild>
                <w:div w:id="1006517573">
                  <w:marLeft w:val="480"/>
                  <w:marRight w:val="0"/>
                  <w:marTop w:val="0"/>
                  <w:marBottom w:val="0"/>
                  <w:divBdr>
                    <w:top w:val="none" w:sz="0" w:space="0" w:color="auto"/>
                    <w:left w:val="none" w:sz="0" w:space="0" w:color="auto"/>
                    <w:bottom w:val="none" w:sz="0" w:space="0" w:color="auto"/>
                    <w:right w:val="none" w:sz="0" w:space="0" w:color="auto"/>
                  </w:divBdr>
                  <w:divsChild>
                    <w:div w:id="595678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87823140">
      <w:bodyDiv w:val="1"/>
      <w:marLeft w:val="0"/>
      <w:marRight w:val="0"/>
      <w:marTop w:val="0"/>
      <w:marBottom w:val="0"/>
      <w:divBdr>
        <w:top w:val="none" w:sz="0" w:space="0" w:color="auto"/>
        <w:left w:val="none" w:sz="0" w:space="0" w:color="auto"/>
        <w:bottom w:val="none" w:sz="0" w:space="0" w:color="auto"/>
        <w:right w:val="none" w:sz="0" w:space="0" w:color="auto"/>
      </w:divBdr>
    </w:div>
    <w:div w:id="1701398156">
      <w:bodyDiv w:val="1"/>
      <w:marLeft w:val="0"/>
      <w:marRight w:val="0"/>
      <w:marTop w:val="0"/>
      <w:marBottom w:val="0"/>
      <w:divBdr>
        <w:top w:val="none" w:sz="0" w:space="0" w:color="auto"/>
        <w:left w:val="none" w:sz="0" w:space="0" w:color="auto"/>
        <w:bottom w:val="none" w:sz="0" w:space="0" w:color="auto"/>
        <w:right w:val="none" w:sz="0" w:space="0" w:color="auto"/>
      </w:divBdr>
    </w:div>
    <w:div w:id="1717778563">
      <w:bodyDiv w:val="1"/>
      <w:marLeft w:val="0"/>
      <w:marRight w:val="0"/>
      <w:marTop w:val="0"/>
      <w:marBottom w:val="0"/>
      <w:divBdr>
        <w:top w:val="none" w:sz="0" w:space="0" w:color="auto"/>
        <w:left w:val="none" w:sz="0" w:space="0" w:color="auto"/>
        <w:bottom w:val="none" w:sz="0" w:space="0" w:color="auto"/>
        <w:right w:val="none" w:sz="0" w:space="0" w:color="auto"/>
      </w:divBdr>
      <w:divsChild>
        <w:div w:id="1948081347">
          <w:marLeft w:val="0"/>
          <w:marRight w:val="0"/>
          <w:marTop w:val="0"/>
          <w:marBottom w:val="0"/>
          <w:divBdr>
            <w:top w:val="none" w:sz="0" w:space="0" w:color="auto"/>
            <w:left w:val="none" w:sz="0" w:space="0" w:color="auto"/>
            <w:bottom w:val="none" w:sz="0" w:space="0" w:color="auto"/>
            <w:right w:val="none" w:sz="0" w:space="0" w:color="auto"/>
          </w:divBdr>
        </w:div>
        <w:div w:id="1020594940">
          <w:marLeft w:val="0"/>
          <w:marRight w:val="0"/>
          <w:marTop w:val="0"/>
          <w:marBottom w:val="0"/>
          <w:divBdr>
            <w:top w:val="none" w:sz="0" w:space="0" w:color="auto"/>
            <w:left w:val="none" w:sz="0" w:space="0" w:color="auto"/>
            <w:bottom w:val="none" w:sz="0" w:space="0" w:color="auto"/>
            <w:right w:val="none" w:sz="0" w:space="0" w:color="auto"/>
          </w:divBdr>
        </w:div>
        <w:div w:id="24645625">
          <w:marLeft w:val="0"/>
          <w:marRight w:val="0"/>
          <w:marTop w:val="0"/>
          <w:marBottom w:val="0"/>
          <w:divBdr>
            <w:top w:val="none" w:sz="0" w:space="0" w:color="auto"/>
            <w:left w:val="none" w:sz="0" w:space="0" w:color="auto"/>
            <w:bottom w:val="none" w:sz="0" w:space="0" w:color="auto"/>
            <w:right w:val="none" w:sz="0" w:space="0" w:color="auto"/>
          </w:divBdr>
        </w:div>
        <w:div w:id="1386950518">
          <w:marLeft w:val="0"/>
          <w:marRight w:val="0"/>
          <w:marTop w:val="0"/>
          <w:marBottom w:val="0"/>
          <w:divBdr>
            <w:top w:val="none" w:sz="0" w:space="0" w:color="auto"/>
            <w:left w:val="none" w:sz="0" w:space="0" w:color="auto"/>
            <w:bottom w:val="none" w:sz="0" w:space="0" w:color="auto"/>
            <w:right w:val="none" w:sz="0" w:space="0" w:color="auto"/>
          </w:divBdr>
        </w:div>
      </w:divsChild>
    </w:div>
    <w:div w:id="1722709163">
      <w:bodyDiv w:val="1"/>
      <w:marLeft w:val="0"/>
      <w:marRight w:val="0"/>
      <w:marTop w:val="0"/>
      <w:marBottom w:val="0"/>
      <w:divBdr>
        <w:top w:val="none" w:sz="0" w:space="0" w:color="auto"/>
        <w:left w:val="none" w:sz="0" w:space="0" w:color="auto"/>
        <w:bottom w:val="none" w:sz="0" w:space="0" w:color="auto"/>
        <w:right w:val="none" w:sz="0" w:space="0" w:color="auto"/>
      </w:divBdr>
    </w:div>
    <w:div w:id="1729646299">
      <w:bodyDiv w:val="1"/>
      <w:marLeft w:val="0"/>
      <w:marRight w:val="0"/>
      <w:marTop w:val="0"/>
      <w:marBottom w:val="0"/>
      <w:divBdr>
        <w:top w:val="none" w:sz="0" w:space="0" w:color="auto"/>
        <w:left w:val="none" w:sz="0" w:space="0" w:color="auto"/>
        <w:bottom w:val="none" w:sz="0" w:space="0" w:color="auto"/>
        <w:right w:val="none" w:sz="0" w:space="0" w:color="auto"/>
      </w:divBdr>
      <w:divsChild>
        <w:div w:id="1279606210">
          <w:marLeft w:val="0"/>
          <w:marRight w:val="0"/>
          <w:marTop w:val="0"/>
          <w:marBottom w:val="0"/>
          <w:divBdr>
            <w:top w:val="none" w:sz="0" w:space="0" w:color="auto"/>
            <w:left w:val="none" w:sz="0" w:space="0" w:color="auto"/>
            <w:bottom w:val="none" w:sz="0" w:space="0" w:color="auto"/>
            <w:right w:val="dotted" w:sz="6" w:space="23" w:color="CBC9CD"/>
          </w:divBdr>
          <w:divsChild>
            <w:div w:id="791287111">
              <w:marLeft w:val="0"/>
              <w:marRight w:val="0"/>
              <w:marTop w:val="0"/>
              <w:marBottom w:val="0"/>
              <w:divBdr>
                <w:top w:val="none" w:sz="0" w:space="0" w:color="auto"/>
                <w:left w:val="none" w:sz="0" w:space="0" w:color="auto"/>
                <w:bottom w:val="none" w:sz="0" w:space="0" w:color="auto"/>
                <w:right w:val="none" w:sz="0" w:space="0" w:color="auto"/>
              </w:divBdr>
              <w:divsChild>
                <w:div w:id="661012082">
                  <w:marLeft w:val="0"/>
                  <w:marRight w:val="0"/>
                  <w:marTop w:val="0"/>
                  <w:marBottom w:val="0"/>
                  <w:divBdr>
                    <w:top w:val="none" w:sz="0" w:space="0" w:color="auto"/>
                    <w:left w:val="none" w:sz="0" w:space="0" w:color="auto"/>
                    <w:bottom w:val="none" w:sz="0" w:space="0" w:color="auto"/>
                    <w:right w:val="none" w:sz="0" w:space="0" w:color="auto"/>
                  </w:divBdr>
                  <w:divsChild>
                    <w:div w:id="19116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8021">
      <w:bodyDiv w:val="1"/>
      <w:marLeft w:val="0"/>
      <w:marRight w:val="0"/>
      <w:marTop w:val="0"/>
      <w:marBottom w:val="0"/>
      <w:divBdr>
        <w:top w:val="none" w:sz="0" w:space="0" w:color="auto"/>
        <w:left w:val="none" w:sz="0" w:space="0" w:color="auto"/>
        <w:bottom w:val="none" w:sz="0" w:space="0" w:color="auto"/>
        <w:right w:val="none" w:sz="0" w:space="0" w:color="auto"/>
      </w:divBdr>
    </w:div>
    <w:div w:id="1751348757">
      <w:bodyDiv w:val="1"/>
      <w:marLeft w:val="0"/>
      <w:marRight w:val="0"/>
      <w:marTop w:val="0"/>
      <w:marBottom w:val="0"/>
      <w:divBdr>
        <w:top w:val="none" w:sz="0" w:space="0" w:color="auto"/>
        <w:left w:val="none" w:sz="0" w:space="0" w:color="auto"/>
        <w:bottom w:val="none" w:sz="0" w:space="0" w:color="auto"/>
        <w:right w:val="none" w:sz="0" w:space="0" w:color="auto"/>
      </w:divBdr>
    </w:div>
    <w:div w:id="1759057542">
      <w:bodyDiv w:val="1"/>
      <w:marLeft w:val="0"/>
      <w:marRight w:val="0"/>
      <w:marTop w:val="0"/>
      <w:marBottom w:val="0"/>
      <w:divBdr>
        <w:top w:val="none" w:sz="0" w:space="0" w:color="auto"/>
        <w:left w:val="none" w:sz="0" w:space="0" w:color="auto"/>
        <w:bottom w:val="none" w:sz="0" w:space="0" w:color="auto"/>
        <w:right w:val="none" w:sz="0" w:space="0" w:color="auto"/>
      </w:divBdr>
    </w:div>
    <w:div w:id="1765685768">
      <w:bodyDiv w:val="1"/>
      <w:marLeft w:val="0"/>
      <w:marRight w:val="0"/>
      <w:marTop w:val="0"/>
      <w:marBottom w:val="0"/>
      <w:divBdr>
        <w:top w:val="none" w:sz="0" w:space="0" w:color="auto"/>
        <w:left w:val="none" w:sz="0" w:space="0" w:color="auto"/>
        <w:bottom w:val="none" w:sz="0" w:space="0" w:color="auto"/>
        <w:right w:val="none" w:sz="0" w:space="0" w:color="auto"/>
      </w:divBdr>
    </w:div>
    <w:div w:id="1766147161">
      <w:bodyDiv w:val="1"/>
      <w:marLeft w:val="0"/>
      <w:marRight w:val="0"/>
      <w:marTop w:val="0"/>
      <w:marBottom w:val="0"/>
      <w:divBdr>
        <w:top w:val="none" w:sz="0" w:space="0" w:color="auto"/>
        <w:left w:val="none" w:sz="0" w:space="0" w:color="auto"/>
        <w:bottom w:val="none" w:sz="0" w:space="0" w:color="auto"/>
        <w:right w:val="none" w:sz="0" w:space="0" w:color="auto"/>
      </w:divBdr>
    </w:div>
    <w:div w:id="1781530876">
      <w:bodyDiv w:val="1"/>
      <w:marLeft w:val="0"/>
      <w:marRight w:val="0"/>
      <w:marTop w:val="0"/>
      <w:marBottom w:val="0"/>
      <w:divBdr>
        <w:top w:val="none" w:sz="0" w:space="0" w:color="auto"/>
        <w:left w:val="none" w:sz="0" w:space="0" w:color="auto"/>
        <w:bottom w:val="none" w:sz="0" w:space="0" w:color="auto"/>
        <w:right w:val="none" w:sz="0" w:space="0" w:color="auto"/>
      </w:divBdr>
      <w:divsChild>
        <w:div w:id="250940753">
          <w:marLeft w:val="0"/>
          <w:marRight w:val="0"/>
          <w:marTop w:val="0"/>
          <w:marBottom w:val="0"/>
          <w:divBdr>
            <w:top w:val="none" w:sz="0" w:space="0" w:color="auto"/>
            <w:left w:val="none" w:sz="0" w:space="0" w:color="auto"/>
            <w:bottom w:val="none" w:sz="0" w:space="0" w:color="auto"/>
            <w:right w:val="none" w:sz="0" w:space="0" w:color="auto"/>
          </w:divBdr>
          <w:divsChild>
            <w:div w:id="175925489">
              <w:marLeft w:val="0"/>
              <w:marRight w:val="0"/>
              <w:marTop w:val="0"/>
              <w:marBottom w:val="0"/>
              <w:divBdr>
                <w:top w:val="none" w:sz="0" w:space="0" w:color="auto"/>
                <w:left w:val="none" w:sz="0" w:space="0" w:color="auto"/>
                <w:bottom w:val="none" w:sz="0" w:space="0" w:color="auto"/>
                <w:right w:val="none" w:sz="0" w:space="0" w:color="auto"/>
              </w:divBdr>
              <w:divsChild>
                <w:div w:id="718017094">
                  <w:marLeft w:val="0"/>
                  <w:marRight w:val="0"/>
                  <w:marTop w:val="0"/>
                  <w:marBottom w:val="0"/>
                  <w:divBdr>
                    <w:top w:val="none" w:sz="0" w:space="0" w:color="auto"/>
                    <w:left w:val="none" w:sz="0" w:space="0" w:color="auto"/>
                    <w:bottom w:val="none" w:sz="0" w:space="0" w:color="auto"/>
                    <w:right w:val="none" w:sz="0" w:space="0" w:color="auto"/>
                  </w:divBdr>
                  <w:divsChild>
                    <w:div w:id="1912158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84037282">
      <w:bodyDiv w:val="1"/>
      <w:marLeft w:val="0"/>
      <w:marRight w:val="0"/>
      <w:marTop w:val="0"/>
      <w:marBottom w:val="0"/>
      <w:divBdr>
        <w:top w:val="none" w:sz="0" w:space="0" w:color="auto"/>
        <w:left w:val="none" w:sz="0" w:space="0" w:color="auto"/>
        <w:bottom w:val="none" w:sz="0" w:space="0" w:color="auto"/>
        <w:right w:val="none" w:sz="0" w:space="0" w:color="auto"/>
      </w:divBdr>
    </w:div>
    <w:div w:id="1785926070">
      <w:bodyDiv w:val="1"/>
      <w:marLeft w:val="0"/>
      <w:marRight w:val="0"/>
      <w:marTop w:val="0"/>
      <w:marBottom w:val="0"/>
      <w:divBdr>
        <w:top w:val="none" w:sz="0" w:space="0" w:color="auto"/>
        <w:left w:val="none" w:sz="0" w:space="0" w:color="auto"/>
        <w:bottom w:val="none" w:sz="0" w:space="0" w:color="auto"/>
        <w:right w:val="none" w:sz="0" w:space="0" w:color="auto"/>
      </w:divBdr>
      <w:divsChild>
        <w:div w:id="45572753">
          <w:marLeft w:val="0"/>
          <w:marRight w:val="0"/>
          <w:marTop w:val="0"/>
          <w:marBottom w:val="0"/>
          <w:divBdr>
            <w:top w:val="none" w:sz="0" w:space="0" w:color="auto"/>
            <w:left w:val="none" w:sz="0" w:space="0" w:color="auto"/>
            <w:bottom w:val="none" w:sz="0" w:space="0" w:color="auto"/>
            <w:right w:val="none" w:sz="0" w:space="0" w:color="auto"/>
          </w:divBdr>
        </w:div>
      </w:divsChild>
    </w:div>
    <w:div w:id="1790735846">
      <w:bodyDiv w:val="1"/>
      <w:marLeft w:val="0"/>
      <w:marRight w:val="0"/>
      <w:marTop w:val="0"/>
      <w:marBottom w:val="0"/>
      <w:divBdr>
        <w:top w:val="none" w:sz="0" w:space="0" w:color="auto"/>
        <w:left w:val="none" w:sz="0" w:space="0" w:color="auto"/>
        <w:bottom w:val="none" w:sz="0" w:space="0" w:color="auto"/>
        <w:right w:val="none" w:sz="0" w:space="0" w:color="auto"/>
      </w:divBdr>
    </w:div>
    <w:div w:id="1795640342">
      <w:bodyDiv w:val="1"/>
      <w:marLeft w:val="0"/>
      <w:marRight w:val="0"/>
      <w:marTop w:val="0"/>
      <w:marBottom w:val="0"/>
      <w:divBdr>
        <w:top w:val="none" w:sz="0" w:space="0" w:color="auto"/>
        <w:left w:val="none" w:sz="0" w:space="0" w:color="auto"/>
        <w:bottom w:val="none" w:sz="0" w:space="0" w:color="auto"/>
        <w:right w:val="none" w:sz="0" w:space="0" w:color="auto"/>
      </w:divBdr>
    </w:div>
    <w:div w:id="1799372219">
      <w:bodyDiv w:val="1"/>
      <w:marLeft w:val="0"/>
      <w:marRight w:val="0"/>
      <w:marTop w:val="0"/>
      <w:marBottom w:val="0"/>
      <w:divBdr>
        <w:top w:val="none" w:sz="0" w:space="0" w:color="auto"/>
        <w:left w:val="none" w:sz="0" w:space="0" w:color="auto"/>
        <w:bottom w:val="none" w:sz="0" w:space="0" w:color="auto"/>
        <w:right w:val="none" w:sz="0" w:space="0" w:color="auto"/>
      </w:divBdr>
    </w:div>
    <w:div w:id="1816801705">
      <w:bodyDiv w:val="1"/>
      <w:marLeft w:val="0"/>
      <w:marRight w:val="0"/>
      <w:marTop w:val="0"/>
      <w:marBottom w:val="0"/>
      <w:divBdr>
        <w:top w:val="none" w:sz="0" w:space="0" w:color="auto"/>
        <w:left w:val="none" w:sz="0" w:space="0" w:color="auto"/>
        <w:bottom w:val="none" w:sz="0" w:space="0" w:color="auto"/>
        <w:right w:val="none" w:sz="0" w:space="0" w:color="auto"/>
      </w:divBdr>
    </w:div>
    <w:div w:id="1823279205">
      <w:bodyDiv w:val="1"/>
      <w:marLeft w:val="0"/>
      <w:marRight w:val="0"/>
      <w:marTop w:val="0"/>
      <w:marBottom w:val="0"/>
      <w:divBdr>
        <w:top w:val="none" w:sz="0" w:space="0" w:color="auto"/>
        <w:left w:val="none" w:sz="0" w:space="0" w:color="auto"/>
        <w:bottom w:val="none" w:sz="0" w:space="0" w:color="auto"/>
        <w:right w:val="none" w:sz="0" w:space="0" w:color="auto"/>
      </w:divBdr>
      <w:divsChild>
        <w:div w:id="344288937">
          <w:marLeft w:val="0"/>
          <w:marRight w:val="0"/>
          <w:marTop w:val="0"/>
          <w:marBottom w:val="0"/>
          <w:divBdr>
            <w:top w:val="none" w:sz="0" w:space="0" w:color="auto"/>
            <w:left w:val="none" w:sz="0" w:space="0" w:color="auto"/>
            <w:bottom w:val="none" w:sz="0" w:space="0" w:color="auto"/>
            <w:right w:val="none" w:sz="0" w:space="0" w:color="auto"/>
          </w:divBdr>
        </w:div>
        <w:div w:id="1027826538">
          <w:marLeft w:val="0"/>
          <w:marRight w:val="0"/>
          <w:marTop w:val="0"/>
          <w:marBottom w:val="0"/>
          <w:divBdr>
            <w:top w:val="none" w:sz="0" w:space="0" w:color="auto"/>
            <w:left w:val="none" w:sz="0" w:space="0" w:color="auto"/>
            <w:bottom w:val="none" w:sz="0" w:space="0" w:color="auto"/>
            <w:right w:val="none" w:sz="0" w:space="0" w:color="auto"/>
          </w:divBdr>
          <w:divsChild>
            <w:div w:id="1829058956">
              <w:marLeft w:val="0"/>
              <w:marRight w:val="0"/>
              <w:marTop w:val="0"/>
              <w:marBottom w:val="0"/>
              <w:divBdr>
                <w:top w:val="none" w:sz="0" w:space="0" w:color="auto"/>
                <w:left w:val="none" w:sz="0" w:space="0" w:color="auto"/>
                <w:bottom w:val="none" w:sz="0" w:space="0" w:color="auto"/>
                <w:right w:val="none" w:sz="0" w:space="0" w:color="auto"/>
              </w:divBdr>
              <w:divsChild>
                <w:div w:id="1893153918">
                  <w:marLeft w:val="0"/>
                  <w:marRight w:val="0"/>
                  <w:marTop w:val="0"/>
                  <w:marBottom w:val="0"/>
                  <w:divBdr>
                    <w:top w:val="none" w:sz="0" w:space="0" w:color="auto"/>
                    <w:left w:val="none" w:sz="0" w:space="0" w:color="auto"/>
                    <w:bottom w:val="none" w:sz="0" w:space="0" w:color="auto"/>
                    <w:right w:val="none" w:sz="0" w:space="0" w:color="auto"/>
                  </w:divBdr>
                </w:div>
                <w:div w:id="11495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4715">
      <w:bodyDiv w:val="1"/>
      <w:marLeft w:val="0"/>
      <w:marRight w:val="0"/>
      <w:marTop w:val="0"/>
      <w:marBottom w:val="0"/>
      <w:divBdr>
        <w:top w:val="none" w:sz="0" w:space="0" w:color="auto"/>
        <w:left w:val="none" w:sz="0" w:space="0" w:color="auto"/>
        <w:bottom w:val="none" w:sz="0" w:space="0" w:color="auto"/>
        <w:right w:val="none" w:sz="0" w:space="0" w:color="auto"/>
      </w:divBdr>
      <w:divsChild>
        <w:div w:id="520095794">
          <w:marLeft w:val="0"/>
          <w:marRight w:val="0"/>
          <w:marTop w:val="0"/>
          <w:marBottom w:val="0"/>
          <w:divBdr>
            <w:top w:val="none" w:sz="0" w:space="0" w:color="auto"/>
            <w:left w:val="none" w:sz="0" w:space="0" w:color="auto"/>
            <w:bottom w:val="none" w:sz="0" w:space="0" w:color="auto"/>
            <w:right w:val="none" w:sz="0" w:space="0" w:color="auto"/>
          </w:divBdr>
          <w:divsChild>
            <w:div w:id="224217597">
              <w:marLeft w:val="0"/>
              <w:marRight w:val="0"/>
              <w:marTop w:val="0"/>
              <w:marBottom w:val="0"/>
              <w:divBdr>
                <w:top w:val="none" w:sz="0" w:space="0" w:color="auto"/>
                <w:left w:val="none" w:sz="0" w:space="0" w:color="auto"/>
                <w:bottom w:val="none" w:sz="0" w:space="0" w:color="auto"/>
                <w:right w:val="none" w:sz="0" w:space="0" w:color="auto"/>
              </w:divBdr>
              <w:divsChild>
                <w:div w:id="323751453">
                  <w:marLeft w:val="480"/>
                  <w:marRight w:val="0"/>
                  <w:marTop w:val="0"/>
                  <w:marBottom w:val="0"/>
                  <w:divBdr>
                    <w:top w:val="none" w:sz="0" w:space="0" w:color="auto"/>
                    <w:left w:val="none" w:sz="0" w:space="0" w:color="auto"/>
                    <w:bottom w:val="none" w:sz="0" w:space="0" w:color="auto"/>
                    <w:right w:val="none" w:sz="0" w:space="0" w:color="auto"/>
                  </w:divBdr>
                  <w:divsChild>
                    <w:div w:id="66805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71526976">
      <w:bodyDiv w:val="1"/>
      <w:marLeft w:val="0"/>
      <w:marRight w:val="0"/>
      <w:marTop w:val="0"/>
      <w:marBottom w:val="0"/>
      <w:divBdr>
        <w:top w:val="none" w:sz="0" w:space="0" w:color="auto"/>
        <w:left w:val="none" w:sz="0" w:space="0" w:color="auto"/>
        <w:bottom w:val="none" w:sz="0" w:space="0" w:color="auto"/>
        <w:right w:val="none" w:sz="0" w:space="0" w:color="auto"/>
      </w:divBdr>
    </w:div>
    <w:div w:id="1883326960">
      <w:bodyDiv w:val="1"/>
      <w:marLeft w:val="0"/>
      <w:marRight w:val="0"/>
      <w:marTop w:val="0"/>
      <w:marBottom w:val="0"/>
      <w:divBdr>
        <w:top w:val="none" w:sz="0" w:space="0" w:color="auto"/>
        <w:left w:val="none" w:sz="0" w:space="0" w:color="auto"/>
        <w:bottom w:val="none" w:sz="0" w:space="0" w:color="auto"/>
        <w:right w:val="none" w:sz="0" w:space="0" w:color="auto"/>
      </w:divBdr>
    </w:div>
    <w:div w:id="1905800911">
      <w:bodyDiv w:val="1"/>
      <w:marLeft w:val="0"/>
      <w:marRight w:val="0"/>
      <w:marTop w:val="0"/>
      <w:marBottom w:val="0"/>
      <w:divBdr>
        <w:top w:val="none" w:sz="0" w:space="0" w:color="auto"/>
        <w:left w:val="none" w:sz="0" w:space="0" w:color="auto"/>
        <w:bottom w:val="none" w:sz="0" w:space="0" w:color="auto"/>
        <w:right w:val="none" w:sz="0" w:space="0" w:color="auto"/>
      </w:divBdr>
    </w:div>
    <w:div w:id="1913004261">
      <w:bodyDiv w:val="1"/>
      <w:marLeft w:val="0"/>
      <w:marRight w:val="0"/>
      <w:marTop w:val="0"/>
      <w:marBottom w:val="0"/>
      <w:divBdr>
        <w:top w:val="none" w:sz="0" w:space="0" w:color="auto"/>
        <w:left w:val="none" w:sz="0" w:space="0" w:color="auto"/>
        <w:bottom w:val="none" w:sz="0" w:space="0" w:color="auto"/>
        <w:right w:val="none" w:sz="0" w:space="0" w:color="auto"/>
      </w:divBdr>
    </w:div>
    <w:div w:id="1916815880">
      <w:bodyDiv w:val="1"/>
      <w:marLeft w:val="0"/>
      <w:marRight w:val="0"/>
      <w:marTop w:val="0"/>
      <w:marBottom w:val="0"/>
      <w:divBdr>
        <w:top w:val="none" w:sz="0" w:space="0" w:color="auto"/>
        <w:left w:val="none" w:sz="0" w:space="0" w:color="auto"/>
        <w:bottom w:val="none" w:sz="0" w:space="0" w:color="auto"/>
        <w:right w:val="none" w:sz="0" w:space="0" w:color="auto"/>
      </w:divBdr>
    </w:div>
    <w:div w:id="1923173922">
      <w:bodyDiv w:val="1"/>
      <w:marLeft w:val="0"/>
      <w:marRight w:val="0"/>
      <w:marTop w:val="0"/>
      <w:marBottom w:val="0"/>
      <w:divBdr>
        <w:top w:val="none" w:sz="0" w:space="0" w:color="auto"/>
        <w:left w:val="none" w:sz="0" w:space="0" w:color="auto"/>
        <w:bottom w:val="none" w:sz="0" w:space="0" w:color="auto"/>
        <w:right w:val="none" w:sz="0" w:space="0" w:color="auto"/>
      </w:divBdr>
    </w:div>
    <w:div w:id="1929314900">
      <w:bodyDiv w:val="1"/>
      <w:marLeft w:val="0"/>
      <w:marRight w:val="0"/>
      <w:marTop w:val="0"/>
      <w:marBottom w:val="0"/>
      <w:divBdr>
        <w:top w:val="none" w:sz="0" w:space="0" w:color="auto"/>
        <w:left w:val="none" w:sz="0" w:space="0" w:color="auto"/>
        <w:bottom w:val="none" w:sz="0" w:space="0" w:color="auto"/>
        <w:right w:val="none" w:sz="0" w:space="0" w:color="auto"/>
      </w:divBdr>
      <w:divsChild>
        <w:div w:id="310988602">
          <w:marLeft w:val="0"/>
          <w:marRight w:val="0"/>
          <w:marTop w:val="0"/>
          <w:marBottom w:val="0"/>
          <w:divBdr>
            <w:top w:val="none" w:sz="0" w:space="0" w:color="auto"/>
            <w:left w:val="none" w:sz="0" w:space="0" w:color="auto"/>
            <w:bottom w:val="none" w:sz="0" w:space="0" w:color="auto"/>
            <w:right w:val="none" w:sz="0" w:space="0" w:color="auto"/>
          </w:divBdr>
          <w:divsChild>
            <w:div w:id="1228876790">
              <w:marLeft w:val="0"/>
              <w:marRight w:val="0"/>
              <w:marTop w:val="0"/>
              <w:marBottom w:val="0"/>
              <w:divBdr>
                <w:top w:val="none" w:sz="0" w:space="0" w:color="auto"/>
                <w:left w:val="none" w:sz="0" w:space="0" w:color="auto"/>
                <w:bottom w:val="none" w:sz="0" w:space="0" w:color="auto"/>
                <w:right w:val="none" w:sz="0" w:space="0" w:color="auto"/>
              </w:divBdr>
              <w:divsChild>
                <w:div w:id="1637906752">
                  <w:marLeft w:val="480"/>
                  <w:marRight w:val="0"/>
                  <w:marTop w:val="0"/>
                  <w:marBottom w:val="0"/>
                  <w:divBdr>
                    <w:top w:val="none" w:sz="0" w:space="0" w:color="auto"/>
                    <w:left w:val="none" w:sz="0" w:space="0" w:color="auto"/>
                    <w:bottom w:val="none" w:sz="0" w:space="0" w:color="auto"/>
                    <w:right w:val="none" w:sz="0" w:space="0" w:color="auto"/>
                  </w:divBdr>
                  <w:divsChild>
                    <w:div w:id="1161892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4361101">
      <w:bodyDiv w:val="1"/>
      <w:marLeft w:val="0"/>
      <w:marRight w:val="0"/>
      <w:marTop w:val="0"/>
      <w:marBottom w:val="0"/>
      <w:divBdr>
        <w:top w:val="none" w:sz="0" w:space="0" w:color="auto"/>
        <w:left w:val="none" w:sz="0" w:space="0" w:color="auto"/>
        <w:bottom w:val="none" w:sz="0" w:space="0" w:color="auto"/>
        <w:right w:val="none" w:sz="0" w:space="0" w:color="auto"/>
      </w:divBdr>
    </w:div>
    <w:div w:id="1943606317">
      <w:bodyDiv w:val="1"/>
      <w:marLeft w:val="0"/>
      <w:marRight w:val="0"/>
      <w:marTop w:val="0"/>
      <w:marBottom w:val="0"/>
      <w:divBdr>
        <w:top w:val="none" w:sz="0" w:space="0" w:color="auto"/>
        <w:left w:val="none" w:sz="0" w:space="0" w:color="auto"/>
        <w:bottom w:val="none" w:sz="0" w:space="0" w:color="auto"/>
        <w:right w:val="none" w:sz="0" w:space="0" w:color="auto"/>
      </w:divBdr>
      <w:divsChild>
        <w:div w:id="388310545">
          <w:marLeft w:val="0"/>
          <w:marRight w:val="0"/>
          <w:marTop w:val="0"/>
          <w:marBottom w:val="0"/>
          <w:divBdr>
            <w:top w:val="none" w:sz="0" w:space="0" w:color="auto"/>
            <w:left w:val="none" w:sz="0" w:space="0" w:color="auto"/>
            <w:bottom w:val="none" w:sz="0" w:space="0" w:color="auto"/>
            <w:right w:val="none" w:sz="0" w:space="0" w:color="auto"/>
          </w:divBdr>
          <w:divsChild>
            <w:div w:id="1565333903">
              <w:marLeft w:val="0"/>
              <w:marRight w:val="0"/>
              <w:marTop w:val="0"/>
              <w:marBottom w:val="0"/>
              <w:divBdr>
                <w:top w:val="none" w:sz="0" w:space="0" w:color="auto"/>
                <w:left w:val="none" w:sz="0" w:space="0" w:color="auto"/>
                <w:bottom w:val="none" w:sz="0" w:space="0" w:color="auto"/>
                <w:right w:val="none" w:sz="0" w:space="0" w:color="auto"/>
              </w:divBdr>
              <w:divsChild>
                <w:div w:id="830830643">
                  <w:marLeft w:val="0"/>
                  <w:marRight w:val="0"/>
                  <w:marTop w:val="0"/>
                  <w:marBottom w:val="0"/>
                  <w:divBdr>
                    <w:top w:val="none" w:sz="0" w:space="0" w:color="auto"/>
                    <w:left w:val="none" w:sz="0" w:space="0" w:color="auto"/>
                    <w:bottom w:val="none" w:sz="0" w:space="0" w:color="auto"/>
                    <w:right w:val="none" w:sz="0" w:space="0" w:color="auto"/>
                  </w:divBdr>
                  <w:divsChild>
                    <w:div w:id="18156808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50047594">
      <w:bodyDiv w:val="1"/>
      <w:marLeft w:val="0"/>
      <w:marRight w:val="0"/>
      <w:marTop w:val="0"/>
      <w:marBottom w:val="0"/>
      <w:divBdr>
        <w:top w:val="none" w:sz="0" w:space="0" w:color="auto"/>
        <w:left w:val="none" w:sz="0" w:space="0" w:color="auto"/>
        <w:bottom w:val="none" w:sz="0" w:space="0" w:color="auto"/>
        <w:right w:val="none" w:sz="0" w:space="0" w:color="auto"/>
      </w:divBdr>
      <w:divsChild>
        <w:div w:id="107243991">
          <w:marLeft w:val="0"/>
          <w:marRight w:val="0"/>
          <w:marTop w:val="0"/>
          <w:marBottom w:val="0"/>
          <w:divBdr>
            <w:top w:val="none" w:sz="0" w:space="0" w:color="auto"/>
            <w:left w:val="none" w:sz="0" w:space="0" w:color="auto"/>
            <w:bottom w:val="none" w:sz="0" w:space="0" w:color="auto"/>
            <w:right w:val="none" w:sz="0" w:space="0" w:color="auto"/>
          </w:divBdr>
          <w:divsChild>
            <w:div w:id="192160247">
              <w:marLeft w:val="0"/>
              <w:marRight w:val="0"/>
              <w:marTop w:val="0"/>
              <w:marBottom w:val="0"/>
              <w:divBdr>
                <w:top w:val="none" w:sz="0" w:space="0" w:color="auto"/>
                <w:left w:val="none" w:sz="0" w:space="0" w:color="auto"/>
                <w:bottom w:val="none" w:sz="0" w:space="0" w:color="auto"/>
                <w:right w:val="none" w:sz="0" w:space="0" w:color="auto"/>
              </w:divBdr>
              <w:divsChild>
                <w:div w:id="964581779">
                  <w:marLeft w:val="480"/>
                  <w:marRight w:val="0"/>
                  <w:marTop w:val="0"/>
                  <w:marBottom w:val="0"/>
                  <w:divBdr>
                    <w:top w:val="none" w:sz="0" w:space="0" w:color="auto"/>
                    <w:left w:val="none" w:sz="0" w:space="0" w:color="auto"/>
                    <w:bottom w:val="none" w:sz="0" w:space="0" w:color="auto"/>
                    <w:right w:val="none" w:sz="0" w:space="0" w:color="auto"/>
                  </w:divBdr>
                  <w:divsChild>
                    <w:div w:id="1749645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51156326">
      <w:bodyDiv w:val="1"/>
      <w:marLeft w:val="0"/>
      <w:marRight w:val="0"/>
      <w:marTop w:val="0"/>
      <w:marBottom w:val="0"/>
      <w:divBdr>
        <w:top w:val="none" w:sz="0" w:space="0" w:color="auto"/>
        <w:left w:val="none" w:sz="0" w:space="0" w:color="auto"/>
        <w:bottom w:val="none" w:sz="0" w:space="0" w:color="auto"/>
        <w:right w:val="none" w:sz="0" w:space="0" w:color="auto"/>
      </w:divBdr>
      <w:divsChild>
        <w:div w:id="270673969">
          <w:marLeft w:val="0"/>
          <w:marRight w:val="0"/>
          <w:marTop w:val="0"/>
          <w:marBottom w:val="0"/>
          <w:divBdr>
            <w:top w:val="none" w:sz="0" w:space="0" w:color="auto"/>
            <w:left w:val="none" w:sz="0" w:space="0" w:color="auto"/>
            <w:bottom w:val="none" w:sz="0" w:space="0" w:color="auto"/>
            <w:right w:val="none" w:sz="0" w:space="0" w:color="auto"/>
          </w:divBdr>
        </w:div>
      </w:divsChild>
    </w:div>
    <w:div w:id="1956205121">
      <w:bodyDiv w:val="1"/>
      <w:marLeft w:val="0"/>
      <w:marRight w:val="0"/>
      <w:marTop w:val="0"/>
      <w:marBottom w:val="0"/>
      <w:divBdr>
        <w:top w:val="none" w:sz="0" w:space="0" w:color="auto"/>
        <w:left w:val="none" w:sz="0" w:space="0" w:color="auto"/>
        <w:bottom w:val="none" w:sz="0" w:space="0" w:color="auto"/>
        <w:right w:val="none" w:sz="0" w:space="0" w:color="auto"/>
      </w:divBdr>
    </w:div>
    <w:div w:id="1977711103">
      <w:bodyDiv w:val="1"/>
      <w:marLeft w:val="0"/>
      <w:marRight w:val="0"/>
      <w:marTop w:val="0"/>
      <w:marBottom w:val="0"/>
      <w:divBdr>
        <w:top w:val="none" w:sz="0" w:space="0" w:color="auto"/>
        <w:left w:val="none" w:sz="0" w:space="0" w:color="auto"/>
        <w:bottom w:val="none" w:sz="0" w:space="0" w:color="auto"/>
        <w:right w:val="none" w:sz="0" w:space="0" w:color="auto"/>
      </w:divBdr>
    </w:div>
    <w:div w:id="1990548770">
      <w:bodyDiv w:val="1"/>
      <w:marLeft w:val="0"/>
      <w:marRight w:val="0"/>
      <w:marTop w:val="0"/>
      <w:marBottom w:val="0"/>
      <w:divBdr>
        <w:top w:val="none" w:sz="0" w:space="0" w:color="auto"/>
        <w:left w:val="none" w:sz="0" w:space="0" w:color="auto"/>
        <w:bottom w:val="none" w:sz="0" w:space="0" w:color="auto"/>
        <w:right w:val="none" w:sz="0" w:space="0" w:color="auto"/>
      </w:divBdr>
    </w:div>
    <w:div w:id="2022510547">
      <w:bodyDiv w:val="1"/>
      <w:marLeft w:val="0"/>
      <w:marRight w:val="0"/>
      <w:marTop w:val="0"/>
      <w:marBottom w:val="0"/>
      <w:divBdr>
        <w:top w:val="none" w:sz="0" w:space="0" w:color="auto"/>
        <w:left w:val="none" w:sz="0" w:space="0" w:color="auto"/>
        <w:bottom w:val="none" w:sz="0" w:space="0" w:color="auto"/>
        <w:right w:val="none" w:sz="0" w:space="0" w:color="auto"/>
      </w:divBdr>
    </w:div>
    <w:div w:id="2022975517">
      <w:bodyDiv w:val="1"/>
      <w:marLeft w:val="0"/>
      <w:marRight w:val="0"/>
      <w:marTop w:val="0"/>
      <w:marBottom w:val="0"/>
      <w:divBdr>
        <w:top w:val="none" w:sz="0" w:space="0" w:color="auto"/>
        <w:left w:val="none" w:sz="0" w:space="0" w:color="auto"/>
        <w:bottom w:val="none" w:sz="0" w:space="0" w:color="auto"/>
        <w:right w:val="none" w:sz="0" w:space="0" w:color="auto"/>
      </w:divBdr>
      <w:divsChild>
        <w:div w:id="1953706631">
          <w:marLeft w:val="12365"/>
          <w:marRight w:val="0"/>
          <w:marTop w:val="0"/>
          <w:marBottom w:val="0"/>
          <w:divBdr>
            <w:top w:val="none" w:sz="0" w:space="0" w:color="auto"/>
            <w:left w:val="none" w:sz="0" w:space="0" w:color="auto"/>
            <w:bottom w:val="none" w:sz="0" w:space="0" w:color="auto"/>
            <w:right w:val="none" w:sz="0" w:space="0" w:color="auto"/>
          </w:divBdr>
          <w:divsChild>
            <w:div w:id="19552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9090">
      <w:bodyDiv w:val="1"/>
      <w:marLeft w:val="0"/>
      <w:marRight w:val="0"/>
      <w:marTop w:val="0"/>
      <w:marBottom w:val="0"/>
      <w:divBdr>
        <w:top w:val="none" w:sz="0" w:space="0" w:color="auto"/>
        <w:left w:val="none" w:sz="0" w:space="0" w:color="auto"/>
        <w:bottom w:val="none" w:sz="0" w:space="0" w:color="auto"/>
        <w:right w:val="none" w:sz="0" w:space="0" w:color="auto"/>
      </w:divBdr>
    </w:div>
    <w:div w:id="2100904340">
      <w:bodyDiv w:val="1"/>
      <w:marLeft w:val="0"/>
      <w:marRight w:val="0"/>
      <w:marTop w:val="0"/>
      <w:marBottom w:val="0"/>
      <w:divBdr>
        <w:top w:val="none" w:sz="0" w:space="0" w:color="auto"/>
        <w:left w:val="none" w:sz="0" w:space="0" w:color="auto"/>
        <w:bottom w:val="none" w:sz="0" w:space="0" w:color="auto"/>
        <w:right w:val="none" w:sz="0" w:space="0" w:color="auto"/>
      </w:divBdr>
    </w:div>
    <w:div w:id="2104033553">
      <w:bodyDiv w:val="1"/>
      <w:marLeft w:val="0"/>
      <w:marRight w:val="0"/>
      <w:marTop w:val="0"/>
      <w:marBottom w:val="0"/>
      <w:divBdr>
        <w:top w:val="none" w:sz="0" w:space="0" w:color="auto"/>
        <w:left w:val="none" w:sz="0" w:space="0" w:color="auto"/>
        <w:bottom w:val="none" w:sz="0" w:space="0" w:color="auto"/>
        <w:right w:val="none" w:sz="0" w:space="0" w:color="auto"/>
      </w:divBdr>
    </w:div>
    <w:div w:id="2105110441">
      <w:bodyDiv w:val="1"/>
      <w:marLeft w:val="0"/>
      <w:marRight w:val="0"/>
      <w:marTop w:val="0"/>
      <w:marBottom w:val="0"/>
      <w:divBdr>
        <w:top w:val="none" w:sz="0" w:space="0" w:color="auto"/>
        <w:left w:val="none" w:sz="0" w:space="0" w:color="auto"/>
        <w:bottom w:val="none" w:sz="0" w:space="0" w:color="auto"/>
        <w:right w:val="none" w:sz="0" w:space="0" w:color="auto"/>
      </w:divBdr>
      <w:divsChild>
        <w:div w:id="1785071326">
          <w:marLeft w:val="0"/>
          <w:marRight w:val="0"/>
          <w:marTop w:val="0"/>
          <w:marBottom w:val="0"/>
          <w:divBdr>
            <w:top w:val="none" w:sz="0" w:space="0" w:color="auto"/>
            <w:left w:val="none" w:sz="0" w:space="0" w:color="auto"/>
            <w:bottom w:val="none" w:sz="0" w:space="0" w:color="auto"/>
            <w:right w:val="none" w:sz="0" w:space="0" w:color="auto"/>
          </w:divBdr>
        </w:div>
      </w:divsChild>
    </w:div>
    <w:div w:id="2108773059">
      <w:bodyDiv w:val="1"/>
      <w:marLeft w:val="0"/>
      <w:marRight w:val="0"/>
      <w:marTop w:val="0"/>
      <w:marBottom w:val="0"/>
      <w:divBdr>
        <w:top w:val="none" w:sz="0" w:space="0" w:color="auto"/>
        <w:left w:val="none" w:sz="0" w:space="0" w:color="auto"/>
        <w:bottom w:val="none" w:sz="0" w:space="0" w:color="auto"/>
        <w:right w:val="none" w:sz="0" w:space="0" w:color="auto"/>
      </w:divBdr>
    </w:div>
    <w:div w:id="2120176794">
      <w:bodyDiv w:val="1"/>
      <w:marLeft w:val="0"/>
      <w:marRight w:val="0"/>
      <w:marTop w:val="0"/>
      <w:marBottom w:val="0"/>
      <w:divBdr>
        <w:top w:val="none" w:sz="0" w:space="0" w:color="auto"/>
        <w:left w:val="none" w:sz="0" w:space="0" w:color="auto"/>
        <w:bottom w:val="none" w:sz="0" w:space="0" w:color="auto"/>
        <w:right w:val="none" w:sz="0" w:space="0" w:color="auto"/>
      </w:divBdr>
    </w:div>
    <w:div w:id="2121289784">
      <w:bodyDiv w:val="1"/>
      <w:marLeft w:val="0"/>
      <w:marRight w:val="0"/>
      <w:marTop w:val="0"/>
      <w:marBottom w:val="0"/>
      <w:divBdr>
        <w:top w:val="none" w:sz="0" w:space="0" w:color="auto"/>
        <w:left w:val="none" w:sz="0" w:space="0" w:color="auto"/>
        <w:bottom w:val="none" w:sz="0" w:space="0" w:color="auto"/>
        <w:right w:val="none" w:sz="0" w:space="0" w:color="auto"/>
      </w:divBdr>
      <w:divsChild>
        <w:div w:id="708604777">
          <w:marLeft w:val="0"/>
          <w:marRight w:val="0"/>
          <w:marTop w:val="0"/>
          <w:marBottom w:val="0"/>
          <w:divBdr>
            <w:top w:val="none" w:sz="0" w:space="0" w:color="auto"/>
            <w:left w:val="none" w:sz="0" w:space="0" w:color="auto"/>
            <w:bottom w:val="none" w:sz="0" w:space="0" w:color="auto"/>
            <w:right w:val="none" w:sz="0" w:space="0" w:color="auto"/>
          </w:divBdr>
          <w:divsChild>
            <w:div w:id="265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effield.ac.uk/ssid/unfair-m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BEBF8C2-A2C9-4577-ACA2-D520D2C2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84709</TotalTime>
  <Pages>317</Pages>
  <Words>91369</Words>
  <Characters>520809</Characters>
  <Application>Microsoft Office Word</Application>
  <DocSecurity>0</DocSecurity>
  <Lines>4340</Lines>
  <Paragraphs>1221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Bhargava</dc:creator>
  <cp:keywords/>
  <dc:description/>
  <cp:lastModifiedBy>Beth Bhargava</cp:lastModifiedBy>
  <cp:revision>8995</cp:revision>
  <dcterms:created xsi:type="dcterms:W3CDTF">2024-09-22T14:56:00Z</dcterms:created>
  <dcterms:modified xsi:type="dcterms:W3CDTF">2025-07-09T09:57:00Z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id="ddxnzTq4"/&gt;&lt;style id="http://www.zotero.org/styles/modern-humanities-research-association" hasBibliography="1" bibliographyStyleHasBeenSet="0"/&gt;&lt;prefs&gt;&lt;pref name="fieldType" value="Field"/&gt;&lt;pref n</vt:lpwstr>
  </property>
  <property fmtid="{D5CDD505-2E9C-101B-9397-08002B2CF9AE}" pid="3" name="ZOTERO_PREF_2">
    <vt:lpwstr>ame="automaticJournalAbbreviations" value="true"/&gt;&lt;pref name="noteType" value="1"/&gt;&lt;/prefs&gt;&lt;/data&gt;</vt:lpwstr>
  </property>
</Properties>
</file>